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DF57F3" w14:paraId="408F60EF" w14:textId="77777777" w:rsidTr="00540797">
        <w:trPr>
          <w:trHeight w:val="709"/>
        </w:trPr>
        <w:tc>
          <w:tcPr>
            <w:tcW w:w="976" w:type="dxa"/>
            <w:tcBorders>
              <w:bottom w:val="single" w:sz="12" w:space="0" w:color="auto"/>
            </w:tcBorders>
          </w:tcPr>
          <w:p w14:paraId="24337A1D" w14:textId="77777777" w:rsidR="00DF57F3" w:rsidRDefault="00DF57F3" w:rsidP="00540797">
            <w:bookmarkStart w:id="0" w:name="_GoBack"/>
            <w:r>
              <w:rPr>
                <w:noProof/>
                <w:lang w:val="en-US"/>
              </w:rPr>
              <w:drawing>
                <wp:inline distT="0" distB="0" distL="0" distR="0" wp14:anchorId="5E989241" wp14:editId="1E2FC053">
                  <wp:extent cx="476494" cy="403200"/>
                  <wp:effectExtent l="0" t="0" r="6350" b="3810"/>
                  <wp:docPr id="21" name="Picture 2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65E07BAE" w14:textId="77777777" w:rsidR="00DF57F3" w:rsidRDefault="00DF57F3" w:rsidP="00540797">
            <w:r>
              <w:rPr>
                <w:noProof/>
                <w:lang w:val="en-US"/>
              </w:rPr>
              <w:drawing>
                <wp:inline distT="0" distB="0" distL="0" distR="0" wp14:anchorId="28F1FB88" wp14:editId="664B5FE7">
                  <wp:extent cx="343700" cy="403200"/>
                  <wp:effectExtent l="0" t="0" r="12065" b="3810"/>
                  <wp:docPr id="24" name="Picture 24"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FF5B78C" w14:textId="77777777" w:rsidR="00DF57F3" w:rsidRPr="00C9161D" w:rsidRDefault="00DF57F3" w:rsidP="00540797">
            <w:pPr>
              <w:jc w:val="right"/>
              <w:rPr>
                <w:rFonts w:ascii="Arial" w:hAnsi="Arial" w:cs="Arial"/>
                <w:b/>
                <w:sz w:val="32"/>
                <w:szCs w:val="32"/>
              </w:rPr>
            </w:pPr>
            <w:r w:rsidRPr="00C9161D">
              <w:rPr>
                <w:rFonts w:ascii="Arial" w:hAnsi="Arial" w:cs="Arial"/>
                <w:b/>
                <w:sz w:val="32"/>
                <w:szCs w:val="32"/>
              </w:rPr>
              <w:t>CBD</w:t>
            </w:r>
          </w:p>
        </w:tc>
      </w:tr>
      <w:bookmarkEnd w:id="0"/>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DF57F3" w:rsidRPr="005440A6" w14:paraId="579CD77C" w14:textId="77777777" w:rsidTr="009554D5">
        <w:trPr>
          <w:trHeight w:val="1693"/>
        </w:trPr>
        <w:tc>
          <w:tcPr>
            <w:tcW w:w="6227" w:type="dxa"/>
            <w:tcBorders>
              <w:top w:val="nil"/>
              <w:bottom w:val="single" w:sz="36" w:space="0" w:color="000000"/>
            </w:tcBorders>
          </w:tcPr>
          <w:p w14:paraId="57867A07" w14:textId="77777777" w:rsidR="00DF57F3" w:rsidRPr="00DF57F3" w:rsidRDefault="00DF57F3" w:rsidP="00DF57F3">
            <w:pPr>
              <w:spacing w:after="0"/>
              <w:rPr>
                <w:snapToGrid w:val="0"/>
                <w:kern w:val="22"/>
                <w:sz w:val="22"/>
                <w:szCs w:val="22"/>
              </w:rPr>
            </w:pPr>
          </w:p>
          <w:p w14:paraId="5D044A23" w14:textId="77777777" w:rsidR="00DF57F3" w:rsidRPr="00DF57F3" w:rsidRDefault="00DF57F3" w:rsidP="00DF57F3">
            <w:pPr>
              <w:spacing w:after="0"/>
              <w:rPr>
                <w:snapToGrid w:val="0"/>
                <w:kern w:val="22"/>
                <w:sz w:val="22"/>
                <w:szCs w:val="22"/>
              </w:rPr>
            </w:pPr>
            <w:r w:rsidRPr="00DF57F3">
              <w:rPr>
                <w:noProof/>
                <w:kern w:val="22"/>
                <w:sz w:val="22"/>
                <w:szCs w:val="22"/>
                <w:lang w:val="en-US"/>
              </w:rPr>
              <w:drawing>
                <wp:inline distT="0" distB="0" distL="0" distR="0" wp14:anchorId="74AB1667" wp14:editId="6287666D">
                  <wp:extent cx="2882900" cy="1079500"/>
                  <wp:effectExtent l="0" t="0" r="12700"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14:paraId="089D1AA0" w14:textId="77777777" w:rsidR="00DF57F3" w:rsidRPr="00DF57F3" w:rsidRDefault="00DF57F3" w:rsidP="00DF57F3">
            <w:pPr>
              <w:spacing w:after="0"/>
              <w:rPr>
                <w:rFonts w:ascii="Univers" w:hAnsi="Univers"/>
                <w:snapToGrid w:val="0"/>
                <w:kern w:val="22"/>
                <w:sz w:val="22"/>
                <w:szCs w:val="22"/>
              </w:rPr>
            </w:pPr>
          </w:p>
        </w:tc>
        <w:tc>
          <w:tcPr>
            <w:tcW w:w="1144" w:type="dxa"/>
            <w:tcBorders>
              <w:top w:val="nil"/>
              <w:bottom w:val="single" w:sz="36" w:space="0" w:color="000000"/>
            </w:tcBorders>
          </w:tcPr>
          <w:p w14:paraId="0E1333E9" w14:textId="77777777" w:rsidR="00DF57F3" w:rsidRPr="00DF57F3" w:rsidRDefault="00DF57F3" w:rsidP="00DF57F3">
            <w:pPr>
              <w:pStyle w:val="Header"/>
              <w:rPr>
                <w:b/>
                <w:snapToGrid w:val="0"/>
                <w:kern w:val="22"/>
                <w:sz w:val="22"/>
                <w:szCs w:val="22"/>
              </w:rPr>
            </w:pPr>
          </w:p>
        </w:tc>
        <w:tc>
          <w:tcPr>
            <w:tcW w:w="2977" w:type="dxa"/>
            <w:tcBorders>
              <w:top w:val="nil"/>
              <w:bottom w:val="single" w:sz="36" w:space="0" w:color="000000"/>
            </w:tcBorders>
          </w:tcPr>
          <w:p w14:paraId="11BB2593" w14:textId="77777777" w:rsidR="00DF57F3" w:rsidRPr="00DF57F3" w:rsidRDefault="00DF57F3" w:rsidP="00DF57F3">
            <w:pPr>
              <w:spacing w:after="0"/>
              <w:ind w:left="63"/>
              <w:rPr>
                <w:snapToGrid w:val="0"/>
                <w:kern w:val="22"/>
                <w:sz w:val="22"/>
                <w:szCs w:val="22"/>
                <w:lang w:val="es-ES_tradnl"/>
              </w:rPr>
            </w:pPr>
            <w:r w:rsidRPr="00DF57F3">
              <w:rPr>
                <w:snapToGrid w:val="0"/>
                <w:kern w:val="22"/>
                <w:sz w:val="22"/>
                <w:szCs w:val="22"/>
                <w:lang w:val="es-ES_tradnl"/>
              </w:rPr>
              <w:t>Distr.</w:t>
            </w:r>
          </w:p>
          <w:p w14:paraId="539D2728" w14:textId="77777777" w:rsidR="00DF57F3" w:rsidRPr="00DF57F3" w:rsidRDefault="00DF57F3" w:rsidP="00DF57F3">
            <w:pPr>
              <w:spacing w:after="0"/>
              <w:ind w:left="63"/>
              <w:rPr>
                <w:snapToGrid w:val="0"/>
                <w:kern w:val="22"/>
                <w:sz w:val="22"/>
                <w:szCs w:val="22"/>
                <w:lang w:val="es-ES_tradnl"/>
              </w:rPr>
            </w:pPr>
            <w:r w:rsidRPr="00DF57F3">
              <w:rPr>
                <w:snapToGrid w:val="0"/>
                <w:kern w:val="22"/>
                <w:sz w:val="22"/>
                <w:szCs w:val="22"/>
                <w:lang w:val="es-ES_tradnl"/>
              </w:rPr>
              <w:t>GENERAL</w:t>
            </w:r>
          </w:p>
          <w:p w14:paraId="4EF4108F" w14:textId="77777777" w:rsidR="00DF57F3" w:rsidRPr="00DF57F3" w:rsidRDefault="00DF57F3" w:rsidP="00DF57F3">
            <w:pPr>
              <w:spacing w:after="0"/>
              <w:ind w:left="63"/>
              <w:rPr>
                <w:snapToGrid w:val="0"/>
                <w:kern w:val="22"/>
                <w:sz w:val="22"/>
                <w:szCs w:val="22"/>
                <w:lang w:val="es-ES_tradnl"/>
              </w:rPr>
            </w:pPr>
          </w:p>
          <w:sdt>
            <w:sdtPr>
              <w:rPr>
                <w:snapToGrid w:val="0"/>
                <w:kern w:val="22"/>
                <w:sz w:val="22"/>
                <w:szCs w:val="22"/>
                <w:lang w:val="es-ES_tradnl"/>
              </w:rPr>
              <w:alias w:val="Subject"/>
              <w:tag w:val=""/>
              <w:id w:val="-344942035"/>
              <w:placeholder>
                <w:docPart w:val="E979389917AD40998674799D6E086246"/>
              </w:placeholder>
              <w:dataBinding w:prefixMappings="xmlns:ns0='http://purl.org/dc/elements/1.1/' xmlns:ns1='http://schemas.openxmlformats.org/package/2006/metadata/core-properties' " w:xpath="/ns1:coreProperties[1]/ns0:subject[1]" w:storeItemID="{6C3C8BC8-F283-45AE-878A-BAB7291924A1}"/>
              <w:text/>
            </w:sdtPr>
            <w:sdtContent>
              <w:p w14:paraId="042C0E6D" w14:textId="3C88EEC5" w:rsidR="00DF57F3" w:rsidRPr="00DF57F3" w:rsidRDefault="00DF57F3" w:rsidP="00DF57F3">
                <w:pPr>
                  <w:spacing w:after="0"/>
                  <w:ind w:left="63"/>
                  <w:rPr>
                    <w:snapToGrid w:val="0"/>
                    <w:kern w:val="22"/>
                    <w:sz w:val="22"/>
                    <w:szCs w:val="22"/>
                    <w:lang w:val="es-ES_tradnl"/>
                  </w:rPr>
                </w:pPr>
                <w:r>
                  <w:rPr>
                    <w:snapToGrid w:val="0"/>
                    <w:kern w:val="22"/>
                    <w:sz w:val="22"/>
                    <w:szCs w:val="22"/>
                    <w:lang w:val="es-ES_tradnl"/>
                  </w:rPr>
                  <w:t>CBD/COP/14/INF/7</w:t>
                </w:r>
              </w:p>
            </w:sdtContent>
          </w:sdt>
          <w:p w14:paraId="29322239" w14:textId="77777777" w:rsidR="00DF57F3" w:rsidRPr="00DF57F3" w:rsidRDefault="00DF57F3" w:rsidP="00DF57F3">
            <w:pPr>
              <w:spacing w:after="0"/>
              <w:ind w:left="63"/>
              <w:rPr>
                <w:snapToGrid w:val="0"/>
                <w:kern w:val="22"/>
                <w:sz w:val="22"/>
                <w:szCs w:val="22"/>
              </w:rPr>
            </w:pPr>
            <w:r w:rsidRPr="00DF57F3">
              <w:rPr>
                <w:snapToGrid w:val="0"/>
                <w:kern w:val="22"/>
                <w:sz w:val="22"/>
                <w:szCs w:val="22"/>
              </w:rPr>
              <w:t>8 November 2018</w:t>
            </w:r>
          </w:p>
          <w:p w14:paraId="0357A826" w14:textId="77777777" w:rsidR="00DF57F3" w:rsidRPr="00DF57F3" w:rsidRDefault="00DF57F3" w:rsidP="00DF57F3">
            <w:pPr>
              <w:spacing w:after="0"/>
              <w:ind w:left="63"/>
              <w:rPr>
                <w:snapToGrid w:val="0"/>
                <w:kern w:val="22"/>
                <w:sz w:val="22"/>
                <w:szCs w:val="22"/>
              </w:rPr>
            </w:pPr>
          </w:p>
          <w:p w14:paraId="54DA5933" w14:textId="77777777" w:rsidR="00DF57F3" w:rsidRPr="00DF57F3" w:rsidRDefault="00DF57F3" w:rsidP="00DF57F3">
            <w:pPr>
              <w:spacing w:after="0"/>
              <w:ind w:left="63"/>
              <w:rPr>
                <w:snapToGrid w:val="0"/>
                <w:color w:val="FF0000"/>
                <w:kern w:val="22"/>
                <w:sz w:val="22"/>
                <w:szCs w:val="22"/>
                <w:u w:val="single"/>
              </w:rPr>
            </w:pPr>
            <w:r w:rsidRPr="00DF57F3">
              <w:rPr>
                <w:snapToGrid w:val="0"/>
                <w:kern w:val="22"/>
                <w:sz w:val="22"/>
                <w:szCs w:val="22"/>
              </w:rPr>
              <w:t>ENGLISH ONLY</w:t>
            </w:r>
          </w:p>
        </w:tc>
      </w:tr>
    </w:tbl>
    <w:bookmarkStart w:id="1" w:name="Meeting"/>
    <w:p w14:paraId="3703A7B5" w14:textId="77777777" w:rsidR="00DF57F3" w:rsidRPr="00DF57F3" w:rsidRDefault="00DF57F3" w:rsidP="00DF57F3">
      <w:pPr>
        <w:pStyle w:val="meetingname"/>
        <w:ind w:right="4398"/>
        <w:rPr>
          <w:kern w:val="22"/>
          <w:szCs w:val="22"/>
        </w:rPr>
      </w:pPr>
      <w:sdt>
        <w:sdtPr>
          <w:rPr>
            <w:szCs w:val="22"/>
          </w:rPr>
          <w:alias w:val="Meeting"/>
          <w:tag w:val="Meeting"/>
          <w:id w:val="1412045910"/>
          <w:placeholder>
            <w:docPart w:val="89A444A94EDA4D21B951316C40DEF9E7"/>
          </w:placeholder>
          <w:text/>
        </w:sdtPr>
        <w:sdtContent>
          <w:r w:rsidRPr="00DF57F3">
            <w:rPr>
              <w:szCs w:val="22"/>
            </w:rPr>
            <w:t>CONFERENCE OF THE PARTIES TO THE CONVENTION ON BIOLOGICAL DIVERSITY</w:t>
          </w:r>
        </w:sdtContent>
      </w:sdt>
      <w:bookmarkEnd w:id="1"/>
    </w:p>
    <w:p w14:paraId="2245A7AB" w14:textId="77777777" w:rsidR="00DF57F3" w:rsidRPr="00DF57F3" w:rsidRDefault="00DF57F3" w:rsidP="00DF57F3">
      <w:pPr>
        <w:spacing w:after="0"/>
        <w:rPr>
          <w:snapToGrid w:val="0"/>
          <w:kern w:val="22"/>
          <w:sz w:val="22"/>
          <w:szCs w:val="22"/>
          <w:lang w:eastAsia="nb-NO"/>
        </w:rPr>
      </w:pPr>
      <w:r w:rsidRPr="00DF57F3">
        <w:rPr>
          <w:snapToGrid w:val="0"/>
          <w:kern w:val="22"/>
          <w:sz w:val="22"/>
          <w:szCs w:val="22"/>
          <w:lang w:eastAsia="nb-NO"/>
        </w:rPr>
        <w:t>Fourteenth meeting</w:t>
      </w:r>
    </w:p>
    <w:p w14:paraId="653E0796" w14:textId="77777777" w:rsidR="00DF57F3" w:rsidRPr="00DF57F3" w:rsidRDefault="00DF57F3" w:rsidP="00DF57F3">
      <w:pPr>
        <w:spacing w:after="0"/>
        <w:rPr>
          <w:snapToGrid w:val="0"/>
          <w:kern w:val="22"/>
          <w:sz w:val="22"/>
          <w:szCs w:val="22"/>
          <w:lang w:eastAsia="nb-NO"/>
        </w:rPr>
      </w:pPr>
      <w:r w:rsidRPr="00DF57F3">
        <w:rPr>
          <w:snapToGrid w:val="0"/>
          <w:kern w:val="22"/>
          <w:sz w:val="22"/>
          <w:szCs w:val="22"/>
          <w:lang w:eastAsia="nb-NO"/>
        </w:rPr>
        <w:t>Sharm El-Sheikh, Egypt, 17-29 November 2018</w:t>
      </w:r>
    </w:p>
    <w:p w14:paraId="17B5F5BD" w14:textId="77777777" w:rsidR="00DF57F3" w:rsidRPr="00DF57F3" w:rsidRDefault="00DF57F3" w:rsidP="00DF57F3">
      <w:pPr>
        <w:spacing w:after="0"/>
        <w:rPr>
          <w:snapToGrid w:val="0"/>
          <w:kern w:val="22"/>
          <w:sz w:val="22"/>
          <w:szCs w:val="22"/>
          <w:lang w:eastAsia="nb-NO"/>
        </w:rPr>
      </w:pPr>
      <w:r w:rsidRPr="00DF57F3">
        <w:rPr>
          <w:snapToGrid w:val="0"/>
          <w:kern w:val="22"/>
          <w:sz w:val="22"/>
          <w:szCs w:val="22"/>
          <w:lang w:eastAsia="nb-NO"/>
        </w:rPr>
        <w:t>Item 20 of the provisional agenda</w:t>
      </w:r>
    </w:p>
    <w:p w14:paraId="3AA10AE2" w14:textId="408ED5C8" w:rsidR="00DF57F3" w:rsidRDefault="00DF57F3" w:rsidP="00DF57F3">
      <w:pPr>
        <w:pStyle w:val="Heading1"/>
        <w:spacing w:before="240"/>
        <w:jc w:val="center"/>
        <w:rPr>
          <w:snapToGrid w:val="0"/>
        </w:rPr>
      </w:pPr>
      <w:sdt>
        <w:sdtPr>
          <w:rPr>
            <w:sz w:val="22"/>
            <w:szCs w:val="22"/>
          </w:rPr>
          <w:alias w:val="Title"/>
          <w:tag w:val=""/>
          <w:id w:val="301582339"/>
          <w:placeholder>
            <w:docPart w:val="875E9E31C68E4173BC16965E2D0F1951"/>
          </w:placeholder>
          <w:dataBinding w:prefixMappings="xmlns:ns0='http://purl.org/dc/elements/1.1/' xmlns:ns1='http://schemas.openxmlformats.org/package/2006/metadata/core-properties' " w:xpath="/ns1:coreProperties[1]/ns0:title[1]" w:storeItemID="{6C3C8BC8-F283-45AE-878A-BAB7291924A1}"/>
          <w:text/>
        </w:sdtPr>
        <w:sdtContent>
          <w:r w:rsidRPr="00DF57F3">
            <w:rPr>
              <w:sz w:val="22"/>
              <w:szCs w:val="22"/>
            </w:rPr>
            <w:t>TOWARDS A SUSTAINABLE, PARTIC</w:t>
          </w:r>
          <w:r>
            <w:rPr>
              <w:sz w:val="22"/>
              <w:szCs w:val="22"/>
            </w:rPr>
            <w:t>IPATORY AND INCLUSIVE WILD MEAT </w:t>
          </w:r>
          <w:r w:rsidRPr="00DF57F3">
            <w:rPr>
              <w:sz w:val="22"/>
              <w:szCs w:val="22"/>
            </w:rPr>
            <w:t>SECTOR</w:t>
          </w:r>
        </w:sdtContent>
      </w:sdt>
    </w:p>
    <w:p w14:paraId="4F2B54EB" w14:textId="77777777" w:rsidR="00DF57F3" w:rsidRPr="00DF57F3" w:rsidRDefault="00DF57F3" w:rsidP="00DF57F3">
      <w:pPr>
        <w:pStyle w:val="Heading2"/>
      </w:pPr>
      <w:r w:rsidRPr="00DF57F3">
        <w:t>Note by the Executive Secretary</w:t>
      </w:r>
    </w:p>
    <w:p w14:paraId="4C65ACE3" w14:textId="77777777" w:rsidR="00DF57F3" w:rsidRPr="00DF57F3" w:rsidRDefault="00DF57F3" w:rsidP="003241E4">
      <w:pPr>
        <w:pStyle w:val="Para10"/>
        <w:rPr>
          <w:lang w:val="en-CA"/>
        </w:rPr>
      </w:pPr>
      <w:r>
        <w:t xml:space="preserve">In response to </w:t>
      </w:r>
      <w:hyperlink r:id="rId14" w:history="1">
        <w:r w:rsidRPr="00F74C52">
          <w:rPr>
            <w:rStyle w:val="Hyperlink"/>
            <w:rFonts w:asciiTheme="majorBidi" w:hAnsiTheme="majorBidi" w:cstheme="majorBidi"/>
            <w:szCs w:val="22"/>
          </w:rPr>
          <w:t>SBSTTA recommendation XXI/2</w:t>
        </w:r>
      </w:hyperlink>
      <w:r>
        <w:t xml:space="preserve">, </w:t>
      </w:r>
      <w:r w:rsidRPr="00614E3C">
        <w:t xml:space="preserve">The Executive Secretary is circulating herewith, for the information of participants in the </w:t>
      </w:r>
      <w:r>
        <w:t xml:space="preserve">fourteenth </w:t>
      </w:r>
      <w:r w:rsidRPr="00614E3C">
        <w:t xml:space="preserve">meeting of the </w:t>
      </w:r>
      <w:r>
        <w:t>Conference of the Parties to the Convention on Biological Diversity</w:t>
      </w:r>
      <w:r w:rsidRPr="00614E3C">
        <w:t>, a</w:t>
      </w:r>
      <w:r>
        <w:t>n in-depth</w:t>
      </w:r>
      <w:r w:rsidRPr="00614E3C">
        <w:t xml:space="preserve"> report </w:t>
      </w:r>
      <w:r>
        <w:t>entitled “</w:t>
      </w:r>
      <w:r w:rsidRPr="00F74C52">
        <w:rPr>
          <w:rFonts w:asciiTheme="majorBidi" w:hAnsiTheme="majorBidi" w:cstheme="majorBidi"/>
          <w:szCs w:val="22"/>
        </w:rPr>
        <w:t>Towards a sustainable, participatory and inclusive wild meat sector</w:t>
      </w:r>
      <w:r>
        <w:t>”. The in-depth report describes</w:t>
      </w:r>
      <w:r w:rsidRPr="009E79C1">
        <w:t xml:space="preserve"> the situation with regard to wild meat consumption and trade in tropical and sub-tropical</w:t>
      </w:r>
      <w:r>
        <w:t xml:space="preserve"> regions worldwide and provides</w:t>
      </w:r>
      <w:r w:rsidRPr="009E79C1">
        <w:t xml:space="preserve"> guidance and recommendations for consideration by the Parties to the Convention.</w:t>
      </w:r>
      <w:r>
        <w:t xml:space="preserve"> It supplements the </w:t>
      </w:r>
      <w:r>
        <w:rPr>
          <w:lang w:val="en-CA"/>
        </w:rPr>
        <w:t>V</w:t>
      </w:r>
      <w:r w:rsidRPr="003241E4">
        <w:rPr>
          <w:lang w:val="en-CA"/>
        </w:rPr>
        <w:t xml:space="preserve">oluntary guidance for a sustainable wild meat sector, </w:t>
      </w:r>
      <w:r>
        <w:rPr>
          <w:lang w:val="en-CA"/>
        </w:rPr>
        <w:t xml:space="preserve">which was taken note of by SBSTTA in its recommendation  XXI/2 and is to be considered by the Conference of the Parties at its fourteenth meeting. </w:t>
      </w:r>
    </w:p>
    <w:p w14:paraId="73A6616B" w14:textId="6710AF26" w:rsidR="00DF57F3" w:rsidRDefault="00DF57F3" w:rsidP="00F74C52">
      <w:pPr>
        <w:pStyle w:val="Para10"/>
      </w:pPr>
      <w:r>
        <w:t>The report is structured in two parts and 10 chapters. Part I provides a summary of the available information on wild meat, focussing on the scale and drivers of harvesting of wild terrestrial vertebrates for food in tropical and sub-tropical regions (Chapter 2); the contributions that wild meat makes to food security, human nutrition and well-being (Chapter 3); the drivers of over-exploitation of wild meat species (Chapter 4); and the impacts of over-exploitation on the long-term survival of species and the functioning of ecosystems (Chapter 5). Part II offers technical information on governance and improving sustainability of wild meat use, focusing on four key scenarios of wild meat use, and broad management solutions for each scenario (Chapter 6); current wild meat governance and the enabling environment needed for improving sustainability in harvests (Chapter 7); techniques to ensure that the supply of wild meat is sustainably managed upstream (Chapter 8); techniques to reduce the consumption of wild meat, especially the excessive demand in towns and cities, to sustainable levels (Chapter 9); and best practice guidelines for participatory and adaptive management of wild meat interventions (Chapter 10).</w:t>
      </w:r>
    </w:p>
    <w:p w14:paraId="50F447B9" w14:textId="0812C6FB" w:rsidR="00DF57F3" w:rsidRPr="00F74C52" w:rsidRDefault="00DF57F3" w:rsidP="00F74C52">
      <w:pPr>
        <w:pStyle w:val="Para10"/>
        <w:tabs>
          <w:tab w:val="num" w:pos="3150"/>
        </w:tabs>
        <w:rPr>
          <w:rFonts w:asciiTheme="majorBidi" w:hAnsiTheme="majorBidi" w:cstheme="majorBidi"/>
          <w:szCs w:val="22"/>
        </w:rPr>
      </w:pPr>
      <w:r w:rsidRPr="00614E3C">
        <w:t xml:space="preserve">The report </w:t>
      </w:r>
      <w:r>
        <w:t>supports</w:t>
      </w:r>
      <w:r w:rsidRPr="00614E3C">
        <w:t xml:space="preserve"> the work of the Conv</w:t>
      </w:r>
      <w:r>
        <w:t xml:space="preserve">ention on Biological Diversity, </w:t>
      </w:r>
      <w:r w:rsidRPr="00614E3C">
        <w:t>in particular with regard to paragraph 5 (a)</w:t>
      </w:r>
      <w:r>
        <w:t xml:space="preserve"> of</w:t>
      </w:r>
      <w:r w:rsidRPr="00614E3C">
        <w:t xml:space="preserve"> </w:t>
      </w:r>
      <w:hyperlink r:id="rId15" w:history="1">
        <w:r w:rsidRPr="009B1F97">
          <w:rPr>
            <w:rStyle w:val="Hyperlink"/>
            <w:rFonts w:asciiTheme="majorBidi" w:hAnsiTheme="majorBidi" w:cstheme="majorBidi"/>
            <w:szCs w:val="22"/>
          </w:rPr>
          <w:t>decision XIII/8</w:t>
        </w:r>
      </w:hyperlink>
      <w:r w:rsidRPr="00614E3C">
        <w:t xml:space="preserve">, </w:t>
      </w:r>
      <w:r>
        <w:t xml:space="preserve">in which the Executive Secretary is requested, </w:t>
      </w:r>
      <w:r w:rsidRPr="00F74C52">
        <w:t>in collaboration with other members of the Collaborative Partnership on Sustainable Wildlife Management, subject to the availability of resources</w:t>
      </w:r>
      <w:r>
        <w:t>, to</w:t>
      </w:r>
      <w:r w:rsidRPr="00F74C52">
        <w:rPr>
          <w:rFonts w:asciiTheme="majorBidi" w:hAnsiTheme="majorBidi" w:cstheme="majorBidi"/>
          <w:szCs w:val="22"/>
        </w:rPr>
        <w:t xml:space="preserve"> further elaborate technical guidance for better governance towards a more sustainable bushmeat sector, with a view to supporting Parties’ implementation of the Strategic Plan for Biodiversity 2011-2020, building on the road map on the role of bushmeat in food security and nutrition and the results of the Symposium on “Beyond enforcement: Communities, governance, incentives, and sustainable use in combating illegal wildlife trade”, held in South Africa in February 2015, as well as the workshop on “Sustainable use and bushmeat trade in Colombia: operationalizing the legal framework in Colombia”, held in Leticia, Colombia, in October 2015, taking into account the perspective and knowledge of indigenous peoples and local communities in customary </w:t>
      </w:r>
      <w:r>
        <w:rPr>
          <w:rFonts w:asciiTheme="majorBidi" w:hAnsiTheme="majorBidi" w:cstheme="majorBidi"/>
          <w:szCs w:val="22"/>
        </w:rPr>
        <w:t>sustainable use of biodiversity.</w:t>
      </w:r>
    </w:p>
    <w:p w14:paraId="2B14731F" w14:textId="08F9619F" w:rsidR="00DF57F3" w:rsidRPr="008050CE" w:rsidRDefault="00DF57F3" w:rsidP="008050CE">
      <w:pPr>
        <w:pStyle w:val="Para10"/>
        <w:tabs>
          <w:tab w:val="clear" w:pos="360"/>
          <w:tab w:val="num" w:pos="567"/>
          <w:tab w:val="num" w:pos="3150"/>
        </w:tabs>
        <w:rPr>
          <w:rFonts w:asciiTheme="majorBidi" w:hAnsiTheme="majorBidi" w:cstheme="majorBidi"/>
          <w:szCs w:val="22"/>
        </w:rPr>
      </w:pPr>
      <w:r w:rsidRPr="00614E3C">
        <w:rPr>
          <w:rFonts w:asciiTheme="majorBidi" w:hAnsiTheme="majorBidi" w:cstheme="majorBidi"/>
          <w:szCs w:val="22"/>
        </w:rPr>
        <w:t xml:space="preserve">The </w:t>
      </w:r>
      <w:r>
        <w:rPr>
          <w:rFonts w:asciiTheme="majorBidi" w:hAnsiTheme="majorBidi" w:cstheme="majorBidi"/>
          <w:szCs w:val="22"/>
        </w:rPr>
        <w:t>report</w:t>
      </w:r>
      <w:r w:rsidRPr="00614E3C">
        <w:rPr>
          <w:rFonts w:asciiTheme="majorBidi" w:hAnsiTheme="majorBidi" w:cstheme="majorBidi"/>
          <w:szCs w:val="22"/>
        </w:rPr>
        <w:t xml:space="preserve"> </w:t>
      </w:r>
      <w:r>
        <w:rPr>
          <w:rFonts w:asciiTheme="majorBidi" w:hAnsiTheme="majorBidi" w:cstheme="majorBidi"/>
          <w:szCs w:val="22"/>
        </w:rPr>
        <w:t>is</w:t>
      </w:r>
      <w:r w:rsidRPr="00614E3C">
        <w:rPr>
          <w:rFonts w:asciiTheme="majorBidi" w:hAnsiTheme="majorBidi" w:cstheme="majorBidi"/>
          <w:szCs w:val="22"/>
        </w:rPr>
        <w:t xml:space="preserve"> presented in the form and language in which it was received by the Secretariat.</w:t>
      </w:r>
      <w:r w:rsidRPr="008050CE">
        <w:rPr>
          <w:color w:val="000000" w:themeColor="text1"/>
          <w:szCs w:val="22"/>
        </w:rPr>
        <w:br w:type="page"/>
      </w:r>
    </w:p>
    <w:p w14:paraId="62E3615A" w14:textId="77777777" w:rsidR="00814265" w:rsidRPr="00785A38" w:rsidRDefault="00814265" w:rsidP="00814265">
      <w:pPr>
        <w:pStyle w:val="Default"/>
        <w:jc w:val="both"/>
        <w:rPr>
          <w:rFonts w:ascii="Times New Roman" w:hAnsi="Times New Roman" w:cs="Times New Roman"/>
          <w:color w:val="000000" w:themeColor="text1"/>
          <w:sz w:val="22"/>
          <w:szCs w:val="22"/>
          <w:lang w:val="en-GB"/>
        </w:rPr>
      </w:pPr>
    </w:p>
    <w:p w14:paraId="4A912B80" w14:textId="77777777" w:rsidR="00814265" w:rsidRPr="00785A38" w:rsidRDefault="00814265" w:rsidP="00814265">
      <w:pPr>
        <w:pStyle w:val="Default"/>
        <w:jc w:val="both"/>
        <w:rPr>
          <w:rFonts w:ascii="Times New Roman" w:hAnsi="Times New Roman" w:cs="Times New Roman"/>
          <w:color w:val="000000" w:themeColor="text1"/>
          <w:sz w:val="22"/>
          <w:szCs w:val="22"/>
          <w:lang w:val="en-GB"/>
        </w:rPr>
      </w:pPr>
      <w:bookmarkStart w:id="2" w:name="_Ref517782451"/>
      <w:bookmarkStart w:id="3" w:name="_Ref517792775"/>
      <w:bookmarkStart w:id="4" w:name="_Ref518892949"/>
      <w:bookmarkStart w:id="5" w:name="_Ref518892968"/>
      <w:bookmarkEnd w:id="2"/>
      <w:bookmarkEnd w:id="3"/>
      <w:bookmarkEnd w:id="4"/>
      <w:bookmarkEnd w:id="5"/>
    </w:p>
    <w:p w14:paraId="3E3EB307" w14:textId="77777777" w:rsidR="00814265" w:rsidRPr="00785A38" w:rsidRDefault="00814265" w:rsidP="00814265">
      <w:pPr>
        <w:pStyle w:val="Title"/>
        <w:jc w:val="both"/>
      </w:pPr>
    </w:p>
    <w:p w14:paraId="0666F21B" w14:textId="77777777" w:rsidR="00814265" w:rsidRPr="00785A38" w:rsidRDefault="00814265" w:rsidP="00814265">
      <w:pPr>
        <w:pStyle w:val="Title"/>
        <w:jc w:val="both"/>
      </w:pPr>
    </w:p>
    <w:p w14:paraId="3662B220" w14:textId="77777777" w:rsidR="00814265" w:rsidRPr="00785A38" w:rsidRDefault="00814265" w:rsidP="00814265">
      <w:pPr>
        <w:pStyle w:val="Title"/>
        <w:jc w:val="both"/>
      </w:pPr>
    </w:p>
    <w:p w14:paraId="035857EF" w14:textId="77777777" w:rsidR="00814265" w:rsidRPr="00785A38" w:rsidRDefault="00814265" w:rsidP="00814265">
      <w:pPr>
        <w:pStyle w:val="Title"/>
        <w:jc w:val="both"/>
      </w:pPr>
    </w:p>
    <w:p w14:paraId="6F322B49" w14:textId="77777777" w:rsidR="00814265" w:rsidRPr="00785A38" w:rsidRDefault="00814265" w:rsidP="00814265">
      <w:pPr>
        <w:pStyle w:val="Title"/>
        <w:jc w:val="both"/>
      </w:pPr>
    </w:p>
    <w:p w14:paraId="72B389F3" w14:textId="77777777" w:rsidR="00814265" w:rsidRPr="007310D8" w:rsidRDefault="00814265" w:rsidP="00814265">
      <w:pPr>
        <w:pStyle w:val="Title"/>
        <w:jc w:val="left"/>
        <w:rPr>
          <w:rFonts w:ascii="Arial" w:hAnsi="Arial" w:cs="Arial"/>
          <w:b w:val="0"/>
          <w:sz w:val="40"/>
        </w:rPr>
      </w:pPr>
      <w:r w:rsidRPr="007310D8">
        <w:rPr>
          <w:rFonts w:ascii="Arial" w:hAnsi="Arial" w:cs="Arial"/>
          <w:b w:val="0"/>
          <w:sz w:val="40"/>
        </w:rPr>
        <w:t>Towards a sustainable, participatory and inclusive wild meat</w:t>
      </w:r>
      <w:r>
        <w:rPr>
          <w:rFonts w:ascii="Arial" w:hAnsi="Arial" w:cs="Arial"/>
          <w:b w:val="0"/>
          <w:sz w:val="40"/>
        </w:rPr>
        <w:t xml:space="preserve"> </w:t>
      </w:r>
      <w:r w:rsidRPr="007310D8">
        <w:rPr>
          <w:rFonts w:ascii="Arial" w:hAnsi="Arial" w:cs="Arial"/>
          <w:b w:val="0"/>
          <w:sz w:val="40"/>
        </w:rPr>
        <w:t>sector</w:t>
      </w:r>
    </w:p>
    <w:p w14:paraId="6CC027FC" w14:textId="77777777" w:rsidR="00814265" w:rsidRDefault="00814265" w:rsidP="00814265">
      <w:pPr>
        <w:autoSpaceDE w:val="0"/>
        <w:autoSpaceDN w:val="0"/>
        <w:adjustRightInd w:val="0"/>
        <w:spacing w:after="0"/>
        <w:jc w:val="both"/>
        <w:rPr>
          <w:color w:val="000000" w:themeColor="text1"/>
        </w:rPr>
      </w:pPr>
    </w:p>
    <w:p w14:paraId="22CAE05D" w14:textId="77777777" w:rsidR="00814265" w:rsidRDefault="00814265" w:rsidP="00814265">
      <w:pPr>
        <w:autoSpaceDE w:val="0"/>
        <w:autoSpaceDN w:val="0"/>
        <w:adjustRightInd w:val="0"/>
        <w:spacing w:after="0"/>
        <w:jc w:val="both"/>
        <w:rPr>
          <w:color w:val="000000" w:themeColor="text1"/>
        </w:rPr>
      </w:pPr>
    </w:p>
    <w:p w14:paraId="5C0E2653" w14:textId="77777777" w:rsidR="00814265" w:rsidRPr="005D5C5F" w:rsidRDefault="00814265" w:rsidP="00814265">
      <w:pPr>
        <w:autoSpaceDE w:val="0"/>
        <w:autoSpaceDN w:val="0"/>
        <w:adjustRightInd w:val="0"/>
        <w:spacing w:after="0"/>
        <w:jc w:val="both"/>
        <w:rPr>
          <w:rFonts w:ascii="Arial" w:hAnsi="Arial" w:cs="Arial"/>
          <w:b/>
          <w:color w:val="000000" w:themeColor="text1"/>
          <w:sz w:val="20"/>
          <w:szCs w:val="20"/>
        </w:rPr>
      </w:pPr>
      <w:r w:rsidRPr="005D5C5F">
        <w:rPr>
          <w:rFonts w:ascii="Arial" w:hAnsi="Arial" w:cs="Arial"/>
          <w:b/>
          <w:color w:val="000000" w:themeColor="text1"/>
          <w:sz w:val="20"/>
          <w:szCs w:val="20"/>
        </w:rPr>
        <w:t xml:space="preserve">Lauren Coad </w:t>
      </w:r>
    </w:p>
    <w:p w14:paraId="25E1367D" w14:textId="77777777" w:rsidR="00814265" w:rsidRPr="00014B30" w:rsidRDefault="00814265" w:rsidP="00814265">
      <w:pPr>
        <w:autoSpaceDE w:val="0"/>
        <w:autoSpaceDN w:val="0"/>
        <w:adjustRightInd w:val="0"/>
        <w:spacing w:after="0"/>
        <w:jc w:val="both"/>
        <w:rPr>
          <w:rFonts w:ascii="Arial" w:hAnsi="Arial" w:cs="Arial"/>
          <w:color w:val="000000" w:themeColor="text1"/>
          <w:sz w:val="18"/>
          <w:szCs w:val="20"/>
        </w:rPr>
      </w:pPr>
      <w:r w:rsidRPr="00014B30">
        <w:rPr>
          <w:rFonts w:ascii="Arial" w:hAnsi="Arial" w:cs="Arial"/>
          <w:color w:val="000000" w:themeColor="text1"/>
          <w:sz w:val="18"/>
          <w:szCs w:val="20"/>
        </w:rPr>
        <w:t>Center for International Forestry Research (CIFOR)/ UN Environment World Conservation Monitoring Centre (WCMC)</w:t>
      </w:r>
    </w:p>
    <w:p w14:paraId="4BF4284F" w14:textId="77777777" w:rsidR="00814265" w:rsidRPr="00014B30" w:rsidRDefault="00814265" w:rsidP="00814265">
      <w:pPr>
        <w:autoSpaceDE w:val="0"/>
        <w:autoSpaceDN w:val="0"/>
        <w:adjustRightInd w:val="0"/>
        <w:spacing w:after="0"/>
        <w:jc w:val="both"/>
        <w:rPr>
          <w:rFonts w:ascii="Arial" w:hAnsi="Arial" w:cs="Arial"/>
          <w:color w:val="000000" w:themeColor="text1"/>
          <w:sz w:val="20"/>
          <w:szCs w:val="20"/>
        </w:rPr>
      </w:pPr>
    </w:p>
    <w:p w14:paraId="70BB42CD" w14:textId="77777777" w:rsidR="00814265" w:rsidRPr="005D5C5F" w:rsidRDefault="00814265" w:rsidP="00814265">
      <w:pPr>
        <w:autoSpaceDE w:val="0"/>
        <w:autoSpaceDN w:val="0"/>
        <w:adjustRightInd w:val="0"/>
        <w:spacing w:after="0"/>
        <w:jc w:val="both"/>
        <w:rPr>
          <w:rFonts w:ascii="Arial" w:hAnsi="Arial" w:cs="Arial"/>
          <w:b/>
          <w:color w:val="000000" w:themeColor="text1"/>
          <w:sz w:val="20"/>
          <w:szCs w:val="20"/>
        </w:rPr>
      </w:pPr>
      <w:r w:rsidRPr="005D5C5F">
        <w:rPr>
          <w:rFonts w:ascii="Arial" w:hAnsi="Arial" w:cs="Arial"/>
          <w:b/>
          <w:color w:val="000000" w:themeColor="text1"/>
          <w:sz w:val="20"/>
          <w:szCs w:val="20"/>
        </w:rPr>
        <w:t xml:space="preserve">John E. Fa </w:t>
      </w:r>
    </w:p>
    <w:p w14:paraId="5AFEA616" w14:textId="77777777" w:rsidR="00814265" w:rsidRPr="00014B30" w:rsidRDefault="00814265" w:rsidP="00814265">
      <w:pPr>
        <w:autoSpaceDE w:val="0"/>
        <w:autoSpaceDN w:val="0"/>
        <w:adjustRightInd w:val="0"/>
        <w:spacing w:after="0"/>
        <w:jc w:val="both"/>
        <w:rPr>
          <w:rFonts w:ascii="Arial" w:hAnsi="Arial" w:cs="Arial"/>
          <w:color w:val="000000" w:themeColor="text1"/>
          <w:sz w:val="18"/>
          <w:szCs w:val="20"/>
        </w:rPr>
      </w:pPr>
      <w:r w:rsidRPr="00014B30">
        <w:rPr>
          <w:rFonts w:ascii="Arial" w:hAnsi="Arial" w:cs="Arial"/>
          <w:color w:val="000000" w:themeColor="text1"/>
          <w:sz w:val="18"/>
          <w:szCs w:val="20"/>
        </w:rPr>
        <w:t>Center for International Forestry Research (CIFOR)/</w:t>
      </w:r>
      <w:r w:rsidRPr="00014B30">
        <w:rPr>
          <w:rFonts w:ascii="Arial" w:hAnsi="Arial" w:cs="Arial"/>
          <w:sz w:val="18"/>
          <w:szCs w:val="20"/>
        </w:rPr>
        <w:t xml:space="preserve"> School of Science and the Environment</w:t>
      </w:r>
      <w:r w:rsidRPr="00014B30">
        <w:rPr>
          <w:rFonts w:ascii="Arial" w:hAnsi="Arial" w:cs="Arial"/>
          <w:color w:val="000000" w:themeColor="text1"/>
          <w:sz w:val="18"/>
          <w:szCs w:val="20"/>
        </w:rPr>
        <w:t>, Manchester Metropolitan University (MMU)</w:t>
      </w:r>
    </w:p>
    <w:p w14:paraId="76367E51" w14:textId="77777777" w:rsidR="00814265" w:rsidRPr="00014B30" w:rsidRDefault="00814265" w:rsidP="00814265">
      <w:pPr>
        <w:autoSpaceDE w:val="0"/>
        <w:autoSpaceDN w:val="0"/>
        <w:adjustRightInd w:val="0"/>
        <w:spacing w:after="0"/>
        <w:jc w:val="both"/>
        <w:rPr>
          <w:rFonts w:ascii="Arial" w:hAnsi="Arial" w:cs="Arial"/>
          <w:color w:val="000000" w:themeColor="text1"/>
          <w:sz w:val="20"/>
          <w:szCs w:val="20"/>
        </w:rPr>
      </w:pPr>
    </w:p>
    <w:p w14:paraId="2398F1F2" w14:textId="77777777" w:rsidR="00814265" w:rsidRPr="005D5C5F" w:rsidRDefault="00814265" w:rsidP="00814265">
      <w:pPr>
        <w:autoSpaceDE w:val="0"/>
        <w:autoSpaceDN w:val="0"/>
        <w:adjustRightInd w:val="0"/>
        <w:spacing w:after="0"/>
        <w:jc w:val="both"/>
        <w:rPr>
          <w:rFonts w:ascii="Arial" w:hAnsi="Arial" w:cs="Arial"/>
          <w:b/>
          <w:color w:val="000000" w:themeColor="text1"/>
          <w:sz w:val="20"/>
          <w:szCs w:val="20"/>
        </w:rPr>
      </w:pPr>
      <w:r w:rsidRPr="005D5C5F">
        <w:rPr>
          <w:rFonts w:ascii="Arial" w:hAnsi="Arial" w:cs="Arial"/>
          <w:b/>
          <w:color w:val="000000" w:themeColor="text1"/>
          <w:sz w:val="20"/>
          <w:szCs w:val="20"/>
        </w:rPr>
        <w:t>Katharine Abernethy</w:t>
      </w:r>
    </w:p>
    <w:p w14:paraId="3D86A8F5" w14:textId="77777777" w:rsidR="00814265" w:rsidRPr="00014B30" w:rsidRDefault="00814265" w:rsidP="00814265">
      <w:pPr>
        <w:autoSpaceDE w:val="0"/>
        <w:autoSpaceDN w:val="0"/>
        <w:adjustRightInd w:val="0"/>
        <w:spacing w:after="0"/>
        <w:jc w:val="both"/>
        <w:rPr>
          <w:rFonts w:ascii="Arial" w:hAnsi="Arial" w:cs="Arial"/>
          <w:sz w:val="18"/>
          <w:szCs w:val="20"/>
        </w:rPr>
      </w:pPr>
      <w:r w:rsidRPr="00014B30">
        <w:rPr>
          <w:rFonts w:ascii="Arial" w:hAnsi="Arial" w:cs="Arial"/>
          <w:sz w:val="18"/>
          <w:szCs w:val="20"/>
        </w:rPr>
        <w:t>Biological and Environmental Sciences, Faculty of Natural Sciences - University of Stirling</w:t>
      </w:r>
    </w:p>
    <w:p w14:paraId="720C82E3" w14:textId="77777777" w:rsidR="00814265" w:rsidRPr="00014B30" w:rsidRDefault="00814265" w:rsidP="00814265">
      <w:pPr>
        <w:autoSpaceDE w:val="0"/>
        <w:autoSpaceDN w:val="0"/>
        <w:adjustRightInd w:val="0"/>
        <w:spacing w:after="0"/>
        <w:jc w:val="both"/>
        <w:rPr>
          <w:rFonts w:ascii="Arial" w:hAnsi="Arial" w:cs="Arial"/>
          <w:color w:val="000000" w:themeColor="text1"/>
          <w:sz w:val="20"/>
          <w:szCs w:val="20"/>
        </w:rPr>
      </w:pPr>
    </w:p>
    <w:p w14:paraId="65062E08" w14:textId="77777777" w:rsidR="00814265" w:rsidRPr="005D5C5F" w:rsidRDefault="00814265" w:rsidP="00814265">
      <w:pPr>
        <w:autoSpaceDE w:val="0"/>
        <w:autoSpaceDN w:val="0"/>
        <w:adjustRightInd w:val="0"/>
        <w:spacing w:after="0"/>
        <w:jc w:val="both"/>
        <w:rPr>
          <w:rFonts w:ascii="Arial" w:hAnsi="Arial" w:cs="Arial"/>
          <w:b/>
          <w:color w:val="000000" w:themeColor="text1"/>
          <w:sz w:val="20"/>
          <w:szCs w:val="20"/>
        </w:rPr>
      </w:pPr>
      <w:r w:rsidRPr="005D5C5F">
        <w:rPr>
          <w:rFonts w:ascii="Arial" w:hAnsi="Arial" w:cs="Arial"/>
          <w:b/>
          <w:color w:val="000000" w:themeColor="text1"/>
          <w:sz w:val="20"/>
          <w:szCs w:val="20"/>
        </w:rPr>
        <w:t xml:space="preserve">Nathalie Van Vliet </w:t>
      </w:r>
    </w:p>
    <w:p w14:paraId="3920D494" w14:textId="77777777" w:rsidR="00814265" w:rsidRPr="00014B30" w:rsidRDefault="00814265" w:rsidP="00814265">
      <w:pPr>
        <w:autoSpaceDE w:val="0"/>
        <w:autoSpaceDN w:val="0"/>
        <w:adjustRightInd w:val="0"/>
        <w:spacing w:after="0"/>
        <w:jc w:val="both"/>
        <w:rPr>
          <w:rFonts w:ascii="Arial" w:hAnsi="Arial" w:cs="Arial"/>
          <w:color w:val="000000" w:themeColor="text1"/>
          <w:sz w:val="18"/>
          <w:szCs w:val="20"/>
        </w:rPr>
      </w:pPr>
      <w:r w:rsidRPr="00014B30">
        <w:rPr>
          <w:rFonts w:ascii="Arial" w:hAnsi="Arial" w:cs="Arial"/>
          <w:color w:val="000000" w:themeColor="text1"/>
          <w:sz w:val="18"/>
          <w:szCs w:val="20"/>
        </w:rPr>
        <w:t>Center for International Forestry Research (CIFOR)</w:t>
      </w:r>
    </w:p>
    <w:p w14:paraId="3B880C48" w14:textId="77777777" w:rsidR="00814265" w:rsidRPr="00014B30" w:rsidRDefault="00814265" w:rsidP="00814265">
      <w:pPr>
        <w:autoSpaceDE w:val="0"/>
        <w:autoSpaceDN w:val="0"/>
        <w:adjustRightInd w:val="0"/>
        <w:spacing w:after="0"/>
        <w:jc w:val="both"/>
        <w:rPr>
          <w:rFonts w:ascii="Arial" w:hAnsi="Arial" w:cs="Arial"/>
          <w:color w:val="000000" w:themeColor="text1"/>
          <w:sz w:val="20"/>
          <w:szCs w:val="20"/>
        </w:rPr>
      </w:pPr>
    </w:p>
    <w:p w14:paraId="6D4BE9D0" w14:textId="77777777" w:rsidR="00814265" w:rsidRPr="005D5C5F" w:rsidRDefault="00814265" w:rsidP="00814265">
      <w:pPr>
        <w:autoSpaceDE w:val="0"/>
        <w:autoSpaceDN w:val="0"/>
        <w:adjustRightInd w:val="0"/>
        <w:spacing w:after="0"/>
        <w:jc w:val="both"/>
        <w:rPr>
          <w:rFonts w:ascii="Arial" w:hAnsi="Arial" w:cs="Arial"/>
          <w:b/>
          <w:color w:val="000000" w:themeColor="text1"/>
          <w:sz w:val="20"/>
          <w:szCs w:val="20"/>
        </w:rPr>
      </w:pPr>
      <w:r w:rsidRPr="005D5C5F">
        <w:rPr>
          <w:rFonts w:ascii="Arial" w:hAnsi="Arial" w:cs="Arial"/>
          <w:b/>
          <w:color w:val="000000" w:themeColor="text1"/>
          <w:sz w:val="20"/>
          <w:szCs w:val="20"/>
        </w:rPr>
        <w:t xml:space="preserve">Catalina Santamaria </w:t>
      </w:r>
    </w:p>
    <w:p w14:paraId="1455D198" w14:textId="77777777" w:rsidR="00814265" w:rsidRPr="00014B30" w:rsidRDefault="00814265" w:rsidP="00814265">
      <w:pPr>
        <w:autoSpaceDE w:val="0"/>
        <w:autoSpaceDN w:val="0"/>
        <w:adjustRightInd w:val="0"/>
        <w:spacing w:after="0"/>
        <w:jc w:val="both"/>
        <w:rPr>
          <w:rFonts w:ascii="Arial" w:hAnsi="Arial" w:cs="Arial"/>
          <w:color w:val="000000" w:themeColor="text1"/>
          <w:sz w:val="18"/>
          <w:szCs w:val="20"/>
        </w:rPr>
      </w:pPr>
      <w:r w:rsidRPr="00014B30">
        <w:rPr>
          <w:rFonts w:ascii="Arial" w:hAnsi="Arial" w:cs="Arial"/>
          <w:color w:val="000000" w:themeColor="text1"/>
          <w:sz w:val="18"/>
          <w:szCs w:val="20"/>
        </w:rPr>
        <w:t>Secretariat of the Convention on Biological Diversity (CBD)</w:t>
      </w:r>
    </w:p>
    <w:p w14:paraId="3B565F9A" w14:textId="77777777" w:rsidR="00814265" w:rsidRPr="00014B30" w:rsidRDefault="00814265" w:rsidP="00814265">
      <w:pPr>
        <w:autoSpaceDE w:val="0"/>
        <w:autoSpaceDN w:val="0"/>
        <w:adjustRightInd w:val="0"/>
        <w:spacing w:after="0"/>
        <w:jc w:val="both"/>
        <w:rPr>
          <w:rFonts w:ascii="Arial" w:hAnsi="Arial" w:cs="Arial"/>
          <w:color w:val="000000" w:themeColor="text1"/>
          <w:sz w:val="20"/>
          <w:szCs w:val="20"/>
        </w:rPr>
      </w:pPr>
    </w:p>
    <w:p w14:paraId="7B9E774D" w14:textId="77777777" w:rsidR="00814265" w:rsidRPr="005D5C5F" w:rsidRDefault="00814265" w:rsidP="00814265">
      <w:pPr>
        <w:autoSpaceDE w:val="0"/>
        <w:autoSpaceDN w:val="0"/>
        <w:adjustRightInd w:val="0"/>
        <w:spacing w:after="0"/>
        <w:jc w:val="both"/>
        <w:rPr>
          <w:rFonts w:ascii="Arial" w:hAnsi="Arial" w:cs="Arial"/>
          <w:b/>
          <w:color w:val="000000" w:themeColor="text1"/>
          <w:sz w:val="20"/>
          <w:szCs w:val="20"/>
        </w:rPr>
      </w:pPr>
      <w:r w:rsidRPr="005D5C5F">
        <w:rPr>
          <w:rFonts w:ascii="Arial" w:hAnsi="Arial" w:cs="Arial"/>
          <w:b/>
          <w:color w:val="000000" w:themeColor="text1"/>
          <w:sz w:val="20"/>
          <w:szCs w:val="20"/>
        </w:rPr>
        <w:t xml:space="preserve">David Wilkie </w:t>
      </w:r>
    </w:p>
    <w:p w14:paraId="0953B572" w14:textId="77777777" w:rsidR="00814265" w:rsidRPr="00014B30" w:rsidRDefault="00814265" w:rsidP="00814265">
      <w:pPr>
        <w:autoSpaceDE w:val="0"/>
        <w:autoSpaceDN w:val="0"/>
        <w:adjustRightInd w:val="0"/>
        <w:spacing w:after="0"/>
        <w:jc w:val="both"/>
        <w:rPr>
          <w:rFonts w:ascii="Arial" w:hAnsi="Arial" w:cs="Arial"/>
          <w:color w:val="000000" w:themeColor="text1"/>
          <w:sz w:val="18"/>
          <w:szCs w:val="20"/>
        </w:rPr>
      </w:pPr>
      <w:r w:rsidRPr="00014B30">
        <w:rPr>
          <w:rFonts w:ascii="Arial" w:hAnsi="Arial" w:cs="Arial"/>
          <w:color w:val="000000" w:themeColor="text1"/>
          <w:sz w:val="18"/>
          <w:szCs w:val="20"/>
        </w:rPr>
        <w:t>Wildlife Conservation Society (WCS)</w:t>
      </w:r>
    </w:p>
    <w:p w14:paraId="6B647C40" w14:textId="77777777" w:rsidR="00814265" w:rsidRPr="00014B30" w:rsidRDefault="00814265" w:rsidP="00814265">
      <w:pPr>
        <w:autoSpaceDE w:val="0"/>
        <w:autoSpaceDN w:val="0"/>
        <w:adjustRightInd w:val="0"/>
        <w:spacing w:after="0"/>
        <w:jc w:val="both"/>
        <w:rPr>
          <w:rFonts w:ascii="Arial" w:hAnsi="Arial" w:cs="Arial"/>
          <w:color w:val="000000" w:themeColor="text1"/>
          <w:sz w:val="20"/>
          <w:szCs w:val="20"/>
        </w:rPr>
      </w:pPr>
    </w:p>
    <w:p w14:paraId="08FF990A" w14:textId="77777777" w:rsidR="00814265" w:rsidRPr="00814265" w:rsidRDefault="00814265" w:rsidP="00814265">
      <w:pPr>
        <w:autoSpaceDE w:val="0"/>
        <w:autoSpaceDN w:val="0"/>
        <w:adjustRightInd w:val="0"/>
        <w:spacing w:after="0"/>
        <w:jc w:val="both"/>
        <w:rPr>
          <w:rFonts w:ascii="Arial" w:hAnsi="Arial" w:cs="Arial"/>
          <w:b/>
          <w:sz w:val="20"/>
          <w:szCs w:val="20"/>
          <w:lang w:val="pt-BR"/>
        </w:rPr>
      </w:pPr>
      <w:r w:rsidRPr="00814265">
        <w:rPr>
          <w:rFonts w:ascii="Arial" w:hAnsi="Arial" w:cs="Arial"/>
          <w:b/>
          <w:sz w:val="20"/>
          <w:szCs w:val="20"/>
          <w:lang w:val="pt-BR"/>
        </w:rPr>
        <w:t xml:space="preserve">Hani R. El Bizri </w:t>
      </w:r>
    </w:p>
    <w:p w14:paraId="509EDCCA" w14:textId="77777777" w:rsidR="00814265" w:rsidRPr="00814265" w:rsidRDefault="00814265" w:rsidP="00814265">
      <w:pPr>
        <w:autoSpaceDE w:val="0"/>
        <w:autoSpaceDN w:val="0"/>
        <w:adjustRightInd w:val="0"/>
        <w:spacing w:after="0"/>
        <w:jc w:val="both"/>
        <w:rPr>
          <w:rFonts w:ascii="Arial" w:hAnsi="Arial" w:cs="Arial"/>
          <w:color w:val="000000" w:themeColor="text1"/>
          <w:sz w:val="18"/>
          <w:szCs w:val="20"/>
          <w:lang w:val="pt-BR"/>
        </w:rPr>
      </w:pPr>
      <w:r w:rsidRPr="00814265">
        <w:rPr>
          <w:rFonts w:ascii="Arial" w:hAnsi="Arial" w:cs="Arial"/>
          <w:sz w:val="18"/>
          <w:szCs w:val="20"/>
          <w:lang w:val="pt-BR"/>
        </w:rPr>
        <w:t>School of Science and the Environment</w:t>
      </w:r>
      <w:r w:rsidRPr="00814265">
        <w:rPr>
          <w:rFonts w:ascii="Arial" w:hAnsi="Arial" w:cs="Arial"/>
          <w:color w:val="000000" w:themeColor="text1"/>
          <w:sz w:val="18"/>
          <w:szCs w:val="20"/>
          <w:lang w:val="pt-BR"/>
        </w:rPr>
        <w:t xml:space="preserve"> - Manchester Metropolitan University (MMU)/</w:t>
      </w:r>
      <w:r w:rsidRPr="00814265">
        <w:rPr>
          <w:lang w:val="pt-BR"/>
        </w:rPr>
        <w:t xml:space="preserve"> </w:t>
      </w:r>
      <w:r w:rsidRPr="00814265">
        <w:rPr>
          <w:rFonts w:ascii="Arial" w:hAnsi="Arial" w:cs="Arial"/>
          <w:color w:val="000000" w:themeColor="text1"/>
          <w:sz w:val="18"/>
          <w:szCs w:val="20"/>
          <w:lang w:val="pt-BR"/>
        </w:rPr>
        <w:t>Grupo de Pesquisa em Ecologia de Vertebrados Terrestres, Instituto de Desenvolvimento Sustentável Mamirauá (IDSM)</w:t>
      </w:r>
    </w:p>
    <w:p w14:paraId="79890826" w14:textId="77777777" w:rsidR="00814265" w:rsidRPr="00814265" w:rsidRDefault="00814265" w:rsidP="00814265">
      <w:pPr>
        <w:autoSpaceDE w:val="0"/>
        <w:autoSpaceDN w:val="0"/>
        <w:adjustRightInd w:val="0"/>
        <w:spacing w:after="0"/>
        <w:jc w:val="both"/>
        <w:rPr>
          <w:rFonts w:ascii="Arial" w:hAnsi="Arial" w:cs="Arial"/>
          <w:sz w:val="20"/>
          <w:szCs w:val="20"/>
          <w:lang w:val="pt-BR"/>
        </w:rPr>
      </w:pPr>
    </w:p>
    <w:p w14:paraId="190A80AF" w14:textId="77777777" w:rsidR="00814265" w:rsidRPr="005D5C5F" w:rsidRDefault="00814265" w:rsidP="00814265">
      <w:pPr>
        <w:autoSpaceDE w:val="0"/>
        <w:autoSpaceDN w:val="0"/>
        <w:adjustRightInd w:val="0"/>
        <w:spacing w:after="0"/>
        <w:jc w:val="both"/>
        <w:rPr>
          <w:rFonts w:ascii="Arial" w:hAnsi="Arial" w:cs="Arial"/>
          <w:b/>
          <w:color w:val="000000" w:themeColor="text1"/>
          <w:sz w:val="20"/>
          <w:szCs w:val="20"/>
        </w:rPr>
      </w:pPr>
      <w:r w:rsidRPr="005D5C5F">
        <w:rPr>
          <w:rFonts w:ascii="Arial" w:hAnsi="Arial" w:cs="Arial"/>
          <w:b/>
          <w:color w:val="000000" w:themeColor="text1"/>
          <w:sz w:val="20"/>
          <w:szCs w:val="20"/>
        </w:rPr>
        <w:t>Daniel J. Ingram</w:t>
      </w:r>
    </w:p>
    <w:p w14:paraId="42F77C30" w14:textId="77777777" w:rsidR="00814265" w:rsidRDefault="00814265" w:rsidP="00814265">
      <w:pPr>
        <w:autoSpaceDE w:val="0"/>
        <w:autoSpaceDN w:val="0"/>
        <w:adjustRightInd w:val="0"/>
        <w:spacing w:after="0"/>
        <w:jc w:val="both"/>
        <w:rPr>
          <w:rFonts w:ascii="Arial" w:hAnsi="Arial" w:cs="Arial"/>
          <w:sz w:val="18"/>
          <w:szCs w:val="20"/>
        </w:rPr>
      </w:pPr>
      <w:r w:rsidRPr="00B2630D">
        <w:rPr>
          <w:rFonts w:ascii="Arial" w:hAnsi="Arial" w:cs="Arial"/>
          <w:sz w:val="18"/>
          <w:szCs w:val="20"/>
        </w:rPr>
        <w:t xml:space="preserve">Centre for Biodiversity and Environment Research, Department of Genetics, Evolution and Environment, University College London (UCL) </w:t>
      </w:r>
    </w:p>
    <w:p w14:paraId="2B640346" w14:textId="77777777" w:rsidR="00814265" w:rsidRPr="00B2630D" w:rsidRDefault="00814265" w:rsidP="00814265">
      <w:pPr>
        <w:autoSpaceDE w:val="0"/>
        <w:autoSpaceDN w:val="0"/>
        <w:adjustRightInd w:val="0"/>
        <w:spacing w:after="0"/>
        <w:jc w:val="both"/>
        <w:rPr>
          <w:rFonts w:ascii="Arial" w:hAnsi="Arial" w:cs="Arial"/>
          <w:sz w:val="18"/>
          <w:szCs w:val="20"/>
        </w:rPr>
      </w:pPr>
    </w:p>
    <w:p w14:paraId="36DE52FF" w14:textId="77777777" w:rsidR="00814265" w:rsidRPr="005D5C5F" w:rsidRDefault="00814265" w:rsidP="00814265">
      <w:pPr>
        <w:autoSpaceDE w:val="0"/>
        <w:autoSpaceDN w:val="0"/>
        <w:adjustRightInd w:val="0"/>
        <w:spacing w:after="0"/>
        <w:jc w:val="both"/>
        <w:rPr>
          <w:rFonts w:ascii="Arial" w:hAnsi="Arial" w:cs="Arial"/>
          <w:b/>
          <w:color w:val="000000" w:themeColor="text1"/>
          <w:sz w:val="20"/>
          <w:szCs w:val="20"/>
        </w:rPr>
      </w:pPr>
      <w:r w:rsidRPr="005D5C5F">
        <w:rPr>
          <w:rFonts w:ascii="Arial" w:hAnsi="Arial" w:cs="Arial"/>
          <w:b/>
          <w:color w:val="000000" w:themeColor="text1"/>
          <w:sz w:val="20"/>
          <w:szCs w:val="20"/>
        </w:rPr>
        <w:t>Donna-Mareè Cawthorn</w:t>
      </w:r>
    </w:p>
    <w:p w14:paraId="0A22CDD1" w14:textId="77777777" w:rsidR="00814265" w:rsidRDefault="00814265" w:rsidP="00814265">
      <w:pPr>
        <w:autoSpaceDE w:val="0"/>
        <w:autoSpaceDN w:val="0"/>
        <w:adjustRightInd w:val="0"/>
        <w:spacing w:after="0"/>
        <w:jc w:val="both"/>
        <w:rPr>
          <w:rFonts w:ascii="Arial" w:hAnsi="Arial" w:cs="Arial"/>
          <w:color w:val="000000" w:themeColor="text1"/>
          <w:sz w:val="20"/>
          <w:szCs w:val="20"/>
        </w:rPr>
      </w:pPr>
      <w:r w:rsidRPr="005D5C5F">
        <w:rPr>
          <w:rFonts w:ascii="Arial" w:hAnsi="Arial" w:cs="Arial"/>
          <w:sz w:val="18"/>
          <w:szCs w:val="20"/>
        </w:rPr>
        <w:t xml:space="preserve">Ecosystems and Environment Research Centre </w:t>
      </w:r>
      <w:r>
        <w:rPr>
          <w:rFonts w:ascii="Arial" w:hAnsi="Arial" w:cs="Arial"/>
          <w:sz w:val="18"/>
          <w:szCs w:val="20"/>
        </w:rPr>
        <w:t xml:space="preserve">- </w:t>
      </w:r>
      <w:r w:rsidRPr="005D5C5F">
        <w:rPr>
          <w:rFonts w:ascii="Arial" w:hAnsi="Arial" w:cs="Arial"/>
          <w:sz w:val="18"/>
          <w:szCs w:val="20"/>
        </w:rPr>
        <w:t>University of Salford</w:t>
      </w:r>
    </w:p>
    <w:p w14:paraId="743E81D8" w14:textId="77777777" w:rsidR="00814265" w:rsidRPr="00014B30" w:rsidRDefault="00814265" w:rsidP="00814265">
      <w:pPr>
        <w:autoSpaceDE w:val="0"/>
        <w:autoSpaceDN w:val="0"/>
        <w:adjustRightInd w:val="0"/>
        <w:spacing w:after="0"/>
        <w:jc w:val="both"/>
        <w:rPr>
          <w:rFonts w:ascii="Arial" w:hAnsi="Arial" w:cs="Arial"/>
          <w:color w:val="000000" w:themeColor="text1"/>
          <w:sz w:val="20"/>
          <w:szCs w:val="20"/>
        </w:rPr>
      </w:pPr>
    </w:p>
    <w:p w14:paraId="1D084125" w14:textId="77777777" w:rsidR="00814265" w:rsidRPr="005D5C5F" w:rsidRDefault="00814265" w:rsidP="00814265">
      <w:pPr>
        <w:autoSpaceDE w:val="0"/>
        <w:autoSpaceDN w:val="0"/>
        <w:adjustRightInd w:val="0"/>
        <w:spacing w:after="0"/>
        <w:jc w:val="both"/>
        <w:rPr>
          <w:rFonts w:ascii="Arial" w:hAnsi="Arial" w:cs="Arial"/>
          <w:b/>
          <w:color w:val="000000" w:themeColor="text1"/>
          <w:sz w:val="20"/>
          <w:szCs w:val="20"/>
        </w:rPr>
      </w:pPr>
      <w:r w:rsidRPr="005D5C5F">
        <w:rPr>
          <w:rFonts w:ascii="Arial" w:hAnsi="Arial" w:cs="Arial"/>
          <w:b/>
          <w:color w:val="000000" w:themeColor="text1"/>
          <w:sz w:val="20"/>
          <w:szCs w:val="20"/>
        </w:rPr>
        <w:t xml:space="preserve">Robert Nasi </w:t>
      </w:r>
    </w:p>
    <w:p w14:paraId="60B7DDB7" w14:textId="77777777" w:rsidR="00814265" w:rsidRPr="00014B30" w:rsidRDefault="00814265" w:rsidP="00814265">
      <w:pPr>
        <w:autoSpaceDE w:val="0"/>
        <w:autoSpaceDN w:val="0"/>
        <w:adjustRightInd w:val="0"/>
        <w:spacing w:after="0"/>
        <w:jc w:val="both"/>
        <w:rPr>
          <w:rFonts w:ascii="Arial" w:hAnsi="Arial" w:cs="Arial"/>
          <w:color w:val="000000" w:themeColor="text1"/>
          <w:sz w:val="20"/>
          <w:szCs w:val="20"/>
        </w:rPr>
      </w:pPr>
      <w:r w:rsidRPr="00014B30">
        <w:rPr>
          <w:rFonts w:ascii="Arial" w:hAnsi="Arial" w:cs="Arial"/>
          <w:color w:val="000000" w:themeColor="text1"/>
          <w:sz w:val="20"/>
          <w:szCs w:val="20"/>
        </w:rPr>
        <w:t>Center for International Forestry Research (CIFOR)</w:t>
      </w:r>
    </w:p>
    <w:p w14:paraId="08C194F1" w14:textId="77777777" w:rsidR="00814265" w:rsidRDefault="00814265" w:rsidP="00814265">
      <w:pPr>
        <w:jc w:val="both"/>
        <w:rPr>
          <w:rFonts w:eastAsiaTheme="minorHAnsi"/>
          <w:b/>
        </w:rPr>
      </w:pPr>
    </w:p>
    <w:p w14:paraId="057BA4C4" w14:textId="77777777" w:rsidR="00814265" w:rsidRDefault="00814265" w:rsidP="00814265">
      <w:pPr>
        <w:jc w:val="both"/>
        <w:rPr>
          <w:rFonts w:eastAsiaTheme="minorHAnsi"/>
          <w:b/>
        </w:rPr>
      </w:pPr>
    </w:p>
    <w:p w14:paraId="736CA40E" w14:textId="77777777" w:rsidR="00814265" w:rsidRDefault="00814265" w:rsidP="00814265">
      <w:pPr>
        <w:jc w:val="both"/>
        <w:rPr>
          <w:rFonts w:eastAsiaTheme="minorHAnsi"/>
          <w:b/>
        </w:rPr>
      </w:pPr>
    </w:p>
    <w:p w14:paraId="29DE9769" w14:textId="77777777" w:rsidR="00814265" w:rsidRDefault="00814265" w:rsidP="00814265">
      <w:pPr>
        <w:jc w:val="both"/>
        <w:rPr>
          <w:rFonts w:eastAsiaTheme="minorHAnsi"/>
          <w:b/>
        </w:rPr>
      </w:pPr>
    </w:p>
    <w:p w14:paraId="5B636764" w14:textId="77777777" w:rsidR="00814265" w:rsidRDefault="00814265" w:rsidP="00814265">
      <w:pPr>
        <w:jc w:val="both"/>
        <w:rPr>
          <w:rFonts w:eastAsiaTheme="minorHAnsi"/>
          <w:b/>
        </w:rPr>
      </w:pPr>
    </w:p>
    <w:p w14:paraId="0F8255C7" w14:textId="77777777" w:rsidR="00814265" w:rsidRDefault="00814265" w:rsidP="00814265">
      <w:pPr>
        <w:rPr>
          <w:b/>
          <w:color w:val="000000" w:themeColor="text1"/>
        </w:rPr>
      </w:pPr>
      <w:r>
        <w:rPr>
          <w:b/>
          <w:color w:val="000000" w:themeColor="text1"/>
        </w:rPr>
        <w:lastRenderedPageBreak/>
        <w:t>Author Affiliations</w:t>
      </w:r>
    </w:p>
    <w:p w14:paraId="16215CBB" w14:textId="77777777" w:rsidR="00814265" w:rsidRPr="00BD6D8C" w:rsidRDefault="00814265" w:rsidP="00814265">
      <w:pPr>
        <w:rPr>
          <w:sz w:val="20"/>
          <w:szCs w:val="20"/>
        </w:rPr>
      </w:pPr>
      <w:r w:rsidRPr="002A6245">
        <w:rPr>
          <w:b/>
          <w:color w:val="000000" w:themeColor="text1"/>
        </w:rPr>
        <w:t>Lauren Coad</w:t>
      </w:r>
      <w:r>
        <w:rPr>
          <w:color w:val="000000" w:themeColor="text1"/>
        </w:rPr>
        <w:t>,</w:t>
      </w:r>
      <w:r w:rsidRPr="00AB6D6C">
        <w:rPr>
          <w:color w:val="000000" w:themeColor="text1"/>
        </w:rPr>
        <w:t xml:space="preserve"> C</w:t>
      </w:r>
      <w:r>
        <w:rPr>
          <w:color w:val="000000" w:themeColor="text1"/>
        </w:rPr>
        <w:t>enter for International Forestry Research (C</w:t>
      </w:r>
      <w:r w:rsidRPr="00AB6D6C">
        <w:rPr>
          <w:color w:val="000000" w:themeColor="text1"/>
        </w:rPr>
        <w:t>IFOR</w:t>
      </w:r>
      <w:r>
        <w:rPr>
          <w:color w:val="000000" w:themeColor="text1"/>
        </w:rPr>
        <w:t>)</w:t>
      </w:r>
      <w:r w:rsidRPr="00AB6D6C">
        <w:rPr>
          <w:color w:val="000000" w:themeColor="text1"/>
        </w:rPr>
        <w:t>, Jalan CIFOR, Situ Gede, Sindang Barang, Bogor (Barat) 16115, Indonesia/UN Environment World Conservation Monitoring Centre</w:t>
      </w:r>
      <w:r>
        <w:rPr>
          <w:color w:val="000000" w:themeColor="text1"/>
        </w:rPr>
        <w:t xml:space="preserve">, </w:t>
      </w:r>
      <w:r w:rsidRPr="00AB6D6C">
        <w:rPr>
          <w:color w:val="000000" w:themeColor="text1"/>
        </w:rPr>
        <w:t xml:space="preserve">219 Huntingdon Road, Cambridge CB3 0DL, </w:t>
      </w:r>
      <w:r>
        <w:rPr>
          <w:color w:val="000000" w:themeColor="text1"/>
        </w:rPr>
        <w:t>UK</w:t>
      </w:r>
      <w:r w:rsidRPr="00AB6D6C">
        <w:rPr>
          <w:color w:val="000000" w:themeColor="text1"/>
        </w:rPr>
        <w:t>.</w:t>
      </w:r>
      <w:r w:rsidRPr="002A6245">
        <w:t xml:space="preserve"> </w:t>
      </w:r>
      <w:hyperlink r:id="rId16" w:history="1">
        <w:r w:rsidRPr="009A1201">
          <w:rPr>
            <w:rStyle w:val="Hyperlink"/>
            <w:sz w:val="20"/>
            <w:szCs w:val="20"/>
          </w:rPr>
          <w:t>lauren.coad@me.com</w:t>
        </w:r>
      </w:hyperlink>
      <w:r>
        <w:rPr>
          <w:sz w:val="20"/>
          <w:szCs w:val="20"/>
        </w:rPr>
        <w:t xml:space="preserve"> </w:t>
      </w:r>
    </w:p>
    <w:p w14:paraId="18EF3692" w14:textId="77777777" w:rsidR="00814265" w:rsidRPr="00BD6D8C" w:rsidRDefault="00814265" w:rsidP="00814265">
      <w:pPr>
        <w:rPr>
          <w:sz w:val="20"/>
          <w:szCs w:val="20"/>
        </w:rPr>
      </w:pPr>
      <w:r w:rsidRPr="002A6245">
        <w:rPr>
          <w:b/>
          <w:color w:val="000000" w:themeColor="text1"/>
        </w:rPr>
        <w:t>John E. Fa</w:t>
      </w:r>
      <w:r w:rsidRPr="00AB6D6C">
        <w:rPr>
          <w:color w:val="000000" w:themeColor="text1"/>
        </w:rPr>
        <w:t>, C</w:t>
      </w:r>
      <w:r>
        <w:rPr>
          <w:color w:val="000000" w:themeColor="text1"/>
        </w:rPr>
        <w:t>enter for International Forestry Research (C</w:t>
      </w:r>
      <w:r w:rsidRPr="00AB6D6C">
        <w:rPr>
          <w:color w:val="000000" w:themeColor="text1"/>
        </w:rPr>
        <w:t>IFOR</w:t>
      </w:r>
      <w:r>
        <w:rPr>
          <w:color w:val="000000" w:themeColor="text1"/>
        </w:rPr>
        <w:t>)</w:t>
      </w:r>
      <w:r w:rsidRPr="00AB6D6C">
        <w:rPr>
          <w:color w:val="000000" w:themeColor="text1"/>
        </w:rPr>
        <w:t>, Jalan CIFOR, Situ Gede, Sindang Barang, Bogor (Barat) 16115, Indonesia/</w:t>
      </w:r>
      <w:r w:rsidRPr="00AB6D6C">
        <w:t xml:space="preserve">School of Science and the Environment, </w:t>
      </w:r>
      <w:r w:rsidRPr="00AB6D6C">
        <w:rPr>
          <w:color w:val="000000" w:themeColor="text1"/>
        </w:rPr>
        <w:t>John Dalton Building, Manchester Metropolitan University, Chester St, Manchester M1 5GD, United Kingdom.</w:t>
      </w:r>
      <w:r w:rsidRPr="002A6245">
        <w:t xml:space="preserve"> </w:t>
      </w:r>
      <w:hyperlink r:id="rId17" w:history="1">
        <w:r w:rsidRPr="009A1201">
          <w:rPr>
            <w:rStyle w:val="Hyperlink"/>
            <w:sz w:val="20"/>
            <w:szCs w:val="20"/>
          </w:rPr>
          <w:t>jfa949@gmail.com</w:t>
        </w:r>
      </w:hyperlink>
      <w:r>
        <w:rPr>
          <w:sz w:val="20"/>
          <w:szCs w:val="20"/>
        </w:rPr>
        <w:t xml:space="preserve"> </w:t>
      </w:r>
    </w:p>
    <w:p w14:paraId="2C0D4134" w14:textId="77777777" w:rsidR="00814265" w:rsidRPr="00BD6D8C" w:rsidRDefault="00814265" w:rsidP="00814265">
      <w:pPr>
        <w:rPr>
          <w:sz w:val="20"/>
          <w:szCs w:val="20"/>
        </w:rPr>
      </w:pPr>
      <w:r w:rsidRPr="002A6245">
        <w:rPr>
          <w:b/>
          <w:color w:val="000000" w:themeColor="text1"/>
        </w:rPr>
        <w:t>Katharine Abernethy</w:t>
      </w:r>
      <w:r w:rsidRPr="00AB6D6C">
        <w:rPr>
          <w:color w:val="000000" w:themeColor="text1"/>
        </w:rPr>
        <w:t xml:space="preserve">, </w:t>
      </w:r>
      <w:r w:rsidRPr="00AB6D6C">
        <w:t>Biological and Environmental Sciences, Faculty of Natural Sciences, University of Stirling</w:t>
      </w:r>
      <w:r>
        <w:t>,</w:t>
      </w:r>
      <w:r w:rsidRPr="00AB6D6C">
        <w:t xml:space="preserve"> Stirling FK9 4LA, Scotland, UK.</w:t>
      </w:r>
      <w:r w:rsidRPr="002A6245">
        <w:t xml:space="preserve"> </w:t>
      </w:r>
      <w:hyperlink r:id="rId18" w:history="1">
        <w:r w:rsidRPr="009A1201">
          <w:rPr>
            <w:rStyle w:val="Hyperlink"/>
            <w:sz w:val="20"/>
            <w:szCs w:val="20"/>
          </w:rPr>
          <w:t>k.a.abernethy@stir.ac.uk</w:t>
        </w:r>
      </w:hyperlink>
      <w:r>
        <w:rPr>
          <w:sz w:val="20"/>
          <w:szCs w:val="20"/>
        </w:rPr>
        <w:t xml:space="preserve"> </w:t>
      </w:r>
    </w:p>
    <w:p w14:paraId="138B2A48" w14:textId="77777777" w:rsidR="00814265" w:rsidRPr="00BD6D8C" w:rsidRDefault="00814265" w:rsidP="00814265">
      <w:pPr>
        <w:rPr>
          <w:sz w:val="20"/>
          <w:szCs w:val="20"/>
        </w:rPr>
      </w:pPr>
      <w:r w:rsidRPr="002A6245">
        <w:rPr>
          <w:b/>
          <w:color w:val="000000" w:themeColor="text1"/>
        </w:rPr>
        <w:t>Nathalie Van Vliet</w:t>
      </w:r>
      <w:r w:rsidRPr="00AB6D6C">
        <w:rPr>
          <w:color w:val="000000" w:themeColor="text1"/>
        </w:rPr>
        <w:t>, C</w:t>
      </w:r>
      <w:r>
        <w:rPr>
          <w:color w:val="000000" w:themeColor="text1"/>
        </w:rPr>
        <w:t>enter for International Forestry Research (C</w:t>
      </w:r>
      <w:r w:rsidRPr="00AB6D6C">
        <w:rPr>
          <w:color w:val="000000" w:themeColor="text1"/>
        </w:rPr>
        <w:t>IFOR</w:t>
      </w:r>
      <w:r>
        <w:rPr>
          <w:color w:val="000000" w:themeColor="text1"/>
        </w:rPr>
        <w:t>)</w:t>
      </w:r>
      <w:r w:rsidRPr="00AB6D6C">
        <w:rPr>
          <w:color w:val="000000" w:themeColor="text1"/>
        </w:rPr>
        <w:t>,</w:t>
      </w:r>
      <w:r>
        <w:rPr>
          <w:color w:val="000000" w:themeColor="text1"/>
        </w:rPr>
        <w:t xml:space="preserve"> </w:t>
      </w:r>
      <w:r w:rsidRPr="00AB6D6C">
        <w:rPr>
          <w:color w:val="000000" w:themeColor="text1"/>
        </w:rPr>
        <w:t>Jalan CIFOR, Situ Gede, Sindang Barang, Bogor (Barat) 16115, Indonesia.</w:t>
      </w:r>
      <w:r w:rsidRPr="002A6245">
        <w:t xml:space="preserve"> </w:t>
      </w:r>
      <w:hyperlink r:id="rId19" w:history="1">
        <w:r w:rsidRPr="009A1201">
          <w:rPr>
            <w:rStyle w:val="Hyperlink"/>
            <w:sz w:val="20"/>
            <w:szCs w:val="20"/>
          </w:rPr>
          <w:t>vanvlietnathalie@yahoo.com</w:t>
        </w:r>
      </w:hyperlink>
      <w:r>
        <w:rPr>
          <w:sz w:val="20"/>
          <w:szCs w:val="20"/>
        </w:rPr>
        <w:t xml:space="preserve"> </w:t>
      </w:r>
    </w:p>
    <w:p w14:paraId="5CE1BD15" w14:textId="77777777" w:rsidR="00814265" w:rsidRPr="00BD6D8C" w:rsidRDefault="00814265" w:rsidP="00814265">
      <w:pPr>
        <w:rPr>
          <w:sz w:val="20"/>
          <w:szCs w:val="20"/>
        </w:rPr>
      </w:pPr>
      <w:r w:rsidRPr="002A6245">
        <w:rPr>
          <w:b/>
          <w:color w:val="000000" w:themeColor="text1"/>
        </w:rPr>
        <w:t>Catalina Santamaria</w:t>
      </w:r>
      <w:r w:rsidRPr="00AB6D6C">
        <w:rPr>
          <w:color w:val="000000" w:themeColor="text1"/>
        </w:rPr>
        <w:t>, Secretariat of the Convention on Biological Diversity, 413, Saint Jacques Street, Suite 800, Montreal QC H2Y 1N9, Canada.</w:t>
      </w:r>
      <w:r w:rsidRPr="002A6245">
        <w:t xml:space="preserve"> </w:t>
      </w:r>
      <w:hyperlink r:id="rId20" w:history="1">
        <w:r w:rsidRPr="009A1201">
          <w:rPr>
            <w:rStyle w:val="Hyperlink"/>
            <w:sz w:val="20"/>
            <w:szCs w:val="20"/>
          </w:rPr>
          <w:t>catalina.santamaria@cbd.int</w:t>
        </w:r>
      </w:hyperlink>
      <w:r>
        <w:rPr>
          <w:sz w:val="20"/>
          <w:szCs w:val="20"/>
        </w:rPr>
        <w:t xml:space="preserve"> </w:t>
      </w:r>
    </w:p>
    <w:p w14:paraId="5B1FBFEB" w14:textId="77777777" w:rsidR="00814265" w:rsidRPr="002A6245" w:rsidRDefault="00814265" w:rsidP="00814265">
      <w:pPr>
        <w:rPr>
          <w:sz w:val="20"/>
          <w:szCs w:val="20"/>
        </w:rPr>
      </w:pPr>
      <w:r w:rsidRPr="002A6245">
        <w:rPr>
          <w:b/>
          <w:color w:val="000000" w:themeColor="text1"/>
        </w:rPr>
        <w:t>David Wilkie</w:t>
      </w:r>
      <w:r w:rsidRPr="00AB6D6C">
        <w:rPr>
          <w:color w:val="000000" w:themeColor="text1"/>
        </w:rPr>
        <w:t>, Wildlife Conservation Society</w:t>
      </w:r>
      <w:r>
        <w:rPr>
          <w:color w:val="000000" w:themeColor="text1"/>
        </w:rPr>
        <w:t xml:space="preserve"> (WCS)</w:t>
      </w:r>
      <w:r w:rsidRPr="00AB6D6C">
        <w:rPr>
          <w:color w:val="000000" w:themeColor="text1"/>
        </w:rPr>
        <w:t>,</w:t>
      </w:r>
      <w:r w:rsidRPr="00AB6D6C">
        <w:t xml:space="preserve"> </w:t>
      </w:r>
      <w:r w:rsidRPr="00AB6D6C">
        <w:rPr>
          <w:color w:val="000000" w:themeColor="text1"/>
        </w:rPr>
        <w:t>2300 Southern Boulevard, Bronx, New York 10460, USA</w:t>
      </w:r>
      <w:r>
        <w:rPr>
          <w:color w:val="000000" w:themeColor="text1"/>
        </w:rPr>
        <w:t>.</w:t>
      </w:r>
      <w:r w:rsidRPr="00AB6D6C">
        <w:rPr>
          <w:color w:val="000000" w:themeColor="text1"/>
        </w:rPr>
        <w:t xml:space="preserve"> </w:t>
      </w:r>
      <w:hyperlink r:id="rId21" w:history="1">
        <w:r w:rsidRPr="009A1201">
          <w:rPr>
            <w:rStyle w:val="Hyperlink"/>
            <w:sz w:val="20"/>
            <w:szCs w:val="20"/>
          </w:rPr>
          <w:t>dwilkie@wcs.org</w:t>
        </w:r>
      </w:hyperlink>
    </w:p>
    <w:p w14:paraId="6C128CC9" w14:textId="77777777" w:rsidR="00814265" w:rsidRPr="00BD6D8C" w:rsidRDefault="00814265" w:rsidP="00814265">
      <w:pPr>
        <w:rPr>
          <w:sz w:val="20"/>
          <w:szCs w:val="20"/>
        </w:rPr>
      </w:pPr>
      <w:r w:rsidRPr="00814265">
        <w:rPr>
          <w:b/>
          <w:lang w:val="pt-BR"/>
        </w:rPr>
        <w:t>Hani R. El Bizri</w:t>
      </w:r>
      <w:r w:rsidRPr="00814265">
        <w:rPr>
          <w:lang w:val="pt-BR"/>
        </w:rPr>
        <w:t xml:space="preserve">, School of Science and the Environment, John Dalton Building, Manchester Metropolitan University, Chester St, Manchester M1 5GD, UK/Grupo de Pesquisa em Ecologia de Vertebrados Terrestres, Instituto de Desenvolvimento Sustentável Mamirauá (IDSM), Estrada do Bexiga 2584, Fonte Boa, CEP 69553-225, Tefé, Amazonas, Brazil. </w:t>
      </w:r>
      <w:hyperlink r:id="rId22" w:history="1">
        <w:r w:rsidRPr="009A1201">
          <w:rPr>
            <w:rStyle w:val="Hyperlink"/>
            <w:sz w:val="20"/>
            <w:szCs w:val="20"/>
          </w:rPr>
          <w:t>hanibiz@gmail.com</w:t>
        </w:r>
      </w:hyperlink>
      <w:r>
        <w:rPr>
          <w:sz w:val="20"/>
          <w:szCs w:val="20"/>
        </w:rPr>
        <w:t xml:space="preserve"> </w:t>
      </w:r>
    </w:p>
    <w:p w14:paraId="1EAFE2DF" w14:textId="77777777" w:rsidR="00814265" w:rsidRDefault="00814265" w:rsidP="00814265">
      <w:pPr>
        <w:rPr>
          <w:color w:val="000000" w:themeColor="text1"/>
        </w:rPr>
      </w:pPr>
      <w:r w:rsidRPr="002A6245">
        <w:rPr>
          <w:b/>
          <w:color w:val="000000" w:themeColor="text1"/>
        </w:rPr>
        <w:t>Daniel J. Ingram</w:t>
      </w:r>
      <w:r>
        <w:rPr>
          <w:color w:val="000000" w:themeColor="text1"/>
        </w:rPr>
        <w:t xml:space="preserve">, </w:t>
      </w:r>
      <w:r w:rsidRPr="00B14750">
        <w:rPr>
          <w:color w:val="000000" w:themeColor="text1"/>
        </w:rPr>
        <w:t xml:space="preserve">Daniel J. Ingram, Centre for Biodiversity and Environment Research, Department of Genetics, Evolution and Environment, University College London (UCL), Gower Street, London WC1E 6BT, UK. </w:t>
      </w:r>
      <w:hyperlink r:id="rId23" w:history="1">
        <w:r w:rsidRPr="00814265">
          <w:rPr>
            <w:rStyle w:val="Hyperlink"/>
            <w:sz w:val="20"/>
            <w:szCs w:val="20"/>
          </w:rPr>
          <w:t>dan.ingram@ucl.ac.uk</w:t>
        </w:r>
      </w:hyperlink>
    </w:p>
    <w:p w14:paraId="5C9F558F" w14:textId="77777777" w:rsidR="00814265" w:rsidRPr="00BD6D8C" w:rsidRDefault="00814265" w:rsidP="00814265">
      <w:pPr>
        <w:rPr>
          <w:sz w:val="20"/>
          <w:szCs w:val="20"/>
        </w:rPr>
      </w:pPr>
      <w:r w:rsidRPr="002A6245">
        <w:rPr>
          <w:b/>
          <w:color w:val="000000" w:themeColor="text1"/>
        </w:rPr>
        <w:t>Donna-Mareè Cawthorn</w:t>
      </w:r>
      <w:r>
        <w:rPr>
          <w:color w:val="000000" w:themeColor="text1"/>
        </w:rPr>
        <w:t>,</w:t>
      </w:r>
      <w:r w:rsidRPr="00AB6D6C">
        <w:rPr>
          <w:color w:val="000000" w:themeColor="text1"/>
        </w:rPr>
        <w:t xml:space="preserve"> Ecosystems and Environment Research Centre University of Salford</w:t>
      </w:r>
      <w:r>
        <w:rPr>
          <w:color w:val="000000" w:themeColor="text1"/>
        </w:rPr>
        <w:t>,</w:t>
      </w:r>
      <w:r w:rsidRPr="00AB6D6C">
        <w:t xml:space="preserve"> </w:t>
      </w:r>
      <w:r w:rsidRPr="00AB6D6C">
        <w:rPr>
          <w:color w:val="000000" w:themeColor="text1"/>
        </w:rPr>
        <w:t>Maxwell Building, 43 Crescent, Salford M5 4WT, UK</w:t>
      </w:r>
      <w:r>
        <w:rPr>
          <w:color w:val="000000" w:themeColor="text1"/>
        </w:rPr>
        <w:t xml:space="preserve">. </w:t>
      </w:r>
      <w:r w:rsidRPr="00AB6D6C">
        <w:rPr>
          <w:color w:val="000000" w:themeColor="text1"/>
        </w:rPr>
        <w:t xml:space="preserve"> </w:t>
      </w:r>
      <w:hyperlink r:id="rId24" w:history="1">
        <w:r w:rsidRPr="009A1201">
          <w:rPr>
            <w:rStyle w:val="Hyperlink"/>
            <w:sz w:val="20"/>
            <w:szCs w:val="20"/>
          </w:rPr>
          <w:t>cawthorndonna@gmail.com</w:t>
        </w:r>
      </w:hyperlink>
      <w:r>
        <w:rPr>
          <w:sz w:val="20"/>
          <w:szCs w:val="20"/>
        </w:rPr>
        <w:t xml:space="preserve"> </w:t>
      </w:r>
    </w:p>
    <w:p w14:paraId="67A232E7" w14:textId="77777777" w:rsidR="00814265" w:rsidRPr="002A6245" w:rsidRDefault="00814265" w:rsidP="00814265">
      <w:pPr>
        <w:rPr>
          <w:sz w:val="20"/>
          <w:szCs w:val="20"/>
        </w:rPr>
      </w:pPr>
      <w:r w:rsidRPr="002A6245">
        <w:rPr>
          <w:b/>
          <w:color w:val="000000" w:themeColor="text1"/>
        </w:rPr>
        <w:t>Robert Nasi</w:t>
      </w:r>
      <w:r>
        <w:rPr>
          <w:color w:val="000000" w:themeColor="text1"/>
        </w:rPr>
        <w:t>,</w:t>
      </w:r>
      <w:r w:rsidRPr="00AB6D6C">
        <w:rPr>
          <w:color w:val="000000" w:themeColor="text1"/>
        </w:rPr>
        <w:t xml:space="preserve"> C</w:t>
      </w:r>
      <w:r>
        <w:rPr>
          <w:color w:val="000000" w:themeColor="text1"/>
        </w:rPr>
        <w:t>enter for International Forestry Research (C</w:t>
      </w:r>
      <w:r w:rsidRPr="00AB6D6C">
        <w:rPr>
          <w:color w:val="000000" w:themeColor="text1"/>
        </w:rPr>
        <w:t>IFOR</w:t>
      </w:r>
      <w:r>
        <w:rPr>
          <w:color w:val="000000" w:themeColor="text1"/>
        </w:rPr>
        <w:t xml:space="preserve">) </w:t>
      </w:r>
      <w:r w:rsidRPr="00AB6D6C">
        <w:rPr>
          <w:color w:val="000000" w:themeColor="text1"/>
        </w:rPr>
        <w:t>Headquarters, Jalan CIFOR, Situ Gede, Sindang Barang, Bogor (Barat) 16115, Indonesia</w:t>
      </w:r>
      <w:r>
        <w:rPr>
          <w:color w:val="000000" w:themeColor="text1"/>
        </w:rPr>
        <w:t>.</w:t>
      </w:r>
      <w:r w:rsidRPr="002A6245">
        <w:t xml:space="preserve"> </w:t>
      </w:r>
      <w:hyperlink r:id="rId25" w:history="1">
        <w:r w:rsidRPr="009A1201">
          <w:rPr>
            <w:rStyle w:val="Hyperlink"/>
            <w:sz w:val="20"/>
            <w:szCs w:val="20"/>
          </w:rPr>
          <w:t>R.NASI@cgiar.org</w:t>
        </w:r>
      </w:hyperlink>
      <w:r>
        <w:rPr>
          <w:sz w:val="20"/>
          <w:szCs w:val="20"/>
        </w:rPr>
        <w:t xml:space="preserve"> </w:t>
      </w:r>
    </w:p>
    <w:p w14:paraId="5487AD98" w14:textId="77777777" w:rsidR="00814265" w:rsidRDefault="00814265" w:rsidP="00814265">
      <w:pPr>
        <w:jc w:val="both"/>
        <w:rPr>
          <w:rFonts w:eastAsiaTheme="minorHAnsi"/>
          <w:b/>
        </w:rPr>
      </w:pPr>
    </w:p>
    <w:p w14:paraId="741B8CB6" w14:textId="77777777" w:rsidR="00814265" w:rsidRDefault="00814265" w:rsidP="00814265">
      <w:pPr>
        <w:spacing w:after="160" w:line="259" w:lineRule="auto"/>
        <w:rPr>
          <w:rFonts w:eastAsiaTheme="minorHAnsi"/>
          <w:b/>
        </w:rPr>
      </w:pPr>
      <w:r>
        <w:rPr>
          <w:rFonts w:eastAsiaTheme="minorHAnsi"/>
          <w:b/>
        </w:rPr>
        <w:br w:type="page"/>
      </w:r>
    </w:p>
    <w:p w14:paraId="5FF222EB" w14:textId="77777777" w:rsidR="00814265" w:rsidRPr="004D42A7" w:rsidRDefault="00814265" w:rsidP="00814265">
      <w:pPr>
        <w:jc w:val="both"/>
        <w:rPr>
          <w:rFonts w:eastAsiaTheme="minorHAnsi"/>
          <w:b/>
        </w:rPr>
      </w:pPr>
      <w:r w:rsidRPr="004D42A7">
        <w:rPr>
          <w:rFonts w:eastAsiaTheme="minorHAnsi"/>
          <w:b/>
        </w:rPr>
        <w:lastRenderedPageBreak/>
        <w:t>Acknowledgements</w:t>
      </w:r>
    </w:p>
    <w:p w14:paraId="67327480" w14:textId="77777777" w:rsidR="00814265" w:rsidRDefault="00814265" w:rsidP="00814265">
      <w:pPr>
        <w:autoSpaceDE w:val="0"/>
        <w:autoSpaceDN w:val="0"/>
        <w:adjustRightInd w:val="0"/>
        <w:spacing w:after="0"/>
        <w:jc w:val="both"/>
        <w:rPr>
          <w:color w:val="000000" w:themeColor="text1"/>
        </w:rPr>
      </w:pPr>
      <w:r w:rsidRPr="0070404D">
        <w:rPr>
          <w:color w:val="000000" w:themeColor="text1"/>
        </w:rPr>
        <w:t>This report was prepared in response to a call from the Convention on Biological Diversity (CBD) Secretariat and under contract to the Center for International Forestry Research (CIFOR). We thank USAID for additional funding.</w:t>
      </w:r>
      <w:r>
        <w:rPr>
          <w:color w:val="000000" w:themeColor="text1"/>
        </w:rPr>
        <w:t xml:space="preserve"> </w:t>
      </w:r>
      <w:r w:rsidRPr="0070404D">
        <w:rPr>
          <w:color w:val="000000" w:themeColor="text1"/>
        </w:rPr>
        <w:t xml:space="preserve">We thank </w:t>
      </w:r>
      <w:r>
        <w:rPr>
          <w:color w:val="000000" w:themeColor="text1"/>
        </w:rPr>
        <w:t xml:space="preserve">David Cooper, Fabiana F. Spinelli, </w:t>
      </w:r>
      <w:r w:rsidRPr="0070404D">
        <w:rPr>
          <w:color w:val="000000" w:themeColor="text1"/>
        </w:rPr>
        <w:t>Helen Newing</w:t>
      </w:r>
      <w:r>
        <w:rPr>
          <w:color w:val="000000" w:themeColor="text1"/>
        </w:rPr>
        <w:t xml:space="preserve"> and E.J. Milner-Gulland for their</w:t>
      </w:r>
      <w:r w:rsidRPr="0070404D">
        <w:rPr>
          <w:color w:val="000000" w:themeColor="text1"/>
        </w:rPr>
        <w:t xml:space="preserve"> insightful and helpful review</w:t>
      </w:r>
      <w:r>
        <w:rPr>
          <w:color w:val="000000" w:themeColor="text1"/>
        </w:rPr>
        <w:t>s</w:t>
      </w:r>
      <w:r w:rsidRPr="0070404D">
        <w:rPr>
          <w:color w:val="000000" w:themeColor="text1"/>
        </w:rPr>
        <w:t>.</w:t>
      </w:r>
      <w:r>
        <w:rPr>
          <w:color w:val="000000" w:themeColor="text1"/>
        </w:rPr>
        <w:t xml:space="preserve"> This document was made available to all delegations participating within the </w:t>
      </w:r>
      <w:r w:rsidRPr="005D5C5F">
        <w:rPr>
          <w:color w:val="000000" w:themeColor="text1"/>
        </w:rPr>
        <w:t>SBSTTA</w:t>
      </w:r>
      <w:r>
        <w:rPr>
          <w:color w:val="000000" w:themeColor="text1"/>
        </w:rPr>
        <w:t xml:space="preserve">-CBD for comments, prior to its publication. The feedback received from the various delegations greatly improved the reach of this document. We are most grateful to all of them. </w:t>
      </w:r>
    </w:p>
    <w:p w14:paraId="014A98F1" w14:textId="00F59426" w:rsidR="00C601C2" w:rsidRPr="0070404D" w:rsidRDefault="00C601C2" w:rsidP="00C258BC">
      <w:pPr>
        <w:jc w:val="both"/>
        <w:rPr>
          <w:b/>
          <w:color w:val="000000" w:themeColor="text1"/>
        </w:rPr>
      </w:pPr>
      <w:r w:rsidRPr="0070404D">
        <w:rPr>
          <w:b/>
          <w:color w:val="000000" w:themeColor="text1"/>
        </w:rPr>
        <w:br w:type="page"/>
      </w:r>
    </w:p>
    <w:p w14:paraId="748FEE6A" w14:textId="1B5AD9FB" w:rsidR="00466375" w:rsidRPr="0070404D" w:rsidRDefault="00086CB0" w:rsidP="00C258BC">
      <w:pPr>
        <w:jc w:val="both"/>
        <w:rPr>
          <w:b/>
          <w:color w:val="000000" w:themeColor="text1"/>
          <w:sz w:val="36"/>
        </w:rPr>
      </w:pPr>
      <w:r w:rsidRPr="0070404D">
        <w:rPr>
          <w:b/>
          <w:color w:val="000000" w:themeColor="text1"/>
          <w:sz w:val="36"/>
        </w:rPr>
        <w:lastRenderedPageBreak/>
        <w:t>Contents:</w:t>
      </w:r>
    </w:p>
    <w:p w14:paraId="6C62B12B" w14:textId="6A3B4161" w:rsidR="008E47ED" w:rsidRDefault="00257F4A">
      <w:pPr>
        <w:pStyle w:val="TOC2"/>
        <w:rPr>
          <w:rFonts w:asciiTheme="minorHAnsi" w:eastAsiaTheme="minorEastAsia" w:hAnsiTheme="minorHAnsi" w:cstheme="minorBidi"/>
          <w:b w:val="0"/>
          <w:bCs w:val="0"/>
          <w:sz w:val="22"/>
          <w:szCs w:val="22"/>
          <w:lang w:eastAsia="en-GB"/>
        </w:rPr>
      </w:pPr>
      <w:r w:rsidRPr="0070404D">
        <w:rPr>
          <w:rFonts w:asciiTheme="majorHAnsi" w:hAnsiTheme="majorHAnsi"/>
          <w:caps/>
          <w:color w:val="000000" w:themeColor="text1"/>
          <w:sz w:val="36"/>
        </w:rPr>
        <w:fldChar w:fldCharType="begin"/>
      </w:r>
      <w:r w:rsidRPr="0070404D">
        <w:rPr>
          <w:color w:val="000000" w:themeColor="text1"/>
          <w:sz w:val="36"/>
        </w:rPr>
        <w:instrText xml:space="preserve"> TOC \o "1-2" </w:instrText>
      </w:r>
      <w:r w:rsidRPr="0070404D">
        <w:rPr>
          <w:rFonts w:asciiTheme="majorHAnsi" w:hAnsiTheme="majorHAnsi"/>
          <w:caps/>
          <w:color w:val="000000" w:themeColor="text1"/>
          <w:sz w:val="36"/>
        </w:rPr>
        <w:fldChar w:fldCharType="separate"/>
      </w:r>
      <w:r w:rsidR="008E47ED">
        <w:t>1.1</w:t>
      </w:r>
      <w:r w:rsidR="008E47ED">
        <w:rPr>
          <w:rFonts w:asciiTheme="minorHAnsi" w:eastAsiaTheme="minorEastAsia" w:hAnsiTheme="minorHAnsi" w:cstheme="minorBidi"/>
          <w:b w:val="0"/>
          <w:bCs w:val="0"/>
          <w:sz w:val="22"/>
          <w:szCs w:val="22"/>
          <w:lang w:eastAsia="en-GB"/>
        </w:rPr>
        <w:tab/>
      </w:r>
      <w:r w:rsidR="008E47ED">
        <w:t>ABBREVIATIONS</w:t>
      </w:r>
      <w:r w:rsidR="008E47ED">
        <w:tab/>
      </w:r>
      <w:r w:rsidR="008E47ED">
        <w:fldChar w:fldCharType="begin"/>
      </w:r>
      <w:r w:rsidR="008E47ED">
        <w:instrText xml:space="preserve"> PAGEREF _Toc529390328 \h </w:instrText>
      </w:r>
      <w:r w:rsidR="008E47ED">
        <w:fldChar w:fldCharType="separate"/>
      </w:r>
      <w:r w:rsidR="00DF57F3">
        <w:t>8</w:t>
      </w:r>
      <w:r w:rsidR="008E47ED">
        <w:fldChar w:fldCharType="end"/>
      </w:r>
    </w:p>
    <w:p w14:paraId="2133BC0E" w14:textId="2EB2E8D9" w:rsidR="008E47ED" w:rsidRDefault="008E47ED">
      <w:pPr>
        <w:pStyle w:val="TOC1"/>
        <w:rPr>
          <w:rFonts w:asciiTheme="minorHAnsi" w:eastAsiaTheme="minorEastAsia" w:hAnsiTheme="minorHAnsi" w:cstheme="minorBidi"/>
          <w:b w:val="0"/>
          <w:bCs w:val="0"/>
          <w:caps w:val="0"/>
          <w:noProof/>
          <w:sz w:val="22"/>
          <w:szCs w:val="22"/>
          <w:lang w:eastAsia="en-GB"/>
        </w:rPr>
      </w:pPr>
      <w:r>
        <w:rPr>
          <w:noProof/>
        </w:rPr>
        <w:t>1</w:t>
      </w:r>
      <w:r>
        <w:rPr>
          <w:rFonts w:asciiTheme="minorHAnsi" w:eastAsiaTheme="minorEastAsia" w:hAnsiTheme="minorHAnsi" w:cstheme="minorBidi"/>
          <w:b w:val="0"/>
          <w:bCs w:val="0"/>
          <w:caps w:val="0"/>
          <w:noProof/>
          <w:sz w:val="22"/>
          <w:szCs w:val="22"/>
          <w:lang w:eastAsia="en-GB"/>
        </w:rPr>
        <w:tab/>
      </w:r>
      <w:r>
        <w:rPr>
          <w:noProof/>
        </w:rPr>
        <w:t>INTRODUCTION</w:t>
      </w:r>
      <w:r>
        <w:rPr>
          <w:noProof/>
        </w:rPr>
        <w:tab/>
      </w:r>
      <w:r>
        <w:rPr>
          <w:noProof/>
        </w:rPr>
        <w:fldChar w:fldCharType="begin"/>
      </w:r>
      <w:r>
        <w:rPr>
          <w:noProof/>
        </w:rPr>
        <w:instrText xml:space="preserve"> PAGEREF _Toc529390329 \h </w:instrText>
      </w:r>
      <w:r>
        <w:rPr>
          <w:noProof/>
        </w:rPr>
      </w:r>
      <w:r>
        <w:rPr>
          <w:noProof/>
        </w:rPr>
        <w:fldChar w:fldCharType="separate"/>
      </w:r>
      <w:r w:rsidR="00DF57F3">
        <w:rPr>
          <w:noProof/>
        </w:rPr>
        <w:t>11</w:t>
      </w:r>
      <w:r>
        <w:rPr>
          <w:noProof/>
        </w:rPr>
        <w:fldChar w:fldCharType="end"/>
      </w:r>
    </w:p>
    <w:p w14:paraId="58C21B42" w14:textId="0C89FADA" w:rsidR="008E47ED" w:rsidRDefault="008E47ED">
      <w:pPr>
        <w:pStyle w:val="TOC2"/>
        <w:rPr>
          <w:rFonts w:asciiTheme="minorHAnsi" w:eastAsiaTheme="minorEastAsia" w:hAnsiTheme="minorHAnsi" w:cstheme="minorBidi"/>
          <w:b w:val="0"/>
          <w:bCs w:val="0"/>
          <w:sz w:val="22"/>
          <w:szCs w:val="22"/>
          <w:lang w:eastAsia="en-GB"/>
        </w:rPr>
      </w:pPr>
      <w:r>
        <w:t>1.2</w:t>
      </w:r>
      <w:r>
        <w:rPr>
          <w:rFonts w:asciiTheme="minorHAnsi" w:eastAsiaTheme="minorEastAsia" w:hAnsiTheme="minorHAnsi" w:cstheme="minorBidi"/>
          <w:b w:val="0"/>
          <w:bCs w:val="0"/>
          <w:sz w:val="22"/>
          <w:szCs w:val="22"/>
          <w:lang w:eastAsia="en-GB"/>
        </w:rPr>
        <w:tab/>
      </w:r>
      <w:r>
        <w:t>The need to consider the sustainability of wild meat harvesting</w:t>
      </w:r>
      <w:r>
        <w:tab/>
      </w:r>
      <w:r>
        <w:fldChar w:fldCharType="begin"/>
      </w:r>
      <w:r>
        <w:instrText xml:space="preserve"> PAGEREF _Toc529390330 \h </w:instrText>
      </w:r>
      <w:r>
        <w:fldChar w:fldCharType="separate"/>
      </w:r>
      <w:r w:rsidR="00DF57F3">
        <w:t>11</w:t>
      </w:r>
      <w:r>
        <w:fldChar w:fldCharType="end"/>
      </w:r>
    </w:p>
    <w:p w14:paraId="299C9955" w14:textId="737FBC84" w:rsidR="008E47ED" w:rsidRDefault="008E47ED">
      <w:pPr>
        <w:pStyle w:val="TOC2"/>
        <w:rPr>
          <w:rFonts w:asciiTheme="minorHAnsi" w:eastAsiaTheme="minorEastAsia" w:hAnsiTheme="minorHAnsi" w:cstheme="minorBidi"/>
          <w:b w:val="0"/>
          <w:bCs w:val="0"/>
          <w:sz w:val="22"/>
          <w:szCs w:val="22"/>
          <w:lang w:eastAsia="en-GB"/>
        </w:rPr>
      </w:pPr>
      <w:r>
        <w:t>1.3</w:t>
      </w:r>
      <w:r>
        <w:rPr>
          <w:rFonts w:asciiTheme="minorHAnsi" w:eastAsiaTheme="minorEastAsia" w:hAnsiTheme="minorHAnsi" w:cstheme="minorBidi"/>
          <w:b w:val="0"/>
          <w:bCs w:val="0"/>
          <w:sz w:val="22"/>
          <w:szCs w:val="22"/>
          <w:lang w:eastAsia="en-GB"/>
        </w:rPr>
        <w:tab/>
      </w:r>
      <w:r>
        <w:t>The need to develop sustainable wildlife management practices</w:t>
      </w:r>
      <w:r>
        <w:tab/>
      </w:r>
      <w:r>
        <w:fldChar w:fldCharType="begin"/>
      </w:r>
      <w:r>
        <w:instrText xml:space="preserve"> PAGEREF _Toc529390331 \h </w:instrText>
      </w:r>
      <w:r>
        <w:fldChar w:fldCharType="separate"/>
      </w:r>
      <w:r w:rsidR="00DF57F3">
        <w:t>11</w:t>
      </w:r>
      <w:r>
        <w:fldChar w:fldCharType="end"/>
      </w:r>
    </w:p>
    <w:p w14:paraId="77B309FF" w14:textId="10D9C149" w:rsidR="008E47ED" w:rsidRDefault="008E47ED">
      <w:pPr>
        <w:pStyle w:val="TOC2"/>
        <w:rPr>
          <w:rFonts w:asciiTheme="minorHAnsi" w:eastAsiaTheme="minorEastAsia" w:hAnsiTheme="minorHAnsi" w:cstheme="minorBidi"/>
          <w:b w:val="0"/>
          <w:bCs w:val="0"/>
          <w:sz w:val="22"/>
          <w:szCs w:val="22"/>
          <w:lang w:eastAsia="en-GB"/>
        </w:rPr>
      </w:pPr>
      <w:r>
        <w:t>1.4</w:t>
      </w:r>
      <w:r>
        <w:rPr>
          <w:rFonts w:asciiTheme="minorHAnsi" w:eastAsiaTheme="minorEastAsia" w:hAnsiTheme="minorHAnsi" w:cstheme="minorBidi"/>
          <w:b w:val="0"/>
          <w:bCs w:val="0"/>
          <w:sz w:val="22"/>
          <w:szCs w:val="22"/>
          <w:lang w:eastAsia="en-GB"/>
        </w:rPr>
        <w:tab/>
      </w:r>
      <w:r>
        <w:t>Call for technical guidance on wild meat</w:t>
      </w:r>
      <w:r>
        <w:tab/>
      </w:r>
      <w:r>
        <w:fldChar w:fldCharType="begin"/>
      </w:r>
      <w:r>
        <w:instrText xml:space="preserve"> PAGEREF _Toc529390332 \h </w:instrText>
      </w:r>
      <w:r>
        <w:fldChar w:fldCharType="separate"/>
      </w:r>
      <w:r w:rsidR="00DF57F3">
        <w:t>13</w:t>
      </w:r>
      <w:r>
        <w:fldChar w:fldCharType="end"/>
      </w:r>
    </w:p>
    <w:p w14:paraId="2A937DB7" w14:textId="759E43B5" w:rsidR="008E47ED" w:rsidRDefault="008E47ED">
      <w:pPr>
        <w:pStyle w:val="TOC2"/>
        <w:rPr>
          <w:rFonts w:asciiTheme="minorHAnsi" w:eastAsiaTheme="minorEastAsia" w:hAnsiTheme="minorHAnsi" w:cstheme="minorBidi"/>
          <w:b w:val="0"/>
          <w:bCs w:val="0"/>
          <w:sz w:val="22"/>
          <w:szCs w:val="22"/>
          <w:lang w:eastAsia="en-GB"/>
        </w:rPr>
      </w:pPr>
      <w:r>
        <w:t>1.5</w:t>
      </w:r>
      <w:r>
        <w:rPr>
          <w:rFonts w:asciiTheme="minorHAnsi" w:eastAsiaTheme="minorEastAsia" w:hAnsiTheme="minorHAnsi" w:cstheme="minorBidi"/>
          <w:b w:val="0"/>
          <w:bCs w:val="0"/>
          <w:sz w:val="22"/>
          <w:szCs w:val="22"/>
          <w:lang w:eastAsia="en-GB"/>
        </w:rPr>
        <w:tab/>
      </w:r>
      <w:r>
        <w:t>Aim and contents of this report</w:t>
      </w:r>
      <w:r>
        <w:tab/>
      </w:r>
      <w:r>
        <w:fldChar w:fldCharType="begin"/>
      </w:r>
      <w:r>
        <w:instrText xml:space="preserve"> PAGEREF _Toc529390333 \h </w:instrText>
      </w:r>
      <w:r>
        <w:fldChar w:fldCharType="separate"/>
      </w:r>
      <w:r w:rsidR="00DF57F3">
        <w:t>14</w:t>
      </w:r>
      <w:r>
        <w:fldChar w:fldCharType="end"/>
      </w:r>
    </w:p>
    <w:p w14:paraId="774A958B" w14:textId="18B9E1F7" w:rsidR="008E47ED" w:rsidRDefault="008E47ED">
      <w:pPr>
        <w:pStyle w:val="TOC2"/>
        <w:rPr>
          <w:rFonts w:asciiTheme="minorHAnsi" w:eastAsiaTheme="minorEastAsia" w:hAnsiTheme="minorHAnsi" w:cstheme="minorBidi"/>
          <w:b w:val="0"/>
          <w:bCs w:val="0"/>
          <w:sz w:val="22"/>
          <w:szCs w:val="22"/>
          <w:lang w:eastAsia="en-GB"/>
        </w:rPr>
      </w:pPr>
      <w:r>
        <w:t>1.6</w:t>
      </w:r>
      <w:r>
        <w:rPr>
          <w:rFonts w:asciiTheme="minorHAnsi" w:eastAsiaTheme="minorEastAsia" w:hAnsiTheme="minorHAnsi" w:cstheme="minorBidi"/>
          <w:b w:val="0"/>
          <w:bCs w:val="0"/>
          <w:sz w:val="22"/>
          <w:szCs w:val="22"/>
          <w:lang w:eastAsia="en-GB"/>
        </w:rPr>
        <w:tab/>
      </w:r>
      <w:r>
        <w:t>Definitions</w:t>
      </w:r>
      <w:r>
        <w:tab/>
      </w:r>
      <w:r>
        <w:fldChar w:fldCharType="begin"/>
      </w:r>
      <w:r>
        <w:instrText xml:space="preserve"> PAGEREF _Toc529390334 \h </w:instrText>
      </w:r>
      <w:r>
        <w:fldChar w:fldCharType="separate"/>
      </w:r>
      <w:r w:rsidR="00DF57F3">
        <w:t>16</w:t>
      </w:r>
      <w:r>
        <w:fldChar w:fldCharType="end"/>
      </w:r>
    </w:p>
    <w:p w14:paraId="0357DAF4" w14:textId="651FDB9A" w:rsidR="008E47ED" w:rsidRDefault="008E47ED">
      <w:pPr>
        <w:pStyle w:val="TOC1"/>
        <w:rPr>
          <w:rFonts w:asciiTheme="minorHAnsi" w:eastAsiaTheme="minorEastAsia" w:hAnsiTheme="minorHAnsi" w:cstheme="minorBidi"/>
          <w:b w:val="0"/>
          <w:bCs w:val="0"/>
          <w:caps w:val="0"/>
          <w:noProof/>
          <w:sz w:val="22"/>
          <w:szCs w:val="22"/>
          <w:lang w:eastAsia="en-GB"/>
        </w:rPr>
      </w:pPr>
      <w:r>
        <w:rPr>
          <w:noProof/>
        </w:rPr>
        <w:t>2</w:t>
      </w:r>
      <w:r>
        <w:rPr>
          <w:rFonts w:asciiTheme="minorHAnsi" w:eastAsiaTheme="minorEastAsia" w:hAnsiTheme="minorHAnsi" w:cstheme="minorBidi"/>
          <w:b w:val="0"/>
          <w:bCs w:val="0"/>
          <w:caps w:val="0"/>
          <w:noProof/>
          <w:sz w:val="22"/>
          <w:szCs w:val="22"/>
          <w:lang w:eastAsia="en-GB"/>
        </w:rPr>
        <w:tab/>
      </w:r>
      <w:r>
        <w:rPr>
          <w:noProof/>
        </w:rPr>
        <w:t>DESCRIBING THE WILD MEAT HARVEST</w:t>
      </w:r>
      <w:r>
        <w:rPr>
          <w:noProof/>
        </w:rPr>
        <w:tab/>
      </w:r>
      <w:r>
        <w:rPr>
          <w:noProof/>
        </w:rPr>
        <w:fldChar w:fldCharType="begin"/>
      </w:r>
      <w:r>
        <w:rPr>
          <w:noProof/>
        </w:rPr>
        <w:instrText xml:space="preserve"> PAGEREF _Toc529390335 \h </w:instrText>
      </w:r>
      <w:r>
        <w:rPr>
          <w:noProof/>
        </w:rPr>
      </w:r>
      <w:r>
        <w:rPr>
          <w:noProof/>
        </w:rPr>
        <w:fldChar w:fldCharType="separate"/>
      </w:r>
      <w:r w:rsidR="00DF57F3">
        <w:rPr>
          <w:noProof/>
        </w:rPr>
        <w:t>18</w:t>
      </w:r>
      <w:r>
        <w:rPr>
          <w:noProof/>
        </w:rPr>
        <w:fldChar w:fldCharType="end"/>
      </w:r>
    </w:p>
    <w:p w14:paraId="5C777404" w14:textId="1C1ADC91" w:rsidR="008E47ED" w:rsidRDefault="008E47ED">
      <w:pPr>
        <w:pStyle w:val="TOC2"/>
        <w:rPr>
          <w:rFonts w:asciiTheme="minorHAnsi" w:eastAsiaTheme="minorEastAsia" w:hAnsiTheme="minorHAnsi" w:cstheme="minorBidi"/>
          <w:b w:val="0"/>
          <w:bCs w:val="0"/>
          <w:sz w:val="22"/>
          <w:szCs w:val="22"/>
          <w:lang w:eastAsia="en-GB"/>
        </w:rPr>
      </w:pPr>
      <w:r>
        <w:t>2.1</w:t>
      </w:r>
      <w:r>
        <w:rPr>
          <w:rFonts w:asciiTheme="minorHAnsi" w:eastAsiaTheme="minorEastAsia" w:hAnsiTheme="minorHAnsi" w:cstheme="minorBidi"/>
          <w:b w:val="0"/>
          <w:bCs w:val="0"/>
          <w:sz w:val="22"/>
          <w:szCs w:val="22"/>
          <w:lang w:eastAsia="en-GB"/>
        </w:rPr>
        <w:tab/>
      </w:r>
      <w:r>
        <w:t>Hunted species</w:t>
      </w:r>
      <w:r>
        <w:tab/>
      </w:r>
      <w:r>
        <w:fldChar w:fldCharType="begin"/>
      </w:r>
      <w:r>
        <w:instrText xml:space="preserve"> PAGEREF _Toc529390336 \h </w:instrText>
      </w:r>
      <w:r>
        <w:fldChar w:fldCharType="separate"/>
      </w:r>
      <w:r w:rsidR="00DF57F3">
        <w:t>18</w:t>
      </w:r>
      <w:r>
        <w:fldChar w:fldCharType="end"/>
      </w:r>
    </w:p>
    <w:p w14:paraId="6DAAB230" w14:textId="1BBC03BB" w:rsidR="008E47ED" w:rsidRDefault="008E47ED">
      <w:pPr>
        <w:pStyle w:val="TOC2"/>
        <w:rPr>
          <w:rFonts w:asciiTheme="minorHAnsi" w:eastAsiaTheme="minorEastAsia" w:hAnsiTheme="minorHAnsi" w:cstheme="minorBidi"/>
          <w:b w:val="0"/>
          <w:bCs w:val="0"/>
          <w:sz w:val="22"/>
          <w:szCs w:val="22"/>
          <w:lang w:eastAsia="en-GB"/>
        </w:rPr>
      </w:pPr>
      <w:r>
        <w:t>2.2</w:t>
      </w:r>
      <w:r>
        <w:rPr>
          <w:rFonts w:asciiTheme="minorHAnsi" w:eastAsiaTheme="minorEastAsia" w:hAnsiTheme="minorHAnsi" w:cstheme="minorBidi"/>
          <w:b w:val="0"/>
          <w:bCs w:val="0"/>
          <w:sz w:val="22"/>
          <w:szCs w:val="22"/>
          <w:lang w:eastAsia="en-GB"/>
        </w:rPr>
        <w:tab/>
      </w:r>
      <w:r>
        <w:t>Hunter characteristics</w:t>
      </w:r>
      <w:r>
        <w:tab/>
      </w:r>
      <w:r>
        <w:fldChar w:fldCharType="begin"/>
      </w:r>
      <w:r>
        <w:instrText xml:space="preserve"> PAGEREF _Toc529390337 \h </w:instrText>
      </w:r>
      <w:r>
        <w:fldChar w:fldCharType="separate"/>
      </w:r>
      <w:r w:rsidR="00DF57F3">
        <w:t>22</w:t>
      </w:r>
      <w:r>
        <w:fldChar w:fldCharType="end"/>
      </w:r>
    </w:p>
    <w:p w14:paraId="4882DB7D" w14:textId="594F59FE" w:rsidR="008E47ED" w:rsidRDefault="008E47ED">
      <w:pPr>
        <w:pStyle w:val="TOC2"/>
        <w:rPr>
          <w:rFonts w:asciiTheme="minorHAnsi" w:eastAsiaTheme="minorEastAsia" w:hAnsiTheme="minorHAnsi" w:cstheme="minorBidi"/>
          <w:b w:val="0"/>
          <w:bCs w:val="0"/>
          <w:sz w:val="22"/>
          <w:szCs w:val="22"/>
          <w:lang w:eastAsia="en-GB"/>
        </w:rPr>
      </w:pPr>
      <w:r>
        <w:t>2.3</w:t>
      </w:r>
      <w:r>
        <w:rPr>
          <w:rFonts w:asciiTheme="minorHAnsi" w:eastAsiaTheme="minorEastAsia" w:hAnsiTheme="minorHAnsi" w:cstheme="minorBidi"/>
          <w:b w:val="0"/>
          <w:bCs w:val="0"/>
          <w:sz w:val="22"/>
          <w:szCs w:val="22"/>
          <w:lang w:eastAsia="en-GB"/>
        </w:rPr>
        <w:tab/>
      </w:r>
      <w:r>
        <w:t>Hunting methods</w:t>
      </w:r>
      <w:r>
        <w:tab/>
      </w:r>
      <w:r>
        <w:fldChar w:fldCharType="begin"/>
      </w:r>
      <w:r>
        <w:instrText xml:space="preserve"> PAGEREF _Toc529390338 \h </w:instrText>
      </w:r>
      <w:r>
        <w:fldChar w:fldCharType="separate"/>
      </w:r>
      <w:r w:rsidR="00DF57F3">
        <w:t>23</w:t>
      </w:r>
      <w:r>
        <w:fldChar w:fldCharType="end"/>
      </w:r>
    </w:p>
    <w:p w14:paraId="5F2B3495" w14:textId="27A41DD2" w:rsidR="008E47ED" w:rsidRDefault="008E47ED">
      <w:pPr>
        <w:pStyle w:val="TOC2"/>
        <w:rPr>
          <w:rFonts w:asciiTheme="minorHAnsi" w:eastAsiaTheme="minorEastAsia" w:hAnsiTheme="minorHAnsi" w:cstheme="minorBidi"/>
          <w:b w:val="0"/>
          <w:bCs w:val="0"/>
          <w:sz w:val="22"/>
          <w:szCs w:val="22"/>
          <w:lang w:eastAsia="en-GB"/>
        </w:rPr>
      </w:pPr>
      <w:r>
        <w:t>2.4</w:t>
      </w:r>
      <w:r>
        <w:rPr>
          <w:rFonts w:asciiTheme="minorHAnsi" w:eastAsiaTheme="minorEastAsia" w:hAnsiTheme="minorHAnsi" w:cstheme="minorBidi"/>
          <w:b w:val="0"/>
          <w:bCs w:val="0"/>
          <w:sz w:val="22"/>
          <w:szCs w:val="22"/>
          <w:lang w:eastAsia="en-GB"/>
        </w:rPr>
        <w:tab/>
      </w:r>
      <w:r>
        <w:t>Harvest rates</w:t>
      </w:r>
      <w:r>
        <w:tab/>
      </w:r>
      <w:r>
        <w:fldChar w:fldCharType="begin"/>
      </w:r>
      <w:r>
        <w:instrText xml:space="preserve"> PAGEREF _Toc529390339 \h </w:instrText>
      </w:r>
      <w:r>
        <w:fldChar w:fldCharType="separate"/>
      </w:r>
      <w:r w:rsidR="00DF57F3">
        <w:t>24</w:t>
      </w:r>
      <w:r>
        <w:fldChar w:fldCharType="end"/>
      </w:r>
    </w:p>
    <w:p w14:paraId="178D20BB" w14:textId="7609674B" w:rsidR="008E47ED" w:rsidRDefault="008E47ED">
      <w:pPr>
        <w:pStyle w:val="TOC1"/>
        <w:rPr>
          <w:rFonts w:asciiTheme="minorHAnsi" w:eastAsiaTheme="minorEastAsia" w:hAnsiTheme="minorHAnsi" w:cstheme="minorBidi"/>
          <w:b w:val="0"/>
          <w:bCs w:val="0"/>
          <w:caps w:val="0"/>
          <w:noProof/>
          <w:sz w:val="22"/>
          <w:szCs w:val="22"/>
          <w:lang w:eastAsia="en-GB"/>
        </w:rPr>
      </w:pPr>
      <w:r>
        <w:rPr>
          <w:noProof/>
        </w:rPr>
        <w:t>3</w:t>
      </w:r>
      <w:r>
        <w:rPr>
          <w:rFonts w:asciiTheme="minorHAnsi" w:eastAsiaTheme="minorEastAsia" w:hAnsiTheme="minorHAnsi" w:cstheme="minorBidi"/>
          <w:b w:val="0"/>
          <w:bCs w:val="0"/>
          <w:caps w:val="0"/>
          <w:noProof/>
          <w:sz w:val="22"/>
          <w:szCs w:val="22"/>
          <w:lang w:eastAsia="en-GB"/>
        </w:rPr>
        <w:tab/>
      </w:r>
      <w:r>
        <w:rPr>
          <w:noProof/>
        </w:rPr>
        <w:t>WILD MEAT CONSUMPTION AND TRADE</w:t>
      </w:r>
      <w:r>
        <w:rPr>
          <w:noProof/>
        </w:rPr>
        <w:tab/>
      </w:r>
      <w:r>
        <w:rPr>
          <w:noProof/>
        </w:rPr>
        <w:fldChar w:fldCharType="begin"/>
      </w:r>
      <w:r>
        <w:rPr>
          <w:noProof/>
        </w:rPr>
        <w:instrText xml:space="preserve"> PAGEREF _Toc529390340 \h </w:instrText>
      </w:r>
      <w:r>
        <w:rPr>
          <w:noProof/>
        </w:rPr>
      </w:r>
      <w:r>
        <w:rPr>
          <w:noProof/>
        </w:rPr>
        <w:fldChar w:fldCharType="separate"/>
      </w:r>
      <w:r w:rsidR="00DF57F3">
        <w:rPr>
          <w:noProof/>
        </w:rPr>
        <w:t>28</w:t>
      </w:r>
      <w:r>
        <w:rPr>
          <w:noProof/>
        </w:rPr>
        <w:fldChar w:fldCharType="end"/>
      </w:r>
    </w:p>
    <w:p w14:paraId="1C2D6F4A" w14:textId="01BAC8DF" w:rsidR="008E47ED" w:rsidRDefault="008E47ED">
      <w:pPr>
        <w:pStyle w:val="TOC2"/>
        <w:rPr>
          <w:rFonts w:asciiTheme="minorHAnsi" w:eastAsiaTheme="minorEastAsia" w:hAnsiTheme="minorHAnsi" w:cstheme="minorBidi"/>
          <w:b w:val="0"/>
          <w:bCs w:val="0"/>
          <w:sz w:val="22"/>
          <w:szCs w:val="22"/>
          <w:lang w:eastAsia="en-GB"/>
        </w:rPr>
      </w:pPr>
      <w:r>
        <w:t>3.1</w:t>
      </w:r>
      <w:r>
        <w:rPr>
          <w:rFonts w:asciiTheme="minorHAnsi" w:eastAsiaTheme="minorEastAsia" w:hAnsiTheme="minorHAnsi" w:cstheme="minorBidi"/>
          <w:b w:val="0"/>
          <w:bCs w:val="0"/>
          <w:sz w:val="22"/>
          <w:szCs w:val="22"/>
          <w:lang w:eastAsia="en-GB"/>
        </w:rPr>
        <w:tab/>
      </w:r>
      <w:r>
        <w:t>Consumption rates</w:t>
      </w:r>
      <w:r>
        <w:tab/>
      </w:r>
      <w:r>
        <w:fldChar w:fldCharType="begin"/>
      </w:r>
      <w:r>
        <w:instrText xml:space="preserve"> PAGEREF _Toc529390341 \h </w:instrText>
      </w:r>
      <w:r>
        <w:fldChar w:fldCharType="separate"/>
      </w:r>
      <w:r w:rsidR="00DF57F3">
        <w:t>28</w:t>
      </w:r>
      <w:r>
        <w:fldChar w:fldCharType="end"/>
      </w:r>
    </w:p>
    <w:p w14:paraId="16133D0E" w14:textId="4EB1836B" w:rsidR="008E47ED" w:rsidRDefault="008E47ED">
      <w:pPr>
        <w:pStyle w:val="TOC2"/>
        <w:rPr>
          <w:rFonts w:asciiTheme="minorHAnsi" w:eastAsiaTheme="minorEastAsia" w:hAnsiTheme="minorHAnsi" w:cstheme="minorBidi"/>
          <w:b w:val="0"/>
          <w:bCs w:val="0"/>
          <w:sz w:val="22"/>
          <w:szCs w:val="22"/>
          <w:lang w:eastAsia="en-GB"/>
        </w:rPr>
      </w:pPr>
      <w:r>
        <w:t>3.2</w:t>
      </w:r>
      <w:r>
        <w:rPr>
          <w:rFonts w:asciiTheme="minorHAnsi" w:eastAsiaTheme="minorEastAsia" w:hAnsiTheme="minorHAnsi" w:cstheme="minorBidi"/>
          <w:b w:val="0"/>
          <w:bCs w:val="0"/>
          <w:sz w:val="22"/>
          <w:szCs w:val="22"/>
          <w:lang w:eastAsia="en-GB"/>
        </w:rPr>
        <w:tab/>
      </w:r>
      <w:r>
        <w:t>Food for hunter families</w:t>
      </w:r>
      <w:r>
        <w:tab/>
      </w:r>
      <w:r>
        <w:fldChar w:fldCharType="begin"/>
      </w:r>
      <w:r>
        <w:instrText xml:space="preserve"> PAGEREF _Toc529390342 \h </w:instrText>
      </w:r>
      <w:r>
        <w:fldChar w:fldCharType="separate"/>
      </w:r>
      <w:r w:rsidR="00DF57F3">
        <w:t>29</w:t>
      </w:r>
      <w:r>
        <w:fldChar w:fldCharType="end"/>
      </w:r>
    </w:p>
    <w:p w14:paraId="7B1A0D63" w14:textId="51E19172" w:rsidR="008E47ED" w:rsidRDefault="008E47ED">
      <w:pPr>
        <w:pStyle w:val="TOC2"/>
        <w:rPr>
          <w:rFonts w:asciiTheme="minorHAnsi" w:eastAsiaTheme="minorEastAsia" w:hAnsiTheme="minorHAnsi" w:cstheme="minorBidi"/>
          <w:b w:val="0"/>
          <w:bCs w:val="0"/>
          <w:sz w:val="22"/>
          <w:szCs w:val="22"/>
          <w:lang w:eastAsia="en-GB"/>
        </w:rPr>
      </w:pPr>
      <w:r>
        <w:t>3.3</w:t>
      </w:r>
      <w:r>
        <w:rPr>
          <w:rFonts w:asciiTheme="minorHAnsi" w:eastAsiaTheme="minorEastAsia" w:hAnsiTheme="minorHAnsi" w:cstheme="minorBidi"/>
          <w:b w:val="0"/>
          <w:bCs w:val="0"/>
          <w:sz w:val="22"/>
          <w:szCs w:val="22"/>
          <w:lang w:eastAsia="en-GB"/>
        </w:rPr>
        <w:tab/>
      </w:r>
      <w:r>
        <w:t>Hunting for income</w:t>
      </w:r>
      <w:r>
        <w:tab/>
      </w:r>
      <w:r>
        <w:fldChar w:fldCharType="begin"/>
      </w:r>
      <w:r>
        <w:instrText xml:space="preserve"> PAGEREF _Toc529390343 \h </w:instrText>
      </w:r>
      <w:r>
        <w:fldChar w:fldCharType="separate"/>
      </w:r>
      <w:r w:rsidR="00DF57F3">
        <w:t>31</w:t>
      </w:r>
      <w:r>
        <w:fldChar w:fldCharType="end"/>
      </w:r>
    </w:p>
    <w:p w14:paraId="31807DDC" w14:textId="66C384DA" w:rsidR="008E47ED" w:rsidRDefault="008E47ED">
      <w:pPr>
        <w:pStyle w:val="TOC2"/>
        <w:rPr>
          <w:rFonts w:asciiTheme="minorHAnsi" w:eastAsiaTheme="minorEastAsia" w:hAnsiTheme="minorHAnsi" w:cstheme="minorBidi"/>
          <w:b w:val="0"/>
          <w:bCs w:val="0"/>
          <w:sz w:val="22"/>
          <w:szCs w:val="22"/>
          <w:lang w:eastAsia="en-GB"/>
        </w:rPr>
      </w:pPr>
      <w:r>
        <w:t>3.4</w:t>
      </w:r>
      <w:r>
        <w:rPr>
          <w:rFonts w:asciiTheme="minorHAnsi" w:eastAsiaTheme="minorEastAsia" w:hAnsiTheme="minorHAnsi" w:cstheme="minorBidi"/>
          <w:b w:val="0"/>
          <w:bCs w:val="0"/>
          <w:sz w:val="22"/>
          <w:szCs w:val="22"/>
          <w:lang w:eastAsia="en-GB"/>
        </w:rPr>
        <w:tab/>
      </w:r>
      <w:r>
        <w:t>Wild meat consumption in the context of economic theory</w:t>
      </w:r>
      <w:r>
        <w:tab/>
      </w:r>
      <w:r>
        <w:fldChar w:fldCharType="begin"/>
      </w:r>
      <w:r>
        <w:instrText xml:space="preserve"> PAGEREF _Toc529390344 \h </w:instrText>
      </w:r>
      <w:r>
        <w:fldChar w:fldCharType="separate"/>
      </w:r>
      <w:r w:rsidR="00DF57F3">
        <w:t>36</w:t>
      </w:r>
      <w:r>
        <w:fldChar w:fldCharType="end"/>
      </w:r>
    </w:p>
    <w:p w14:paraId="2969342B" w14:textId="45AFE1DD" w:rsidR="008E47ED" w:rsidRDefault="008E47ED">
      <w:pPr>
        <w:pStyle w:val="TOC1"/>
        <w:rPr>
          <w:rFonts w:asciiTheme="minorHAnsi" w:eastAsiaTheme="minorEastAsia" w:hAnsiTheme="minorHAnsi" w:cstheme="minorBidi"/>
          <w:b w:val="0"/>
          <w:bCs w:val="0"/>
          <w:caps w:val="0"/>
          <w:noProof/>
          <w:sz w:val="22"/>
          <w:szCs w:val="22"/>
          <w:lang w:eastAsia="en-GB"/>
        </w:rPr>
      </w:pPr>
      <w:r>
        <w:rPr>
          <w:noProof/>
        </w:rPr>
        <w:t>4</w:t>
      </w:r>
      <w:r>
        <w:rPr>
          <w:rFonts w:asciiTheme="minorHAnsi" w:eastAsiaTheme="minorEastAsia" w:hAnsiTheme="minorHAnsi" w:cstheme="minorBidi"/>
          <w:b w:val="0"/>
          <w:bCs w:val="0"/>
          <w:caps w:val="0"/>
          <w:noProof/>
          <w:sz w:val="22"/>
          <w:szCs w:val="22"/>
          <w:lang w:eastAsia="en-GB"/>
        </w:rPr>
        <w:tab/>
      </w:r>
      <w:r>
        <w:rPr>
          <w:noProof/>
        </w:rPr>
        <w:t>DRIVERS OF WILD MEAT OVER-EXPLOITATION</w:t>
      </w:r>
      <w:r>
        <w:rPr>
          <w:noProof/>
        </w:rPr>
        <w:tab/>
      </w:r>
      <w:r>
        <w:rPr>
          <w:noProof/>
        </w:rPr>
        <w:fldChar w:fldCharType="begin"/>
      </w:r>
      <w:r>
        <w:rPr>
          <w:noProof/>
        </w:rPr>
        <w:instrText xml:space="preserve"> PAGEREF _Toc529390345 \h </w:instrText>
      </w:r>
      <w:r>
        <w:rPr>
          <w:noProof/>
        </w:rPr>
      </w:r>
      <w:r>
        <w:rPr>
          <w:noProof/>
        </w:rPr>
        <w:fldChar w:fldCharType="separate"/>
      </w:r>
      <w:r w:rsidR="00DF57F3">
        <w:rPr>
          <w:noProof/>
        </w:rPr>
        <w:t>38</w:t>
      </w:r>
      <w:r>
        <w:rPr>
          <w:noProof/>
        </w:rPr>
        <w:fldChar w:fldCharType="end"/>
      </w:r>
    </w:p>
    <w:p w14:paraId="440327E4" w14:textId="3F41C1D8" w:rsidR="008E47ED" w:rsidRDefault="008E47ED">
      <w:pPr>
        <w:pStyle w:val="TOC2"/>
        <w:rPr>
          <w:rFonts w:asciiTheme="minorHAnsi" w:eastAsiaTheme="minorEastAsia" w:hAnsiTheme="minorHAnsi" w:cstheme="minorBidi"/>
          <w:b w:val="0"/>
          <w:bCs w:val="0"/>
          <w:sz w:val="22"/>
          <w:szCs w:val="22"/>
          <w:lang w:eastAsia="en-GB"/>
        </w:rPr>
      </w:pPr>
      <w:r>
        <w:t>4.1</w:t>
      </w:r>
      <w:r>
        <w:rPr>
          <w:rFonts w:asciiTheme="minorHAnsi" w:eastAsiaTheme="minorEastAsia" w:hAnsiTheme="minorHAnsi" w:cstheme="minorBidi"/>
          <w:b w:val="0"/>
          <w:bCs w:val="0"/>
          <w:sz w:val="22"/>
          <w:szCs w:val="22"/>
          <w:lang w:eastAsia="en-GB"/>
        </w:rPr>
        <w:tab/>
      </w:r>
      <w:r>
        <w:t>Low productivity ecosystems</w:t>
      </w:r>
      <w:r>
        <w:tab/>
      </w:r>
      <w:r>
        <w:fldChar w:fldCharType="begin"/>
      </w:r>
      <w:r>
        <w:instrText xml:space="preserve"> PAGEREF _Toc529390346 \h </w:instrText>
      </w:r>
      <w:r>
        <w:fldChar w:fldCharType="separate"/>
      </w:r>
      <w:r w:rsidR="00DF57F3">
        <w:t>38</w:t>
      </w:r>
      <w:r>
        <w:fldChar w:fldCharType="end"/>
      </w:r>
    </w:p>
    <w:p w14:paraId="481E409A" w14:textId="67FEB1D5" w:rsidR="008E47ED" w:rsidRDefault="008E47ED">
      <w:pPr>
        <w:pStyle w:val="TOC2"/>
        <w:rPr>
          <w:rFonts w:asciiTheme="minorHAnsi" w:eastAsiaTheme="minorEastAsia" w:hAnsiTheme="minorHAnsi" w:cstheme="minorBidi"/>
          <w:b w:val="0"/>
          <w:bCs w:val="0"/>
          <w:sz w:val="22"/>
          <w:szCs w:val="22"/>
          <w:lang w:eastAsia="en-GB"/>
        </w:rPr>
      </w:pPr>
      <w:r>
        <w:t>4.2</w:t>
      </w:r>
      <w:r>
        <w:rPr>
          <w:rFonts w:asciiTheme="minorHAnsi" w:eastAsiaTheme="minorEastAsia" w:hAnsiTheme="minorHAnsi" w:cstheme="minorBidi"/>
          <w:b w:val="0"/>
          <w:bCs w:val="0"/>
          <w:sz w:val="22"/>
          <w:szCs w:val="22"/>
          <w:lang w:eastAsia="en-GB"/>
        </w:rPr>
        <w:tab/>
      </w:r>
      <w:r>
        <w:t>Increased access to new lands</w:t>
      </w:r>
      <w:r>
        <w:tab/>
      </w:r>
      <w:r>
        <w:fldChar w:fldCharType="begin"/>
      </w:r>
      <w:r>
        <w:instrText xml:space="preserve"> PAGEREF _Toc529390347 \h </w:instrText>
      </w:r>
      <w:r>
        <w:fldChar w:fldCharType="separate"/>
      </w:r>
      <w:r w:rsidR="00DF57F3">
        <w:t>38</w:t>
      </w:r>
      <w:r>
        <w:fldChar w:fldCharType="end"/>
      </w:r>
    </w:p>
    <w:p w14:paraId="4BA12791" w14:textId="60C0A30B" w:rsidR="008E47ED" w:rsidRDefault="008E47ED">
      <w:pPr>
        <w:pStyle w:val="TOC2"/>
        <w:rPr>
          <w:rFonts w:asciiTheme="minorHAnsi" w:eastAsiaTheme="minorEastAsia" w:hAnsiTheme="minorHAnsi" w:cstheme="minorBidi"/>
          <w:b w:val="0"/>
          <w:bCs w:val="0"/>
          <w:sz w:val="22"/>
          <w:szCs w:val="22"/>
          <w:lang w:eastAsia="en-GB"/>
        </w:rPr>
      </w:pPr>
      <w:r>
        <w:t>4.3</w:t>
      </w:r>
      <w:r>
        <w:rPr>
          <w:rFonts w:asciiTheme="minorHAnsi" w:eastAsiaTheme="minorEastAsia" w:hAnsiTheme="minorHAnsi" w:cstheme="minorBidi"/>
          <w:b w:val="0"/>
          <w:bCs w:val="0"/>
          <w:sz w:val="22"/>
          <w:szCs w:val="22"/>
          <w:lang w:eastAsia="en-GB"/>
        </w:rPr>
        <w:tab/>
      </w:r>
      <w:r>
        <w:t>Human demographic and economic change</w:t>
      </w:r>
      <w:r>
        <w:tab/>
      </w:r>
      <w:r>
        <w:fldChar w:fldCharType="begin"/>
      </w:r>
      <w:r>
        <w:instrText xml:space="preserve"> PAGEREF _Toc529390348 \h </w:instrText>
      </w:r>
      <w:r>
        <w:fldChar w:fldCharType="separate"/>
      </w:r>
      <w:r w:rsidR="00DF57F3">
        <w:t>40</w:t>
      </w:r>
      <w:r>
        <w:fldChar w:fldCharType="end"/>
      </w:r>
    </w:p>
    <w:p w14:paraId="0077B46E" w14:textId="6834841D" w:rsidR="008E47ED" w:rsidRDefault="008E47ED">
      <w:pPr>
        <w:pStyle w:val="TOC2"/>
        <w:rPr>
          <w:rFonts w:asciiTheme="minorHAnsi" w:eastAsiaTheme="minorEastAsia" w:hAnsiTheme="minorHAnsi" w:cstheme="minorBidi"/>
          <w:b w:val="0"/>
          <w:bCs w:val="0"/>
          <w:sz w:val="22"/>
          <w:szCs w:val="22"/>
          <w:lang w:eastAsia="en-GB"/>
        </w:rPr>
      </w:pPr>
      <w:r>
        <w:t>4.4</w:t>
      </w:r>
      <w:r>
        <w:rPr>
          <w:rFonts w:asciiTheme="minorHAnsi" w:eastAsiaTheme="minorEastAsia" w:hAnsiTheme="minorHAnsi" w:cstheme="minorBidi"/>
          <w:b w:val="0"/>
          <w:bCs w:val="0"/>
          <w:sz w:val="22"/>
          <w:szCs w:val="22"/>
          <w:lang w:eastAsia="en-GB"/>
        </w:rPr>
        <w:tab/>
      </w:r>
      <w:r>
        <w:t>Current governance issues in curbing over-exploitation</w:t>
      </w:r>
      <w:r>
        <w:tab/>
      </w:r>
      <w:r>
        <w:fldChar w:fldCharType="begin"/>
      </w:r>
      <w:r>
        <w:instrText xml:space="preserve"> PAGEREF _Toc529390349 \h </w:instrText>
      </w:r>
      <w:r>
        <w:fldChar w:fldCharType="separate"/>
      </w:r>
      <w:r w:rsidR="00DF57F3">
        <w:t>44</w:t>
      </w:r>
      <w:r>
        <w:fldChar w:fldCharType="end"/>
      </w:r>
    </w:p>
    <w:p w14:paraId="0B518FC5" w14:textId="10DD7DE5" w:rsidR="008E47ED" w:rsidRDefault="008E47ED">
      <w:pPr>
        <w:pStyle w:val="TOC1"/>
        <w:rPr>
          <w:rFonts w:asciiTheme="minorHAnsi" w:eastAsiaTheme="minorEastAsia" w:hAnsiTheme="minorHAnsi" w:cstheme="minorBidi"/>
          <w:b w:val="0"/>
          <w:bCs w:val="0"/>
          <w:caps w:val="0"/>
          <w:noProof/>
          <w:sz w:val="22"/>
          <w:szCs w:val="22"/>
          <w:lang w:eastAsia="en-GB"/>
        </w:rPr>
      </w:pPr>
      <w:r>
        <w:rPr>
          <w:noProof/>
        </w:rPr>
        <w:t>5</w:t>
      </w:r>
      <w:r>
        <w:rPr>
          <w:rFonts w:asciiTheme="minorHAnsi" w:eastAsiaTheme="minorEastAsia" w:hAnsiTheme="minorHAnsi" w:cstheme="minorBidi"/>
          <w:b w:val="0"/>
          <w:bCs w:val="0"/>
          <w:caps w:val="0"/>
          <w:noProof/>
          <w:sz w:val="22"/>
          <w:szCs w:val="22"/>
          <w:lang w:eastAsia="en-GB"/>
        </w:rPr>
        <w:tab/>
      </w:r>
      <w:r>
        <w:rPr>
          <w:noProof/>
        </w:rPr>
        <w:t>IMPACTS OF WILD MEAT OVER-EXPLOITATION</w:t>
      </w:r>
      <w:r>
        <w:rPr>
          <w:noProof/>
        </w:rPr>
        <w:tab/>
      </w:r>
      <w:r>
        <w:rPr>
          <w:noProof/>
        </w:rPr>
        <w:fldChar w:fldCharType="begin"/>
      </w:r>
      <w:r>
        <w:rPr>
          <w:noProof/>
        </w:rPr>
        <w:instrText xml:space="preserve"> PAGEREF _Toc529390350 \h </w:instrText>
      </w:r>
      <w:r>
        <w:rPr>
          <w:noProof/>
        </w:rPr>
      </w:r>
      <w:r>
        <w:rPr>
          <w:noProof/>
        </w:rPr>
        <w:fldChar w:fldCharType="separate"/>
      </w:r>
      <w:r w:rsidR="00DF57F3">
        <w:rPr>
          <w:noProof/>
        </w:rPr>
        <w:t>46</w:t>
      </w:r>
      <w:r>
        <w:rPr>
          <w:noProof/>
        </w:rPr>
        <w:fldChar w:fldCharType="end"/>
      </w:r>
    </w:p>
    <w:p w14:paraId="530527B2" w14:textId="7CB542C5" w:rsidR="008E47ED" w:rsidRDefault="008E47ED">
      <w:pPr>
        <w:pStyle w:val="TOC2"/>
        <w:rPr>
          <w:rFonts w:asciiTheme="minorHAnsi" w:eastAsiaTheme="minorEastAsia" w:hAnsiTheme="minorHAnsi" w:cstheme="minorBidi"/>
          <w:b w:val="0"/>
          <w:bCs w:val="0"/>
          <w:sz w:val="22"/>
          <w:szCs w:val="22"/>
          <w:lang w:eastAsia="en-GB"/>
        </w:rPr>
      </w:pPr>
      <w:r>
        <w:t>5.1</w:t>
      </w:r>
      <w:r>
        <w:rPr>
          <w:rFonts w:asciiTheme="minorHAnsi" w:eastAsiaTheme="minorEastAsia" w:hAnsiTheme="minorHAnsi" w:cstheme="minorBidi"/>
          <w:b w:val="0"/>
          <w:bCs w:val="0"/>
          <w:sz w:val="22"/>
          <w:szCs w:val="22"/>
          <w:lang w:eastAsia="en-GB"/>
        </w:rPr>
        <w:tab/>
      </w:r>
      <w:r>
        <w:t>Impacts on wildlife populations</w:t>
      </w:r>
      <w:r>
        <w:tab/>
      </w:r>
      <w:r>
        <w:fldChar w:fldCharType="begin"/>
      </w:r>
      <w:r>
        <w:instrText xml:space="preserve"> PAGEREF _Toc529390351 \h </w:instrText>
      </w:r>
      <w:r>
        <w:fldChar w:fldCharType="separate"/>
      </w:r>
      <w:r w:rsidR="00DF57F3">
        <w:t>46</w:t>
      </w:r>
      <w:r>
        <w:fldChar w:fldCharType="end"/>
      </w:r>
    </w:p>
    <w:p w14:paraId="07D0C6AD" w14:textId="45486496" w:rsidR="008E47ED" w:rsidRDefault="008E47ED">
      <w:pPr>
        <w:pStyle w:val="TOC2"/>
        <w:rPr>
          <w:rFonts w:asciiTheme="minorHAnsi" w:eastAsiaTheme="minorEastAsia" w:hAnsiTheme="minorHAnsi" w:cstheme="minorBidi"/>
          <w:b w:val="0"/>
          <w:bCs w:val="0"/>
          <w:sz w:val="22"/>
          <w:szCs w:val="22"/>
          <w:lang w:eastAsia="en-GB"/>
        </w:rPr>
      </w:pPr>
      <w:r>
        <w:t>5.2</w:t>
      </w:r>
      <w:r>
        <w:rPr>
          <w:rFonts w:asciiTheme="minorHAnsi" w:eastAsiaTheme="minorEastAsia" w:hAnsiTheme="minorHAnsi" w:cstheme="minorBidi"/>
          <w:b w:val="0"/>
          <w:bCs w:val="0"/>
          <w:sz w:val="22"/>
          <w:szCs w:val="22"/>
          <w:lang w:eastAsia="en-GB"/>
        </w:rPr>
        <w:tab/>
      </w:r>
      <w:r>
        <w:t>Impacts on wildlife distribution across the landscape</w:t>
      </w:r>
      <w:r>
        <w:tab/>
      </w:r>
      <w:r>
        <w:fldChar w:fldCharType="begin"/>
      </w:r>
      <w:r>
        <w:instrText xml:space="preserve"> PAGEREF _Toc529390352 \h </w:instrText>
      </w:r>
      <w:r>
        <w:fldChar w:fldCharType="separate"/>
      </w:r>
      <w:r w:rsidR="00DF57F3">
        <w:t>47</w:t>
      </w:r>
      <w:r>
        <w:fldChar w:fldCharType="end"/>
      </w:r>
    </w:p>
    <w:p w14:paraId="6F627EF6" w14:textId="29C6AE68" w:rsidR="008E47ED" w:rsidRDefault="008E47ED">
      <w:pPr>
        <w:pStyle w:val="TOC2"/>
        <w:rPr>
          <w:rFonts w:asciiTheme="minorHAnsi" w:eastAsiaTheme="minorEastAsia" w:hAnsiTheme="minorHAnsi" w:cstheme="minorBidi"/>
          <w:b w:val="0"/>
          <w:bCs w:val="0"/>
          <w:sz w:val="22"/>
          <w:szCs w:val="22"/>
          <w:lang w:eastAsia="en-GB"/>
        </w:rPr>
      </w:pPr>
      <w:r>
        <w:t>5.3</w:t>
      </w:r>
      <w:r>
        <w:rPr>
          <w:rFonts w:asciiTheme="minorHAnsi" w:eastAsiaTheme="minorEastAsia" w:hAnsiTheme="minorHAnsi" w:cstheme="minorBidi"/>
          <w:b w:val="0"/>
          <w:bCs w:val="0"/>
          <w:sz w:val="22"/>
          <w:szCs w:val="22"/>
          <w:lang w:eastAsia="en-GB"/>
        </w:rPr>
        <w:tab/>
      </w:r>
      <w:r>
        <w:t>Impacts on ecosystem function</w:t>
      </w:r>
      <w:r>
        <w:tab/>
      </w:r>
      <w:r>
        <w:fldChar w:fldCharType="begin"/>
      </w:r>
      <w:r>
        <w:instrText xml:space="preserve"> PAGEREF _Toc529390353 \h </w:instrText>
      </w:r>
      <w:r>
        <w:fldChar w:fldCharType="separate"/>
      </w:r>
      <w:r w:rsidR="00DF57F3">
        <w:t>50</w:t>
      </w:r>
      <w:r>
        <w:fldChar w:fldCharType="end"/>
      </w:r>
    </w:p>
    <w:p w14:paraId="30AD9256" w14:textId="75ECAA08" w:rsidR="008E47ED" w:rsidRDefault="008E47ED">
      <w:pPr>
        <w:pStyle w:val="TOC2"/>
        <w:rPr>
          <w:rFonts w:asciiTheme="minorHAnsi" w:eastAsiaTheme="minorEastAsia" w:hAnsiTheme="minorHAnsi" w:cstheme="minorBidi"/>
          <w:b w:val="0"/>
          <w:bCs w:val="0"/>
          <w:sz w:val="22"/>
          <w:szCs w:val="22"/>
          <w:lang w:eastAsia="en-GB"/>
        </w:rPr>
      </w:pPr>
      <w:r>
        <w:t>5.4</w:t>
      </w:r>
      <w:r>
        <w:rPr>
          <w:rFonts w:asciiTheme="minorHAnsi" w:eastAsiaTheme="minorEastAsia" w:hAnsiTheme="minorHAnsi" w:cstheme="minorBidi"/>
          <w:b w:val="0"/>
          <w:bCs w:val="0"/>
          <w:sz w:val="22"/>
          <w:szCs w:val="22"/>
          <w:lang w:eastAsia="en-GB"/>
        </w:rPr>
        <w:tab/>
      </w:r>
      <w:r>
        <w:t>Impacts on human livelihoods</w:t>
      </w:r>
      <w:r>
        <w:tab/>
      </w:r>
      <w:r>
        <w:fldChar w:fldCharType="begin"/>
      </w:r>
      <w:r>
        <w:instrText xml:space="preserve"> PAGEREF _Toc529390354 \h </w:instrText>
      </w:r>
      <w:r>
        <w:fldChar w:fldCharType="separate"/>
      </w:r>
      <w:r w:rsidR="00DF57F3">
        <w:t>51</w:t>
      </w:r>
      <w:r>
        <w:fldChar w:fldCharType="end"/>
      </w:r>
    </w:p>
    <w:p w14:paraId="0DD3C789" w14:textId="3041AEF4" w:rsidR="008E47ED" w:rsidRDefault="008E47ED">
      <w:pPr>
        <w:pStyle w:val="TOC1"/>
        <w:rPr>
          <w:rFonts w:asciiTheme="minorHAnsi" w:eastAsiaTheme="minorEastAsia" w:hAnsiTheme="minorHAnsi" w:cstheme="minorBidi"/>
          <w:b w:val="0"/>
          <w:bCs w:val="0"/>
          <w:caps w:val="0"/>
          <w:noProof/>
          <w:sz w:val="22"/>
          <w:szCs w:val="22"/>
          <w:lang w:eastAsia="en-GB"/>
        </w:rPr>
      </w:pPr>
      <w:r>
        <w:rPr>
          <w:noProof/>
        </w:rPr>
        <w:t>6</w:t>
      </w:r>
      <w:r>
        <w:rPr>
          <w:rFonts w:asciiTheme="minorHAnsi" w:eastAsiaTheme="minorEastAsia" w:hAnsiTheme="minorHAnsi" w:cstheme="minorBidi"/>
          <w:b w:val="0"/>
          <w:bCs w:val="0"/>
          <w:caps w:val="0"/>
          <w:noProof/>
          <w:sz w:val="22"/>
          <w:szCs w:val="22"/>
          <w:lang w:eastAsia="en-GB"/>
        </w:rPr>
        <w:tab/>
      </w:r>
      <w:r>
        <w:rPr>
          <w:noProof/>
        </w:rPr>
        <w:t>Four common scenarios of wildmeat use, and potential management strategies</w:t>
      </w:r>
      <w:r>
        <w:rPr>
          <w:noProof/>
        </w:rPr>
        <w:tab/>
      </w:r>
      <w:r>
        <w:rPr>
          <w:noProof/>
        </w:rPr>
        <w:fldChar w:fldCharType="begin"/>
      </w:r>
      <w:r>
        <w:rPr>
          <w:noProof/>
        </w:rPr>
        <w:instrText xml:space="preserve"> PAGEREF _Toc529390355 \h </w:instrText>
      </w:r>
      <w:r>
        <w:rPr>
          <w:noProof/>
        </w:rPr>
      </w:r>
      <w:r>
        <w:rPr>
          <w:noProof/>
        </w:rPr>
        <w:fldChar w:fldCharType="separate"/>
      </w:r>
      <w:r w:rsidR="00DF57F3">
        <w:rPr>
          <w:noProof/>
        </w:rPr>
        <w:t>54</w:t>
      </w:r>
      <w:r>
        <w:rPr>
          <w:noProof/>
        </w:rPr>
        <w:fldChar w:fldCharType="end"/>
      </w:r>
    </w:p>
    <w:p w14:paraId="109A8187" w14:textId="02AB9952" w:rsidR="008E47ED" w:rsidRDefault="008E47ED">
      <w:pPr>
        <w:pStyle w:val="TOC2"/>
        <w:rPr>
          <w:rFonts w:asciiTheme="minorHAnsi" w:eastAsiaTheme="minorEastAsia" w:hAnsiTheme="minorHAnsi" w:cstheme="minorBidi"/>
          <w:b w:val="0"/>
          <w:bCs w:val="0"/>
          <w:sz w:val="22"/>
          <w:szCs w:val="22"/>
          <w:lang w:eastAsia="en-GB"/>
        </w:rPr>
      </w:pPr>
      <w:r>
        <w:t>6.1</w:t>
      </w:r>
      <w:r>
        <w:rPr>
          <w:rFonts w:asciiTheme="minorHAnsi" w:eastAsiaTheme="minorEastAsia" w:hAnsiTheme="minorHAnsi" w:cstheme="minorBidi"/>
          <w:b w:val="0"/>
          <w:bCs w:val="0"/>
          <w:sz w:val="22"/>
          <w:szCs w:val="22"/>
          <w:lang w:eastAsia="en-GB"/>
        </w:rPr>
        <w:tab/>
      </w:r>
      <w:r>
        <w:t>Scenario 1: Rural communities.</w:t>
      </w:r>
      <w:r>
        <w:tab/>
      </w:r>
      <w:r>
        <w:fldChar w:fldCharType="begin"/>
      </w:r>
      <w:r>
        <w:instrText xml:space="preserve"> PAGEREF _Toc529390356 \h </w:instrText>
      </w:r>
      <w:r>
        <w:fldChar w:fldCharType="separate"/>
      </w:r>
      <w:r w:rsidR="00DF57F3">
        <w:t>54</w:t>
      </w:r>
      <w:r>
        <w:fldChar w:fldCharType="end"/>
      </w:r>
    </w:p>
    <w:p w14:paraId="1267D8B6" w14:textId="16CDFEE0" w:rsidR="008E47ED" w:rsidRDefault="008E47ED">
      <w:pPr>
        <w:pStyle w:val="TOC2"/>
        <w:rPr>
          <w:rFonts w:asciiTheme="minorHAnsi" w:eastAsiaTheme="minorEastAsia" w:hAnsiTheme="minorHAnsi" w:cstheme="minorBidi"/>
          <w:b w:val="0"/>
          <w:bCs w:val="0"/>
          <w:sz w:val="22"/>
          <w:szCs w:val="22"/>
          <w:lang w:eastAsia="en-GB"/>
        </w:rPr>
      </w:pPr>
      <w:r>
        <w:t>6.2</w:t>
      </w:r>
      <w:r>
        <w:rPr>
          <w:rFonts w:asciiTheme="minorHAnsi" w:eastAsiaTheme="minorEastAsia" w:hAnsiTheme="minorHAnsi" w:cstheme="minorBidi"/>
          <w:b w:val="0"/>
          <w:bCs w:val="0"/>
          <w:sz w:val="22"/>
          <w:szCs w:val="22"/>
          <w:lang w:eastAsia="en-GB"/>
        </w:rPr>
        <w:tab/>
      </w:r>
      <w:r>
        <w:t>Scenario 2: Newly urbanising populations.</w:t>
      </w:r>
      <w:r>
        <w:tab/>
      </w:r>
      <w:r>
        <w:fldChar w:fldCharType="begin"/>
      </w:r>
      <w:r>
        <w:instrText xml:space="preserve"> PAGEREF _Toc529390357 \h </w:instrText>
      </w:r>
      <w:r>
        <w:fldChar w:fldCharType="separate"/>
      </w:r>
      <w:r w:rsidR="00DF57F3">
        <w:t>55</w:t>
      </w:r>
      <w:r>
        <w:fldChar w:fldCharType="end"/>
      </w:r>
    </w:p>
    <w:p w14:paraId="34F1683A" w14:textId="570B8641" w:rsidR="008E47ED" w:rsidRDefault="008E47ED">
      <w:pPr>
        <w:pStyle w:val="TOC2"/>
        <w:rPr>
          <w:rFonts w:asciiTheme="minorHAnsi" w:eastAsiaTheme="minorEastAsia" w:hAnsiTheme="minorHAnsi" w:cstheme="minorBidi"/>
          <w:b w:val="0"/>
          <w:bCs w:val="0"/>
          <w:sz w:val="22"/>
          <w:szCs w:val="22"/>
          <w:lang w:eastAsia="en-GB"/>
        </w:rPr>
      </w:pPr>
      <w:r>
        <w:t>6.3</w:t>
      </w:r>
      <w:r>
        <w:rPr>
          <w:rFonts w:asciiTheme="minorHAnsi" w:eastAsiaTheme="minorEastAsia" w:hAnsiTheme="minorHAnsi" w:cstheme="minorBidi"/>
          <w:b w:val="0"/>
          <w:bCs w:val="0"/>
          <w:sz w:val="22"/>
          <w:szCs w:val="22"/>
          <w:lang w:eastAsia="en-GB"/>
        </w:rPr>
        <w:tab/>
      </w:r>
      <w:r>
        <w:t>Scenario 3: Populations of large metropolitan areas.</w:t>
      </w:r>
      <w:r>
        <w:tab/>
      </w:r>
      <w:r>
        <w:fldChar w:fldCharType="begin"/>
      </w:r>
      <w:r>
        <w:instrText xml:space="preserve"> PAGEREF _Toc529390358 \h </w:instrText>
      </w:r>
      <w:r>
        <w:fldChar w:fldCharType="separate"/>
      </w:r>
      <w:r w:rsidR="00DF57F3">
        <w:t>55</w:t>
      </w:r>
      <w:r>
        <w:fldChar w:fldCharType="end"/>
      </w:r>
    </w:p>
    <w:p w14:paraId="2C38560F" w14:textId="228EAF9B" w:rsidR="008E47ED" w:rsidRDefault="008E47ED">
      <w:pPr>
        <w:pStyle w:val="TOC2"/>
        <w:rPr>
          <w:rFonts w:asciiTheme="minorHAnsi" w:eastAsiaTheme="minorEastAsia" w:hAnsiTheme="minorHAnsi" w:cstheme="minorBidi"/>
          <w:b w:val="0"/>
          <w:bCs w:val="0"/>
          <w:sz w:val="22"/>
          <w:szCs w:val="22"/>
          <w:lang w:eastAsia="en-GB"/>
        </w:rPr>
      </w:pPr>
      <w:r>
        <w:t>6.4</w:t>
      </w:r>
      <w:r>
        <w:rPr>
          <w:rFonts w:asciiTheme="minorHAnsi" w:eastAsiaTheme="minorEastAsia" w:hAnsiTheme="minorHAnsi" w:cstheme="minorBidi"/>
          <w:b w:val="0"/>
          <w:bCs w:val="0"/>
          <w:sz w:val="22"/>
          <w:szCs w:val="22"/>
          <w:lang w:eastAsia="en-GB"/>
        </w:rPr>
        <w:tab/>
      </w:r>
      <w:r>
        <w:t>Scenario 4: International consumers.</w:t>
      </w:r>
      <w:r>
        <w:tab/>
      </w:r>
      <w:r>
        <w:fldChar w:fldCharType="begin"/>
      </w:r>
      <w:r>
        <w:instrText xml:space="preserve"> PAGEREF _Toc529390359 \h </w:instrText>
      </w:r>
      <w:r>
        <w:fldChar w:fldCharType="separate"/>
      </w:r>
      <w:r w:rsidR="00DF57F3">
        <w:t>56</w:t>
      </w:r>
      <w:r>
        <w:fldChar w:fldCharType="end"/>
      </w:r>
    </w:p>
    <w:p w14:paraId="084A40E3" w14:textId="58C857DC" w:rsidR="008E47ED" w:rsidRDefault="008E47ED">
      <w:pPr>
        <w:pStyle w:val="TOC1"/>
        <w:rPr>
          <w:rFonts w:asciiTheme="minorHAnsi" w:eastAsiaTheme="minorEastAsia" w:hAnsiTheme="minorHAnsi" w:cstheme="minorBidi"/>
          <w:b w:val="0"/>
          <w:bCs w:val="0"/>
          <w:caps w:val="0"/>
          <w:noProof/>
          <w:sz w:val="22"/>
          <w:szCs w:val="22"/>
          <w:lang w:eastAsia="en-GB"/>
        </w:rPr>
      </w:pPr>
      <w:r>
        <w:rPr>
          <w:noProof/>
        </w:rPr>
        <w:t>7</w:t>
      </w:r>
      <w:r>
        <w:rPr>
          <w:rFonts w:asciiTheme="minorHAnsi" w:eastAsiaTheme="minorEastAsia" w:hAnsiTheme="minorHAnsi" w:cstheme="minorBidi"/>
          <w:b w:val="0"/>
          <w:bCs w:val="0"/>
          <w:caps w:val="0"/>
          <w:noProof/>
          <w:sz w:val="22"/>
          <w:szCs w:val="22"/>
          <w:lang w:eastAsia="en-GB"/>
        </w:rPr>
        <w:tab/>
      </w:r>
      <w:r>
        <w:rPr>
          <w:noProof/>
        </w:rPr>
        <w:t>CREATING AN ENABLING ENVIRONMENT</w:t>
      </w:r>
      <w:r>
        <w:rPr>
          <w:noProof/>
        </w:rPr>
        <w:tab/>
      </w:r>
      <w:r>
        <w:rPr>
          <w:noProof/>
        </w:rPr>
        <w:fldChar w:fldCharType="begin"/>
      </w:r>
      <w:r>
        <w:rPr>
          <w:noProof/>
        </w:rPr>
        <w:instrText xml:space="preserve"> PAGEREF _Toc529390360 \h </w:instrText>
      </w:r>
      <w:r>
        <w:rPr>
          <w:noProof/>
        </w:rPr>
      </w:r>
      <w:r>
        <w:rPr>
          <w:noProof/>
        </w:rPr>
        <w:fldChar w:fldCharType="separate"/>
      </w:r>
      <w:r w:rsidR="00DF57F3">
        <w:rPr>
          <w:noProof/>
        </w:rPr>
        <w:t>58</w:t>
      </w:r>
      <w:r>
        <w:rPr>
          <w:noProof/>
        </w:rPr>
        <w:fldChar w:fldCharType="end"/>
      </w:r>
    </w:p>
    <w:p w14:paraId="23A80A3A" w14:textId="5072EE75" w:rsidR="008E47ED" w:rsidRDefault="008E47ED">
      <w:pPr>
        <w:pStyle w:val="TOC2"/>
        <w:rPr>
          <w:rFonts w:asciiTheme="minorHAnsi" w:eastAsiaTheme="minorEastAsia" w:hAnsiTheme="minorHAnsi" w:cstheme="minorBidi"/>
          <w:b w:val="0"/>
          <w:bCs w:val="0"/>
          <w:sz w:val="22"/>
          <w:szCs w:val="22"/>
          <w:lang w:eastAsia="en-GB"/>
        </w:rPr>
      </w:pPr>
      <w:r>
        <w:t>7.1</w:t>
      </w:r>
      <w:r>
        <w:rPr>
          <w:rFonts w:asciiTheme="minorHAnsi" w:eastAsiaTheme="minorEastAsia" w:hAnsiTheme="minorHAnsi" w:cstheme="minorBidi"/>
          <w:b w:val="0"/>
          <w:bCs w:val="0"/>
          <w:sz w:val="22"/>
          <w:szCs w:val="22"/>
          <w:lang w:eastAsia="en-GB"/>
        </w:rPr>
        <w:tab/>
      </w:r>
      <w:r>
        <w:t>International governance</w:t>
      </w:r>
      <w:r>
        <w:tab/>
      </w:r>
      <w:r>
        <w:fldChar w:fldCharType="begin"/>
      </w:r>
      <w:r>
        <w:instrText xml:space="preserve"> PAGEREF _Toc529390361 \h </w:instrText>
      </w:r>
      <w:r>
        <w:fldChar w:fldCharType="separate"/>
      </w:r>
      <w:r w:rsidR="00DF57F3">
        <w:t>59</w:t>
      </w:r>
      <w:r>
        <w:fldChar w:fldCharType="end"/>
      </w:r>
    </w:p>
    <w:p w14:paraId="009D0AAC" w14:textId="0DADF920" w:rsidR="008E47ED" w:rsidRDefault="008E47ED">
      <w:pPr>
        <w:pStyle w:val="TOC2"/>
        <w:rPr>
          <w:rFonts w:asciiTheme="minorHAnsi" w:eastAsiaTheme="minorEastAsia" w:hAnsiTheme="minorHAnsi" w:cstheme="minorBidi"/>
          <w:b w:val="0"/>
          <w:bCs w:val="0"/>
          <w:sz w:val="22"/>
          <w:szCs w:val="22"/>
          <w:lang w:eastAsia="en-GB"/>
        </w:rPr>
      </w:pPr>
      <w:r>
        <w:t>7.2</w:t>
      </w:r>
      <w:r>
        <w:rPr>
          <w:rFonts w:asciiTheme="minorHAnsi" w:eastAsiaTheme="minorEastAsia" w:hAnsiTheme="minorHAnsi" w:cstheme="minorBidi"/>
          <w:b w:val="0"/>
          <w:bCs w:val="0"/>
          <w:sz w:val="22"/>
          <w:szCs w:val="22"/>
          <w:lang w:eastAsia="en-GB"/>
        </w:rPr>
        <w:tab/>
      </w:r>
      <w:r>
        <w:t>Regional governance related to the wild meat sector</w:t>
      </w:r>
      <w:r>
        <w:tab/>
      </w:r>
      <w:r>
        <w:fldChar w:fldCharType="begin"/>
      </w:r>
      <w:r>
        <w:instrText xml:space="preserve"> PAGEREF _Toc529390362 \h </w:instrText>
      </w:r>
      <w:r>
        <w:fldChar w:fldCharType="separate"/>
      </w:r>
      <w:r w:rsidR="00DF57F3">
        <w:t>64</w:t>
      </w:r>
      <w:r>
        <w:fldChar w:fldCharType="end"/>
      </w:r>
    </w:p>
    <w:p w14:paraId="23AF136C" w14:textId="01E97622" w:rsidR="008E47ED" w:rsidRDefault="008E47ED">
      <w:pPr>
        <w:pStyle w:val="TOC2"/>
        <w:rPr>
          <w:rFonts w:asciiTheme="minorHAnsi" w:eastAsiaTheme="minorEastAsia" w:hAnsiTheme="minorHAnsi" w:cstheme="minorBidi"/>
          <w:b w:val="0"/>
          <w:bCs w:val="0"/>
          <w:sz w:val="22"/>
          <w:szCs w:val="22"/>
          <w:lang w:eastAsia="en-GB"/>
        </w:rPr>
      </w:pPr>
      <w:r>
        <w:t>7.3</w:t>
      </w:r>
      <w:r>
        <w:rPr>
          <w:rFonts w:asciiTheme="minorHAnsi" w:eastAsiaTheme="minorEastAsia" w:hAnsiTheme="minorHAnsi" w:cstheme="minorBidi"/>
          <w:b w:val="0"/>
          <w:bCs w:val="0"/>
          <w:sz w:val="22"/>
          <w:szCs w:val="22"/>
          <w:lang w:eastAsia="en-GB"/>
        </w:rPr>
        <w:tab/>
      </w:r>
      <w:r>
        <w:t>Voluntary intergovernmental and multi-stakeholder initiatives</w:t>
      </w:r>
      <w:r>
        <w:tab/>
      </w:r>
      <w:r>
        <w:fldChar w:fldCharType="begin"/>
      </w:r>
      <w:r>
        <w:instrText xml:space="preserve"> PAGEREF _Toc529390363 \h </w:instrText>
      </w:r>
      <w:r>
        <w:fldChar w:fldCharType="separate"/>
      </w:r>
      <w:r w:rsidR="00DF57F3">
        <w:t>66</w:t>
      </w:r>
      <w:r>
        <w:fldChar w:fldCharType="end"/>
      </w:r>
    </w:p>
    <w:p w14:paraId="0E88CCC9" w14:textId="7CB7EA19" w:rsidR="008E47ED" w:rsidRDefault="008E47ED">
      <w:pPr>
        <w:pStyle w:val="TOC2"/>
        <w:rPr>
          <w:rFonts w:asciiTheme="minorHAnsi" w:eastAsiaTheme="minorEastAsia" w:hAnsiTheme="minorHAnsi" w:cstheme="minorBidi"/>
          <w:b w:val="0"/>
          <w:bCs w:val="0"/>
          <w:sz w:val="22"/>
          <w:szCs w:val="22"/>
          <w:lang w:eastAsia="en-GB"/>
        </w:rPr>
      </w:pPr>
      <w:r>
        <w:t>7.4</w:t>
      </w:r>
      <w:r>
        <w:rPr>
          <w:rFonts w:asciiTheme="minorHAnsi" w:eastAsiaTheme="minorEastAsia" w:hAnsiTheme="minorHAnsi" w:cstheme="minorBidi"/>
          <w:b w:val="0"/>
          <w:bCs w:val="0"/>
          <w:sz w:val="22"/>
          <w:szCs w:val="22"/>
          <w:lang w:eastAsia="en-GB"/>
        </w:rPr>
        <w:tab/>
      </w:r>
      <w:r>
        <w:t>National Governance</w:t>
      </w:r>
      <w:r>
        <w:tab/>
      </w:r>
      <w:r>
        <w:fldChar w:fldCharType="begin"/>
      </w:r>
      <w:r>
        <w:instrText xml:space="preserve"> PAGEREF _Toc529390364 \h </w:instrText>
      </w:r>
      <w:r>
        <w:fldChar w:fldCharType="separate"/>
      </w:r>
      <w:r w:rsidR="00DF57F3">
        <w:t>69</w:t>
      </w:r>
      <w:r>
        <w:fldChar w:fldCharType="end"/>
      </w:r>
    </w:p>
    <w:p w14:paraId="312502FD" w14:textId="3693208F" w:rsidR="008E47ED" w:rsidRDefault="008E47ED">
      <w:pPr>
        <w:pStyle w:val="TOC2"/>
        <w:rPr>
          <w:rFonts w:asciiTheme="minorHAnsi" w:eastAsiaTheme="minorEastAsia" w:hAnsiTheme="minorHAnsi" w:cstheme="minorBidi"/>
          <w:b w:val="0"/>
          <w:bCs w:val="0"/>
          <w:sz w:val="22"/>
          <w:szCs w:val="22"/>
          <w:lang w:eastAsia="en-GB"/>
        </w:rPr>
      </w:pPr>
      <w:r>
        <w:t>7.5</w:t>
      </w:r>
      <w:r>
        <w:rPr>
          <w:rFonts w:asciiTheme="minorHAnsi" w:eastAsiaTheme="minorEastAsia" w:hAnsiTheme="minorHAnsi" w:cstheme="minorBidi"/>
          <w:b w:val="0"/>
          <w:bCs w:val="0"/>
          <w:sz w:val="22"/>
          <w:szCs w:val="22"/>
          <w:lang w:eastAsia="en-GB"/>
        </w:rPr>
        <w:tab/>
      </w:r>
      <w:r>
        <w:t>Community governance and customary hunting systems</w:t>
      </w:r>
      <w:r>
        <w:tab/>
      </w:r>
      <w:r>
        <w:fldChar w:fldCharType="begin"/>
      </w:r>
      <w:r>
        <w:instrText xml:space="preserve"> PAGEREF _Toc529390365 \h </w:instrText>
      </w:r>
      <w:r>
        <w:fldChar w:fldCharType="separate"/>
      </w:r>
      <w:r w:rsidR="00DF57F3">
        <w:t>72</w:t>
      </w:r>
      <w:r>
        <w:fldChar w:fldCharType="end"/>
      </w:r>
    </w:p>
    <w:p w14:paraId="73F07C6F" w14:textId="66B451E3" w:rsidR="008E47ED" w:rsidRDefault="008E47ED">
      <w:pPr>
        <w:pStyle w:val="TOC2"/>
        <w:rPr>
          <w:rFonts w:asciiTheme="minorHAnsi" w:eastAsiaTheme="minorEastAsia" w:hAnsiTheme="minorHAnsi" w:cstheme="minorBidi"/>
          <w:b w:val="0"/>
          <w:bCs w:val="0"/>
          <w:sz w:val="22"/>
          <w:szCs w:val="22"/>
          <w:lang w:eastAsia="en-GB"/>
        </w:rPr>
      </w:pPr>
      <w:r>
        <w:lastRenderedPageBreak/>
        <w:t>7.6</w:t>
      </w:r>
      <w:r>
        <w:rPr>
          <w:rFonts w:asciiTheme="minorHAnsi" w:eastAsiaTheme="minorEastAsia" w:hAnsiTheme="minorHAnsi" w:cstheme="minorBidi"/>
          <w:b w:val="0"/>
          <w:bCs w:val="0"/>
          <w:sz w:val="22"/>
          <w:szCs w:val="22"/>
          <w:lang w:eastAsia="en-GB"/>
        </w:rPr>
        <w:tab/>
      </w:r>
      <w:r>
        <w:t>Suggested steps to improve the enabling environment for the wild meat sector</w:t>
      </w:r>
      <w:r>
        <w:tab/>
      </w:r>
      <w:r>
        <w:fldChar w:fldCharType="begin"/>
      </w:r>
      <w:r>
        <w:instrText xml:space="preserve"> PAGEREF _Toc529390366 \h </w:instrText>
      </w:r>
      <w:r>
        <w:fldChar w:fldCharType="separate"/>
      </w:r>
      <w:r w:rsidR="00DF57F3">
        <w:t>75</w:t>
      </w:r>
      <w:r>
        <w:fldChar w:fldCharType="end"/>
      </w:r>
    </w:p>
    <w:p w14:paraId="6BE2B2AF" w14:textId="25ACBBE5" w:rsidR="008E47ED" w:rsidRDefault="008E47ED">
      <w:pPr>
        <w:pStyle w:val="TOC1"/>
        <w:rPr>
          <w:rFonts w:asciiTheme="minorHAnsi" w:eastAsiaTheme="minorEastAsia" w:hAnsiTheme="minorHAnsi" w:cstheme="minorBidi"/>
          <w:b w:val="0"/>
          <w:bCs w:val="0"/>
          <w:caps w:val="0"/>
          <w:noProof/>
          <w:sz w:val="22"/>
          <w:szCs w:val="22"/>
          <w:lang w:eastAsia="en-GB"/>
        </w:rPr>
      </w:pPr>
      <w:r>
        <w:rPr>
          <w:noProof/>
        </w:rPr>
        <w:t>8</w:t>
      </w:r>
      <w:r>
        <w:rPr>
          <w:rFonts w:asciiTheme="minorHAnsi" w:eastAsiaTheme="minorEastAsia" w:hAnsiTheme="minorHAnsi" w:cstheme="minorBidi"/>
          <w:b w:val="0"/>
          <w:bCs w:val="0"/>
          <w:caps w:val="0"/>
          <w:noProof/>
          <w:sz w:val="22"/>
          <w:szCs w:val="22"/>
          <w:lang w:eastAsia="en-GB"/>
        </w:rPr>
        <w:tab/>
      </w:r>
      <w:r>
        <w:rPr>
          <w:noProof/>
        </w:rPr>
        <w:t>IMPROVING THE SUSTAINABILITY OF THE SUPPLY OF WILD MEAT</w:t>
      </w:r>
      <w:r>
        <w:rPr>
          <w:noProof/>
        </w:rPr>
        <w:tab/>
      </w:r>
      <w:r>
        <w:rPr>
          <w:noProof/>
        </w:rPr>
        <w:fldChar w:fldCharType="begin"/>
      </w:r>
      <w:r>
        <w:rPr>
          <w:noProof/>
        </w:rPr>
        <w:instrText xml:space="preserve"> PAGEREF _Toc529390367 \h </w:instrText>
      </w:r>
      <w:r>
        <w:rPr>
          <w:noProof/>
        </w:rPr>
      </w:r>
      <w:r>
        <w:rPr>
          <w:noProof/>
        </w:rPr>
        <w:fldChar w:fldCharType="separate"/>
      </w:r>
      <w:r w:rsidR="00DF57F3">
        <w:rPr>
          <w:noProof/>
        </w:rPr>
        <w:t>78</w:t>
      </w:r>
      <w:r>
        <w:rPr>
          <w:noProof/>
        </w:rPr>
        <w:fldChar w:fldCharType="end"/>
      </w:r>
    </w:p>
    <w:p w14:paraId="72EDCBA6" w14:textId="16698E52" w:rsidR="008E47ED" w:rsidRDefault="008E47ED">
      <w:pPr>
        <w:pStyle w:val="TOC2"/>
        <w:rPr>
          <w:rFonts w:asciiTheme="minorHAnsi" w:eastAsiaTheme="minorEastAsia" w:hAnsiTheme="minorHAnsi" w:cstheme="minorBidi"/>
          <w:b w:val="0"/>
          <w:bCs w:val="0"/>
          <w:sz w:val="22"/>
          <w:szCs w:val="22"/>
          <w:lang w:eastAsia="en-GB"/>
        </w:rPr>
      </w:pPr>
      <w:r>
        <w:t>8.1</w:t>
      </w:r>
      <w:r>
        <w:rPr>
          <w:rFonts w:asciiTheme="minorHAnsi" w:eastAsiaTheme="minorEastAsia" w:hAnsiTheme="minorHAnsi" w:cstheme="minorBidi"/>
          <w:b w:val="0"/>
          <w:bCs w:val="0"/>
          <w:sz w:val="22"/>
          <w:szCs w:val="22"/>
          <w:lang w:eastAsia="en-GB"/>
        </w:rPr>
        <w:tab/>
      </w:r>
      <w:r>
        <w:t>Managing hunting in collaboration with local communities</w:t>
      </w:r>
      <w:r>
        <w:tab/>
      </w:r>
      <w:r>
        <w:fldChar w:fldCharType="begin"/>
      </w:r>
      <w:r>
        <w:instrText xml:space="preserve"> PAGEREF _Toc529390368 \h </w:instrText>
      </w:r>
      <w:r>
        <w:fldChar w:fldCharType="separate"/>
      </w:r>
      <w:r w:rsidR="00DF57F3">
        <w:t>78</w:t>
      </w:r>
      <w:r>
        <w:fldChar w:fldCharType="end"/>
      </w:r>
    </w:p>
    <w:p w14:paraId="27AA84AF" w14:textId="2318D63D" w:rsidR="008E47ED" w:rsidRDefault="008E47ED">
      <w:pPr>
        <w:pStyle w:val="TOC2"/>
        <w:rPr>
          <w:rFonts w:asciiTheme="minorHAnsi" w:eastAsiaTheme="minorEastAsia" w:hAnsiTheme="minorHAnsi" w:cstheme="minorBidi"/>
          <w:b w:val="0"/>
          <w:bCs w:val="0"/>
          <w:sz w:val="22"/>
          <w:szCs w:val="22"/>
          <w:lang w:eastAsia="en-GB"/>
        </w:rPr>
      </w:pPr>
      <w:r>
        <w:t>8.2</w:t>
      </w:r>
      <w:r>
        <w:rPr>
          <w:rFonts w:asciiTheme="minorHAnsi" w:eastAsiaTheme="minorEastAsia" w:hAnsiTheme="minorHAnsi" w:cstheme="minorBidi"/>
          <w:b w:val="0"/>
          <w:bCs w:val="0"/>
          <w:sz w:val="22"/>
          <w:szCs w:val="22"/>
          <w:lang w:eastAsia="en-GB"/>
        </w:rPr>
        <w:tab/>
      </w:r>
      <w:r>
        <w:t>Examples of community-based approaches for managing wildlife</w:t>
      </w:r>
      <w:r>
        <w:tab/>
      </w:r>
      <w:r>
        <w:fldChar w:fldCharType="begin"/>
      </w:r>
      <w:r>
        <w:instrText xml:space="preserve"> PAGEREF _Toc529390369 \h </w:instrText>
      </w:r>
      <w:r>
        <w:fldChar w:fldCharType="separate"/>
      </w:r>
      <w:r w:rsidR="00DF57F3">
        <w:t>80</w:t>
      </w:r>
      <w:r>
        <w:fldChar w:fldCharType="end"/>
      </w:r>
    </w:p>
    <w:p w14:paraId="53B0FE45" w14:textId="3F0099F0" w:rsidR="008E47ED" w:rsidRDefault="008E47ED">
      <w:pPr>
        <w:pStyle w:val="TOC2"/>
        <w:rPr>
          <w:rFonts w:asciiTheme="minorHAnsi" w:eastAsiaTheme="minorEastAsia" w:hAnsiTheme="minorHAnsi" w:cstheme="minorBidi"/>
          <w:b w:val="0"/>
          <w:bCs w:val="0"/>
          <w:sz w:val="22"/>
          <w:szCs w:val="22"/>
          <w:lang w:eastAsia="en-GB"/>
        </w:rPr>
      </w:pPr>
      <w:r>
        <w:t>8.3</w:t>
      </w:r>
      <w:r>
        <w:rPr>
          <w:rFonts w:asciiTheme="minorHAnsi" w:eastAsiaTheme="minorEastAsia" w:hAnsiTheme="minorHAnsi" w:cstheme="minorBidi"/>
          <w:b w:val="0"/>
          <w:bCs w:val="0"/>
          <w:sz w:val="22"/>
          <w:szCs w:val="22"/>
          <w:lang w:eastAsia="en-GB"/>
        </w:rPr>
        <w:tab/>
      </w:r>
      <w:r>
        <w:t>Defining and measuring sustainable harvesting levels for wild meat species</w:t>
      </w:r>
      <w:r>
        <w:tab/>
      </w:r>
      <w:r>
        <w:fldChar w:fldCharType="begin"/>
      </w:r>
      <w:r>
        <w:instrText xml:space="preserve"> PAGEREF _Toc529390370 \h </w:instrText>
      </w:r>
      <w:r>
        <w:fldChar w:fldCharType="separate"/>
      </w:r>
      <w:r w:rsidR="00DF57F3">
        <w:t>90</w:t>
      </w:r>
      <w:r>
        <w:fldChar w:fldCharType="end"/>
      </w:r>
    </w:p>
    <w:p w14:paraId="48178EF5" w14:textId="4A81E91C" w:rsidR="008E47ED" w:rsidRDefault="008E47ED">
      <w:pPr>
        <w:pStyle w:val="TOC2"/>
        <w:rPr>
          <w:rFonts w:asciiTheme="minorHAnsi" w:eastAsiaTheme="minorEastAsia" w:hAnsiTheme="minorHAnsi" w:cstheme="minorBidi"/>
          <w:b w:val="0"/>
          <w:bCs w:val="0"/>
          <w:sz w:val="22"/>
          <w:szCs w:val="22"/>
          <w:lang w:eastAsia="en-GB"/>
        </w:rPr>
      </w:pPr>
      <w:r>
        <w:t>8.4</w:t>
      </w:r>
      <w:r>
        <w:rPr>
          <w:rFonts w:asciiTheme="minorHAnsi" w:eastAsiaTheme="minorEastAsia" w:hAnsiTheme="minorHAnsi" w:cstheme="minorBidi"/>
          <w:b w:val="0"/>
          <w:bCs w:val="0"/>
          <w:sz w:val="22"/>
          <w:szCs w:val="22"/>
          <w:lang w:eastAsia="en-GB"/>
        </w:rPr>
        <w:tab/>
      </w:r>
      <w:r>
        <w:t>The role of law enforcement in regulating wild meat supply</w:t>
      </w:r>
      <w:r>
        <w:tab/>
      </w:r>
      <w:r>
        <w:fldChar w:fldCharType="begin"/>
      </w:r>
      <w:r>
        <w:instrText xml:space="preserve"> PAGEREF _Toc529390371 \h </w:instrText>
      </w:r>
      <w:r>
        <w:fldChar w:fldCharType="separate"/>
      </w:r>
      <w:r w:rsidR="00DF57F3">
        <w:t>100</w:t>
      </w:r>
      <w:r>
        <w:fldChar w:fldCharType="end"/>
      </w:r>
    </w:p>
    <w:p w14:paraId="4AD42A70" w14:textId="3A67369B" w:rsidR="008E47ED" w:rsidRDefault="008E47ED">
      <w:pPr>
        <w:pStyle w:val="TOC2"/>
        <w:rPr>
          <w:rFonts w:asciiTheme="minorHAnsi" w:eastAsiaTheme="minorEastAsia" w:hAnsiTheme="minorHAnsi" w:cstheme="minorBidi"/>
          <w:b w:val="0"/>
          <w:bCs w:val="0"/>
          <w:sz w:val="22"/>
          <w:szCs w:val="22"/>
          <w:lang w:eastAsia="en-GB"/>
        </w:rPr>
      </w:pPr>
      <w:r>
        <w:t>8.5</w:t>
      </w:r>
      <w:r>
        <w:rPr>
          <w:rFonts w:asciiTheme="minorHAnsi" w:eastAsiaTheme="minorEastAsia" w:hAnsiTheme="minorHAnsi" w:cstheme="minorBidi"/>
          <w:b w:val="0"/>
          <w:bCs w:val="0"/>
          <w:sz w:val="22"/>
          <w:szCs w:val="22"/>
          <w:lang w:eastAsia="en-GB"/>
        </w:rPr>
        <w:tab/>
      </w:r>
      <w:r>
        <w:t>Legalisation and taxation of the trade in wild meat products</w:t>
      </w:r>
      <w:r>
        <w:tab/>
      </w:r>
      <w:r>
        <w:fldChar w:fldCharType="begin"/>
      </w:r>
      <w:r>
        <w:instrText xml:space="preserve"> PAGEREF _Toc529390372 \h </w:instrText>
      </w:r>
      <w:r>
        <w:fldChar w:fldCharType="separate"/>
      </w:r>
      <w:r w:rsidR="00DF57F3">
        <w:t>101</w:t>
      </w:r>
      <w:r>
        <w:fldChar w:fldCharType="end"/>
      </w:r>
    </w:p>
    <w:p w14:paraId="486CF7EF" w14:textId="26C5D33E" w:rsidR="008E47ED" w:rsidRDefault="008E47ED">
      <w:pPr>
        <w:pStyle w:val="TOC2"/>
        <w:rPr>
          <w:rFonts w:asciiTheme="minorHAnsi" w:eastAsiaTheme="minorEastAsia" w:hAnsiTheme="minorHAnsi" w:cstheme="minorBidi"/>
          <w:b w:val="0"/>
          <w:bCs w:val="0"/>
          <w:sz w:val="22"/>
          <w:szCs w:val="22"/>
          <w:lang w:eastAsia="en-GB"/>
        </w:rPr>
      </w:pPr>
      <w:r>
        <w:t>8.6</w:t>
      </w:r>
      <w:r>
        <w:rPr>
          <w:rFonts w:asciiTheme="minorHAnsi" w:eastAsiaTheme="minorEastAsia" w:hAnsiTheme="minorHAnsi" w:cstheme="minorBidi"/>
          <w:b w:val="0"/>
          <w:bCs w:val="0"/>
          <w:sz w:val="22"/>
          <w:szCs w:val="22"/>
          <w:lang w:eastAsia="en-GB"/>
        </w:rPr>
        <w:tab/>
      </w:r>
      <w:r>
        <w:t>Regulation of supply destined for an international market</w:t>
      </w:r>
      <w:r>
        <w:tab/>
      </w:r>
      <w:r>
        <w:fldChar w:fldCharType="begin"/>
      </w:r>
      <w:r>
        <w:instrText xml:space="preserve"> PAGEREF _Toc529390373 \h </w:instrText>
      </w:r>
      <w:r>
        <w:fldChar w:fldCharType="separate"/>
      </w:r>
      <w:r w:rsidR="00DF57F3">
        <w:t>102</w:t>
      </w:r>
      <w:r>
        <w:fldChar w:fldCharType="end"/>
      </w:r>
    </w:p>
    <w:p w14:paraId="17705F39" w14:textId="22E2EB23" w:rsidR="008E47ED" w:rsidRDefault="008E47ED">
      <w:pPr>
        <w:pStyle w:val="TOC2"/>
        <w:rPr>
          <w:rFonts w:asciiTheme="minorHAnsi" w:eastAsiaTheme="minorEastAsia" w:hAnsiTheme="minorHAnsi" w:cstheme="minorBidi"/>
          <w:b w:val="0"/>
          <w:bCs w:val="0"/>
          <w:sz w:val="22"/>
          <w:szCs w:val="22"/>
          <w:lang w:eastAsia="en-GB"/>
        </w:rPr>
      </w:pPr>
      <w:r>
        <w:t>8.7</w:t>
      </w:r>
      <w:r>
        <w:rPr>
          <w:rFonts w:asciiTheme="minorHAnsi" w:eastAsiaTheme="minorEastAsia" w:hAnsiTheme="minorHAnsi" w:cstheme="minorBidi"/>
          <w:b w:val="0"/>
          <w:bCs w:val="0"/>
          <w:sz w:val="22"/>
          <w:szCs w:val="22"/>
          <w:lang w:eastAsia="en-GB"/>
        </w:rPr>
        <w:tab/>
      </w:r>
      <w:r>
        <w:t xml:space="preserve">Suggested steps </w:t>
      </w:r>
      <w:r>
        <w:rPr>
          <w:lang w:eastAsia="ja-JP" w:bidi="th-TH"/>
        </w:rPr>
        <w:t>for improving the sustainability of wild meat supply</w:t>
      </w:r>
      <w:r>
        <w:tab/>
      </w:r>
      <w:r>
        <w:fldChar w:fldCharType="begin"/>
      </w:r>
      <w:r>
        <w:instrText xml:space="preserve"> PAGEREF _Toc529390374 \h </w:instrText>
      </w:r>
      <w:r>
        <w:fldChar w:fldCharType="separate"/>
      </w:r>
      <w:r w:rsidR="00DF57F3">
        <w:t>103</w:t>
      </w:r>
      <w:r>
        <w:fldChar w:fldCharType="end"/>
      </w:r>
    </w:p>
    <w:p w14:paraId="4D01C78D" w14:textId="5DB27981" w:rsidR="008E47ED" w:rsidRDefault="008E47ED">
      <w:pPr>
        <w:pStyle w:val="TOC1"/>
        <w:rPr>
          <w:rFonts w:asciiTheme="minorHAnsi" w:eastAsiaTheme="minorEastAsia" w:hAnsiTheme="minorHAnsi" w:cstheme="minorBidi"/>
          <w:b w:val="0"/>
          <w:bCs w:val="0"/>
          <w:caps w:val="0"/>
          <w:noProof/>
          <w:sz w:val="22"/>
          <w:szCs w:val="22"/>
          <w:lang w:eastAsia="en-GB"/>
        </w:rPr>
      </w:pPr>
      <w:r>
        <w:rPr>
          <w:noProof/>
        </w:rPr>
        <w:t>9</w:t>
      </w:r>
      <w:r>
        <w:rPr>
          <w:rFonts w:asciiTheme="minorHAnsi" w:eastAsiaTheme="minorEastAsia" w:hAnsiTheme="minorHAnsi" w:cstheme="minorBidi"/>
          <w:b w:val="0"/>
          <w:bCs w:val="0"/>
          <w:caps w:val="0"/>
          <w:noProof/>
          <w:sz w:val="22"/>
          <w:szCs w:val="22"/>
          <w:lang w:eastAsia="en-GB"/>
        </w:rPr>
        <w:tab/>
      </w:r>
      <w:r>
        <w:rPr>
          <w:noProof/>
        </w:rPr>
        <w:t>REDUCING THE DEMAND FOR WILD MEAT</w:t>
      </w:r>
      <w:r>
        <w:rPr>
          <w:noProof/>
        </w:rPr>
        <w:tab/>
      </w:r>
      <w:r>
        <w:rPr>
          <w:noProof/>
        </w:rPr>
        <w:fldChar w:fldCharType="begin"/>
      </w:r>
      <w:r>
        <w:rPr>
          <w:noProof/>
        </w:rPr>
        <w:instrText xml:space="preserve"> PAGEREF _Toc529390375 \h </w:instrText>
      </w:r>
      <w:r>
        <w:rPr>
          <w:noProof/>
        </w:rPr>
      </w:r>
      <w:r>
        <w:rPr>
          <w:noProof/>
        </w:rPr>
        <w:fldChar w:fldCharType="separate"/>
      </w:r>
      <w:r w:rsidR="00DF57F3">
        <w:rPr>
          <w:noProof/>
        </w:rPr>
        <w:t>104</w:t>
      </w:r>
      <w:r>
        <w:rPr>
          <w:noProof/>
        </w:rPr>
        <w:fldChar w:fldCharType="end"/>
      </w:r>
    </w:p>
    <w:p w14:paraId="58514EC1" w14:textId="57BB06B8" w:rsidR="008E47ED" w:rsidRDefault="008E47ED">
      <w:pPr>
        <w:pStyle w:val="TOC2"/>
        <w:rPr>
          <w:rFonts w:asciiTheme="minorHAnsi" w:eastAsiaTheme="minorEastAsia" w:hAnsiTheme="minorHAnsi" w:cstheme="minorBidi"/>
          <w:b w:val="0"/>
          <w:bCs w:val="0"/>
          <w:sz w:val="22"/>
          <w:szCs w:val="22"/>
          <w:lang w:eastAsia="en-GB"/>
        </w:rPr>
      </w:pPr>
      <w:r>
        <w:t>9.1</w:t>
      </w:r>
      <w:r>
        <w:rPr>
          <w:rFonts w:asciiTheme="minorHAnsi" w:eastAsiaTheme="minorEastAsia" w:hAnsiTheme="minorHAnsi" w:cstheme="minorBidi"/>
          <w:b w:val="0"/>
          <w:bCs w:val="0"/>
          <w:sz w:val="22"/>
          <w:szCs w:val="22"/>
          <w:lang w:eastAsia="en-GB"/>
        </w:rPr>
        <w:tab/>
      </w:r>
      <w:r>
        <w:t>Increasing the supply and decreasing the price of wild meat substitutes</w:t>
      </w:r>
      <w:r>
        <w:tab/>
      </w:r>
      <w:r>
        <w:fldChar w:fldCharType="begin"/>
      </w:r>
      <w:r>
        <w:instrText xml:space="preserve"> PAGEREF _Toc529390376 \h </w:instrText>
      </w:r>
      <w:r>
        <w:fldChar w:fldCharType="separate"/>
      </w:r>
      <w:r w:rsidR="00DF57F3">
        <w:t>104</w:t>
      </w:r>
      <w:r>
        <w:fldChar w:fldCharType="end"/>
      </w:r>
    </w:p>
    <w:p w14:paraId="4247167C" w14:textId="674F46D0" w:rsidR="008E47ED" w:rsidRDefault="008E47ED">
      <w:pPr>
        <w:pStyle w:val="TOC2"/>
        <w:rPr>
          <w:rFonts w:asciiTheme="minorHAnsi" w:eastAsiaTheme="minorEastAsia" w:hAnsiTheme="minorHAnsi" w:cstheme="minorBidi"/>
          <w:b w:val="0"/>
          <w:bCs w:val="0"/>
          <w:sz w:val="22"/>
          <w:szCs w:val="22"/>
          <w:lang w:eastAsia="en-GB"/>
        </w:rPr>
      </w:pPr>
      <w:r>
        <w:t>9.2</w:t>
      </w:r>
      <w:r>
        <w:rPr>
          <w:rFonts w:asciiTheme="minorHAnsi" w:eastAsiaTheme="minorEastAsia" w:hAnsiTheme="minorHAnsi" w:cstheme="minorBidi"/>
          <w:b w:val="0"/>
          <w:bCs w:val="0"/>
          <w:sz w:val="22"/>
          <w:szCs w:val="22"/>
          <w:lang w:eastAsia="en-GB"/>
        </w:rPr>
        <w:tab/>
      </w:r>
      <w:r>
        <w:t>Increasing the price and/or reducing the availability of wild meat</w:t>
      </w:r>
      <w:r>
        <w:tab/>
      </w:r>
      <w:r>
        <w:fldChar w:fldCharType="begin"/>
      </w:r>
      <w:r>
        <w:instrText xml:space="preserve"> PAGEREF _Toc529390377 \h </w:instrText>
      </w:r>
      <w:r>
        <w:fldChar w:fldCharType="separate"/>
      </w:r>
      <w:r w:rsidR="00DF57F3">
        <w:t>112</w:t>
      </w:r>
      <w:r>
        <w:fldChar w:fldCharType="end"/>
      </w:r>
    </w:p>
    <w:p w14:paraId="3C365AC1" w14:textId="6627CA03" w:rsidR="008E47ED" w:rsidRDefault="008E47ED">
      <w:pPr>
        <w:pStyle w:val="TOC2"/>
        <w:rPr>
          <w:rFonts w:asciiTheme="minorHAnsi" w:eastAsiaTheme="minorEastAsia" w:hAnsiTheme="minorHAnsi" w:cstheme="minorBidi"/>
          <w:b w:val="0"/>
          <w:bCs w:val="0"/>
          <w:sz w:val="22"/>
          <w:szCs w:val="22"/>
          <w:lang w:eastAsia="en-GB"/>
        </w:rPr>
      </w:pPr>
      <w:r>
        <w:t>9.3</w:t>
      </w:r>
      <w:r>
        <w:rPr>
          <w:rFonts w:asciiTheme="minorHAnsi" w:eastAsiaTheme="minorEastAsia" w:hAnsiTheme="minorHAnsi" w:cstheme="minorBidi"/>
          <w:b w:val="0"/>
          <w:bCs w:val="0"/>
          <w:sz w:val="22"/>
          <w:szCs w:val="22"/>
          <w:lang w:eastAsia="en-GB"/>
        </w:rPr>
        <w:tab/>
      </w:r>
      <w:r>
        <w:t>Influencing the non-price determinants of demand</w:t>
      </w:r>
      <w:r>
        <w:tab/>
      </w:r>
      <w:r>
        <w:fldChar w:fldCharType="begin"/>
      </w:r>
      <w:r>
        <w:instrText xml:space="preserve"> PAGEREF _Toc529390378 \h </w:instrText>
      </w:r>
      <w:r>
        <w:fldChar w:fldCharType="separate"/>
      </w:r>
      <w:r w:rsidR="00DF57F3">
        <w:t>112</w:t>
      </w:r>
      <w:r>
        <w:fldChar w:fldCharType="end"/>
      </w:r>
    </w:p>
    <w:p w14:paraId="0C447170" w14:textId="361F55F1" w:rsidR="008E47ED" w:rsidRDefault="008E47ED">
      <w:pPr>
        <w:pStyle w:val="TOC2"/>
        <w:rPr>
          <w:rFonts w:asciiTheme="minorHAnsi" w:eastAsiaTheme="minorEastAsia" w:hAnsiTheme="minorHAnsi" w:cstheme="minorBidi"/>
          <w:b w:val="0"/>
          <w:bCs w:val="0"/>
          <w:sz w:val="22"/>
          <w:szCs w:val="22"/>
          <w:lang w:eastAsia="en-GB"/>
        </w:rPr>
      </w:pPr>
      <w:r>
        <w:rPr>
          <w:lang w:eastAsia="ja-JP" w:bidi="th-TH"/>
        </w:rPr>
        <w:t>9.4</w:t>
      </w:r>
      <w:r>
        <w:rPr>
          <w:rFonts w:asciiTheme="minorHAnsi" w:eastAsiaTheme="minorEastAsia" w:hAnsiTheme="minorHAnsi" w:cstheme="minorBidi"/>
          <w:b w:val="0"/>
          <w:bCs w:val="0"/>
          <w:sz w:val="22"/>
          <w:szCs w:val="22"/>
          <w:lang w:eastAsia="en-GB"/>
        </w:rPr>
        <w:tab/>
      </w:r>
      <w:r>
        <w:rPr>
          <w:lang w:eastAsia="ja-JP" w:bidi="th-TH"/>
        </w:rPr>
        <w:t>Suggested steps for reducing demand for wild meat</w:t>
      </w:r>
      <w:r>
        <w:tab/>
      </w:r>
      <w:r>
        <w:fldChar w:fldCharType="begin"/>
      </w:r>
      <w:r>
        <w:instrText xml:space="preserve"> PAGEREF _Toc529390379 \h </w:instrText>
      </w:r>
      <w:r>
        <w:fldChar w:fldCharType="separate"/>
      </w:r>
      <w:r w:rsidR="00DF57F3">
        <w:t>114</w:t>
      </w:r>
      <w:r>
        <w:fldChar w:fldCharType="end"/>
      </w:r>
    </w:p>
    <w:p w14:paraId="38C08891" w14:textId="4971E274" w:rsidR="008E47ED" w:rsidRDefault="008E47ED">
      <w:pPr>
        <w:pStyle w:val="TOC1"/>
        <w:rPr>
          <w:rFonts w:asciiTheme="minorHAnsi" w:eastAsiaTheme="minorEastAsia" w:hAnsiTheme="minorHAnsi" w:cstheme="minorBidi"/>
          <w:b w:val="0"/>
          <w:bCs w:val="0"/>
          <w:caps w:val="0"/>
          <w:noProof/>
          <w:sz w:val="22"/>
          <w:szCs w:val="22"/>
          <w:lang w:eastAsia="en-GB"/>
        </w:rPr>
      </w:pPr>
      <w:r>
        <w:rPr>
          <w:noProof/>
        </w:rPr>
        <w:t>10</w:t>
      </w:r>
      <w:r>
        <w:rPr>
          <w:rFonts w:asciiTheme="minorHAnsi" w:eastAsiaTheme="minorEastAsia" w:hAnsiTheme="minorHAnsi" w:cstheme="minorBidi"/>
          <w:b w:val="0"/>
          <w:bCs w:val="0"/>
          <w:caps w:val="0"/>
          <w:noProof/>
          <w:sz w:val="22"/>
          <w:szCs w:val="22"/>
          <w:lang w:eastAsia="en-GB"/>
        </w:rPr>
        <w:tab/>
      </w:r>
      <w:r>
        <w:rPr>
          <w:noProof/>
        </w:rPr>
        <w:t>DESIGNING AND APPLYING INTERVENTIONS</w:t>
      </w:r>
      <w:r>
        <w:rPr>
          <w:noProof/>
        </w:rPr>
        <w:tab/>
      </w:r>
      <w:r>
        <w:rPr>
          <w:noProof/>
        </w:rPr>
        <w:fldChar w:fldCharType="begin"/>
      </w:r>
      <w:r>
        <w:rPr>
          <w:noProof/>
        </w:rPr>
        <w:instrText xml:space="preserve"> PAGEREF _Toc529390380 \h </w:instrText>
      </w:r>
      <w:r>
        <w:rPr>
          <w:noProof/>
        </w:rPr>
      </w:r>
      <w:r>
        <w:rPr>
          <w:noProof/>
        </w:rPr>
        <w:fldChar w:fldCharType="separate"/>
      </w:r>
      <w:r w:rsidR="00DF57F3">
        <w:rPr>
          <w:noProof/>
        </w:rPr>
        <w:t>116</w:t>
      </w:r>
      <w:r>
        <w:rPr>
          <w:noProof/>
        </w:rPr>
        <w:fldChar w:fldCharType="end"/>
      </w:r>
    </w:p>
    <w:p w14:paraId="4D43E2F7" w14:textId="4C0C68B0" w:rsidR="008E47ED" w:rsidRDefault="008E47ED">
      <w:pPr>
        <w:pStyle w:val="TOC2"/>
        <w:rPr>
          <w:rFonts w:asciiTheme="minorHAnsi" w:eastAsiaTheme="minorEastAsia" w:hAnsiTheme="minorHAnsi" w:cstheme="minorBidi"/>
          <w:b w:val="0"/>
          <w:bCs w:val="0"/>
          <w:sz w:val="22"/>
          <w:szCs w:val="22"/>
          <w:lang w:eastAsia="en-GB"/>
        </w:rPr>
      </w:pPr>
      <w:r>
        <w:t>10.1</w:t>
      </w:r>
      <w:r>
        <w:rPr>
          <w:rFonts w:asciiTheme="minorHAnsi" w:eastAsiaTheme="minorEastAsia" w:hAnsiTheme="minorHAnsi" w:cstheme="minorBidi"/>
          <w:b w:val="0"/>
          <w:bCs w:val="0"/>
          <w:sz w:val="22"/>
          <w:szCs w:val="22"/>
          <w:lang w:eastAsia="en-GB"/>
        </w:rPr>
        <w:tab/>
      </w:r>
      <w:r>
        <w:t>Participation, equity, and consent</w:t>
      </w:r>
      <w:r>
        <w:tab/>
      </w:r>
      <w:r>
        <w:fldChar w:fldCharType="begin"/>
      </w:r>
      <w:r>
        <w:instrText xml:space="preserve"> PAGEREF _Toc529390381 \h </w:instrText>
      </w:r>
      <w:r>
        <w:fldChar w:fldCharType="separate"/>
      </w:r>
      <w:r w:rsidR="00DF57F3">
        <w:t>116</w:t>
      </w:r>
      <w:r>
        <w:fldChar w:fldCharType="end"/>
      </w:r>
    </w:p>
    <w:p w14:paraId="4066F1BA" w14:textId="3F2CDA92" w:rsidR="008E47ED" w:rsidRDefault="008E47ED">
      <w:pPr>
        <w:pStyle w:val="TOC2"/>
        <w:rPr>
          <w:rFonts w:asciiTheme="minorHAnsi" w:eastAsiaTheme="minorEastAsia" w:hAnsiTheme="minorHAnsi" w:cstheme="minorBidi"/>
          <w:b w:val="0"/>
          <w:bCs w:val="0"/>
          <w:sz w:val="22"/>
          <w:szCs w:val="22"/>
          <w:lang w:eastAsia="en-GB"/>
        </w:rPr>
      </w:pPr>
      <w:r>
        <w:t>10.2</w:t>
      </w:r>
      <w:r>
        <w:rPr>
          <w:rFonts w:asciiTheme="minorHAnsi" w:eastAsiaTheme="minorEastAsia" w:hAnsiTheme="minorHAnsi" w:cstheme="minorBidi"/>
          <w:b w:val="0"/>
          <w:bCs w:val="0"/>
          <w:sz w:val="22"/>
          <w:szCs w:val="22"/>
          <w:lang w:eastAsia="en-GB"/>
        </w:rPr>
        <w:tab/>
      </w:r>
      <w:r>
        <w:t>Understanding the context</w:t>
      </w:r>
      <w:r>
        <w:tab/>
      </w:r>
      <w:r>
        <w:fldChar w:fldCharType="begin"/>
      </w:r>
      <w:r>
        <w:instrText xml:space="preserve"> PAGEREF _Toc529390382 \h </w:instrText>
      </w:r>
      <w:r>
        <w:fldChar w:fldCharType="separate"/>
      </w:r>
      <w:r w:rsidR="00DF57F3">
        <w:t>120</w:t>
      </w:r>
      <w:r>
        <w:fldChar w:fldCharType="end"/>
      </w:r>
    </w:p>
    <w:p w14:paraId="485437CC" w14:textId="7D0CB456" w:rsidR="008E47ED" w:rsidRDefault="008E47ED">
      <w:pPr>
        <w:pStyle w:val="TOC2"/>
        <w:rPr>
          <w:rFonts w:asciiTheme="minorHAnsi" w:eastAsiaTheme="minorEastAsia" w:hAnsiTheme="minorHAnsi" w:cstheme="minorBidi"/>
          <w:b w:val="0"/>
          <w:bCs w:val="0"/>
          <w:sz w:val="22"/>
          <w:szCs w:val="22"/>
          <w:lang w:eastAsia="en-GB"/>
        </w:rPr>
      </w:pPr>
      <w:r>
        <w:t>10.3</w:t>
      </w:r>
      <w:r>
        <w:rPr>
          <w:rFonts w:asciiTheme="minorHAnsi" w:eastAsiaTheme="minorEastAsia" w:hAnsiTheme="minorHAnsi" w:cstheme="minorBidi"/>
          <w:b w:val="0"/>
          <w:bCs w:val="0"/>
          <w:sz w:val="22"/>
          <w:szCs w:val="22"/>
          <w:lang w:eastAsia="en-GB"/>
        </w:rPr>
        <w:tab/>
      </w:r>
      <w:r>
        <w:t>Choosing complementary interventions, suited to the context</w:t>
      </w:r>
      <w:r>
        <w:tab/>
      </w:r>
      <w:r>
        <w:fldChar w:fldCharType="begin"/>
      </w:r>
      <w:r>
        <w:instrText xml:space="preserve"> PAGEREF _Toc529390383 \h </w:instrText>
      </w:r>
      <w:r>
        <w:fldChar w:fldCharType="separate"/>
      </w:r>
      <w:r w:rsidR="00DF57F3">
        <w:t>121</w:t>
      </w:r>
      <w:r>
        <w:fldChar w:fldCharType="end"/>
      </w:r>
    </w:p>
    <w:p w14:paraId="61ED7508" w14:textId="25FAFED6" w:rsidR="008E47ED" w:rsidRDefault="008E47ED">
      <w:pPr>
        <w:pStyle w:val="TOC2"/>
        <w:rPr>
          <w:rFonts w:asciiTheme="minorHAnsi" w:eastAsiaTheme="minorEastAsia" w:hAnsiTheme="minorHAnsi" w:cstheme="minorBidi"/>
          <w:b w:val="0"/>
          <w:bCs w:val="0"/>
          <w:sz w:val="22"/>
          <w:szCs w:val="22"/>
          <w:lang w:eastAsia="en-GB"/>
        </w:rPr>
      </w:pPr>
      <w:r>
        <w:t>10.4</w:t>
      </w:r>
      <w:r>
        <w:rPr>
          <w:rFonts w:asciiTheme="minorHAnsi" w:eastAsiaTheme="minorEastAsia" w:hAnsiTheme="minorHAnsi" w:cstheme="minorBidi"/>
          <w:b w:val="0"/>
          <w:bCs w:val="0"/>
          <w:sz w:val="22"/>
          <w:szCs w:val="22"/>
          <w:lang w:eastAsia="en-GB"/>
        </w:rPr>
        <w:tab/>
      </w:r>
      <w:r>
        <w:t>Applying a Theory of Change</w:t>
      </w:r>
      <w:r>
        <w:tab/>
      </w:r>
      <w:r>
        <w:fldChar w:fldCharType="begin"/>
      </w:r>
      <w:r>
        <w:instrText xml:space="preserve"> PAGEREF _Toc529390384 \h </w:instrText>
      </w:r>
      <w:r>
        <w:fldChar w:fldCharType="separate"/>
      </w:r>
      <w:r w:rsidR="00DF57F3">
        <w:t>122</w:t>
      </w:r>
      <w:r>
        <w:fldChar w:fldCharType="end"/>
      </w:r>
    </w:p>
    <w:p w14:paraId="6DAFB1A2" w14:textId="453346B8" w:rsidR="008E47ED" w:rsidRDefault="008E47ED">
      <w:pPr>
        <w:pStyle w:val="TOC2"/>
        <w:rPr>
          <w:rFonts w:asciiTheme="minorHAnsi" w:eastAsiaTheme="minorEastAsia" w:hAnsiTheme="minorHAnsi" w:cstheme="minorBidi"/>
          <w:b w:val="0"/>
          <w:bCs w:val="0"/>
          <w:sz w:val="22"/>
          <w:szCs w:val="22"/>
          <w:lang w:eastAsia="en-GB"/>
        </w:rPr>
      </w:pPr>
      <w:r>
        <w:t>10.5</w:t>
      </w:r>
      <w:r>
        <w:rPr>
          <w:rFonts w:asciiTheme="minorHAnsi" w:eastAsiaTheme="minorEastAsia" w:hAnsiTheme="minorHAnsi" w:cstheme="minorBidi"/>
          <w:b w:val="0"/>
          <w:bCs w:val="0"/>
          <w:sz w:val="22"/>
          <w:szCs w:val="22"/>
          <w:lang w:eastAsia="en-GB"/>
        </w:rPr>
        <w:tab/>
      </w:r>
      <w:r>
        <w:t>Monitoring and Evaluation</w:t>
      </w:r>
      <w:r>
        <w:tab/>
      </w:r>
      <w:r>
        <w:fldChar w:fldCharType="begin"/>
      </w:r>
      <w:r>
        <w:instrText xml:space="preserve"> PAGEREF _Toc529390385 \h </w:instrText>
      </w:r>
      <w:r>
        <w:fldChar w:fldCharType="separate"/>
      </w:r>
      <w:r w:rsidR="00DF57F3">
        <w:t>125</w:t>
      </w:r>
      <w:r>
        <w:fldChar w:fldCharType="end"/>
      </w:r>
    </w:p>
    <w:p w14:paraId="083E8C1D" w14:textId="601C5C48" w:rsidR="008E47ED" w:rsidRDefault="008E47ED">
      <w:pPr>
        <w:pStyle w:val="TOC1"/>
        <w:rPr>
          <w:rFonts w:asciiTheme="minorHAnsi" w:eastAsiaTheme="minorEastAsia" w:hAnsiTheme="minorHAnsi" w:cstheme="minorBidi"/>
          <w:b w:val="0"/>
          <w:bCs w:val="0"/>
          <w:caps w:val="0"/>
          <w:noProof/>
          <w:sz w:val="22"/>
          <w:szCs w:val="22"/>
          <w:lang w:eastAsia="en-GB"/>
        </w:rPr>
      </w:pPr>
      <w:r>
        <w:rPr>
          <w:noProof/>
        </w:rPr>
        <w:t>11</w:t>
      </w:r>
      <w:r>
        <w:rPr>
          <w:rFonts w:asciiTheme="minorHAnsi" w:eastAsiaTheme="minorEastAsia" w:hAnsiTheme="minorHAnsi" w:cstheme="minorBidi"/>
          <w:b w:val="0"/>
          <w:bCs w:val="0"/>
          <w:caps w:val="0"/>
          <w:noProof/>
          <w:sz w:val="22"/>
          <w:szCs w:val="22"/>
          <w:lang w:eastAsia="en-GB"/>
        </w:rPr>
        <w:tab/>
      </w:r>
      <w:r>
        <w:rPr>
          <w:noProof/>
        </w:rPr>
        <w:t>CONCLUSIONS</w:t>
      </w:r>
      <w:r>
        <w:rPr>
          <w:noProof/>
        </w:rPr>
        <w:tab/>
      </w:r>
      <w:r>
        <w:rPr>
          <w:noProof/>
        </w:rPr>
        <w:fldChar w:fldCharType="begin"/>
      </w:r>
      <w:r>
        <w:rPr>
          <w:noProof/>
        </w:rPr>
        <w:instrText xml:space="preserve"> PAGEREF _Toc529390386 \h </w:instrText>
      </w:r>
      <w:r>
        <w:rPr>
          <w:noProof/>
        </w:rPr>
      </w:r>
      <w:r>
        <w:rPr>
          <w:noProof/>
        </w:rPr>
        <w:fldChar w:fldCharType="separate"/>
      </w:r>
      <w:r w:rsidR="00DF57F3">
        <w:rPr>
          <w:noProof/>
        </w:rPr>
        <w:t>127</w:t>
      </w:r>
      <w:r>
        <w:rPr>
          <w:noProof/>
        </w:rPr>
        <w:fldChar w:fldCharType="end"/>
      </w:r>
    </w:p>
    <w:p w14:paraId="6291FC8A" w14:textId="0398085C" w:rsidR="008E47ED" w:rsidRDefault="008E47ED">
      <w:pPr>
        <w:pStyle w:val="TOC1"/>
        <w:rPr>
          <w:rFonts w:asciiTheme="minorHAnsi" w:eastAsiaTheme="minorEastAsia" w:hAnsiTheme="minorHAnsi" w:cstheme="minorBidi"/>
          <w:b w:val="0"/>
          <w:bCs w:val="0"/>
          <w:caps w:val="0"/>
          <w:noProof/>
          <w:sz w:val="22"/>
          <w:szCs w:val="22"/>
          <w:lang w:eastAsia="en-GB"/>
        </w:rPr>
      </w:pPr>
      <w:r>
        <w:rPr>
          <w:noProof/>
        </w:rPr>
        <w:t>12</w:t>
      </w:r>
      <w:r>
        <w:rPr>
          <w:rFonts w:asciiTheme="minorHAnsi" w:eastAsiaTheme="minorEastAsia" w:hAnsiTheme="minorHAnsi" w:cstheme="minorBidi"/>
          <w:b w:val="0"/>
          <w:bCs w:val="0"/>
          <w:caps w:val="0"/>
          <w:noProof/>
          <w:sz w:val="22"/>
          <w:szCs w:val="22"/>
          <w:lang w:eastAsia="en-GB"/>
        </w:rPr>
        <w:tab/>
      </w:r>
      <w:r>
        <w:rPr>
          <w:noProof/>
        </w:rPr>
        <w:t>APPENDICES</w:t>
      </w:r>
      <w:r>
        <w:rPr>
          <w:noProof/>
        </w:rPr>
        <w:tab/>
      </w:r>
      <w:r>
        <w:rPr>
          <w:noProof/>
        </w:rPr>
        <w:fldChar w:fldCharType="begin"/>
      </w:r>
      <w:r>
        <w:rPr>
          <w:noProof/>
        </w:rPr>
        <w:instrText xml:space="preserve"> PAGEREF _Toc529390387 \h </w:instrText>
      </w:r>
      <w:r>
        <w:rPr>
          <w:noProof/>
        </w:rPr>
      </w:r>
      <w:r>
        <w:rPr>
          <w:noProof/>
        </w:rPr>
        <w:fldChar w:fldCharType="separate"/>
      </w:r>
      <w:r w:rsidR="00DF57F3">
        <w:rPr>
          <w:noProof/>
        </w:rPr>
        <w:t>130</w:t>
      </w:r>
      <w:r>
        <w:rPr>
          <w:noProof/>
        </w:rPr>
        <w:fldChar w:fldCharType="end"/>
      </w:r>
    </w:p>
    <w:p w14:paraId="15922954" w14:textId="688E3378" w:rsidR="008E47ED" w:rsidRDefault="008E47ED">
      <w:pPr>
        <w:pStyle w:val="TOC1"/>
        <w:rPr>
          <w:rFonts w:asciiTheme="minorHAnsi" w:eastAsiaTheme="minorEastAsia" w:hAnsiTheme="minorHAnsi" w:cstheme="minorBidi"/>
          <w:b w:val="0"/>
          <w:bCs w:val="0"/>
          <w:caps w:val="0"/>
          <w:noProof/>
          <w:sz w:val="22"/>
          <w:szCs w:val="22"/>
          <w:lang w:eastAsia="en-GB"/>
        </w:rPr>
      </w:pPr>
      <w:r>
        <w:rPr>
          <w:noProof/>
        </w:rPr>
        <w:t>13</w:t>
      </w:r>
      <w:r>
        <w:rPr>
          <w:rFonts w:asciiTheme="minorHAnsi" w:eastAsiaTheme="minorEastAsia" w:hAnsiTheme="minorHAnsi" w:cstheme="minorBidi"/>
          <w:b w:val="0"/>
          <w:bCs w:val="0"/>
          <w:caps w:val="0"/>
          <w:noProof/>
          <w:sz w:val="22"/>
          <w:szCs w:val="22"/>
          <w:lang w:eastAsia="en-GB"/>
        </w:rPr>
        <w:tab/>
      </w:r>
      <w:r>
        <w:rPr>
          <w:noProof/>
        </w:rPr>
        <w:t>REFERENCES</w:t>
      </w:r>
      <w:r>
        <w:rPr>
          <w:noProof/>
        </w:rPr>
        <w:tab/>
      </w:r>
      <w:r>
        <w:rPr>
          <w:noProof/>
        </w:rPr>
        <w:fldChar w:fldCharType="begin"/>
      </w:r>
      <w:r>
        <w:rPr>
          <w:noProof/>
        </w:rPr>
        <w:instrText xml:space="preserve"> PAGEREF _Toc529390388 \h </w:instrText>
      </w:r>
      <w:r>
        <w:rPr>
          <w:noProof/>
        </w:rPr>
      </w:r>
      <w:r>
        <w:rPr>
          <w:noProof/>
        </w:rPr>
        <w:fldChar w:fldCharType="separate"/>
      </w:r>
      <w:r w:rsidR="00DF57F3">
        <w:rPr>
          <w:noProof/>
        </w:rPr>
        <w:t>136</w:t>
      </w:r>
      <w:r>
        <w:rPr>
          <w:noProof/>
        </w:rPr>
        <w:fldChar w:fldCharType="end"/>
      </w:r>
    </w:p>
    <w:p w14:paraId="6F8D775E" w14:textId="268C3890" w:rsidR="00E42BE9" w:rsidRDefault="00257F4A" w:rsidP="00C258BC">
      <w:pPr>
        <w:jc w:val="both"/>
        <w:rPr>
          <w:b/>
          <w:color w:val="000000" w:themeColor="text1"/>
          <w:sz w:val="36"/>
        </w:rPr>
      </w:pPr>
      <w:r w:rsidRPr="0070404D">
        <w:rPr>
          <w:b/>
          <w:color w:val="000000" w:themeColor="text1"/>
          <w:sz w:val="36"/>
        </w:rPr>
        <w:fldChar w:fldCharType="end"/>
      </w:r>
    </w:p>
    <w:p w14:paraId="232F36EE" w14:textId="77777777" w:rsidR="00E42BE9" w:rsidRDefault="00E42BE9">
      <w:pPr>
        <w:spacing w:after="160" w:line="259" w:lineRule="auto"/>
        <w:rPr>
          <w:b/>
          <w:color w:val="000000" w:themeColor="text1"/>
          <w:sz w:val="36"/>
        </w:rPr>
      </w:pPr>
      <w:r>
        <w:rPr>
          <w:b/>
          <w:color w:val="000000" w:themeColor="text1"/>
          <w:sz w:val="36"/>
        </w:rPr>
        <w:br w:type="page"/>
      </w:r>
    </w:p>
    <w:p w14:paraId="5AD1ECEB" w14:textId="62FFEE0A" w:rsidR="00A859AA" w:rsidRPr="00A859AA" w:rsidRDefault="006C7887" w:rsidP="00DF57F3">
      <w:pPr>
        <w:pStyle w:val="Heading2"/>
      </w:pPr>
      <w:bookmarkStart w:id="6" w:name="_Toc529390328"/>
      <w:r w:rsidRPr="002D2705">
        <w:lastRenderedPageBreak/>
        <w:t>ABBREVIATIONS</w:t>
      </w:r>
      <w:bookmarkEnd w:id="6"/>
    </w:p>
    <w:p w14:paraId="427AD4B4" w14:textId="77777777" w:rsidR="00A859AA" w:rsidRDefault="00A859AA" w:rsidP="00A859AA">
      <w:pPr>
        <w:spacing w:after="0"/>
      </w:pPr>
      <w:r>
        <w:t xml:space="preserve">ACTO </w:t>
      </w:r>
      <w:r>
        <w:tab/>
      </w:r>
      <w:r>
        <w:tab/>
      </w:r>
      <w:r>
        <w:tab/>
        <w:t xml:space="preserve">The Amazon Cooperation Treaty Organization </w:t>
      </w:r>
    </w:p>
    <w:p w14:paraId="7D3ED55A" w14:textId="77777777" w:rsidR="00A859AA" w:rsidRPr="000A7365" w:rsidRDefault="00A859AA" w:rsidP="005A725A">
      <w:pPr>
        <w:spacing w:after="0"/>
        <w:jc w:val="both"/>
        <w:rPr>
          <w:color w:val="000000" w:themeColor="text1"/>
        </w:rPr>
      </w:pPr>
      <w:r w:rsidRPr="000A7365">
        <w:rPr>
          <w:color w:val="000000" w:themeColor="text1"/>
        </w:rPr>
        <w:t xml:space="preserve">AME  </w:t>
      </w:r>
      <w:r w:rsidRPr="000A7365">
        <w:rPr>
          <w:color w:val="000000" w:themeColor="text1"/>
        </w:rPr>
        <w:tab/>
      </w:r>
      <w:r w:rsidRPr="000A7365">
        <w:rPr>
          <w:color w:val="000000" w:themeColor="text1"/>
        </w:rPr>
        <w:tab/>
      </w:r>
      <w:r w:rsidRPr="000A7365">
        <w:rPr>
          <w:color w:val="000000" w:themeColor="text1"/>
        </w:rPr>
        <w:tab/>
        <w:t>Adult Male Equivalent</w:t>
      </w:r>
    </w:p>
    <w:p w14:paraId="6E8BE756" w14:textId="77777777" w:rsidR="00A859AA" w:rsidRDefault="00A859AA" w:rsidP="005A725A">
      <w:pPr>
        <w:spacing w:after="0"/>
      </w:pPr>
      <w:r>
        <w:t>ASEAN</w:t>
      </w:r>
      <w:r w:rsidRPr="00785A38">
        <w:t xml:space="preserve"> </w:t>
      </w:r>
      <w:r>
        <w:tab/>
      </w:r>
      <w:r>
        <w:tab/>
      </w:r>
      <w:r w:rsidRPr="00785A38">
        <w:t>Association of South East Asian Nations</w:t>
      </w:r>
      <w:r>
        <w:t xml:space="preserve"> </w:t>
      </w:r>
    </w:p>
    <w:p w14:paraId="37BD92A1" w14:textId="77777777" w:rsidR="00A859AA" w:rsidRPr="00440C93" w:rsidRDefault="00A859AA" w:rsidP="00A859AA">
      <w:pPr>
        <w:spacing w:after="0"/>
      </w:pPr>
      <w:r w:rsidRPr="00440C93">
        <w:t xml:space="preserve">ASEAN-WEN </w:t>
      </w:r>
      <w:r>
        <w:tab/>
      </w:r>
      <w:r w:rsidRPr="00440C93">
        <w:t>ICCWC’s ASEAN-</w:t>
      </w:r>
      <w:r>
        <w:t xml:space="preserve">Wildlife Enforcement Network </w:t>
      </w:r>
    </w:p>
    <w:p w14:paraId="7EAF0466" w14:textId="77777777" w:rsidR="00A859AA" w:rsidRPr="003463C4" w:rsidRDefault="00A859AA" w:rsidP="00A859AA">
      <w:pPr>
        <w:spacing w:after="0"/>
      </w:pPr>
      <w:r w:rsidRPr="003463C4">
        <w:t xml:space="preserve">ASEANAPOL </w:t>
      </w:r>
      <w:r w:rsidRPr="003463C4">
        <w:tab/>
        <w:t xml:space="preserve">ASEAN National Police Network </w:t>
      </w:r>
    </w:p>
    <w:p w14:paraId="1B48BC10" w14:textId="77777777" w:rsidR="00A859AA" w:rsidRPr="003463C4" w:rsidRDefault="00A859AA" w:rsidP="005A725A">
      <w:pPr>
        <w:spacing w:after="0"/>
      </w:pPr>
      <w:r w:rsidRPr="003463C4">
        <w:t xml:space="preserve">AU </w:t>
      </w:r>
      <w:r w:rsidRPr="003463C4">
        <w:tab/>
      </w:r>
      <w:r w:rsidRPr="003463C4">
        <w:tab/>
      </w:r>
      <w:r w:rsidRPr="003463C4">
        <w:tab/>
        <w:t xml:space="preserve">African Union </w:t>
      </w:r>
    </w:p>
    <w:p w14:paraId="506360CB" w14:textId="395CF8A7" w:rsidR="00A859AA" w:rsidRDefault="00A859AA" w:rsidP="00AC64EB">
      <w:pPr>
        <w:spacing w:after="0"/>
        <w:ind w:left="2160" w:hanging="2160"/>
      </w:pPr>
      <w:r w:rsidRPr="003463C4">
        <w:t>BMZ</w:t>
      </w:r>
      <w:r w:rsidR="00AC64EB">
        <w:tab/>
      </w:r>
      <w:r w:rsidR="00AC64EB" w:rsidRPr="00AC64EB">
        <w:t>Federal Ministry of Economic Cooperation and Development</w:t>
      </w:r>
      <w:r w:rsidR="00AC64EB">
        <w:t xml:space="preserve"> (in German:</w:t>
      </w:r>
      <w:r w:rsidR="00AC64EB" w:rsidRPr="00AC64EB">
        <w:t xml:space="preserve"> Bundesministerium für wirtschaftliche Zusammenarbeit</w:t>
      </w:r>
      <w:r w:rsidR="00AC64EB">
        <w:t>)</w:t>
      </w:r>
    </w:p>
    <w:p w14:paraId="0F852151" w14:textId="77777777" w:rsidR="00A859AA" w:rsidRPr="000A7365" w:rsidRDefault="00A859AA" w:rsidP="005A725A">
      <w:pPr>
        <w:spacing w:after="0"/>
        <w:jc w:val="both"/>
        <w:rPr>
          <w:color w:val="000000" w:themeColor="text1"/>
        </w:rPr>
      </w:pPr>
      <w:r w:rsidRPr="000A7365">
        <w:rPr>
          <w:color w:val="000000" w:themeColor="text1"/>
        </w:rPr>
        <w:t xml:space="preserve">CARPE </w:t>
      </w:r>
      <w:r w:rsidRPr="000A7365">
        <w:rPr>
          <w:color w:val="000000" w:themeColor="text1"/>
        </w:rPr>
        <w:tab/>
      </w:r>
      <w:r w:rsidRPr="000A7365">
        <w:rPr>
          <w:color w:val="000000" w:themeColor="text1"/>
        </w:rPr>
        <w:tab/>
        <w:t>Central Africa Regional Program for the Environment</w:t>
      </w:r>
    </w:p>
    <w:p w14:paraId="3D5B39E1" w14:textId="77777777" w:rsidR="00A859AA" w:rsidRDefault="00A859AA" w:rsidP="005A725A">
      <w:pPr>
        <w:spacing w:after="0"/>
      </w:pPr>
      <w:r w:rsidRPr="0064175F">
        <w:t>CBD</w:t>
      </w:r>
      <w:r w:rsidRPr="00EE2428">
        <w:t xml:space="preserve"> </w:t>
      </w:r>
      <w:r>
        <w:tab/>
      </w:r>
      <w:r>
        <w:tab/>
      </w:r>
      <w:r>
        <w:tab/>
      </w:r>
      <w:r w:rsidRPr="00EE2428">
        <w:t>U</w:t>
      </w:r>
      <w:r>
        <w:t xml:space="preserve">nited </w:t>
      </w:r>
      <w:r w:rsidRPr="00EE2428">
        <w:t>N</w:t>
      </w:r>
      <w:r>
        <w:t>ations</w:t>
      </w:r>
      <w:r w:rsidRPr="00EE2428">
        <w:t xml:space="preserve"> Convention on Biological Diversity</w:t>
      </w:r>
      <w:r>
        <w:t xml:space="preserve"> </w:t>
      </w:r>
    </w:p>
    <w:p w14:paraId="6FC84BF9" w14:textId="77777777" w:rsidR="00A859AA" w:rsidRDefault="00A859AA" w:rsidP="00A859AA">
      <w:pPr>
        <w:spacing w:after="0"/>
      </w:pPr>
      <w:r w:rsidRPr="00440C93">
        <w:t xml:space="preserve">CBFP </w:t>
      </w:r>
      <w:r>
        <w:tab/>
      </w:r>
      <w:r>
        <w:tab/>
      </w:r>
      <w:r>
        <w:tab/>
      </w:r>
      <w:r w:rsidRPr="00440C93">
        <w:t>C</w:t>
      </w:r>
      <w:r>
        <w:t xml:space="preserve">ongo Basin Forest Partnership </w:t>
      </w:r>
    </w:p>
    <w:p w14:paraId="72176F96" w14:textId="77777777" w:rsidR="00A859AA" w:rsidRPr="00D52BC7" w:rsidRDefault="00A859AA" w:rsidP="005A725A">
      <w:pPr>
        <w:spacing w:after="0"/>
        <w:jc w:val="both"/>
        <w:rPr>
          <w:color w:val="000000" w:themeColor="text1"/>
        </w:rPr>
      </w:pPr>
      <w:r w:rsidRPr="000A7365">
        <w:rPr>
          <w:color w:val="000000" w:themeColor="text1"/>
        </w:rPr>
        <w:t xml:space="preserve">CBNRM </w:t>
      </w:r>
      <w:r w:rsidRPr="000A7365">
        <w:rPr>
          <w:color w:val="000000" w:themeColor="text1"/>
        </w:rPr>
        <w:tab/>
      </w:r>
      <w:r w:rsidRPr="000A7365">
        <w:rPr>
          <w:color w:val="000000" w:themeColor="text1"/>
        </w:rPr>
        <w:tab/>
        <w:t xml:space="preserve">Community-based </w:t>
      </w:r>
      <w:r w:rsidRPr="00D52BC7">
        <w:rPr>
          <w:color w:val="000000" w:themeColor="text1"/>
        </w:rPr>
        <w:t>Natural Resource Management</w:t>
      </w:r>
    </w:p>
    <w:p w14:paraId="0820CF7F" w14:textId="77777777" w:rsidR="00A859AA" w:rsidRPr="00440C93" w:rsidRDefault="00A859AA" w:rsidP="00A859AA">
      <w:pPr>
        <w:spacing w:after="0"/>
      </w:pPr>
      <w:r w:rsidRPr="00D81F0B">
        <w:t>CCAD</w:t>
      </w:r>
      <w:r w:rsidRPr="00440C93">
        <w:t xml:space="preserve"> </w:t>
      </w:r>
      <w:r>
        <w:tab/>
      </w:r>
      <w:r>
        <w:tab/>
      </w:r>
      <w:r w:rsidRPr="00440C93">
        <w:t>Central American Commission for the Environment and Developm</w:t>
      </w:r>
      <w:r>
        <w:t>ent</w:t>
      </w:r>
    </w:p>
    <w:p w14:paraId="37DD44E1" w14:textId="77777777" w:rsidR="00A859AA" w:rsidRDefault="00A859AA" w:rsidP="005A725A">
      <w:pPr>
        <w:spacing w:after="0"/>
      </w:pPr>
      <w:r>
        <w:t xml:space="preserve">CECNA </w:t>
      </w:r>
      <w:r>
        <w:tab/>
      </w:r>
      <w:r>
        <w:tab/>
        <w:t xml:space="preserve">Commission for Environmental Cooperation of North America </w:t>
      </w:r>
    </w:p>
    <w:p w14:paraId="3EA83EFC" w14:textId="77777777" w:rsidR="00A859AA" w:rsidRDefault="00A859AA" w:rsidP="00D81F0B">
      <w:pPr>
        <w:spacing w:after="0"/>
      </w:pPr>
      <w:r w:rsidRPr="004904D8">
        <w:t xml:space="preserve">CEESP </w:t>
      </w:r>
      <w:r>
        <w:tab/>
      </w:r>
      <w:r>
        <w:tab/>
      </w:r>
      <w:r w:rsidRPr="004904D8">
        <w:t xml:space="preserve">Commission on Environmental, Economic and Social Policy </w:t>
      </w:r>
    </w:p>
    <w:p w14:paraId="57851BD1" w14:textId="77777777" w:rsidR="00A859AA" w:rsidRPr="00D52BC7" w:rsidRDefault="00A859AA" w:rsidP="005A725A">
      <w:pPr>
        <w:spacing w:after="0"/>
        <w:jc w:val="both"/>
        <w:rPr>
          <w:color w:val="000000" w:themeColor="text1"/>
        </w:rPr>
      </w:pPr>
      <w:r w:rsidRPr="00D52BC7">
        <w:rPr>
          <w:color w:val="000000" w:themeColor="text1"/>
        </w:rPr>
        <w:t xml:space="preserve">CEUC/SDS </w:t>
      </w:r>
      <w:r w:rsidRPr="00D52BC7">
        <w:rPr>
          <w:color w:val="000000" w:themeColor="text1"/>
        </w:rPr>
        <w:tab/>
      </w:r>
      <w:r w:rsidRPr="00D52BC7">
        <w:rPr>
          <w:color w:val="000000" w:themeColor="text1"/>
        </w:rPr>
        <w:tab/>
        <w:t xml:space="preserve">Centre for Protected Areas of Amazonas State </w:t>
      </w:r>
    </w:p>
    <w:p w14:paraId="28890BB3" w14:textId="695CA522" w:rsidR="00A859AA" w:rsidRPr="00D52BC7" w:rsidRDefault="00A859AA" w:rsidP="005A725A">
      <w:pPr>
        <w:spacing w:after="0"/>
        <w:jc w:val="both"/>
        <w:rPr>
          <w:color w:val="000000" w:themeColor="text1"/>
        </w:rPr>
      </w:pPr>
      <w:r w:rsidRPr="00D52BC7">
        <w:rPr>
          <w:color w:val="000000" w:themeColor="text1"/>
        </w:rPr>
        <w:t xml:space="preserve">CIB </w:t>
      </w:r>
      <w:r w:rsidRPr="00D52BC7">
        <w:rPr>
          <w:color w:val="000000" w:themeColor="text1"/>
        </w:rPr>
        <w:tab/>
      </w:r>
      <w:r w:rsidRPr="00D52BC7">
        <w:rPr>
          <w:color w:val="000000" w:themeColor="text1"/>
        </w:rPr>
        <w:tab/>
      </w:r>
      <w:r w:rsidRPr="00D52BC7">
        <w:rPr>
          <w:color w:val="000000" w:themeColor="text1"/>
        </w:rPr>
        <w:tab/>
      </w:r>
      <w:r w:rsidR="004A7E0E" w:rsidRPr="004A7E0E">
        <w:rPr>
          <w:color w:val="000000" w:themeColor="text1"/>
        </w:rPr>
        <w:t>Congolaise industrielle des Bois</w:t>
      </w:r>
    </w:p>
    <w:p w14:paraId="2C92A5A6" w14:textId="77777777" w:rsidR="00A859AA" w:rsidRPr="00D52BC7" w:rsidRDefault="00A859AA" w:rsidP="005A725A">
      <w:pPr>
        <w:spacing w:after="0"/>
        <w:jc w:val="both"/>
        <w:rPr>
          <w:color w:val="000000" w:themeColor="text1"/>
        </w:rPr>
      </w:pPr>
      <w:r w:rsidRPr="00D52BC7">
        <w:rPr>
          <w:color w:val="000000" w:themeColor="text1"/>
        </w:rPr>
        <w:t>CIFOR</w:t>
      </w:r>
      <w:r w:rsidRPr="00D52BC7">
        <w:rPr>
          <w:color w:val="000000" w:themeColor="text1"/>
        </w:rPr>
        <w:tab/>
      </w:r>
      <w:r w:rsidRPr="00D52BC7">
        <w:rPr>
          <w:color w:val="000000" w:themeColor="text1"/>
        </w:rPr>
        <w:tab/>
      </w:r>
      <w:r w:rsidRPr="00D52BC7">
        <w:rPr>
          <w:color w:val="000000" w:themeColor="text1"/>
        </w:rPr>
        <w:tab/>
        <w:t>Center for International Forestry Research</w:t>
      </w:r>
    </w:p>
    <w:p w14:paraId="498C061B" w14:textId="77777777" w:rsidR="00A859AA" w:rsidRPr="00D52BC7" w:rsidRDefault="00A859AA" w:rsidP="005A725A">
      <w:pPr>
        <w:spacing w:after="0"/>
        <w:ind w:left="2160" w:hanging="2160"/>
        <w:jc w:val="both"/>
        <w:rPr>
          <w:color w:val="000000" w:themeColor="text1"/>
        </w:rPr>
      </w:pPr>
      <w:r w:rsidRPr="00D52BC7">
        <w:rPr>
          <w:color w:val="000000" w:themeColor="text1"/>
        </w:rPr>
        <w:t xml:space="preserve">CITES </w:t>
      </w:r>
      <w:r w:rsidRPr="00D52BC7">
        <w:rPr>
          <w:color w:val="000000" w:themeColor="text1"/>
        </w:rPr>
        <w:tab/>
        <w:t>Convention on International Trade in Endangered Species of Wild Fauna and Flora</w:t>
      </w:r>
    </w:p>
    <w:p w14:paraId="1BD31D64" w14:textId="77777777" w:rsidR="00A859AA" w:rsidRPr="00D52BC7" w:rsidRDefault="00A859AA" w:rsidP="005A725A">
      <w:pPr>
        <w:spacing w:after="0"/>
        <w:ind w:left="2160" w:hanging="2160"/>
        <w:jc w:val="both"/>
        <w:rPr>
          <w:color w:val="000000" w:themeColor="text1"/>
        </w:rPr>
      </w:pPr>
      <w:r w:rsidRPr="00D52BC7">
        <w:rPr>
          <w:color w:val="000000" w:themeColor="text1"/>
        </w:rPr>
        <w:t xml:space="preserve">CLUP </w:t>
      </w:r>
      <w:r w:rsidRPr="00D52BC7">
        <w:rPr>
          <w:color w:val="000000" w:themeColor="text1"/>
        </w:rPr>
        <w:tab/>
        <w:t xml:space="preserve">Community Land Use Planning </w:t>
      </w:r>
    </w:p>
    <w:p w14:paraId="0D1B482B" w14:textId="77777777" w:rsidR="00A859AA" w:rsidRDefault="00A859AA" w:rsidP="005A725A">
      <w:pPr>
        <w:spacing w:after="0"/>
      </w:pPr>
      <w:r w:rsidRPr="0070404D">
        <w:t>CMS</w:t>
      </w:r>
      <w:r w:rsidRPr="0064175F">
        <w:t xml:space="preserve"> </w:t>
      </w:r>
      <w:r>
        <w:tab/>
      </w:r>
      <w:r>
        <w:tab/>
      </w:r>
      <w:r>
        <w:tab/>
      </w:r>
      <w:r w:rsidRPr="0064175F">
        <w:t>Convention on Migratory S</w:t>
      </w:r>
      <w:r>
        <w:t xml:space="preserve">pecies </w:t>
      </w:r>
      <w:r w:rsidRPr="0070404D">
        <w:t xml:space="preserve"> </w:t>
      </w:r>
    </w:p>
    <w:p w14:paraId="6F390833" w14:textId="77777777" w:rsidR="00A859AA" w:rsidRPr="00DD65C9" w:rsidRDefault="00A859AA" w:rsidP="00A859AA">
      <w:pPr>
        <w:spacing w:after="0"/>
        <w:ind w:left="2160" w:hanging="2160"/>
        <w:rPr>
          <w:lang w:val="pt-BR"/>
        </w:rPr>
      </w:pPr>
      <w:r w:rsidRPr="00DD65C9">
        <w:rPr>
          <w:lang w:val="pt-BR"/>
        </w:rPr>
        <w:t xml:space="preserve">COMFAUNA </w:t>
      </w:r>
      <w:r w:rsidRPr="00DD65C9">
        <w:rPr>
          <w:lang w:val="pt-BR"/>
        </w:rPr>
        <w:tab/>
        <w:t xml:space="preserve">Comunidad de Manejo de Fauna Silvestre en la Amazonía y en Latinoamérica </w:t>
      </w:r>
    </w:p>
    <w:p w14:paraId="6131477B" w14:textId="77777777" w:rsidR="00A859AA" w:rsidRDefault="00A859AA" w:rsidP="00D81F0B">
      <w:pPr>
        <w:spacing w:after="0"/>
      </w:pPr>
      <w:r>
        <w:t>COMIFAC</w:t>
      </w:r>
      <w:r w:rsidRPr="00785A38">
        <w:t xml:space="preserve"> </w:t>
      </w:r>
      <w:r>
        <w:tab/>
      </w:r>
      <w:r>
        <w:tab/>
      </w:r>
      <w:r w:rsidRPr="00785A38">
        <w:t xml:space="preserve">Inter-ministerial Commission on Forests of </w:t>
      </w:r>
      <w:r>
        <w:t xml:space="preserve">Central Africa </w:t>
      </w:r>
      <w:r>
        <w:tab/>
      </w:r>
    </w:p>
    <w:p w14:paraId="3A901DCA" w14:textId="77777777" w:rsidR="00A859AA" w:rsidRPr="00D52BC7" w:rsidRDefault="00A859AA" w:rsidP="005A725A">
      <w:pPr>
        <w:spacing w:after="0"/>
        <w:jc w:val="both"/>
        <w:rPr>
          <w:color w:val="000000" w:themeColor="text1"/>
        </w:rPr>
      </w:pPr>
      <w:r w:rsidRPr="00D52BC7">
        <w:rPr>
          <w:color w:val="000000" w:themeColor="text1"/>
        </w:rPr>
        <w:t>COP</w:t>
      </w:r>
      <w:r w:rsidRPr="00D52BC7">
        <w:rPr>
          <w:color w:val="000000" w:themeColor="text1"/>
        </w:rPr>
        <w:tab/>
      </w:r>
      <w:r w:rsidRPr="00D52BC7">
        <w:rPr>
          <w:color w:val="000000" w:themeColor="text1"/>
        </w:rPr>
        <w:tab/>
      </w:r>
      <w:r w:rsidRPr="00D52BC7">
        <w:rPr>
          <w:color w:val="000000" w:themeColor="text1"/>
        </w:rPr>
        <w:tab/>
        <w:t>Conference of the Parties</w:t>
      </w:r>
    </w:p>
    <w:p w14:paraId="62067A1B" w14:textId="77777777" w:rsidR="00A859AA" w:rsidRPr="00D52BC7" w:rsidRDefault="00A859AA" w:rsidP="005A725A">
      <w:pPr>
        <w:spacing w:after="0"/>
        <w:jc w:val="both"/>
        <w:rPr>
          <w:color w:val="000000" w:themeColor="text1"/>
        </w:rPr>
      </w:pPr>
      <w:r w:rsidRPr="00D52BC7">
        <w:rPr>
          <w:color w:val="000000" w:themeColor="text1"/>
        </w:rPr>
        <w:t xml:space="preserve">CPUE </w:t>
      </w:r>
      <w:r w:rsidRPr="00D52BC7">
        <w:rPr>
          <w:color w:val="000000" w:themeColor="text1"/>
        </w:rPr>
        <w:tab/>
      </w:r>
      <w:r w:rsidRPr="00D52BC7">
        <w:rPr>
          <w:color w:val="000000" w:themeColor="text1"/>
        </w:rPr>
        <w:tab/>
      </w:r>
      <w:r w:rsidRPr="00D52BC7">
        <w:rPr>
          <w:color w:val="000000" w:themeColor="text1"/>
        </w:rPr>
        <w:tab/>
        <w:t xml:space="preserve">Catch Per Unit Effort </w:t>
      </w:r>
    </w:p>
    <w:p w14:paraId="2D8738FF" w14:textId="77777777" w:rsidR="00A859AA" w:rsidRPr="00D52BC7" w:rsidRDefault="00A859AA" w:rsidP="005A725A">
      <w:pPr>
        <w:spacing w:after="0"/>
        <w:jc w:val="both"/>
        <w:rPr>
          <w:color w:val="000000" w:themeColor="text1"/>
        </w:rPr>
      </w:pPr>
      <w:r w:rsidRPr="00D52BC7">
        <w:rPr>
          <w:color w:val="000000" w:themeColor="text1"/>
        </w:rPr>
        <w:t>CPW</w:t>
      </w:r>
      <w:r w:rsidRPr="00D52BC7">
        <w:rPr>
          <w:color w:val="000000" w:themeColor="text1"/>
        </w:rPr>
        <w:tab/>
      </w:r>
      <w:r w:rsidRPr="00D52BC7">
        <w:rPr>
          <w:color w:val="000000" w:themeColor="text1"/>
        </w:rPr>
        <w:tab/>
      </w:r>
      <w:r w:rsidRPr="00D52BC7">
        <w:rPr>
          <w:color w:val="000000" w:themeColor="text1"/>
        </w:rPr>
        <w:tab/>
        <w:t>Collaborative Partnership on Sustainable Wildlife Management</w:t>
      </w:r>
    </w:p>
    <w:p w14:paraId="3E7AA57E" w14:textId="77777777" w:rsidR="00A859AA" w:rsidRPr="00D52BC7" w:rsidRDefault="00A859AA" w:rsidP="003B05D5">
      <w:pPr>
        <w:spacing w:after="0"/>
        <w:ind w:left="2160" w:hanging="2160"/>
        <w:jc w:val="both"/>
        <w:rPr>
          <w:color w:val="000000" w:themeColor="text1"/>
        </w:rPr>
      </w:pPr>
      <w:r w:rsidRPr="00D52BC7">
        <w:rPr>
          <w:color w:val="000000" w:themeColor="text1"/>
        </w:rPr>
        <w:t xml:space="preserve">CWMA </w:t>
      </w:r>
      <w:r w:rsidRPr="00D52BC7">
        <w:rPr>
          <w:color w:val="000000" w:themeColor="text1"/>
        </w:rPr>
        <w:tab/>
        <w:t>Community Wildlife Management Area</w:t>
      </w:r>
    </w:p>
    <w:p w14:paraId="022BAC04" w14:textId="5D78467E" w:rsidR="00A859AA" w:rsidRDefault="00A859AA" w:rsidP="00A859AA">
      <w:pPr>
        <w:spacing w:after="0"/>
      </w:pPr>
      <w:r w:rsidRPr="00440C93">
        <w:t xml:space="preserve">DGIS </w:t>
      </w:r>
      <w:r>
        <w:tab/>
      </w:r>
      <w:r>
        <w:tab/>
      </w:r>
      <w:r>
        <w:tab/>
      </w:r>
      <w:r w:rsidR="000F760D" w:rsidRPr="000F760D">
        <w:t>Directorate-General for International Cooperation</w:t>
      </w:r>
      <w:r w:rsidR="000F760D">
        <w:t xml:space="preserve"> (Netherlands)</w:t>
      </w:r>
    </w:p>
    <w:p w14:paraId="6072D5BD" w14:textId="77777777" w:rsidR="00A859AA" w:rsidRPr="00D52BC7" w:rsidRDefault="00A859AA" w:rsidP="005A725A">
      <w:pPr>
        <w:spacing w:after="0"/>
        <w:jc w:val="both"/>
        <w:rPr>
          <w:color w:val="000000" w:themeColor="text1"/>
        </w:rPr>
      </w:pPr>
      <w:r w:rsidRPr="00D52BC7">
        <w:rPr>
          <w:color w:val="000000" w:themeColor="text1"/>
        </w:rPr>
        <w:t>DRC</w:t>
      </w:r>
      <w:r w:rsidRPr="00D52BC7">
        <w:rPr>
          <w:color w:val="000000" w:themeColor="text1"/>
        </w:rPr>
        <w:tab/>
      </w:r>
      <w:r w:rsidRPr="00D52BC7">
        <w:rPr>
          <w:color w:val="000000" w:themeColor="text1"/>
        </w:rPr>
        <w:tab/>
      </w:r>
      <w:r w:rsidRPr="00D52BC7">
        <w:rPr>
          <w:color w:val="000000" w:themeColor="text1"/>
        </w:rPr>
        <w:tab/>
        <w:t>Democratic Republic of Congo</w:t>
      </w:r>
    </w:p>
    <w:p w14:paraId="307EAE06" w14:textId="77777777" w:rsidR="00A859AA" w:rsidRDefault="00A859AA" w:rsidP="00A859AA">
      <w:pPr>
        <w:spacing w:after="0"/>
      </w:pPr>
      <w:r>
        <w:t xml:space="preserve">ECOWAS </w:t>
      </w:r>
      <w:r>
        <w:tab/>
      </w:r>
      <w:r>
        <w:tab/>
        <w:t>Economic Community of West African States</w:t>
      </w:r>
    </w:p>
    <w:p w14:paraId="06E6D80D" w14:textId="77777777" w:rsidR="00A859AA" w:rsidRPr="00D52BC7" w:rsidRDefault="00A859AA" w:rsidP="005A725A">
      <w:pPr>
        <w:spacing w:after="0"/>
        <w:jc w:val="both"/>
        <w:rPr>
          <w:color w:val="000000" w:themeColor="text1"/>
        </w:rPr>
      </w:pPr>
      <w:r w:rsidRPr="00D52BC7">
        <w:rPr>
          <w:color w:val="000000" w:themeColor="text1"/>
        </w:rPr>
        <w:t>EIDs</w:t>
      </w:r>
      <w:r w:rsidRPr="00D52BC7">
        <w:rPr>
          <w:color w:val="000000" w:themeColor="text1"/>
        </w:rPr>
        <w:tab/>
      </w:r>
      <w:r w:rsidRPr="00D52BC7">
        <w:rPr>
          <w:color w:val="000000" w:themeColor="text1"/>
        </w:rPr>
        <w:tab/>
      </w:r>
      <w:r w:rsidRPr="00D52BC7">
        <w:rPr>
          <w:color w:val="000000" w:themeColor="text1"/>
        </w:rPr>
        <w:tab/>
        <w:t>Emerging Infectious Diseases</w:t>
      </w:r>
    </w:p>
    <w:p w14:paraId="60FB2338" w14:textId="77777777" w:rsidR="00A859AA" w:rsidRDefault="00A859AA" w:rsidP="00A859AA">
      <w:pPr>
        <w:spacing w:after="0"/>
      </w:pPr>
      <w:r w:rsidRPr="00440C93">
        <w:t xml:space="preserve">EPI </w:t>
      </w:r>
      <w:r>
        <w:tab/>
      </w:r>
      <w:r>
        <w:tab/>
      </w:r>
      <w:r>
        <w:tab/>
      </w:r>
      <w:r w:rsidRPr="00440C93">
        <w:t>E</w:t>
      </w:r>
      <w:r>
        <w:t xml:space="preserve">lephant Protection Initiative </w:t>
      </w:r>
    </w:p>
    <w:p w14:paraId="1D82F389" w14:textId="77777777" w:rsidR="00A859AA" w:rsidRPr="00D52BC7" w:rsidRDefault="00A859AA" w:rsidP="005A725A">
      <w:pPr>
        <w:spacing w:after="0"/>
        <w:jc w:val="both"/>
        <w:rPr>
          <w:color w:val="000000" w:themeColor="text1"/>
        </w:rPr>
      </w:pPr>
      <w:r w:rsidRPr="00D52BC7">
        <w:rPr>
          <w:color w:val="000000" w:themeColor="text1"/>
        </w:rPr>
        <w:t>EU</w:t>
      </w:r>
      <w:r w:rsidRPr="00D52BC7">
        <w:rPr>
          <w:color w:val="000000" w:themeColor="text1"/>
        </w:rPr>
        <w:tab/>
      </w:r>
      <w:r w:rsidRPr="00D52BC7">
        <w:rPr>
          <w:color w:val="000000" w:themeColor="text1"/>
        </w:rPr>
        <w:tab/>
      </w:r>
      <w:r w:rsidRPr="00D52BC7">
        <w:rPr>
          <w:color w:val="000000" w:themeColor="text1"/>
        </w:rPr>
        <w:tab/>
        <w:t>European Union</w:t>
      </w:r>
    </w:p>
    <w:p w14:paraId="0FAEA82F" w14:textId="77777777" w:rsidR="00A859AA" w:rsidRDefault="00A859AA" w:rsidP="00A859AA">
      <w:pPr>
        <w:spacing w:after="0"/>
      </w:pPr>
      <w:r w:rsidRPr="004904D8">
        <w:t>FAO</w:t>
      </w:r>
      <w:r w:rsidRPr="00440C93">
        <w:t xml:space="preserve"> </w:t>
      </w:r>
      <w:r>
        <w:tab/>
      </w:r>
      <w:r>
        <w:tab/>
      </w:r>
      <w:r>
        <w:tab/>
      </w:r>
      <w:r w:rsidRPr="00440C93">
        <w:t>United Nations Food and Agriculture Organisation</w:t>
      </w:r>
      <w:r w:rsidRPr="004904D8">
        <w:t xml:space="preserve"> </w:t>
      </w:r>
    </w:p>
    <w:p w14:paraId="3A76D90F" w14:textId="77777777" w:rsidR="00A859AA" w:rsidRPr="00D52BC7" w:rsidRDefault="00A859AA" w:rsidP="00530356">
      <w:pPr>
        <w:spacing w:after="0"/>
        <w:ind w:left="2160" w:hanging="2160"/>
        <w:jc w:val="both"/>
        <w:rPr>
          <w:color w:val="000000" w:themeColor="text1"/>
        </w:rPr>
      </w:pPr>
      <w:r w:rsidRPr="00D52BC7">
        <w:rPr>
          <w:color w:val="000000" w:themeColor="text1"/>
        </w:rPr>
        <w:t xml:space="preserve">FFEM </w:t>
      </w:r>
      <w:r w:rsidRPr="00D52BC7">
        <w:rPr>
          <w:color w:val="000000" w:themeColor="text1"/>
        </w:rPr>
        <w:tab/>
        <w:t>French Fund for the Environment, (in French: Fonds Français pour l'Environnement Mondial</w:t>
      </w:r>
    </w:p>
    <w:p w14:paraId="7C71E0F3" w14:textId="77777777" w:rsidR="00A859AA" w:rsidRPr="00D52BC7" w:rsidRDefault="00A859AA" w:rsidP="005A725A">
      <w:pPr>
        <w:spacing w:after="0"/>
        <w:jc w:val="both"/>
        <w:rPr>
          <w:color w:val="000000" w:themeColor="text1"/>
        </w:rPr>
      </w:pPr>
      <w:r w:rsidRPr="00D52BC7">
        <w:rPr>
          <w:color w:val="000000" w:themeColor="text1"/>
        </w:rPr>
        <w:t xml:space="preserve">FPIC </w:t>
      </w:r>
      <w:r w:rsidRPr="00D52BC7">
        <w:rPr>
          <w:color w:val="000000" w:themeColor="text1"/>
        </w:rPr>
        <w:tab/>
      </w:r>
      <w:r w:rsidRPr="00D52BC7">
        <w:rPr>
          <w:color w:val="000000" w:themeColor="text1"/>
        </w:rPr>
        <w:tab/>
      </w:r>
      <w:r w:rsidRPr="00D52BC7">
        <w:rPr>
          <w:color w:val="000000" w:themeColor="text1"/>
        </w:rPr>
        <w:tab/>
        <w:t xml:space="preserve">Free, Prior and Informed Consent </w:t>
      </w:r>
    </w:p>
    <w:p w14:paraId="37FA1B18" w14:textId="00162BED" w:rsidR="009E4C7B" w:rsidRPr="00DD65C9" w:rsidRDefault="009E4C7B" w:rsidP="009E4C7B">
      <w:pPr>
        <w:spacing w:after="0"/>
        <w:jc w:val="both"/>
        <w:rPr>
          <w:color w:val="000000" w:themeColor="text1"/>
          <w:lang w:val="pt-BR"/>
        </w:rPr>
      </w:pPr>
      <w:r w:rsidRPr="00DD65C9">
        <w:rPr>
          <w:color w:val="000000" w:themeColor="text1"/>
          <w:lang w:val="pt-BR"/>
        </w:rPr>
        <w:t xml:space="preserve">FUNDAMAZONIA </w:t>
      </w:r>
      <w:r w:rsidRPr="00DD65C9">
        <w:rPr>
          <w:color w:val="000000" w:themeColor="text1"/>
          <w:lang w:val="pt-BR"/>
        </w:rPr>
        <w:tab/>
        <w:t xml:space="preserve">Fundacion Para La </w:t>
      </w:r>
      <w:r w:rsidRPr="00DB5C86">
        <w:rPr>
          <w:color w:val="000000" w:themeColor="text1"/>
          <w:lang w:val="es-ES"/>
        </w:rPr>
        <w:t>Conservación</w:t>
      </w:r>
      <w:r w:rsidRPr="00DD65C9">
        <w:rPr>
          <w:color w:val="000000" w:themeColor="text1"/>
          <w:lang w:val="pt-BR"/>
        </w:rPr>
        <w:t xml:space="preserve"> Del Tropico Amazonico</w:t>
      </w:r>
    </w:p>
    <w:p w14:paraId="3675A670" w14:textId="77777777" w:rsidR="00A859AA" w:rsidRPr="00D52BC7" w:rsidRDefault="00A859AA" w:rsidP="005A725A">
      <w:pPr>
        <w:spacing w:after="0"/>
        <w:jc w:val="both"/>
        <w:rPr>
          <w:color w:val="000000" w:themeColor="text1"/>
        </w:rPr>
      </w:pPr>
      <w:r w:rsidRPr="00AC64EB">
        <w:rPr>
          <w:color w:val="000000" w:themeColor="text1"/>
        </w:rPr>
        <w:t>GALVmed</w:t>
      </w:r>
      <w:r w:rsidRPr="00D52BC7">
        <w:rPr>
          <w:color w:val="000000" w:themeColor="text1"/>
        </w:rPr>
        <w:t xml:space="preserve"> </w:t>
      </w:r>
      <w:r w:rsidRPr="00D52BC7">
        <w:rPr>
          <w:color w:val="000000" w:themeColor="text1"/>
        </w:rPr>
        <w:tab/>
      </w:r>
      <w:r w:rsidRPr="00D52BC7">
        <w:rPr>
          <w:color w:val="000000" w:themeColor="text1"/>
        </w:rPr>
        <w:tab/>
        <w:t xml:space="preserve">Global Alliance for Veterinary Medicine </w:t>
      </w:r>
    </w:p>
    <w:p w14:paraId="5A7EEEF4" w14:textId="77777777" w:rsidR="00A859AA" w:rsidRPr="00D52BC7" w:rsidRDefault="00A859AA" w:rsidP="005A725A">
      <w:pPr>
        <w:spacing w:after="0"/>
        <w:jc w:val="both"/>
        <w:rPr>
          <w:color w:val="000000" w:themeColor="text1"/>
        </w:rPr>
      </w:pPr>
      <w:r w:rsidRPr="00D52BC7">
        <w:rPr>
          <w:color w:val="000000" w:themeColor="text1"/>
        </w:rPr>
        <w:t>GDP</w:t>
      </w:r>
      <w:r w:rsidRPr="00D52BC7">
        <w:rPr>
          <w:color w:val="000000" w:themeColor="text1"/>
        </w:rPr>
        <w:tab/>
      </w:r>
      <w:r w:rsidRPr="00D52BC7">
        <w:rPr>
          <w:color w:val="000000" w:themeColor="text1"/>
        </w:rPr>
        <w:tab/>
      </w:r>
      <w:r w:rsidRPr="00D52BC7">
        <w:rPr>
          <w:color w:val="000000" w:themeColor="text1"/>
        </w:rPr>
        <w:tab/>
        <w:t>Gross Domestic Product</w:t>
      </w:r>
    </w:p>
    <w:p w14:paraId="52A1DF6E" w14:textId="77777777" w:rsidR="00A859AA" w:rsidRDefault="00A859AA" w:rsidP="00A859AA">
      <w:pPr>
        <w:spacing w:after="0"/>
      </w:pPr>
      <w:r w:rsidRPr="00785A38">
        <w:t xml:space="preserve">GEF </w:t>
      </w:r>
      <w:r>
        <w:tab/>
      </w:r>
      <w:r>
        <w:tab/>
      </w:r>
      <w:r>
        <w:tab/>
      </w:r>
      <w:r w:rsidRPr="00785A38">
        <w:t xml:space="preserve">Global Environment Facility </w:t>
      </w:r>
    </w:p>
    <w:p w14:paraId="1493D1FB" w14:textId="75E12849" w:rsidR="00A859AA" w:rsidRPr="00440C93" w:rsidRDefault="00A859AA" w:rsidP="00CF6CBA">
      <w:pPr>
        <w:spacing w:after="0"/>
        <w:ind w:left="2160" w:hanging="2160"/>
      </w:pPr>
      <w:r w:rsidRPr="00440C93">
        <w:t xml:space="preserve">GIZ </w:t>
      </w:r>
      <w:r w:rsidR="00CF6CBA">
        <w:tab/>
      </w:r>
      <w:r>
        <w:t xml:space="preserve">German Development Cooperation </w:t>
      </w:r>
      <w:r w:rsidR="00CF6CBA">
        <w:t xml:space="preserve">(in German: </w:t>
      </w:r>
      <w:r w:rsidR="00CF6CBA" w:rsidRPr="00CF6CBA">
        <w:t>Deutsche Gesellschaft für Internationale Zusammenarbeit</w:t>
      </w:r>
      <w:r w:rsidR="00CF6CBA">
        <w:t>)</w:t>
      </w:r>
    </w:p>
    <w:p w14:paraId="05EB532B" w14:textId="77777777" w:rsidR="00A859AA" w:rsidRDefault="00A859AA" w:rsidP="00A859AA">
      <w:pPr>
        <w:spacing w:after="0"/>
      </w:pPr>
      <w:r>
        <w:t xml:space="preserve">GSF </w:t>
      </w:r>
      <w:r>
        <w:tab/>
      </w:r>
      <w:r>
        <w:tab/>
      </w:r>
      <w:r>
        <w:tab/>
        <w:t>Guiana Shield Facility</w:t>
      </w:r>
    </w:p>
    <w:p w14:paraId="2FE248F3" w14:textId="77777777" w:rsidR="00A859AA" w:rsidRPr="00440C93" w:rsidRDefault="00A859AA" w:rsidP="00A859AA">
      <w:pPr>
        <w:spacing w:after="0"/>
      </w:pPr>
      <w:r w:rsidRPr="00440C93">
        <w:t xml:space="preserve">GTI </w:t>
      </w:r>
      <w:r>
        <w:tab/>
      </w:r>
      <w:r>
        <w:tab/>
      </w:r>
      <w:r>
        <w:tab/>
        <w:t xml:space="preserve">The Global Tiger Initiative </w:t>
      </w:r>
    </w:p>
    <w:p w14:paraId="17157230" w14:textId="77777777" w:rsidR="00A859AA" w:rsidRPr="00D52BC7" w:rsidRDefault="00A859AA" w:rsidP="005A725A">
      <w:pPr>
        <w:spacing w:after="0"/>
        <w:ind w:left="2160" w:hanging="2160"/>
        <w:rPr>
          <w:color w:val="000000" w:themeColor="text1"/>
        </w:rPr>
      </w:pPr>
      <w:r w:rsidRPr="00D52BC7">
        <w:rPr>
          <w:color w:val="000000" w:themeColor="text1"/>
        </w:rPr>
        <w:t>HIV/AIDS</w:t>
      </w:r>
      <w:r w:rsidRPr="00D52BC7">
        <w:rPr>
          <w:color w:val="000000" w:themeColor="text1"/>
        </w:rPr>
        <w:tab/>
        <w:t>Human Immunodeficiency Virus/ Acquired Immunodeficiency Syndrome</w:t>
      </w:r>
    </w:p>
    <w:p w14:paraId="2CCA6219" w14:textId="77777777" w:rsidR="00A859AA" w:rsidRPr="00D52BC7" w:rsidRDefault="00A859AA" w:rsidP="005A725A">
      <w:pPr>
        <w:spacing w:after="0"/>
        <w:ind w:left="2160" w:hanging="2160"/>
        <w:rPr>
          <w:color w:val="000000" w:themeColor="text1"/>
        </w:rPr>
      </w:pPr>
      <w:r w:rsidRPr="00D52BC7">
        <w:rPr>
          <w:color w:val="000000" w:themeColor="text1"/>
        </w:rPr>
        <w:lastRenderedPageBreak/>
        <w:t xml:space="preserve">ICCA </w:t>
      </w:r>
      <w:r w:rsidRPr="00D52BC7">
        <w:rPr>
          <w:color w:val="000000" w:themeColor="text1"/>
        </w:rPr>
        <w:tab/>
        <w:t xml:space="preserve">Indigenous Peoples’ and Community Conserved Territories and Areas </w:t>
      </w:r>
    </w:p>
    <w:p w14:paraId="6B221792" w14:textId="77777777" w:rsidR="00A859AA" w:rsidRDefault="00A859AA" w:rsidP="0077363A">
      <w:pPr>
        <w:spacing w:after="0"/>
      </w:pPr>
      <w:r>
        <w:t>ICCWC</w:t>
      </w:r>
      <w:r w:rsidRPr="00440C93">
        <w:t xml:space="preserve"> </w:t>
      </w:r>
      <w:r>
        <w:tab/>
      </w:r>
      <w:r>
        <w:tab/>
      </w:r>
      <w:r w:rsidRPr="00440C93">
        <w:t xml:space="preserve">International </w:t>
      </w:r>
      <w:r>
        <w:t>Consortium on Combatting Wildlife Crime</w:t>
      </w:r>
    </w:p>
    <w:p w14:paraId="15EF289D" w14:textId="77777777" w:rsidR="00A859AA" w:rsidRPr="00D52BC7" w:rsidRDefault="00A859AA" w:rsidP="0077363A">
      <w:pPr>
        <w:spacing w:after="0"/>
        <w:jc w:val="both"/>
        <w:rPr>
          <w:color w:val="000000" w:themeColor="text1"/>
        </w:rPr>
      </w:pPr>
      <w:r w:rsidRPr="00D52BC7">
        <w:rPr>
          <w:color w:val="000000" w:themeColor="text1"/>
        </w:rPr>
        <w:t>ICDP</w:t>
      </w:r>
      <w:r w:rsidRPr="00D52BC7">
        <w:rPr>
          <w:color w:val="000000" w:themeColor="text1"/>
        </w:rPr>
        <w:tab/>
      </w:r>
      <w:r w:rsidRPr="00D52BC7">
        <w:rPr>
          <w:color w:val="000000" w:themeColor="text1"/>
        </w:rPr>
        <w:tab/>
      </w:r>
      <w:r w:rsidRPr="00D52BC7">
        <w:rPr>
          <w:color w:val="000000" w:themeColor="text1"/>
        </w:rPr>
        <w:tab/>
        <w:t>Integrated Conservation and Development Project</w:t>
      </w:r>
    </w:p>
    <w:p w14:paraId="12F5CA28" w14:textId="64256574" w:rsidR="00A859AA" w:rsidRDefault="00A859AA" w:rsidP="0077363A">
      <w:pPr>
        <w:spacing w:after="0"/>
      </w:pPr>
      <w:r>
        <w:t xml:space="preserve">InterPol </w:t>
      </w:r>
      <w:r>
        <w:tab/>
      </w:r>
      <w:r>
        <w:tab/>
      </w:r>
      <w:r w:rsidR="0021443F" w:rsidRPr="0021443F">
        <w:t>Internation</w:t>
      </w:r>
      <w:r w:rsidR="0077363A">
        <w:t>al Criminal Police Organization</w:t>
      </w:r>
    </w:p>
    <w:p w14:paraId="7A592011" w14:textId="0DA5DF47" w:rsidR="00A859AA" w:rsidRDefault="0077363A" w:rsidP="0077363A">
      <w:pPr>
        <w:spacing w:after="0"/>
      </w:pPr>
      <w:r>
        <w:t>IPLC</w:t>
      </w:r>
      <w:r w:rsidR="00A859AA" w:rsidRPr="00440C93">
        <w:t xml:space="preserve"> </w:t>
      </w:r>
      <w:r w:rsidR="00A859AA">
        <w:tab/>
      </w:r>
      <w:r w:rsidR="00A859AA">
        <w:tab/>
      </w:r>
      <w:r w:rsidR="00A859AA">
        <w:tab/>
        <w:t>I</w:t>
      </w:r>
      <w:r w:rsidR="00A859AA" w:rsidRPr="00440C93">
        <w:t>ndigenous</w:t>
      </w:r>
      <w:r w:rsidR="00A859AA">
        <w:t> Peoples and Local C</w:t>
      </w:r>
      <w:r w:rsidR="00A859AA" w:rsidRPr="00460E72">
        <w:t>ommunities</w:t>
      </w:r>
    </w:p>
    <w:p w14:paraId="7B5154EA" w14:textId="77777777" w:rsidR="00A859AA" w:rsidRDefault="00A859AA" w:rsidP="0077363A">
      <w:pPr>
        <w:spacing w:after="0"/>
      </w:pPr>
      <w:r>
        <w:t>IUCN</w:t>
      </w:r>
      <w:r w:rsidRPr="005512D2">
        <w:t xml:space="preserve"> </w:t>
      </w:r>
      <w:r>
        <w:tab/>
      </w:r>
      <w:r>
        <w:tab/>
      </w:r>
      <w:r>
        <w:tab/>
      </w:r>
      <w:r w:rsidRPr="005512D2">
        <w:t>I</w:t>
      </w:r>
      <w:r>
        <w:t xml:space="preserve">nternational </w:t>
      </w:r>
      <w:r w:rsidRPr="005512D2">
        <w:t>U</w:t>
      </w:r>
      <w:r>
        <w:t xml:space="preserve">nion for the </w:t>
      </w:r>
      <w:r w:rsidRPr="005512D2">
        <w:t>C</w:t>
      </w:r>
      <w:r>
        <w:t xml:space="preserve">onservation of </w:t>
      </w:r>
      <w:r w:rsidRPr="005512D2">
        <w:t>N</w:t>
      </w:r>
      <w:r>
        <w:t xml:space="preserve">ature </w:t>
      </w:r>
    </w:p>
    <w:p w14:paraId="24C84EC8" w14:textId="77777777" w:rsidR="00A859AA" w:rsidRPr="00D52BC7" w:rsidRDefault="00A859AA" w:rsidP="0077363A">
      <w:pPr>
        <w:spacing w:after="0"/>
        <w:jc w:val="both"/>
        <w:rPr>
          <w:color w:val="000000" w:themeColor="text1"/>
        </w:rPr>
      </w:pPr>
      <w:r w:rsidRPr="00D52BC7">
        <w:rPr>
          <w:color w:val="000000" w:themeColor="text1"/>
        </w:rPr>
        <w:t>IWT</w:t>
      </w:r>
      <w:r w:rsidRPr="00D52BC7">
        <w:rPr>
          <w:color w:val="000000" w:themeColor="text1"/>
        </w:rPr>
        <w:tab/>
      </w:r>
      <w:r w:rsidRPr="00D52BC7">
        <w:rPr>
          <w:color w:val="000000" w:themeColor="text1"/>
        </w:rPr>
        <w:tab/>
      </w:r>
      <w:r w:rsidRPr="00D52BC7">
        <w:rPr>
          <w:color w:val="000000" w:themeColor="text1"/>
        </w:rPr>
        <w:tab/>
        <w:t>Illegal Wildlife Trade</w:t>
      </w:r>
    </w:p>
    <w:p w14:paraId="338316D0" w14:textId="77777777" w:rsidR="00A859AA" w:rsidRPr="00D52BC7" w:rsidRDefault="00A859AA" w:rsidP="005A725A">
      <w:pPr>
        <w:spacing w:after="0"/>
        <w:jc w:val="both"/>
        <w:rPr>
          <w:color w:val="000000" w:themeColor="text1"/>
        </w:rPr>
      </w:pPr>
      <w:r w:rsidRPr="00D52BC7">
        <w:rPr>
          <w:color w:val="000000" w:themeColor="text1"/>
        </w:rPr>
        <w:t>LPI</w:t>
      </w:r>
      <w:r w:rsidRPr="00D52BC7">
        <w:rPr>
          <w:color w:val="000000" w:themeColor="text1"/>
        </w:rPr>
        <w:tab/>
      </w:r>
      <w:r w:rsidRPr="00D52BC7">
        <w:rPr>
          <w:color w:val="000000" w:themeColor="text1"/>
        </w:rPr>
        <w:tab/>
      </w:r>
      <w:r w:rsidRPr="00D52BC7">
        <w:rPr>
          <w:color w:val="000000" w:themeColor="text1"/>
        </w:rPr>
        <w:tab/>
        <w:t>The Living Planet Index</w:t>
      </w:r>
    </w:p>
    <w:p w14:paraId="470F0054" w14:textId="77777777" w:rsidR="00A859AA" w:rsidRPr="00D52BC7" w:rsidRDefault="00A859AA" w:rsidP="005A725A">
      <w:pPr>
        <w:spacing w:after="0"/>
        <w:jc w:val="both"/>
        <w:rPr>
          <w:color w:val="000000" w:themeColor="text1"/>
        </w:rPr>
      </w:pPr>
      <w:r w:rsidRPr="00D52BC7">
        <w:rPr>
          <w:color w:val="000000" w:themeColor="text1"/>
        </w:rPr>
        <w:t>M&amp;E</w:t>
      </w:r>
      <w:r w:rsidRPr="00D52BC7">
        <w:rPr>
          <w:color w:val="000000" w:themeColor="text1"/>
        </w:rPr>
        <w:tab/>
      </w:r>
      <w:r w:rsidRPr="00D52BC7">
        <w:rPr>
          <w:color w:val="000000" w:themeColor="text1"/>
        </w:rPr>
        <w:tab/>
      </w:r>
      <w:r w:rsidRPr="00D52BC7">
        <w:rPr>
          <w:color w:val="000000" w:themeColor="text1"/>
        </w:rPr>
        <w:tab/>
        <w:t>Monitoring and Evaluation</w:t>
      </w:r>
    </w:p>
    <w:p w14:paraId="258C7D65" w14:textId="190D031B" w:rsidR="00A859AA" w:rsidRPr="00440C93" w:rsidRDefault="00A859AA" w:rsidP="00A859AA">
      <w:pPr>
        <w:spacing w:after="0"/>
      </w:pPr>
      <w:r w:rsidRPr="00440C93">
        <w:t xml:space="preserve">Mercosur </w:t>
      </w:r>
      <w:r>
        <w:tab/>
      </w:r>
      <w:r>
        <w:tab/>
      </w:r>
      <w:r w:rsidR="00767BA2">
        <w:t>S</w:t>
      </w:r>
      <w:r w:rsidRPr="00440C93">
        <w:t>outhern Common Market (</w:t>
      </w:r>
      <w:r w:rsidR="00767BA2">
        <w:t xml:space="preserve">in Spanish: </w:t>
      </w:r>
      <w:r w:rsidRPr="00440C93">
        <w:t>Mercado Común del Sur)</w:t>
      </w:r>
    </w:p>
    <w:p w14:paraId="19B34E3B" w14:textId="77777777" w:rsidR="00A859AA" w:rsidRPr="00D52BC7" w:rsidRDefault="00A859AA" w:rsidP="005A725A">
      <w:pPr>
        <w:spacing w:after="0"/>
        <w:jc w:val="both"/>
        <w:rPr>
          <w:color w:val="000000" w:themeColor="text1"/>
        </w:rPr>
      </w:pPr>
      <w:r w:rsidRPr="00D52BC7">
        <w:rPr>
          <w:color w:val="000000" w:themeColor="text1"/>
        </w:rPr>
        <w:t xml:space="preserve">MET </w:t>
      </w:r>
      <w:r w:rsidRPr="00D52BC7">
        <w:rPr>
          <w:color w:val="000000" w:themeColor="text1"/>
        </w:rPr>
        <w:tab/>
      </w:r>
      <w:r w:rsidRPr="00D52BC7">
        <w:rPr>
          <w:color w:val="000000" w:themeColor="text1"/>
        </w:rPr>
        <w:tab/>
      </w:r>
      <w:r w:rsidRPr="00D52BC7">
        <w:rPr>
          <w:color w:val="000000" w:themeColor="text1"/>
        </w:rPr>
        <w:tab/>
        <w:t>Ministry of Environment and Tourism</w:t>
      </w:r>
    </w:p>
    <w:p w14:paraId="0ECCEC4D" w14:textId="77777777" w:rsidR="00A859AA" w:rsidRPr="00D52BC7" w:rsidRDefault="00A859AA" w:rsidP="005A725A">
      <w:pPr>
        <w:spacing w:after="0"/>
        <w:jc w:val="both"/>
        <w:rPr>
          <w:color w:val="000000" w:themeColor="text1"/>
        </w:rPr>
      </w:pPr>
      <w:r w:rsidRPr="00D52BC7">
        <w:rPr>
          <w:color w:val="000000" w:themeColor="text1"/>
        </w:rPr>
        <w:t xml:space="preserve">MSY </w:t>
      </w:r>
      <w:r w:rsidRPr="00D52BC7">
        <w:rPr>
          <w:color w:val="000000" w:themeColor="text1"/>
        </w:rPr>
        <w:tab/>
      </w:r>
      <w:r w:rsidRPr="00D52BC7">
        <w:rPr>
          <w:color w:val="000000" w:themeColor="text1"/>
        </w:rPr>
        <w:tab/>
      </w:r>
      <w:r w:rsidRPr="00D52BC7">
        <w:rPr>
          <w:color w:val="000000" w:themeColor="text1"/>
        </w:rPr>
        <w:tab/>
        <w:t>Maximum Sustained Yield</w:t>
      </w:r>
    </w:p>
    <w:p w14:paraId="669208A8" w14:textId="77777777" w:rsidR="00A859AA" w:rsidRPr="00440C93" w:rsidRDefault="00A859AA" w:rsidP="00A859AA">
      <w:pPr>
        <w:spacing w:after="0"/>
      </w:pPr>
      <w:r w:rsidRPr="00440C93">
        <w:t xml:space="preserve">NAFTA </w:t>
      </w:r>
      <w:r>
        <w:tab/>
      </w:r>
      <w:r>
        <w:tab/>
      </w:r>
      <w:r w:rsidRPr="00440C93">
        <w:t xml:space="preserve">North American Free Trade Agreement </w:t>
      </w:r>
    </w:p>
    <w:p w14:paraId="0B630833" w14:textId="77777777" w:rsidR="00A859AA" w:rsidRPr="00D52BC7" w:rsidRDefault="00A859AA" w:rsidP="005A725A">
      <w:pPr>
        <w:spacing w:after="0"/>
        <w:jc w:val="both"/>
        <w:rPr>
          <w:color w:val="000000" w:themeColor="text1"/>
        </w:rPr>
      </w:pPr>
      <w:r w:rsidRPr="00D52BC7">
        <w:rPr>
          <w:color w:val="000000" w:themeColor="text1"/>
        </w:rPr>
        <w:t xml:space="preserve">NASCO </w:t>
      </w:r>
      <w:r w:rsidRPr="00D52BC7">
        <w:rPr>
          <w:color w:val="000000" w:themeColor="text1"/>
        </w:rPr>
        <w:tab/>
      </w:r>
      <w:r w:rsidRPr="00D52BC7">
        <w:rPr>
          <w:color w:val="000000" w:themeColor="text1"/>
        </w:rPr>
        <w:tab/>
        <w:t>Namibian Association of CBRM Support Organisations</w:t>
      </w:r>
    </w:p>
    <w:p w14:paraId="713E46F8" w14:textId="77777777" w:rsidR="00A859AA" w:rsidRPr="00D52BC7" w:rsidRDefault="00A859AA" w:rsidP="005A725A">
      <w:pPr>
        <w:spacing w:after="0"/>
        <w:jc w:val="both"/>
        <w:rPr>
          <w:color w:val="000000" w:themeColor="text1"/>
        </w:rPr>
      </w:pPr>
      <w:r w:rsidRPr="00D52BC7">
        <w:rPr>
          <w:color w:val="000000" w:themeColor="text1"/>
        </w:rPr>
        <w:t xml:space="preserve">ND </w:t>
      </w:r>
      <w:r w:rsidRPr="00D52BC7">
        <w:rPr>
          <w:color w:val="000000" w:themeColor="text1"/>
        </w:rPr>
        <w:tab/>
      </w:r>
      <w:r w:rsidRPr="00D52BC7">
        <w:rPr>
          <w:color w:val="000000" w:themeColor="text1"/>
        </w:rPr>
        <w:tab/>
      </w:r>
      <w:r w:rsidRPr="00D52BC7">
        <w:rPr>
          <w:color w:val="000000" w:themeColor="text1"/>
        </w:rPr>
        <w:tab/>
        <w:t>Newcastle Disease</w:t>
      </w:r>
    </w:p>
    <w:p w14:paraId="7D358C01" w14:textId="77777777" w:rsidR="00A859AA" w:rsidRPr="00D52BC7" w:rsidRDefault="00A859AA" w:rsidP="005A725A">
      <w:pPr>
        <w:spacing w:after="0"/>
        <w:jc w:val="both"/>
        <w:rPr>
          <w:color w:val="000000" w:themeColor="text1"/>
        </w:rPr>
      </w:pPr>
      <w:r w:rsidRPr="00D52BC7">
        <w:rPr>
          <w:color w:val="000000" w:themeColor="text1"/>
        </w:rPr>
        <w:t>NGO</w:t>
      </w:r>
      <w:r w:rsidRPr="00D52BC7">
        <w:rPr>
          <w:color w:val="000000" w:themeColor="text1"/>
        </w:rPr>
        <w:tab/>
      </w:r>
      <w:r w:rsidRPr="00D52BC7">
        <w:rPr>
          <w:color w:val="000000" w:themeColor="text1"/>
        </w:rPr>
        <w:tab/>
      </w:r>
      <w:r w:rsidRPr="00D52BC7">
        <w:rPr>
          <w:color w:val="000000" w:themeColor="text1"/>
        </w:rPr>
        <w:tab/>
        <w:t>Non-Governmental Organisation</w:t>
      </w:r>
    </w:p>
    <w:p w14:paraId="0A490292" w14:textId="77777777" w:rsidR="00A859AA" w:rsidRPr="00DF57F3" w:rsidRDefault="00A859AA" w:rsidP="005A725A">
      <w:pPr>
        <w:spacing w:after="0"/>
        <w:jc w:val="both"/>
        <w:rPr>
          <w:color w:val="000000" w:themeColor="text1"/>
          <w:lang w:val="fr-FR"/>
        </w:rPr>
      </w:pPr>
      <w:r w:rsidRPr="00DF57F3">
        <w:rPr>
          <w:color w:val="000000" w:themeColor="text1"/>
          <w:lang w:val="fr-FR"/>
        </w:rPr>
        <w:t xml:space="preserve">NNNP </w:t>
      </w:r>
      <w:r w:rsidRPr="00DF57F3">
        <w:rPr>
          <w:color w:val="000000" w:themeColor="text1"/>
          <w:lang w:val="fr-FR"/>
        </w:rPr>
        <w:tab/>
      </w:r>
      <w:r w:rsidRPr="00DF57F3">
        <w:rPr>
          <w:color w:val="000000" w:themeColor="text1"/>
          <w:lang w:val="fr-FR"/>
        </w:rPr>
        <w:tab/>
      </w:r>
      <w:r w:rsidRPr="00DF57F3">
        <w:rPr>
          <w:color w:val="000000" w:themeColor="text1"/>
          <w:lang w:val="fr-FR"/>
        </w:rPr>
        <w:tab/>
        <w:t>Nouabalé-Ndoki National Park</w:t>
      </w:r>
    </w:p>
    <w:p w14:paraId="2DF4466D" w14:textId="77777777" w:rsidR="00A859AA" w:rsidRPr="00DF57F3" w:rsidRDefault="00A859AA" w:rsidP="005A725A">
      <w:pPr>
        <w:spacing w:after="0"/>
        <w:jc w:val="both"/>
        <w:rPr>
          <w:color w:val="000000" w:themeColor="text1"/>
          <w:lang w:val="fr-FR"/>
        </w:rPr>
      </w:pPr>
      <w:r w:rsidRPr="00DF57F3">
        <w:rPr>
          <w:color w:val="000000" w:themeColor="text1"/>
          <w:lang w:val="fr-FR"/>
        </w:rPr>
        <w:t>NTFP</w:t>
      </w:r>
      <w:r w:rsidRPr="00DF57F3">
        <w:rPr>
          <w:color w:val="000000" w:themeColor="text1"/>
          <w:lang w:val="fr-FR"/>
        </w:rPr>
        <w:tab/>
      </w:r>
      <w:r w:rsidRPr="00DF57F3">
        <w:rPr>
          <w:color w:val="000000" w:themeColor="text1"/>
          <w:lang w:val="fr-FR"/>
        </w:rPr>
        <w:tab/>
      </w:r>
      <w:r w:rsidRPr="00DF57F3">
        <w:rPr>
          <w:color w:val="000000" w:themeColor="text1"/>
          <w:lang w:val="fr-FR"/>
        </w:rPr>
        <w:tab/>
        <w:t>Non-Timber Forest Product</w:t>
      </w:r>
    </w:p>
    <w:p w14:paraId="0F3E7D98" w14:textId="77777777" w:rsidR="00A859AA" w:rsidRDefault="00A859AA" w:rsidP="00A859AA">
      <w:pPr>
        <w:spacing w:after="0"/>
      </w:pPr>
      <w:r>
        <w:t xml:space="preserve">OFAC </w:t>
      </w:r>
      <w:r>
        <w:tab/>
      </w:r>
      <w:r>
        <w:tab/>
      </w:r>
      <w:r>
        <w:tab/>
        <w:t xml:space="preserve">Central African Forests Observatory </w:t>
      </w:r>
    </w:p>
    <w:p w14:paraId="6B64FA52" w14:textId="77777777" w:rsidR="00A859AA" w:rsidRPr="00D52BC7" w:rsidRDefault="00A859AA" w:rsidP="005A725A">
      <w:pPr>
        <w:spacing w:after="0"/>
        <w:jc w:val="both"/>
        <w:rPr>
          <w:color w:val="000000" w:themeColor="text1"/>
        </w:rPr>
      </w:pPr>
      <w:r w:rsidRPr="00D52BC7">
        <w:rPr>
          <w:color w:val="000000" w:themeColor="text1"/>
        </w:rPr>
        <w:t>PA</w:t>
      </w:r>
      <w:r w:rsidRPr="00D52BC7">
        <w:rPr>
          <w:color w:val="000000" w:themeColor="text1"/>
        </w:rPr>
        <w:tab/>
      </w:r>
      <w:r w:rsidRPr="00D52BC7">
        <w:rPr>
          <w:color w:val="000000" w:themeColor="text1"/>
        </w:rPr>
        <w:tab/>
      </w:r>
      <w:r w:rsidRPr="00D52BC7">
        <w:rPr>
          <w:color w:val="000000" w:themeColor="text1"/>
        </w:rPr>
        <w:tab/>
        <w:t>Protected Area</w:t>
      </w:r>
    </w:p>
    <w:p w14:paraId="1BE40E48" w14:textId="77777777" w:rsidR="00A859AA" w:rsidRPr="00D52BC7" w:rsidRDefault="00A859AA" w:rsidP="005A725A">
      <w:pPr>
        <w:spacing w:after="0"/>
        <w:jc w:val="both"/>
        <w:rPr>
          <w:color w:val="000000" w:themeColor="text1"/>
        </w:rPr>
      </w:pPr>
      <w:r w:rsidRPr="00D52BC7">
        <w:rPr>
          <w:color w:val="000000" w:themeColor="text1"/>
        </w:rPr>
        <w:t xml:space="preserve">PBR </w:t>
      </w:r>
      <w:r w:rsidRPr="00D52BC7">
        <w:rPr>
          <w:color w:val="000000" w:themeColor="text1"/>
        </w:rPr>
        <w:tab/>
      </w:r>
      <w:r w:rsidRPr="00D52BC7">
        <w:rPr>
          <w:color w:val="000000" w:themeColor="text1"/>
        </w:rPr>
        <w:tab/>
      </w:r>
      <w:r w:rsidRPr="00D52BC7">
        <w:rPr>
          <w:color w:val="000000" w:themeColor="text1"/>
        </w:rPr>
        <w:tab/>
        <w:t xml:space="preserve">Potential Biological Removal </w:t>
      </w:r>
    </w:p>
    <w:p w14:paraId="1704A89D" w14:textId="77777777" w:rsidR="00A859AA" w:rsidRPr="00D52BC7" w:rsidRDefault="00A859AA" w:rsidP="005A725A">
      <w:pPr>
        <w:spacing w:after="0"/>
        <w:jc w:val="both"/>
        <w:rPr>
          <w:color w:val="000000" w:themeColor="text1"/>
        </w:rPr>
      </w:pPr>
      <w:r w:rsidRPr="00D52BC7">
        <w:rPr>
          <w:color w:val="000000" w:themeColor="text1"/>
        </w:rPr>
        <w:t xml:space="preserve">PDR </w:t>
      </w:r>
      <w:r w:rsidRPr="00D52BC7">
        <w:rPr>
          <w:color w:val="000000" w:themeColor="text1"/>
        </w:rPr>
        <w:tab/>
      </w:r>
      <w:r w:rsidRPr="00D52BC7">
        <w:rPr>
          <w:color w:val="000000" w:themeColor="text1"/>
        </w:rPr>
        <w:tab/>
      </w:r>
      <w:r w:rsidRPr="00D52BC7">
        <w:rPr>
          <w:color w:val="000000" w:themeColor="text1"/>
        </w:rPr>
        <w:tab/>
        <w:t xml:space="preserve">People's Democratic Republic </w:t>
      </w:r>
    </w:p>
    <w:p w14:paraId="28C55B50" w14:textId="77777777" w:rsidR="00A859AA" w:rsidRPr="00D52BC7" w:rsidRDefault="00A859AA" w:rsidP="005A725A">
      <w:pPr>
        <w:spacing w:after="0"/>
        <w:jc w:val="both"/>
        <w:rPr>
          <w:color w:val="000000" w:themeColor="text1"/>
        </w:rPr>
      </w:pPr>
      <w:r w:rsidRPr="00D52BC7">
        <w:rPr>
          <w:color w:val="000000" w:themeColor="text1"/>
        </w:rPr>
        <w:t xml:space="preserve">PES </w:t>
      </w:r>
      <w:r w:rsidRPr="00D52BC7">
        <w:rPr>
          <w:color w:val="000000" w:themeColor="text1"/>
        </w:rPr>
        <w:tab/>
      </w:r>
      <w:r w:rsidRPr="00D52BC7">
        <w:rPr>
          <w:color w:val="000000" w:themeColor="text1"/>
        </w:rPr>
        <w:tab/>
      </w:r>
      <w:r w:rsidRPr="00D52BC7">
        <w:rPr>
          <w:color w:val="000000" w:themeColor="text1"/>
        </w:rPr>
        <w:tab/>
        <w:t>Payments for Ecosystem Services</w:t>
      </w:r>
    </w:p>
    <w:p w14:paraId="364CE275" w14:textId="6F8319D5" w:rsidR="00A859AA" w:rsidRDefault="00987D4F" w:rsidP="00987D4F">
      <w:pPr>
        <w:spacing w:after="0"/>
        <w:ind w:left="2160" w:hanging="2160"/>
      </w:pPr>
      <w:r>
        <w:t xml:space="preserve">PRA </w:t>
      </w:r>
      <w:r>
        <w:tab/>
      </w:r>
      <w:r w:rsidR="00A859AA">
        <w:t xml:space="preserve">Amazon Regional Program </w:t>
      </w:r>
      <w:r>
        <w:t xml:space="preserve">(in </w:t>
      </w:r>
      <w:r w:rsidR="00A20437">
        <w:t>Spanish</w:t>
      </w:r>
      <w:r>
        <w:t>: Programa Nacional para la Amazonia)</w:t>
      </w:r>
    </w:p>
    <w:p w14:paraId="3E98668A" w14:textId="77777777" w:rsidR="00A859AA" w:rsidRPr="00D52BC7" w:rsidRDefault="00A859AA" w:rsidP="005B63E3">
      <w:pPr>
        <w:spacing w:after="0"/>
        <w:ind w:left="2160" w:hanging="2160"/>
        <w:jc w:val="both"/>
        <w:rPr>
          <w:color w:val="000000" w:themeColor="text1"/>
        </w:rPr>
      </w:pPr>
      <w:r w:rsidRPr="00D52BC7">
        <w:rPr>
          <w:color w:val="000000" w:themeColor="text1"/>
        </w:rPr>
        <w:t xml:space="preserve">PROGEPP </w:t>
      </w:r>
      <w:r w:rsidRPr="00D52BC7">
        <w:rPr>
          <w:color w:val="000000" w:themeColor="text1"/>
        </w:rPr>
        <w:tab/>
        <w:t>Project for Ecosystem Management in the Nouabalé-Ndoki Periphery Area</w:t>
      </w:r>
    </w:p>
    <w:p w14:paraId="77A29345" w14:textId="77777777" w:rsidR="00A859AA" w:rsidRPr="00D52BC7" w:rsidRDefault="00A859AA" w:rsidP="005A725A">
      <w:pPr>
        <w:spacing w:after="0"/>
        <w:jc w:val="both"/>
        <w:rPr>
          <w:color w:val="000000" w:themeColor="text1"/>
        </w:rPr>
      </w:pPr>
      <w:r w:rsidRPr="00D52BC7">
        <w:rPr>
          <w:color w:val="000000" w:themeColor="text1"/>
        </w:rPr>
        <w:t xml:space="preserve">RDS-PP </w:t>
      </w:r>
      <w:r w:rsidRPr="00D52BC7">
        <w:rPr>
          <w:color w:val="000000" w:themeColor="text1"/>
        </w:rPr>
        <w:tab/>
      </w:r>
      <w:r w:rsidRPr="00D52BC7">
        <w:rPr>
          <w:color w:val="000000" w:themeColor="text1"/>
        </w:rPr>
        <w:tab/>
        <w:t xml:space="preserve">Piagaçu-Purus Sustainable Development Reserve </w:t>
      </w:r>
    </w:p>
    <w:p w14:paraId="32F8C7C9" w14:textId="77777777" w:rsidR="00A859AA" w:rsidRDefault="00A859AA" w:rsidP="00A859AA">
      <w:pPr>
        <w:spacing w:after="0"/>
      </w:pPr>
      <w:r>
        <w:t xml:space="preserve">SADC </w:t>
      </w:r>
      <w:r>
        <w:tab/>
      </w:r>
      <w:r>
        <w:tab/>
      </w:r>
      <w:r>
        <w:tab/>
        <w:t xml:space="preserve">Southern African Development Community </w:t>
      </w:r>
    </w:p>
    <w:p w14:paraId="0D153E78" w14:textId="77777777" w:rsidR="00A859AA" w:rsidRPr="00D52BC7" w:rsidRDefault="00A859AA" w:rsidP="005A725A">
      <w:pPr>
        <w:spacing w:after="0"/>
        <w:jc w:val="both"/>
        <w:rPr>
          <w:color w:val="000000" w:themeColor="text1"/>
        </w:rPr>
      </w:pPr>
      <w:r w:rsidRPr="00D52BC7">
        <w:rPr>
          <w:color w:val="000000" w:themeColor="text1"/>
        </w:rPr>
        <w:t>SARS</w:t>
      </w:r>
      <w:r w:rsidRPr="00D52BC7">
        <w:rPr>
          <w:color w:val="000000" w:themeColor="text1"/>
        </w:rPr>
        <w:tab/>
      </w:r>
      <w:r w:rsidRPr="00D52BC7">
        <w:rPr>
          <w:color w:val="000000" w:themeColor="text1"/>
        </w:rPr>
        <w:tab/>
      </w:r>
      <w:r w:rsidRPr="00D52BC7">
        <w:rPr>
          <w:color w:val="000000" w:themeColor="text1"/>
        </w:rPr>
        <w:tab/>
        <w:t>Severe Acute Respiratory Syndrome</w:t>
      </w:r>
    </w:p>
    <w:p w14:paraId="030A29E9" w14:textId="77777777" w:rsidR="00A859AA" w:rsidRPr="00440C93" w:rsidRDefault="00A859AA" w:rsidP="00D81F0B">
      <w:pPr>
        <w:tabs>
          <w:tab w:val="left" w:pos="5974"/>
        </w:tabs>
        <w:spacing w:after="0"/>
      </w:pPr>
      <w:r w:rsidRPr="00785A38">
        <w:t xml:space="preserve">SAWEN </w:t>
      </w:r>
      <w:r>
        <w:t xml:space="preserve">                     </w:t>
      </w:r>
      <w:r w:rsidRPr="00785A38">
        <w:t>South Asian Wildlife Enforcement Network</w:t>
      </w:r>
      <w:r>
        <w:tab/>
      </w:r>
    </w:p>
    <w:p w14:paraId="37F6787B" w14:textId="77777777" w:rsidR="00A859AA" w:rsidRPr="00D52BC7" w:rsidRDefault="00A859AA" w:rsidP="00342788">
      <w:pPr>
        <w:spacing w:after="0"/>
        <w:jc w:val="both"/>
        <w:rPr>
          <w:color w:val="000000" w:themeColor="text1"/>
        </w:rPr>
      </w:pPr>
      <w:r w:rsidRPr="00D52BC7">
        <w:rPr>
          <w:color w:val="000000" w:themeColor="text1"/>
        </w:rPr>
        <w:t>SBSTTA</w:t>
      </w:r>
      <w:r w:rsidRPr="00D52BC7">
        <w:rPr>
          <w:color w:val="000000" w:themeColor="text1"/>
        </w:rPr>
        <w:tab/>
      </w:r>
      <w:r w:rsidRPr="00D52BC7">
        <w:rPr>
          <w:color w:val="000000" w:themeColor="text1"/>
        </w:rPr>
        <w:tab/>
        <w:t>Subsidiary Body on Scientific, Technical and Technological Advice</w:t>
      </w:r>
    </w:p>
    <w:p w14:paraId="0578E04E" w14:textId="77777777" w:rsidR="00A859AA" w:rsidRPr="00D52BC7" w:rsidRDefault="00A859AA" w:rsidP="005A725A">
      <w:pPr>
        <w:spacing w:after="0"/>
        <w:jc w:val="both"/>
        <w:rPr>
          <w:color w:val="000000" w:themeColor="text1"/>
        </w:rPr>
      </w:pPr>
      <w:r w:rsidRPr="00D52BC7">
        <w:rPr>
          <w:color w:val="000000" w:themeColor="text1"/>
        </w:rPr>
        <w:t>SDG</w:t>
      </w:r>
      <w:r w:rsidRPr="00D52BC7">
        <w:rPr>
          <w:color w:val="000000" w:themeColor="text1"/>
        </w:rPr>
        <w:tab/>
      </w:r>
      <w:r w:rsidRPr="00D52BC7">
        <w:rPr>
          <w:color w:val="000000" w:themeColor="text1"/>
        </w:rPr>
        <w:tab/>
      </w:r>
      <w:r w:rsidRPr="00D52BC7">
        <w:rPr>
          <w:color w:val="000000" w:themeColor="text1"/>
        </w:rPr>
        <w:tab/>
        <w:t>Sustainable Development Goal</w:t>
      </w:r>
    </w:p>
    <w:p w14:paraId="0941BDBF" w14:textId="77777777" w:rsidR="00A859AA" w:rsidRPr="00D52BC7" w:rsidRDefault="00A859AA" w:rsidP="005A725A">
      <w:pPr>
        <w:spacing w:after="0"/>
        <w:jc w:val="both"/>
        <w:rPr>
          <w:color w:val="000000" w:themeColor="text1"/>
        </w:rPr>
      </w:pPr>
      <w:r w:rsidRPr="00D52BC7">
        <w:rPr>
          <w:color w:val="000000" w:themeColor="text1"/>
        </w:rPr>
        <w:t xml:space="preserve">SDR </w:t>
      </w:r>
      <w:r w:rsidRPr="00D52BC7">
        <w:rPr>
          <w:color w:val="000000" w:themeColor="text1"/>
        </w:rPr>
        <w:tab/>
      </w:r>
      <w:r w:rsidRPr="00D52BC7">
        <w:rPr>
          <w:color w:val="000000" w:themeColor="text1"/>
        </w:rPr>
        <w:tab/>
      </w:r>
      <w:r w:rsidRPr="00D52BC7">
        <w:rPr>
          <w:color w:val="000000" w:themeColor="text1"/>
        </w:rPr>
        <w:tab/>
        <w:t xml:space="preserve">Sustainable Development Reserve </w:t>
      </w:r>
    </w:p>
    <w:p w14:paraId="3A18FEB6" w14:textId="77777777" w:rsidR="00A859AA" w:rsidRPr="00D52BC7" w:rsidRDefault="00A859AA" w:rsidP="005A725A">
      <w:pPr>
        <w:spacing w:after="0"/>
        <w:jc w:val="both"/>
        <w:rPr>
          <w:color w:val="000000" w:themeColor="text1"/>
        </w:rPr>
      </w:pPr>
      <w:r w:rsidRPr="00D52BC7">
        <w:rPr>
          <w:color w:val="000000" w:themeColor="text1"/>
        </w:rPr>
        <w:t xml:space="preserve">SMART </w:t>
      </w:r>
      <w:r w:rsidRPr="00D52BC7">
        <w:rPr>
          <w:color w:val="000000" w:themeColor="text1"/>
        </w:rPr>
        <w:tab/>
      </w:r>
      <w:r w:rsidRPr="00D52BC7">
        <w:rPr>
          <w:color w:val="000000" w:themeColor="text1"/>
        </w:rPr>
        <w:tab/>
        <w:t xml:space="preserve">Spatial Monitoring and Reporting Tool </w:t>
      </w:r>
    </w:p>
    <w:p w14:paraId="6BF05A0A" w14:textId="77777777" w:rsidR="00A859AA" w:rsidRDefault="00A859AA" w:rsidP="00D81F0B">
      <w:pPr>
        <w:spacing w:after="0"/>
      </w:pPr>
      <w:r w:rsidRPr="0070404D">
        <w:t xml:space="preserve">SSC </w:t>
      </w:r>
      <w:r>
        <w:tab/>
      </w:r>
      <w:r>
        <w:tab/>
      </w:r>
      <w:r>
        <w:tab/>
        <w:t xml:space="preserve">Species Survival Commission </w:t>
      </w:r>
      <w:r w:rsidRPr="0070404D">
        <w:t xml:space="preserve"> </w:t>
      </w:r>
    </w:p>
    <w:p w14:paraId="7EBB2E3C" w14:textId="77777777" w:rsidR="00A859AA" w:rsidRPr="00D52BC7" w:rsidRDefault="00A859AA" w:rsidP="005A725A">
      <w:pPr>
        <w:spacing w:after="0"/>
        <w:jc w:val="both"/>
        <w:rPr>
          <w:color w:val="000000" w:themeColor="text1"/>
        </w:rPr>
      </w:pPr>
      <w:r w:rsidRPr="00D52BC7">
        <w:rPr>
          <w:color w:val="000000" w:themeColor="text1"/>
        </w:rPr>
        <w:t xml:space="preserve">SUA </w:t>
      </w:r>
      <w:r w:rsidRPr="00D52BC7">
        <w:rPr>
          <w:color w:val="000000" w:themeColor="text1"/>
        </w:rPr>
        <w:tab/>
      </w:r>
      <w:r w:rsidRPr="00D52BC7">
        <w:rPr>
          <w:color w:val="000000" w:themeColor="text1"/>
        </w:rPr>
        <w:tab/>
      </w:r>
      <w:r w:rsidRPr="00D52BC7">
        <w:rPr>
          <w:color w:val="000000" w:themeColor="text1"/>
        </w:rPr>
        <w:tab/>
        <w:t>Sustainable Utilisation Area</w:t>
      </w:r>
    </w:p>
    <w:p w14:paraId="6DE9B6B2" w14:textId="39CCF99F" w:rsidR="00A859AA" w:rsidRDefault="00A859AA" w:rsidP="00D81F0B">
      <w:pPr>
        <w:spacing w:after="0"/>
      </w:pPr>
      <w:r w:rsidRPr="0070404D">
        <w:t>SULi</w:t>
      </w:r>
      <w:r>
        <w:t xml:space="preserve"> </w:t>
      </w:r>
      <w:r>
        <w:tab/>
      </w:r>
      <w:r>
        <w:tab/>
      </w:r>
      <w:r>
        <w:tab/>
      </w:r>
      <w:hyperlink r:id="rId26" w:history="1">
        <w:r w:rsidRPr="00440C93">
          <w:t>Specialist Group on Sustainable Use and Livelihoods</w:t>
        </w:r>
      </w:hyperlink>
      <w:r w:rsidRPr="0070404D">
        <w:t xml:space="preserve"> </w:t>
      </w:r>
    </w:p>
    <w:p w14:paraId="3A12B117" w14:textId="2817ED11" w:rsidR="00A859AA" w:rsidRDefault="00AC0726" w:rsidP="00AC0726">
      <w:pPr>
        <w:spacing w:after="0"/>
        <w:ind w:left="2160" w:hanging="2160"/>
      </w:pPr>
      <w:r>
        <w:t xml:space="preserve">TCA </w:t>
      </w:r>
      <w:r>
        <w:tab/>
        <w:t xml:space="preserve">Treaty for Amazonian Cooperation (in Spanish: Tratado de </w:t>
      </w:r>
      <w:r w:rsidRPr="00AC0726">
        <w:rPr>
          <w:lang w:val="es-ES_tradnl"/>
        </w:rPr>
        <w:t>Cooperacion</w:t>
      </w:r>
      <w:r>
        <w:t xml:space="preserve"> Amazonica)</w:t>
      </w:r>
    </w:p>
    <w:p w14:paraId="7A20A4E1" w14:textId="77777777" w:rsidR="00A859AA" w:rsidRPr="00D52BC7" w:rsidRDefault="00A859AA" w:rsidP="005A725A">
      <w:pPr>
        <w:spacing w:after="0"/>
        <w:jc w:val="both"/>
        <w:rPr>
          <w:color w:val="000000" w:themeColor="text1"/>
        </w:rPr>
      </w:pPr>
      <w:r w:rsidRPr="00D52BC7">
        <w:rPr>
          <w:color w:val="000000" w:themeColor="text1"/>
        </w:rPr>
        <w:t>ToC</w:t>
      </w:r>
      <w:r w:rsidRPr="00D52BC7">
        <w:rPr>
          <w:color w:val="000000" w:themeColor="text1"/>
        </w:rPr>
        <w:tab/>
      </w:r>
      <w:r w:rsidRPr="00D52BC7">
        <w:rPr>
          <w:color w:val="000000" w:themeColor="text1"/>
        </w:rPr>
        <w:tab/>
      </w:r>
      <w:r w:rsidRPr="00D52BC7">
        <w:rPr>
          <w:color w:val="000000" w:themeColor="text1"/>
        </w:rPr>
        <w:tab/>
        <w:t>Theory of Change</w:t>
      </w:r>
    </w:p>
    <w:p w14:paraId="516250A9" w14:textId="61664AC3" w:rsidR="00A859AA" w:rsidRDefault="00A859AA" w:rsidP="005A725A">
      <w:pPr>
        <w:spacing w:after="0"/>
      </w:pPr>
      <w:r>
        <w:t>TRAFFIC</w:t>
      </w:r>
      <w:r w:rsidRPr="005512D2">
        <w:t xml:space="preserve"> </w:t>
      </w:r>
      <w:r w:rsidR="00CF6CBA">
        <w:tab/>
      </w:r>
      <w:r w:rsidR="00CF6CBA">
        <w:tab/>
        <w:t>The Wildlife Trade Monitoring Network</w:t>
      </w:r>
    </w:p>
    <w:p w14:paraId="43BD463A" w14:textId="77777777" w:rsidR="00A859AA" w:rsidRPr="00D52BC7" w:rsidRDefault="00A859AA" w:rsidP="005A725A">
      <w:pPr>
        <w:spacing w:after="0"/>
        <w:jc w:val="both"/>
        <w:rPr>
          <w:color w:val="000000" w:themeColor="text1"/>
        </w:rPr>
      </w:pPr>
      <w:r w:rsidRPr="00D52BC7">
        <w:rPr>
          <w:color w:val="000000" w:themeColor="text1"/>
        </w:rPr>
        <w:t>UN</w:t>
      </w:r>
      <w:r w:rsidRPr="00D52BC7">
        <w:rPr>
          <w:color w:val="000000" w:themeColor="text1"/>
        </w:rPr>
        <w:tab/>
      </w:r>
      <w:r w:rsidRPr="00D52BC7">
        <w:rPr>
          <w:color w:val="000000" w:themeColor="text1"/>
        </w:rPr>
        <w:tab/>
      </w:r>
      <w:r w:rsidRPr="00D52BC7">
        <w:rPr>
          <w:color w:val="000000" w:themeColor="text1"/>
        </w:rPr>
        <w:tab/>
        <w:t>United Nations</w:t>
      </w:r>
    </w:p>
    <w:p w14:paraId="4F3BE8F3" w14:textId="77777777" w:rsidR="00A859AA" w:rsidRPr="00D52BC7" w:rsidRDefault="00A859AA" w:rsidP="005A725A">
      <w:pPr>
        <w:spacing w:after="0"/>
        <w:jc w:val="both"/>
        <w:rPr>
          <w:color w:val="000000" w:themeColor="text1"/>
        </w:rPr>
      </w:pPr>
      <w:r w:rsidRPr="00D52BC7">
        <w:rPr>
          <w:color w:val="000000" w:themeColor="text1"/>
        </w:rPr>
        <w:t xml:space="preserve">UNAP </w:t>
      </w:r>
      <w:r w:rsidRPr="00D52BC7">
        <w:rPr>
          <w:color w:val="000000" w:themeColor="text1"/>
        </w:rPr>
        <w:tab/>
      </w:r>
      <w:r w:rsidRPr="00D52BC7">
        <w:rPr>
          <w:color w:val="000000" w:themeColor="text1"/>
        </w:rPr>
        <w:tab/>
      </w:r>
      <w:r w:rsidRPr="00D52BC7">
        <w:rPr>
          <w:color w:val="000000" w:themeColor="text1"/>
        </w:rPr>
        <w:tab/>
        <w:t xml:space="preserve">Universidad Nacional de la Amazonia Peruana </w:t>
      </w:r>
    </w:p>
    <w:p w14:paraId="48648FDD" w14:textId="77777777" w:rsidR="00A859AA" w:rsidRDefault="00A859AA" w:rsidP="00A859AA">
      <w:pPr>
        <w:spacing w:after="0"/>
      </w:pPr>
      <w:r w:rsidRPr="0070404D">
        <w:t>UNDP</w:t>
      </w:r>
      <w:r w:rsidRPr="00440C93">
        <w:t xml:space="preserve"> </w:t>
      </w:r>
      <w:r>
        <w:tab/>
      </w:r>
      <w:r>
        <w:tab/>
      </w:r>
      <w:r>
        <w:tab/>
      </w:r>
      <w:r w:rsidRPr="00440C93">
        <w:t>United Nations Development Program</w:t>
      </w:r>
      <w:r w:rsidRPr="0070404D">
        <w:t xml:space="preserve"> </w:t>
      </w:r>
    </w:p>
    <w:p w14:paraId="125B64F7" w14:textId="77777777" w:rsidR="00A859AA" w:rsidRPr="00440C93" w:rsidRDefault="00A859AA" w:rsidP="00A859AA">
      <w:pPr>
        <w:spacing w:after="0"/>
      </w:pPr>
      <w:r w:rsidRPr="00440C93">
        <w:t xml:space="preserve">UNDRIP </w:t>
      </w:r>
      <w:r>
        <w:tab/>
      </w:r>
      <w:r>
        <w:tab/>
      </w:r>
      <w:r w:rsidRPr="00440C93">
        <w:t xml:space="preserve">United Nations Declaration on the Rights of Indigenous Peoples </w:t>
      </w:r>
    </w:p>
    <w:p w14:paraId="573D1253" w14:textId="77777777" w:rsidR="00A859AA" w:rsidRDefault="00A859AA" w:rsidP="00A859AA">
      <w:pPr>
        <w:spacing w:after="0"/>
      </w:pPr>
      <w:r w:rsidRPr="005512D2">
        <w:t>UNEP</w:t>
      </w:r>
      <w:r w:rsidRPr="00440C93">
        <w:t xml:space="preserve"> </w:t>
      </w:r>
      <w:r>
        <w:tab/>
      </w:r>
      <w:r>
        <w:tab/>
      </w:r>
      <w:r>
        <w:tab/>
      </w:r>
      <w:r w:rsidRPr="00440C93">
        <w:t>United Nations Environment Program</w:t>
      </w:r>
      <w:r w:rsidRPr="005512D2">
        <w:t xml:space="preserve"> </w:t>
      </w:r>
    </w:p>
    <w:p w14:paraId="5CF4D5A3" w14:textId="77777777" w:rsidR="00A859AA" w:rsidRPr="00D52BC7" w:rsidRDefault="00A859AA" w:rsidP="005A725A">
      <w:pPr>
        <w:spacing w:after="0"/>
        <w:jc w:val="both"/>
        <w:rPr>
          <w:color w:val="000000" w:themeColor="text1"/>
        </w:rPr>
      </w:pPr>
      <w:r w:rsidRPr="00D52BC7">
        <w:rPr>
          <w:color w:val="000000" w:themeColor="text1"/>
        </w:rPr>
        <w:t>UNODC</w:t>
      </w:r>
      <w:r w:rsidRPr="00D52BC7">
        <w:rPr>
          <w:color w:val="000000" w:themeColor="text1"/>
        </w:rPr>
        <w:tab/>
      </w:r>
      <w:r w:rsidRPr="00D52BC7">
        <w:rPr>
          <w:color w:val="000000" w:themeColor="text1"/>
        </w:rPr>
        <w:tab/>
        <w:t>United Nations Office on Drugs and Crime</w:t>
      </w:r>
    </w:p>
    <w:p w14:paraId="37B4C61A" w14:textId="77777777" w:rsidR="00A859AA" w:rsidRPr="00D52BC7" w:rsidRDefault="00A859AA" w:rsidP="005A725A">
      <w:pPr>
        <w:spacing w:after="0"/>
        <w:rPr>
          <w:b/>
          <w:color w:val="000000" w:themeColor="text1"/>
          <w:sz w:val="36"/>
        </w:rPr>
      </w:pPr>
      <w:r w:rsidRPr="00D52BC7">
        <w:rPr>
          <w:color w:val="000000" w:themeColor="text1"/>
        </w:rPr>
        <w:t>US$</w:t>
      </w:r>
      <w:r w:rsidRPr="00D52BC7">
        <w:rPr>
          <w:b/>
          <w:color w:val="000000" w:themeColor="text1"/>
          <w:sz w:val="36"/>
        </w:rPr>
        <w:t xml:space="preserve"> </w:t>
      </w:r>
      <w:r w:rsidRPr="00D52BC7">
        <w:rPr>
          <w:b/>
          <w:color w:val="000000" w:themeColor="text1"/>
          <w:sz w:val="36"/>
        </w:rPr>
        <w:tab/>
      </w:r>
      <w:r w:rsidRPr="00D52BC7">
        <w:rPr>
          <w:b/>
          <w:color w:val="000000" w:themeColor="text1"/>
          <w:sz w:val="36"/>
        </w:rPr>
        <w:tab/>
      </w:r>
      <w:r w:rsidRPr="00D52BC7">
        <w:rPr>
          <w:b/>
          <w:color w:val="000000" w:themeColor="text1"/>
          <w:sz w:val="36"/>
        </w:rPr>
        <w:tab/>
      </w:r>
      <w:r w:rsidRPr="00D52BC7">
        <w:rPr>
          <w:color w:val="000000" w:themeColor="text1"/>
        </w:rPr>
        <w:t>U.S. Dollar</w:t>
      </w:r>
      <w:r w:rsidRPr="00D52BC7">
        <w:rPr>
          <w:b/>
          <w:color w:val="000000" w:themeColor="text1"/>
          <w:sz w:val="36"/>
        </w:rPr>
        <w:t xml:space="preserve"> </w:t>
      </w:r>
    </w:p>
    <w:p w14:paraId="2D209EE6" w14:textId="77777777" w:rsidR="00A859AA" w:rsidRPr="00D52BC7" w:rsidRDefault="00A859AA" w:rsidP="005A725A">
      <w:pPr>
        <w:spacing w:after="0"/>
        <w:rPr>
          <w:color w:val="000000" w:themeColor="text1"/>
        </w:rPr>
      </w:pPr>
      <w:r w:rsidRPr="00D52BC7">
        <w:rPr>
          <w:color w:val="000000" w:themeColor="text1"/>
        </w:rPr>
        <w:t xml:space="preserve">USAID </w:t>
      </w:r>
      <w:r w:rsidRPr="00D52BC7">
        <w:rPr>
          <w:color w:val="000000" w:themeColor="text1"/>
        </w:rPr>
        <w:tab/>
      </w:r>
      <w:r w:rsidRPr="00D52BC7">
        <w:rPr>
          <w:color w:val="000000" w:themeColor="text1"/>
        </w:rPr>
        <w:tab/>
        <w:t xml:space="preserve">United States Agency for International Development </w:t>
      </w:r>
    </w:p>
    <w:p w14:paraId="577CB405" w14:textId="77777777" w:rsidR="00A859AA" w:rsidRDefault="00A859AA" w:rsidP="005A725A">
      <w:pPr>
        <w:spacing w:after="0"/>
      </w:pPr>
      <w:r>
        <w:t>USAN</w:t>
      </w:r>
      <w:r w:rsidRPr="00785A38">
        <w:t xml:space="preserve"> </w:t>
      </w:r>
      <w:r>
        <w:tab/>
      </w:r>
      <w:r>
        <w:tab/>
      </w:r>
      <w:r>
        <w:tab/>
      </w:r>
      <w:r w:rsidRPr="00785A38">
        <w:t>Union of South American Nations</w:t>
      </w:r>
      <w:r>
        <w:t xml:space="preserve"> </w:t>
      </w:r>
    </w:p>
    <w:p w14:paraId="6613152E" w14:textId="77777777" w:rsidR="00A859AA" w:rsidRPr="00D52BC7" w:rsidRDefault="00A859AA" w:rsidP="005A725A">
      <w:pPr>
        <w:spacing w:after="0"/>
        <w:rPr>
          <w:color w:val="000000" w:themeColor="text1"/>
        </w:rPr>
      </w:pPr>
      <w:r w:rsidRPr="00D52BC7">
        <w:rPr>
          <w:color w:val="000000" w:themeColor="text1"/>
        </w:rPr>
        <w:lastRenderedPageBreak/>
        <w:t>USDA</w:t>
      </w:r>
      <w:r w:rsidRPr="00D52BC7">
        <w:rPr>
          <w:color w:val="000000" w:themeColor="text1"/>
        </w:rPr>
        <w:tab/>
      </w:r>
      <w:r w:rsidRPr="00D52BC7">
        <w:rPr>
          <w:color w:val="000000" w:themeColor="text1"/>
        </w:rPr>
        <w:tab/>
      </w:r>
      <w:r w:rsidRPr="00D52BC7">
        <w:rPr>
          <w:color w:val="000000" w:themeColor="text1"/>
        </w:rPr>
        <w:tab/>
        <w:t>United States Department of Agriculture</w:t>
      </w:r>
    </w:p>
    <w:p w14:paraId="05207F19" w14:textId="77777777" w:rsidR="00A859AA" w:rsidRDefault="00A859AA" w:rsidP="00D81F0B">
      <w:pPr>
        <w:spacing w:after="0"/>
      </w:pPr>
      <w:r>
        <w:t xml:space="preserve">WCPA </w:t>
      </w:r>
      <w:r>
        <w:tab/>
      </w:r>
      <w:r>
        <w:tab/>
        <w:t xml:space="preserve">IUCN </w:t>
      </w:r>
      <w:r w:rsidRPr="00BF2A29">
        <w:t xml:space="preserve">World Commission on Protected Areas </w:t>
      </w:r>
    </w:p>
    <w:p w14:paraId="4AB89F73" w14:textId="77777777" w:rsidR="00A859AA" w:rsidRPr="00D52BC7" w:rsidRDefault="00A859AA" w:rsidP="005A725A">
      <w:pPr>
        <w:spacing w:after="0"/>
        <w:rPr>
          <w:color w:val="000000" w:themeColor="text1"/>
        </w:rPr>
      </w:pPr>
      <w:r w:rsidRPr="00D52BC7">
        <w:rPr>
          <w:color w:val="000000" w:themeColor="text1"/>
        </w:rPr>
        <w:t xml:space="preserve">WCS </w:t>
      </w:r>
      <w:r w:rsidRPr="00D52BC7">
        <w:rPr>
          <w:color w:val="000000" w:themeColor="text1"/>
        </w:rPr>
        <w:tab/>
      </w:r>
      <w:r w:rsidRPr="00D52BC7">
        <w:rPr>
          <w:color w:val="000000" w:themeColor="text1"/>
        </w:rPr>
        <w:tab/>
      </w:r>
      <w:r w:rsidRPr="00D52BC7">
        <w:rPr>
          <w:color w:val="000000" w:themeColor="text1"/>
        </w:rPr>
        <w:tab/>
        <w:t>Wildlife Conservation Society</w:t>
      </w:r>
    </w:p>
    <w:p w14:paraId="27C9CF8D" w14:textId="77777777" w:rsidR="00A859AA" w:rsidRPr="00D52BC7" w:rsidRDefault="00A859AA" w:rsidP="005A725A">
      <w:pPr>
        <w:spacing w:after="0"/>
        <w:rPr>
          <w:color w:val="000000" w:themeColor="text1"/>
        </w:rPr>
      </w:pPr>
      <w:r w:rsidRPr="00D52BC7">
        <w:rPr>
          <w:color w:val="000000" w:themeColor="text1"/>
        </w:rPr>
        <w:t xml:space="preserve">WFEN </w:t>
      </w:r>
      <w:r w:rsidRPr="00D52BC7">
        <w:rPr>
          <w:color w:val="000000" w:themeColor="text1"/>
        </w:rPr>
        <w:tab/>
      </w:r>
      <w:r w:rsidRPr="00D52BC7">
        <w:rPr>
          <w:color w:val="000000" w:themeColor="text1"/>
        </w:rPr>
        <w:tab/>
        <w:t xml:space="preserve">Wildlife Friendly Enterprise Network </w:t>
      </w:r>
    </w:p>
    <w:p w14:paraId="042C26B9" w14:textId="77777777" w:rsidR="00A859AA" w:rsidRPr="00D52BC7" w:rsidRDefault="00A859AA" w:rsidP="005A725A">
      <w:pPr>
        <w:spacing w:after="0"/>
        <w:rPr>
          <w:color w:val="000000" w:themeColor="text1"/>
        </w:rPr>
      </w:pPr>
      <w:r w:rsidRPr="00D52BC7">
        <w:rPr>
          <w:color w:val="000000" w:themeColor="text1"/>
        </w:rPr>
        <w:t xml:space="preserve">WP </w:t>
      </w:r>
      <w:r w:rsidRPr="00D52BC7">
        <w:rPr>
          <w:color w:val="000000" w:themeColor="text1"/>
        </w:rPr>
        <w:tab/>
      </w:r>
      <w:r w:rsidRPr="00D52BC7">
        <w:rPr>
          <w:color w:val="000000" w:themeColor="text1"/>
        </w:rPr>
        <w:tab/>
      </w:r>
      <w:r w:rsidRPr="00D52BC7">
        <w:rPr>
          <w:color w:val="000000" w:themeColor="text1"/>
        </w:rPr>
        <w:tab/>
        <w:t xml:space="preserve">Wilderness Preserve </w:t>
      </w:r>
    </w:p>
    <w:p w14:paraId="2CD63A29" w14:textId="77777777" w:rsidR="00A859AA" w:rsidRPr="00D52BC7" w:rsidRDefault="00A859AA" w:rsidP="005A725A">
      <w:pPr>
        <w:spacing w:after="0"/>
        <w:rPr>
          <w:color w:val="000000" w:themeColor="text1"/>
        </w:rPr>
      </w:pPr>
      <w:r w:rsidRPr="00D52BC7">
        <w:rPr>
          <w:color w:val="000000" w:themeColor="text1"/>
        </w:rPr>
        <w:t xml:space="preserve">WWF </w:t>
      </w:r>
      <w:r w:rsidRPr="00D52BC7">
        <w:rPr>
          <w:color w:val="000000" w:themeColor="text1"/>
        </w:rPr>
        <w:tab/>
      </w:r>
      <w:r w:rsidRPr="00D52BC7">
        <w:rPr>
          <w:color w:val="000000" w:themeColor="text1"/>
        </w:rPr>
        <w:tab/>
      </w:r>
      <w:r w:rsidRPr="00D52BC7">
        <w:rPr>
          <w:color w:val="000000" w:themeColor="text1"/>
        </w:rPr>
        <w:tab/>
        <w:t xml:space="preserve">World Wide Fund for Nature </w:t>
      </w:r>
    </w:p>
    <w:p w14:paraId="3181FE27" w14:textId="77777777" w:rsidR="00A859AA" w:rsidRDefault="00A859AA" w:rsidP="005A725A">
      <w:pPr>
        <w:spacing w:after="0"/>
        <w:rPr>
          <w:color w:val="000000" w:themeColor="text1"/>
        </w:rPr>
      </w:pPr>
      <w:r w:rsidRPr="00D52BC7">
        <w:rPr>
          <w:color w:val="000000" w:themeColor="text1"/>
        </w:rPr>
        <w:t xml:space="preserve">ZCV </w:t>
      </w:r>
      <w:r w:rsidRPr="00D52BC7">
        <w:rPr>
          <w:color w:val="000000" w:themeColor="text1"/>
        </w:rPr>
        <w:tab/>
      </w:r>
      <w:r w:rsidRPr="00D52BC7">
        <w:rPr>
          <w:color w:val="000000" w:themeColor="text1"/>
        </w:rPr>
        <w:tab/>
      </w:r>
      <w:r w:rsidRPr="00D52BC7">
        <w:rPr>
          <w:color w:val="000000" w:themeColor="text1"/>
        </w:rPr>
        <w:tab/>
        <w:t>Zones Cynégétiques Villageoises</w:t>
      </w:r>
    </w:p>
    <w:p w14:paraId="329DB150" w14:textId="77777777" w:rsidR="00440C93" w:rsidRDefault="00440C93" w:rsidP="00A859AA">
      <w:pPr>
        <w:spacing w:after="0"/>
      </w:pPr>
    </w:p>
    <w:p w14:paraId="7768B12C" w14:textId="77777777" w:rsidR="00EB52B4" w:rsidRPr="00440C93" w:rsidRDefault="00EB52B4" w:rsidP="00A859AA">
      <w:pPr>
        <w:spacing w:after="0"/>
      </w:pPr>
    </w:p>
    <w:p w14:paraId="6EE5E457" w14:textId="77777777" w:rsidR="00440C93" w:rsidRPr="00EB52B4" w:rsidRDefault="00440C93" w:rsidP="00EB52B4">
      <w:pPr>
        <w:rPr>
          <w:rFonts w:eastAsiaTheme="minorHAnsi"/>
          <w:lang w:eastAsia="en-GB"/>
        </w:rPr>
        <w:sectPr w:rsidR="00440C93" w:rsidRPr="00EB52B4" w:rsidSect="00DF57F3">
          <w:headerReference w:type="even" r:id="rId27"/>
          <w:headerReference w:type="default" r:id="rId28"/>
          <w:footerReference w:type="default" r:id="rId29"/>
          <w:pgSz w:w="11906" w:h="16838"/>
          <w:pgMar w:top="567" w:right="1440" w:bottom="1134" w:left="1440" w:header="709" w:footer="709" w:gutter="0"/>
          <w:cols w:space="708"/>
          <w:titlePg/>
          <w:docGrid w:linePitch="360"/>
        </w:sectPr>
      </w:pPr>
    </w:p>
    <w:p w14:paraId="0ED43CC0" w14:textId="2E5EFF38" w:rsidR="0018214F" w:rsidRPr="00785A38" w:rsidRDefault="00B02E36" w:rsidP="00DF57F3">
      <w:pPr>
        <w:pStyle w:val="Heading1"/>
        <w:numPr>
          <w:ilvl w:val="0"/>
          <w:numId w:val="20"/>
        </w:numPr>
      </w:pPr>
      <w:bookmarkStart w:id="7" w:name="_Toc520202371"/>
      <w:bookmarkStart w:id="8" w:name="_Toc520202434"/>
      <w:bookmarkStart w:id="9" w:name="_Toc520207462"/>
      <w:bookmarkStart w:id="10" w:name="_Toc520202372"/>
      <w:bookmarkStart w:id="11" w:name="_Toc520202435"/>
      <w:bookmarkStart w:id="12" w:name="_Toc520207463"/>
      <w:bookmarkStart w:id="13" w:name="_Toc517693731"/>
      <w:bookmarkStart w:id="14" w:name="_Ref518897317"/>
      <w:bookmarkStart w:id="15" w:name="_Toc519156071"/>
      <w:bookmarkStart w:id="16" w:name="_Toc529390329"/>
      <w:bookmarkEnd w:id="7"/>
      <w:bookmarkEnd w:id="8"/>
      <w:bookmarkEnd w:id="9"/>
      <w:bookmarkEnd w:id="10"/>
      <w:bookmarkEnd w:id="11"/>
      <w:bookmarkEnd w:id="12"/>
      <w:r w:rsidRPr="001C1D6E">
        <w:lastRenderedPageBreak/>
        <w:t>INTRODUCTION</w:t>
      </w:r>
      <w:bookmarkEnd w:id="13"/>
      <w:bookmarkEnd w:id="14"/>
      <w:bookmarkEnd w:id="15"/>
      <w:bookmarkEnd w:id="16"/>
    </w:p>
    <w:p w14:paraId="56890C08" w14:textId="646C95FE" w:rsidR="00C73A20" w:rsidRPr="002D2705" w:rsidRDefault="00C73A20" w:rsidP="00DF57F3">
      <w:pPr>
        <w:pStyle w:val="Heading2"/>
      </w:pPr>
      <w:bookmarkStart w:id="17" w:name="_Toc517693732"/>
      <w:bookmarkStart w:id="18" w:name="_Toc519156072"/>
      <w:bookmarkStart w:id="19" w:name="_Toc529390330"/>
      <w:r w:rsidRPr="002D2705">
        <w:t>The need to consider the sustainability of wild meat harvesting</w:t>
      </w:r>
      <w:bookmarkEnd w:id="17"/>
      <w:bookmarkEnd w:id="18"/>
      <w:bookmarkEnd w:id="19"/>
    </w:p>
    <w:p w14:paraId="68506C64" w14:textId="0FA9A24D" w:rsidR="00FC6940" w:rsidRPr="0070404D" w:rsidRDefault="00115B23" w:rsidP="00C258BC">
      <w:pPr>
        <w:jc w:val="both"/>
        <w:rPr>
          <w:color w:val="000000" w:themeColor="text1"/>
        </w:rPr>
      </w:pPr>
      <w:r w:rsidRPr="005512D2">
        <w:rPr>
          <w:color w:val="000000" w:themeColor="text1"/>
        </w:rPr>
        <w:t>Expanding human demand</w:t>
      </w:r>
      <w:r w:rsidR="007717B3" w:rsidRPr="0064175F">
        <w:rPr>
          <w:color w:val="000000" w:themeColor="text1"/>
        </w:rPr>
        <w:t>s on land, sea and fresh water</w:t>
      </w:r>
      <w:r w:rsidRPr="006F5EBC">
        <w:rPr>
          <w:color w:val="000000" w:themeColor="text1"/>
        </w:rPr>
        <w:t xml:space="preserve"> have led to our planet experiencing unprecedented levels of wildlife declines and extirpations </w:t>
      </w:r>
      <w:r w:rsidR="00C043DD">
        <w:rPr>
          <w:color w:val="000000" w:themeColor="text1"/>
        </w:rPr>
        <w:fldChar w:fldCharType="begin" w:fldLock="1"/>
      </w:r>
      <w:r w:rsidR="00D72B40">
        <w:rPr>
          <w:color w:val="000000" w:themeColor="text1"/>
        </w:rPr>
        <w:instrText>ADDIN CSL_CITATION {"citationItems":[{"id":"ITEM-1","itemData":{"DOI":"10.1073/pnas.1704949114","ISBN":"1704949114","ISSN":"0027-8424","PMID":"28696295","abstract":"The population extinction pulse we describe here shows, from a quantitative viewpoint, that Earth's sixth mass extinction is more severe than perceived when looking exclusively at species extinctions. Therefore, humanity needs to address anthropogenic population extirpation and decimation immediately. That conclusion is based on analyses of the numbers and degrees of range contraction (indicative of population shrinkage and/or population extinctions according to the International Union for Conservation of Nature) using a sample of 27,600 vertebrate species, and on a more detailed analysis documenting the population extinctions between 1900 and 2015 in 177 mammal species. We find that the rate of population loss in terrestrial vertebrates is extremely high-even in \"species of low concern.\" In our sample, comprising nearly half of known vertebrate species, 32% (8,851/27,600) are decreasing; that is, they have decreased in population size and range. In the 177 mammals for which we have detailed data, all have lost 30% or more of their geographic ranges and more than 40% of the species have experienced severe population declines (&gt;80% range shrinkage). Our data indicate that beyond global species extinctions Earth is experiencing a huge episode of population declines and extirpations, which will have negative cascading consequences on ecosystem functioning and services vital to sustaining civilization. We describe this as a \"biological annihilation\" to highlight the current magnitude of Earth's ongoing sixth major extinction event.","author":[{"dropping-particle":"","family":"Ceballos","given":"Gerardo","non-dropping-particle":"","parse-names":false,"suffix":""},{"dropping-particle":"","family":"Ehrlich","given":"Paul R.","non-dropping-particle":"","parse-names":false,"suffix":""},{"dropping-particle":"","family":"Dirzo","given":"Rodolfo","non-dropping-particle":"","parse-names":false,"suffix":""}],"container-title":"Proceedings of the National Academy of Sciences","id":"ITEM-1","issued":{"date-parts":[["2017"]]},"page":"E6089-E6096","title":"Biological annihilation via the ongoing sixth mass extinction signaled by vertebrate population losses and declines","type":"article-journal"},"uris":["http://www.mendeley.com/documents/?uuid=929a60cd-ba11-4915-9b19-199f4a37f6b3"]}],"mendeley":{"formattedCitation":"(Ceballos et al. 2017)","manualFormatting":"(Ceballos et al., 2017)","plainTextFormattedCitation":"(Ceballos et al. 2017)","previouslyFormattedCitation":"(Ceballos et al. 2017)"},"properties":{"noteIndex":0},"schema":"https://github.com/citation-style-language/schema/raw/master/csl-citation.json"}</w:instrText>
      </w:r>
      <w:r w:rsidR="00C043DD">
        <w:rPr>
          <w:color w:val="000000" w:themeColor="text1"/>
        </w:rPr>
        <w:fldChar w:fldCharType="separate"/>
      </w:r>
      <w:r w:rsidR="00C043DD" w:rsidRPr="00C043DD">
        <w:rPr>
          <w:noProof/>
          <w:color w:val="000000" w:themeColor="text1"/>
        </w:rPr>
        <w:t>(Ceballos et al.</w:t>
      </w:r>
      <w:r w:rsidR="005A725A">
        <w:rPr>
          <w:noProof/>
          <w:color w:val="000000" w:themeColor="text1"/>
        </w:rPr>
        <w:t>,</w:t>
      </w:r>
      <w:r w:rsidR="00C043DD" w:rsidRPr="00C043DD">
        <w:rPr>
          <w:noProof/>
          <w:color w:val="000000" w:themeColor="text1"/>
        </w:rPr>
        <w:t xml:space="preserve"> 2017)</w:t>
      </w:r>
      <w:r w:rsidR="00C043DD">
        <w:rPr>
          <w:color w:val="000000" w:themeColor="text1"/>
        </w:rPr>
        <w:fldChar w:fldCharType="end"/>
      </w:r>
      <w:r w:rsidR="00C73A20" w:rsidRPr="0070404D">
        <w:rPr>
          <w:color w:val="000000" w:themeColor="text1"/>
        </w:rPr>
        <w:t xml:space="preserve">. </w:t>
      </w:r>
      <w:r w:rsidR="007717B3" w:rsidRPr="0070404D">
        <w:rPr>
          <w:color w:val="000000" w:themeColor="text1"/>
        </w:rPr>
        <w:t xml:space="preserve">The Living Planet Index (LPI) </w:t>
      </w:r>
      <w:r w:rsidR="00B56C9F">
        <w:rPr>
          <w:color w:val="000000" w:themeColor="text1"/>
        </w:rPr>
        <w:t>as an indicator of</w:t>
      </w:r>
      <w:r w:rsidR="00B56C9F" w:rsidRPr="0070404D">
        <w:rPr>
          <w:color w:val="000000" w:themeColor="text1"/>
        </w:rPr>
        <w:t xml:space="preserve"> </w:t>
      </w:r>
      <w:r w:rsidR="007717B3" w:rsidRPr="0070404D">
        <w:rPr>
          <w:color w:val="000000" w:themeColor="text1"/>
        </w:rPr>
        <w:t xml:space="preserve">global </w:t>
      </w:r>
      <w:r w:rsidR="0012523E">
        <w:rPr>
          <w:color w:val="000000" w:themeColor="text1"/>
        </w:rPr>
        <w:t>vertebrate</w:t>
      </w:r>
      <w:r w:rsidR="007717B3" w:rsidRPr="0070404D">
        <w:rPr>
          <w:color w:val="000000" w:themeColor="text1"/>
        </w:rPr>
        <w:t xml:space="preserve"> abundance declined by up to 58% between 1970–2012</w:t>
      </w:r>
      <w:r w:rsidR="00C043DD">
        <w:rPr>
          <w:color w:val="000000" w:themeColor="text1"/>
        </w:rPr>
        <w:t xml:space="preserve"> </w:t>
      </w:r>
      <w:r w:rsidR="00C043DD">
        <w:rPr>
          <w:color w:val="000000" w:themeColor="text1"/>
        </w:rPr>
        <w:fldChar w:fldCharType="begin" w:fldLock="1"/>
      </w:r>
      <w:r w:rsidR="00566AAF">
        <w:rPr>
          <w:color w:val="000000" w:themeColor="text1"/>
        </w:rPr>
        <w:instrText>ADDIN CSL_CITATION {"citationItems":[{"id":"ITEM-1","itemData":{"ISBN":"9782940529407","author":[{"dropping-particle":"","family":"WWF","given":"","non-dropping-particle":"","parse-names":false,"suffix":""}],"id":"ITEM-1","issued":{"date-parts":[["2016"]]},"publisher-place":"WWF International, Gland, Switzerland","title":"Living Planet Report 2016. Risk and resilience in a new era","type":"report"},"uris":["http://www.mendeley.com/documents/?uuid=cc5298c0-c706-4cd7-9310-63ff05ad916c"]}],"mendeley":{"formattedCitation":"(WWF 2016)","manualFormatting":"(WWF, 2016)","plainTextFormattedCitation":"(WWF 2016)","previouslyFormattedCitation":"(WWF 2016)"},"properties":{"noteIndex":0},"schema":"https://github.com/citation-style-language/schema/raw/master/csl-citation.json"}</w:instrText>
      </w:r>
      <w:r w:rsidR="00C043DD">
        <w:rPr>
          <w:color w:val="000000" w:themeColor="text1"/>
        </w:rPr>
        <w:fldChar w:fldCharType="separate"/>
      </w:r>
      <w:r w:rsidR="00C043DD" w:rsidRPr="00C043DD">
        <w:rPr>
          <w:noProof/>
          <w:color w:val="000000" w:themeColor="text1"/>
        </w:rPr>
        <w:t>(WWF</w:t>
      </w:r>
      <w:r w:rsidR="005A725A">
        <w:rPr>
          <w:noProof/>
          <w:color w:val="000000" w:themeColor="text1"/>
        </w:rPr>
        <w:t>,</w:t>
      </w:r>
      <w:r w:rsidR="00C043DD" w:rsidRPr="00C043DD">
        <w:rPr>
          <w:noProof/>
          <w:color w:val="000000" w:themeColor="text1"/>
        </w:rPr>
        <w:t xml:space="preserve"> 2016)</w:t>
      </w:r>
      <w:r w:rsidR="00C043DD">
        <w:rPr>
          <w:color w:val="000000" w:themeColor="text1"/>
        </w:rPr>
        <w:fldChar w:fldCharType="end"/>
      </w:r>
      <w:r w:rsidR="007717B3" w:rsidRPr="0070404D">
        <w:rPr>
          <w:color w:val="000000" w:themeColor="text1"/>
        </w:rPr>
        <w:t xml:space="preserve">. </w:t>
      </w:r>
      <w:r w:rsidRPr="005512D2">
        <w:rPr>
          <w:color w:val="000000" w:themeColor="text1"/>
        </w:rPr>
        <w:t>In the most recent version of the International Union for Conservation of Nature’s (</w:t>
      </w:r>
      <w:r w:rsidRPr="005A725A">
        <w:rPr>
          <w:color w:val="000000" w:themeColor="text1"/>
        </w:rPr>
        <w:t>IUCN</w:t>
      </w:r>
      <w:r w:rsidRPr="005512D2">
        <w:rPr>
          <w:color w:val="000000" w:themeColor="text1"/>
        </w:rPr>
        <w:t>) Red List as many as 32% of assessed vertebrate</w:t>
      </w:r>
      <w:r w:rsidR="009915E0" w:rsidRPr="0064175F">
        <w:rPr>
          <w:color w:val="000000" w:themeColor="text1"/>
        </w:rPr>
        <w:t xml:space="preserve"> specie</w:t>
      </w:r>
      <w:r w:rsidRPr="006F5EBC">
        <w:rPr>
          <w:color w:val="000000" w:themeColor="text1"/>
        </w:rPr>
        <w:t xml:space="preserve">s </w:t>
      </w:r>
      <w:r w:rsidRPr="0070404D">
        <w:rPr>
          <w:color w:val="000000" w:themeColor="text1"/>
        </w:rPr>
        <w:t xml:space="preserve">are decreasing in terms of </w:t>
      </w:r>
      <w:r w:rsidR="00D72B40">
        <w:rPr>
          <w:color w:val="000000" w:themeColor="text1"/>
        </w:rPr>
        <w:t xml:space="preserve">both population size and range </w:t>
      </w:r>
      <w:r w:rsidR="00D72B40">
        <w:rPr>
          <w:color w:val="000000" w:themeColor="text1"/>
        </w:rPr>
        <w:fldChar w:fldCharType="begin" w:fldLock="1"/>
      </w:r>
      <w:r w:rsidR="00D72B40">
        <w:rPr>
          <w:color w:val="000000" w:themeColor="text1"/>
        </w:rPr>
        <w:instrText>ADDIN CSL_CITATION {"citationItems":[{"id":"ITEM-1","itemData":{"author":[{"dropping-particle":"","family":"IUCN","given":"","non-dropping-particle":"","parse-names":false,"suffix":""}],"id":"ITEM-1","issued":{"date-parts":[["2017"]]},"publisher":"&lt;http://www.iucnredlist.org&gt;. Downloaded October 2017","title":"The IUCN Red List of Threatened Species. Version 2017.","type":"book"},"uris":["http://www.mendeley.com/documents/?uuid=a3dd0486-1afd-4113-8c6f-b79e16ea7da3"]}],"mendeley":{"formattedCitation":"(IUCN 2017)","plainTextFormattedCitation":"(IUCN 2017)","previouslyFormattedCitation":"(IUCN 2017)"},"properties":{"noteIndex":0},"schema":"https://github.com/citation-style-language/schema/raw/master/csl-citation.json"}</w:instrText>
      </w:r>
      <w:r w:rsidR="00D72B40">
        <w:rPr>
          <w:color w:val="000000" w:themeColor="text1"/>
        </w:rPr>
        <w:fldChar w:fldCharType="separate"/>
      </w:r>
      <w:r w:rsidR="00D72B40" w:rsidRPr="00D72B40">
        <w:rPr>
          <w:noProof/>
          <w:color w:val="000000" w:themeColor="text1"/>
        </w:rPr>
        <w:t>(IUCN 2017)</w:t>
      </w:r>
      <w:r w:rsidR="00D72B40">
        <w:rPr>
          <w:color w:val="000000" w:themeColor="text1"/>
        </w:rPr>
        <w:fldChar w:fldCharType="end"/>
      </w:r>
      <w:r w:rsidR="00C73A20" w:rsidRPr="0070404D">
        <w:rPr>
          <w:color w:val="000000" w:themeColor="text1"/>
        </w:rPr>
        <w:t xml:space="preserve">. Larger species are suffering the steepest and most irreversible declines </w:t>
      </w:r>
      <w:r w:rsidR="00BF58B7">
        <w:rPr>
          <w:color w:val="000000" w:themeColor="text1"/>
        </w:rPr>
        <w:fldChar w:fldCharType="begin" w:fldLock="1"/>
      </w:r>
      <w:r w:rsidR="00763BF5">
        <w:rPr>
          <w:color w:val="000000" w:themeColor="text1"/>
        </w:rPr>
        <w:instrText>ADDIN CSL_CITATION {"citationItems":[{"id":"ITEM-1","itemData":{"DOI":"10.1126/sciadv.1400103","ISBN":"DOI: 10.1126/sciadv.1400103","ISSN":"2375-2548","PMID":"26601172","abstract":"Large wild herbivores are crucial to ecosystems and human societies. We highlight the 74 largest terrestrial herbivore species on Earth (body mass ≥100 kg), the threats they face, their important and often overlooked ecosystem effects, and the conservation efforts needed to save them and their predators from extinction. Large herbivores are generally facing dramatic population declines and range contractions, such that ~60% are threatened with extinction. Nearly all threatened species are in developing countries, where major threats include hunting, land-use change, and resource depression by livestock. Loss of large herbivores can have cascading effects on other species including large carnivores, scavengers, mesoherbivores, small mammals, and ecological processes involving vegetation, hydrology, nutrient cycling, and fire regimes. The rate of large herbivore decline suggests that ever-larger swaths of the world will soon lack many of the vital ecological services these animals provide, resulting in enormous ecological and social costs.","author":[{"dropping-particle":"","family":"Ripple","given":"W. J.","non-dropping-particle":"","parse-names":false,"suffix":""},{"dropping-particle":"","family":"Newsome","given":"T. M.","non-dropping-particle":"","parse-names":false,"suffix":""},{"dropping-particle":"","family":"Wolf","given":"C.","non-dropping-particle":"","parse-names":false,"suffix":""},{"dropping-particle":"","family":"Dirzo","given":"R.","non-dropping-particle":"","parse-names":false,"suffix":""},{"dropping-particle":"","family":"Everatt","given":"K. T.","non-dropping-particle":"","parse-names":false,"suffix":""},{"dropping-particle":"","family":"Galetti","given":"M.","non-dropping-particle":"","parse-names":false,"suffix":""},{"dropping-particle":"","family":"Hayward","given":"M. W.","non-dropping-particle":"","parse-names":false,"suffix":""},{"dropping-particle":"","family":"Kerley","given":"G. I. H.","non-dropping-particle":"","parse-names":false,"suffix":""},{"dropping-particle":"","family":"Levi","given":"T.","non-dropping-particle":"","parse-names":false,"suffix":""},{"dropping-particle":"","family":"Lindsey","given":"P. A.","non-dropping-particle":"","parse-names":false,"suffix":""},{"dropping-particle":"","family":"Macdonald","given":"D. W.","non-dropping-particle":"","parse-names":false,"suffix":""},{"dropping-particle":"","family":"Malhi","given":"Y.","non-dropping-particle":"","parse-names":false,"suffix":""},{"dropping-particle":"","family":"Painter","given":"L. E.","non-dropping-particle":"","parse-names":false,"suffix":""},{"dropping-particle":"","family":"Sandom","given":"C. J.","non-dropping-particle":"","parse-names":false,"suffix":""},{"dropping-particle":"","family":"Terborgh","given":"J.","non-dropping-particle":"","parse-names":false,"suffix":""},{"dropping-particle":"","family":"Valkenburgh","given":"B.","non-dropping-particle":"Van","parse-names":false,"suffix":""}],"container-title":"Science Advances","id":"ITEM-1","issue":"4","issued":{"date-parts":[["2015"]]},"page":"e1400103","title":"Collapse of the world's largest herbivores","type":"article-journal","volume":"1"},"uris":["http://www.mendeley.com/documents/?uuid=b5af3a47-b57d-46c7-bfe2-5a8b36d1a625"]},{"id":"ITEM-2","itemData":{"DOI":"10.1126/science.1241484","ISBN":"1095-9203 (Electronic) 0036-8075 (Linking)","ISSN":"1095-9203","PMID":"24408439","abstract":"Large carnivores face serious threats and are experiencing massive declines in their populations and geographic ranges around the world. We highlight how these threats have affected the conservation status and ecological functioning of the 31 largest mammalian carnivores on Earth. Consistent with theory, empirical studies increasingly show that large carnivores have substantial effects on the structure and function of diverse ecosystems. Significant cascading trophic interactions, mediated by their prey or sympatric mesopredators, arise when some of these carnivores are extirpated from or repatriated to ecosystems. Unexpected effects of trophic cascades on various taxa and processes include changes to bird, mammal, invertebrate, and herpetofauna abundance or richness; subsidies to scavengers; altered disease dynamics; carbon sequestration; modified stream morphology; and crop damage. Promoting tolerance and coexistence with large carnivores is a crucial societal challenge that will ultimately determine the fate of Earth's largest carnivores and all that depends upon them, including humans.","author":[{"dropping-particle":"","family":"Ripple","given":"William J","non-dropping-particle":"","parse-names":false,"suffix":""},{"dropping-particle":"","family":"Estes","given":"James a","non-dropping-particle":"","parse-names":false,"suffix":""},{"dropping-particle":"","family":"Beschta","given":"Robert L","non-dropping-particle":"","parse-names":false,"suffix":""},{"dropping-particle":"","family":"Wilmers","given":"Christopher C","non-dropping-particle":"","parse-names":false,"suffix":""},{"dropping-particle":"","family":"Ritchie","given":"Euan G","non-dropping-particle":"","parse-names":false,"suffix":""},{"dropping-particle":"","family":"Hebblewhite","given":"Mark","non-dropping-particle":"","parse-names":false,"suffix":""},{"dropping-particle":"","family":"Berger","given":"Joel","non-dropping-particle":"","parse-names":false,"suffix":""},{"dropping-particle":"","family":"Elmhagen","given":"Bodil","non-dropping-particle":"","parse-names":false,"suffix":""},{"dropping-particle":"","family":"Letnic","given":"Mike","non-dropping-particle":"","parse-names":false,"suffix":""},{"dropping-particle":"","family":"Nelson","given":"Michael P","non-dropping-particle":"","parse-names":false,"suffix":""},{"dropping-particle":"","family":"Schmitz","given":"O.J.","non-dropping-particle":"","parse-names":false,"suffix":""},{"dropping-particle":"","family":"Smith","given":"Douglas W.","non-dropping-particle":"","parse-names":false,"suffix":""},{"dropping-particle":"","family":"Wallach","given":"A.D.","non-dropping-particle":"","parse-names":false,"suffix":""},{"dropping-particle":"","family":"Wirsing","given":"A.J.","non-dropping-particle":"","parse-names":false,"suffix":""}],"container-title":"Science","id":"ITEM-2","issue":"6167","issued":{"date-parts":[["2014"]]},"title":"Status and ecological effects of the world’s largest carnivores","type":"article-journal","volume":"343"},"uris":["http://www.mendeley.com/documents/?uuid=0dd067fd-5234-45c2-a940-88839dcdb30d"]},{"id":"ITEM-3","itemData":{"DOI":"10.1126/science.1251817","ISBN":"1095-9203 (Electronic)\\r0036-8075 (Linking)","ISSN":"0036-8075","PMID":"25061202","abstract":"We live amid a global wave of anthropogenically driven biodiversity loss: species and population extirpations and, critically, declines in local species abundance. Particularly, human impacts on animal biodiversity are an under-recognized form of global environmental change. Among terrestrial vertebrates, 322 species have become extinct since 1500, and populations of the remaining species show 25% average decline in abundance. Invertebrate patterns are equally dire: 67% of monitored populations show 45% mean abundance decline. Such animal declines will cascade onto ecosystem functioning and human well-being. Much remains unknown about this \"Anthropocene defaunation\"; these knowledge gaps hinder our capacity to predict and limit defaunation impacts. Clearly, however, defaunation is both a pervasive component of the planet's sixth mass extinction and also a major driver of global ecological change.","author":[{"dropping-particle":"","family":"Dirzo","given":"R.","non-dropping-particle":"","parse-names":false,"suffix":""},{"dropping-particle":"","family":"Young","given":"H. S.","non-dropping-particle":"","parse-names":false,"suffix":""},{"dropping-particle":"","family":"Galetti","given":"M.","non-dropping-particle":"","parse-names":false,"suffix":""},{"dropping-particle":"","family":"Ceballos","given":"G.","non-dropping-particle":"","parse-names":false,"suffix":""},{"dropping-particle":"","family":"Isaac","given":"N. J. B.","non-dropping-particle":"","parse-names":false,"suffix":""},{"dropping-particle":"","family":"Collen","given":"B.","non-dropping-particle":"","parse-names":false,"suffix":""}],"container-title":"Science","id":"ITEM-3","issue":"6195","issued":{"date-parts":[["2014"]]},"page":"401-406","title":"Defaunation in the Anthropocene","type":"article-journal","volume":"345"},"uris":["http://www.mendeley.com/documents/?uuid=8447a120-e3c9-478c-9972-4f8bd082a1fe"]}],"mendeley":{"formattedCitation":"(Dirzo et al. 2014; Ripple et al. 2014, 2015)","manualFormatting":"(Dirzo et al., 2014; Ripple et al., 2014, 2015)","plainTextFormattedCitation":"(Dirzo et al. 2014; Ripple et al. 2014, 2015)","previouslyFormattedCitation":"(Dirzo et al. 2014; Ripple et al. 2014, 2015)"},"properties":{"noteIndex":0},"schema":"https://github.com/citation-style-language/schema/raw/master/csl-citation.json"}</w:instrText>
      </w:r>
      <w:r w:rsidR="00BF58B7">
        <w:rPr>
          <w:color w:val="000000" w:themeColor="text1"/>
        </w:rPr>
        <w:fldChar w:fldCharType="separate"/>
      </w:r>
      <w:r w:rsidR="00BF58B7" w:rsidRPr="00BF58B7">
        <w:rPr>
          <w:noProof/>
          <w:color w:val="000000" w:themeColor="text1"/>
        </w:rPr>
        <w:t>(Dirzo et al.</w:t>
      </w:r>
      <w:r w:rsidR="005A725A">
        <w:rPr>
          <w:noProof/>
          <w:color w:val="000000" w:themeColor="text1"/>
        </w:rPr>
        <w:t>,</w:t>
      </w:r>
      <w:r w:rsidR="00BF58B7" w:rsidRPr="00BF58B7">
        <w:rPr>
          <w:noProof/>
          <w:color w:val="000000" w:themeColor="text1"/>
        </w:rPr>
        <w:t xml:space="preserve"> 2014; Ripple et al.</w:t>
      </w:r>
      <w:r w:rsidR="005A725A">
        <w:rPr>
          <w:noProof/>
          <w:color w:val="000000" w:themeColor="text1"/>
        </w:rPr>
        <w:t>,</w:t>
      </w:r>
      <w:r w:rsidR="00BF58B7" w:rsidRPr="00BF58B7">
        <w:rPr>
          <w:noProof/>
          <w:color w:val="000000" w:themeColor="text1"/>
        </w:rPr>
        <w:t xml:space="preserve"> 2014, 2015)</w:t>
      </w:r>
      <w:r w:rsidR="00BF58B7">
        <w:rPr>
          <w:color w:val="000000" w:themeColor="text1"/>
        </w:rPr>
        <w:fldChar w:fldCharType="end"/>
      </w:r>
      <w:r w:rsidR="00C73A20" w:rsidRPr="0070404D">
        <w:rPr>
          <w:color w:val="000000" w:themeColor="text1"/>
        </w:rPr>
        <w:t xml:space="preserve">. </w:t>
      </w:r>
      <w:r w:rsidR="000E6D6D" w:rsidRPr="0070404D">
        <w:rPr>
          <w:color w:val="000000" w:themeColor="text1"/>
        </w:rPr>
        <w:t>As wildlife is lost,</w:t>
      </w:r>
      <w:r w:rsidR="00C73A20" w:rsidRPr="0070404D">
        <w:rPr>
          <w:color w:val="000000" w:themeColor="text1"/>
        </w:rPr>
        <w:t xml:space="preserve"> biodiversity</w:t>
      </w:r>
      <w:r w:rsidR="000E6D6D" w:rsidRPr="0070404D">
        <w:rPr>
          <w:color w:val="000000" w:themeColor="text1"/>
        </w:rPr>
        <w:t xml:space="preserve"> is reduced and ecosystem integrity suffers</w:t>
      </w:r>
      <w:r w:rsidR="00CD2C93">
        <w:rPr>
          <w:color w:val="000000" w:themeColor="text1"/>
        </w:rPr>
        <w:t xml:space="preserve"> </w:t>
      </w:r>
      <w:r w:rsidR="00CD2C93">
        <w:rPr>
          <w:color w:val="000000" w:themeColor="text1"/>
        </w:rPr>
        <w:fldChar w:fldCharType="begin" w:fldLock="1"/>
      </w:r>
      <w:r w:rsidR="00763BF5">
        <w:rPr>
          <w:color w:val="000000" w:themeColor="text1"/>
        </w:rPr>
        <w:instrText>ADDIN CSL_CITATION {"citationItems":[{"id":"ITEM-1","itemData":{"DOI":"10.1146/annurev-ecolsys-112414-054142","ISSN":"1543-592X","abstract":"Anthropocene defaunation, the global extinction of faunal species and populations and the decline in abundance of individuals within populations, has been predominantly documented in terrestrial ecosystems, but indicators suggest defaunation has been more severe in freshwater ecosystems. Marine defaunation is in a more incipient stage, yet pronounced effects are already apparent and its rapid acceleration seems likely. Defaunation now impacts the planet’s wildlife with profound cascading consequences, ranging from local to global coextinctions of interacting species to the loss of ecological services critical for humanity. Slowing defaunation will require aggressively reducing animal overexploitation and habitat destruction; mitigating climate disruption; and stabilizing the impacts of human population growth and uneven resource consumption. Given its omnipresence, defaunation should receive status of major global environmental change and should be addressed with the same urgency as deforestation, polluti...","author":[{"dropping-particle":"","family":"Young","given":"Hillary S.","non-dropping-particle":"","parse-names":false,"suffix":""},{"dropping-particle":"","family":"McCauley","given":"Douglas J.","non-dropping-particle":"","parse-names":false,"suffix":""},{"dropping-particle":"","family":"Galetti","given":"Mauro","non-dropping-particle":"","parse-names":false,"suffix":""},{"dropping-particle":"","family":"Dirzo","given":"Rodolfo","non-dropping-particle":"","parse-names":false,"suffix":""}],"container-title":"Annual Review of Ecology, Evolution, and Systematics","id":"ITEM-1","issue":"1","issued":{"date-parts":[["2016"]]},"page":"333-358","title":"Patterns, causes, and consequences of Anthropocene Defaunation","type":"article-journal","volume":"47"},"uris":["http://www.mendeley.com/documents/?uuid=80ff4271-d9fd-4d41-adf8-d8f7fb8c5fe5"]},{"id":"ITEM-2","itemData":{"DOI":"10.1126/science.1251817","ISBN":"1095-9203 (Electronic)\\r0036-8075 (Linking)","ISSN":"0036-8075","PMID":"25061202","abstract":"We live amid a global wave of anthropogenically driven biodiversity loss: species and population extirpations and, critically, declines in local species abundance. Particularly, human impacts on animal biodiversity are an under-recognized form of global environmental change. Among terrestrial vertebrates, 322 species have become extinct since 1500, and populations of the remaining species show 25% average decline in abundance. Invertebrate patterns are equally dire: 67% of monitored populations show 45% mean abundance decline. Such animal declines will cascade onto ecosystem functioning and human well-being. Much remains unknown about this \"Anthropocene defaunation\"; these knowledge gaps hinder our capacity to predict and limit defaunation impacts. Clearly, however, defaunation is both a pervasive component of the planet's sixth mass extinction and also a major driver of global ecological change.","author":[{"dropping-particle":"","family":"Dirzo","given":"R.","non-dropping-particle":"","parse-names":false,"suffix":""},{"dropping-particle":"","family":"Young","given":"H. S.","non-dropping-particle":"","parse-names":false,"suffix":""},{"dropping-particle":"","family":"Galetti","given":"M.","non-dropping-particle":"","parse-names":false,"suffix":""},{"dropping-particle":"","family":"Ceballos","given":"G.","non-dropping-particle":"","parse-names":false,"suffix":""},{"dropping-particle":"","family":"Isaac","given":"N. J. B.","non-dropping-particle":"","parse-names":false,"suffix":""},{"dropping-particle":"","family":"Collen","given":"B.","non-dropping-particle":"","parse-names":false,"suffix":""}],"container-title":"Science","id":"ITEM-2","issue":"6195","issued":{"date-parts":[["2014"]]},"page":"401-406","title":"Defaunation in the Anthropocene","type":"article-journal","volume":"345"},"uris":["http://www.mendeley.com/documents/?uuid=8447a120-e3c9-478c-9972-4f8bd082a1fe"]}],"mendeley":{"formattedCitation":"(Dirzo et al. 2014; Young et al. 2016)","manualFormatting":"(Dirzo et al., 2014; Young et al., 2016)","plainTextFormattedCitation":"(Dirzo et al. 2014; Young et al. 2016)","previouslyFormattedCitation":"(Dirzo et al. 2014; Young et al. 2016)"},"properties":{"noteIndex":0},"schema":"https://github.com/citation-style-language/schema/raw/master/csl-citation.json"}</w:instrText>
      </w:r>
      <w:r w:rsidR="00CD2C93">
        <w:rPr>
          <w:color w:val="000000" w:themeColor="text1"/>
        </w:rPr>
        <w:fldChar w:fldCharType="separate"/>
      </w:r>
      <w:r w:rsidR="00CD2C93" w:rsidRPr="00CD2C93">
        <w:rPr>
          <w:noProof/>
          <w:color w:val="000000" w:themeColor="text1"/>
        </w:rPr>
        <w:t>(Dirzo et al.</w:t>
      </w:r>
      <w:r w:rsidR="005A725A">
        <w:rPr>
          <w:noProof/>
          <w:color w:val="000000" w:themeColor="text1"/>
        </w:rPr>
        <w:t>,</w:t>
      </w:r>
      <w:r w:rsidR="00CD2C93" w:rsidRPr="00CD2C93">
        <w:rPr>
          <w:noProof/>
          <w:color w:val="000000" w:themeColor="text1"/>
        </w:rPr>
        <w:t xml:space="preserve"> 2014; Young et al.</w:t>
      </w:r>
      <w:r w:rsidR="005A725A">
        <w:rPr>
          <w:noProof/>
          <w:color w:val="000000" w:themeColor="text1"/>
        </w:rPr>
        <w:t>,</w:t>
      </w:r>
      <w:r w:rsidR="00CD2C93" w:rsidRPr="00CD2C93">
        <w:rPr>
          <w:noProof/>
          <w:color w:val="000000" w:themeColor="text1"/>
        </w:rPr>
        <w:t xml:space="preserve"> 2016)</w:t>
      </w:r>
      <w:r w:rsidR="00CD2C93">
        <w:rPr>
          <w:color w:val="000000" w:themeColor="text1"/>
        </w:rPr>
        <w:fldChar w:fldCharType="end"/>
      </w:r>
      <w:r w:rsidR="00CD2C93">
        <w:rPr>
          <w:color w:val="000000" w:themeColor="text1"/>
        </w:rPr>
        <w:t>.</w:t>
      </w:r>
    </w:p>
    <w:p w14:paraId="0867D350" w14:textId="46AF9DD3" w:rsidR="00FC6940" w:rsidRPr="001C1D6E" w:rsidRDefault="00C73A20" w:rsidP="001C1D6E">
      <w:pPr>
        <w:jc w:val="both"/>
        <w:rPr>
          <w:iCs/>
          <w:color w:val="000000" w:themeColor="text1"/>
        </w:rPr>
      </w:pPr>
      <w:r w:rsidRPr="001C1D6E">
        <w:rPr>
          <w:color w:val="000000" w:themeColor="text1"/>
        </w:rPr>
        <w:t>There is increasing evidence that unsustainable hunting is a key factor in driving current wildlife declines. Nearly 20% of</w:t>
      </w:r>
      <w:r w:rsidR="0077363A" w:rsidRPr="0077363A">
        <w:t xml:space="preserve"> </w:t>
      </w:r>
      <w:r w:rsidR="0077363A">
        <w:t xml:space="preserve">the </w:t>
      </w:r>
      <w:r w:rsidR="0077363A" w:rsidRPr="005512D2">
        <w:t>I</w:t>
      </w:r>
      <w:r w:rsidR="0077363A">
        <w:t xml:space="preserve">nternational </w:t>
      </w:r>
      <w:r w:rsidR="0077363A" w:rsidRPr="005512D2">
        <w:t>U</w:t>
      </w:r>
      <w:r w:rsidR="0077363A">
        <w:t xml:space="preserve">nion for the </w:t>
      </w:r>
      <w:r w:rsidR="0077363A" w:rsidRPr="005512D2">
        <w:t>C</w:t>
      </w:r>
      <w:r w:rsidR="0077363A">
        <w:t xml:space="preserve">onservation of </w:t>
      </w:r>
      <w:r w:rsidR="0077363A" w:rsidRPr="005512D2">
        <w:t>N</w:t>
      </w:r>
      <w:r w:rsidR="0077363A">
        <w:t>ature’s</w:t>
      </w:r>
      <w:r w:rsidRPr="001C1D6E">
        <w:rPr>
          <w:color w:val="000000" w:themeColor="text1"/>
        </w:rPr>
        <w:t xml:space="preserve"> </w:t>
      </w:r>
      <w:r w:rsidR="0077363A" w:rsidRPr="001C1D6E">
        <w:rPr>
          <w:color w:val="000000" w:themeColor="text1"/>
        </w:rPr>
        <w:t>(</w:t>
      </w:r>
      <w:r w:rsidRPr="001C1D6E">
        <w:rPr>
          <w:color w:val="000000" w:themeColor="text1"/>
        </w:rPr>
        <w:t>IUCN</w:t>
      </w:r>
      <w:r w:rsidR="0077363A" w:rsidRPr="001C1D6E">
        <w:rPr>
          <w:color w:val="000000" w:themeColor="text1"/>
        </w:rPr>
        <w:t>)</w:t>
      </w:r>
      <w:r w:rsidRPr="001C1D6E">
        <w:rPr>
          <w:color w:val="000000" w:themeColor="text1"/>
        </w:rPr>
        <w:t xml:space="preserve"> Red List threatened an</w:t>
      </w:r>
      <w:r w:rsidR="0084197F" w:rsidRPr="001C1D6E">
        <w:rPr>
          <w:color w:val="000000" w:themeColor="text1"/>
        </w:rPr>
        <w:t>d</w:t>
      </w:r>
      <w:r w:rsidRPr="001C1D6E">
        <w:rPr>
          <w:color w:val="000000" w:themeColor="text1"/>
        </w:rPr>
        <w:t xml:space="preserve"> near-threatened species are directly threatened by hunting </w:t>
      </w:r>
      <w:r w:rsidR="00463AB4" w:rsidRPr="001C1D6E">
        <w:rPr>
          <w:color w:val="000000" w:themeColor="text1"/>
        </w:rPr>
        <w:fldChar w:fldCharType="begin" w:fldLock="1"/>
      </w:r>
      <w:r w:rsidR="00D72B40">
        <w:rPr>
          <w:color w:val="000000" w:themeColor="text1"/>
        </w:rPr>
        <w:instrText>ADDIN CSL_CITATION {"citationItems":[{"id":"ITEM-1","itemData":{"author":[{"dropping-particle":"","family":"Maxwell","given":"S L","non-dropping-particle":"","parse-names":false,"suffix":""},{"dropping-particle":"","family":"Fuller","given":"R A","non-dropping-particle":"","parse-names":false,"suffix":""},{"dropping-particle":"","family":"Brooks","given":"T M","non-dropping-particle":"","parse-names":false,"suffix":""},{"dropping-particle":"","family":"Watson","given":"J E M","non-dropping-particle":"","parse-names":false,"suffix":""}],"container-title":"Nature","id":"ITEM-1","issued":{"date-parts":[["2016"]]},"page":"143-145","title":"The ravages of guns, nets and bulldozers","type":"article-journal","volume":"536"},"uris":["http://www.mendeley.com/documents/?uuid=b754565f-99d8-49ad-a3cf-4e9a32f718c7"]}],"mendeley":{"formattedCitation":"(Maxwell et al. 2016)","manualFormatting":"(Maxwell et al., 2016)","plainTextFormattedCitation":"(Maxwell et al. 2016)","previouslyFormattedCitation":"(Maxwell et al. 2016)"},"properties":{"noteIndex":0},"schema":"https://github.com/citation-style-language/schema/raw/master/csl-citation.json"}</w:instrText>
      </w:r>
      <w:r w:rsidR="00463AB4" w:rsidRPr="001C1D6E">
        <w:rPr>
          <w:color w:val="000000" w:themeColor="text1"/>
        </w:rPr>
        <w:fldChar w:fldCharType="separate"/>
      </w:r>
      <w:r w:rsidR="00463AB4" w:rsidRPr="001C1D6E">
        <w:rPr>
          <w:noProof/>
          <w:color w:val="000000" w:themeColor="text1"/>
        </w:rPr>
        <w:t>(Maxwell et al.</w:t>
      </w:r>
      <w:r w:rsidR="005A725A" w:rsidRPr="001C1D6E">
        <w:rPr>
          <w:noProof/>
          <w:color w:val="000000" w:themeColor="text1"/>
        </w:rPr>
        <w:t>,</w:t>
      </w:r>
      <w:r w:rsidR="00463AB4" w:rsidRPr="001C1D6E">
        <w:rPr>
          <w:noProof/>
          <w:color w:val="000000" w:themeColor="text1"/>
        </w:rPr>
        <w:t xml:space="preserve"> 2016)</w:t>
      </w:r>
      <w:r w:rsidR="00463AB4" w:rsidRPr="001C1D6E">
        <w:rPr>
          <w:color w:val="000000" w:themeColor="text1"/>
        </w:rPr>
        <w:fldChar w:fldCharType="end"/>
      </w:r>
      <w:r w:rsidRPr="001C1D6E">
        <w:rPr>
          <w:color w:val="000000" w:themeColor="text1"/>
        </w:rPr>
        <w:t>, including over</w:t>
      </w:r>
      <w:r w:rsidR="00384BA7" w:rsidRPr="001C1D6E">
        <w:rPr>
          <w:color w:val="000000" w:themeColor="text1"/>
        </w:rPr>
        <w:t xml:space="preserve"> 300 threatened mammal species </w:t>
      </w:r>
      <w:r w:rsidR="00384BA7" w:rsidRPr="001C1D6E">
        <w:rPr>
          <w:color w:val="000000" w:themeColor="text1"/>
        </w:rPr>
        <w:fldChar w:fldCharType="begin" w:fldLock="1"/>
      </w:r>
      <w:r w:rsidR="002F6BDE">
        <w:rPr>
          <w:color w:val="000000" w:themeColor="text1"/>
        </w:rPr>
        <w:instrText>ADDIN CSL_CITATION {"citationItems":[{"id":"ITEM-1","itemData":{"DOI":"10.1098/rsos.160498","ISBN":"0000000304498","ISSN":"2054-5703","author":[{"dropping-particle":"","family":"Ripple","given":"William J","non-dropping-particle":"","parse-names":false,"suffix":""},{"dropping-particle":"","family":"Abernethy","given":"Katharine","non-dropping-particle":"","parse-names":false,"suffix":""},{"dropping-particle":"","family":"Betts","given":"Matthew G","non-dropping-particle":"","parse-names":false,"suffix":""},{"dropping-particle":"","family":"Chapron","given":"Guillaume","non-dropping-particle":"","parse-names":false,"suffix":""},{"dropping-particle":"","family":"Dirzo","given":"Rodolfo","non-dropping-particle":"","parse-names":false,"suffix":""},{"dropping-particle":"","family":"Galetti","given":"Mauro","non-dropping-particle":"","parse-names":false,"suffix":""},{"dropping-particle":"","family":"Levi","given":"Taal","non-dropping-particle":"","parse-names":false,"suffix":""},{"dropping-particle":"","family":"Lindsey","given":"Peter A","non-dropping-particle":"","parse-names":false,"suffix":""},{"dropping-particle":"","family":"Macdonald","given":"David W","non-dropping-particle":"","parse-names":false,"suffix":""},{"dropping-particle":"","family":"Machovina","given":"Brian","non-dropping-particle":"","parse-names":false,"suffix":""},{"dropping-particle":"","family":"Newsome","given":"Thomas M","non-dropping-particle":"","parse-names":false,"suffix":""},{"dropping-particle":"","family":"Peres","given":"Carlos A","non-dropping-particle":"","parse-names":false,"suffix":""},{"dropping-particle":"","family":"Wallach","given":"Arian D","non-dropping-particle":"","parse-names":false,"suffix":""},{"dropping-particle":"","family":"Wolf","given":"Christopher","non-dropping-particle":"","parse-names":false,"suffix":""},{"dropping-particle":"","family":"Young","given":"Hillary","non-dropping-particle":"","parse-names":false,"suffix":""}],"container-title":"Royal Society Open Science","id":"ITEM-1","issued":{"date-parts":[["2016"]]},"page":"160498","title":"Bushmeat hunting and extinction risk to the world’s mammals","type":"article-journal","volume":"3"},"uris":["http://www.mendeley.com/documents/?uuid=6dc602b1-d971-36e5-b565-5cfcb86f88f0"]}],"mendeley":{"formattedCitation":"(Ripple et al. 2016)","manualFormatting":"(Ripple et al., 2016)","plainTextFormattedCitation":"(Ripple et al. 2016)","previouslyFormattedCitation":"(Ripple et al. 2016)"},"properties":{"noteIndex":0},"schema":"https://github.com/citation-style-language/schema/raw/master/csl-citation.json"}</w:instrText>
      </w:r>
      <w:r w:rsidR="00384BA7" w:rsidRPr="001C1D6E">
        <w:rPr>
          <w:color w:val="000000" w:themeColor="text1"/>
        </w:rPr>
        <w:fldChar w:fldCharType="separate"/>
      </w:r>
      <w:r w:rsidR="00384BA7" w:rsidRPr="001C1D6E">
        <w:rPr>
          <w:noProof/>
          <w:color w:val="000000" w:themeColor="text1"/>
        </w:rPr>
        <w:t>(Ripple et al.</w:t>
      </w:r>
      <w:r w:rsidR="005A725A" w:rsidRPr="001C1D6E">
        <w:rPr>
          <w:noProof/>
          <w:color w:val="000000" w:themeColor="text1"/>
        </w:rPr>
        <w:t>,</w:t>
      </w:r>
      <w:r w:rsidR="00384BA7" w:rsidRPr="001C1D6E">
        <w:rPr>
          <w:noProof/>
          <w:color w:val="000000" w:themeColor="text1"/>
        </w:rPr>
        <w:t xml:space="preserve"> 2016)</w:t>
      </w:r>
      <w:r w:rsidR="00384BA7" w:rsidRPr="001C1D6E">
        <w:rPr>
          <w:color w:val="000000" w:themeColor="text1"/>
        </w:rPr>
        <w:fldChar w:fldCharType="end"/>
      </w:r>
      <w:r w:rsidRPr="001C1D6E">
        <w:rPr>
          <w:color w:val="000000" w:themeColor="text1"/>
        </w:rPr>
        <w:t xml:space="preserve">. </w:t>
      </w:r>
      <w:r w:rsidR="007A3FE2" w:rsidRPr="001C1D6E">
        <w:rPr>
          <w:color w:val="000000" w:themeColor="text1"/>
        </w:rPr>
        <w:t xml:space="preserve">Globally, wildlife hunting is </w:t>
      </w:r>
      <w:r w:rsidR="00B56C9F" w:rsidRPr="001C1D6E">
        <w:rPr>
          <w:color w:val="000000" w:themeColor="text1"/>
        </w:rPr>
        <w:t>a major</w:t>
      </w:r>
      <w:r w:rsidR="007A3FE2" w:rsidRPr="001C1D6E">
        <w:rPr>
          <w:color w:val="000000" w:themeColor="text1"/>
        </w:rPr>
        <w:t xml:space="preserve"> </w:t>
      </w:r>
      <w:r w:rsidR="008128FF" w:rsidRPr="001C1D6E">
        <w:rPr>
          <w:color w:val="000000" w:themeColor="text1"/>
        </w:rPr>
        <w:t xml:space="preserve">driver </w:t>
      </w:r>
      <w:r w:rsidR="007A3FE2" w:rsidRPr="001C1D6E">
        <w:rPr>
          <w:color w:val="000000" w:themeColor="text1"/>
        </w:rPr>
        <w:t xml:space="preserve">of biodiversity loss </w:t>
      </w:r>
      <w:r w:rsidR="007A3FE2" w:rsidRPr="001C1D6E">
        <w:rPr>
          <w:color w:val="000000" w:themeColor="text1"/>
        </w:rPr>
        <w:fldChar w:fldCharType="begin" w:fldLock="1"/>
      </w:r>
      <w:r w:rsidR="00D72B40">
        <w:rPr>
          <w:color w:val="000000" w:themeColor="text1"/>
        </w:rPr>
        <w:instrText>ADDIN CSL_CITATION {"citationItems":[{"id":"ITEM-1","itemData":{"DOI":"10.1038/s41559-018-0563-x","ISSN":"2397334X","PMID":"29784980","abstract":"The United Nations 2030 Agenda for Sustainable Development calls for urgent actions to reduce global biodiversity loss. Here, we synthesize &gt;44,000 articles published in the past decade to assess the research focus on global drivers of loss. Relative research efforts on different drivers are not well aligned with their assessed impact, and multiple driver interactions are hardly considered. Research on drivers of biodiversity loss needs urgent realignment to match predicted severity and inform policy goals.","author":[{"dropping-particle":"","family":"Mazor","given":"Tessa","non-dropping-particle":"","parse-names":false,"suffix":""},{"dropping-particle":"","family":"Doropoulos","given":"Christopher","non-dropping-particle":"","parse-names":false,"suffix":""},{"dropping-particle":"","family":"Schwarzmueller","given":"Florian","non-dropping-particle":"","parse-names":false,"suffix":""},{"dropping-particle":"","family":"Gladish","given":"Daniel W.","non-dropping-particle":"","parse-names":false,"suffix":""},{"dropping-particle":"","family":"Kumaran","given":"Nagalingam","non-dropping-particle":"","parse-names":false,"suffix":""},{"dropping-particle":"","family":"Merkel","given":"Katharina","non-dropping-particle":"","parse-names":false,"suffix":""},{"dropping-particle":"","family":"Marco","given":"Moreno","non-dropping-particle":"Di","parse-names":false,"suffix":""},{"dropping-particle":"","family":"Gagic","given":"Vesna","non-dropping-particle":"","parse-names":false,"suffix":""}],"container-title":"Nature Ecology and Evolution","id":"ITEM-1","issued":{"date-parts":[["2018"]]},"page":"1-4","publisher":"Springer US","title":"Global mismatch of policy and research on drivers of biodiversity loss","type":"article-journal"},"uris":["http://www.mendeley.com/documents/?uuid=46807a1c-84dd-411c-b35d-28840bc047db"]}],"mendeley":{"formattedCitation":"(Mazor et al. 2018)","manualFormatting":"(Mayor et al., 2018)","plainTextFormattedCitation":"(Mazor et al. 2018)","previouslyFormattedCitation":"(Mazor et al. 2018)"},"properties":{"noteIndex":0},"schema":"https://github.com/citation-style-language/schema/raw/master/csl-citation.json"}</w:instrText>
      </w:r>
      <w:r w:rsidR="007A3FE2" w:rsidRPr="001C1D6E">
        <w:rPr>
          <w:color w:val="000000" w:themeColor="text1"/>
        </w:rPr>
        <w:fldChar w:fldCharType="separate"/>
      </w:r>
      <w:r w:rsidR="007A3FE2" w:rsidRPr="001C1D6E">
        <w:rPr>
          <w:noProof/>
          <w:color w:val="000000" w:themeColor="text1"/>
        </w:rPr>
        <w:t>(Mayor et al.</w:t>
      </w:r>
      <w:r w:rsidR="005A725A" w:rsidRPr="001C1D6E">
        <w:rPr>
          <w:noProof/>
          <w:color w:val="000000" w:themeColor="text1"/>
        </w:rPr>
        <w:t>,</w:t>
      </w:r>
      <w:r w:rsidR="007A3FE2" w:rsidRPr="001C1D6E">
        <w:rPr>
          <w:noProof/>
          <w:color w:val="000000" w:themeColor="text1"/>
        </w:rPr>
        <w:t xml:space="preserve"> 2018)</w:t>
      </w:r>
      <w:r w:rsidR="007A3FE2" w:rsidRPr="001C1D6E">
        <w:rPr>
          <w:color w:val="000000" w:themeColor="text1"/>
        </w:rPr>
        <w:fldChar w:fldCharType="end"/>
      </w:r>
      <w:r w:rsidR="007A3FE2" w:rsidRPr="001C1D6E">
        <w:rPr>
          <w:color w:val="000000" w:themeColor="text1"/>
        </w:rPr>
        <w:t>, and the most frequently reported threat to protected</w:t>
      </w:r>
      <w:r w:rsidR="00D72B40">
        <w:rPr>
          <w:color w:val="000000" w:themeColor="text1"/>
        </w:rPr>
        <w:t xml:space="preserve"> areas</w:t>
      </w:r>
      <w:r w:rsidR="007A3FE2" w:rsidRPr="001C1D6E">
        <w:rPr>
          <w:color w:val="000000" w:themeColor="text1"/>
        </w:rPr>
        <w:t xml:space="preserve"> </w:t>
      </w:r>
      <w:r w:rsidR="00D72B40">
        <w:rPr>
          <w:color w:val="000000" w:themeColor="text1"/>
        </w:rPr>
        <w:fldChar w:fldCharType="begin" w:fldLock="1"/>
      </w:r>
      <w:r w:rsidR="00EF6EFF">
        <w:rPr>
          <w:color w:val="000000" w:themeColor="text1"/>
        </w:rPr>
        <w:instrText>ADDIN CSL_CITATION {"citationItems":[{"id":"ITEM-1","itemData":{"DOI":"10.1111/conl.12435","ISSN":"1755263X","abstract":"© 2018 Wiley Periodicals, Inc. Protected areas (PAs) represent a cornerstone of efforts to safeguard biodiversity, and if effective should reduce threats to biodiversity. We present the most comprehensive assessment of threats to terrestrial PAs, based on in situ data from 1,961 PAs across 149 countries, assessed by PA managers and local stakeholders. Unsustainable hunting was the most commonly reported threat and occurred in 61% of all PAs, followed by disturbance from recreational activities occurring in 55%, and natural system modifications from fire or its suppression in 49%. The number of reported threats was lower in PAs with greater remoteness, higher control of corruption, and lower human development scores. The main reported threats in developing countries were linked to overexploitation for resource extraction, while negative impacts from recreational activities dominated in developed countries. Our results show that many of the most serious threats to PAs are difficult to monitor with remote sensing, and highlight the importance of in situ threat data to inform the implementation of more effective biodiversity conservation in the global protected area estate.","author":[{"dropping-particle":"","family":"Schulze","given":"K.","non-dropping-particle":"","parse-names":false,"suffix":""},{"dropping-particle":"","family":"Knights","given":"K.","non-dropping-particle":"","parse-names":false,"suffix":""},{"dropping-particle":"","family":"Coad","given":"L.","non-dropping-particle":"","parse-names":false,"suffix":""},{"dropping-particle":"","family":"Geldmann","given":"J.","non-dropping-particle":"","parse-names":false,"suffix":""},{"dropping-particle":"","family":"Leverington","given":"F.","non-dropping-particle":"","parse-names":false,"suffix":""},{"dropping-particle":"","family":"Eassom","given":"A.","non-dropping-particle":"","parse-names":false,"suffix":""},{"dropping-particle":"","family":"Marr","given":"M.","non-dropping-particle":"","parse-names":false,"suffix":""},{"dropping-particle":"","family":"Butchart","given":"S.H.M.","non-dropping-particle":"","parse-names":false,"suffix":""},{"dropping-particle":"","family":"Hockings","given":"M.","non-dropping-particle":"","parse-names":false,"suffix":""},{"dropping-particle":"","family":"Burgess","given":"N.D.","non-dropping-particle":"","parse-names":false,"suffix":""}],"container-title":"Conservation Letters","id":"ITEM-1","issued":{"date-parts":[["2018"]]},"title":"An assessment of threats to terrestrial protected areas","type":"article-journal"},"uris":["http://www.mendeley.com/documents/?uuid=356b2f7f-6d2e-4895-8e84-ee856001a9ba"]},{"id":"ITEM-2","itemData":{"DOI":"10.1371/journal.pone.0114154","ISSN":"19326203","PMID":"25469888","abstract":"Numerous protected areas (PAs) have been created in Africa to safeguard wildlife and other natural resources. However, significant threats from anthropogenic activities and decline of wildlife populations persist, while conservation efforts in most PAs are still minimal. We assessed the impact level of the most common threats to wildlife within PAs in tropical Africa and the relationship of conservation activities with threat impact level. We collated data on 98 PAs with tropical forest cover from 15 countries across West, Central and East Africa. For this, we assembled information about local threats as well as conservation activities from published and unpublished literature, and questionnaires sent to long-term field workers. We constructed general linear models to test the significance of specific conservation activities in relation to the threat impact level. Subsistence and commercial hunting were identified as the most common direct threats to wildlife and found to be most prevalent in West and Central Africa. Agriculture and logging represented the most common indirect threats, and were most prevalent in West Africa. We found that the long-term presence of conservation activities (such as law enforcement, research and tourism) was associated with lower threat impact levels. Our results highlight deficiencies in the management effectiveness of several PAs across tropical Africa, and conclude that PA management should invest more into conservation activities with long-term duration.","author":[{"dropping-particle":"","family":"Tranquilli","given":"Sandra","non-dropping-particle":"","parse-names":false,"suffix":""},{"dropping-particle":"","family":"Abedi-Lartey","given":"Michael","non-dropping-particle":"","parse-names":false,"suffix":""},{"dropping-particle":"","family":"Abernethy","given":"Katharine","non-dropping-particle":"","parse-names":false,"suffix":""},{"dropping-particle":"","family":"Amsini","given":"Fidèle","non-dropping-particle":"","parse-names":false,"suffix":""},{"dropping-particle":"","family":"Asamoah","given":"Augustus","non-dropping-particle":"","parse-names":false,"suffix":""},{"dropping-particle":"","family":"Balangtaa","given":"Cletus","non-dropping-particle":"","parse-names":false,"suffix":""},{"dropping-particle":"","family":"Blake","given":"Stephen","non-dropping-particle":"","parse-names":false,"suffix":""},{"dropping-particle":"","family":"Bouanga","given":"Estelle","non-dropping-particle":"","parse-names":false,"suffix":""},{"dropping-particle":"","family":"Breuer","given":"Thomas","non-dropping-particle":"","parse-names":false,"suffix":""},{"dropping-particle":"","family":"Brncic","given":"Terry M.","non-dropping-particle":"","parse-names":false,"suffix":""},{"dropping-particle":"","family":"Campbell","given":"Geneviève","non-dropping-particle":"","parse-names":false,"suffix":""},{"dropping-particle":"","family":"Chancellor","given":"Rebecca","non-dropping-particle":"","parse-names":false,"suffix":""},{"dropping-particle":"","family":"Chapman","given":"Colin A.","non-dropping-particle":"","parse-names":false,"suffix":""},{"dropping-particle":"","family":"Davenport","given":"Tim R.B.","non-dropping-particle":"","parse-names":false,"suffix":""},{"dropping-particle":"","family":"Dunn","given":"Andrew","non-dropping-particle":"","parse-names":false,"suffix":""},{"dropping-particle":"","family":"Dupain","given":"Jef","non-dropping-particle":"","parse-names":false,"suffix":""},{"dropping-particle":"","family":"Ekobo","given":"Atanga","non-dropping-particle":"","parse-names":false,"suffix":""},{"dropping-particle":"","family":"Eno-Nku","given":"Manasseh","non-dropping-particle":"","parse-names":false,"suffix":""},{"dropping-particle":"","family":"Etoga","given":"Gilles","non-dropping-particle":"","parse-names":false,"suffix":""},{"dropping-particle":"","family":"Furuichi","given":"Takeshi","non-dropping-particle":"","parse-names":false,"suffix":""},{"dropping-particle":"","family":"Gatti","given":"Sylvain","non-dropping-particle":"","parse-names":false,"suffix":""},{"dropping-particle":"","family":"Ghiurghi","given":"Andrea","non-dropping-particle":"","parse-names":false,"suffix":""},{"dropping-particle":"","family":"Hashimoto","given":"Chie","non-dropping-particle":"","parse-names":false,"suffix":""},{"dropping-particle":"","family":"Hart","given":"John A.","non-dropping-particle":"","parse-names":false,"suffix":""},{"dropping-particle":"","family":"Head","given":"Josephine","non-dropping-particle":"","parse-names":false,"suffix":""},{"dropping-particle":"","family":"Hega","given":"Martin","non-dropping-particle":"","parse-names":false,"suffix":""},{"dropping-particle":"","family":"Herbinger","given":"Ilka","non-dropping-particle":"","parse-names":false,"suffix":""},{"dropping-particle":"","family":"Hicks","given":"Thurston C.","non-dropping-particle":"","parse-names":false,"suffix":""},{"dropping-particle":"","family":"Holbech","given":"Lars H.","non-dropping-particle":"","parse-names":false,"suffix":""},{"dropping-particle":"","family":"Huijbregts","given":"Bas","non-dropping-particle":"","parse-names":false,"suffix":""},{"dropping-particle":"","family":"Kühl","given":"Hjalmar S.","non-dropping-particle":"","parse-names":false,"suffix":""},{"dropping-particle":"","family":"Imong","given":"Inaoyom","non-dropping-particle":"","parse-names":false,"suffix":""},{"dropping-particle":"","family":"Yeno","given":"Stephane Le Duc","non-dropping-particle":"","parse-names":false,"suffix":""},{"dropping-particle":"","family":"Linder","given":"Joshua","non-dropping-particle":"","parse-names":false,"suffix":""},{"dropping-particle":"","family":"Marshall","given":"Phil","non-dropping-particle":"","parse-names":false,"suffix":""},{"dropping-particle":"","family":"Lero","given":"Peter Minasoma","non-dropping-particle":"","parse-names":false,"suffix":""},{"dropping-particle":"","family":"Morgan","given":"David","non-dropping-particle":"","parse-names":false,"suffix":""},{"dropping-particle":"","family":"Mubalama","given":"Leonard","non-dropping-particle":"","parse-names":false,"suffix":""},{"dropping-particle":"","family":"N'Goran","given":"Paul K.","non-dropping-particle":"","parse-names":false,"suffix":""},{"dropping-particle":"","family":"Nicholas","given":"Aaron","non-dropping-particle":"","parse-names":false,"suffix":""},{"dropping-particle":"","family":"Nixon","given":"Stuart","non-dropping-particle":"","parse-names":false,"suffix":""},{"dropping-particle":"","family":"Normand","given":"Emmanuelle","non-dropping-particle":"","parse-names":false,"suffix":""},{"dropping-particle":"","family":"Nziguyimpa","given":"Leonidas","non-dropping-particle":"","parse-names":false,"suffix":""},{"dropping-particle":"","family":"Nzooh-Dongmo","given":"Zacharie","non-dropping-particle":"","parse-names":false,"suffix":""},{"dropping-particle":"","family":"Ofori-Amanfo","given":"Richard","non-dropping-particle":"","parse-names":false,"suffix":""},{"dropping-particle":"","family":"Ogunjemite","given":"Babafemi G.","non-dropping-particle":"","parse-names":false,"suffix":""},{"dropping-particle":"","family":"Petre","given":"Charles Albert","non-dropping-particle":"","parse-names":false,"suffix":""},{"dropping-particle":"","family":"Rainey","given":"Hugo J.","non-dropping-particle":"","parse-names":false,"suffix":""},{"dropping-particle":"","family":"Regnaut","given":"Sebastien","non-dropping-particle":"","parse-names":false,"suffix":""},{"dropping-particle":"","family":"Robinson","given":"Orume","non-dropping-particle":"","parse-names":false,"suffix":""},{"dropping-particle":"","family":"Rundus","given":"Aaron","non-dropping-particle":"","parse-names":false,"suffix":""},{"dropping-particle":"","family":"Sanz","given":"Crickette M.","non-dropping-particle":"","parse-names":false,"suffix":""},{"dropping-particle":"","family":"Okon","given":"David Tiku","non-dropping-particle":"","parse-names":false,"suffix":""},{"dropping-particle":"","family":"Todd","given":"Angelique","non-dropping-particle":"","parse-names":false,"suffix":""},{"dropping-particle":"","family":"Warren","given":"Ymke","non-dropping-particle":"","parse-names":false,"suffix":""},{"dropping-particle":"","family":"Sommer","given":"Volker","non-dropping-particle":"","parse-names":false,"suffix":""}],"container-title":"PLoS ONE","id":"ITEM-2","issue":"12","issued":{"date-parts":[["2014"]]},"page":"e114154","title":"Protected areas in tropical Africa: assessing threats and conservation activities","type":"article-journal","volume":"9"},"uris":["http://www.mendeley.com/documents/?uuid=833cf113-bd87-4a6e-8057-e3553a708132"]}],"mendeley":{"formattedCitation":"(Tranquilli et al. 2014; Schulze et al. 2018)","plainTextFormattedCitation":"(Tranquilli et al. 2014; Schulze et al. 2018)","previouslyFormattedCitation":"(Tranquilli et al. 2014; Schulze et al. 2018)"},"properties":{"noteIndex":0},"schema":"https://github.com/citation-style-language/schema/raw/master/csl-citation.json"}</w:instrText>
      </w:r>
      <w:r w:rsidR="00D72B40">
        <w:rPr>
          <w:color w:val="000000" w:themeColor="text1"/>
        </w:rPr>
        <w:fldChar w:fldCharType="separate"/>
      </w:r>
      <w:r w:rsidR="00D72B40" w:rsidRPr="00D72B40">
        <w:rPr>
          <w:noProof/>
          <w:color w:val="000000" w:themeColor="text1"/>
        </w:rPr>
        <w:t>(Tranquilli et al. 2014; Schulze et al. 2018)</w:t>
      </w:r>
      <w:r w:rsidR="00D72B40">
        <w:rPr>
          <w:color w:val="000000" w:themeColor="text1"/>
        </w:rPr>
        <w:fldChar w:fldCharType="end"/>
      </w:r>
      <w:r w:rsidR="007A3FE2" w:rsidRPr="001C1D6E">
        <w:rPr>
          <w:color w:val="000000" w:themeColor="text1"/>
        </w:rPr>
        <w:t xml:space="preserve">. </w:t>
      </w:r>
      <w:r w:rsidR="00F75909" w:rsidRPr="001C1D6E">
        <w:rPr>
          <w:color w:val="000000" w:themeColor="text1"/>
        </w:rPr>
        <w:t>H</w:t>
      </w:r>
      <w:r w:rsidR="00770B56" w:rsidRPr="001C1D6E">
        <w:rPr>
          <w:color w:val="000000" w:themeColor="text1"/>
        </w:rPr>
        <w:t xml:space="preserve">unting </w:t>
      </w:r>
      <w:r w:rsidR="00F75909" w:rsidRPr="001C1D6E">
        <w:rPr>
          <w:color w:val="000000" w:themeColor="text1"/>
        </w:rPr>
        <w:t>has been demonstrated to be</w:t>
      </w:r>
      <w:r w:rsidRPr="001C1D6E">
        <w:rPr>
          <w:color w:val="000000" w:themeColor="text1"/>
        </w:rPr>
        <w:t xml:space="preserve"> </w:t>
      </w:r>
      <w:r w:rsidR="00F75909" w:rsidRPr="001C1D6E">
        <w:rPr>
          <w:color w:val="000000" w:themeColor="text1"/>
        </w:rPr>
        <w:t>a</w:t>
      </w:r>
      <w:r w:rsidRPr="001C1D6E">
        <w:rPr>
          <w:color w:val="000000" w:themeColor="text1"/>
        </w:rPr>
        <w:t xml:space="preserve"> direct threat to </w:t>
      </w:r>
      <w:r w:rsidR="007717B3" w:rsidRPr="001C1D6E">
        <w:rPr>
          <w:color w:val="000000" w:themeColor="text1"/>
        </w:rPr>
        <w:t xml:space="preserve">endangered </w:t>
      </w:r>
      <w:r w:rsidRPr="001C1D6E">
        <w:rPr>
          <w:color w:val="000000" w:themeColor="text1"/>
        </w:rPr>
        <w:t xml:space="preserve">wildlife in </w:t>
      </w:r>
      <w:r w:rsidR="00F75909" w:rsidRPr="001C1D6E">
        <w:rPr>
          <w:color w:val="000000" w:themeColor="text1"/>
        </w:rPr>
        <w:t xml:space="preserve">all tropical regions </w:t>
      </w:r>
      <w:r w:rsidR="005B7F32" w:rsidRPr="001C1D6E">
        <w:rPr>
          <w:iCs/>
          <w:color w:val="000000" w:themeColor="text1"/>
        </w:rPr>
        <w:fldChar w:fldCharType="begin" w:fldLock="1"/>
      </w:r>
      <w:r w:rsidR="00B2630D">
        <w:rPr>
          <w:iCs/>
          <w:color w:val="000000" w:themeColor="text1"/>
        </w:rPr>
        <w:instrText>ADDIN CSL_CITATION {"citationItems":[{"id":"ITEM-1","itemData":{"DOI":"10.1371/journal.pone.0114154","ISSN":"19326203","PMID":"25469888","abstract":"Numerous protected areas (PAs) have been created in Africa to safeguard wildlife and other natural resources. However, significant threats from anthropogenic activities and decline of wildlife populations persist, while conservation efforts in most PAs are still minimal. We assessed the impact level of the most common threats to wildlife within PAs in tropical Africa and the relationship of conservation activities with threat impact level. We collated data on 98 PAs with tropical forest cover from 15 countries across West, Central and East Africa. For this, we assembled information about local threats as well as conservation activities from published and unpublished literature, and questionnaires sent to long-term field workers. We constructed general linear models to test the significance of specific conservation activities in relation to the threat impact level. Subsistence and commercial hunting were identified as the most common direct threats to wildlife and found to be most prevalent in West and Central Africa. Agriculture and logging represented the most common indirect threats, and were most prevalent in West Africa. We found that the long-term presence of conservation activities (such as law enforcement, research and tourism) was associated with lower threat impact levels. Our results highlight deficiencies in the management effectiveness of several PAs across tropical Africa, and conclude that PA management should invest more into conservation activities with long-term duration.","author":[{"dropping-particle":"","family":"Tranquilli","given":"Sandra","non-dropping-particle":"","parse-names":false,"suffix":""},{"dropping-particle":"","family":"Abedi-Lartey","given":"Michael","non-dropping-particle":"","parse-names":false,"suffix":""},{"dropping-particle":"","family":"Abernethy","given":"Katharine","non-dropping-particle":"","parse-names":false,"suffix":""},{"dropping-particle":"","family":"Amsini","given":"Fidèle","non-dropping-particle":"","parse-names":false,"suffix":""},{"dropping-particle":"","family":"Asamoah","given":"Augustus","non-dropping-particle":"","parse-names":false,"suffix":""},{"dropping-particle":"","family":"Balangtaa","given":"Cletus","non-dropping-particle":"","parse-names":false,"suffix":""},{"dropping-particle":"","family":"Blake","given":"Stephen","non-dropping-particle":"","parse-names":false,"suffix":""},{"dropping-particle":"","family":"Bouanga","given":"Estelle","non-dropping-particle":"","parse-names":false,"suffix":""},{"dropping-particle":"","family":"Breuer","given":"Thomas","non-dropping-particle":"","parse-names":false,"suffix":""},{"dropping-particle":"","family":"Brncic","given":"Terry M.","non-dropping-particle":"","parse-names":false,"suffix":""},{"dropping-particle":"","family":"Campbell","given":"Geneviève","non-dropping-particle":"","parse-names":false,"suffix":""},{"dropping-particle":"","family":"Chancellor","given":"Rebecca","non-dropping-particle":"","parse-names":false,"suffix":""},{"dropping-particle":"","family":"Chapman","given":"Colin A.","non-dropping-particle":"","parse-names":false,"suffix":""},{"dropping-particle":"","family":"Davenport","given":"Tim R.B.","non-dropping-particle":"","parse-names":false,"suffix":""},{"dropping-particle":"","family":"Dunn","given":"Andrew","non-dropping-particle":"","parse-names":false,"suffix":""},{"dropping-particle":"","family":"Dupain","given":"Jef","non-dropping-particle":"","parse-names":false,"suffix":""},{"dropping-particle":"","family":"Ekobo","given":"Atanga","non-dropping-particle":"","parse-names":false,"suffix":""},{"dropping-particle":"","family":"Eno-Nku","given":"Manasseh","non-dropping-particle":"","parse-names":false,"suffix":""},{"dropping-particle":"","family":"Etoga","given":"Gilles","non-dropping-particle":"","parse-names":false,"suffix":""},{"dropping-particle":"","family":"Furuichi","given":"Takeshi","non-dropping-particle":"","parse-names":false,"suffix":""},{"dropping-particle":"","family":"Gatti","given":"Sylvain","non-dropping-particle":"","parse-names":false,"suffix":""},{"dropping-particle":"","family":"Ghiurghi","given":"Andrea","non-dropping-particle":"","parse-names":false,"suffix":""},{"dropping-particle":"","family":"Hashimoto","given":"Chie","non-dropping-particle":"","parse-names":false,"suffix":""},{"dropping-particle":"","family":"Hart","given":"John A.","non-dropping-particle":"","parse-names":false,"suffix":""},{"dropping-particle":"","family":"Head","given":"Josephine","non-dropping-particle":"","parse-names":false,"suffix":""},{"dropping-particle":"","family":"Hega","given":"Martin","non-dropping-particle":"","parse-names":false,"suffix":""},{"dropping-particle":"","family":"Herbinger","given":"Ilka","non-dropping-particle":"","parse-names":false,"suffix":""},{"dropping-particle":"","family":"Hicks","given":"Thurston C.","non-dropping-particle":"","parse-names":false,"suffix":""},{"dropping-particle":"","family":"Holbech","given":"Lars H.","non-dropping-particle":"","parse-names":false,"suffix":""},{"dropping-particle":"","family":"Huijbregts","given":"Bas","non-dropping-particle":"","parse-names":false,"suffix":""},{"dropping-particle":"","family":"Kühl","given":"Hjalmar S.","non-dropping-particle":"","parse-names":false,"suffix":""},{"dropping-particle":"","family":"Imong","given":"Inaoyom","non-dropping-particle":"","parse-names":false,"suffix":""},{"dropping-particle":"","family":"Yeno","given":"Stephane Le Duc","non-dropping-particle":"","parse-names":false,"suffix":""},{"dropping-particle":"","family":"Linder","given":"Joshua","non-dropping-particle":"","parse-names":false,"suffix":""},{"dropping-particle":"","family":"Marshall","given":"Phil","non-dropping-particle":"","parse-names":false,"suffix":""},{"dropping-particle":"","family":"Lero","given":"Peter Minasoma","non-dropping-particle":"","parse-names":false,"suffix":""},{"dropping-particle":"","family":"Morgan","given":"David","non-dropping-particle":"","parse-names":false,"suffix":""},{"dropping-particle":"","family":"Mubalama","given":"Leonard","non-dropping-particle":"","parse-names":false,"suffix":""},{"dropping-particle":"","family":"N'Goran","given":"Paul K.","non-dropping-particle":"","parse-names":false,"suffix":""},{"dropping-particle":"","family":"Nicholas","given":"Aaron","non-dropping-particle":"","parse-names":false,"suffix":""},{"dropping-particle":"","family":"Nixon","given":"Stuart","non-dropping-particle":"","parse-names":false,"suffix":""},{"dropping-particle":"","family":"Normand","given":"Emmanuelle","non-dropping-particle":"","parse-names":false,"suffix":""},{"dropping-particle":"","family":"Nziguyimpa","given":"Leonidas","non-dropping-particle":"","parse-names":false,"suffix":""},{"dropping-particle":"","family":"Nzooh-Dongmo","given":"Zacharie","non-dropping-particle":"","parse-names":false,"suffix":""},{"dropping-particle":"","family":"Ofori-Amanfo","given":"Richard","non-dropping-particle":"","parse-names":false,"suffix":""},{"dropping-particle":"","family":"Ogunjemite","given":"Babafemi G.","non-dropping-particle":"","parse-names":false,"suffix":""},{"dropping-particle":"","family":"Petre","given":"Charles Albert","non-dropping-particle":"","parse-names":false,"suffix":""},{"dropping-particle":"","family":"Rainey","given":"Hugo J.","non-dropping-particle":"","parse-names":false,"suffix":""},{"dropping-particle":"","family":"Regnaut","given":"Sebastien","non-dropping-particle":"","parse-names":false,"suffix":""},{"dropping-particle":"","family":"Robinson","given":"Orume","non-dropping-particle":"","parse-names":false,"suffix":""},{"dropping-particle":"","family":"Rundus","given":"Aaron","non-dropping-particle":"","parse-names":false,"suffix":""},{"dropping-particle":"","family":"Sanz","given":"Crickette M.","non-dropping-particle":"","parse-names":false,"suffix":""},{"dropping-particle":"","family":"Okon","given":"David Tiku","non-dropping-particle":"","parse-names":false,"suffix":""},{"dropping-particle":"","family":"Todd","given":"Angelique","non-dropping-particle":"","parse-names":false,"suffix":""},{"dropping-particle":"","family":"Warren","given":"Ymke","non-dropping-particle":"","parse-names":false,"suffix":""},{"dropping-particle":"","family":"Sommer","given":"Volker","non-dropping-particle":"","parse-names":false,"suffix":""}],"container-title":"PLoS ONE","id":"ITEM-1","issue":"12","issued":{"date-parts":[["2014"]]},"page":"e114154","title":"Protected areas in tropical Africa: assessing threats and conservation activities","type":"article-journal","volume":"9"},"uris":["http://www.mendeley.com/documents/?uuid=833cf113-bd87-4a6e-8057-e3553a708132"]},{"id":"ITEM-2","itemData":{"abstract":"In the last five years, the World Bank has approved nearly 50 projects directly or indirectly related to biodiversity conservation in East and Southeast Asia, accounting for some $310 million of Bank financing. However, there is a growing realization that these investments are being seriously compromised by the illegal wildlife trade, and that as a result the region's forests are increasingly silent, empty of the wildlife that makes them so unique. This paper provides a glimpse into the world of illegal wildlife trade, as well as a snapshot of how the World Bank, through its lending and non-lending activities, can leverage its many investments to safeguard biodiversity and the livelihoods that depend on it. It seeks to identify key entry points for actions by the World Bank, governments and other stakeholders to reduce the threats to wildlife and human welfare posed by the illegal trade in wildlife. The paper's recommendations focus on scaling up the effectiveness of current interventions, and suggest others that have not yet been tried or tested.","author":[{"dropping-particle":"","family":"Griser-Johns","given":"A","non-dropping-particle":"","parse-names":false,"suffix":""},{"dropping-particle":"","family":"Thomson","given":"J","non-dropping-particle":"","parse-names":false,"suffix":""}],"container-title":"Environment and Social Development Department Publishings","id":"ITEM-2","issued":{"date-parts":[["2005"]]},"page":"1-32","title":"Going going gone: the illegal trade in wildlife in East and Southeast Asia. environment and social development East Asia and Pacific region discussion paper","type":"article-journal"},"uris":["http://www.mendeley.com/documents/?uuid=fd36c6b0-f6f6-4948-8344-5c9694710f67"]},{"id":"ITEM-3","itemData":{"DOI":"10.1007/s10531-010-9818-9","ISBN":"0960-3115","ISSN":"09603115","PMID":"275536700001","abstract":"Abstract Southeast Asia was almost entirely covered by rainforest 8,000 years ago. Today, this region is experiencing the highest relative rates of deforestation and forest degradation in the humid tropics. Every year, millions of hectares of tropical forests are destroyed and degraded. Given the rapid rate of deforestation and the high concentration of endemic species in the region, Southeast Asia could lose 13–42% of local populations by the turn of the next century, at least 50% of which could represent global species extinction. In this Special Issue, we discuss the uniqueness of Southeast Asian biodiversity, drivers of forest destruction, threats to the region’s unique ecosystems and taxa, and key conservation challenges to provide a broad-based review of the science, management and policy issues concerning biodiversity conservation. Overall, we highlight the need for an interdisciplinary and multi-pronged strategy requiring all major stakeholders to work together to achieve the ultimate goal of reconciling biodiversity conservation and human well-being in the region.","author":[{"dropping-particle":"","family":"Koh","given":"Lian Pin","non-dropping-particle":"","parse-names":false,"suffix":""},{"dropping-particle":"","family":"Sodhi","given":"Navjot S.","non-dropping-particle":"","parse-names":false,"suffix":""}],"container-title":"Biodiversity and Conservation","id":"ITEM-3","issue":"4","issued":{"date-parts":[["2010"]]},"page":"913-917","title":"Conserving Southeast Asia's imperiled biodiversity: scientific, management, and policy challenges","type":"article-journal","volume":"19"},"uris":["http://www.mendeley.com/documents/?uuid=2c0d32cd-0c1c-4be7-9784-0a81ce097b57"]},{"id":"ITEM-4","itemData":{"DOI":"10.17528/cifor/005135","ISBN":"9786021504543","ISSN":"0854-9818","author":[{"dropping-particle":"","family":"Lee","given":"T.M.","non-dropping-particle":"","parse-names":false,"suffix":""},{"dropping-particle":"","family":"Sigouin","given":"A.","non-dropping-particle":"","parse-names":false,"suffix":""},{"dropping-particle":"","family":"Pinedo-Vasquez","given":"M.","non-dropping-particle":"","parse-names":false,"suffix":""},{"dropping-particle":"","family":"Nasi","given":"R.","non-dropping-particle":"","parse-names":false,"suffix":""}],"id":"ITEM-4","issued":{"date-parts":[["2014"]]},"number-of-pages":"56","publisher-place":"CIFOR, Bogor, Indonesia","title":"The harvest of wildlife for bushmeat and traditional medicine in East, South and Southeast Asia: current knowledge base, challenges, opportunities and areas for future research. Occasional Paper 115.","type":"report"},"uris":["http://www.mendeley.com/documents/?uuid=bae8b825-3458-4133-9106-48d41f41b7da"]},{"id":"ITEM-5","itemData":{"DOI":"10.1111/cobi.12785","ISBN":"9788578110796","ISSN":"15231739","PMID":"25246403","abstract":"Although deforestation and forest degradation have long been considered the most significant threats to tropical biodiversity, across Southeast Asia (Northeast India, Indochina, Sundaland, Philippines) substantial areas of natural habitat have few wild animals (&gt;1 kg), bar a few hunting-tolerant species. To document hunting impacts on vertebrate populations regionally,we conducted an extensive literature review, including papers in local journals and reports of governmental and nongovernmental agencies. Evidence from multiple sites indicated animal populations declined precipitously across the region since approximately 1980, and many species are now extirpated from substantial portions of their former ranges. Hunting is by far the greatest immediate threat to the survival of most of the region’s endangered vertebrates. Causes of recent overhunting include improved access to forests and markets, improved hunting technology, and escalating demand for wildmeat, wildlife-derived medicinal products, and wild animals as pets. Although hunters often take common species, such as pigs or rats, for their own consumption, they take rarer species opportunistically and sell surplus meat and commercially valuable products. There is also widespread targeted hunting of high-value species. Consequently, as currently practiced, hunting cannot be considered sustainable anywhere in the region, and in most places enforcement of protected-area and protected-species legislation is weak. The international community’s focus on cross-border trade fails to address overexploitation of wildlife because hunting and the sale of wildmeat is largely a local issue and most of the harvest is consumed in villages, rural towns, and nearby cities. In addition to improved enforcement, efforts to engage hunters and manage wildlife populations through sustainable hunting practices are urgently needed. Unless there is a step change in efforts to reduce wildlife exploitation to sustainable levels, the region will likely lose most of its iconic species, and many others besides, within the next few years. Keywords:","author":[{"dropping-particle":"","family":"Harrison","given":"Rhett D.","non-dropping-particle":"","parse-names":false,"suffix":""},{"dropping-particle":"","family":"Sreekar","given":"Rachakonda","non-dropping-particle":"","parse-names":false,"suffix":""},{"dropping-particle":"","family":"Brodie","given":"Jedediah F.","non-dropping-particle":"","parse-names":false,"suffix":""},{"dropping-particle":"","family":"Brook","given":"Sarah","non-dropping-particle":"","parse-names":false,"suffix":""},{"dropping-particle":"","family":"Luskin","given":"Matthew","non-dropping-particle":"","parse-names":false,"suffix":""},{"dropping-particle":"","family":"O'Kelly","given":"Hannah","non-dropping-particle":"","parse-names":false,"suffix":""},{"dropping-particle":"","family":"Rao","given":"Madhu","non-dropping-particle":"","parse-names":false,"suffix":""},{"dropping-particle":"","family":"Scheffers","given":"Brett","non-dropping-particle":"","parse-names":false,"suffix":""},{"dropping-particle":"","family":"Velho","given":"Nandini","non-dropping-particle":"","parse-names":false,"suffix":""}],"container-title":"Conservation Biology","id":"ITEM-5","issue":"5","issued":{"date-parts":[["2016"]]},"page":"972-981","title":"Impacts of hunting on tropical forests in Southeast Asia","type":"article-journal","volume":"30"},"uris":["http://www.mendeley.com/documents/?uuid=9156a739-3962-4575-aeb8-3bbb3e13bd98"]}],"mendeley":{"formattedCitation":"(Griser-Johns &amp; Thomson 2005; Koh &amp; Sodhi 2010; Lee et al. 2014; Tranquilli et al. 2014; Harrison et al. 2016)","manualFormatting":"(Griser-Johns and Thomson, 2005; Koh and Sodhi, 2010; Lee et al., 2014; Harrison et al., 2016; Schwitzer et al., 2017)","plainTextFormattedCitation":"(Griser-Johns &amp; Thomson 2005; Koh &amp; Sodhi 2010; Lee et al. 2014; Tranquilli et al. 2014; Harrison et al. 2016)","previouslyFormattedCitation":"(Griser-Johns &amp; Thomson 2005; Koh &amp; Sodhi 2010; Lee et al. 2014; Tranquilli et al. 2014; Harrison et al. 2016)"},"properties":{"noteIndex":0},"schema":"https://github.com/citation-style-language/schema/raw/master/csl-citation.json"}</w:instrText>
      </w:r>
      <w:r w:rsidR="005B7F32" w:rsidRPr="001C1D6E">
        <w:rPr>
          <w:iCs/>
          <w:color w:val="000000" w:themeColor="text1"/>
        </w:rPr>
        <w:fldChar w:fldCharType="separate"/>
      </w:r>
      <w:r w:rsidR="005B7F32" w:rsidRPr="001C1D6E">
        <w:rPr>
          <w:iCs/>
          <w:noProof/>
          <w:color w:val="000000" w:themeColor="text1"/>
        </w:rPr>
        <w:t xml:space="preserve">(Griser-Johns </w:t>
      </w:r>
      <w:r w:rsidR="00037F04" w:rsidRPr="001C1D6E">
        <w:rPr>
          <w:iCs/>
          <w:noProof/>
          <w:color w:val="000000" w:themeColor="text1"/>
        </w:rPr>
        <w:t xml:space="preserve">and </w:t>
      </w:r>
      <w:r w:rsidR="005B7F32" w:rsidRPr="001C1D6E">
        <w:rPr>
          <w:iCs/>
          <w:noProof/>
          <w:color w:val="000000" w:themeColor="text1"/>
        </w:rPr>
        <w:t>Thomson</w:t>
      </w:r>
      <w:r w:rsidR="005A725A" w:rsidRPr="001C1D6E">
        <w:rPr>
          <w:iCs/>
          <w:noProof/>
          <w:color w:val="000000" w:themeColor="text1"/>
        </w:rPr>
        <w:t>,</w:t>
      </w:r>
      <w:r w:rsidR="005B7F32" w:rsidRPr="001C1D6E">
        <w:rPr>
          <w:iCs/>
          <w:noProof/>
          <w:color w:val="000000" w:themeColor="text1"/>
        </w:rPr>
        <w:t xml:space="preserve"> 2005; Koh </w:t>
      </w:r>
      <w:r w:rsidR="00037F04" w:rsidRPr="001C1D6E">
        <w:rPr>
          <w:iCs/>
          <w:noProof/>
          <w:color w:val="000000" w:themeColor="text1"/>
        </w:rPr>
        <w:t xml:space="preserve">and </w:t>
      </w:r>
      <w:r w:rsidR="00C65BDB" w:rsidRPr="001C1D6E">
        <w:rPr>
          <w:iCs/>
          <w:noProof/>
          <w:color w:val="000000" w:themeColor="text1"/>
        </w:rPr>
        <w:t>Sodhi</w:t>
      </w:r>
      <w:r w:rsidR="005A725A" w:rsidRPr="001C1D6E">
        <w:rPr>
          <w:iCs/>
          <w:noProof/>
          <w:color w:val="000000" w:themeColor="text1"/>
        </w:rPr>
        <w:t>,</w:t>
      </w:r>
      <w:r w:rsidR="00C65BDB" w:rsidRPr="001C1D6E">
        <w:rPr>
          <w:iCs/>
          <w:noProof/>
          <w:color w:val="000000" w:themeColor="text1"/>
        </w:rPr>
        <w:t xml:space="preserve"> 2010; Lee et al.</w:t>
      </w:r>
      <w:r w:rsidR="005A725A" w:rsidRPr="001C1D6E">
        <w:rPr>
          <w:iCs/>
          <w:noProof/>
          <w:color w:val="000000" w:themeColor="text1"/>
        </w:rPr>
        <w:t>,</w:t>
      </w:r>
      <w:r w:rsidR="00C65BDB" w:rsidRPr="001C1D6E">
        <w:rPr>
          <w:iCs/>
          <w:noProof/>
          <w:color w:val="000000" w:themeColor="text1"/>
        </w:rPr>
        <w:t xml:space="preserve"> 2014</w:t>
      </w:r>
      <w:r w:rsidR="005B7F32" w:rsidRPr="001C1D6E">
        <w:rPr>
          <w:iCs/>
          <w:noProof/>
          <w:color w:val="000000" w:themeColor="text1"/>
        </w:rPr>
        <w:t>; Harrison et al.</w:t>
      </w:r>
      <w:r w:rsidR="005A725A" w:rsidRPr="001C1D6E">
        <w:rPr>
          <w:iCs/>
          <w:noProof/>
          <w:color w:val="000000" w:themeColor="text1"/>
        </w:rPr>
        <w:t>,</w:t>
      </w:r>
      <w:r w:rsidR="005B7F32" w:rsidRPr="001C1D6E">
        <w:rPr>
          <w:iCs/>
          <w:noProof/>
          <w:color w:val="000000" w:themeColor="text1"/>
        </w:rPr>
        <w:t xml:space="preserve"> 2016</w:t>
      </w:r>
      <w:r w:rsidR="00C65BDB" w:rsidRPr="001C1D6E">
        <w:rPr>
          <w:iCs/>
          <w:noProof/>
          <w:color w:val="000000" w:themeColor="text1"/>
        </w:rPr>
        <w:t>;</w:t>
      </w:r>
      <w:r w:rsidR="00C65BDB" w:rsidRPr="001C1D6E">
        <w:rPr>
          <w:noProof/>
          <w:color w:val="000000" w:themeColor="text1"/>
          <w:lang w:val="en-US"/>
        </w:rPr>
        <w:t xml:space="preserve"> Schwitzer et al.</w:t>
      </w:r>
      <w:r w:rsidR="005A725A" w:rsidRPr="001C1D6E">
        <w:rPr>
          <w:noProof/>
          <w:color w:val="000000" w:themeColor="text1"/>
          <w:lang w:val="en-US"/>
        </w:rPr>
        <w:t>,</w:t>
      </w:r>
      <w:r w:rsidR="00C65BDB" w:rsidRPr="001C1D6E">
        <w:rPr>
          <w:noProof/>
          <w:color w:val="000000" w:themeColor="text1"/>
          <w:lang w:val="en-US"/>
        </w:rPr>
        <w:t xml:space="preserve"> 2017</w:t>
      </w:r>
      <w:r w:rsidR="005B7F32" w:rsidRPr="001C1D6E">
        <w:rPr>
          <w:iCs/>
          <w:noProof/>
          <w:color w:val="000000" w:themeColor="text1"/>
        </w:rPr>
        <w:t>)</w:t>
      </w:r>
      <w:r w:rsidR="005B7F32" w:rsidRPr="001C1D6E">
        <w:rPr>
          <w:iCs/>
          <w:color w:val="000000" w:themeColor="text1"/>
        </w:rPr>
        <w:fldChar w:fldCharType="end"/>
      </w:r>
      <w:r w:rsidR="005B7F32" w:rsidRPr="001C1D6E">
        <w:rPr>
          <w:iCs/>
          <w:color w:val="000000" w:themeColor="text1"/>
        </w:rPr>
        <w:t>.</w:t>
      </w:r>
    </w:p>
    <w:p w14:paraId="49124B7D" w14:textId="5C036996" w:rsidR="00FC6940" w:rsidRPr="008128FF" w:rsidRDefault="00C73A20" w:rsidP="00C258BC">
      <w:pPr>
        <w:jc w:val="both"/>
        <w:rPr>
          <w:color w:val="000000" w:themeColor="text1"/>
        </w:rPr>
      </w:pPr>
      <w:r w:rsidRPr="0070404D">
        <w:rPr>
          <w:color w:val="000000" w:themeColor="text1"/>
        </w:rPr>
        <w:t xml:space="preserve">The </w:t>
      </w:r>
      <w:r w:rsidRPr="008128FF">
        <w:rPr>
          <w:color w:val="000000" w:themeColor="text1"/>
        </w:rPr>
        <w:t xml:space="preserve">meat of wild species has long served as a source of protein and as a source of income for millions of people </w:t>
      </w:r>
      <w:r w:rsidR="001E77A4" w:rsidRPr="008128FF">
        <w:rPr>
          <w:color w:val="000000" w:themeColor="text1"/>
        </w:rPr>
        <w:t>throughout</w:t>
      </w:r>
      <w:r w:rsidRPr="008128FF">
        <w:rPr>
          <w:color w:val="000000" w:themeColor="text1"/>
        </w:rPr>
        <w:t xml:space="preserve"> the world. However, more recently, growing human populations, technological advances and the emergence of a booming commercial wild meat trade have culminated in harvest rates that are causing </w:t>
      </w:r>
      <w:r w:rsidR="008128FF" w:rsidRPr="008128FF">
        <w:rPr>
          <w:color w:val="000000" w:themeColor="text1"/>
        </w:rPr>
        <w:t xml:space="preserve">significant </w:t>
      </w:r>
      <w:r w:rsidR="00A479D2" w:rsidRPr="008128FF">
        <w:rPr>
          <w:color w:val="000000" w:themeColor="text1"/>
        </w:rPr>
        <w:t>declines</w:t>
      </w:r>
      <w:r w:rsidR="008128FF" w:rsidRPr="008128FF">
        <w:rPr>
          <w:color w:val="000000" w:themeColor="text1"/>
        </w:rPr>
        <w:t xml:space="preserve"> in </w:t>
      </w:r>
      <w:r w:rsidRPr="008128FF">
        <w:rPr>
          <w:color w:val="000000" w:themeColor="text1"/>
        </w:rPr>
        <w:t>wildlife population</w:t>
      </w:r>
      <w:r w:rsidR="0020326F">
        <w:rPr>
          <w:color w:val="000000" w:themeColor="text1"/>
        </w:rPr>
        <w:t>s</w:t>
      </w:r>
      <w:r w:rsidR="008128FF" w:rsidRPr="008128FF">
        <w:rPr>
          <w:color w:val="000000" w:themeColor="text1"/>
        </w:rPr>
        <w:t xml:space="preserve"> </w:t>
      </w:r>
      <w:r w:rsidR="00296252" w:rsidRPr="008128FF">
        <w:rPr>
          <w:color w:val="000000" w:themeColor="text1"/>
        </w:rPr>
        <w:fldChar w:fldCharType="begin" w:fldLock="1"/>
      </w:r>
      <w:r w:rsidR="00D72B40">
        <w:rPr>
          <w:color w:val="000000" w:themeColor="text1"/>
        </w:rPr>
        <w:instrText>ADDIN CSL_CITATION {"citationItems":[{"id":"ITEM-1","itemData":{"author":[{"dropping-particle":"","family":"Benítez-López","given":"A.","non-dropping-particle":"","parse-names":false,"suffix":""},{"dropping-particle":"","family":"Alkemade","given":"J. R. M.","non-dropping-particle":"","parse-names":false,"suffix":""},{"dropping-particle":"","family":"Schipper","given":"A. M.","non-dropping-particle":"","parse-names":false,"suffix":""},{"dropping-particle":"","family":"Ingram","given":"D. J.","non-dropping-particle":"","parse-names":false,"suffix":""},{"dropping-particle":"","family":"Verweij","given":"P. A.","non-dropping-particle":"","parse-names":false,"suffix":""},{"dropping-particle":"","family":"Eikelboom","given":"J.","non-dropping-particle":"","parse-names":false,"suffix":""},{"dropping-particle":"","family":"Huijbregts","given":"M.","non-dropping-particle":"","parse-names":false,"suffix":""}],"container-title":"Science","id":"ITEM-1","issued":{"date-parts":[["2017"]]},"page":"180-183","title":"The impact of hunting on tropical mammal and bird populations","type":"article-journal","volume":"356"},"uris":["http://www.mendeley.com/documents/?uuid=33a33e13-a73a-4638-b742-479f8b6af55c"]}],"mendeley":{"formattedCitation":"(Benítez-López et al. 2017)","manualFormatting":"(Benítez-López et al., 2017)","plainTextFormattedCitation":"(Benítez-López et al. 2017)","previouslyFormattedCitation":"(Benítez-López et al. 2017)"},"properties":{"noteIndex":0},"schema":"https://github.com/citation-style-language/schema/raw/master/csl-citation.json"}</w:instrText>
      </w:r>
      <w:r w:rsidR="00296252" w:rsidRPr="008128FF">
        <w:rPr>
          <w:color w:val="000000" w:themeColor="text1"/>
        </w:rPr>
        <w:fldChar w:fldCharType="separate"/>
      </w:r>
      <w:r w:rsidR="00296252" w:rsidRPr="008128FF">
        <w:rPr>
          <w:noProof/>
          <w:color w:val="000000" w:themeColor="text1"/>
        </w:rPr>
        <w:t>(Benítez-López et al.</w:t>
      </w:r>
      <w:r w:rsidR="005A725A">
        <w:rPr>
          <w:noProof/>
          <w:color w:val="000000" w:themeColor="text1"/>
        </w:rPr>
        <w:t>,</w:t>
      </w:r>
      <w:r w:rsidR="00296252" w:rsidRPr="008128FF">
        <w:rPr>
          <w:noProof/>
          <w:color w:val="000000" w:themeColor="text1"/>
        </w:rPr>
        <w:t xml:space="preserve"> 2017)</w:t>
      </w:r>
      <w:r w:rsidR="00296252" w:rsidRPr="008128FF">
        <w:rPr>
          <w:color w:val="000000" w:themeColor="text1"/>
        </w:rPr>
        <w:fldChar w:fldCharType="end"/>
      </w:r>
      <w:r w:rsidR="00CC179B" w:rsidRPr="008128FF">
        <w:rPr>
          <w:color w:val="000000" w:themeColor="text1"/>
        </w:rPr>
        <w:t>.</w:t>
      </w:r>
      <w:r w:rsidRPr="008128FF">
        <w:rPr>
          <w:color w:val="000000" w:themeColor="text1"/>
        </w:rPr>
        <w:t xml:space="preserve"> </w:t>
      </w:r>
      <w:r w:rsidR="0020326F">
        <w:rPr>
          <w:color w:val="000000" w:themeColor="text1"/>
        </w:rPr>
        <w:t xml:space="preserve">Species declines can </w:t>
      </w:r>
      <w:r w:rsidR="0020326F" w:rsidRPr="0070404D">
        <w:rPr>
          <w:color w:val="000000" w:themeColor="text1"/>
        </w:rPr>
        <w:t>result in profound ecosystem changes</w:t>
      </w:r>
      <w:r w:rsidR="0020326F">
        <w:rPr>
          <w:color w:val="000000" w:themeColor="text1"/>
        </w:rPr>
        <w:t xml:space="preserve">, </w:t>
      </w:r>
      <w:r w:rsidR="00361011" w:rsidRPr="008128FF">
        <w:rPr>
          <w:color w:val="000000" w:themeColor="text1"/>
        </w:rPr>
        <w:t>rang</w:t>
      </w:r>
      <w:r w:rsidR="00CC179B" w:rsidRPr="008128FF">
        <w:rPr>
          <w:color w:val="000000" w:themeColor="text1"/>
        </w:rPr>
        <w:t>ing from coextinctions of interacting species to the loss of ecological services</w:t>
      </w:r>
      <w:r w:rsidR="0020326F">
        <w:rPr>
          <w:color w:val="000000" w:themeColor="text1"/>
        </w:rPr>
        <w:t xml:space="preserve"> </w:t>
      </w:r>
      <w:r w:rsidR="00CC179B" w:rsidRPr="008128FF">
        <w:rPr>
          <w:color w:val="000000" w:themeColor="text1"/>
        </w:rPr>
        <w:t>critical for humanity</w:t>
      </w:r>
      <w:r w:rsidR="00361011" w:rsidRPr="008128FF">
        <w:rPr>
          <w:color w:val="000000" w:themeColor="text1"/>
        </w:rPr>
        <w:t xml:space="preserve"> </w:t>
      </w:r>
      <w:r w:rsidR="002F6BD7" w:rsidRPr="008128FF">
        <w:rPr>
          <w:color w:val="000000" w:themeColor="text1"/>
        </w:rPr>
        <w:fldChar w:fldCharType="begin" w:fldLock="1"/>
      </w:r>
      <w:r w:rsidR="002F6BDE">
        <w:rPr>
          <w:color w:val="000000" w:themeColor="text1"/>
        </w:rPr>
        <w:instrText>ADDIN CSL_CITATION {"citationItems":[{"id":"ITEM-1","itemData":{"author":[{"dropping-particle":"","family":"Terborgh","given":"John","non-dropping-particle":"","parse-names":false,"suffix":""},{"dropping-particle":"","family":"Estes","given":"James","non-dropping-particle":"","parse-names":false,"suffix":""}],"id":"ITEM-1","issued":{"date-parts":[["2010"]]},"publisher":"Island Press","publisher-place":"Washington DC, USA","title":"Trophic cascades: predators, prey, and the changing dynamics of nature","type":"book"},"uris":["http://www.mendeley.com/documents/?uuid=3c33c2f1-eb85-43f9-977b-7dd34009da4a"]},{"id":"ITEM-2","itemData":{"author":[{"dropping-particle":"","family":"Darimont","given":"Chris T","non-dropping-particle":"","parse-names":false,"suffix":""},{"dropping-particle":"","family":"Fox","given":"Caroline H","non-dropping-particle":"","parse-names":false,"suffix":""},{"dropping-particle":"","family":"Bryan","given":"Heather M","non-dropping-particle":"","parse-names":false,"suffix":""},{"dropping-particle":"","family":"Reimchen","given":"Thomas E","non-dropping-particle":"","parse-names":false,"suffix":""}],"container-title":"Science","id":"ITEM-2","issue":"6250","issued":{"date-parts":[["2015"]]},"page":"858-861","title":"The unique ecology of human predators","type":"article-journal","volume":"349"},"uris":["http://www.mendeley.com/documents/?uuid=3ca5d0fd-2637-41b2-99fe-9e03660b1291"]},{"id":"ITEM-3","itemData":{"DOI":"10.1073/pnas.1702078114","author":[{"dropping-particle":"","family":"Ripple","given":"William J","non-dropping-particle":"","parse-names":false,"suffix":""},{"dropping-particle":"","family":"Wolf","given":"Christopher","non-dropping-particle":"","parse-names":false,"suffix":""},{"dropping-particle":"","family":"Newsome","given":"Thomas M","non-dropping-particle":"","parse-names":false,"suffix":""},{"dropping-particle":"","family":"Hoffmann","given":"Michael","non-dropping-particle":"","parse-names":false,"suffix":""},{"dropping-particle":"","family":"Wirsing","given":"Aaron J","non-dropping-particle":"","parse-names":false,"suffix":""},{"dropping-particle":"","family":"McCauley","given":"Douglas J","non-dropping-particle":"","parse-names":false,"suffix":""}],"container-title":"Proceedings of the National Academy of Sciences","id":"ITEM-3","issued":{"date-parts":[["2017"]]},"page":"1-6","title":"Extinction risk is most acute for the world’s largest and smallest vertebrates","type":"article-journal"},"uris":["http://www.mendeley.com/documents/?uuid=3541634a-8f6f-4ded-adac-2ae02dbbf645"]},{"id":"ITEM-4","itemData":{"DOI":"10.1146/annurev-ecolsys-112414-054142","ISSN":"1543-592X","abstract":"Anthropocene defaunation, the global extinction of faunal species and populations and the decline in abundance of individuals within populations, has been predominantly documented in terrestrial ecosystems, but indicators suggest defaunation has been more severe in freshwater ecosystems. Marine defaunation is in a more incipient stage, yet pronounced effects are already apparent and its rapid acceleration seems likely. Defaunation now impacts the planet’s wildlife with profound cascading consequences, ranging from local to global coextinctions of interacting species to the loss of ecological services critical for humanity. Slowing defaunation will require aggressively reducing animal overexploitation and habitat destruction; mitigating climate disruption; and stabilizing the impacts of human population growth and uneven resource consumption. Given its omnipresence, defaunation should receive status of major global environmental change and should be addressed with the same urgency as deforestation, polluti...","author":[{"dropping-particle":"","family":"Young","given":"Hillary S.","non-dropping-particle":"","parse-names":false,"suffix":""},{"dropping-particle":"","family":"McCauley","given":"Douglas J.","non-dropping-particle":"","parse-names":false,"suffix":""},{"dropping-particle":"","family":"Galetti","given":"Mauro","non-dropping-particle":"","parse-names":false,"suffix":""},{"dropping-particle":"","family":"Dirzo","given":"Rodolfo","non-dropping-particle":"","parse-names":false,"suffix":""}],"container-title":"Annual Review of Ecology, Evolution, and Systematics","id":"ITEM-4","issue":"1","issued":{"date-parts":[["2016"]]},"page":"333-358","title":"Patterns, causes, and consequences of Anthropocene Defaunation","type":"article-journal","volume":"47"},"uris":["http://www.mendeley.com/documents/?uuid=80ff4271-d9fd-4d41-adf8-d8f7fb8c5fe5"]},{"id":"ITEM-5","itemData":{"DOI":"10.1126/science.1251817","ISBN":"1095-9203 (Electronic)\\r0036-8075 (Linking)","ISSN":"0036-8075","PMID":"25061202","abstract":"We live amid a global wave of anthropogenically driven biodiversity loss: species and population extirpations and, critically, declines in local species abundance. Particularly, human impacts on animal biodiversity are an under-recognized form of global environmental change. Among terrestrial vertebrates, 322 species have become extinct since 1500, and populations of the remaining species show 25% average decline in abundance. Invertebrate patterns are equally dire: 67% of monitored populations show 45% mean abundance decline. Such animal declines will cascade onto ecosystem functioning and human well-being. Much remains unknown about this \"Anthropocene defaunation\"; these knowledge gaps hinder our capacity to predict and limit defaunation impacts. Clearly, however, defaunation is both a pervasive component of the planet's sixth mass extinction and also a major driver of global ecological change.","author":[{"dropping-particle":"","family":"Dirzo","given":"R.","non-dropping-particle":"","parse-names":false,"suffix":""},{"dropping-particle":"","family":"Young","given":"H. S.","non-dropping-particle":"","parse-names":false,"suffix":""},{"dropping-particle":"","family":"Galetti","given":"M.","non-dropping-particle":"","parse-names":false,"suffix":""},{"dropping-particle":"","family":"Ceballos","given":"G.","non-dropping-particle":"","parse-names":false,"suffix":""},{"dropping-particle":"","family":"Isaac","given":"N. J. B.","non-dropping-particle":"","parse-names":false,"suffix":""},{"dropping-particle":"","family":"Collen","given":"B.","non-dropping-particle":"","parse-names":false,"suffix":""}],"container-title":"Science","id":"ITEM-5","issue":"6195","issued":{"date-parts":[["2014"]]},"page":"401-406","title":"Defaunation in the Anthropocene","type":"article-journal","volume":"345"},"uris":["http://www.mendeley.com/documents/?uuid=8447a120-e3c9-478c-9972-4f8bd082a1fe"]},{"id":"ITEM-6","itemData":{"DOI":"10.1098/rsos.160498","ISBN":"0000000304498","ISSN":"2054-5703","author":[{"dropping-particle":"","family":"Ripple","given":"William J","non-dropping-particle":"","parse-names":false,"suffix":""},{"dropping-particle":"","family":"Abernethy","given":"Katharine","non-dropping-particle":"","parse-names":false,"suffix":""},{"dropping-particle":"","family":"Betts","given":"Matthew G","non-dropping-particle":"","parse-names":false,"suffix":""},{"dropping-particle":"","family":"Chapron","given":"Guillaume","non-dropping-particle":"","parse-names":false,"suffix":""},{"dropping-particle":"","family":"Dirzo","given":"Rodolfo","non-dropping-particle":"","parse-names":false,"suffix":""},{"dropping-particle":"","family":"Galetti","given":"Mauro","non-dropping-particle":"","parse-names":false,"suffix":""},{"dropping-particle":"","family":"Levi","given":"Taal","non-dropping-particle":"","parse-names":false,"suffix":""},{"dropping-particle":"","family":"Lindsey","given":"Peter A","non-dropping-particle":"","parse-names":false,"suffix":""},{"dropping-particle":"","family":"Macdonald","given":"David W","non-dropping-particle":"","parse-names":false,"suffix":""},{"dropping-particle":"","family":"Machovina","given":"Brian","non-dropping-particle":"","parse-names":false,"suffix":""},{"dropping-particle":"","family":"Newsome","given":"Thomas M","non-dropping-particle":"","parse-names":false,"suffix":""},{"dropping-particle":"</w:instrText>
      </w:r>
      <w:r w:rsidR="002F6BDE" w:rsidRPr="00DF57F3">
        <w:rPr>
          <w:color w:val="000000" w:themeColor="text1"/>
          <w:lang w:val="fr-FR"/>
        </w:rPr>
        <w:instrText>","family":"Peres","given":"Carlos A","non-dropping-particle":"","parse-names":false,"suffix":""},{"dropping-particle":"","family":"Wallach","given":"Arian D","non-dropping-particle":"","parse-names":false,"suffix":""},{"dropping-particle":"","family":"Wolf","given":"Christopher","non-dropping-particle":"","parse-names":false,"suffix":""},{"dropping-particle":"","family":"Young","given":"Hillary","non-dropping-particle":"","parse-names":false,"suffix":""}],"container-title":"Royal Society Open Science","id":"ITEM-6","issued":{"date-parts":[["2016"]]},"page":"160498","title":"Bushmeat hunting and extinction risk to the world’s mammals","type":"article-journal","volume":"3"},"uris":["http://www.mendeley.com/documents/?uuid=6dc602b1-d971-36e5-b565-5cfcb86f88f0"]}],"mendeley":{"formattedCitation":"(Terborgh &amp; Estes 2010; Dirzo et al. 2014; Darimont et al. 2015; Ripple et al. 2016; Young et al. 2016; Ripple et al. 2017)","manualFormatting":"(Terborgh and Estes, 2010; Dirzo et al., 2014; Darimont et al., 2015; Ripple et al., 2016, 2017; Young et al., 2016)","plainTextFormattedCitation":"(Terborgh &amp; Estes 2010; Dirzo et al. 2014; Darimont et al. 2015; Ripple et al. 2016; Young et al. 2016; Ripple et al. 2017)","previouslyFormattedCitation":"(Terborgh &amp; Estes 2010; Dirzo et al. 2014; Darimont et al. 2015; Ripple et al. 2016; Young et al. 2016; Ripple et al. 2017)"},"properties":{"noteIndex":0},"schema":"https://github.com/citation-style-language/schema/raw/master/csl-citation.json"}</w:instrText>
      </w:r>
      <w:r w:rsidR="002F6BD7" w:rsidRPr="008128FF">
        <w:rPr>
          <w:color w:val="000000" w:themeColor="text1"/>
        </w:rPr>
        <w:fldChar w:fldCharType="separate"/>
      </w:r>
      <w:r w:rsidR="002F6BD7" w:rsidRPr="008128FF">
        <w:rPr>
          <w:noProof/>
          <w:color w:val="000000" w:themeColor="text1"/>
          <w:lang w:val="es-ES"/>
        </w:rPr>
        <w:t xml:space="preserve">(Terborgh </w:t>
      </w:r>
      <w:r w:rsidR="00037F04" w:rsidRPr="008128FF">
        <w:rPr>
          <w:noProof/>
          <w:color w:val="000000" w:themeColor="text1"/>
          <w:lang w:val="es-ES"/>
        </w:rPr>
        <w:t xml:space="preserve">and </w:t>
      </w:r>
      <w:r w:rsidR="002F6BD7" w:rsidRPr="008128FF">
        <w:rPr>
          <w:noProof/>
          <w:color w:val="000000" w:themeColor="text1"/>
          <w:lang w:val="es-ES"/>
        </w:rPr>
        <w:t>Estes</w:t>
      </w:r>
      <w:r w:rsidR="005A725A">
        <w:rPr>
          <w:noProof/>
          <w:color w:val="000000" w:themeColor="text1"/>
          <w:lang w:val="es-ES"/>
        </w:rPr>
        <w:t>,</w:t>
      </w:r>
      <w:r w:rsidR="002F6BD7" w:rsidRPr="008128FF">
        <w:rPr>
          <w:noProof/>
          <w:color w:val="000000" w:themeColor="text1"/>
          <w:lang w:val="es-ES"/>
        </w:rPr>
        <w:t xml:space="preserve"> 2010; Dirzo et al.</w:t>
      </w:r>
      <w:r w:rsidR="005A725A">
        <w:rPr>
          <w:noProof/>
          <w:color w:val="000000" w:themeColor="text1"/>
          <w:lang w:val="es-ES"/>
        </w:rPr>
        <w:t>,</w:t>
      </w:r>
      <w:r w:rsidR="002F6BD7" w:rsidRPr="008128FF">
        <w:rPr>
          <w:noProof/>
          <w:color w:val="000000" w:themeColor="text1"/>
          <w:lang w:val="es-ES"/>
        </w:rPr>
        <w:t xml:space="preserve"> 2014; Darimont et al.</w:t>
      </w:r>
      <w:r w:rsidR="005A725A">
        <w:rPr>
          <w:noProof/>
          <w:color w:val="000000" w:themeColor="text1"/>
          <w:lang w:val="es-ES"/>
        </w:rPr>
        <w:t>,</w:t>
      </w:r>
      <w:r w:rsidR="002F6BD7" w:rsidRPr="008128FF">
        <w:rPr>
          <w:noProof/>
          <w:color w:val="000000" w:themeColor="text1"/>
          <w:lang w:val="es-ES"/>
        </w:rPr>
        <w:t xml:space="preserve"> 2015; Ripple et al.</w:t>
      </w:r>
      <w:r w:rsidR="005A725A">
        <w:rPr>
          <w:noProof/>
          <w:color w:val="000000" w:themeColor="text1"/>
          <w:lang w:val="es-ES"/>
        </w:rPr>
        <w:t>,</w:t>
      </w:r>
      <w:r w:rsidR="002F6BD7" w:rsidRPr="008128FF">
        <w:rPr>
          <w:noProof/>
          <w:color w:val="000000" w:themeColor="text1"/>
          <w:lang w:val="es-ES"/>
        </w:rPr>
        <w:t xml:space="preserve"> 2016, 2017; Young et al.</w:t>
      </w:r>
      <w:r w:rsidR="005A725A">
        <w:rPr>
          <w:noProof/>
          <w:color w:val="000000" w:themeColor="text1"/>
          <w:lang w:val="es-ES"/>
        </w:rPr>
        <w:t>,</w:t>
      </w:r>
      <w:r w:rsidR="002F6BD7" w:rsidRPr="008128FF">
        <w:rPr>
          <w:noProof/>
          <w:color w:val="000000" w:themeColor="text1"/>
          <w:lang w:val="es-ES"/>
        </w:rPr>
        <w:t xml:space="preserve"> 2016)</w:t>
      </w:r>
      <w:r w:rsidR="002F6BD7" w:rsidRPr="008128FF">
        <w:rPr>
          <w:color w:val="000000" w:themeColor="text1"/>
        </w:rPr>
        <w:fldChar w:fldCharType="end"/>
      </w:r>
      <w:r w:rsidRPr="008128FF">
        <w:rPr>
          <w:color w:val="000000" w:themeColor="text1"/>
          <w:lang w:val="es-ES"/>
        </w:rPr>
        <w:t xml:space="preserve">. </w:t>
      </w:r>
      <w:r w:rsidR="00FA2B01" w:rsidRPr="008128FF">
        <w:rPr>
          <w:color w:val="000000" w:themeColor="text1"/>
          <w:lang w:val="es-ES"/>
        </w:rPr>
        <w:t xml:space="preserve">Moreover, </w:t>
      </w:r>
      <w:r w:rsidR="00FA2B01" w:rsidRPr="008128FF">
        <w:rPr>
          <w:color w:val="000000" w:themeColor="text1"/>
        </w:rPr>
        <w:t xml:space="preserve">the loss of </w:t>
      </w:r>
      <w:r w:rsidRPr="008128FF">
        <w:rPr>
          <w:color w:val="000000" w:themeColor="text1"/>
        </w:rPr>
        <w:t xml:space="preserve">wildlife </w:t>
      </w:r>
      <w:r w:rsidR="00FA2B01" w:rsidRPr="008128FF">
        <w:rPr>
          <w:color w:val="000000" w:themeColor="text1"/>
        </w:rPr>
        <w:t xml:space="preserve">used as a main source of meat by local </w:t>
      </w:r>
      <w:r w:rsidR="00A479D2" w:rsidRPr="008128FF">
        <w:rPr>
          <w:color w:val="000000" w:themeColor="text1"/>
        </w:rPr>
        <w:t>communities</w:t>
      </w:r>
      <w:r w:rsidR="00FA2B01" w:rsidRPr="008128FF">
        <w:rPr>
          <w:color w:val="000000" w:themeColor="text1"/>
        </w:rPr>
        <w:t xml:space="preserve"> </w:t>
      </w:r>
      <w:r w:rsidRPr="008128FF">
        <w:rPr>
          <w:color w:val="000000" w:themeColor="text1"/>
        </w:rPr>
        <w:t>will impact food security and livelihoods</w:t>
      </w:r>
      <w:r w:rsidR="00361011" w:rsidRPr="008128FF">
        <w:rPr>
          <w:color w:val="000000" w:themeColor="text1"/>
        </w:rPr>
        <w:t xml:space="preserve"> of these communities</w:t>
      </w:r>
      <w:r w:rsidRPr="008128FF">
        <w:rPr>
          <w:color w:val="000000" w:themeColor="text1"/>
        </w:rPr>
        <w:t xml:space="preserve">, </w:t>
      </w:r>
      <w:r w:rsidR="007717B3" w:rsidRPr="008128FF">
        <w:rPr>
          <w:color w:val="000000" w:themeColor="text1"/>
        </w:rPr>
        <w:t>exposing</w:t>
      </w:r>
      <w:r w:rsidRPr="008128FF">
        <w:rPr>
          <w:color w:val="000000" w:themeColor="text1"/>
        </w:rPr>
        <w:t xml:space="preserve"> </w:t>
      </w:r>
      <w:r w:rsidR="007A3FE2" w:rsidRPr="008128FF">
        <w:rPr>
          <w:color w:val="000000" w:themeColor="text1"/>
        </w:rPr>
        <w:t>vulnerable</w:t>
      </w:r>
      <w:r w:rsidRPr="008128FF">
        <w:rPr>
          <w:color w:val="000000" w:themeColor="text1"/>
        </w:rPr>
        <w:t xml:space="preserve"> households </w:t>
      </w:r>
      <w:r w:rsidR="007717B3" w:rsidRPr="008128FF">
        <w:rPr>
          <w:color w:val="000000" w:themeColor="text1"/>
        </w:rPr>
        <w:t>to</w:t>
      </w:r>
      <w:r w:rsidR="007570FE" w:rsidRPr="008128FF">
        <w:rPr>
          <w:color w:val="000000" w:themeColor="text1"/>
        </w:rPr>
        <w:t xml:space="preserve"> further poverty </w:t>
      </w:r>
      <w:r w:rsidR="007570FE" w:rsidRPr="008128FF">
        <w:rPr>
          <w:color w:val="000000" w:themeColor="text1"/>
        </w:rPr>
        <w:fldChar w:fldCharType="begin" w:fldLock="1"/>
      </w:r>
      <w:r w:rsidR="00B2630D">
        <w:rPr>
          <w:color w:val="000000" w:themeColor="text1"/>
        </w:rPr>
        <w:instrText>ADDIN CSL_CITATION {"citationItems":[{"id":"ITEM-1","itemData":{"DOI":"10.1017/S0376892903000067","ISBN":"0376-8929","ISSN":"03768929","abstract":"Tropical moist forests in Africa are concentrated in the Congo Basin. A variety of animals in these forests, in particular mammals, are hunted for their meat, termed bushmeat. This paper investigates current and future trends of bushmeat protein, and non-bushmeat protein supply, for inhabitants of the main Congo Basin countries. Since most bushmeat is derived from forest mammals, published extraction (E) and produc- tion (P) estimates of mammal populations were used to calculate the per person protein supplied by these. Current bushmeat protein supply may range from 30g person?1 day?1 in the Democratic Republic of Congo, to 180 g person?1 day?1 in Gabon. Future bushmeat protein supplies were predicted for the next 50 years by employing current E:P ratios, and controlling for known deforestation and population growth rates. At current exploitation rates, bushmeat protein supply would drop 81% in all countries in less than 50 years; only three countries would be able to maintain a protein supply above the recommended daily require- ment of 52g person?1 day?1. However, if bushmeat harvests were reduced to a sustainable level, all coun- tries except Gabon would be dramatically affected by the loss of wild protein supply. The dependence on bushmeat protein is emphasized by the fact that four out of the five countries studied do not produce suffi- cient amounts of non-bushmeat protein to feed their populations. These findings imply that a significant number of forest mammals could become extinct rela- tively soon, and that protein malnutrition is likely to increase dramatically if food security in the region is not promptly resolved. Keywords:","author":[{"dropping-particle":"","family":"Fa","given":"John E.","non-dropping-particle":"","parse-names":false,"suffix":""},{"dropping-particle":"","family":"Currie","given":"Dominic","non-dropping-particle":"","parse-names":false,"suffix":""},{"dropping-particle":"","family":"Meeuwig","given":"Jessica","non-dropping-particle":"","parse-names":false,"suffix":""}],"container-title":"Environmental Conservation","id":"ITEM-1","issue":"1","issued":{"date-parts":[["2003"]]},"page":"71-78","title":"Bushmeat and food security in the Congo Basin: linkages between wildlife and people's future","type":"article-journal","volume":"30"},"uris":["http://www.mendeley.com/documents/?uuid=d2070e00-b28b-45a8-8927-286524eb9b10"]},{"id":"ITEM-2","itemData":{"abstract":"In this report, the term 'bushmeat' is used to denote meat from wild animals that have been hunted illegally, which aside from being used for personal consumption, is often sold commercially. The bushmeat trade has long been recognized as a severe threat to wildlife populations in the forests of West and Central Africa and is considered a conservation crisis in that biome. Far less attention has been focused on the issue in African savannas, perhaps due to a misconception that illegal hunting for bushmeat in the biome is primarily for subsistence and is largely sustainable. However, there is a growing body of research conducted in the Serengeti ecosystem in Tanzania, and from sporadic studies elsewhere that contradict that perception. This report summarizes a workshop on illegal hunting and the bushmeat trade in the savanna biome organised and sponsored by Panthera, the Zoological Society of London and Wildlife Conservation Society. Growing concern over the impacts of illegal hunting and the bushmeat trade, particularly on large carnivores populations in Southern and East Africa, motivated the workshop. Large carnivores are particularly sensitive to the impacts of illegal hunting and the bushmeat trade and can act as a barometer of the severity of the problem, and also act as a basis from which to catalyze conservation action. Key experts gathered at the workshop to identify the drivers of illegal hunting and the bushmeat trade and the interventions necessary to address the issue. Hunting of wildlife is regulated in most African countries through wildlife legislation and permitting systems which specify restrictions on the times and places that hunting is permitted, the species that may be hunted and the hunting methods that may be used. The large majority of hunting for bushmeat contravenes one or more such restrictions. Snaring is the most common illegal hunting method and is particularly undesirable from a conservation perspective as it is highly effective, difficult to control, unselective in terms of the genders or species of animals captured, wasteful, and has severe animal welfare implications due to the manner of capture and confinement, and frequent incidents of severe, non-lethal wounding of wildlife. Other common bushmeat hunting methods include the use of rifles, muzzle-loaders, shotguns, dogs, fire, and in some cases, gin traps, pitfall traps and poison.","author":[{"dropping-particle":"","family":"Lindsey","given":"P","non-dropping-particle":"","parse-names":false,"suffix":""},{"dropping-particle":"","family":"Balme","given":"G","non-dropping-particle":"","parse-names":false,"suffix":""},{"dropping-particle":"","family":"Becker","given":"M","non-dropping-particle":"","parse-names":false,"suffix":""},{"dropping-particle":"","family":"Begg","given":"C","non-dropping-particle":"","parse-names":false,"suffix":""},{"dropping-particle":"","family":"Bento","given":"C","non-dropping-particle":"","parse-names":false,"suffix":""},{"dropping-particle":"","family":"Bocchino","given":"C","non-dropping-particle":"","parse-names":false,"suffix":""},{"dropping-particle":"","family":"Dickman","given":"A","non-dropping-particle":"","parse-names":false,"suffix":""},{"dropping-particle":"","family":"Diggle","given":"R","non-dropping-particle":"","parse-names":false,"suffix":""},{"dropping-particle":"","family":"Eves","given":"H","non-dropping-particle":"","parse-names":false,"suffix":""},{"dropping-particle":"","family":"Henschel","given":"P","non-dropping-particle":"","parse-names":false,"suffix":""},{"dropping-particle":"","family":"Lewis","given":"D","non-dropping-particle":"","parse-names":false,"suffix":""},{"dropping-particle":"","family":"Marnewick","given":"K","non-dropping-particle":"","parse-names":false,"suffix":""},{"dropping-particle":"","family":"Matheus","given":"J","non-dropping-particle":"","parse-names":false,"suffix":""},{"dropping-particle":"","family":"McNutt","given":"J.W.","non-dropping-particle":"","parse-names":false,"suffix":""},{"dropping-particle":"","family":"McRobb","given":"R","non-dropping-particle":"","parse-names":false,"suffix":""},{"dropping-particle":"","family":"Midlane","given":"N","non-dropping-particle":"","parse-names":false,"suffix":""},{"dropping-particle":"","family":"Milanzi","given":"J","non-dropping-particle":"","parse-names":false,"suffix":""},{"dropping-particle":"","family":"Morley","given":"R","non-dropping-particle":"","parse-names":false,"suffix":""},{"dropping-particle":"","family":"Murphree","given":"M","non-dropping-particle":"","parse-names":false,"suffix":""},{"dropping-particle":"","family":"Nyoni","given":"P","non-dropping-particle":"","parse-names":false,"suffix":""},{"dropping-particle":"","family":"Opyene","given":"V","non-dropping-particle":"","parse-names":false,"suffix":""},{"dropping-particle":"","family":"Phadima","given":"J","non-dropping-particle":"","parse-names":false,"suffix":""},{"dropping-particle":"","family":"Purchase","given":"N","non-dropping-particle":"","parse-names":false,"suffix":""},{"dropping-particle":"","family":"Rentsch","given":"D","non-dropping-particle":"","parse-names":false,"suffix":""},{"dropping-particle":"","family":"Roche","given":"C","non-dropping-particle":"","parse-names":false,"suffix":""},{"dropping-particle":"","family":"SHaw","given":"J","non-dropping-particle":"","parse-names":false,"suffix":""},{"dropping-particle":"","family":"Westhuizen","given":"H","non-dropping-particle":"van der","parse-names":false,"suffix":""},{"dropping-particle":"","family":"Vliet","given":"N","non-dropping-particle":"Van","parse-names":false,"suffix":""},{"dropping-particle":"","family":"Zisadza","given":"P","non-dropping-particle":"","parse-names":false,"suffix":""}],"id":"ITEM-2","issued":{"date-parts":[["2012"]]},"number-of-pages":"74","publisher-place":"Panthera/Zoological Society of London/Wildlife Conservation Society report, New York, USA","title":"Illegal hunting and the bushmeat trade in savanna Africa: drivers, impacts and solutions to address the Problem","type":"report"},"uris":["http://www.mendeley.com/documents/?uuid=4a928509-ba61-4f94-9540-31e0f46d02f0"]}],"mendeley":{"formattedCitation":"(Fa et al. 2003; Lindsey et al. 2012)","manualFormatting":"(Fa et al., 2003; Lindsey et al., 2015)","plainTextFormattedCitation":"(Fa et al. 2003; Lindsey et al. 2012)","previouslyFormattedCitation":"(Fa et al. 2003; Lindsey et al. 2012)"},"properties":{"noteIndex":0},"schema":"https://github.com/citation-style-language/schema/raw/master/csl-citation.json"}</w:instrText>
      </w:r>
      <w:r w:rsidR="007570FE" w:rsidRPr="008128FF">
        <w:rPr>
          <w:color w:val="000000" w:themeColor="text1"/>
        </w:rPr>
        <w:fldChar w:fldCharType="separate"/>
      </w:r>
      <w:r w:rsidR="007570FE" w:rsidRPr="008128FF">
        <w:rPr>
          <w:noProof/>
          <w:color w:val="000000" w:themeColor="text1"/>
        </w:rPr>
        <w:t>(Fa et al.</w:t>
      </w:r>
      <w:r w:rsidR="005A725A">
        <w:rPr>
          <w:noProof/>
          <w:color w:val="000000" w:themeColor="text1"/>
        </w:rPr>
        <w:t>,</w:t>
      </w:r>
      <w:r w:rsidR="007570FE" w:rsidRPr="008128FF">
        <w:rPr>
          <w:noProof/>
          <w:color w:val="000000" w:themeColor="text1"/>
        </w:rPr>
        <w:t xml:space="preserve"> 2003; Lindsey et al.</w:t>
      </w:r>
      <w:r w:rsidR="005A725A">
        <w:rPr>
          <w:noProof/>
          <w:color w:val="000000" w:themeColor="text1"/>
        </w:rPr>
        <w:t>,</w:t>
      </w:r>
      <w:r w:rsidR="007570FE" w:rsidRPr="008128FF">
        <w:rPr>
          <w:noProof/>
          <w:color w:val="000000" w:themeColor="text1"/>
        </w:rPr>
        <w:t xml:space="preserve"> 2015)</w:t>
      </w:r>
      <w:r w:rsidR="007570FE" w:rsidRPr="008128FF">
        <w:rPr>
          <w:color w:val="000000" w:themeColor="text1"/>
        </w:rPr>
        <w:fldChar w:fldCharType="end"/>
      </w:r>
      <w:r w:rsidR="007570FE" w:rsidRPr="008128FF">
        <w:rPr>
          <w:color w:val="000000" w:themeColor="text1"/>
        </w:rPr>
        <w:t>.</w:t>
      </w:r>
    </w:p>
    <w:p w14:paraId="1DFFF9E5" w14:textId="113DC5B1" w:rsidR="00C73A20" w:rsidRPr="008128FF" w:rsidRDefault="00C73A20" w:rsidP="00C258BC">
      <w:pPr>
        <w:jc w:val="both"/>
        <w:rPr>
          <w:color w:val="000000" w:themeColor="text1"/>
        </w:rPr>
      </w:pPr>
      <w:r w:rsidRPr="0070404D">
        <w:rPr>
          <w:color w:val="000000" w:themeColor="text1"/>
        </w:rPr>
        <w:t xml:space="preserve">Until recently, attitudes towards the use of </w:t>
      </w:r>
      <w:r w:rsidR="00ED4AFB" w:rsidRPr="0070404D">
        <w:rPr>
          <w:color w:val="000000" w:themeColor="text1"/>
        </w:rPr>
        <w:t xml:space="preserve">wild </w:t>
      </w:r>
      <w:r w:rsidRPr="0070404D">
        <w:rPr>
          <w:color w:val="000000" w:themeColor="text1"/>
        </w:rPr>
        <w:t>animals for food have often been either ‘people</w:t>
      </w:r>
      <w:r w:rsidR="009915E0" w:rsidRPr="0070404D">
        <w:rPr>
          <w:color w:val="000000" w:themeColor="text1"/>
        </w:rPr>
        <w:t>-orientated</w:t>
      </w:r>
      <w:r w:rsidRPr="0070404D">
        <w:rPr>
          <w:color w:val="000000" w:themeColor="text1"/>
        </w:rPr>
        <w:t>’ or ‘wildlife</w:t>
      </w:r>
      <w:r w:rsidR="009915E0" w:rsidRPr="0070404D">
        <w:rPr>
          <w:color w:val="000000" w:themeColor="text1"/>
        </w:rPr>
        <w:t>-orientated</w:t>
      </w:r>
      <w:r w:rsidRPr="0070404D">
        <w:rPr>
          <w:color w:val="000000" w:themeColor="text1"/>
        </w:rPr>
        <w:t>’. In the former, declining stocks of prey species are perceived as a loss of a human resource which could threaten livelihoods, food security and cultural values</w:t>
      </w:r>
      <w:r w:rsidR="009915E0" w:rsidRPr="0070404D">
        <w:rPr>
          <w:color w:val="000000" w:themeColor="text1"/>
        </w:rPr>
        <w:t xml:space="preserve">; </w:t>
      </w:r>
      <w:r w:rsidRPr="0070404D">
        <w:rPr>
          <w:color w:val="000000" w:themeColor="text1"/>
        </w:rPr>
        <w:t xml:space="preserve">whereas in the latter, the same </w:t>
      </w:r>
      <w:r w:rsidRPr="008128FF">
        <w:rPr>
          <w:color w:val="000000" w:themeColor="text1"/>
        </w:rPr>
        <w:t>situation is seen in terms of a loss of biodiversity, with over-</w:t>
      </w:r>
      <w:r w:rsidR="007A3FE2" w:rsidRPr="008128FF">
        <w:rPr>
          <w:color w:val="000000" w:themeColor="text1"/>
        </w:rPr>
        <w:t>exploitation</w:t>
      </w:r>
      <w:r w:rsidRPr="008128FF">
        <w:rPr>
          <w:color w:val="000000" w:themeColor="text1"/>
        </w:rPr>
        <w:t xml:space="preserve"> reducing wildlife populations and causing the ex</w:t>
      </w:r>
      <w:r w:rsidR="00ED4AFB" w:rsidRPr="008128FF">
        <w:rPr>
          <w:color w:val="000000" w:themeColor="text1"/>
        </w:rPr>
        <w:t xml:space="preserve">tinction of endangered species, and </w:t>
      </w:r>
      <w:r w:rsidRPr="008128FF">
        <w:rPr>
          <w:color w:val="000000" w:themeColor="text1"/>
        </w:rPr>
        <w:t xml:space="preserve">a breakdown in ecological processes </w:t>
      </w:r>
      <w:r w:rsidR="00992909" w:rsidRPr="008128FF">
        <w:rPr>
          <w:color w:val="000000" w:themeColor="text1"/>
        </w:rPr>
        <w:fldChar w:fldCharType="begin" w:fldLock="1"/>
      </w:r>
      <w:r w:rsidR="00763BF5">
        <w:rPr>
          <w:color w:val="000000" w:themeColor="text1"/>
        </w:rPr>
        <w:instrText>ADDIN CSL_CITATION {"citationItems":[{"id":"ITEM-1","itemData":{"DOI":"10.1126/science.1251817","ISBN":"1095-9203 (Electronic)\\r0036-8075 (Linking)","ISSN":"0036-8075","PMID":"25061202","abstract":"We live amid a global wave of anthropogenically driven biodiversity loss: species and population extirpations and, critically, declines in local species abundance. Particularly, human impacts on animal biodiversity are an under-recognized form of global environmental change. Among terrestrial vertebrates, 322 species have become extinct since 1500, and populations of the remaining species show 25% average decline in abundance. Invertebrate patterns are equally dire: 67% of monitored populations show 45% mean abundance decline. Such animal declines will cascade onto ecosystem functioning and human well-being. Much remains unknown about this \"Anthropocene defaunation\"; these knowledge gaps hinder our capacity to predict and limit defaunation impacts. Clearly, however, defaunation is both a pervasive component of the planet's sixth mass extinction and also a major driver of global ecological change.","author":[{"dropping-particle":"","family":"Dirzo","given":"R.","non-dropping-particle":"","parse-names":false,"suffix":""},{"dropping-particle":"","family":"Young","given":"H. S.","non-dropping-particle":"","parse-names":false,"suffix":""},{"dropping-particle":"","family":"Galetti","given":"M.","non-dropping-particle":"","parse-names":false,"suffix":""},{"dropping-particle":"","family":"Ceballos","given":"G.","non-dropping-particle":"","parse-names":false,"suffix":""},{"dropping-particle":"","family":"Isaac","given":"N. J. B.","non-dropping-particle":"","parse-names":false,"suffix":""},{"dropping-particle":"","family":"Collen","given":"B.","non-dropping-particle":"","parse-names":false,"suffix":""}],"container-title":"Science","id":"ITEM-1","issue":"6195","issued":{"date-parts":[["2014"]]},"page":"401-406","title":"Defaunation in the Anthropocene","type":"article-journal","volume":"345"},"uris":["http://www.mendeley.com/documents/?uuid=8447a120-e3c9-478c-9972-4f8bd082a1fe"]}],"mendeley":{"formattedCitation":"(Dirzo et al. 2014)","manualFormatting":"(Dirzo et al., 2014)","plainTextFormattedCitation":"(Dirzo et al. 2014)","previouslyFormattedCitation":"(Dirzo et al. 2014)"},"properties":{"noteIndex":0},"schema":"https://github.com/citation-style-language/schema/raw/master/csl-citation.json"}</w:instrText>
      </w:r>
      <w:r w:rsidR="00992909" w:rsidRPr="008128FF">
        <w:rPr>
          <w:color w:val="000000" w:themeColor="text1"/>
        </w:rPr>
        <w:fldChar w:fldCharType="separate"/>
      </w:r>
      <w:r w:rsidR="00992909" w:rsidRPr="008128FF">
        <w:rPr>
          <w:noProof/>
          <w:color w:val="000000" w:themeColor="text1"/>
        </w:rPr>
        <w:t>(Dirzo et al.</w:t>
      </w:r>
      <w:r w:rsidR="005A725A">
        <w:rPr>
          <w:noProof/>
          <w:color w:val="000000" w:themeColor="text1"/>
        </w:rPr>
        <w:t>,</w:t>
      </w:r>
      <w:r w:rsidR="00992909" w:rsidRPr="008128FF">
        <w:rPr>
          <w:noProof/>
          <w:color w:val="000000" w:themeColor="text1"/>
        </w:rPr>
        <w:t xml:space="preserve"> 2014)</w:t>
      </w:r>
      <w:r w:rsidR="00992909" w:rsidRPr="008128FF">
        <w:rPr>
          <w:color w:val="000000" w:themeColor="text1"/>
        </w:rPr>
        <w:fldChar w:fldCharType="end"/>
      </w:r>
      <w:r w:rsidR="00992909" w:rsidRPr="008128FF">
        <w:rPr>
          <w:color w:val="000000" w:themeColor="text1"/>
        </w:rPr>
        <w:t>.</w:t>
      </w:r>
      <w:r w:rsidRPr="008128FF">
        <w:rPr>
          <w:color w:val="000000" w:themeColor="text1"/>
        </w:rPr>
        <w:t xml:space="preserve"> Despite </w:t>
      </w:r>
      <w:r w:rsidR="007A3FE2" w:rsidRPr="008128FF">
        <w:rPr>
          <w:color w:val="000000" w:themeColor="text1"/>
        </w:rPr>
        <w:t>contrasting</w:t>
      </w:r>
      <w:r w:rsidRPr="008128FF">
        <w:rPr>
          <w:color w:val="000000" w:themeColor="text1"/>
        </w:rPr>
        <w:t xml:space="preserve"> </w:t>
      </w:r>
      <w:r w:rsidR="00B56C9F" w:rsidRPr="008128FF">
        <w:rPr>
          <w:color w:val="000000" w:themeColor="text1"/>
        </w:rPr>
        <w:t>views</w:t>
      </w:r>
      <w:r w:rsidRPr="008128FF">
        <w:rPr>
          <w:color w:val="000000" w:themeColor="text1"/>
        </w:rPr>
        <w:t xml:space="preserve"> on the merits of each approach</w:t>
      </w:r>
      <w:r w:rsidR="005C2A53" w:rsidRPr="008128FF">
        <w:rPr>
          <w:color w:val="000000" w:themeColor="text1"/>
        </w:rPr>
        <w:t xml:space="preserve">, </w:t>
      </w:r>
      <w:r w:rsidRPr="008128FF">
        <w:rPr>
          <w:color w:val="000000" w:themeColor="text1"/>
        </w:rPr>
        <w:t xml:space="preserve">efforts to </w:t>
      </w:r>
      <w:r w:rsidR="009915E0" w:rsidRPr="008128FF">
        <w:rPr>
          <w:color w:val="000000" w:themeColor="text1"/>
        </w:rPr>
        <w:t xml:space="preserve">support </w:t>
      </w:r>
      <w:r w:rsidRPr="008128FF">
        <w:rPr>
          <w:color w:val="000000" w:themeColor="text1"/>
        </w:rPr>
        <w:t xml:space="preserve">both people and wildlife can be successfully </w:t>
      </w:r>
      <w:r w:rsidR="003F4100" w:rsidRPr="008128FF">
        <w:rPr>
          <w:color w:val="000000" w:themeColor="text1"/>
        </w:rPr>
        <w:t xml:space="preserve">merged. It is possible to ensure the </w:t>
      </w:r>
      <w:r w:rsidRPr="008128FF">
        <w:rPr>
          <w:color w:val="000000" w:themeColor="text1"/>
        </w:rPr>
        <w:t>sustainable harvest of the more hunting-resilient species</w:t>
      </w:r>
      <w:r w:rsidR="003F4100" w:rsidRPr="008128FF">
        <w:rPr>
          <w:color w:val="000000" w:themeColor="text1"/>
        </w:rPr>
        <w:t xml:space="preserve">, </w:t>
      </w:r>
      <w:r w:rsidR="003910A7" w:rsidRPr="008128FF">
        <w:rPr>
          <w:color w:val="000000" w:themeColor="text1"/>
        </w:rPr>
        <w:t xml:space="preserve">where necessary </w:t>
      </w:r>
      <w:r w:rsidR="003F4100" w:rsidRPr="008128FF">
        <w:rPr>
          <w:color w:val="000000" w:themeColor="text1"/>
        </w:rPr>
        <w:t>supplement</w:t>
      </w:r>
      <w:r w:rsidR="00C63397">
        <w:rPr>
          <w:color w:val="000000" w:themeColor="text1"/>
        </w:rPr>
        <w:t>ing</w:t>
      </w:r>
      <w:r w:rsidR="003F4100" w:rsidRPr="008128FF">
        <w:rPr>
          <w:color w:val="000000" w:themeColor="text1"/>
        </w:rPr>
        <w:t xml:space="preserve"> this with</w:t>
      </w:r>
      <w:r w:rsidR="003910A7" w:rsidRPr="008128FF">
        <w:rPr>
          <w:color w:val="000000" w:themeColor="text1"/>
        </w:rPr>
        <w:t xml:space="preserve"> other forms of </w:t>
      </w:r>
      <w:r w:rsidR="003F4100" w:rsidRPr="008128FF">
        <w:rPr>
          <w:color w:val="000000" w:themeColor="text1"/>
        </w:rPr>
        <w:t>domestic meats</w:t>
      </w:r>
      <w:r w:rsidR="003910A7" w:rsidRPr="008128FF">
        <w:rPr>
          <w:color w:val="000000" w:themeColor="text1"/>
        </w:rPr>
        <w:t xml:space="preserve">, </w:t>
      </w:r>
      <w:r w:rsidR="003F4100" w:rsidRPr="008128FF">
        <w:rPr>
          <w:color w:val="000000" w:themeColor="text1"/>
        </w:rPr>
        <w:t>alongside the protection of</w:t>
      </w:r>
      <w:r w:rsidRPr="008128FF">
        <w:rPr>
          <w:color w:val="000000" w:themeColor="text1"/>
        </w:rPr>
        <w:t xml:space="preserve"> threatened animals</w:t>
      </w:r>
      <w:r w:rsidR="005C2A53" w:rsidRPr="008128FF">
        <w:rPr>
          <w:color w:val="000000" w:themeColor="text1"/>
        </w:rPr>
        <w:t xml:space="preserve"> </w:t>
      </w:r>
      <w:r w:rsidR="00D72B40">
        <w:rPr>
          <w:color w:val="000000" w:themeColor="text1"/>
        </w:rPr>
        <w:fldChar w:fldCharType="begin" w:fldLock="1"/>
      </w:r>
      <w:r w:rsidR="00B2630D">
        <w:rPr>
          <w:color w:val="000000" w:themeColor="text1"/>
        </w:rPr>
        <w:instrText>ADDIN CSL_CITATION {"citationItems":[{"id":"ITEM-1","itemData":{"author":[{"dropping-particle":"","family":"Robinson","given":"J G","non-dropping-particle":"","parse-names":false,"suffix":""}],"chapter-number":"14","container-title":"State of the wild: a global portrait of wildlife, wildlands, and oceans","editor":[{"dropping-particle":"","family":"Guynup","given":"S","non-dropping-particle":"","parse-names":false,"suffix":""}],"id":"ITEM-1","issued":{"date-parts":[["2006"]]},"page":"153-156","publisher":"Island Press, Washington DC, USA","title":"Biting the hand that feeds you: the consumption of nature and natural resources in the tropics","type":"chapter"},"uris":["http://www.mendeley.com/documents/?uuid=dcc71dbb-1b66-4e31-80f3-777cf7031dc5"]},{"id":"ITEM-2","itemData":{"author":[{"dropping-particle":"","family":"Brown","given":"D","non-dropping-particle":"","parse-names":false,"suffix":""}],"chapter-number":"13","container-title":"State of the wild: A Global Portrait of Wildlife, Wildlands, and Oceans","editor":[{"dropping-particle":"","family":"Guynup","given":"S","non-dropping-particle":"","parse-names":false,"suffix":""}],"id":"ITEM-2","issued":{"date-parts":[["2006"]]},"page":"149-152","publisher":"Island Press, Washington DC, USA","title":"Let them eat cake? Some skepticle thoughts on conservation strategies in the bushmeat range states.","type":"chapter"},"uris":["http://www.mendeley.com/documents/?uuid=52e730f2-9269-40e1-afcd-37bea57a8834"]}],"mendeley":{"formattedCitation":"(Brown 2006; Robinson 2006)","plainTextFormattedCitation":"(Brown 2006; Robinson 2006)","previouslyFormattedCitation":"(Brown 2006; Robinson 2006)"},"properties":{"noteIndex":0},"schema":"https://github.com/citation-style-language/schema/raw/master/csl-citation.json"}</w:instrText>
      </w:r>
      <w:r w:rsidR="00D72B40">
        <w:rPr>
          <w:color w:val="000000" w:themeColor="text1"/>
        </w:rPr>
        <w:fldChar w:fldCharType="separate"/>
      </w:r>
      <w:r w:rsidR="00D72B40" w:rsidRPr="00D72B40">
        <w:rPr>
          <w:noProof/>
          <w:color w:val="000000" w:themeColor="text1"/>
        </w:rPr>
        <w:t>(Brown 2006; Robinson 2006)</w:t>
      </w:r>
      <w:r w:rsidR="00D72B40">
        <w:rPr>
          <w:color w:val="000000" w:themeColor="text1"/>
        </w:rPr>
        <w:fldChar w:fldCharType="end"/>
      </w:r>
      <w:r w:rsidRPr="008128FF">
        <w:rPr>
          <w:color w:val="000000" w:themeColor="text1"/>
        </w:rPr>
        <w:t xml:space="preserve">.   </w:t>
      </w:r>
    </w:p>
    <w:p w14:paraId="00227FAA" w14:textId="6FA754AF" w:rsidR="00C73A20" w:rsidRPr="0070404D" w:rsidRDefault="00C73A20" w:rsidP="00DF57F3">
      <w:pPr>
        <w:pStyle w:val="Heading2"/>
      </w:pPr>
      <w:bookmarkStart w:id="20" w:name="_Toc517693733"/>
      <w:bookmarkStart w:id="21" w:name="_Toc519156073"/>
      <w:bookmarkStart w:id="22" w:name="_Toc529390331"/>
      <w:r w:rsidRPr="0070404D">
        <w:t xml:space="preserve">The </w:t>
      </w:r>
      <w:r w:rsidR="00ED4AFB" w:rsidRPr="0070404D">
        <w:t xml:space="preserve">need to develop </w:t>
      </w:r>
      <w:r w:rsidR="00906DD4">
        <w:t>sustainable</w:t>
      </w:r>
      <w:r w:rsidR="00906DD4" w:rsidRPr="0070404D">
        <w:t xml:space="preserve"> </w:t>
      </w:r>
      <w:r w:rsidRPr="0070404D">
        <w:t>wildlife management practices</w:t>
      </w:r>
      <w:bookmarkEnd w:id="20"/>
      <w:bookmarkEnd w:id="21"/>
      <w:bookmarkEnd w:id="22"/>
    </w:p>
    <w:p w14:paraId="7A865723" w14:textId="52B3DBD5" w:rsidR="00FC6940" w:rsidRPr="00DA4708" w:rsidRDefault="00C73A20" w:rsidP="00C258BC">
      <w:pPr>
        <w:jc w:val="both"/>
        <w:rPr>
          <w:color w:val="000000" w:themeColor="text1"/>
        </w:rPr>
      </w:pPr>
      <w:r w:rsidRPr="0070404D">
        <w:rPr>
          <w:color w:val="000000" w:themeColor="text1"/>
        </w:rPr>
        <w:t xml:space="preserve">Until the start of this century, most research efforts aimed at tackling wild meat overexploitation were rooted in the biological disciplines, focused on quantifying the magnitude of the harvest and measuring its impacts on wildlife species and ecosystems. This </w:t>
      </w:r>
      <w:r w:rsidRPr="0070404D">
        <w:rPr>
          <w:color w:val="000000" w:themeColor="text1"/>
        </w:rPr>
        <w:lastRenderedPageBreak/>
        <w:t xml:space="preserve">most often led to the development of policies </w:t>
      </w:r>
      <w:r w:rsidR="00ED4AFB" w:rsidRPr="0070404D">
        <w:rPr>
          <w:color w:val="000000" w:themeColor="text1"/>
        </w:rPr>
        <w:t>and</w:t>
      </w:r>
      <w:r w:rsidRPr="0070404D">
        <w:rPr>
          <w:color w:val="000000" w:themeColor="text1"/>
        </w:rPr>
        <w:t xml:space="preserve"> laws </w:t>
      </w:r>
      <w:r w:rsidRPr="00DA4708">
        <w:rPr>
          <w:color w:val="000000" w:themeColor="text1"/>
        </w:rPr>
        <w:t xml:space="preserve">prohibiting </w:t>
      </w:r>
      <w:r w:rsidR="00CB4590" w:rsidRPr="00DA4708">
        <w:rPr>
          <w:color w:val="000000" w:themeColor="text1"/>
        </w:rPr>
        <w:t xml:space="preserve">wild meat hunting or sales, reducing access through the creation of protected areas, </w:t>
      </w:r>
      <w:r w:rsidR="003910A7" w:rsidRPr="00DA4708">
        <w:rPr>
          <w:color w:val="000000" w:themeColor="text1"/>
        </w:rPr>
        <w:t xml:space="preserve">and </w:t>
      </w:r>
      <w:r w:rsidR="00CB4590" w:rsidRPr="00DA4708">
        <w:rPr>
          <w:color w:val="000000" w:themeColor="text1"/>
        </w:rPr>
        <w:t>increasing enforcement measures</w:t>
      </w:r>
      <w:r w:rsidRPr="00DA4708">
        <w:rPr>
          <w:color w:val="000000" w:themeColor="text1"/>
        </w:rPr>
        <w:t xml:space="preserve">. Moving towards </w:t>
      </w:r>
      <w:r w:rsidR="00875DB1" w:rsidRPr="00DA4708">
        <w:rPr>
          <w:color w:val="000000" w:themeColor="text1"/>
        </w:rPr>
        <w:t xml:space="preserve">sustainable </w:t>
      </w:r>
      <w:r w:rsidR="009915E0" w:rsidRPr="00DA4708">
        <w:rPr>
          <w:color w:val="000000" w:themeColor="text1"/>
        </w:rPr>
        <w:t>solutions that meet both wildlife conservation and human d</w:t>
      </w:r>
      <w:r w:rsidR="00875DB1" w:rsidRPr="00DA4708">
        <w:rPr>
          <w:color w:val="000000" w:themeColor="text1"/>
        </w:rPr>
        <w:t>evelopment goals</w:t>
      </w:r>
      <w:r w:rsidRPr="00DA4708">
        <w:rPr>
          <w:color w:val="000000" w:themeColor="text1"/>
        </w:rPr>
        <w:t xml:space="preserve"> requires a new and more inclusive endeavour</w:t>
      </w:r>
      <w:r w:rsidR="00E10050" w:rsidRPr="00DA4708">
        <w:rPr>
          <w:color w:val="000000" w:themeColor="text1"/>
        </w:rPr>
        <w:t>.</w:t>
      </w:r>
      <w:r w:rsidRPr="00DA4708">
        <w:rPr>
          <w:color w:val="000000" w:themeColor="text1"/>
        </w:rPr>
        <w:t xml:space="preserve"> </w:t>
      </w:r>
      <w:r w:rsidR="00E10050" w:rsidRPr="00DA4708">
        <w:rPr>
          <w:color w:val="000000" w:themeColor="text1"/>
        </w:rPr>
        <w:t xml:space="preserve">Professionals of different sectors </w:t>
      </w:r>
      <w:r w:rsidR="00A479D2" w:rsidRPr="00DA4708">
        <w:rPr>
          <w:color w:val="000000" w:themeColor="text1"/>
        </w:rPr>
        <w:t>in</w:t>
      </w:r>
      <w:r w:rsidR="00A479D2">
        <w:rPr>
          <w:color w:val="000000" w:themeColor="text1"/>
        </w:rPr>
        <w:t>cluding</w:t>
      </w:r>
      <w:r w:rsidR="00E10050" w:rsidRPr="00DA4708">
        <w:rPr>
          <w:color w:val="000000" w:themeColor="text1"/>
        </w:rPr>
        <w:t xml:space="preserve"> </w:t>
      </w:r>
      <w:r w:rsidR="008F48FF">
        <w:rPr>
          <w:color w:val="000000" w:themeColor="text1"/>
        </w:rPr>
        <w:t>governments</w:t>
      </w:r>
      <w:r w:rsidR="00732B68" w:rsidRPr="00DA4708">
        <w:rPr>
          <w:color w:val="000000" w:themeColor="text1"/>
        </w:rPr>
        <w:t xml:space="preserve">, </w:t>
      </w:r>
      <w:r w:rsidR="008F48FF">
        <w:rPr>
          <w:color w:val="000000" w:themeColor="text1"/>
        </w:rPr>
        <w:t>scientists</w:t>
      </w:r>
      <w:r w:rsidR="00E10050" w:rsidRPr="00DA4708">
        <w:rPr>
          <w:color w:val="000000" w:themeColor="text1"/>
        </w:rPr>
        <w:t>,</w:t>
      </w:r>
      <w:r w:rsidR="00CB4590" w:rsidRPr="00DA4708">
        <w:rPr>
          <w:color w:val="000000" w:themeColor="text1"/>
        </w:rPr>
        <w:t xml:space="preserve"> local and indigenous peoples, </w:t>
      </w:r>
      <w:r w:rsidR="00CB4590" w:rsidRPr="005A725A">
        <w:rPr>
          <w:color w:val="000000" w:themeColor="text1"/>
        </w:rPr>
        <w:t>NGOs</w:t>
      </w:r>
      <w:r w:rsidR="00CB4590" w:rsidRPr="00DA4708">
        <w:rPr>
          <w:color w:val="000000" w:themeColor="text1"/>
        </w:rPr>
        <w:t xml:space="preserve"> and civil society</w:t>
      </w:r>
      <w:r w:rsidRPr="00DA4708">
        <w:rPr>
          <w:color w:val="000000" w:themeColor="text1"/>
        </w:rPr>
        <w:t xml:space="preserve"> </w:t>
      </w:r>
      <w:r w:rsidR="00E10050" w:rsidRPr="00DA4708">
        <w:rPr>
          <w:color w:val="000000" w:themeColor="text1"/>
        </w:rPr>
        <w:t>must</w:t>
      </w:r>
      <w:r w:rsidRPr="00DA4708">
        <w:rPr>
          <w:color w:val="000000" w:themeColor="text1"/>
        </w:rPr>
        <w:t xml:space="preserve"> work together. </w:t>
      </w:r>
    </w:p>
    <w:p w14:paraId="69577C3F" w14:textId="2BA1F95E" w:rsidR="00FC6940" w:rsidRPr="0070404D" w:rsidRDefault="003910A7" w:rsidP="00C258BC">
      <w:pPr>
        <w:jc w:val="both"/>
        <w:rPr>
          <w:color w:val="000000" w:themeColor="text1"/>
        </w:rPr>
      </w:pPr>
      <w:r w:rsidRPr="0070404D">
        <w:rPr>
          <w:color w:val="000000" w:themeColor="text1"/>
        </w:rPr>
        <w:t>Social r</w:t>
      </w:r>
      <w:r w:rsidR="00C73A20" w:rsidRPr="0070404D">
        <w:rPr>
          <w:color w:val="000000" w:themeColor="text1"/>
        </w:rPr>
        <w:t>esearch associated with human development policies</w:t>
      </w:r>
      <w:r w:rsidR="00B72CEC">
        <w:rPr>
          <w:color w:val="000000" w:themeColor="text1"/>
        </w:rPr>
        <w:t xml:space="preserve">, particularly the </w:t>
      </w:r>
      <w:r w:rsidR="00A479D2">
        <w:rPr>
          <w:color w:val="000000" w:themeColor="text1"/>
        </w:rPr>
        <w:t>elucidation</w:t>
      </w:r>
      <w:r w:rsidR="00B72CEC">
        <w:rPr>
          <w:color w:val="000000" w:themeColor="text1"/>
        </w:rPr>
        <w:t xml:space="preserve"> and implementation of the </w:t>
      </w:r>
      <w:r w:rsidR="00B72CEC" w:rsidRPr="00026DF0">
        <w:rPr>
          <w:color w:val="000000" w:themeColor="text1"/>
        </w:rPr>
        <w:t>UN</w:t>
      </w:r>
      <w:r w:rsidR="00B72CEC">
        <w:rPr>
          <w:color w:val="000000" w:themeColor="text1"/>
        </w:rPr>
        <w:t xml:space="preserve"> Sustainable Development Goals</w:t>
      </w:r>
      <w:r w:rsidR="00DA4708">
        <w:rPr>
          <w:color w:val="000000" w:themeColor="text1"/>
        </w:rPr>
        <w:t xml:space="preserve"> (</w:t>
      </w:r>
      <w:r w:rsidR="00DA4708" w:rsidRPr="00026DF0">
        <w:rPr>
          <w:color w:val="000000" w:themeColor="text1"/>
        </w:rPr>
        <w:t>SDGs</w:t>
      </w:r>
      <w:r w:rsidR="00DA4708">
        <w:rPr>
          <w:color w:val="000000" w:themeColor="text1"/>
        </w:rPr>
        <w:t>)</w:t>
      </w:r>
      <w:r w:rsidR="00B72CEC">
        <w:rPr>
          <w:color w:val="000000" w:themeColor="text1"/>
        </w:rPr>
        <w:t>,</w:t>
      </w:r>
      <w:r w:rsidR="00C73A20" w:rsidRPr="0070404D">
        <w:rPr>
          <w:color w:val="000000" w:themeColor="text1"/>
        </w:rPr>
        <w:t xml:space="preserve"> has highlighted the </w:t>
      </w:r>
      <w:r w:rsidR="008F48FF">
        <w:rPr>
          <w:color w:val="000000" w:themeColor="text1"/>
        </w:rPr>
        <w:t xml:space="preserve">important role that </w:t>
      </w:r>
      <w:r w:rsidR="00C73A20" w:rsidRPr="0070404D">
        <w:rPr>
          <w:color w:val="000000" w:themeColor="text1"/>
        </w:rPr>
        <w:t>wild meat</w:t>
      </w:r>
      <w:r w:rsidR="008F48FF">
        <w:rPr>
          <w:color w:val="000000" w:themeColor="text1"/>
        </w:rPr>
        <w:t xml:space="preserve"> plays</w:t>
      </w:r>
      <w:r w:rsidR="00C73A20" w:rsidRPr="0070404D">
        <w:rPr>
          <w:color w:val="000000" w:themeColor="text1"/>
        </w:rPr>
        <w:t xml:space="preserve"> in human livelihoods </w:t>
      </w:r>
      <w:r w:rsidR="00CB4590" w:rsidRPr="0070404D">
        <w:rPr>
          <w:color w:val="000000" w:themeColor="text1"/>
        </w:rPr>
        <w:t xml:space="preserve">as a source of </w:t>
      </w:r>
      <w:r w:rsidR="00C73A20" w:rsidRPr="0070404D">
        <w:rPr>
          <w:color w:val="000000" w:themeColor="text1"/>
        </w:rPr>
        <w:t xml:space="preserve">food and income. This has promoted more multifaceted policies </w:t>
      </w:r>
      <w:r w:rsidR="00F171BA" w:rsidRPr="0070404D">
        <w:rPr>
          <w:color w:val="000000" w:themeColor="text1"/>
        </w:rPr>
        <w:t>for wildlife management</w:t>
      </w:r>
      <w:r w:rsidR="00C73A20" w:rsidRPr="0070404D">
        <w:rPr>
          <w:color w:val="000000" w:themeColor="text1"/>
        </w:rPr>
        <w:t>,</w:t>
      </w:r>
      <w:r w:rsidR="00F171BA" w:rsidRPr="0070404D">
        <w:rPr>
          <w:color w:val="000000" w:themeColor="text1"/>
        </w:rPr>
        <w:t xml:space="preserve"> </w:t>
      </w:r>
      <w:r w:rsidR="005C2A53">
        <w:rPr>
          <w:color w:val="000000" w:themeColor="text1"/>
        </w:rPr>
        <w:t>encouraging</w:t>
      </w:r>
      <w:r w:rsidR="00F171BA" w:rsidRPr="0070404D">
        <w:rPr>
          <w:color w:val="000000" w:themeColor="text1"/>
        </w:rPr>
        <w:t xml:space="preserve"> regulations</w:t>
      </w:r>
      <w:r w:rsidR="00C73A20" w:rsidRPr="0070404D">
        <w:rPr>
          <w:color w:val="000000" w:themeColor="text1"/>
        </w:rPr>
        <w:t xml:space="preserve"> intended to </w:t>
      </w:r>
      <w:r w:rsidR="005C2A53">
        <w:rPr>
          <w:color w:val="000000" w:themeColor="text1"/>
        </w:rPr>
        <w:t xml:space="preserve">both </w:t>
      </w:r>
      <w:r w:rsidR="00C73A20" w:rsidRPr="0070404D">
        <w:rPr>
          <w:color w:val="000000" w:themeColor="text1"/>
        </w:rPr>
        <w:t xml:space="preserve">reduce the ecological impact of hunting </w:t>
      </w:r>
      <w:r w:rsidR="005C2A53">
        <w:rPr>
          <w:color w:val="000000" w:themeColor="text1"/>
        </w:rPr>
        <w:t xml:space="preserve">and </w:t>
      </w:r>
      <w:r w:rsidR="00F171BA" w:rsidRPr="0070404D">
        <w:rPr>
          <w:color w:val="000000" w:themeColor="text1"/>
        </w:rPr>
        <w:t>consider</w:t>
      </w:r>
      <w:r w:rsidR="005A62CB">
        <w:rPr>
          <w:color w:val="000000" w:themeColor="text1"/>
        </w:rPr>
        <w:t xml:space="preserve"> </w:t>
      </w:r>
      <w:r w:rsidR="00C73A20" w:rsidRPr="0070404D">
        <w:rPr>
          <w:color w:val="000000" w:themeColor="text1"/>
        </w:rPr>
        <w:t>the</w:t>
      </w:r>
      <w:r w:rsidR="00F171BA" w:rsidRPr="0070404D">
        <w:rPr>
          <w:color w:val="000000" w:themeColor="text1"/>
        </w:rPr>
        <w:t xml:space="preserve"> local</w:t>
      </w:r>
      <w:r w:rsidR="00C73A20" w:rsidRPr="0070404D">
        <w:rPr>
          <w:color w:val="000000" w:themeColor="text1"/>
        </w:rPr>
        <w:t xml:space="preserve"> need for sources of income and protein,</w:t>
      </w:r>
      <w:r w:rsidR="00F171BA" w:rsidRPr="0070404D">
        <w:rPr>
          <w:color w:val="000000" w:themeColor="text1"/>
        </w:rPr>
        <w:t xml:space="preserve"> a</w:t>
      </w:r>
      <w:r w:rsidR="008F48FF">
        <w:rPr>
          <w:color w:val="000000" w:themeColor="text1"/>
        </w:rPr>
        <w:t>s well as</w:t>
      </w:r>
      <w:r w:rsidR="00F171BA" w:rsidRPr="0070404D">
        <w:rPr>
          <w:color w:val="000000" w:themeColor="text1"/>
        </w:rPr>
        <w:t xml:space="preserve"> the preserv</w:t>
      </w:r>
      <w:r w:rsidR="008F48FF">
        <w:rPr>
          <w:color w:val="000000" w:themeColor="text1"/>
        </w:rPr>
        <w:t xml:space="preserve">e the </w:t>
      </w:r>
      <w:r w:rsidR="00F171BA" w:rsidRPr="0070404D">
        <w:rPr>
          <w:color w:val="000000" w:themeColor="text1"/>
        </w:rPr>
        <w:t>cultural practices associated with hunting</w:t>
      </w:r>
      <w:r w:rsidR="00C73A20" w:rsidRPr="0070404D">
        <w:rPr>
          <w:color w:val="000000" w:themeColor="text1"/>
        </w:rPr>
        <w:t xml:space="preserve">. </w:t>
      </w:r>
      <w:r w:rsidR="00F171BA" w:rsidRPr="0070404D">
        <w:rPr>
          <w:color w:val="000000" w:themeColor="text1"/>
        </w:rPr>
        <w:t>In some rural communities, where there is little access to cheap</w:t>
      </w:r>
      <w:r w:rsidR="00B72CEC">
        <w:rPr>
          <w:color w:val="000000" w:themeColor="text1"/>
        </w:rPr>
        <w:t>,</w:t>
      </w:r>
      <w:r w:rsidR="00F171BA" w:rsidRPr="0070404D">
        <w:rPr>
          <w:color w:val="000000" w:themeColor="text1"/>
        </w:rPr>
        <w:t xml:space="preserve"> domestic (farm-reared) meats, but still access to wildlife, wild meat remains the main source of macronutrients, such as protein and fat </w:t>
      </w:r>
      <w:r w:rsidR="00A72CDA">
        <w:rPr>
          <w:color w:val="000000" w:themeColor="text1"/>
        </w:rPr>
        <w:fldChar w:fldCharType="begin" w:fldLock="1"/>
      </w:r>
      <w:r w:rsidR="00D72B40">
        <w:rPr>
          <w:color w:val="000000" w:themeColor="text1"/>
        </w:rPr>
        <w:instrText>ADDIN CSL_CITATION {"citationItems":[{"id":"ITEM-1","itemData":{"author":[{"dropping-particle":"","family":"Sirén","given":"Anders","non-dropping-particle":"","parse-names":false,"suffix":""},{"dropping-particle":"","family":"Machoa","given":"José","non-dropping-particle":"","parse-names":false,"suffix":""}],"container-title":"Interciencia","id":"ITEM-1","issued":{"date-parts":[["2008"]]},"page":"186-193","title":"Fish, wildlife, and human nutrition in tropical forests: a fat gap?","type":"article-journal","volume":"33"},"uris":["http://www.mendeley.com/documents/?uuid=e6d6ab6b-4b5e-49dd-8c39-5082e76ae62d"]}],"mendeley":{"formattedCitation":"(Sirén &amp; Machoa 2008)","manualFormatting":"(Sirén and Machoa, 2008)","plainTextFormattedCitation":"(Sirén &amp; Machoa 2008)","previouslyFormattedCitation":"(Sirén &amp; Machoa 2008)"},"properties":{"noteIndex":0},"schema":"https://github.com/citation-style-language/schema/raw/master/csl-citation.json"}</w:instrText>
      </w:r>
      <w:r w:rsidR="00A72CDA">
        <w:rPr>
          <w:color w:val="000000" w:themeColor="text1"/>
        </w:rPr>
        <w:fldChar w:fldCharType="separate"/>
      </w:r>
      <w:r w:rsidR="00A72CDA" w:rsidRPr="00A72CDA">
        <w:rPr>
          <w:noProof/>
          <w:color w:val="000000" w:themeColor="text1"/>
        </w:rPr>
        <w:t xml:space="preserve">(Sirén </w:t>
      </w:r>
      <w:r w:rsidR="00037F04">
        <w:rPr>
          <w:noProof/>
          <w:color w:val="000000" w:themeColor="text1"/>
        </w:rPr>
        <w:t xml:space="preserve">and </w:t>
      </w:r>
      <w:r w:rsidR="00A72CDA" w:rsidRPr="00A72CDA">
        <w:rPr>
          <w:noProof/>
          <w:color w:val="000000" w:themeColor="text1"/>
        </w:rPr>
        <w:t>Machoa</w:t>
      </w:r>
      <w:r w:rsidR="00026DF0">
        <w:rPr>
          <w:noProof/>
          <w:color w:val="000000" w:themeColor="text1"/>
        </w:rPr>
        <w:t>,</w:t>
      </w:r>
      <w:r w:rsidR="00A72CDA" w:rsidRPr="00A72CDA">
        <w:rPr>
          <w:noProof/>
          <w:color w:val="000000" w:themeColor="text1"/>
        </w:rPr>
        <w:t xml:space="preserve"> 2008)</w:t>
      </w:r>
      <w:r w:rsidR="00A72CDA">
        <w:rPr>
          <w:color w:val="000000" w:themeColor="text1"/>
        </w:rPr>
        <w:fldChar w:fldCharType="end"/>
      </w:r>
      <w:r w:rsidR="00F171BA" w:rsidRPr="0070404D">
        <w:rPr>
          <w:color w:val="000000" w:themeColor="text1"/>
        </w:rPr>
        <w:t xml:space="preserve">, and important </w:t>
      </w:r>
      <w:r w:rsidR="007A3FE2" w:rsidRPr="0070404D">
        <w:rPr>
          <w:color w:val="000000" w:themeColor="text1"/>
        </w:rPr>
        <w:t>micronutrients</w:t>
      </w:r>
      <w:r w:rsidR="00F171BA" w:rsidRPr="0070404D">
        <w:rPr>
          <w:color w:val="000000" w:themeColor="text1"/>
        </w:rPr>
        <w:t xml:space="preserve"> such as iron and zinc </w:t>
      </w:r>
      <w:r w:rsidR="00A72CDA">
        <w:rPr>
          <w:color w:val="000000" w:themeColor="text1"/>
        </w:rPr>
        <w:fldChar w:fldCharType="begin" w:fldLock="1"/>
      </w:r>
      <w:r w:rsidR="00566AAF">
        <w:rPr>
          <w:color w:val="000000" w:themeColor="text1"/>
        </w:rPr>
        <w:instrText>ADDIN CSL_CITATION {"citationItems":[{"id":"ITEM-1","itemData":{"DOI":"10.1073/pnas.1112586108","author":[{"dropping-particle":"","family":"Golden","given":"Christopher D","non-dropping-particle":"","parse-names":false,"suffix":""},{"dropping-particle":"","family":"Fernald","given":"Lia C H","non-dropping-particle":"","parse-names":false,"suffix":""},{"dropping-particle":"","family":"Brashares","given":"Justin S","non-dropping-particle":"","parse-names":false,"suffix":""},{"dropping-particle":"","family":"Rasolofoniaina","given":"B J Rodolph","non-dropping-particle":"","parse-names":false,"suffix":""},{"dropping-particle":"","family":"Kremen","given":"Claire","non-dropping-particle":"","parse-names":false,"suffix":""}],"container-title":"Proceedings of the National Academy of Sciences","id":"ITEM-1","issue":"49","issued":{"date-parts":[["2011"]]},"page":"19653-19656","title":"Benefits of wildlife consumption to child nutrition in a biodiversity hotspot","type":"article-journal","volume":"108"},"uris":["http://www.mendeley.com/documents/?uuid=8069b74c-1791-4990-9cce-781b9f0af967"]},{"id":"ITEM-2","itemData":{"DOI":"10.15451/ec2017-04-6.3-1-45","ISBN":"2238-4782","ISSN":"22384782","author":[{"dropping-particle":"","family":"Vliet","given":"Nathalie","non-dropping-particle":"Van","parse-names":false,"suffix":""},{"dropping-particle":"","family":"Moreno","given":"Jessica","non-dropping-particle":"","parse-names":false,"suffix":""},{"dropping-particle":"","family":"Gómez","given":"Juanita","non-dropping-particle":"","parse-names":false,"suffix":""},{"dropping-particle":"","family":"Zhou","given":"Wen","non-dropping-particle":"","parse-names":false,"suffix":""},{"dropping-particle":"","family":"Fa","given":"John Emmanuel","non-dropping-particle":"","parse-names":false,"suffix":""},{"dropping-particle":"","family":"Golden","given":"Christopher","non-dropping-particle":"","parse-names":false,"suffix":""},{"dropping-particle":"","family":"Alves","given":"Rômulo Romeu Nóbrega","non-dropping-particle":"","parse-names":false,"suffix":""},{"dropping-particle":"","family":"Nasi","given":"Robert","non-dropping-particle":"","parse-names":false,"suffix":""}],"container-title":"Ethnobiology and Conservation","id":"ITEM-2","issue":"3","issued":{"date-parts":[["2017"]]},"title":"Bushmeat and human health: assessing the evidence in tropical and sub-tropical forests","type":"article-journal","volume":"6"},"uris":["http://www.mendeley.com/documents/?uuid=78b2f884-8356-462d-9517-8da95ee1fd46"]},{"id":"ITEM-3","itemData":{"DOI":"10.1038/srep08168","ISBN":"doi:10.1038/srep08168","ISSN":"2045-2322","PMID":"25639588","abstract":"We studied links between human malnutrition and wild meat availability within the Rainforest Biotic Zone in central Africa. We distinguished two distinct hunted mammalian diversity distributions, one in the rainforest areas (Deep Rainforest Diversity, DRD) containing taxa of lower hunting sustainability, the other in the northern rainforest-savanna mosaic, with species of greater hunting potential (Marginal Rainforest Diversity, MRD). Wild meat availability, assessed by standing crop mammalian biomass, was greater in MRD than in DRD areas. Predicted bushmeat extraction was also higher in MRD areas. Despite this, stunting of children, a measure of human malnutrition, was greater in MRD areas. Structural equation modeling identified that, in MRD areas, mammal diversity fell away from urban areas, but proximity to these positively influenced higher stunting incidence. In DRD areas, remoteness and distance from dense human settlements and infrastructures explained lower stunting levels. Moreover, stunting was higher away from protected areas. Our results suggest that in MRD areas, forest wildlife rational use for better human nutrition is possible. By contrast, the relatively low human populations in DRD areas currently offer abundant opportunities for the continued protection of more vulnerable mammals and allow dietary needs of local populations to be met.","author":[{"dropping-particle":"","family":"Fa","given":"John E","non-dropping-particle":"","parse-names":false,"suffix":""},{"dropping-particle":"","family":"Olivero","given":"Jesús","non-dropping-particle":"","parse-names":false,"suffix":""},{"dropping-particle":"","family":"Real","given":"Raimundo","non-dropping-particle":"","parse-names":false,"suffix":""},{"dropping-particle":"","family":"Farfán","given":"Miguel A","non-dropping-particle":"","parse-names":false,"suffix":""},{"dropping-particle":"","family":"Márquez","given":"Ana L","non-dropping-particle":"","parse-names":false,"suffix":""},{"dropping-particle":"","family":"Vargas","given":"J Mario","non-dropping-particle":"","parse-names":false,"suffix":""},{"dropping-particle":"","family":"Ziegler","given":"Stefan","non-dropping-particle":"","parse-names":false,"suffix":""},{"dropping-particle":"","family":"Wegmann","given":"Martin","non-dropping-particle":"","parse-names":false,"suffix":""},{"dropping-particle":"","family":"Brown","given":"David","non-dropping-particle":"","parse-names":false,"suffix":""},{"dropping-particle":"","family":"Margetts","given":"Barrie","non-dropping-particle":"","parse-names":false,"suffix":""},{"dropping-particle":"","family":"Nasi","given":"Robert","non-dropping-particle":"","parse-names":false,"suffix":""}],"container-title":"Scientific reports","id":"ITEM-3","issue":"8168","issued":{"date-parts":[["2015"]]},"title":"Disentangling the relative effects of bushmeat availability on human nutrition in Central Africa","type":"article-journal","volume":"5"},"uris":["http://www.mendeley.com/documents/?uuid=a94c51be-6517-4bd8-86e7-7cf505b8823b"]},{"id":"ITEM-4","itemData":{"author":[{"dropping-particle":"","family":"Sarti","given":"Flavia M","non-dropping-particle":"","parse-names":false,"suffix":""},{"dropping-particle":"","family":"Adams","given":"Cristina","non-dropping-particle":"","parse-names":false,"s</w:instrText>
      </w:r>
      <w:r w:rsidR="00566AAF" w:rsidRPr="00DF57F3">
        <w:rPr>
          <w:color w:val="000000" w:themeColor="text1"/>
          <w:lang w:val="fr-FR"/>
        </w:rPr>
        <w:instrText>uffix":""},{"dropping-particle":"","family":"Morsello","given":"Carla","non-dropping-particle":"","parse-names":false,"suffix":""},{"dropping-particle":"","family":"Vliet","given":"Nathalie","non-dropping-particle":"van","parse-names":false,"suffix":""},{"dropping-particle":"","family":"Schor","given":"Tatiana","non-dropping-particle":"","parse-names":false,"suffix":""},{"dropping-particle":"","family":"Yagüe","given":"Blanca","non-dropping-particle":"","parse-names":false,"suffix":""},{"dropping-particle":"","family":"Tellez","given":"Leady","non-dropping-particle":"","parse-names":false,"suffix":""}],"container-title":"Ecology and Society","id":"ITEM-4","issue":"4","issued":{"date-parts":[["2015"]]},"page":"22","title":"Beyond protein intake: bushmeat as source of micronutrients in the Amazon","type":"article-journal","volume":"20"},"uris":["http://www.mendeley.com/documents/?uuid=2e82fab9-d980-4d4c-b7cc-ad9523645550"]}],"mendeley":{"formattedCitation":"(Golden et al. 2011; Fa et al. 2015; Sarti et al. 2015; Van Vliet et al. 2017a)","manualFormatting":"(Golden et al., 2011; Fa et al., 2015; Sarti et al., 2015; Van Vliet et al., 2017a)","plainTextFormattedCitation":"(Golden et al. 2011; Fa et al. 2015; Sarti et al. 2015; Van Vliet et al. 2017a)","previouslyFormattedCitation":"(Golden et al. 2011; Fa et al. 2015; Sarti et al. 2015; Van Vliet et al. 2017a)"},"properties":{"noteIndex":0},"schema":"https://github.com/citation-style-language/schema/raw/master/csl-citation.json"}</w:instrText>
      </w:r>
      <w:r w:rsidR="00A72CDA">
        <w:rPr>
          <w:color w:val="000000" w:themeColor="text1"/>
        </w:rPr>
        <w:fldChar w:fldCharType="separate"/>
      </w:r>
      <w:r w:rsidR="004D3892" w:rsidRPr="00510F65">
        <w:rPr>
          <w:noProof/>
          <w:color w:val="000000" w:themeColor="text1"/>
          <w:lang w:val="es-ES"/>
        </w:rPr>
        <w:t>(Golden et al.</w:t>
      </w:r>
      <w:r w:rsidR="00026DF0">
        <w:rPr>
          <w:noProof/>
          <w:color w:val="000000" w:themeColor="text1"/>
          <w:lang w:val="es-ES"/>
        </w:rPr>
        <w:t>,</w:t>
      </w:r>
      <w:r w:rsidR="004D3892" w:rsidRPr="00510F65">
        <w:rPr>
          <w:noProof/>
          <w:color w:val="000000" w:themeColor="text1"/>
          <w:lang w:val="es-ES"/>
        </w:rPr>
        <w:t xml:space="preserve"> 2011; Fa et al.</w:t>
      </w:r>
      <w:r w:rsidR="00026DF0">
        <w:rPr>
          <w:noProof/>
          <w:color w:val="000000" w:themeColor="text1"/>
          <w:lang w:val="es-ES"/>
        </w:rPr>
        <w:t>,</w:t>
      </w:r>
      <w:r w:rsidR="004D3892" w:rsidRPr="00510F65">
        <w:rPr>
          <w:noProof/>
          <w:color w:val="000000" w:themeColor="text1"/>
          <w:lang w:val="es-ES"/>
        </w:rPr>
        <w:t xml:space="preserve"> 2015; Sarti et al.</w:t>
      </w:r>
      <w:r w:rsidR="00026DF0">
        <w:rPr>
          <w:noProof/>
          <w:color w:val="000000" w:themeColor="text1"/>
          <w:lang w:val="es-ES"/>
        </w:rPr>
        <w:t>,</w:t>
      </w:r>
      <w:r w:rsidR="004D3892" w:rsidRPr="00510F65">
        <w:rPr>
          <w:noProof/>
          <w:color w:val="000000" w:themeColor="text1"/>
          <w:lang w:val="es-ES"/>
        </w:rPr>
        <w:t xml:space="preserve"> 2015; </w:t>
      </w:r>
      <w:r w:rsidR="00463F14" w:rsidRPr="00510F65">
        <w:rPr>
          <w:noProof/>
          <w:color w:val="000000" w:themeColor="text1"/>
          <w:lang w:val="es-ES"/>
        </w:rPr>
        <w:t xml:space="preserve">Van </w:t>
      </w:r>
      <w:r w:rsidR="004D3892" w:rsidRPr="00510F65">
        <w:rPr>
          <w:noProof/>
          <w:color w:val="000000" w:themeColor="text1"/>
          <w:lang w:val="es-ES"/>
        </w:rPr>
        <w:t>Vliet et al.</w:t>
      </w:r>
      <w:r w:rsidR="00026DF0">
        <w:rPr>
          <w:noProof/>
          <w:color w:val="000000" w:themeColor="text1"/>
          <w:lang w:val="es-ES"/>
        </w:rPr>
        <w:t>,</w:t>
      </w:r>
      <w:r w:rsidR="004D3892" w:rsidRPr="00510F65">
        <w:rPr>
          <w:noProof/>
          <w:color w:val="000000" w:themeColor="text1"/>
          <w:lang w:val="es-ES"/>
        </w:rPr>
        <w:t xml:space="preserve"> 2017a)</w:t>
      </w:r>
      <w:r w:rsidR="00A72CDA">
        <w:rPr>
          <w:color w:val="000000" w:themeColor="text1"/>
        </w:rPr>
        <w:fldChar w:fldCharType="end"/>
      </w:r>
      <w:r w:rsidR="00EC205C" w:rsidRPr="00510F65">
        <w:rPr>
          <w:color w:val="000000" w:themeColor="text1"/>
          <w:lang w:val="es-ES"/>
        </w:rPr>
        <w:t xml:space="preserve">. </w:t>
      </w:r>
      <w:r w:rsidR="00F171BA" w:rsidRPr="0070404D">
        <w:rPr>
          <w:color w:val="000000" w:themeColor="text1"/>
        </w:rPr>
        <w:t>Even in rapidly-growing provincial towns in developing countries, wild meat can still be an important resource, as local domestic meat production and importation systems have yet to develop</w:t>
      </w:r>
      <w:r w:rsidR="00C14F77">
        <w:rPr>
          <w:color w:val="000000" w:themeColor="text1"/>
        </w:rPr>
        <w:t xml:space="preserve"> </w:t>
      </w:r>
      <w:r w:rsidR="00C14F77">
        <w:rPr>
          <w:color w:val="000000" w:themeColor="text1"/>
        </w:rPr>
        <w:fldChar w:fldCharType="begin" w:fldLock="1"/>
      </w:r>
      <w:r w:rsidR="00D72B40">
        <w:rPr>
          <w:color w:val="000000" w:themeColor="text1"/>
        </w:rPr>
        <w:instrText>ADDIN CSL_CITATION {"citationItems":[{"id":"ITEM-1","itemData":{"DOI":"10.5751/ES-07669-200307","ISSN":"17083087","abstract":"Despite the fact that sustainability of bushmeat hunting in tropical areas is of major concern for conservation and development practitioners, we still know very little about how to measure sustainability and how to put in place sustainable bushmeat hunting systems. We review the current limits of traditional methods used to investigate sustainability of bushmeat hunting, discuss the need to incorporate the characteristics of complex systems into sustainability assessments, and suggest how resilience theories could assist in understanding bushmeat sustainability and more effective conservation of wildlife in tropical areas. Traditional methods used to assess the sustainability of bushmeat hunting include demographic models of population growth, one-off biological indicators, population trend methods, harvest-based indicators, and comparisons of demographic parameters between sites. These traditional biological sustainability indices have proved inadequate for measuring the impact of bushmeat hunting because sustainability is treated as a static, binary (yes or no) question, thus ignoring stochastic processes, the inherent variability of natural systems, and the complexity of hunting systems. We suggest that bushmeat hunting systems in tropical areas should be regarded as social-ecological systems in which the impacts of hunting on prey populations are not the only focus. Instead, the analysis of resilience aims at understanding the complex and dynamic relationships between the hunting ground, its resources, the stakeholders, and the different exogenous drivers of change that affect the components of the system at different scales. The main implication of using the resilience theory in the context of bushmeat hunting is the shift from the need to assess stocks with imprecise measures to the incorporation of the uncertainty and stochasticity inherent to complex systems in participatory and adaptive management processes. As such, the resilience analysis provides an unprecedented opportunity for the sustainable use of bushmeat and allows the identification of strategies to strengthen resilience when the system is found to be close to a given threshold, instead of reinforcing fortress conservation.","author":[{"dropping-particle":"","family":"Vliet","given":"Nathalie","non-dropping-particle":"Van","parse-names":false,"suffix":""},{"dropping-particle":"","family":"Fa","given":"John","non-dropping-particle":"","parse-names":false,"suffix":""},{"dropping-particle":"","family":"Nasi","given":"Robert","non-dropping-particle":"","parse-names":false,"suffix":""}],"container-title":"Ecology and Society","id":"ITEM-1","issue":"3","issued":{"date-parts":[["2015"]]},"page":"7","title":"Managing hunting under uncertainty: From one-off ecological indicators to esilience approaches in assessing the sustainability of bushmeat hunting","type":"article-journal","volume":"20"},"uris":["http://www.mendeley.com/documents/?uuid=63ea7aac-44c4-4ee2-8c11-494c6110b601"]}],"mendeley":{"formattedCitation":"(Van Vliet et al. 2015a)","manualFormatting":"(Van Vliet et al., 2015a)","plainTextFormattedCitation":"(Van Vliet et al. 2015a)","previouslyFormattedCitation":"(Van Vliet et al. 2015a)"},"properties":{"noteIndex":0},"schema":"https://github.com/citation-style-language/schema/raw/master/csl-citation.json"}</w:instrText>
      </w:r>
      <w:r w:rsidR="00C14F77">
        <w:rPr>
          <w:color w:val="000000" w:themeColor="text1"/>
        </w:rPr>
        <w:fldChar w:fldCharType="separate"/>
      </w:r>
      <w:r w:rsidR="006844AD" w:rsidRPr="006844AD">
        <w:rPr>
          <w:noProof/>
          <w:color w:val="000000" w:themeColor="text1"/>
        </w:rPr>
        <w:t>(</w:t>
      </w:r>
      <w:r w:rsidR="00463F14">
        <w:rPr>
          <w:noProof/>
          <w:color w:val="000000" w:themeColor="text1"/>
        </w:rPr>
        <w:t xml:space="preserve">Van </w:t>
      </w:r>
      <w:r w:rsidR="006844AD" w:rsidRPr="006844AD">
        <w:rPr>
          <w:noProof/>
          <w:color w:val="000000" w:themeColor="text1"/>
        </w:rPr>
        <w:t>Vliet et al.</w:t>
      </w:r>
      <w:r w:rsidR="00026DF0">
        <w:rPr>
          <w:noProof/>
          <w:color w:val="000000" w:themeColor="text1"/>
        </w:rPr>
        <w:t>,</w:t>
      </w:r>
      <w:r w:rsidR="006844AD" w:rsidRPr="006844AD">
        <w:rPr>
          <w:noProof/>
          <w:color w:val="000000" w:themeColor="text1"/>
        </w:rPr>
        <w:t xml:space="preserve"> 2015a)</w:t>
      </w:r>
      <w:r w:rsidR="00C14F77">
        <w:rPr>
          <w:color w:val="000000" w:themeColor="text1"/>
        </w:rPr>
        <w:fldChar w:fldCharType="end"/>
      </w:r>
      <w:r w:rsidR="00F171BA" w:rsidRPr="0070404D">
        <w:rPr>
          <w:color w:val="000000" w:themeColor="text1"/>
        </w:rPr>
        <w:t xml:space="preserve">. </w:t>
      </w:r>
    </w:p>
    <w:p w14:paraId="6DB4A0FB" w14:textId="0932D246" w:rsidR="00FC6940" w:rsidRPr="0070404D" w:rsidRDefault="00F171BA" w:rsidP="00C258BC">
      <w:pPr>
        <w:jc w:val="both"/>
        <w:rPr>
          <w:color w:val="000000" w:themeColor="text1"/>
        </w:rPr>
      </w:pPr>
      <w:r w:rsidRPr="0070404D">
        <w:rPr>
          <w:color w:val="000000" w:themeColor="text1"/>
        </w:rPr>
        <w:t>However, low wildlife productivity, wild habitat loss and growing urban populations mean that wild meat is unlikely to be sustainably supplied to cities; even very low per capita consumption will result in an aggregate demand that is too high for the surrounding area</w:t>
      </w:r>
      <w:r w:rsidR="00EF2D1B" w:rsidRPr="0070404D">
        <w:rPr>
          <w:color w:val="000000" w:themeColor="text1"/>
        </w:rPr>
        <w:t>s</w:t>
      </w:r>
      <w:r w:rsidRPr="0070404D">
        <w:rPr>
          <w:color w:val="000000" w:themeColor="text1"/>
        </w:rPr>
        <w:t xml:space="preserve"> </w:t>
      </w:r>
      <w:r w:rsidR="00C14F77">
        <w:rPr>
          <w:color w:val="000000" w:themeColor="text1"/>
        </w:rPr>
        <w:fldChar w:fldCharType="begin" w:fldLock="1"/>
      </w:r>
      <w:r w:rsidR="00D72B40">
        <w:rPr>
          <w:color w:val="000000" w:themeColor="text1"/>
        </w:rPr>
        <w:instrText>ADDIN CSL_CITATION {"citationItems":[{"id":"ITEM-1","itemData":{"DOI":"10.1017/S0376892903000067","ISBN":"0376-8929","ISSN":"03768929","abstract":"Tropical moist forests in Africa are concentrated in the Congo Basin. A variety of animals in these forests, in particular mammals, are hunted for their meat, termed bushmeat. This paper investigates current and future trends of bushmeat protein, and non-bushmeat protein supply, for inhabitants of the main Congo Basin countries. Since most bushmeat is derived from forest mammals, published extraction (E) and produc- tion (P) estimates of mammal populations were used to calculate the per person protein supplied by these. Current bushmeat protein supply may range from 30g person?1 day?1 in the Democratic Republic of Congo, to 180 g person?1 day?1 in Gabon. Future bushmeat protein supplies were predicted for the next 50 years by employing current E:P ratios, and controlling for known deforestation and population growth rates. At current exploitation rates, bushmeat protein supply would drop 81% in all countries in less than 50 years; only three countries would be able to maintain a protein supply above the recommended daily require- ment of 52g person?1 day?1. However, if bushmeat harvests were reduced to a sustainable level, all coun- tries except Gabon would be dramatically affected by the loss of wild protein supply. The dependence on bushmeat protein is emphasized by the fact that four out of the five countries studied do not produce suffi- cient amounts of non-bushmeat protein to feed their populations. These findings imply that a significant number of forest mammals could become extinct rela- tively soon, and that protein malnutrition is likely to increase dramatically if food security in the region is not promptly resolved. Keywords:","author":[{"dropping-particle":"","family":"Fa","given":"John E.","non-dropping-particle":"","parse-names":false,"suffix":""},{"dropping-particle":"","family":"Currie","given":"Dominic","non-dropping-particle":"","parse-names":false,"suffix":""},{"dropping-particle":"","family":"Meeuwig","given":"Jessica","non-dropping-particle":"","parse-names":false,"suffix":""}],"container-title":"Environmental Conservation","id":"ITEM-1","issue":"1","issued":{"date-parts":[["2003"]]},"page":"71-78","title":"Bushmeat and food security in the Congo Basin: linkages between wildlife and people's future","type":"article-journal","volume":"30"},"uris":["http://www.mendeley.com/documents/?uuid=d2070e00-b28b-45a8-8927-286524eb9b10"]}],"mendeley":{"formattedCitation":"(Fa et al. 2003)","manualFormatting":"(Fa et al., 2003)","plainTextFormattedCitation":"(Fa et al. 2003)","previouslyFormattedCitation":"(Fa et al. 2003)"},"properties":{"noteIndex":0},"schema":"https://github.com/citation-style-language/schema/raw/master/csl-citation.json"}</w:instrText>
      </w:r>
      <w:r w:rsidR="00C14F77">
        <w:rPr>
          <w:color w:val="000000" w:themeColor="text1"/>
        </w:rPr>
        <w:fldChar w:fldCharType="separate"/>
      </w:r>
      <w:r w:rsidR="00C14F77" w:rsidRPr="00C14F77">
        <w:rPr>
          <w:noProof/>
          <w:color w:val="000000" w:themeColor="text1"/>
        </w:rPr>
        <w:t>(Fa et al.</w:t>
      </w:r>
      <w:r w:rsidR="00026DF0">
        <w:rPr>
          <w:noProof/>
          <w:color w:val="000000" w:themeColor="text1"/>
        </w:rPr>
        <w:t>,</w:t>
      </w:r>
      <w:r w:rsidR="00C14F77" w:rsidRPr="00C14F77">
        <w:rPr>
          <w:noProof/>
          <w:color w:val="000000" w:themeColor="text1"/>
        </w:rPr>
        <w:t xml:space="preserve"> 2003)</w:t>
      </w:r>
      <w:r w:rsidR="00C14F77">
        <w:rPr>
          <w:color w:val="000000" w:themeColor="text1"/>
        </w:rPr>
        <w:fldChar w:fldCharType="end"/>
      </w:r>
      <w:r w:rsidRPr="0070404D">
        <w:rPr>
          <w:color w:val="000000" w:themeColor="text1"/>
        </w:rPr>
        <w:t>.</w:t>
      </w:r>
      <w:r w:rsidR="008F48FF">
        <w:rPr>
          <w:color w:val="000000" w:themeColor="text1"/>
        </w:rPr>
        <w:t xml:space="preserve"> </w:t>
      </w:r>
      <w:r w:rsidR="008F48FF" w:rsidRPr="0070404D">
        <w:rPr>
          <w:color w:val="000000" w:themeColor="text1"/>
        </w:rPr>
        <w:t>Demand for wild meat from growing urban centres drives increase</w:t>
      </w:r>
      <w:r w:rsidR="008F48FF">
        <w:rPr>
          <w:color w:val="000000" w:themeColor="text1"/>
        </w:rPr>
        <w:t>s</w:t>
      </w:r>
      <w:r w:rsidR="008F48FF" w:rsidRPr="0070404D">
        <w:rPr>
          <w:color w:val="000000" w:themeColor="text1"/>
        </w:rPr>
        <w:t xml:space="preserve"> hunting from both rural village hunters and professional commercial hunters external to village communities</w:t>
      </w:r>
      <w:r w:rsidR="008F48FF">
        <w:rPr>
          <w:color w:val="000000" w:themeColor="text1"/>
        </w:rPr>
        <w:t xml:space="preserve">, </w:t>
      </w:r>
      <w:r w:rsidR="008F48FF" w:rsidRPr="0070404D">
        <w:rPr>
          <w:color w:val="000000" w:themeColor="text1"/>
        </w:rPr>
        <w:t>who hunt solely to supply u</w:t>
      </w:r>
      <w:r w:rsidR="008F48FF">
        <w:rPr>
          <w:color w:val="000000" w:themeColor="text1"/>
        </w:rPr>
        <w:t>rban, and international, demand</w:t>
      </w:r>
      <w:r w:rsidR="008F48FF" w:rsidRPr="0070404D">
        <w:rPr>
          <w:color w:val="000000" w:themeColor="text1"/>
        </w:rPr>
        <w:t>. This reduces wild species populations, and therefore meat availability, in the more wildlife-dependent rural communities</w:t>
      </w:r>
      <w:r w:rsidR="008F48FF">
        <w:rPr>
          <w:color w:val="000000" w:themeColor="text1"/>
        </w:rPr>
        <w:t xml:space="preserve"> surrounding these urban centres</w:t>
      </w:r>
      <w:r w:rsidR="008F48FF" w:rsidRPr="0070404D">
        <w:rPr>
          <w:color w:val="000000" w:themeColor="text1"/>
        </w:rPr>
        <w:t xml:space="preserve"> </w:t>
      </w:r>
      <w:r w:rsidR="008F48FF">
        <w:rPr>
          <w:color w:val="000000" w:themeColor="text1"/>
        </w:rPr>
        <w:fldChar w:fldCharType="begin" w:fldLock="1"/>
      </w:r>
      <w:r w:rsidR="00763BF5">
        <w:rPr>
          <w:color w:val="000000" w:themeColor="text1"/>
        </w:rPr>
        <w:instrText>ADDIN CSL_CITATION {"citationItems":[{"id":"ITEM-1","itemData":{"DOI":"10.1080/10871209.2010.523924","author":[{"dropping-particle":"","family":"Vliet","given":"Nathalie","non-dropping-particle":"Van","parse-names":false,"suffix":""},{"dropping-particle":"","family":"Mbazza","given":"Prosper","non-dropping-particle":"","parse-names":false,"suffix":""}],"container-title":"Human Dimensions of Wiildlife","id":"ITEM-1","issued":{"date-parts":[["2011"]]},"page":"45-54","title":"Recognizing the multiple reasons for bushmeat consumption in urban areas: a necessary step toward the sustainable use of wildlife for food in Central Africa","type":"article-journal","volume":"16"},"uris":["http://www.mendeley.com/documents/?uuid=2076dcbc-5855-42a0-8b3d-339552caa843"]},{"id":"ITEM-2","itemData":{"DOI":"10.5751/ES-07669-200307","ISSN":"17083087","abstract":"Despite the fact that sustainability of bushmeat hunting in tropical areas is of major concern for conservation and development practitioners, we still know very little about how to measure sustainability and how to put in place sustainable bushmeat hunting systems. We review the current limits of traditional methods used to investigate sustainability of bushmeat hunting, discuss the need to incorporate the characteristics of complex systems into sustainability assessments, and suggest how resilience theories could assist in understanding bushmeat sustainability and more effective conservation of wildlife in tropical areas. Traditional methods used to assess the sustainability of bushmeat hunting include demographic models of population growth, one-off biological indicators, population trend methods, harvest-based indicators, and comparisons of demographic parameters between sites. These traditional biological sustainability indices have proved inadequate for measuring the impact of bushmeat hunting because sustainability is treated as a static, binary (yes or no) question, thus ignoring stochastic processes, the inherent variability of natural systems, and the complexity of hunting systems. We suggest that bushmeat hunting systems in tropical areas should be regarded as social-ecological systems in which the impacts of hunting on prey populations are not the only focus. Instead, the analysis of resilience aims at understanding the complex and dynamic relationships between the hunting ground, its resources, the stakeholders, and the different exogenous drivers of change that affect the components of the system at different scales. The main implication of using the resilience theory in the context of bushmeat hunting is the shift from the need to assess stocks with imprecise measures to the incorporation of the uncertainty and stochasticity inherent to complex systems in participatory and adaptive management processes. As such, the resilience analysis provides an unprecedented opportunity for the sustainable use of bushmeat and allows the identification of strategies to strengthen resilience when the system is found to be close to a given threshold, instead of reinforcing fortress conservation.","author":[{"dropping-particle":"","family":"Vliet","given":"Nathalie","non-dropping-particle":"Van","parse-names":false,"suffix":""},{"dropping-particle":"","family":"Fa","given":"John","non-dropping-particle":"","parse-names":false,"suffix":""},{"dropping-particle":"","family":"Nasi","given":"Robert","non-dropping-particle":"","parse-names":false,"suffix":""}],"container-title":"Ecology and Society","id":"ITEM-2","issue":"3","issued":{"date-parts":[["2015"]]},"page":"7","title":"Managing hunting under uncertainty: From one-off ecological indicators to esilience approaches in assessing the sustainability of bushmeat hunting","type":"article-journal","volume":"20"},"uris":["http://www.mendeley.com/documents/?uuid=63ea7aac-44c4-4ee2-8c11-494c6110b601"]},{"id":"ITEM-3","itemData":{"DOI":"10.1111/aje.12392","ISBN":"1365-2028","ISSN":"13652028","abstract":"In Africa, overhunting of tropical wildlife for food remains an intractable issue. Donors and governments remain committed to invest in efforts to both conserve and allow the sustainable use of wildlife. Four principal barriers need to be overcome: (i) communities are not motivated to conserve wildlife long-term because they have no formal rights to benefit from wildlife, or to exclude others from taking it on their land; (ii) multispecies harvests, typical of bushmeat hunting scenarios, place large-bodied species at risk of extinction; (iii) wildlife production cannot expand, in the same way that livestock farming can, to meet the expected growth in consumer demand; and (iv) wildlife habitat is lost through conversion to agriculture, housing, transportation networks and extractive industries. In this review, we examine the actors involved in the use of wildlife as food and discuss the possible solutions required to address urban and rural bushmeat consumption. Interventions must tackle use and conservation of wildlife through the application of context-relevant interventions in a variety of geographies across Africa. That said, for any bushmeat solution to work, there needs to be concurrent and comparable investment in strengthening the effectiveness of protected area management and enforcement of wildlife conservation laws.","author":[{"dropping-particle":"","family":"Wilkie","given":"David S.","non-dropping-particle":"","parse-names":false,"suffix":""},{"dropping-particle":"","family":"Wieland","given":"Michelle","non-dropping-particle":"","parse-names":false,"suffix":""},{"dropping-particle":"","family":"Boulet","given":"Hubert","non-dropping-particle":"","parse-names":false,"suffix":""},{"dropping-particle":"","family":"Bel","given":"Sebastien","non-dropping-particle":"Le","parse-names":false,"suffix":""},{"dropping-particle":"","family":"Vliet","given":"Nathalie","non-dropping-particle":"van","parse-names":false,"suffix":""},{"dropping-particle":"","family":"Cornelis","given":"Daniel","non-dropping-particle":"","parse-names":false,"suffix":""},{"dropping-particle":"","family":"BriacWarnon","given":"Vincent","non-dropping-particle":"","parse-names":false,"suffix":""},{"dropping-particle":"","family":"Nasi","given":"Robert","non-dropping-particle":"","parse-names":false,"suffix":""},{"dropping-particle":"","family":"Fa","given":"John E.","non-dropping-particle":"","parse-names":false,"suffix":""}],"container-title":"African Journal of Ecology","id":"ITEM-3","issue":"4","issued":{"date-parts":[["2016"]]},"page":"402-414","title":"Eating and conserving bushmeat in Africa","type":"article-journal","volume":"54"},"uris":["http://www.mendeley.com/documents/?uuid=b0006714-6b96-4f89-88f4-f75bc78df712"]}],"mendeley":{"formattedCitation":"(Van Vliet &amp; Mbazza 2011; Van Vliet et al. 2015a; Wilkie et al. 2016)","manualFormatting":"(Van Vliet and Mbazza, 2011; Van Vliet et al., 2015a; Wilkie et al., 2016)","plainTextFormattedCitation":"(Van Vliet &amp; Mbazza 2011; Van Vliet et al. 2015a; Wilkie et al. 2016)","previouslyFormattedCitation":"(Van Vliet &amp; Mbazza 2011; Van Vliet et al. 2015a; Wilkie et al. 2016)"},"properties":{"noteIndex":0},"schema":"https://github.com/citation-style-language/schema/raw/master/csl-citation.json"}</w:instrText>
      </w:r>
      <w:r w:rsidR="008F48FF">
        <w:rPr>
          <w:color w:val="000000" w:themeColor="text1"/>
        </w:rPr>
        <w:fldChar w:fldCharType="separate"/>
      </w:r>
      <w:r w:rsidR="008F48FF" w:rsidRPr="006844AD">
        <w:rPr>
          <w:noProof/>
          <w:color w:val="000000" w:themeColor="text1"/>
        </w:rPr>
        <w:t>(</w:t>
      </w:r>
      <w:r w:rsidR="008F48FF">
        <w:rPr>
          <w:noProof/>
          <w:color w:val="000000" w:themeColor="text1"/>
        </w:rPr>
        <w:t xml:space="preserve">Van </w:t>
      </w:r>
      <w:r w:rsidR="008F48FF" w:rsidRPr="006844AD">
        <w:rPr>
          <w:noProof/>
          <w:color w:val="000000" w:themeColor="text1"/>
        </w:rPr>
        <w:t xml:space="preserve">Vliet </w:t>
      </w:r>
      <w:r w:rsidR="008F48FF">
        <w:rPr>
          <w:noProof/>
          <w:color w:val="000000" w:themeColor="text1"/>
        </w:rPr>
        <w:t>and</w:t>
      </w:r>
      <w:r w:rsidR="008F48FF" w:rsidRPr="006844AD">
        <w:rPr>
          <w:noProof/>
          <w:color w:val="000000" w:themeColor="text1"/>
        </w:rPr>
        <w:t xml:space="preserve"> Mbazza</w:t>
      </w:r>
      <w:r w:rsidR="008F48FF">
        <w:rPr>
          <w:noProof/>
          <w:color w:val="000000" w:themeColor="text1"/>
        </w:rPr>
        <w:t>,</w:t>
      </w:r>
      <w:r w:rsidR="008F48FF" w:rsidRPr="006844AD">
        <w:rPr>
          <w:noProof/>
          <w:color w:val="000000" w:themeColor="text1"/>
        </w:rPr>
        <w:t xml:space="preserve"> 2011; </w:t>
      </w:r>
      <w:r w:rsidR="008F48FF">
        <w:rPr>
          <w:noProof/>
          <w:color w:val="000000" w:themeColor="text1"/>
        </w:rPr>
        <w:t xml:space="preserve">Van </w:t>
      </w:r>
      <w:r w:rsidR="008F48FF" w:rsidRPr="006844AD">
        <w:rPr>
          <w:noProof/>
          <w:color w:val="000000" w:themeColor="text1"/>
        </w:rPr>
        <w:t>Vliet et al.</w:t>
      </w:r>
      <w:r w:rsidR="008F48FF">
        <w:rPr>
          <w:noProof/>
          <w:color w:val="000000" w:themeColor="text1"/>
        </w:rPr>
        <w:t>,</w:t>
      </w:r>
      <w:r w:rsidR="008F48FF" w:rsidRPr="006844AD">
        <w:rPr>
          <w:noProof/>
          <w:color w:val="000000" w:themeColor="text1"/>
        </w:rPr>
        <w:t xml:space="preserve"> 2015a; Wilkie et al.</w:t>
      </w:r>
      <w:r w:rsidR="008F48FF">
        <w:rPr>
          <w:noProof/>
          <w:color w:val="000000" w:themeColor="text1"/>
        </w:rPr>
        <w:t>,</w:t>
      </w:r>
      <w:r w:rsidR="008F48FF" w:rsidRPr="006844AD">
        <w:rPr>
          <w:noProof/>
          <w:color w:val="000000" w:themeColor="text1"/>
        </w:rPr>
        <w:t xml:space="preserve"> 2016)</w:t>
      </w:r>
      <w:r w:rsidR="008F48FF">
        <w:rPr>
          <w:color w:val="000000" w:themeColor="text1"/>
        </w:rPr>
        <w:fldChar w:fldCharType="end"/>
      </w:r>
      <w:r w:rsidR="008F48FF" w:rsidRPr="0070404D">
        <w:rPr>
          <w:color w:val="000000" w:themeColor="text1"/>
        </w:rPr>
        <w:t xml:space="preserve">, unless </w:t>
      </w:r>
      <w:r w:rsidR="008F48FF">
        <w:rPr>
          <w:color w:val="000000" w:themeColor="text1"/>
        </w:rPr>
        <w:t>efficient</w:t>
      </w:r>
      <w:r w:rsidR="008F48FF" w:rsidRPr="0070404D">
        <w:rPr>
          <w:color w:val="000000" w:themeColor="text1"/>
        </w:rPr>
        <w:t xml:space="preserve"> controls are in place. </w:t>
      </w:r>
      <w:r w:rsidRPr="0070404D">
        <w:rPr>
          <w:color w:val="000000" w:themeColor="text1"/>
        </w:rPr>
        <w:t xml:space="preserve">In </w:t>
      </w:r>
      <w:r w:rsidR="00B72CEC">
        <w:rPr>
          <w:color w:val="000000" w:themeColor="text1"/>
        </w:rPr>
        <w:t>established</w:t>
      </w:r>
      <w:r w:rsidRPr="0070404D">
        <w:rPr>
          <w:color w:val="000000" w:themeColor="text1"/>
        </w:rPr>
        <w:t xml:space="preserve"> </w:t>
      </w:r>
      <w:r w:rsidR="005C2A53">
        <w:rPr>
          <w:color w:val="000000" w:themeColor="text1"/>
        </w:rPr>
        <w:t>urban</w:t>
      </w:r>
      <w:r w:rsidRPr="0070404D">
        <w:rPr>
          <w:color w:val="000000" w:themeColor="text1"/>
        </w:rPr>
        <w:t xml:space="preserve"> centres, wild meat does not play a significant role in food security, since </w:t>
      </w:r>
      <w:r w:rsidR="008F48FF">
        <w:rPr>
          <w:color w:val="000000" w:themeColor="text1"/>
        </w:rPr>
        <w:t xml:space="preserve">relatively </w:t>
      </w:r>
      <w:r w:rsidRPr="0070404D">
        <w:rPr>
          <w:color w:val="000000" w:themeColor="text1"/>
        </w:rPr>
        <w:t xml:space="preserve">cheap alternative meats </w:t>
      </w:r>
      <w:r w:rsidR="008F48FF">
        <w:rPr>
          <w:color w:val="000000" w:themeColor="text1"/>
        </w:rPr>
        <w:t>are available. H</w:t>
      </w:r>
      <w:r w:rsidR="00B72CEC">
        <w:rPr>
          <w:color w:val="000000" w:themeColor="text1"/>
        </w:rPr>
        <w:t>owever</w:t>
      </w:r>
      <w:r w:rsidR="008F48FF">
        <w:rPr>
          <w:color w:val="000000" w:themeColor="text1"/>
        </w:rPr>
        <w:t>,</w:t>
      </w:r>
      <w:r w:rsidR="00B72CEC">
        <w:rPr>
          <w:color w:val="000000" w:themeColor="text1"/>
        </w:rPr>
        <w:t xml:space="preserve"> in newly urbanising populations, where food supply chains are fragile or not yet established, wild meat can still be important over the short term</w:t>
      </w:r>
      <w:r w:rsidR="00A629D3" w:rsidRPr="0070404D">
        <w:rPr>
          <w:color w:val="000000" w:themeColor="text1"/>
        </w:rPr>
        <w:t xml:space="preserve">. </w:t>
      </w:r>
      <w:r w:rsidR="00B72CEC">
        <w:rPr>
          <w:color w:val="000000" w:themeColor="text1"/>
        </w:rPr>
        <w:t xml:space="preserve">Creating robust alternative supplies of sustainable proteins for urban </w:t>
      </w:r>
      <w:r w:rsidR="00A479D2">
        <w:rPr>
          <w:color w:val="000000" w:themeColor="text1"/>
        </w:rPr>
        <w:t>centres and</w:t>
      </w:r>
      <w:r w:rsidR="00B72CEC">
        <w:rPr>
          <w:color w:val="000000" w:themeColor="text1"/>
        </w:rPr>
        <w:t xml:space="preserve"> r</w:t>
      </w:r>
      <w:r w:rsidR="00B72CEC" w:rsidRPr="0070404D">
        <w:rPr>
          <w:color w:val="000000" w:themeColor="text1"/>
        </w:rPr>
        <w:t>educing</w:t>
      </w:r>
      <w:r w:rsidR="006348FB" w:rsidRPr="0070404D">
        <w:rPr>
          <w:color w:val="000000" w:themeColor="text1"/>
        </w:rPr>
        <w:t xml:space="preserve"> urban demand for </w:t>
      </w:r>
      <w:r w:rsidR="007A3FE2" w:rsidRPr="0070404D">
        <w:rPr>
          <w:color w:val="000000" w:themeColor="text1"/>
        </w:rPr>
        <w:t>wild meat</w:t>
      </w:r>
      <w:r w:rsidR="006348FB" w:rsidRPr="0070404D">
        <w:rPr>
          <w:color w:val="000000" w:themeColor="text1"/>
        </w:rPr>
        <w:t xml:space="preserve"> </w:t>
      </w:r>
      <w:r w:rsidR="005C2A53">
        <w:rPr>
          <w:color w:val="000000" w:themeColor="text1"/>
        </w:rPr>
        <w:t>as a</w:t>
      </w:r>
      <w:r w:rsidR="006348FB" w:rsidRPr="0070404D">
        <w:rPr>
          <w:color w:val="000000" w:themeColor="text1"/>
        </w:rPr>
        <w:t xml:space="preserve"> luxury good</w:t>
      </w:r>
      <w:r w:rsidR="005C2A53">
        <w:rPr>
          <w:color w:val="000000" w:themeColor="text1"/>
        </w:rPr>
        <w:t>,</w:t>
      </w:r>
      <w:r w:rsidR="006348FB" w:rsidRPr="0070404D">
        <w:rPr>
          <w:color w:val="000000" w:themeColor="text1"/>
        </w:rPr>
        <w:t xml:space="preserve"> is key to increasing the overall sustainability of </w:t>
      </w:r>
      <w:r w:rsidR="007A3FE2" w:rsidRPr="0070404D">
        <w:rPr>
          <w:color w:val="000000" w:themeColor="text1"/>
        </w:rPr>
        <w:t>wild meat</w:t>
      </w:r>
      <w:r w:rsidR="006348FB" w:rsidRPr="0070404D">
        <w:rPr>
          <w:color w:val="000000" w:themeColor="text1"/>
        </w:rPr>
        <w:t xml:space="preserve"> use in many countries. </w:t>
      </w:r>
    </w:p>
    <w:p w14:paraId="7A84771A" w14:textId="07766747" w:rsidR="008251E2" w:rsidRPr="0070404D" w:rsidRDefault="008251E2" w:rsidP="00C258BC">
      <w:pPr>
        <w:spacing w:after="0"/>
        <w:jc w:val="both"/>
        <w:rPr>
          <w:color w:val="000000" w:themeColor="text1"/>
        </w:rPr>
      </w:pPr>
      <w:r w:rsidRPr="00DA4708">
        <w:rPr>
          <w:color w:val="000000" w:themeColor="text1"/>
        </w:rPr>
        <w:t>International wildlife trade</w:t>
      </w:r>
      <w:r w:rsidR="008F48FF">
        <w:rPr>
          <w:color w:val="000000" w:themeColor="text1"/>
        </w:rPr>
        <w:t xml:space="preserve"> </w:t>
      </w:r>
      <w:r w:rsidRPr="00DA4708">
        <w:rPr>
          <w:color w:val="000000" w:themeColor="text1"/>
        </w:rPr>
        <w:t>for medicinal or decorative purposes</w:t>
      </w:r>
      <w:r w:rsidR="008F48FF">
        <w:rPr>
          <w:color w:val="000000" w:themeColor="text1"/>
        </w:rPr>
        <w:t xml:space="preserve"> </w:t>
      </w:r>
      <w:r w:rsidR="008F48FF" w:rsidRPr="00DA4708">
        <w:rPr>
          <w:color w:val="000000" w:themeColor="text1"/>
        </w:rPr>
        <w:t xml:space="preserve">is </w:t>
      </w:r>
      <w:r w:rsidR="008F48FF">
        <w:rPr>
          <w:color w:val="000000" w:themeColor="text1"/>
        </w:rPr>
        <w:t>principally controlled</w:t>
      </w:r>
      <w:r w:rsidR="008F48FF" w:rsidRPr="00DA4708">
        <w:rPr>
          <w:color w:val="000000" w:themeColor="text1"/>
        </w:rPr>
        <w:t xml:space="preserve"> by organised criminal networks, external to local communities </w:t>
      </w:r>
      <w:r w:rsidR="00D72B40">
        <w:rPr>
          <w:color w:val="000000" w:themeColor="text1"/>
        </w:rPr>
        <w:fldChar w:fldCharType="begin" w:fldLock="1"/>
      </w:r>
      <w:r w:rsidR="00D72B40">
        <w:rPr>
          <w:color w:val="000000" w:themeColor="text1"/>
        </w:rPr>
        <w:instrText>ADDIN CSL_CITATION {"citationItems":[{"id":"ITEM-1","itemData":{"ISBN":"9789211482881","author":[{"dropping-particle":"","family":"UNODC","given":"","non-dropping-particle":"","parse-names":false,"suffix":""}],"id":"ITEM-1","issued":{"date-parts":[["2016"]]},"number-of-pages":"1-98","publisher-place":"United Nations Office on Drugs and Crime, Vienna, Austria.","title":"World Wildlife Crime Report: Trafficking in protected species","type":"report"},"uris":["http://www.mendeley.com/documents/?uuid=9e2b0450-bded-4362-b4a5-0a59c875e505"]}],"mendeley":{"formattedCitation":"(UNODC 2016)","plainTextFormattedCitation":"(UNODC 2016)","previouslyFormattedCitation":"(UNODC 2016)"},"properties":{"noteIndex":0},"schema":"https://github.com/citation-style-language/schema/raw/master/csl-citation.json"}</w:instrText>
      </w:r>
      <w:r w:rsidR="00D72B40">
        <w:rPr>
          <w:color w:val="000000" w:themeColor="text1"/>
        </w:rPr>
        <w:fldChar w:fldCharType="separate"/>
      </w:r>
      <w:r w:rsidR="00D72B40" w:rsidRPr="00D72B40">
        <w:rPr>
          <w:noProof/>
          <w:color w:val="000000" w:themeColor="text1"/>
        </w:rPr>
        <w:t>(UNODC 2016)</w:t>
      </w:r>
      <w:r w:rsidR="00D72B40">
        <w:rPr>
          <w:color w:val="000000" w:themeColor="text1"/>
        </w:rPr>
        <w:fldChar w:fldCharType="end"/>
      </w:r>
      <w:r w:rsidR="008F48FF" w:rsidRPr="00DA4708">
        <w:rPr>
          <w:color w:val="000000" w:themeColor="text1"/>
        </w:rPr>
        <w:t>.</w:t>
      </w:r>
      <w:r w:rsidR="008F48FF">
        <w:rPr>
          <w:color w:val="000000" w:themeColor="text1"/>
        </w:rPr>
        <w:t xml:space="preserve"> </w:t>
      </w:r>
      <w:r w:rsidR="008F48FF" w:rsidRPr="008F48FF">
        <w:rPr>
          <w:color w:val="000000" w:themeColor="text1"/>
        </w:rPr>
        <w:t>The value of the illegal wildlife trade is now estimated at $USD 7–23 billion per year and is known to have escalated in the last two</w:t>
      </w:r>
      <w:r w:rsidR="008F48FF" w:rsidRPr="00DA4708">
        <w:rPr>
          <w:color w:val="000000" w:themeColor="text1"/>
        </w:rPr>
        <w:t xml:space="preserve"> decades due to the improvements in national and regional transport networks </w:t>
      </w:r>
      <w:r w:rsidR="008F48FF" w:rsidRPr="00DA4708">
        <w:rPr>
          <w:color w:val="000000" w:themeColor="text1"/>
        </w:rPr>
        <w:fldChar w:fldCharType="begin" w:fldLock="1"/>
      </w:r>
      <w:r w:rsidR="00B2630D">
        <w:rPr>
          <w:color w:val="000000" w:themeColor="text1"/>
        </w:rPr>
        <w:instrText>ADDIN CSL_CITATION {"citationItems":[{"id":"ITEM-1","itemData":{"ISBN":"978-82-690434-1-9","author":[{"dropping-particle":"","family":"Nellemann","given":"C.","non-dropping-particle":"","parse-names":false,"suffix":""},{"dropping-particle":"","family":"Henriksen","given":"R.","non-dropping-particle":"","parse-names":false,"suffix":""},{"dropping-particle":"","family":"Kreilhuber","given":"A.","non-dropping-particle":"","parse-names":false,"suffix":""},{"dropping-particle":"","family":"Stewart","given":"D.","non-dropping-particle":"","parse-names":false,"suffix":""},{"dropping-particle":"","family":"Kotsovou","given":"M.","non-dropping-particle":"","parse-names":false,"suffix":""},{"dropping-particle":"","family":"Raxter","given":"P.","non-dropping-particle":"","parse-names":false,"suffix":""},{"dropping-particle":"","family":"Mrema","given":"E.","non-dropping-particle":"","parse-names":false,"suffix":""},{"dropping-particle":"","family":"Barrat","given":"S.","non-dropping-particle":"","parse-names":false,"suffix":""}],"id":"ITEM-1","issued":{"date-parts":[["2016"]]},"number-of-pages":"108","publisher-place":"United Nations Environment Programme and RHIPTO Rapid Response–Norwegian Center for Global Analyses","title":"The rise of environmental crime – a growing threat to natural resources peace, development and security. A UNEP- INTERPOL rapid response assessment","type":"report"},"uris":["http://www.mendeley.com/documents/?uuid=0b4ede69-cec2-4f13-b9d8-f8070a1e1b41"]}],"mendeley":{"formattedCitation":"(Nellemann et al. 2016)","plainTextFormattedCitation":"(Nellemann et al. 2016)","previouslyFormattedCitation":"(Nellemann et al. 2016)"},"properties":{"noteIndex":0},"schema":"https://github.com/citation-style-language/schema/raw/master/csl-citation.json"}</w:instrText>
      </w:r>
      <w:r w:rsidR="008F48FF" w:rsidRPr="00DA4708">
        <w:rPr>
          <w:color w:val="000000" w:themeColor="text1"/>
        </w:rPr>
        <w:fldChar w:fldCharType="separate"/>
      </w:r>
      <w:r w:rsidR="008F48FF" w:rsidRPr="00DA4708">
        <w:rPr>
          <w:noProof/>
          <w:color w:val="000000" w:themeColor="text1"/>
        </w:rPr>
        <w:t>(Nellemann et al. 2016)</w:t>
      </w:r>
      <w:r w:rsidR="008F48FF" w:rsidRPr="00DA4708">
        <w:rPr>
          <w:color w:val="000000" w:themeColor="text1"/>
        </w:rPr>
        <w:fldChar w:fldCharType="end"/>
      </w:r>
      <w:r w:rsidR="008F48FF" w:rsidRPr="00DA4708">
        <w:rPr>
          <w:color w:val="000000" w:themeColor="text1"/>
        </w:rPr>
        <w:t>.</w:t>
      </w:r>
      <w:r w:rsidR="008F48FF">
        <w:rPr>
          <w:color w:val="000000" w:themeColor="text1"/>
        </w:rPr>
        <w:t xml:space="preserve"> Wildlife trafficking for urban and international markets </w:t>
      </w:r>
      <w:r w:rsidRPr="00DA4708">
        <w:rPr>
          <w:color w:val="000000" w:themeColor="text1"/>
        </w:rPr>
        <w:t>negatively impacts wildlife populations</w:t>
      </w:r>
      <w:r w:rsidR="008F48FF">
        <w:rPr>
          <w:color w:val="000000" w:themeColor="text1"/>
        </w:rPr>
        <w:t>, which can in turn reduce</w:t>
      </w:r>
      <w:r w:rsidRPr="00DA4708">
        <w:rPr>
          <w:color w:val="000000" w:themeColor="text1"/>
        </w:rPr>
        <w:t xml:space="preserve"> the availability of </w:t>
      </w:r>
      <w:r w:rsidR="007A3FE2" w:rsidRPr="00DA4708">
        <w:rPr>
          <w:color w:val="000000" w:themeColor="text1"/>
        </w:rPr>
        <w:t>wild meat</w:t>
      </w:r>
      <w:r w:rsidRPr="00DA4708">
        <w:rPr>
          <w:color w:val="000000" w:themeColor="text1"/>
        </w:rPr>
        <w:t xml:space="preserve"> for rural </w:t>
      </w:r>
      <w:r w:rsidR="008F48FF">
        <w:rPr>
          <w:color w:val="000000" w:themeColor="text1"/>
        </w:rPr>
        <w:t>communities</w:t>
      </w:r>
      <w:r w:rsidR="009E62CD" w:rsidRPr="00DA4708">
        <w:rPr>
          <w:color w:val="000000" w:themeColor="text1"/>
        </w:rPr>
        <w:t xml:space="preserve">. By weakening the rule of law, </w:t>
      </w:r>
      <w:r w:rsidR="008F48FF">
        <w:rPr>
          <w:color w:val="000000" w:themeColor="text1"/>
        </w:rPr>
        <w:t xml:space="preserve">wildlife trafficking also </w:t>
      </w:r>
      <w:r w:rsidR="009E62CD" w:rsidRPr="00DA4708">
        <w:rPr>
          <w:color w:val="000000" w:themeColor="text1"/>
        </w:rPr>
        <w:t>exacerbates corruption and</w:t>
      </w:r>
      <w:r w:rsidRPr="00DA4708">
        <w:rPr>
          <w:color w:val="000000" w:themeColor="text1"/>
        </w:rPr>
        <w:t xml:space="preserve"> </w:t>
      </w:r>
      <w:r w:rsidR="009E62CD" w:rsidRPr="00DA4708">
        <w:rPr>
          <w:color w:val="000000" w:themeColor="text1"/>
        </w:rPr>
        <w:t>generates</w:t>
      </w:r>
      <w:r w:rsidRPr="00DA4708">
        <w:rPr>
          <w:color w:val="000000" w:themeColor="text1"/>
        </w:rPr>
        <w:t xml:space="preserve"> revenue for violent armed groups a</w:t>
      </w:r>
      <w:r w:rsidR="009E62CD" w:rsidRPr="00DA4708">
        <w:rPr>
          <w:color w:val="000000" w:themeColor="text1"/>
        </w:rPr>
        <w:t xml:space="preserve">nd organized crime syndicates, all contributing to </w:t>
      </w:r>
      <w:r w:rsidR="009E62CD" w:rsidRPr="008F48FF">
        <w:rPr>
          <w:color w:val="000000" w:themeColor="text1"/>
        </w:rPr>
        <w:t xml:space="preserve">an increased </w:t>
      </w:r>
      <w:r w:rsidRPr="008F48FF">
        <w:rPr>
          <w:color w:val="000000" w:themeColor="text1"/>
        </w:rPr>
        <w:t xml:space="preserve">global security threat </w:t>
      </w:r>
      <w:r w:rsidR="00D72B40">
        <w:rPr>
          <w:color w:val="000000" w:themeColor="text1"/>
        </w:rPr>
        <w:fldChar w:fldCharType="begin" w:fldLock="1"/>
      </w:r>
      <w:r w:rsidR="00D72B40">
        <w:rPr>
          <w:color w:val="000000" w:themeColor="text1"/>
        </w:rPr>
        <w:instrText>ADDIN CSL_CITATION {"citationItems":[{"id":"ITEM-1","itemData":{"author":[{"dropping-particle":"","family":"Carlson","given":"K","non-dropping-particle":"","parse-names":false,"suffix":""},{"dropping-particle":"","family":"Wright","given":"J","non-dropping-particle":"","parse-names":false,"suffix":""},{"dropping-particle":"","family":"Dönges","given":"H","non-dropping-particle":"","parse-names":false,"suffix":""}],"container-title":"Small Arms Survey 2015","id":"ITEM-1","issued":{"date-parts":[["2015"]]},"page":"6-35","publisher":"Cambridge University Press, Cambridge, UK","title":"In the line of fire: elephant and rhino poaching in Africa","type":"chapter"},"uris":["http://www.mendeley.com/documents/?uuid=190f4198-bcbd-48df-b7d7-9c56913fe323"]}],"mendeley":{"formattedCitation":"(Carlson et al. 2015)","plainTextFormattedCitation":"(Carlson et al. 2015)","previouslyFormattedCitation":"(Carlson et al. 2015)"},"properties":{"noteIndex":0},"schema":"https://github.com/citation-style-language/schema/raw/master/csl-citation.json"}</w:instrText>
      </w:r>
      <w:r w:rsidR="00D72B40">
        <w:rPr>
          <w:color w:val="000000" w:themeColor="text1"/>
        </w:rPr>
        <w:fldChar w:fldCharType="separate"/>
      </w:r>
      <w:r w:rsidR="00D72B40" w:rsidRPr="00D72B40">
        <w:rPr>
          <w:noProof/>
          <w:color w:val="000000" w:themeColor="text1"/>
        </w:rPr>
        <w:t>(Carlson et al. 2015)</w:t>
      </w:r>
      <w:r w:rsidR="00D72B40">
        <w:rPr>
          <w:color w:val="000000" w:themeColor="text1"/>
        </w:rPr>
        <w:fldChar w:fldCharType="end"/>
      </w:r>
      <w:r w:rsidRPr="008F48FF">
        <w:rPr>
          <w:color w:val="000000" w:themeColor="text1"/>
        </w:rPr>
        <w:t xml:space="preserve">. </w:t>
      </w:r>
      <w:r w:rsidRPr="00DA4708">
        <w:rPr>
          <w:color w:val="000000" w:themeColor="text1"/>
        </w:rPr>
        <w:t>Countering organised</w:t>
      </w:r>
      <w:r w:rsidR="008F48FF">
        <w:rPr>
          <w:color w:val="000000" w:themeColor="text1"/>
        </w:rPr>
        <w:t xml:space="preserve"> illegal wildlife trade</w:t>
      </w:r>
      <w:r w:rsidRPr="00DA4708">
        <w:rPr>
          <w:color w:val="000000" w:themeColor="text1"/>
        </w:rPr>
        <w:t xml:space="preserve"> networks requires eradicating the market for illegal wildlife products</w:t>
      </w:r>
      <w:r w:rsidR="008F48FF">
        <w:rPr>
          <w:color w:val="000000" w:themeColor="text1"/>
        </w:rPr>
        <w:t xml:space="preserve"> </w:t>
      </w:r>
      <w:r w:rsidR="00C113E3" w:rsidRPr="00DA4708">
        <w:rPr>
          <w:color w:val="000000" w:themeColor="text1"/>
        </w:rPr>
        <w:t>by</w:t>
      </w:r>
      <w:r w:rsidR="008F48FF">
        <w:rPr>
          <w:color w:val="000000" w:themeColor="text1"/>
        </w:rPr>
        <w:t>:</w:t>
      </w:r>
      <w:r w:rsidRPr="00DA4708">
        <w:rPr>
          <w:color w:val="000000" w:themeColor="text1"/>
        </w:rPr>
        <w:t xml:space="preserve"> ensuring effective legal frameworks and deterrents; strengthening law enforcement</w:t>
      </w:r>
      <w:r w:rsidR="008F48FF">
        <w:rPr>
          <w:color w:val="000000" w:themeColor="text1"/>
        </w:rPr>
        <w:t xml:space="preserve"> and </w:t>
      </w:r>
      <w:r w:rsidRPr="00DA4708">
        <w:rPr>
          <w:color w:val="000000" w:themeColor="text1"/>
        </w:rPr>
        <w:t xml:space="preserve">supporting sustainable livelihoods and economic </w:t>
      </w:r>
      <w:r w:rsidRPr="0070404D">
        <w:rPr>
          <w:color w:val="000000" w:themeColor="text1"/>
        </w:rPr>
        <w:t>development</w:t>
      </w:r>
      <w:r>
        <w:rPr>
          <w:color w:val="000000" w:themeColor="text1"/>
        </w:rPr>
        <w:t xml:space="preserve"> </w:t>
      </w:r>
      <w:r w:rsidR="00D72B40">
        <w:rPr>
          <w:color w:val="000000" w:themeColor="text1"/>
        </w:rPr>
        <w:fldChar w:fldCharType="begin" w:fldLock="1"/>
      </w:r>
      <w:r w:rsidR="00B2630D">
        <w:rPr>
          <w:color w:val="000000" w:themeColor="text1"/>
        </w:rPr>
        <w:instrText>ADDIN CSL_CITATION {"citationItems":[{"id":"ITEM-1","itemData":{"author":[{"dropping-particle":"","family":"London Declaration on Illegal Wildlife Trade","given":"","non-dropping-particle":"","parse-names":false,"suffix":""}],"id":"ITEM-1","issued":{"date-parts":[["2014"]]},"publisher":"Accessed at: https://www.mofa.go.jp/mofaj/files/000027840.pdf","title":"London Conference on Illegal Wildlife Trade, 12-13 February 2014: Declaration","type":"book"},"uris":["http://www.mendeley.com/documents/?uuid=13dfedd9-e6aa-4649-9fa8-fc759a52e995"]}],"mendeley":{"formattedCitation":"(London Declaration on Illegal Wildlife Trade 2014)","plainTextFormattedCitation":"(London Declaration on Illegal Wildlife Trade 2014)","previouslyFormattedCitation":"(London Declaration on Illegal Wildlife Trade 2014)"},"properties":{"noteIndex":0},"schema":"https://github.com/citation-style-language/schema/raw/master/csl-citation.json"}</w:instrText>
      </w:r>
      <w:r w:rsidR="00D72B40">
        <w:rPr>
          <w:color w:val="000000" w:themeColor="text1"/>
        </w:rPr>
        <w:fldChar w:fldCharType="separate"/>
      </w:r>
      <w:r w:rsidR="00D72B40" w:rsidRPr="00D72B40">
        <w:rPr>
          <w:noProof/>
          <w:color w:val="000000" w:themeColor="text1"/>
        </w:rPr>
        <w:t>(London Declaration on Illegal Wildlife Trade 2014)</w:t>
      </w:r>
      <w:r w:rsidR="00D72B40">
        <w:rPr>
          <w:color w:val="000000" w:themeColor="text1"/>
        </w:rPr>
        <w:fldChar w:fldCharType="end"/>
      </w:r>
      <w:r w:rsidRPr="00785A38">
        <w:rPr>
          <w:color w:val="000000" w:themeColor="text1"/>
        </w:rPr>
        <w:t>.</w:t>
      </w:r>
      <w:r>
        <w:rPr>
          <w:color w:val="000000" w:themeColor="text1"/>
        </w:rPr>
        <w:t xml:space="preserve"> </w:t>
      </w:r>
    </w:p>
    <w:p w14:paraId="493A16E6" w14:textId="77777777" w:rsidR="009C025C" w:rsidRPr="004904D8" w:rsidRDefault="009C025C" w:rsidP="00C258BC">
      <w:pPr>
        <w:spacing w:after="0"/>
        <w:jc w:val="both"/>
        <w:rPr>
          <w:color w:val="000000" w:themeColor="text1"/>
        </w:rPr>
      </w:pPr>
    </w:p>
    <w:p w14:paraId="572CEA5E" w14:textId="5193506D" w:rsidR="008F48FF" w:rsidRDefault="00F171BA" w:rsidP="008F48FF">
      <w:pPr>
        <w:spacing w:after="0"/>
        <w:jc w:val="both"/>
        <w:rPr>
          <w:color w:val="000000" w:themeColor="text1"/>
        </w:rPr>
      </w:pPr>
      <w:r w:rsidRPr="004904D8">
        <w:rPr>
          <w:color w:val="000000" w:themeColor="text1"/>
        </w:rPr>
        <w:lastRenderedPageBreak/>
        <w:t xml:space="preserve">In </w:t>
      </w:r>
      <w:r w:rsidR="00AB48A3" w:rsidRPr="00DA4708">
        <w:rPr>
          <w:color w:val="000000" w:themeColor="text1"/>
        </w:rPr>
        <w:t>rural communities</w:t>
      </w:r>
      <w:r w:rsidR="00251BC1" w:rsidRPr="00DA4708">
        <w:rPr>
          <w:color w:val="000000" w:themeColor="text1"/>
        </w:rPr>
        <w:t xml:space="preserve"> where</w:t>
      </w:r>
      <w:r w:rsidR="00F522D0" w:rsidRPr="00DA4708">
        <w:rPr>
          <w:color w:val="000000" w:themeColor="text1"/>
        </w:rPr>
        <w:t xml:space="preserve"> wild meat use is </w:t>
      </w:r>
      <w:r w:rsidR="004904D8" w:rsidRPr="00DA4708">
        <w:rPr>
          <w:color w:val="000000" w:themeColor="text1"/>
        </w:rPr>
        <w:t xml:space="preserve">critical </w:t>
      </w:r>
      <w:r w:rsidR="00F522D0" w:rsidRPr="00DA4708">
        <w:rPr>
          <w:color w:val="000000" w:themeColor="text1"/>
        </w:rPr>
        <w:t>for local livelihoods</w:t>
      </w:r>
      <w:r w:rsidR="004904D8" w:rsidRPr="00DA4708">
        <w:rPr>
          <w:color w:val="000000" w:themeColor="text1"/>
        </w:rPr>
        <w:t>, but where hunting offtakes have become unsustainable, ensuring sustainability of supply remains important for human well-being.</w:t>
      </w:r>
      <w:r w:rsidR="00CB6D3F" w:rsidRPr="00DA4708">
        <w:rPr>
          <w:color w:val="000000" w:themeColor="text1"/>
        </w:rPr>
        <w:t xml:space="preserve"> </w:t>
      </w:r>
      <w:r w:rsidR="00F522D0" w:rsidRPr="00DA4708">
        <w:rPr>
          <w:color w:val="000000" w:themeColor="text1"/>
        </w:rPr>
        <w:t>In the past, c</w:t>
      </w:r>
      <w:r w:rsidR="008F46E1" w:rsidRPr="00DA4708">
        <w:rPr>
          <w:color w:val="000000" w:themeColor="text1"/>
        </w:rPr>
        <w:t xml:space="preserve">ustomary hunting management </w:t>
      </w:r>
      <w:r w:rsidR="00FD066F" w:rsidRPr="00DA4708">
        <w:rPr>
          <w:color w:val="000000" w:themeColor="text1"/>
        </w:rPr>
        <w:t xml:space="preserve">often </w:t>
      </w:r>
      <w:r w:rsidR="008F46E1" w:rsidRPr="00DA4708">
        <w:rPr>
          <w:color w:val="000000" w:themeColor="text1"/>
        </w:rPr>
        <w:t>involved</w:t>
      </w:r>
      <w:r w:rsidR="00251BC1" w:rsidRPr="00DA4708">
        <w:rPr>
          <w:color w:val="000000" w:themeColor="text1"/>
        </w:rPr>
        <w:t xml:space="preserve"> </w:t>
      </w:r>
      <w:r w:rsidR="008F46E1" w:rsidRPr="00DA4708">
        <w:rPr>
          <w:color w:val="000000" w:themeColor="text1"/>
        </w:rPr>
        <w:t>a rotation of hunting areas</w:t>
      </w:r>
      <w:r w:rsidR="00CE66DC" w:rsidRPr="00DA4708">
        <w:rPr>
          <w:color w:val="000000" w:themeColor="text1"/>
        </w:rPr>
        <w:t>,</w:t>
      </w:r>
      <w:r w:rsidR="00251BC1" w:rsidRPr="00DA4708">
        <w:rPr>
          <w:color w:val="000000" w:themeColor="text1"/>
        </w:rPr>
        <w:t xml:space="preserve"> whereby when wildlife is depleted in one area, people moved hunting grounds</w:t>
      </w:r>
      <w:r w:rsidR="00CE66DC" w:rsidRPr="00DA4708">
        <w:rPr>
          <w:color w:val="000000" w:themeColor="text1"/>
        </w:rPr>
        <w:t xml:space="preserve"> or villages </w:t>
      </w:r>
      <w:r w:rsidR="00251BC1" w:rsidRPr="00DA4708">
        <w:rPr>
          <w:color w:val="000000" w:themeColor="text1"/>
        </w:rPr>
        <w:t>to other areas, allowing prey populations to recover</w:t>
      </w:r>
      <w:r w:rsidR="00727BAD" w:rsidRPr="00DA4708">
        <w:rPr>
          <w:color w:val="000000" w:themeColor="text1"/>
        </w:rPr>
        <w:t>. T</w:t>
      </w:r>
      <w:r w:rsidR="008F46E1" w:rsidRPr="00DA4708">
        <w:rPr>
          <w:color w:val="000000" w:themeColor="text1"/>
        </w:rPr>
        <w:t xml:space="preserve">his is still the case for some uncontacted and nomadic groups </w:t>
      </w:r>
      <w:r w:rsidR="00D72B40">
        <w:rPr>
          <w:color w:val="000000" w:themeColor="text1"/>
        </w:rPr>
        <w:fldChar w:fldCharType="begin" w:fldLock="1"/>
      </w:r>
      <w:r w:rsidR="00BF3A09">
        <w:rPr>
          <w:color w:val="000000" w:themeColor="text1"/>
        </w:rPr>
        <w:instrText>ADDIN CSL_CITATION {"citationItems":[{"id":"ITEM-1","itemData":{"author":[{"dropping-particle":"","family":"Hames","given":"R","non-dropping-particle":"","parse-names":false,"suffix":""}],"id":"ITEM-1","issued":{"date-parts":[["1980"]]},"publisher":"Bennington College, Vermont, USA","title":"Studies in hunting and fishing in the Neotropics. Working Papers on the South American Indians, no. 2","type":"book"},"uris":["http://www.mendeley.com/documents/?uuid=3c58b499-7363-4615-8b74-15ed88b7d768"]},{"id":"ITEM-2","itemData":{"author":[{"dropping-particle":"","family":"Huertas Castillo","given":"B","non-dropping-particle":"","parse-names":false,"suffix":""}],"id":"ITEM-2","issued":{"date-parts":[["2004"]]},"publisher":"IWGIA, Copenhagen, Denmark","title":"Indigenous peoples in isolation in the Peruvian Amazon: their struggle for survival and freedom. Document No. 100","type":"book"},"uris":["http://www.mendeley.com/documents/?uuid=b0d54bcd-a9a8-46df-855f-61c12815bb4f"]}],"mendeley":{"formattedCitation":"(Hames 1980; Huertas Castillo 2004)","plainTextFormattedCitation":"(Hames 1980; Huertas Castillo 2004)","previouslyFormattedCitation":"(Hames 1980; Huertas Castillo 2004)"},"properties":{"noteIndex":0},"schema":"https://github.com/citation-style-language/schema/raw/master/csl-citation.json"}</w:instrText>
      </w:r>
      <w:r w:rsidR="00D72B40">
        <w:rPr>
          <w:color w:val="000000" w:themeColor="text1"/>
        </w:rPr>
        <w:fldChar w:fldCharType="separate"/>
      </w:r>
      <w:r w:rsidR="00D72B40" w:rsidRPr="00D72B40">
        <w:rPr>
          <w:noProof/>
          <w:color w:val="000000" w:themeColor="text1"/>
        </w:rPr>
        <w:t>(Hames 1980; Huertas Castillo 2004)</w:t>
      </w:r>
      <w:r w:rsidR="00D72B40">
        <w:rPr>
          <w:color w:val="000000" w:themeColor="text1"/>
        </w:rPr>
        <w:fldChar w:fldCharType="end"/>
      </w:r>
      <w:r w:rsidR="00251BC1" w:rsidRPr="00DA4708">
        <w:rPr>
          <w:color w:val="000000" w:themeColor="text1"/>
        </w:rPr>
        <w:t xml:space="preserve">. However, nomadic lifestyles are becoming less common as </w:t>
      </w:r>
      <w:r w:rsidR="008251E2" w:rsidRPr="00DA4708">
        <w:rPr>
          <w:color w:val="000000" w:themeColor="text1"/>
        </w:rPr>
        <w:t xml:space="preserve">the last nomadic </w:t>
      </w:r>
      <w:r w:rsidR="007A3FE2" w:rsidRPr="00DA4708">
        <w:rPr>
          <w:color w:val="000000" w:themeColor="text1"/>
        </w:rPr>
        <w:t>hunter-gatherers</w:t>
      </w:r>
      <w:r w:rsidR="00251BC1" w:rsidRPr="00DA4708">
        <w:rPr>
          <w:color w:val="000000" w:themeColor="text1"/>
        </w:rPr>
        <w:t xml:space="preserve"> </w:t>
      </w:r>
      <w:r w:rsidR="0070404D" w:rsidRPr="00DA4708">
        <w:rPr>
          <w:color w:val="000000" w:themeColor="text1"/>
        </w:rPr>
        <w:t>b</w:t>
      </w:r>
      <w:r w:rsidR="0070404D" w:rsidRPr="004904D8">
        <w:rPr>
          <w:color w:val="000000" w:themeColor="text1"/>
        </w:rPr>
        <w:t xml:space="preserve">ecome sedentary </w:t>
      </w:r>
      <w:r w:rsidR="00251BC1" w:rsidRPr="004904D8">
        <w:rPr>
          <w:color w:val="000000" w:themeColor="text1"/>
        </w:rPr>
        <w:t xml:space="preserve">around </w:t>
      </w:r>
      <w:r w:rsidR="0070404D">
        <w:rPr>
          <w:color w:val="000000" w:themeColor="text1"/>
        </w:rPr>
        <w:t>assets and services</w:t>
      </w:r>
      <w:r w:rsidR="00251BC1" w:rsidRPr="0070404D">
        <w:rPr>
          <w:color w:val="000000" w:themeColor="text1"/>
        </w:rPr>
        <w:t xml:space="preserve">, </w:t>
      </w:r>
      <w:r w:rsidR="00FD066F" w:rsidRPr="0070404D">
        <w:rPr>
          <w:color w:val="000000" w:themeColor="text1"/>
        </w:rPr>
        <w:t>such as health</w:t>
      </w:r>
      <w:r w:rsidR="00251BC1" w:rsidRPr="0070404D">
        <w:rPr>
          <w:color w:val="000000" w:themeColor="text1"/>
        </w:rPr>
        <w:t xml:space="preserve">care or schools, and land tenure reforms lead to the enclosure and </w:t>
      </w:r>
      <w:r w:rsidR="004904D8">
        <w:rPr>
          <w:color w:val="000000" w:themeColor="text1"/>
        </w:rPr>
        <w:t xml:space="preserve">titled </w:t>
      </w:r>
      <w:r w:rsidR="00251BC1" w:rsidRPr="0070404D">
        <w:rPr>
          <w:color w:val="000000" w:themeColor="text1"/>
        </w:rPr>
        <w:t>ownership of lands</w:t>
      </w:r>
      <w:r w:rsidR="00251BC1" w:rsidRPr="004904D8">
        <w:rPr>
          <w:color w:val="000000" w:themeColor="text1"/>
        </w:rPr>
        <w:t xml:space="preserve">. </w:t>
      </w:r>
      <w:r w:rsidR="008F48FF">
        <w:rPr>
          <w:color w:val="000000" w:themeColor="text1"/>
        </w:rPr>
        <w:t>In these circumstances, communities are faced with managing hunting at sustainable levels</w:t>
      </w:r>
      <w:r w:rsidR="00251BC1" w:rsidRPr="004904D8">
        <w:rPr>
          <w:color w:val="000000" w:themeColor="text1"/>
        </w:rPr>
        <w:t xml:space="preserve"> on </w:t>
      </w:r>
      <w:r w:rsidR="004904D8">
        <w:rPr>
          <w:color w:val="000000" w:themeColor="text1"/>
        </w:rPr>
        <w:t>lands that they have access to</w:t>
      </w:r>
      <w:r w:rsidR="00251BC1" w:rsidRPr="004904D8">
        <w:rPr>
          <w:color w:val="000000" w:themeColor="text1"/>
        </w:rPr>
        <w:t xml:space="preserve">, </w:t>
      </w:r>
      <w:r w:rsidR="008F48FF">
        <w:rPr>
          <w:color w:val="000000" w:themeColor="text1"/>
        </w:rPr>
        <w:t>and/</w:t>
      </w:r>
      <w:r w:rsidR="00251BC1" w:rsidRPr="004904D8">
        <w:rPr>
          <w:color w:val="000000" w:themeColor="text1"/>
        </w:rPr>
        <w:t>or adapt</w:t>
      </w:r>
      <w:r w:rsidR="008F48FF">
        <w:rPr>
          <w:color w:val="000000" w:themeColor="text1"/>
        </w:rPr>
        <w:t>ing</w:t>
      </w:r>
      <w:r w:rsidR="00251BC1" w:rsidRPr="004904D8">
        <w:rPr>
          <w:color w:val="000000" w:themeColor="text1"/>
        </w:rPr>
        <w:t xml:space="preserve"> their livelihoods and </w:t>
      </w:r>
      <w:r w:rsidR="00C113E3">
        <w:rPr>
          <w:color w:val="000000" w:themeColor="text1"/>
        </w:rPr>
        <w:t xml:space="preserve">often their traditional social </w:t>
      </w:r>
      <w:r w:rsidR="00C113E3" w:rsidRPr="00DA4708">
        <w:rPr>
          <w:color w:val="000000" w:themeColor="text1"/>
        </w:rPr>
        <w:t xml:space="preserve">structures, in order to </w:t>
      </w:r>
      <w:r w:rsidR="00251BC1" w:rsidRPr="00DA4708">
        <w:rPr>
          <w:color w:val="000000" w:themeColor="text1"/>
        </w:rPr>
        <w:t>find additional or alternative sources of nutrition where available (e.g. fish or domestic livestock).</w:t>
      </w:r>
      <w:r w:rsidR="008F48FF">
        <w:rPr>
          <w:color w:val="000000" w:themeColor="text1"/>
        </w:rPr>
        <w:t xml:space="preserve"> </w:t>
      </w:r>
    </w:p>
    <w:p w14:paraId="260DB67A" w14:textId="77777777" w:rsidR="008F48FF" w:rsidRDefault="008F48FF" w:rsidP="008F48FF">
      <w:pPr>
        <w:spacing w:after="0"/>
        <w:jc w:val="both"/>
        <w:rPr>
          <w:color w:val="000000" w:themeColor="text1"/>
        </w:rPr>
      </w:pPr>
    </w:p>
    <w:p w14:paraId="51B153F9" w14:textId="6DBBBB6F" w:rsidR="008F48FF" w:rsidRPr="00DA4708" w:rsidRDefault="008F48FF" w:rsidP="000D681F">
      <w:pPr>
        <w:jc w:val="both"/>
      </w:pPr>
      <w:r w:rsidRPr="00DA4708">
        <w:t xml:space="preserve">Wild species that reproduce fast and are sustainably managed can provide nutrition and income to rural local communities in the tropics in the long term. This is the case of small ungulates such as duikers in Africa, and deer in South America and Asia, and large rodent species (e.g. porcupines, rats) in all continents </w:t>
      </w:r>
      <w:r w:rsidRPr="00DA4708">
        <w:fldChar w:fldCharType="begin" w:fldLock="1"/>
      </w:r>
      <w:r w:rsidR="00D72B40">
        <w:instrText>ADDIN CSL_CITATION {"citationItems":[{"id":"ITEM-1","itemData":{"DOI":"10.1017/S1367943004001532","author":[{"dropping-particle":"","family":"Robinson","given":"John G","non-dropping-particle":"","parse-names":false,"suffix":""},{"dropping-particle":"","family":"Bennett","given":"Elizabeth L","non-dropping-particle":"","parse-names":false,"suffix":""}],"container-title":"Animal Conservation","id":"ITEM-1","issued":{"date-parts":[["2004"]]},"page":"397-408","title":"Having your wildlife and eating it too: an analysis of hunting sustainability across tropical ecosystems","type":"article-journal","volume":"7"},"uris":["http://www.mendeley.com/documents/?uuid=081b2359-707f-4126-8bc5-61422cfc0683"]}],"mendeley":{"formattedCitation":"(Robinson &amp; Bennett 2004)","manualFormatting":"(Robinson and Bennett, 2004)","plainTextFormattedCitation":"(Robinson &amp; Bennett 2004)","previouslyFormattedCitation":"(Robinson &amp; Bennett 2004)"},"properties":{"noteIndex":0},"schema":"https://github.com/citation-style-language/schema/raw/master/csl-citation.json"}</w:instrText>
      </w:r>
      <w:r w:rsidRPr="00DA4708">
        <w:fldChar w:fldCharType="separate"/>
      </w:r>
      <w:r w:rsidRPr="00DA4708">
        <w:rPr>
          <w:noProof/>
        </w:rPr>
        <w:t>(Robinson and Bennett, 2004)</w:t>
      </w:r>
      <w:r w:rsidRPr="00DA4708">
        <w:fldChar w:fldCharType="end"/>
      </w:r>
      <w:r w:rsidRPr="00DA4708">
        <w:t xml:space="preserve">. In these cases, a first priority must be for local communities to secure their access rights to wildlife, and to strengthen measures for excluding external hunters from village hunting grounds. This leads to a closed-access system in which rural communities have the potential and incentives to manage their own hunting activities. Alongside this, enforcement mechanisms (via national legislation) </w:t>
      </w:r>
      <w:r>
        <w:t>to</w:t>
      </w:r>
      <w:r w:rsidRPr="00DA4708">
        <w:t xml:space="preserve"> prevent hunting gangs and wildlife trafficking networks </w:t>
      </w:r>
      <w:r>
        <w:t xml:space="preserve">from </w:t>
      </w:r>
      <w:r w:rsidRPr="00DA4708">
        <w:t>entering c</w:t>
      </w:r>
      <w:r>
        <w:t>ommunity territories and depleting</w:t>
      </w:r>
      <w:r w:rsidRPr="00DA4708">
        <w:t xml:space="preserve"> their wildlife resources are critical.</w:t>
      </w:r>
    </w:p>
    <w:p w14:paraId="37C1FBB0" w14:textId="7C092D0F" w:rsidR="003F11C0" w:rsidRPr="00DA4708" w:rsidRDefault="008F48FF" w:rsidP="000D681F">
      <w:pPr>
        <w:jc w:val="both"/>
      </w:pPr>
      <w:r>
        <w:t>While</w:t>
      </w:r>
      <w:r w:rsidR="00DA4708" w:rsidRPr="00DA4708">
        <w:t xml:space="preserve"> local human populations become more sedentary, the mobility </w:t>
      </w:r>
      <w:r>
        <w:t>of hunted species populations has</w:t>
      </w:r>
      <w:r w:rsidR="00DA4708" w:rsidRPr="00DA4708">
        <w:t xml:space="preserve"> also</w:t>
      </w:r>
      <w:r>
        <w:t xml:space="preserve"> been</w:t>
      </w:r>
      <w:r w:rsidR="00DA4708" w:rsidRPr="00DA4708">
        <w:t xml:space="preserve"> decreasing, as ever-</w:t>
      </w:r>
      <w:r w:rsidR="00AC3005" w:rsidRPr="00DA4708">
        <w:t>more intensive land management result</w:t>
      </w:r>
      <w:r w:rsidR="00DA4708" w:rsidRPr="00DA4708">
        <w:t>s</w:t>
      </w:r>
      <w:r w:rsidR="00AC3005" w:rsidRPr="00DA4708">
        <w:t xml:space="preserve"> in the reduction and fragmentation of wild habitats </w:t>
      </w:r>
      <w:r w:rsidR="00AC3005" w:rsidRPr="00DA4708">
        <w:fldChar w:fldCharType="begin" w:fldLock="1"/>
      </w:r>
      <w:r w:rsidR="00D72B40">
        <w:instrText>ADDIN CSL_CITATION {"citationItems":[{"id":"ITEM-1","itemData":{"DOI":"10.1016/j.cub.2016.08.049","ISBN":"0960-9822","ISSN":"09609822","PMID":"27618267","abstract":"Humans have altered terrestrial ecosystems for millennia [1], yet wilderness areas still remain as vital refugia where natural ecological and evolutionary processes operate with minimal human disturbance [2???4], underpinning key regional- and planetary-scale functions [5, 6]. Despite the myriad values of wilderness areas???as critical strongholds for endangered biodiversity [7], for carbon storage and sequestration [8], for buffering and regulating local climates [9], and for supporting many of the world's most politically and economically marginalized communities [10]???they are almost entirely ignored in multilateral environmental agreements. This is because they are assumed to be relatively free from threatening processes and therefore are not a priority for conservation efforts [11, 12]. Here we challenge this assertion using new comparable maps of global wilderness following methods established in the original ???last of the wild??? analysis [13] to examine the change in extent since the early 1990s. We demonstrate alarming losses comprising one-tenth (3.3 million km2) of global wilderness areas over the last two decades, particularly in the Amazon (30%) and central Africa (14%). We assess increases in the protection of wilderness over the same time frame and show that these efforts are failing to keep pace with the rate of wilderness loss, which is nearly double the rate of??protection. Our findings underscore an immediate need for international policies to recognize the??vital values of wilderness and the unprecedented threats they face and to underscore urgent large-scale, multifaceted actions needed to maintain them.","author":[{"dropping-particle":"","family":"Watson","given":"James E M","non-dropping-particle":"","parse-names":false,"suffix":""},{"dropping-particle":"","family":"Shanahan","given":"Danielle F.","non-dropping-particle":"","parse-names":false,"suffix":""},{"dropping-particle":"","family":"Marco","given":"Moreno","non-dropping-particle":"Di","parse-names":false,"suffix":""},{"dropping-particle":"","family":"Allan","given":"James","non-dropping-particle":"","parse-names":false,"suffix":""},{"dropping-particle":"","family":"Laurance","given":"William F.","non-dropping-particle":"","parse-names":false,"suffix":""},{"dropping-particle":"","family":"Sanderson","given":"Eric W.","non-dropping-particle":"","parse-names":false,"suffix":""},{"dropping-particle":"","family":"Mackey","given":"Brendan","non-dropping-particle":"","parse-names":false,"suffix":""},{"dropping-particle":"","family":"Venter","given":"Oscar","non-dropping-particle":"","parse-names":false,"suffix":""}],"container-title":"Current Biology","id":"ITEM-1","issue":"21","issued":{"date-parts":[["2016"]]},"page":"2929-2934","publisher":"Elsevier Ltd.","title":"Catastrophic declines in wilderness areas undermine global environment targets","type":"article-journal","volume":"26"},"uris":["http://www.mendeley.com/documents/?uuid=4c7a4740-3fee-434d-a9dd-fcd6a130e33f"]}],"mendeley":{"formattedCitation":"(Watson et al. 2016)","manualFormatting":"(Watson et al., 2016)","plainTextFormattedCitation":"(Watson et al. 2016)","previouslyFormattedCitation":"(Watson et al. 2016)"},"properties":{"noteIndex":0},"schema":"https://github.com/citation-style-language/schema/raw/master/csl-citation.json"}</w:instrText>
      </w:r>
      <w:r w:rsidR="00AC3005" w:rsidRPr="00DA4708">
        <w:fldChar w:fldCharType="separate"/>
      </w:r>
      <w:r w:rsidR="00AC3005" w:rsidRPr="00DA4708">
        <w:rPr>
          <w:noProof/>
        </w:rPr>
        <w:t>(Watson et al.</w:t>
      </w:r>
      <w:r w:rsidR="00026DF0">
        <w:rPr>
          <w:noProof/>
        </w:rPr>
        <w:t>,</w:t>
      </w:r>
      <w:r w:rsidR="00AC3005" w:rsidRPr="00DA4708">
        <w:rPr>
          <w:noProof/>
        </w:rPr>
        <w:t xml:space="preserve"> 2016)</w:t>
      </w:r>
      <w:r w:rsidR="00AC3005" w:rsidRPr="00DA4708">
        <w:fldChar w:fldCharType="end"/>
      </w:r>
      <w:r w:rsidR="00AC3005" w:rsidRPr="00DA4708">
        <w:t>.</w:t>
      </w:r>
      <w:r w:rsidR="00DA4708" w:rsidRPr="00DA4708">
        <w:t xml:space="preserve"> </w:t>
      </w:r>
      <w:r>
        <w:t>E</w:t>
      </w:r>
      <w:r w:rsidR="00AC3005" w:rsidRPr="00DA4708">
        <w:t xml:space="preserve">fforts to manage hunting sustainably </w:t>
      </w:r>
      <w:r w:rsidRPr="00DA4708">
        <w:t>might be undermined if the causes of habitat loss are not adequately assessed and controlled</w:t>
      </w:r>
      <w:r>
        <w:t>. S</w:t>
      </w:r>
      <w:r w:rsidRPr="00DA4708">
        <w:t xml:space="preserve">uccessful management of hunting will </w:t>
      </w:r>
      <w:r>
        <w:t xml:space="preserve">often </w:t>
      </w:r>
      <w:r w:rsidRPr="00DA4708">
        <w:t>require joint and collaborative efforts between sectors that often fall into different Ministries: forestry, mining, infrastructure, agriculture, social affairs, wildlife and fisheries.</w:t>
      </w:r>
      <w:r>
        <w:t xml:space="preserve"> </w:t>
      </w:r>
      <w:r w:rsidR="00DA4708" w:rsidRPr="00DA4708">
        <w:t>To e</w:t>
      </w:r>
      <w:r w:rsidR="003F11C0" w:rsidRPr="00DA4708">
        <w:t xml:space="preserve">nsure the future sustainability of wildlife and its uses, today’s harvesting approaches </w:t>
      </w:r>
      <w:r w:rsidR="00DA4708" w:rsidRPr="00DA4708">
        <w:t xml:space="preserve">must also </w:t>
      </w:r>
      <w:r w:rsidR="003F11C0" w:rsidRPr="00DA4708">
        <w:t>be adaptively managed</w:t>
      </w:r>
      <w:r w:rsidR="004002CC" w:rsidRPr="00DA4708">
        <w:t xml:space="preserve">, </w:t>
      </w:r>
      <w:r w:rsidR="00872785" w:rsidRPr="00DA4708">
        <w:t xml:space="preserve">a process </w:t>
      </w:r>
      <w:r w:rsidR="004002CC" w:rsidRPr="00DA4708">
        <w:t>requir</w:t>
      </w:r>
      <w:r w:rsidR="00872785" w:rsidRPr="00DA4708">
        <w:t>ing</w:t>
      </w:r>
      <w:r w:rsidR="004002CC" w:rsidRPr="00DA4708">
        <w:t xml:space="preserve"> iterative decision-making (evaluating results and adjusting actions on the basis of what has been learned).</w:t>
      </w:r>
      <w:r>
        <w:t xml:space="preserve"> </w:t>
      </w:r>
    </w:p>
    <w:p w14:paraId="4A2B5571" w14:textId="562C06C4" w:rsidR="00BC741A" w:rsidRPr="004904D8" w:rsidRDefault="00BC741A" w:rsidP="00DF57F3">
      <w:pPr>
        <w:pStyle w:val="Heading2"/>
      </w:pPr>
      <w:bookmarkStart w:id="23" w:name="_Toc519156074"/>
      <w:bookmarkStart w:id="24" w:name="_Toc529390332"/>
      <w:r w:rsidRPr="004904D8">
        <w:t xml:space="preserve">Call for technical guidance on </w:t>
      </w:r>
      <w:bookmarkEnd w:id="23"/>
      <w:r w:rsidR="007A3FE2" w:rsidRPr="004904D8">
        <w:t>wild meat</w:t>
      </w:r>
      <w:bookmarkEnd w:id="24"/>
    </w:p>
    <w:p w14:paraId="6A006737" w14:textId="4D16C378" w:rsidR="00727BAD" w:rsidRDefault="00BC741A" w:rsidP="00C258BC">
      <w:pPr>
        <w:jc w:val="both"/>
        <w:rPr>
          <w:color w:val="000000" w:themeColor="text1"/>
        </w:rPr>
      </w:pPr>
      <w:r w:rsidRPr="004904D8">
        <w:rPr>
          <w:color w:val="000000" w:themeColor="text1"/>
        </w:rPr>
        <w:t xml:space="preserve">During the World Forestry Congress in Durban (2015), in a Wildlife Forum event organized by </w:t>
      </w:r>
      <w:r w:rsidR="003F03C5">
        <w:rPr>
          <w:color w:val="000000" w:themeColor="text1"/>
        </w:rPr>
        <w:t>the</w:t>
      </w:r>
      <w:r w:rsidR="003F03C5" w:rsidRPr="003F03C5">
        <w:t xml:space="preserve"> </w:t>
      </w:r>
      <w:r w:rsidR="003F03C5" w:rsidRPr="003F03C5">
        <w:rPr>
          <w:color w:val="000000" w:themeColor="text1"/>
        </w:rPr>
        <w:t>Collaborative Partnership on Sustainable Wildlife Management</w:t>
      </w:r>
      <w:r w:rsidR="003F03C5">
        <w:rPr>
          <w:color w:val="000000" w:themeColor="text1"/>
        </w:rPr>
        <w:t xml:space="preserve"> (</w:t>
      </w:r>
      <w:r w:rsidRPr="00026DF0">
        <w:rPr>
          <w:color w:val="000000" w:themeColor="text1"/>
        </w:rPr>
        <w:t>CPW</w:t>
      </w:r>
      <w:r w:rsidR="003F03C5">
        <w:rPr>
          <w:color w:val="000000" w:themeColor="text1"/>
        </w:rPr>
        <w:t>)</w:t>
      </w:r>
      <w:r w:rsidRPr="004904D8">
        <w:rPr>
          <w:color w:val="000000" w:themeColor="text1"/>
        </w:rPr>
        <w:t xml:space="preserve">, </w:t>
      </w:r>
      <w:r w:rsidR="003F03C5" w:rsidRPr="003F03C5">
        <w:rPr>
          <w:color w:val="000000" w:themeColor="text1"/>
        </w:rPr>
        <w:t>Center for International Forestry Research</w:t>
      </w:r>
      <w:r w:rsidR="003F03C5">
        <w:rPr>
          <w:color w:val="000000" w:themeColor="text1"/>
        </w:rPr>
        <w:t xml:space="preserve"> (</w:t>
      </w:r>
      <w:r w:rsidRPr="00026DF0">
        <w:rPr>
          <w:color w:val="000000" w:themeColor="text1"/>
        </w:rPr>
        <w:t>CIFOR</w:t>
      </w:r>
      <w:r w:rsidR="003F03C5">
        <w:rPr>
          <w:color w:val="000000" w:themeColor="text1"/>
        </w:rPr>
        <w:t>)</w:t>
      </w:r>
      <w:r w:rsidRPr="004904D8">
        <w:rPr>
          <w:color w:val="000000" w:themeColor="text1"/>
        </w:rPr>
        <w:t xml:space="preserve"> presented a roadmap for securing wildlife and food security </w:t>
      </w:r>
      <w:r w:rsidR="00EF2129">
        <w:rPr>
          <w:color w:val="000000" w:themeColor="text1"/>
        </w:rPr>
        <w:fldChar w:fldCharType="begin" w:fldLock="1"/>
      </w:r>
      <w:r w:rsidR="00B2630D">
        <w:rPr>
          <w:color w:val="000000" w:themeColor="text1"/>
        </w:rPr>
        <w:instrText>ADDIN CSL_CITATION {"citationItems":[{"id":"ITEM-1","itemData":{"author":[{"dropping-particle":"","family":"Nasi","given":"R","non-dropping-particle":"","parse-names":false,"suffix":""},{"dropping-particle":"","family":"Fa","given":"J E","non-dropping-particle":"","parse-names":false,"suffix":""}],"id":"ITEM-1","issued":{"date-parts":[["2015"]]},"publisher":"Durban, South Africa","title":"The role of bushmeat in food security and nutrition. Paper presented in the XIV World Forestry Congress 7-11 September 2015","type":"book"},"uris":["http://www.mendeley.com/documents/?uuid=8b9d8149-f954-41f8-b410-69d974a4c2de"]}],"mendeley":{"formattedCitation":"(Nasi &amp; Fa 2015)","manualFormatting":"(Nasi and Fa, 2015)","plainTextFormattedCitation":"(Nasi &amp; Fa 2015)","previouslyFormattedCitation":"(Nasi &amp; Fa 2015)"},"properties":{"noteIndex":0},"schema":"https://github.com/citation-style-language/schema/raw/master/csl-citation.json"}</w:instrText>
      </w:r>
      <w:r w:rsidR="00EF2129">
        <w:rPr>
          <w:color w:val="000000" w:themeColor="text1"/>
        </w:rPr>
        <w:fldChar w:fldCharType="separate"/>
      </w:r>
      <w:r w:rsidR="00EF2129" w:rsidRPr="00EF2129">
        <w:rPr>
          <w:noProof/>
          <w:color w:val="000000" w:themeColor="text1"/>
        </w:rPr>
        <w:t xml:space="preserve">(Nasi </w:t>
      </w:r>
      <w:r w:rsidR="00037F04">
        <w:rPr>
          <w:noProof/>
          <w:color w:val="000000" w:themeColor="text1"/>
        </w:rPr>
        <w:t>and</w:t>
      </w:r>
      <w:r w:rsidR="00EF2129" w:rsidRPr="00EF2129">
        <w:rPr>
          <w:noProof/>
          <w:color w:val="000000" w:themeColor="text1"/>
        </w:rPr>
        <w:t xml:space="preserve"> Fa</w:t>
      </w:r>
      <w:r w:rsidR="00037F04">
        <w:rPr>
          <w:noProof/>
          <w:color w:val="000000" w:themeColor="text1"/>
        </w:rPr>
        <w:t>,</w:t>
      </w:r>
      <w:r w:rsidR="00EF2129" w:rsidRPr="00EF2129">
        <w:rPr>
          <w:noProof/>
          <w:color w:val="000000" w:themeColor="text1"/>
        </w:rPr>
        <w:t xml:space="preserve"> 2015)</w:t>
      </w:r>
      <w:r w:rsidR="00EF2129">
        <w:rPr>
          <w:color w:val="000000" w:themeColor="text1"/>
        </w:rPr>
        <w:fldChar w:fldCharType="end"/>
      </w:r>
      <w:r w:rsidRPr="004904D8">
        <w:rPr>
          <w:color w:val="000000" w:themeColor="text1"/>
        </w:rPr>
        <w:t xml:space="preserve">. </w:t>
      </w:r>
      <w:r w:rsidR="00727BAD" w:rsidRPr="004904D8">
        <w:rPr>
          <w:color w:val="000000" w:themeColor="text1"/>
        </w:rPr>
        <w:t xml:space="preserve">Subsequently, </w:t>
      </w:r>
      <w:r w:rsidR="00727BAD">
        <w:rPr>
          <w:color w:val="000000" w:themeColor="text1"/>
        </w:rPr>
        <w:t>the Conference of the Parties</w:t>
      </w:r>
      <w:r w:rsidR="00080C8D">
        <w:rPr>
          <w:color w:val="000000" w:themeColor="text1"/>
        </w:rPr>
        <w:t xml:space="preserve"> (COP) </w:t>
      </w:r>
      <w:r w:rsidR="00727BAD" w:rsidRPr="00026DF0">
        <w:rPr>
          <w:color w:val="000000" w:themeColor="text1"/>
        </w:rPr>
        <w:t xml:space="preserve">to the </w:t>
      </w:r>
      <w:r w:rsidR="00A479D2" w:rsidRPr="00026DF0">
        <w:rPr>
          <w:color w:val="000000" w:themeColor="text1"/>
        </w:rPr>
        <w:t>Convention</w:t>
      </w:r>
      <w:r w:rsidR="00727BAD" w:rsidRPr="00026DF0">
        <w:rPr>
          <w:color w:val="000000" w:themeColor="text1"/>
        </w:rPr>
        <w:t xml:space="preserve"> on Biological Diversity held their thirteen </w:t>
      </w:r>
      <w:r w:rsidR="00A479D2" w:rsidRPr="00026DF0">
        <w:rPr>
          <w:color w:val="000000" w:themeColor="text1"/>
        </w:rPr>
        <w:t>meeting</w:t>
      </w:r>
      <w:r w:rsidR="00727BAD" w:rsidRPr="00026DF0">
        <w:rPr>
          <w:color w:val="000000" w:themeColor="text1"/>
        </w:rPr>
        <w:t xml:space="preserve"> (COP 13), in Cancun in 2016, and adopted a decision to elaborate a technical guidance building from the roadmap presented in Durban (UNEP/CBD/COP/DEC/XIII/8)</w:t>
      </w:r>
      <w:r w:rsidR="00BF3A09">
        <w:rPr>
          <w:color w:val="000000" w:themeColor="text1"/>
        </w:rPr>
        <w:t xml:space="preserve"> </w:t>
      </w:r>
      <w:r w:rsidR="00BF3A09">
        <w:rPr>
          <w:color w:val="000000" w:themeColor="text1"/>
        </w:rPr>
        <w:fldChar w:fldCharType="begin" w:fldLock="1"/>
      </w:r>
      <w:r w:rsidR="00A0144E">
        <w:rPr>
          <w:color w:val="000000" w:themeColor="text1"/>
        </w:rPr>
        <w:instrText>ADDIN CSL_CITATION {"citationItems":[{"id":"ITEM-1","itemData":{"author":[{"dropping-particle":"","family":"CBD","given":"","non-dropping-particle":"","parse-names":false,"suffix":""}],"id":"ITEM-1","issue":"December","issued":{"date-parts":[["2016"]]},"number-of-pages":"7-9","title":"UNEP/CBD/COP/DEC/XIII/8","type":"report"},"uris":["http://www.mendeley.com/documents/?uuid=5ff5d83c-d8f1-49dd-a105-f9b151f95a50"]}],"mendeley":{"formattedCitation":"(CBD 2016)","plainTextFormattedCitation":"(CBD 2016)","previouslyFormattedCitation":"(CBD 2016)"},"properties":{"noteIndex":0},"schema":"https://github.com/citation-style-language/schema/raw/master/csl-citation.json"}</w:instrText>
      </w:r>
      <w:r w:rsidR="00BF3A09">
        <w:rPr>
          <w:color w:val="000000" w:themeColor="text1"/>
        </w:rPr>
        <w:fldChar w:fldCharType="separate"/>
      </w:r>
      <w:r w:rsidR="00BF3A09" w:rsidRPr="00BF3A09">
        <w:rPr>
          <w:noProof/>
          <w:color w:val="000000" w:themeColor="text1"/>
        </w:rPr>
        <w:t>(CBD 2016)</w:t>
      </w:r>
      <w:r w:rsidR="00BF3A09">
        <w:rPr>
          <w:color w:val="000000" w:themeColor="text1"/>
        </w:rPr>
        <w:fldChar w:fldCharType="end"/>
      </w:r>
      <w:r w:rsidR="00727BAD" w:rsidRPr="00026DF0">
        <w:rPr>
          <w:color w:val="000000" w:themeColor="text1"/>
        </w:rPr>
        <w:t xml:space="preserve">. In paragraph 5 (a) of this decision, COP requested </w:t>
      </w:r>
      <w:r w:rsidR="003F03C5" w:rsidRPr="00026DF0">
        <w:rPr>
          <w:color w:val="000000" w:themeColor="text1"/>
        </w:rPr>
        <w:t xml:space="preserve">the </w:t>
      </w:r>
      <w:r w:rsidR="005B53D0" w:rsidRPr="00EE2428">
        <w:t>U</w:t>
      </w:r>
      <w:r w:rsidR="005B53D0">
        <w:t xml:space="preserve">nited </w:t>
      </w:r>
      <w:r w:rsidR="005B53D0" w:rsidRPr="00EE2428">
        <w:t>N</w:t>
      </w:r>
      <w:r w:rsidR="005B53D0">
        <w:t>ations</w:t>
      </w:r>
      <w:r w:rsidR="005B53D0" w:rsidRPr="00EE2428">
        <w:t xml:space="preserve"> </w:t>
      </w:r>
      <w:r w:rsidR="003F03C5" w:rsidRPr="00026DF0">
        <w:rPr>
          <w:color w:val="000000" w:themeColor="text1"/>
        </w:rPr>
        <w:t>Convention for Biological Diversity (</w:t>
      </w:r>
      <w:r w:rsidR="00727BAD" w:rsidRPr="00026DF0">
        <w:rPr>
          <w:color w:val="000000" w:themeColor="text1"/>
        </w:rPr>
        <w:t>CBD</w:t>
      </w:r>
      <w:r w:rsidR="003F03C5" w:rsidRPr="00026DF0">
        <w:rPr>
          <w:color w:val="000000" w:themeColor="text1"/>
        </w:rPr>
        <w:t>)</w:t>
      </w:r>
      <w:r w:rsidR="00727BAD" w:rsidRPr="00026DF0">
        <w:rPr>
          <w:color w:val="000000" w:themeColor="text1"/>
        </w:rPr>
        <w:t xml:space="preserve"> Executive Secretary and CPW</w:t>
      </w:r>
      <w:r w:rsidR="00727BAD" w:rsidRPr="004904D8">
        <w:rPr>
          <w:color w:val="000000" w:themeColor="text1"/>
        </w:rPr>
        <w:t xml:space="preserve">: </w:t>
      </w:r>
    </w:p>
    <w:p w14:paraId="37940684" w14:textId="5B2D0AB3" w:rsidR="00372F23" w:rsidRPr="005512D2" w:rsidRDefault="00372F23" w:rsidP="00C258BC">
      <w:pPr>
        <w:jc w:val="both"/>
        <w:rPr>
          <w:i/>
          <w:color w:val="000000" w:themeColor="text1"/>
        </w:rPr>
      </w:pPr>
      <w:r w:rsidRPr="004904D8">
        <w:rPr>
          <w:i/>
          <w:color w:val="000000" w:themeColor="text1"/>
        </w:rPr>
        <w:t>“</w:t>
      </w:r>
      <w:r w:rsidR="00BC741A" w:rsidRPr="004904D8">
        <w:rPr>
          <w:i/>
          <w:color w:val="000000" w:themeColor="text1"/>
        </w:rPr>
        <w:t>To further elaborate technical guidance for better governance towards a more sustainable bushmeat sector, with a view to supporting Parties’ implementation of the Strategic P</w:t>
      </w:r>
      <w:r w:rsidRPr="004904D8">
        <w:rPr>
          <w:i/>
          <w:color w:val="000000" w:themeColor="text1"/>
        </w:rPr>
        <w:t xml:space="preserve">lan for Biodiversity 2011-2020, </w:t>
      </w:r>
      <w:r w:rsidR="00BC741A" w:rsidRPr="005512D2">
        <w:rPr>
          <w:i/>
          <w:color w:val="000000" w:themeColor="text1"/>
        </w:rPr>
        <w:t>building on</w:t>
      </w:r>
    </w:p>
    <w:p w14:paraId="683F5281" w14:textId="6304A9B5" w:rsidR="00372F23" w:rsidRPr="0070404D" w:rsidRDefault="007A3FE2" w:rsidP="00C258BC">
      <w:pPr>
        <w:pStyle w:val="ListParagraph"/>
        <w:numPr>
          <w:ilvl w:val="0"/>
          <w:numId w:val="22"/>
        </w:numPr>
        <w:jc w:val="both"/>
        <w:rPr>
          <w:i/>
          <w:color w:val="000000" w:themeColor="text1"/>
        </w:rPr>
      </w:pPr>
      <w:r w:rsidRPr="0064175F">
        <w:rPr>
          <w:i/>
          <w:color w:val="000000" w:themeColor="text1"/>
        </w:rPr>
        <w:lastRenderedPageBreak/>
        <w:t>The</w:t>
      </w:r>
      <w:r w:rsidR="00BC741A" w:rsidRPr="0064175F">
        <w:rPr>
          <w:i/>
          <w:color w:val="000000" w:themeColor="text1"/>
        </w:rPr>
        <w:t xml:space="preserve"> road map on the role of bushmeat in food security and nutrition and the results of the Symposium on ‘Beyond enforcement: Communities, governance, incentives, and sustainable use in</w:t>
      </w:r>
      <w:r w:rsidR="00BC741A" w:rsidRPr="0070404D">
        <w:rPr>
          <w:i/>
          <w:color w:val="000000" w:themeColor="text1"/>
        </w:rPr>
        <w:t xml:space="preserve"> combating illegal wildlife trade’, held in South Africa in February 2015, as well as</w:t>
      </w:r>
      <w:r w:rsidR="00372F23" w:rsidRPr="0070404D">
        <w:rPr>
          <w:i/>
          <w:color w:val="000000" w:themeColor="text1"/>
        </w:rPr>
        <w:t>;</w:t>
      </w:r>
    </w:p>
    <w:p w14:paraId="06A2A3E6" w14:textId="2F882DD2" w:rsidR="00372F23" w:rsidRPr="0070404D" w:rsidRDefault="007A3FE2" w:rsidP="00C258BC">
      <w:pPr>
        <w:pStyle w:val="ListParagraph"/>
        <w:numPr>
          <w:ilvl w:val="0"/>
          <w:numId w:val="22"/>
        </w:numPr>
        <w:jc w:val="both"/>
        <w:rPr>
          <w:i/>
          <w:color w:val="000000" w:themeColor="text1"/>
        </w:rPr>
      </w:pPr>
      <w:r w:rsidRPr="0070404D">
        <w:rPr>
          <w:i/>
          <w:color w:val="000000" w:themeColor="text1"/>
        </w:rPr>
        <w:t>The</w:t>
      </w:r>
      <w:r w:rsidR="00BC741A" w:rsidRPr="0070404D">
        <w:rPr>
          <w:i/>
          <w:color w:val="000000" w:themeColor="text1"/>
        </w:rPr>
        <w:t xml:space="preserve"> workshop on ‘Sustainable use and bushmeat trade in Colombia: operationalizing the legal framework in Colombia’, held in Leticia, Col</w:t>
      </w:r>
      <w:r w:rsidR="00372F23" w:rsidRPr="0070404D">
        <w:rPr>
          <w:i/>
          <w:color w:val="000000" w:themeColor="text1"/>
        </w:rPr>
        <w:t>ombia, in October 2015;</w:t>
      </w:r>
    </w:p>
    <w:p w14:paraId="0DD5F449" w14:textId="70479307" w:rsidR="00BC741A" w:rsidRPr="004904D8" w:rsidRDefault="007A3FE2" w:rsidP="00C258BC">
      <w:pPr>
        <w:pStyle w:val="ListParagraph"/>
        <w:numPr>
          <w:ilvl w:val="0"/>
          <w:numId w:val="22"/>
        </w:numPr>
        <w:jc w:val="both"/>
        <w:rPr>
          <w:i/>
          <w:color w:val="000000" w:themeColor="text1"/>
        </w:rPr>
      </w:pPr>
      <w:r w:rsidRPr="0070404D">
        <w:rPr>
          <w:i/>
          <w:color w:val="000000" w:themeColor="text1"/>
        </w:rPr>
        <w:t>Taking</w:t>
      </w:r>
      <w:r w:rsidR="00BC741A" w:rsidRPr="0070404D">
        <w:rPr>
          <w:i/>
          <w:color w:val="000000" w:themeColor="text1"/>
        </w:rPr>
        <w:t xml:space="preserve"> into account the perspective and knowledge of </w:t>
      </w:r>
      <w:r w:rsidR="0077363A">
        <w:rPr>
          <w:i/>
          <w:color w:val="000000" w:themeColor="text1"/>
        </w:rPr>
        <w:t>Indigenous Peoples a</w:t>
      </w:r>
      <w:r w:rsidR="0077363A" w:rsidRPr="0070404D">
        <w:rPr>
          <w:i/>
          <w:color w:val="000000" w:themeColor="text1"/>
        </w:rPr>
        <w:t>nd Local Communities</w:t>
      </w:r>
      <w:r w:rsidR="00BC741A" w:rsidRPr="0070404D">
        <w:rPr>
          <w:i/>
          <w:color w:val="000000" w:themeColor="text1"/>
        </w:rPr>
        <w:t xml:space="preserve"> </w:t>
      </w:r>
      <w:r w:rsidR="0077363A">
        <w:rPr>
          <w:i/>
          <w:color w:val="000000" w:themeColor="text1"/>
        </w:rPr>
        <w:t xml:space="preserve">(IPLC) </w:t>
      </w:r>
      <w:r w:rsidR="00BC741A" w:rsidRPr="0070404D">
        <w:rPr>
          <w:i/>
          <w:color w:val="000000" w:themeColor="text1"/>
        </w:rPr>
        <w:t>in customary sustainable use of biodiversity</w:t>
      </w:r>
      <w:r w:rsidR="00BC741A" w:rsidRPr="0070404D">
        <w:rPr>
          <w:color w:val="000000" w:themeColor="text1"/>
        </w:rPr>
        <w:t>.</w:t>
      </w:r>
      <w:r w:rsidR="00372F23" w:rsidRPr="00184775">
        <w:rPr>
          <w:rStyle w:val="FootnoteReference"/>
        </w:rPr>
        <w:footnoteReference w:id="2"/>
      </w:r>
      <w:r w:rsidR="00372F23" w:rsidRPr="0070404D">
        <w:rPr>
          <w:color w:val="000000" w:themeColor="text1"/>
        </w:rPr>
        <w:t>”</w:t>
      </w:r>
    </w:p>
    <w:p w14:paraId="0876E664" w14:textId="0BF63003" w:rsidR="00727BAD" w:rsidRPr="00D95C55" w:rsidRDefault="00727BAD" w:rsidP="00C258BC">
      <w:pPr>
        <w:pStyle w:val="NormalWeb"/>
        <w:jc w:val="both"/>
      </w:pPr>
      <w:bookmarkStart w:id="25" w:name="_Toc519156075"/>
      <w:r w:rsidRPr="004904D8">
        <w:rPr>
          <w:color w:val="000000" w:themeColor="text1"/>
        </w:rPr>
        <w:t>In response to the above, the document</w:t>
      </w:r>
      <w:r>
        <w:rPr>
          <w:color w:val="000000" w:themeColor="text1"/>
        </w:rPr>
        <w:t xml:space="preserve"> “Towards a</w:t>
      </w:r>
      <w:r w:rsidRPr="001A1BEE">
        <w:rPr>
          <w:color w:val="000000" w:themeColor="text1"/>
        </w:rPr>
        <w:t xml:space="preserve"> Sustainable, Participatory </w:t>
      </w:r>
      <w:r>
        <w:rPr>
          <w:color w:val="000000" w:themeColor="text1"/>
        </w:rPr>
        <w:t>a</w:t>
      </w:r>
      <w:r w:rsidRPr="001A1BEE">
        <w:rPr>
          <w:color w:val="000000" w:themeColor="text1"/>
        </w:rPr>
        <w:t>nd Inclusive Wild Meat Sector</w:t>
      </w:r>
      <w:r>
        <w:rPr>
          <w:color w:val="000000" w:themeColor="text1"/>
        </w:rPr>
        <w:t>” (</w:t>
      </w:r>
      <w:r w:rsidR="00A0144E">
        <w:rPr>
          <w:color w:val="000000" w:themeColor="text1"/>
        </w:rPr>
        <w:t>CBD/SBSTTA/21/INF/3</w:t>
      </w:r>
      <w:r>
        <w:rPr>
          <w:color w:val="000000" w:themeColor="text1"/>
        </w:rPr>
        <w:t>)</w:t>
      </w:r>
      <w:r w:rsidR="00A0144E">
        <w:rPr>
          <w:color w:val="000000" w:themeColor="text1"/>
        </w:rPr>
        <w:fldChar w:fldCharType="begin" w:fldLock="1"/>
      </w:r>
      <w:r w:rsidR="005D7507">
        <w:rPr>
          <w:color w:val="000000" w:themeColor="text1"/>
        </w:rPr>
        <w:instrText>ADDIN CSL_CITATION {"citationItems":[{"id":"ITEM-1","itemData":{"author":[{"dropping-particle":"","family":"CBD","given":"","non-dropping-particle":"","parse-names":false,"suffix":""}],"id":"ITEM-1","issued":{"date-parts":[["2017"]]},"title":"CBD/SBSTTA/21/INF/3","type":"report"},"uris":["http://www.mendeley.com/documents/?uuid=4691513b-2170-4efd-8e80-96107d7a06ea"]}],"mendeley":{"formattedCitation":"(CBD 2017a)","plainTextFormattedCitation":"(CBD 2017a)","previouslyFormattedCitation":"(CBD 2017a)"},"properties":{"noteIndex":0},"schema":"https://github.com/citation-style-language/schema/raw/master/csl-citation.json"}</w:instrText>
      </w:r>
      <w:r w:rsidR="00A0144E">
        <w:rPr>
          <w:color w:val="000000" w:themeColor="text1"/>
        </w:rPr>
        <w:fldChar w:fldCharType="separate"/>
      </w:r>
      <w:r w:rsidR="00A0144E" w:rsidRPr="00A0144E">
        <w:rPr>
          <w:noProof/>
          <w:color w:val="000000" w:themeColor="text1"/>
        </w:rPr>
        <w:t>(CBD 2017a)</w:t>
      </w:r>
      <w:r w:rsidR="00A0144E">
        <w:rPr>
          <w:color w:val="000000" w:themeColor="text1"/>
        </w:rPr>
        <w:fldChar w:fldCharType="end"/>
      </w:r>
      <w:r w:rsidRPr="004904D8">
        <w:rPr>
          <w:color w:val="000000" w:themeColor="text1"/>
        </w:rPr>
        <w:t xml:space="preserve"> was prepared</w:t>
      </w:r>
      <w:r>
        <w:rPr>
          <w:color w:val="000000" w:themeColor="text1"/>
        </w:rPr>
        <w:t xml:space="preserve"> and presented to the </w:t>
      </w:r>
      <w:r w:rsidRPr="001A1BEE">
        <w:rPr>
          <w:color w:val="000000" w:themeColor="text1"/>
        </w:rPr>
        <w:t xml:space="preserve">Subsidiary Body on Scientific, Technical and Technological Advice </w:t>
      </w:r>
      <w:r>
        <w:rPr>
          <w:color w:val="000000" w:themeColor="text1"/>
        </w:rPr>
        <w:t>(</w:t>
      </w:r>
      <w:r w:rsidRPr="00026DF0">
        <w:rPr>
          <w:color w:val="000000" w:themeColor="text1"/>
        </w:rPr>
        <w:t>SBSTTA</w:t>
      </w:r>
      <w:r>
        <w:rPr>
          <w:color w:val="000000" w:themeColor="text1"/>
        </w:rPr>
        <w:t>) to the Convention, at their twenty-first meeting, held from 11</w:t>
      </w:r>
      <w:r w:rsidR="00236245">
        <w:rPr>
          <w:color w:val="000000" w:themeColor="text1"/>
        </w:rPr>
        <w:t xml:space="preserve"> </w:t>
      </w:r>
      <w:r>
        <w:rPr>
          <w:color w:val="000000" w:themeColor="text1"/>
        </w:rPr>
        <w:t>to 14 December 2017, in</w:t>
      </w:r>
      <w:r w:rsidRPr="001A1BEE">
        <w:rPr>
          <w:color w:val="000000" w:themeColor="text1"/>
        </w:rPr>
        <w:t xml:space="preserve"> Montreal, Canada</w:t>
      </w:r>
      <w:r>
        <w:rPr>
          <w:color w:val="000000" w:themeColor="text1"/>
        </w:rPr>
        <w:t>.</w:t>
      </w:r>
      <w:r w:rsidRPr="004904D8">
        <w:rPr>
          <w:color w:val="000000" w:themeColor="text1"/>
        </w:rPr>
        <w:t xml:space="preserve"> </w:t>
      </w:r>
      <w:r>
        <w:rPr>
          <w:color w:val="000000" w:themeColor="text1"/>
        </w:rPr>
        <w:t>The document</w:t>
      </w:r>
      <w:r w:rsidRPr="004904D8">
        <w:rPr>
          <w:color w:val="000000" w:themeColor="text1"/>
        </w:rPr>
        <w:t xml:space="preserve"> </w:t>
      </w:r>
      <w:r>
        <w:rPr>
          <w:color w:val="000000" w:themeColor="text1"/>
        </w:rPr>
        <w:t xml:space="preserve">consisted of a synthesis report </w:t>
      </w:r>
      <w:r w:rsidRPr="004904D8">
        <w:rPr>
          <w:color w:val="000000" w:themeColor="text1"/>
        </w:rPr>
        <w:t>describ</w:t>
      </w:r>
      <w:r>
        <w:rPr>
          <w:color w:val="000000" w:themeColor="text1"/>
        </w:rPr>
        <w:t>ing</w:t>
      </w:r>
      <w:r w:rsidRPr="004904D8">
        <w:rPr>
          <w:color w:val="000000" w:themeColor="text1"/>
        </w:rPr>
        <w:t xml:space="preserve"> the situation with regard to wild meat consumption and trade in tropical and sub-tropical regions </w:t>
      </w:r>
      <w:r w:rsidR="00A479D2" w:rsidRPr="004904D8">
        <w:rPr>
          <w:color w:val="000000" w:themeColor="text1"/>
        </w:rPr>
        <w:t>worldwide and</w:t>
      </w:r>
      <w:r w:rsidRPr="004904D8">
        <w:rPr>
          <w:color w:val="000000" w:themeColor="text1"/>
        </w:rPr>
        <w:t xml:space="preserve"> provid</w:t>
      </w:r>
      <w:r>
        <w:rPr>
          <w:color w:val="000000" w:themeColor="text1"/>
        </w:rPr>
        <w:t>ing</w:t>
      </w:r>
      <w:r w:rsidRPr="004904D8">
        <w:rPr>
          <w:color w:val="000000" w:themeColor="text1"/>
        </w:rPr>
        <w:t xml:space="preserve"> guidance and recommendations for consideration by the Parties to the C</w:t>
      </w:r>
      <w:r>
        <w:rPr>
          <w:color w:val="000000" w:themeColor="text1"/>
        </w:rPr>
        <w:t>onvention. By considering this synthesis report, SBSTTA-21 adopted a recommendation requesting the CBD Executive Secretary to finalize it (</w:t>
      </w:r>
      <w:r w:rsidR="00D95C55">
        <w:rPr>
          <w:color w:val="000000" w:themeColor="text1"/>
        </w:rPr>
        <w:t>UNEP/CBD/SBSTTA/REC/XXI/2)</w:t>
      </w:r>
      <w:r w:rsidR="00A0144E">
        <w:rPr>
          <w:color w:val="000000" w:themeColor="text1"/>
        </w:rPr>
        <w:t xml:space="preserve"> </w:t>
      </w:r>
      <w:r w:rsidR="00A0144E">
        <w:rPr>
          <w:color w:val="000000" w:themeColor="text1"/>
        </w:rPr>
        <w:fldChar w:fldCharType="begin" w:fldLock="1"/>
      </w:r>
      <w:r w:rsidR="005D7507">
        <w:rPr>
          <w:color w:val="000000" w:themeColor="text1"/>
        </w:rPr>
        <w:instrText>ADDIN CSL_CITATION {"citationItems":[{"id":"ITEM-1","itemData":{"author":[{"dropping-particle":"","family":"CBD","given":"","non-dropping-particle":"","parse-names":false,"suffix":""}],"id":"ITEM-1","issued":{"date-parts":[["2017"]]},"title":"CBD/SBSTTA/REC/XXI/2","type":"report"},"uris":["http://www.mendeley.com/documents/?uuid=51c78509-01a3-4973-9ab0-bc0a601576df"]}],"mendeley":{"formattedCitation":"(CBD 2017b)","plainTextFormattedCitation":"(CBD 2017b)","previouslyFormattedCitation":"(CBD 2017b)"},"properties":{"noteIndex":0},"schema":"https://github.com/citation-style-language/schema/raw/master/csl-citation.json"}</w:instrText>
      </w:r>
      <w:r w:rsidR="00A0144E">
        <w:rPr>
          <w:color w:val="000000" w:themeColor="text1"/>
        </w:rPr>
        <w:fldChar w:fldCharType="separate"/>
      </w:r>
      <w:r w:rsidR="00A0144E" w:rsidRPr="00A0144E">
        <w:rPr>
          <w:noProof/>
          <w:color w:val="000000" w:themeColor="text1"/>
        </w:rPr>
        <w:t>(CBD 2017b)</w:t>
      </w:r>
      <w:r w:rsidR="00A0144E">
        <w:rPr>
          <w:color w:val="000000" w:themeColor="text1"/>
        </w:rPr>
        <w:fldChar w:fldCharType="end"/>
      </w:r>
      <w:r w:rsidR="00D95C55">
        <w:rPr>
          <w:color w:val="000000" w:themeColor="text1"/>
        </w:rPr>
        <w:t xml:space="preserve">. In </w:t>
      </w:r>
      <w:r>
        <w:rPr>
          <w:color w:val="000000" w:themeColor="text1"/>
        </w:rPr>
        <w:t>paragraph 2 of this recommendation, SBSTTA specifically requested the Executive Secretary to:</w:t>
      </w:r>
    </w:p>
    <w:p w14:paraId="54714260" w14:textId="77777777" w:rsidR="00727BAD" w:rsidRPr="00D95C55" w:rsidRDefault="00727BAD" w:rsidP="00C258BC">
      <w:pPr>
        <w:jc w:val="both"/>
        <w:rPr>
          <w:color w:val="000000" w:themeColor="text1"/>
        </w:rPr>
      </w:pPr>
      <w:r w:rsidRPr="00D95C55">
        <w:rPr>
          <w:i/>
          <w:color w:val="000000" w:themeColor="text1"/>
        </w:rPr>
        <w:t>“finalize the technical study “Towards a Sustainable, Participatory and Inclusive Wild Meat Sector”, following the peer review by Parties and other Governments and other stakeholders.”</w:t>
      </w:r>
    </w:p>
    <w:p w14:paraId="180C319F" w14:textId="7257DAA0" w:rsidR="00727BAD" w:rsidRPr="004904D8" w:rsidRDefault="00727BAD" w:rsidP="00C258BC">
      <w:pPr>
        <w:jc w:val="both"/>
        <w:rPr>
          <w:color w:val="000000" w:themeColor="text1"/>
        </w:rPr>
      </w:pPr>
      <w:r>
        <w:rPr>
          <w:color w:val="000000" w:themeColor="text1"/>
        </w:rPr>
        <w:t>T</w:t>
      </w:r>
      <w:r w:rsidRPr="004904D8">
        <w:rPr>
          <w:color w:val="000000" w:themeColor="text1"/>
        </w:rPr>
        <w:t xml:space="preserve">he present </w:t>
      </w:r>
      <w:r>
        <w:rPr>
          <w:color w:val="000000" w:themeColor="text1"/>
        </w:rPr>
        <w:t xml:space="preserve">technical study supports the document considered by SBSTTA-21 in more detail and </w:t>
      </w:r>
      <w:r w:rsidR="00A479D2">
        <w:rPr>
          <w:color w:val="000000" w:themeColor="text1"/>
        </w:rPr>
        <w:t>fulfil</w:t>
      </w:r>
      <w:r>
        <w:rPr>
          <w:color w:val="000000" w:themeColor="text1"/>
        </w:rPr>
        <w:t xml:space="preserve"> its request to the CBD Executive Secretar</w:t>
      </w:r>
      <w:r w:rsidR="00D95C55">
        <w:rPr>
          <w:color w:val="000000" w:themeColor="text1"/>
        </w:rPr>
        <w:t xml:space="preserve">y described in paragraph </w:t>
      </w:r>
      <w:r>
        <w:rPr>
          <w:color w:val="000000" w:themeColor="text1"/>
        </w:rPr>
        <w:t>2 of recommendation XXI/2</w:t>
      </w:r>
      <w:r w:rsidRPr="004904D8">
        <w:rPr>
          <w:color w:val="000000" w:themeColor="text1"/>
        </w:rPr>
        <w:t>.</w:t>
      </w:r>
    </w:p>
    <w:p w14:paraId="5DFA6832" w14:textId="4BB1E6A2" w:rsidR="00BC741A" w:rsidRPr="004904D8" w:rsidRDefault="003910A7" w:rsidP="00DF57F3">
      <w:pPr>
        <w:pStyle w:val="Heading2"/>
      </w:pPr>
      <w:bookmarkStart w:id="26" w:name="_Toc529390333"/>
      <w:r w:rsidRPr="004904D8">
        <w:t>Aim and c</w:t>
      </w:r>
      <w:r w:rsidR="00BC741A" w:rsidRPr="004904D8">
        <w:t>ontents of this report</w:t>
      </w:r>
      <w:bookmarkEnd w:id="25"/>
      <w:bookmarkEnd w:id="26"/>
    </w:p>
    <w:p w14:paraId="16AC0B4D" w14:textId="6D0BEBB0" w:rsidR="003D1172" w:rsidRPr="004904D8" w:rsidRDefault="00236245" w:rsidP="00C258BC">
      <w:pPr>
        <w:jc w:val="both"/>
        <w:rPr>
          <w:color w:val="000000" w:themeColor="text1"/>
        </w:rPr>
      </w:pPr>
      <w:bookmarkStart w:id="27" w:name="_Toc491942937"/>
      <w:bookmarkStart w:id="28" w:name="_Toc491961652"/>
      <w:bookmarkStart w:id="29" w:name="_Toc491961705"/>
      <w:bookmarkStart w:id="30" w:name="_Toc491965058"/>
      <w:r>
        <w:rPr>
          <w:color w:val="000000" w:themeColor="text1"/>
        </w:rPr>
        <w:t xml:space="preserve">Part </w:t>
      </w:r>
      <w:r w:rsidR="003D1172">
        <w:rPr>
          <w:color w:val="000000" w:themeColor="text1"/>
        </w:rPr>
        <w:t>I provides a</w:t>
      </w:r>
      <w:r w:rsidR="003D1172" w:rsidRPr="004904D8">
        <w:rPr>
          <w:color w:val="000000" w:themeColor="text1"/>
        </w:rPr>
        <w:t xml:space="preserve"> summary of the available information on wild meat, focussing on:</w:t>
      </w:r>
    </w:p>
    <w:p w14:paraId="613A546C" w14:textId="6667B9ED" w:rsidR="003D1172" w:rsidRPr="0070404D" w:rsidRDefault="003D1172" w:rsidP="00C258BC">
      <w:pPr>
        <w:pStyle w:val="ListParagraph"/>
        <w:numPr>
          <w:ilvl w:val="0"/>
          <w:numId w:val="7"/>
        </w:numPr>
        <w:jc w:val="both"/>
        <w:rPr>
          <w:color w:val="000000" w:themeColor="text1"/>
        </w:rPr>
      </w:pPr>
      <w:r>
        <w:rPr>
          <w:color w:val="000000" w:themeColor="text1"/>
        </w:rPr>
        <w:t>T</w:t>
      </w:r>
      <w:r w:rsidRPr="005512D2">
        <w:rPr>
          <w:color w:val="000000" w:themeColor="text1"/>
        </w:rPr>
        <w:t>he scale and drivers of harvesting of wild terrestrial vertebrates for food in tropical and sub-tropical regions (</w:t>
      </w:r>
      <w:r w:rsidRPr="0064175F">
        <w:rPr>
          <w:color w:val="000000" w:themeColor="text1"/>
        </w:rPr>
        <w:t>Chapter</w:t>
      </w:r>
      <w:r>
        <w:rPr>
          <w:color w:val="000000" w:themeColor="text1"/>
        </w:rPr>
        <w:t xml:space="preserve"> </w:t>
      </w:r>
      <w:r>
        <w:rPr>
          <w:color w:val="000000" w:themeColor="text1"/>
        </w:rPr>
        <w:fldChar w:fldCharType="begin"/>
      </w:r>
      <w:r>
        <w:rPr>
          <w:color w:val="000000" w:themeColor="text1"/>
        </w:rPr>
        <w:instrText xml:space="preserve"> REF _Ref520733391 \r \h </w:instrText>
      </w:r>
      <w:r>
        <w:rPr>
          <w:color w:val="000000" w:themeColor="text1"/>
        </w:rPr>
      </w:r>
      <w:r>
        <w:rPr>
          <w:color w:val="000000" w:themeColor="text1"/>
        </w:rPr>
        <w:fldChar w:fldCharType="separate"/>
      </w:r>
      <w:r w:rsidR="007034F1">
        <w:rPr>
          <w:color w:val="000000" w:themeColor="text1"/>
        </w:rPr>
        <w:t>2</w:t>
      </w:r>
      <w:r>
        <w:rPr>
          <w:color w:val="000000" w:themeColor="text1"/>
        </w:rPr>
        <w:fldChar w:fldCharType="end"/>
      </w:r>
      <w:r w:rsidRPr="0070404D">
        <w:rPr>
          <w:color w:val="000000" w:themeColor="text1"/>
        </w:rPr>
        <w:t>)</w:t>
      </w:r>
      <w:r>
        <w:rPr>
          <w:color w:val="000000" w:themeColor="text1"/>
        </w:rPr>
        <w:t>;</w:t>
      </w:r>
      <w:r w:rsidRPr="0070404D">
        <w:rPr>
          <w:color w:val="000000" w:themeColor="text1"/>
        </w:rPr>
        <w:t xml:space="preserve"> </w:t>
      </w:r>
    </w:p>
    <w:p w14:paraId="15C5B011" w14:textId="2D170188" w:rsidR="003D1172" w:rsidRDefault="003D1172" w:rsidP="00C258BC">
      <w:pPr>
        <w:pStyle w:val="ListParagraph"/>
        <w:numPr>
          <w:ilvl w:val="0"/>
          <w:numId w:val="7"/>
        </w:numPr>
        <w:jc w:val="both"/>
        <w:rPr>
          <w:color w:val="000000" w:themeColor="text1"/>
        </w:rPr>
      </w:pPr>
      <w:r>
        <w:rPr>
          <w:color w:val="000000" w:themeColor="text1"/>
        </w:rPr>
        <w:t>T</w:t>
      </w:r>
      <w:r w:rsidRPr="004904D8">
        <w:rPr>
          <w:color w:val="000000" w:themeColor="text1"/>
        </w:rPr>
        <w:t xml:space="preserve">he contributions that wild meat makes to food security, human nutrition and well-being (Chapter </w:t>
      </w:r>
      <w:r w:rsidRPr="004904D8">
        <w:rPr>
          <w:color w:val="000000" w:themeColor="text1"/>
        </w:rPr>
        <w:fldChar w:fldCharType="begin"/>
      </w:r>
      <w:r w:rsidRPr="0070404D">
        <w:rPr>
          <w:color w:val="000000" w:themeColor="text1"/>
        </w:rPr>
        <w:instrText xml:space="preserve"> REF _Ref518892969 \r \h </w:instrText>
      </w:r>
      <w:r w:rsidRPr="004904D8">
        <w:rPr>
          <w:color w:val="000000" w:themeColor="text1"/>
        </w:rPr>
      </w:r>
      <w:r w:rsidRPr="004904D8">
        <w:rPr>
          <w:color w:val="000000" w:themeColor="text1"/>
        </w:rPr>
        <w:fldChar w:fldCharType="separate"/>
      </w:r>
      <w:r w:rsidR="007034F1">
        <w:rPr>
          <w:color w:val="000000" w:themeColor="text1"/>
        </w:rPr>
        <w:t>3</w:t>
      </w:r>
      <w:r w:rsidRPr="004904D8">
        <w:rPr>
          <w:color w:val="000000" w:themeColor="text1"/>
        </w:rPr>
        <w:fldChar w:fldCharType="end"/>
      </w:r>
      <w:r w:rsidRPr="0070404D">
        <w:rPr>
          <w:color w:val="000000" w:themeColor="text1"/>
        </w:rPr>
        <w:t>)</w:t>
      </w:r>
      <w:r>
        <w:rPr>
          <w:color w:val="000000" w:themeColor="text1"/>
        </w:rPr>
        <w:t>;</w:t>
      </w:r>
    </w:p>
    <w:p w14:paraId="5C00472D" w14:textId="04619576" w:rsidR="003D1172" w:rsidRPr="0070404D" w:rsidRDefault="003D1172" w:rsidP="00C258BC">
      <w:pPr>
        <w:pStyle w:val="ListParagraph"/>
        <w:numPr>
          <w:ilvl w:val="0"/>
          <w:numId w:val="7"/>
        </w:numPr>
        <w:jc w:val="both"/>
        <w:rPr>
          <w:color w:val="000000" w:themeColor="text1"/>
        </w:rPr>
      </w:pPr>
      <w:r>
        <w:rPr>
          <w:color w:val="000000" w:themeColor="text1"/>
        </w:rPr>
        <w:t xml:space="preserve">The drivers of over-exploitation of wild meat species (Chapter </w:t>
      </w:r>
      <w:r>
        <w:rPr>
          <w:color w:val="000000" w:themeColor="text1"/>
        </w:rPr>
        <w:fldChar w:fldCharType="begin"/>
      </w:r>
      <w:r>
        <w:rPr>
          <w:color w:val="000000" w:themeColor="text1"/>
        </w:rPr>
        <w:instrText xml:space="preserve"> REF _Ref520453265 \r \h </w:instrText>
      </w:r>
      <w:r>
        <w:rPr>
          <w:color w:val="000000" w:themeColor="text1"/>
        </w:rPr>
      </w:r>
      <w:r>
        <w:rPr>
          <w:color w:val="000000" w:themeColor="text1"/>
        </w:rPr>
        <w:fldChar w:fldCharType="separate"/>
      </w:r>
      <w:r w:rsidR="007034F1">
        <w:rPr>
          <w:color w:val="000000" w:themeColor="text1"/>
        </w:rPr>
        <w:t>4</w:t>
      </w:r>
      <w:r>
        <w:rPr>
          <w:color w:val="000000" w:themeColor="text1"/>
        </w:rPr>
        <w:fldChar w:fldCharType="end"/>
      </w:r>
      <w:r>
        <w:rPr>
          <w:color w:val="000000" w:themeColor="text1"/>
        </w:rPr>
        <w:t>); and</w:t>
      </w:r>
    </w:p>
    <w:p w14:paraId="11B782BC" w14:textId="203742A8" w:rsidR="003D1172" w:rsidRPr="0070404D" w:rsidRDefault="003D1172" w:rsidP="00C258BC">
      <w:pPr>
        <w:pStyle w:val="ListParagraph"/>
        <w:numPr>
          <w:ilvl w:val="0"/>
          <w:numId w:val="7"/>
        </w:numPr>
        <w:jc w:val="both"/>
        <w:rPr>
          <w:color w:val="000000" w:themeColor="text1"/>
        </w:rPr>
      </w:pPr>
      <w:r>
        <w:rPr>
          <w:color w:val="000000" w:themeColor="text1"/>
        </w:rPr>
        <w:t>T</w:t>
      </w:r>
      <w:r w:rsidRPr="004904D8">
        <w:rPr>
          <w:color w:val="000000" w:themeColor="text1"/>
        </w:rPr>
        <w:t>he impacts of over-exploitation on the long-term survival of species and the function</w:t>
      </w:r>
      <w:r>
        <w:rPr>
          <w:color w:val="000000" w:themeColor="text1"/>
        </w:rPr>
        <w:t>ing of ecosystems (Chapter</w:t>
      </w:r>
      <w:r w:rsidRPr="0070404D">
        <w:rPr>
          <w:color w:val="000000" w:themeColor="text1"/>
        </w:rPr>
        <w:t xml:space="preserve"> </w:t>
      </w:r>
      <w:r w:rsidRPr="004904D8">
        <w:rPr>
          <w:color w:val="000000" w:themeColor="text1"/>
        </w:rPr>
        <w:fldChar w:fldCharType="begin"/>
      </w:r>
      <w:r w:rsidRPr="0070404D">
        <w:rPr>
          <w:color w:val="000000" w:themeColor="text1"/>
        </w:rPr>
        <w:instrText xml:space="preserve"> REF _Ref518893031 \r \h </w:instrText>
      </w:r>
      <w:r w:rsidRPr="004904D8">
        <w:rPr>
          <w:color w:val="000000" w:themeColor="text1"/>
        </w:rPr>
      </w:r>
      <w:r w:rsidRPr="004904D8">
        <w:rPr>
          <w:color w:val="000000" w:themeColor="text1"/>
        </w:rPr>
        <w:fldChar w:fldCharType="separate"/>
      </w:r>
      <w:r w:rsidR="007034F1">
        <w:rPr>
          <w:color w:val="000000" w:themeColor="text1"/>
        </w:rPr>
        <w:t>5</w:t>
      </w:r>
      <w:r w:rsidRPr="004904D8">
        <w:rPr>
          <w:color w:val="000000" w:themeColor="text1"/>
        </w:rPr>
        <w:fldChar w:fldCharType="end"/>
      </w:r>
      <w:r>
        <w:rPr>
          <w:color w:val="000000" w:themeColor="text1"/>
        </w:rPr>
        <w:t>).</w:t>
      </w:r>
    </w:p>
    <w:p w14:paraId="481F23AA" w14:textId="3CD804D5" w:rsidR="003D1172" w:rsidRPr="00C63397" w:rsidRDefault="00236245" w:rsidP="00C258BC">
      <w:pPr>
        <w:jc w:val="both"/>
        <w:rPr>
          <w:color w:val="000000" w:themeColor="text1"/>
        </w:rPr>
      </w:pPr>
      <w:r>
        <w:rPr>
          <w:color w:val="000000" w:themeColor="text1"/>
        </w:rPr>
        <w:t>Part</w:t>
      </w:r>
      <w:r w:rsidR="003D1172">
        <w:rPr>
          <w:color w:val="000000" w:themeColor="text1"/>
        </w:rPr>
        <w:t xml:space="preserve"> II offers t</w:t>
      </w:r>
      <w:r w:rsidR="003D1172" w:rsidRPr="004904D8">
        <w:rPr>
          <w:color w:val="000000" w:themeColor="text1"/>
        </w:rPr>
        <w:t xml:space="preserve">echnical information on governance and improving </w:t>
      </w:r>
      <w:r w:rsidR="003D1172" w:rsidRPr="005512D2">
        <w:rPr>
          <w:color w:val="000000" w:themeColor="text1"/>
        </w:rPr>
        <w:t xml:space="preserve">sustainability of wild meat </w:t>
      </w:r>
      <w:r w:rsidR="003D1172" w:rsidRPr="00C63397">
        <w:rPr>
          <w:color w:val="000000" w:themeColor="text1"/>
        </w:rPr>
        <w:t>use, focusing on:</w:t>
      </w:r>
    </w:p>
    <w:p w14:paraId="3ECF71F1" w14:textId="5F7E7CD0" w:rsidR="008A788C" w:rsidRPr="001050A8" w:rsidRDefault="00C63397" w:rsidP="00C258BC">
      <w:pPr>
        <w:pStyle w:val="ListParagraph"/>
        <w:numPr>
          <w:ilvl w:val="0"/>
          <w:numId w:val="16"/>
        </w:numPr>
        <w:jc w:val="both"/>
        <w:rPr>
          <w:color w:val="000000" w:themeColor="text1"/>
        </w:rPr>
      </w:pPr>
      <w:r w:rsidRPr="001050A8">
        <w:rPr>
          <w:color w:val="000000" w:themeColor="text1"/>
        </w:rPr>
        <w:t xml:space="preserve">Four key scenarios of wildmeat use, and </w:t>
      </w:r>
      <w:r w:rsidR="001050A8">
        <w:rPr>
          <w:color w:val="000000" w:themeColor="text1"/>
        </w:rPr>
        <w:t>broad</w:t>
      </w:r>
      <w:r w:rsidR="001050A8" w:rsidRPr="001050A8">
        <w:rPr>
          <w:color w:val="000000" w:themeColor="text1"/>
        </w:rPr>
        <w:t xml:space="preserve"> management </w:t>
      </w:r>
      <w:r w:rsidRPr="001050A8">
        <w:rPr>
          <w:color w:val="000000" w:themeColor="text1"/>
        </w:rPr>
        <w:t>solutions for each scenario</w:t>
      </w:r>
      <w:r w:rsidR="008A788C" w:rsidRPr="001050A8">
        <w:rPr>
          <w:color w:val="000000" w:themeColor="text1"/>
        </w:rPr>
        <w:t xml:space="preserve"> (Chapter 6)</w:t>
      </w:r>
      <w:r w:rsidRPr="001050A8">
        <w:rPr>
          <w:color w:val="000000" w:themeColor="text1"/>
        </w:rPr>
        <w:t>;</w:t>
      </w:r>
    </w:p>
    <w:p w14:paraId="6DA80187" w14:textId="706CCEC9" w:rsidR="003D1172" w:rsidRPr="001050A8" w:rsidRDefault="003D1172" w:rsidP="00C258BC">
      <w:pPr>
        <w:pStyle w:val="ListParagraph"/>
        <w:numPr>
          <w:ilvl w:val="0"/>
          <w:numId w:val="16"/>
        </w:numPr>
        <w:jc w:val="both"/>
        <w:rPr>
          <w:color w:val="000000" w:themeColor="text1"/>
        </w:rPr>
      </w:pPr>
      <w:r w:rsidRPr="001050A8">
        <w:rPr>
          <w:color w:val="000000" w:themeColor="text1"/>
        </w:rPr>
        <w:lastRenderedPageBreak/>
        <w:t xml:space="preserve">Current wild meat governance and the enabling environment needed for improving sustainability in harvests (Chapter </w:t>
      </w:r>
      <w:r w:rsidRPr="001050A8">
        <w:rPr>
          <w:color w:val="000000" w:themeColor="text1"/>
        </w:rPr>
        <w:fldChar w:fldCharType="begin"/>
      </w:r>
      <w:r w:rsidRPr="001050A8">
        <w:rPr>
          <w:color w:val="000000" w:themeColor="text1"/>
        </w:rPr>
        <w:instrText xml:space="preserve"> REF _Ref520377864 \r \h </w:instrText>
      </w:r>
      <w:r w:rsidR="00C63397" w:rsidRPr="001050A8">
        <w:rPr>
          <w:color w:val="000000" w:themeColor="text1"/>
        </w:rPr>
        <w:instrText xml:space="preserve"> \* MERGEFORMAT </w:instrText>
      </w:r>
      <w:r w:rsidRPr="001050A8">
        <w:rPr>
          <w:color w:val="000000" w:themeColor="text1"/>
        </w:rPr>
      </w:r>
      <w:r w:rsidRPr="001050A8">
        <w:rPr>
          <w:color w:val="000000" w:themeColor="text1"/>
        </w:rPr>
        <w:fldChar w:fldCharType="separate"/>
      </w:r>
      <w:r w:rsidR="007034F1">
        <w:rPr>
          <w:color w:val="000000" w:themeColor="text1"/>
        </w:rPr>
        <w:t>7</w:t>
      </w:r>
      <w:r w:rsidRPr="001050A8">
        <w:rPr>
          <w:color w:val="000000" w:themeColor="text1"/>
        </w:rPr>
        <w:fldChar w:fldCharType="end"/>
      </w:r>
      <w:r w:rsidRPr="001050A8">
        <w:rPr>
          <w:color w:val="000000" w:themeColor="text1"/>
        </w:rPr>
        <w:t>);</w:t>
      </w:r>
    </w:p>
    <w:p w14:paraId="614F90E7" w14:textId="2C05B293" w:rsidR="003D1172" w:rsidRPr="004904D8" w:rsidRDefault="003D1172" w:rsidP="00C258BC">
      <w:pPr>
        <w:pStyle w:val="ListParagraph"/>
        <w:numPr>
          <w:ilvl w:val="0"/>
          <w:numId w:val="16"/>
        </w:numPr>
        <w:jc w:val="both"/>
        <w:rPr>
          <w:color w:val="000000" w:themeColor="text1"/>
        </w:rPr>
      </w:pPr>
      <w:r w:rsidRPr="001050A8">
        <w:rPr>
          <w:color w:val="000000" w:themeColor="text1"/>
        </w:rPr>
        <w:t>Techniques to ensure that the supply</w:t>
      </w:r>
      <w:r w:rsidRPr="004904D8">
        <w:rPr>
          <w:color w:val="000000" w:themeColor="text1"/>
        </w:rPr>
        <w:t xml:space="preserve"> of wild meat is sustainably managed upstream (Chapter </w:t>
      </w:r>
      <w:r w:rsidRPr="004904D8">
        <w:rPr>
          <w:color w:val="000000" w:themeColor="text1"/>
        </w:rPr>
        <w:fldChar w:fldCharType="begin"/>
      </w:r>
      <w:r w:rsidRPr="0070404D">
        <w:rPr>
          <w:color w:val="000000" w:themeColor="text1"/>
        </w:rPr>
        <w:instrText xml:space="preserve"> REF _Ref518893099 \r \h </w:instrText>
      </w:r>
      <w:r w:rsidRPr="004904D8">
        <w:rPr>
          <w:color w:val="000000" w:themeColor="text1"/>
        </w:rPr>
      </w:r>
      <w:r w:rsidRPr="004904D8">
        <w:rPr>
          <w:color w:val="000000" w:themeColor="text1"/>
        </w:rPr>
        <w:fldChar w:fldCharType="separate"/>
      </w:r>
      <w:r w:rsidR="007034F1">
        <w:rPr>
          <w:color w:val="000000" w:themeColor="text1"/>
        </w:rPr>
        <w:t>8</w:t>
      </w:r>
      <w:r w:rsidRPr="004904D8">
        <w:rPr>
          <w:color w:val="000000" w:themeColor="text1"/>
        </w:rPr>
        <w:fldChar w:fldCharType="end"/>
      </w:r>
      <w:r w:rsidRPr="0070404D">
        <w:rPr>
          <w:color w:val="000000" w:themeColor="text1"/>
        </w:rPr>
        <w:t xml:space="preserve">); </w:t>
      </w:r>
    </w:p>
    <w:p w14:paraId="4476C74F" w14:textId="32B7ECFD" w:rsidR="003D1172" w:rsidRDefault="003D1172" w:rsidP="00C258BC">
      <w:pPr>
        <w:pStyle w:val="ListParagraph"/>
        <w:numPr>
          <w:ilvl w:val="0"/>
          <w:numId w:val="16"/>
        </w:numPr>
        <w:jc w:val="both"/>
        <w:rPr>
          <w:color w:val="000000" w:themeColor="text1"/>
        </w:rPr>
      </w:pPr>
      <w:r>
        <w:rPr>
          <w:color w:val="000000" w:themeColor="text1"/>
        </w:rPr>
        <w:t>T</w:t>
      </w:r>
      <w:r w:rsidRPr="004904D8">
        <w:rPr>
          <w:color w:val="000000" w:themeColor="text1"/>
        </w:rPr>
        <w:t xml:space="preserve">echniques to reduce the consumption of wild meat, especially the excessive demand in towns and cities, to sustainable levels (Chapter </w:t>
      </w:r>
      <w:r w:rsidRPr="004904D8">
        <w:rPr>
          <w:color w:val="000000" w:themeColor="text1"/>
        </w:rPr>
        <w:fldChar w:fldCharType="begin"/>
      </w:r>
      <w:r w:rsidRPr="0070404D">
        <w:rPr>
          <w:color w:val="000000" w:themeColor="text1"/>
        </w:rPr>
        <w:instrText xml:space="preserve"> REF _Ref518893112 \r \h </w:instrText>
      </w:r>
      <w:r w:rsidRPr="004904D8">
        <w:rPr>
          <w:color w:val="000000" w:themeColor="text1"/>
        </w:rPr>
      </w:r>
      <w:r w:rsidRPr="004904D8">
        <w:rPr>
          <w:color w:val="000000" w:themeColor="text1"/>
        </w:rPr>
        <w:fldChar w:fldCharType="separate"/>
      </w:r>
      <w:r w:rsidR="007034F1">
        <w:rPr>
          <w:color w:val="000000" w:themeColor="text1"/>
        </w:rPr>
        <w:t>9</w:t>
      </w:r>
      <w:r w:rsidRPr="004904D8">
        <w:rPr>
          <w:color w:val="000000" w:themeColor="text1"/>
        </w:rPr>
        <w:fldChar w:fldCharType="end"/>
      </w:r>
      <w:r w:rsidRPr="0070404D">
        <w:rPr>
          <w:color w:val="000000" w:themeColor="text1"/>
        </w:rPr>
        <w:t xml:space="preserve">); </w:t>
      </w:r>
      <w:r>
        <w:rPr>
          <w:color w:val="000000" w:themeColor="text1"/>
        </w:rPr>
        <w:t>and</w:t>
      </w:r>
    </w:p>
    <w:p w14:paraId="1BC8EFED" w14:textId="3170A59E" w:rsidR="003D1172" w:rsidRPr="005B7B8C" w:rsidRDefault="003D1172" w:rsidP="00C258BC">
      <w:pPr>
        <w:pStyle w:val="ListParagraph"/>
        <w:numPr>
          <w:ilvl w:val="0"/>
          <w:numId w:val="16"/>
        </w:numPr>
        <w:jc w:val="both"/>
        <w:rPr>
          <w:rFonts w:ascii="MyriadPro-Bold" w:hAnsi="MyriadPro-Bold" w:cs="MyriadPro-Bold"/>
          <w:b/>
          <w:bCs/>
          <w:color w:val="000000" w:themeColor="text1"/>
          <w:sz w:val="22"/>
          <w:szCs w:val="22"/>
        </w:rPr>
      </w:pPr>
      <w:r>
        <w:rPr>
          <w:color w:val="000000" w:themeColor="text1"/>
        </w:rPr>
        <w:t>B</w:t>
      </w:r>
      <w:r w:rsidRPr="004904D8">
        <w:rPr>
          <w:color w:val="000000" w:themeColor="text1"/>
        </w:rPr>
        <w:t xml:space="preserve">est practice guidelines for participatory and adaptive management of wild meat interventions (Chapter </w:t>
      </w:r>
      <w:r w:rsidRPr="004904D8">
        <w:rPr>
          <w:color w:val="000000" w:themeColor="text1"/>
        </w:rPr>
        <w:fldChar w:fldCharType="begin"/>
      </w:r>
      <w:r w:rsidRPr="0070404D">
        <w:rPr>
          <w:color w:val="000000" w:themeColor="text1"/>
        </w:rPr>
        <w:instrText xml:space="preserve"> REF _Ref518893085 \r \h </w:instrText>
      </w:r>
      <w:r w:rsidRPr="004904D8">
        <w:rPr>
          <w:color w:val="000000" w:themeColor="text1"/>
        </w:rPr>
      </w:r>
      <w:r w:rsidRPr="004904D8">
        <w:rPr>
          <w:color w:val="000000" w:themeColor="text1"/>
        </w:rPr>
        <w:fldChar w:fldCharType="separate"/>
      </w:r>
      <w:r w:rsidR="007034F1">
        <w:rPr>
          <w:color w:val="000000" w:themeColor="text1"/>
        </w:rPr>
        <w:t>10</w:t>
      </w:r>
      <w:r w:rsidRPr="004904D8">
        <w:rPr>
          <w:color w:val="000000" w:themeColor="text1"/>
        </w:rPr>
        <w:fldChar w:fldCharType="end"/>
      </w:r>
      <w:r w:rsidRPr="0070404D">
        <w:rPr>
          <w:color w:val="000000" w:themeColor="text1"/>
        </w:rPr>
        <w:t>)</w:t>
      </w:r>
      <w:r>
        <w:rPr>
          <w:color w:val="000000" w:themeColor="text1"/>
        </w:rPr>
        <w:t>.</w:t>
      </w:r>
    </w:p>
    <w:p w14:paraId="57764F0F" w14:textId="34D52F35" w:rsidR="00BC741A" w:rsidRDefault="003D1172" w:rsidP="00C258BC">
      <w:pPr>
        <w:jc w:val="both"/>
        <w:rPr>
          <w:rFonts w:ascii="MyriadPro-Bold" w:hAnsi="MyriadPro-Bold" w:cs="MyriadPro-Bold"/>
          <w:b/>
          <w:bCs/>
          <w:color w:val="000000" w:themeColor="text1"/>
          <w:sz w:val="22"/>
          <w:szCs w:val="22"/>
        </w:rPr>
      </w:pPr>
      <w:r w:rsidRPr="004904D8">
        <w:rPr>
          <w:color w:val="000000" w:themeColor="text1"/>
        </w:rPr>
        <w:t xml:space="preserve">What emerges from this </w:t>
      </w:r>
      <w:r>
        <w:rPr>
          <w:color w:val="000000" w:themeColor="text1"/>
        </w:rPr>
        <w:t>technical study</w:t>
      </w:r>
      <w:r w:rsidRPr="004904D8">
        <w:rPr>
          <w:color w:val="000000" w:themeColor="text1"/>
        </w:rPr>
        <w:t xml:space="preserve"> is that achieving sustainable use of wild meat will ultimately depend on understanding and working along the entire value chain</w:t>
      </w:r>
      <w:r w:rsidR="00C63397">
        <w:rPr>
          <w:color w:val="000000" w:themeColor="text1"/>
        </w:rPr>
        <w:t>,</w:t>
      </w:r>
      <w:r w:rsidRPr="004904D8">
        <w:rPr>
          <w:color w:val="000000" w:themeColor="text1"/>
        </w:rPr>
        <w:t xml:space="preserve"> from local hunting communities </w:t>
      </w:r>
      <w:r w:rsidRPr="005512D2">
        <w:rPr>
          <w:color w:val="000000" w:themeColor="text1"/>
        </w:rPr>
        <w:t xml:space="preserve">to urban consumers and wider civil society. It is imperative to generate governance systems that </w:t>
      </w:r>
      <w:r>
        <w:rPr>
          <w:color w:val="000000" w:themeColor="text1"/>
        </w:rPr>
        <w:t xml:space="preserve">(a) </w:t>
      </w:r>
      <w:r w:rsidRPr="005512D2">
        <w:rPr>
          <w:color w:val="000000" w:themeColor="text1"/>
        </w:rPr>
        <w:t xml:space="preserve">are fair in their approach to human </w:t>
      </w:r>
      <w:r w:rsidR="00A479D2" w:rsidRPr="005512D2">
        <w:rPr>
          <w:color w:val="000000" w:themeColor="text1"/>
        </w:rPr>
        <w:t>wel</w:t>
      </w:r>
      <w:r w:rsidR="00A479D2" w:rsidRPr="0064175F">
        <w:rPr>
          <w:color w:val="000000" w:themeColor="text1"/>
        </w:rPr>
        <w:t>l-being</w:t>
      </w:r>
      <w:r w:rsidRPr="0064175F">
        <w:rPr>
          <w:color w:val="000000" w:themeColor="text1"/>
        </w:rPr>
        <w:t xml:space="preserve"> and wildlife survival</w:t>
      </w:r>
      <w:r w:rsidRPr="0070404D">
        <w:rPr>
          <w:color w:val="000000" w:themeColor="text1"/>
        </w:rPr>
        <w:t xml:space="preserve">, </w:t>
      </w:r>
      <w:r>
        <w:rPr>
          <w:color w:val="000000" w:themeColor="text1"/>
        </w:rPr>
        <w:t xml:space="preserve">(b) </w:t>
      </w:r>
      <w:r w:rsidRPr="0070404D">
        <w:rPr>
          <w:color w:val="000000" w:themeColor="text1"/>
        </w:rPr>
        <w:t xml:space="preserve">are understandable and accessible to all, and </w:t>
      </w:r>
      <w:r>
        <w:rPr>
          <w:color w:val="000000" w:themeColor="text1"/>
        </w:rPr>
        <w:t xml:space="preserve">(c) </w:t>
      </w:r>
      <w:r w:rsidRPr="0070404D">
        <w:rPr>
          <w:color w:val="000000" w:themeColor="text1"/>
        </w:rPr>
        <w:t xml:space="preserve">have adequate resources and capacity for effective </w:t>
      </w:r>
      <w:r>
        <w:rPr>
          <w:color w:val="000000" w:themeColor="text1"/>
        </w:rPr>
        <w:t>implemen</w:t>
      </w:r>
      <w:r w:rsidRPr="0070404D">
        <w:rPr>
          <w:color w:val="000000" w:themeColor="text1"/>
        </w:rPr>
        <w:t>tation. Approaches that focus solely on either ecological or socio-economic goals run the risk of failure in the long term</w:t>
      </w:r>
      <w:r w:rsidRPr="0070404D">
        <w:rPr>
          <w:rFonts w:ascii="MyriadPro-Bold" w:hAnsi="MyriadPro-Bold" w:cs="MyriadPro-Bold"/>
          <w:b/>
          <w:bCs/>
          <w:color w:val="000000" w:themeColor="text1"/>
          <w:sz w:val="22"/>
          <w:szCs w:val="22"/>
        </w:rPr>
        <w:t>.</w:t>
      </w:r>
    </w:p>
    <w:p w14:paraId="7B0EC63E" w14:textId="77777777" w:rsidR="00026DF0" w:rsidRPr="0070404D" w:rsidRDefault="00026DF0" w:rsidP="00C258BC">
      <w:pPr>
        <w:jc w:val="both"/>
        <w:rPr>
          <w:color w:val="000000" w:themeColor="text1"/>
        </w:rPr>
        <w:sectPr w:rsidR="00026DF0" w:rsidRPr="0070404D">
          <w:footerReference w:type="default" r:id="rId30"/>
          <w:pgSz w:w="11906" w:h="16838"/>
          <w:pgMar w:top="1440" w:right="1440" w:bottom="1440" w:left="1440" w:header="708" w:footer="708" w:gutter="0"/>
          <w:cols w:space="708"/>
          <w:docGrid w:linePitch="360"/>
        </w:sectPr>
      </w:pPr>
    </w:p>
    <w:p w14:paraId="70C3E4A3" w14:textId="77777777" w:rsidR="00BC741A" w:rsidRPr="00785A38" w:rsidRDefault="00BC741A" w:rsidP="00DF57F3">
      <w:pPr>
        <w:pStyle w:val="Heading2"/>
      </w:pPr>
      <w:bookmarkStart w:id="31" w:name="_Toc519156076"/>
      <w:bookmarkStart w:id="32" w:name="_Toc529390334"/>
      <w:r w:rsidRPr="00785A38">
        <w:lastRenderedPageBreak/>
        <w:t>Definitions</w:t>
      </w:r>
      <w:bookmarkEnd w:id="31"/>
      <w:bookmarkEnd w:id="32"/>
      <w:r w:rsidRPr="00785A38">
        <w:t xml:space="preserve"> </w:t>
      </w:r>
    </w:p>
    <w:p w14:paraId="03943A5A" w14:textId="77777777" w:rsidR="003D1172" w:rsidRPr="002657E5" w:rsidRDefault="003D1172" w:rsidP="00C258BC">
      <w:pPr>
        <w:jc w:val="both"/>
        <w:rPr>
          <w:b/>
          <w:i/>
          <w:color w:val="000000" w:themeColor="text1"/>
        </w:rPr>
      </w:pPr>
      <w:r w:rsidRPr="002657E5">
        <w:rPr>
          <w:b/>
          <w:i/>
          <w:color w:val="000000" w:themeColor="text1"/>
        </w:rPr>
        <w:t xml:space="preserve">Geographical range of the </w:t>
      </w:r>
      <w:r>
        <w:rPr>
          <w:b/>
          <w:i/>
          <w:color w:val="000000" w:themeColor="text1"/>
        </w:rPr>
        <w:t>technical study</w:t>
      </w:r>
      <w:r w:rsidRPr="002657E5">
        <w:rPr>
          <w:b/>
          <w:i/>
          <w:color w:val="000000" w:themeColor="text1"/>
        </w:rPr>
        <w:t>:</w:t>
      </w:r>
    </w:p>
    <w:p w14:paraId="688F4E62" w14:textId="1A0285DF" w:rsidR="003D1172" w:rsidRPr="009621F9" w:rsidRDefault="003D1172" w:rsidP="00C258BC">
      <w:pPr>
        <w:jc w:val="both"/>
        <w:rPr>
          <w:color w:val="FF0000"/>
        </w:rPr>
      </w:pPr>
      <w:r w:rsidRPr="004904D8">
        <w:rPr>
          <w:color w:val="000000" w:themeColor="text1"/>
        </w:rPr>
        <w:t xml:space="preserve">This </w:t>
      </w:r>
      <w:r w:rsidR="00D95C55">
        <w:rPr>
          <w:color w:val="000000" w:themeColor="text1"/>
        </w:rPr>
        <w:t xml:space="preserve">technical </w:t>
      </w:r>
      <w:r w:rsidR="00D95C55" w:rsidRPr="00DA4708">
        <w:rPr>
          <w:color w:val="000000" w:themeColor="text1"/>
        </w:rPr>
        <w:t xml:space="preserve">study </w:t>
      </w:r>
      <w:r w:rsidRPr="00DA4708">
        <w:rPr>
          <w:color w:val="000000" w:themeColor="text1"/>
        </w:rPr>
        <w:t xml:space="preserve">focuses on wild meat governance and management solutions for Tropical and Subtropical regions in </w:t>
      </w:r>
      <w:r w:rsidR="00B91E17" w:rsidRPr="00DA4708">
        <w:rPr>
          <w:color w:val="000000" w:themeColor="text1"/>
        </w:rPr>
        <w:t>Latin America</w:t>
      </w:r>
      <w:r w:rsidR="009621F9" w:rsidRPr="00184775">
        <w:rPr>
          <w:rStyle w:val="FootnoteReference"/>
        </w:rPr>
        <w:footnoteReference w:id="3"/>
      </w:r>
      <w:r w:rsidRPr="00DA4708">
        <w:rPr>
          <w:color w:val="000000" w:themeColor="text1"/>
        </w:rPr>
        <w:t xml:space="preserve">, Africa and </w:t>
      </w:r>
      <w:r w:rsidRPr="004904D8">
        <w:rPr>
          <w:color w:val="000000" w:themeColor="text1"/>
        </w:rPr>
        <w:t>Asia</w:t>
      </w:r>
      <w:r w:rsidRPr="00184775">
        <w:rPr>
          <w:rStyle w:val="FootnoteReference"/>
        </w:rPr>
        <w:footnoteReference w:id="4"/>
      </w:r>
      <w:r w:rsidRPr="004904D8">
        <w:rPr>
          <w:color w:val="000000" w:themeColor="text1"/>
        </w:rPr>
        <w:t xml:space="preserve">. </w:t>
      </w:r>
      <w:r w:rsidR="00D95C55">
        <w:t xml:space="preserve">We </w:t>
      </w:r>
      <w:r w:rsidR="008A788C">
        <w:t xml:space="preserve">have </w:t>
      </w:r>
      <w:r w:rsidR="00D95C55">
        <w:t>used some examples</w:t>
      </w:r>
      <w:r w:rsidR="00D95C55" w:rsidRPr="004904D8">
        <w:rPr>
          <w:color w:val="000000" w:themeColor="text1"/>
        </w:rPr>
        <w:t xml:space="preserve"> </w:t>
      </w:r>
      <w:r w:rsidRPr="004904D8">
        <w:rPr>
          <w:color w:val="000000" w:themeColor="text1"/>
        </w:rPr>
        <w:t>from other regions, either f</w:t>
      </w:r>
      <w:r w:rsidRPr="005512D2">
        <w:rPr>
          <w:color w:val="000000" w:themeColor="text1"/>
        </w:rPr>
        <w:t>or comparison, or where a manage</w:t>
      </w:r>
      <w:r>
        <w:rPr>
          <w:color w:val="000000" w:themeColor="text1"/>
        </w:rPr>
        <w:t>me</w:t>
      </w:r>
      <w:r w:rsidRPr="005512D2">
        <w:rPr>
          <w:color w:val="000000" w:themeColor="text1"/>
        </w:rPr>
        <w:t xml:space="preserve">nt or governance model from another region may be </w:t>
      </w:r>
      <w:r w:rsidR="00D95C55">
        <w:rPr>
          <w:color w:val="000000" w:themeColor="text1"/>
        </w:rPr>
        <w:t>relevant or of interest.</w:t>
      </w:r>
      <w:r w:rsidRPr="005512D2">
        <w:rPr>
          <w:color w:val="000000" w:themeColor="text1"/>
        </w:rPr>
        <w:t xml:space="preserve"> </w:t>
      </w:r>
      <w:r>
        <w:rPr>
          <w:color w:val="000000" w:themeColor="text1"/>
        </w:rPr>
        <w:t>The geographical range</w:t>
      </w:r>
      <w:r w:rsidRPr="0064175F">
        <w:rPr>
          <w:color w:val="000000" w:themeColor="text1"/>
        </w:rPr>
        <w:t xml:space="preserve"> aim has been to create a comprehensive and representative, but by no means</w:t>
      </w:r>
      <w:r w:rsidRPr="0070404D">
        <w:rPr>
          <w:color w:val="000000" w:themeColor="text1"/>
        </w:rPr>
        <w:t xml:space="preserve"> exhaustive, review for these regions.</w:t>
      </w:r>
    </w:p>
    <w:p w14:paraId="257D18C1" w14:textId="34531DBB" w:rsidR="00CA6B68" w:rsidRPr="002657E5" w:rsidRDefault="007A3FE2" w:rsidP="00C258BC">
      <w:pPr>
        <w:jc w:val="both"/>
        <w:rPr>
          <w:b/>
          <w:i/>
          <w:color w:val="000000" w:themeColor="text1"/>
        </w:rPr>
      </w:pPr>
      <w:r w:rsidRPr="002657E5">
        <w:rPr>
          <w:b/>
          <w:i/>
          <w:color w:val="000000" w:themeColor="text1"/>
        </w:rPr>
        <w:t>Wild meat</w:t>
      </w:r>
      <w:r w:rsidR="00CA6B68" w:rsidRPr="002657E5">
        <w:rPr>
          <w:b/>
          <w:i/>
          <w:color w:val="000000" w:themeColor="text1"/>
        </w:rPr>
        <w:t>:</w:t>
      </w:r>
    </w:p>
    <w:p w14:paraId="5808ACF2" w14:textId="45A8FB2C" w:rsidR="008E1D26" w:rsidRDefault="008E1D26" w:rsidP="00C258BC">
      <w:pPr>
        <w:jc w:val="both"/>
        <w:rPr>
          <w:color w:val="000000" w:themeColor="text1"/>
        </w:rPr>
      </w:pPr>
      <w:r w:rsidRPr="0070404D">
        <w:rPr>
          <w:color w:val="000000" w:themeColor="text1"/>
        </w:rPr>
        <w:t xml:space="preserve">In this report, we employ the term </w:t>
      </w:r>
      <w:r w:rsidRPr="0070404D">
        <w:rPr>
          <w:i/>
          <w:color w:val="000000" w:themeColor="text1"/>
        </w:rPr>
        <w:t>wild meat</w:t>
      </w:r>
      <w:r w:rsidRPr="0070404D">
        <w:rPr>
          <w:color w:val="000000" w:themeColor="text1"/>
        </w:rPr>
        <w:t xml:space="preserve">, as adopted by </w:t>
      </w:r>
      <w:hyperlink r:id="rId31" w:history="1">
        <w:r w:rsidRPr="00634DCA">
          <w:rPr>
            <w:rStyle w:val="Hyperlink"/>
          </w:rPr>
          <w:t>the IUCN–World Conservation Union General Assembly Resolution 2.64</w:t>
        </w:r>
      </w:hyperlink>
      <w:r w:rsidR="00BF3A09">
        <w:rPr>
          <w:color w:val="000000" w:themeColor="text1"/>
        </w:rPr>
        <w:t xml:space="preserve"> </w:t>
      </w:r>
      <w:r w:rsidR="00BF3A09">
        <w:rPr>
          <w:color w:val="000000" w:themeColor="text1"/>
        </w:rPr>
        <w:fldChar w:fldCharType="begin" w:fldLock="1"/>
      </w:r>
      <w:r w:rsidR="00BF3A09">
        <w:rPr>
          <w:color w:val="000000" w:themeColor="text1"/>
        </w:rPr>
        <w:instrText>ADDIN CSL_CITATION {"citationItems":[{"id":"ITEM-1","itemData":{"author":[{"dropping-particle":"","family":"IUCN World Conservation Congress","given":"","non-dropping-particle":"","parse-names":false,"suffix":""}],"id":"ITEM-1","issued":{"date-parts":[["2000"]]},"page":"2-4","title":"Resolution 2.64","type":"article-journal"},"uris":["http://www.mendeley.com/documents/?uuid=ddcb0498-5938-4fec-b435-07902170fb85"]}],"mendeley":{"formattedCitation":"(IUCN World Conservation Congress 2000)","plainTextFormattedCitation":"(IUCN World Conservation Congress 2000)","previouslyFormattedCitation":"(IUCN World Conservation Congress 2000)"},"properties":{"noteIndex":0},"schema":"https://github.com/citation-style-language/schema/raw/master/csl-citation.json"}</w:instrText>
      </w:r>
      <w:r w:rsidR="00BF3A09">
        <w:rPr>
          <w:color w:val="000000" w:themeColor="text1"/>
        </w:rPr>
        <w:fldChar w:fldCharType="separate"/>
      </w:r>
      <w:r w:rsidR="00BF3A09" w:rsidRPr="00BF3A09">
        <w:rPr>
          <w:noProof/>
          <w:color w:val="000000" w:themeColor="text1"/>
        </w:rPr>
        <w:t>(IUCN World Conservation Congress 2000)</w:t>
      </w:r>
      <w:r w:rsidR="00BF3A09">
        <w:rPr>
          <w:color w:val="000000" w:themeColor="text1"/>
        </w:rPr>
        <w:fldChar w:fldCharType="end"/>
      </w:r>
      <w:r w:rsidRPr="0070404D">
        <w:rPr>
          <w:color w:val="000000" w:themeColor="text1"/>
        </w:rPr>
        <w:t xml:space="preserve">, to refer to terrestrial animal wildlife used for food in all parts of the world. We do not refer to ‘bushmeat’, since this </w:t>
      </w:r>
      <w:r w:rsidR="007A3FE2" w:rsidRPr="0070404D">
        <w:rPr>
          <w:color w:val="000000" w:themeColor="text1"/>
        </w:rPr>
        <w:t>term refers</w:t>
      </w:r>
      <w:r w:rsidRPr="0070404D">
        <w:rPr>
          <w:color w:val="000000" w:themeColor="text1"/>
        </w:rPr>
        <w:t xml:space="preserve"> to the ‘meat of African wild animals as food’ (per the Oxford English Dictionary) </w:t>
      </w:r>
      <w:r w:rsidR="001C5DAC">
        <w:rPr>
          <w:color w:val="000000" w:themeColor="text1"/>
        </w:rPr>
        <w:t>but</w:t>
      </w:r>
      <w:r w:rsidRPr="0070404D">
        <w:rPr>
          <w:color w:val="000000" w:themeColor="text1"/>
        </w:rPr>
        <w:t xml:space="preserve"> our remit is not only Africa. Moreover, we suggest the revision of the CBD’s </w:t>
      </w:r>
      <w:r w:rsidR="00BF3A09">
        <w:rPr>
          <w:color w:val="000000" w:themeColor="text1"/>
        </w:rPr>
        <w:fldChar w:fldCharType="begin" w:fldLock="1"/>
      </w:r>
      <w:r w:rsidR="00AB268B">
        <w:rPr>
          <w:color w:val="000000" w:themeColor="text1"/>
        </w:rPr>
        <w:instrText>ADDIN CSL_CITATION {"citationItems":[{"id":"ITEM-1","itemData":{"ISBN":"9771422006","author":[{"dropping-particle":"","family":"CBD","given":"","non-dropping-particle":"","parse-names":false,"suffix":""}],"id":"ITEM-1","issued":{"date-parts":[["2012"]]},"number-of-pages":"1-7","publisher-place":"Hyderabad, India","title":"Decision adopted by the conference of the Parties to the Convention on Biological Diversity at its Eleventh Meeting (XI/25)","type":"report"},"uris":["http://www.mendeley.com/documents/?uuid=db369491-714e-3b7e-bf5d-757c97f3ce3e"]}],"mendeley":{"formattedCitation":"(CBD 2012)","plainTextFormattedCitation":"(CBD 2012)","previouslyFormattedCitation":"(CBD 2012)"},"properties":{"noteIndex":0},"schema":"https://github.com/citation-style-language/schema/raw/master/csl-citation.json"}</w:instrText>
      </w:r>
      <w:r w:rsidR="00BF3A09">
        <w:rPr>
          <w:color w:val="000000" w:themeColor="text1"/>
        </w:rPr>
        <w:fldChar w:fldCharType="separate"/>
      </w:r>
      <w:r w:rsidR="00BF3A09" w:rsidRPr="00BF3A09">
        <w:rPr>
          <w:noProof/>
          <w:color w:val="000000" w:themeColor="text1"/>
        </w:rPr>
        <w:t>(CBD 2012)</w:t>
      </w:r>
      <w:r w:rsidR="00BF3A09">
        <w:rPr>
          <w:color w:val="000000" w:themeColor="text1"/>
        </w:rPr>
        <w:fldChar w:fldCharType="end"/>
      </w:r>
      <w:r w:rsidR="00BF3A09">
        <w:rPr>
          <w:color w:val="000000" w:themeColor="text1"/>
        </w:rPr>
        <w:t xml:space="preserve"> </w:t>
      </w:r>
      <w:r w:rsidRPr="0070404D">
        <w:rPr>
          <w:color w:val="000000" w:themeColor="text1"/>
        </w:rPr>
        <w:t xml:space="preserve">description of wild meat hunting which refers to ‘the harvesting of wild animals in tropical and sub-tropical countries for food and for non-food purposes, including for medicinal use’ to focus only on the hunting of wild animals for their meat anywhere in the world. </w:t>
      </w:r>
    </w:p>
    <w:p w14:paraId="368A58AB" w14:textId="2803BFF4" w:rsidR="00FC6940" w:rsidRPr="00DA4708" w:rsidRDefault="00036D1C" w:rsidP="00C258BC">
      <w:pPr>
        <w:jc w:val="both"/>
        <w:rPr>
          <w:color w:val="000000" w:themeColor="text1"/>
        </w:rPr>
      </w:pPr>
      <w:r>
        <w:rPr>
          <w:color w:val="000000" w:themeColor="text1"/>
        </w:rPr>
        <w:t>While</w:t>
      </w:r>
      <w:r w:rsidR="005474A1">
        <w:rPr>
          <w:color w:val="000000" w:themeColor="text1"/>
        </w:rPr>
        <w:t xml:space="preserve"> t</w:t>
      </w:r>
      <w:r w:rsidR="0077363A">
        <w:rPr>
          <w:color w:val="000000" w:themeColor="text1"/>
        </w:rPr>
        <w:t>he international Illegal Wildlife T</w:t>
      </w:r>
      <w:r w:rsidR="005474A1">
        <w:rPr>
          <w:color w:val="000000" w:themeColor="text1"/>
        </w:rPr>
        <w:t>rade (</w:t>
      </w:r>
      <w:r w:rsidR="005474A1" w:rsidRPr="00026DF0">
        <w:rPr>
          <w:color w:val="000000" w:themeColor="text1"/>
        </w:rPr>
        <w:t>IWT</w:t>
      </w:r>
      <w:r w:rsidR="005474A1">
        <w:rPr>
          <w:color w:val="000000" w:themeColor="text1"/>
        </w:rPr>
        <w:t>) includes wild meat trade</w:t>
      </w:r>
      <w:r w:rsidR="004F6AAA">
        <w:rPr>
          <w:color w:val="000000" w:themeColor="text1"/>
        </w:rPr>
        <w:t>,</w:t>
      </w:r>
      <w:r w:rsidR="005474A1">
        <w:rPr>
          <w:color w:val="000000" w:themeColor="text1"/>
        </w:rPr>
        <w:t xml:space="preserve"> and affects </w:t>
      </w:r>
      <w:r w:rsidR="004F6AAA">
        <w:rPr>
          <w:color w:val="000000" w:themeColor="text1"/>
        </w:rPr>
        <w:t>the same resource base</w:t>
      </w:r>
      <w:r w:rsidR="005474A1">
        <w:rPr>
          <w:color w:val="000000" w:themeColor="text1"/>
        </w:rPr>
        <w:t xml:space="preserve">, </w:t>
      </w:r>
      <w:r w:rsidR="00670539">
        <w:rPr>
          <w:color w:val="000000" w:themeColor="text1"/>
        </w:rPr>
        <w:t xml:space="preserve">the vast majority of </w:t>
      </w:r>
      <w:r w:rsidR="00F578B1">
        <w:rPr>
          <w:color w:val="000000" w:themeColor="text1"/>
        </w:rPr>
        <w:t>wild meat traded</w:t>
      </w:r>
      <w:r w:rsidR="00670539">
        <w:rPr>
          <w:color w:val="000000" w:themeColor="text1"/>
        </w:rPr>
        <w:t xml:space="preserve"> is</w:t>
      </w:r>
      <w:r w:rsidR="00F578B1">
        <w:rPr>
          <w:color w:val="000000" w:themeColor="text1"/>
        </w:rPr>
        <w:t xml:space="preserve"> for the domestic market </w:t>
      </w:r>
      <w:r w:rsidR="001C5DAC">
        <w:rPr>
          <w:color w:val="000000" w:themeColor="text1"/>
        </w:rPr>
        <w:t xml:space="preserve">of the country in which it is hunted </w:t>
      </w:r>
      <w:r w:rsidR="00BF3A09">
        <w:rPr>
          <w:color w:val="000000" w:themeColor="text1"/>
        </w:rPr>
        <w:fldChar w:fldCharType="begin" w:fldLock="1"/>
      </w:r>
      <w:r w:rsidR="00BF3A09">
        <w:rPr>
          <w:color w:val="000000" w:themeColor="text1"/>
        </w:rPr>
        <w:instrText>ADDIN CSL_CITATION {"citationItems":[{"id":"ITEM-1","itemData":{"ISBN":"9789211482881","author":[{"dropping-particle":"","family":"UNODC","given":"","non-dropping-particle":"","parse-names":false,"suffix":""}],"id":"ITEM-1","issued":{"date-parts":[["2016"]]},"number-of-pages":"1-98","publisher-place":"United Nations Office on Drugs and Crime, Vienna, Austria.","title":"World Wildlife Crime Report: Trafficking in protected species","type":"report"},"uris":["http://www.mendeley.com/documents/?uuid=9e2b0450-bded-4362-b4a5-0a59c875e505"]}],"mendeley":{"formattedCitation":"(UNODC 2016)","plainTextFormattedCitation":"(UNODC 2016)","previouslyFormattedCitation":"(UNODC 2016)"},"properties":{"noteIndex":0},"schema":"https://github.com/citation-style-language/schema/raw/master/csl-citation.json"}</w:instrText>
      </w:r>
      <w:r w:rsidR="00BF3A09">
        <w:rPr>
          <w:color w:val="000000" w:themeColor="text1"/>
        </w:rPr>
        <w:fldChar w:fldCharType="separate"/>
      </w:r>
      <w:r w:rsidR="00BF3A09" w:rsidRPr="00BF3A09">
        <w:rPr>
          <w:noProof/>
          <w:color w:val="000000" w:themeColor="text1"/>
        </w:rPr>
        <w:t>(UNODC 2016)</w:t>
      </w:r>
      <w:r w:rsidR="00BF3A09">
        <w:rPr>
          <w:color w:val="000000" w:themeColor="text1"/>
        </w:rPr>
        <w:fldChar w:fldCharType="end"/>
      </w:r>
      <w:r w:rsidR="005474A1">
        <w:rPr>
          <w:color w:val="000000" w:themeColor="text1"/>
        </w:rPr>
        <w:t xml:space="preserve">. We therefore focus on management solutions for the national trade in wild meat, while discussing IWT where relevant. </w:t>
      </w:r>
      <w:r w:rsidR="005474A1" w:rsidRPr="00DA4708">
        <w:rPr>
          <w:color w:val="000000" w:themeColor="text1"/>
        </w:rPr>
        <w:t xml:space="preserve">There is a growing and significant literature on options for </w:t>
      </w:r>
      <w:r w:rsidR="00670539" w:rsidRPr="00DA4708">
        <w:rPr>
          <w:color w:val="000000" w:themeColor="text1"/>
        </w:rPr>
        <w:t xml:space="preserve">countering </w:t>
      </w:r>
      <w:r w:rsidR="005474A1" w:rsidRPr="00DA4708">
        <w:rPr>
          <w:color w:val="000000" w:themeColor="text1"/>
        </w:rPr>
        <w:t>IWT, and we direct readers to</w:t>
      </w:r>
      <w:r w:rsidR="009D2323" w:rsidRPr="00DA4708">
        <w:rPr>
          <w:color w:val="000000" w:themeColor="text1"/>
        </w:rPr>
        <w:t xml:space="preserve"> United Nations Office on Drugs and Crime</w:t>
      </w:r>
      <w:r w:rsidR="00C84CF9" w:rsidRPr="00DA4708">
        <w:rPr>
          <w:color w:val="000000" w:themeColor="text1"/>
        </w:rPr>
        <w:t>’s</w:t>
      </w:r>
      <w:r w:rsidR="009D2323" w:rsidRPr="00DA4708">
        <w:rPr>
          <w:color w:val="000000" w:themeColor="text1"/>
        </w:rPr>
        <w:t xml:space="preserve"> (UNODC)</w:t>
      </w:r>
      <w:r w:rsidR="005474A1" w:rsidRPr="00DA4708">
        <w:rPr>
          <w:color w:val="000000" w:themeColor="text1"/>
        </w:rPr>
        <w:t xml:space="preserve"> </w:t>
      </w:r>
      <w:hyperlink r:id="rId32" w:history="1">
        <w:r w:rsidR="00670539" w:rsidRPr="00DA4708">
          <w:rPr>
            <w:rStyle w:val="Hyperlink"/>
            <w:color w:val="000000" w:themeColor="text1"/>
          </w:rPr>
          <w:t>World Wildlife Crime Report</w:t>
        </w:r>
      </w:hyperlink>
      <w:r w:rsidR="00670539" w:rsidRPr="00DA4708">
        <w:rPr>
          <w:color w:val="000000" w:themeColor="text1"/>
        </w:rPr>
        <w:t xml:space="preserve"> </w:t>
      </w:r>
      <w:r w:rsidR="00BF3A09">
        <w:rPr>
          <w:color w:val="000000" w:themeColor="text1"/>
        </w:rPr>
        <w:fldChar w:fldCharType="begin" w:fldLock="1"/>
      </w:r>
      <w:r w:rsidR="00BF3A09">
        <w:rPr>
          <w:color w:val="000000" w:themeColor="text1"/>
        </w:rPr>
        <w:instrText>ADDIN CSL_CITATION {"citationItems":[{"id":"ITEM-1","itemData":{"ISBN":"9789211482881","author":[{"dropping-particle":"","family":"UNODC","given":"","non-dropping-particle":"","parse-names":false,"suffix":""}],"id":"ITEM-1","issued":{"date-parts":[["2016"]]},"number-of-pages":"1-98","publisher-place":"United Nations Office on Drugs and Crime, Vienna, Austria.","title":"World Wildlife Crime Report: Trafficking in protected species","type":"report"},"uris":["http://www.mendeley.com/documents/?uuid=9e2b0450-bded-4362-b4a5-0a59c875e505"]}],"mendeley":{"formattedCitation":"(UNODC 2016)","plainTextFormattedCitation":"(UNODC 2016)","previouslyFormattedCitation":"(UNODC 2016)"},"properties":{"noteIndex":0},"schema":"https://github.com/citation-style-language/schema/raw/master/csl-citation.json"}</w:instrText>
      </w:r>
      <w:r w:rsidR="00BF3A09">
        <w:rPr>
          <w:color w:val="000000" w:themeColor="text1"/>
        </w:rPr>
        <w:fldChar w:fldCharType="separate"/>
      </w:r>
      <w:r w:rsidR="00BF3A09" w:rsidRPr="00BF3A09">
        <w:rPr>
          <w:noProof/>
          <w:color w:val="000000" w:themeColor="text1"/>
        </w:rPr>
        <w:t>(UNODC 2016)</w:t>
      </w:r>
      <w:r w:rsidR="00BF3A09">
        <w:rPr>
          <w:color w:val="000000" w:themeColor="text1"/>
        </w:rPr>
        <w:fldChar w:fldCharType="end"/>
      </w:r>
      <w:r w:rsidR="009D2323" w:rsidRPr="00DA4708">
        <w:rPr>
          <w:color w:val="000000" w:themeColor="text1"/>
        </w:rPr>
        <w:t xml:space="preserve"> </w:t>
      </w:r>
      <w:r w:rsidR="00670539" w:rsidRPr="00DA4708">
        <w:rPr>
          <w:color w:val="000000" w:themeColor="text1"/>
        </w:rPr>
        <w:t>as a</w:t>
      </w:r>
      <w:r w:rsidR="005474A1" w:rsidRPr="00DA4708">
        <w:rPr>
          <w:color w:val="000000" w:themeColor="text1"/>
        </w:rPr>
        <w:t xml:space="preserve"> starting point.  </w:t>
      </w:r>
    </w:p>
    <w:p w14:paraId="64A64889" w14:textId="77777777" w:rsidR="00FC6940" w:rsidRPr="002657E5" w:rsidRDefault="00CA6B68" w:rsidP="00C258BC">
      <w:pPr>
        <w:jc w:val="both"/>
        <w:rPr>
          <w:b/>
          <w:i/>
          <w:color w:val="000000" w:themeColor="text1"/>
        </w:rPr>
      </w:pPr>
      <w:r w:rsidRPr="002657E5">
        <w:rPr>
          <w:b/>
          <w:i/>
          <w:color w:val="000000" w:themeColor="text1"/>
        </w:rPr>
        <w:t>Hunter typologies:</w:t>
      </w:r>
    </w:p>
    <w:p w14:paraId="7101420F" w14:textId="5300FCA1" w:rsidR="00FC6940" w:rsidRPr="00FC6940" w:rsidRDefault="008251E2" w:rsidP="00C258BC">
      <w:pPr>
        <w:jc w:val="both"/>
        <w:rPr>
          <w:color w:val="000000" w:themeColor="text1"/>
        </w:rPr>
      </w:pPr>
      <w:r>
        <w:rPr>
          <w:color w:val="000000" w:themeColor="text1"/>
        </w:rPr>
        <w:t>H</w:t>
      </w:r>
      <w:r w:rsidR="00A431C9" w:rsidRPr="0070404D">
        <w:rPr>
          <w:color w:val="000000" w:themeColor="text1"/>
        </w:rPr>
        <w:t xml:space="preserve">unting activities have often been categorised as </w:t>
      </w:r>
      <w:r w:rsidR="00A431C9" w:rsidRPr="0070404D">
        <w:rPr>
          <w:i/>
          <w:color w:val="000000" w:themeColor="text1"/>
        </w:rPr>
        <w:t xml:space="preserve">subsistence </w:t>
      </w:r>
      <w:r w:rsidR="0024266A" w:rsidRPr="0070404D">
        <w:rPr>
          <w:color w:val="000000" w:themeColor="text1"/>
        </w:rPr>
        <w:t xml:space="preserve">or </w:t>
      </w:r>
      <w:r w:rsidR="0024266A" w:rsidRPr="0070404D">
        <w:rPr>
          <w:i/>
          <w:color w:val="000000" w:themeColor="text1"/>
        </w:rPr>
        <w:t>commercial harvesting</w:t>
      </w:r>
      <w:r w:rsidR="0024266A" w:rsidRPr="0070404D">
        <w:rPr>
          <w:color w:val="000000" w:themeColor="text1"/>
        </w:rPr>
        <w:t>.</w:t>
      </w:r>
      <w:r w:rsidR="00A431C9" w:rsidRPr="0070404D">
        <w:rPr>
          <w:color w:val="000000" w:themeColor="text1"/>
        </w:rPr>
        <w:t xml:space="preserve"> </w:t>
      </w:r>
      <w:r w:rsidR="00DA4708" w:rsidRPr="0070404D">
        <w:t>Subsistence hunting is said to be carried out by</w:t>
      </w:r>
      <w:r w:rsidR="00DA4708" w:rsidRPr="0070404D">
        <w:rPr>
          <w:color w:val="000000" w:themeColor="text1"/>
        </w:rPr>
        <w:t xml:space="preserve"> hunters for whom the benefits obtained from wildlife (</w:t>
      </w:r>
      <w:r w:rsidR="00DA4708" w:rsidRPr="00DA4708">
        <w:rPr>
          <w:color w:val="000000" w:themeColor="text1"/>
        </w:rPr>
        <w:t>particularly food) are directly consumed or used by the h</w:t>
      </w:r>
      <w:r w:rsidR="00DA4708">
        <w:rPr>
          <w:color w:val="000000" w:themeColor="text1"/>
        </w:rPr>
        <w:t>unter</w:t>
      </w:r>
      <w:r w:rsidR="00DA4708" w:rsidRPr="00DA4708">
        <w:rPr>
          <w:color w:val="000000" w:themeColor="text1"/>
        </w:rPr>
        <w:t xml:space="preserve"> and their family</w:t>
      </w:r>
      <w:r w:rsidR="00DA4708">
        <w:rPr>
          <w:color w:val="000000" w:themeColor="text1"/>
        </w:rPr>
        <w:t>.</w:t>
      </w:r>
      <w:r w:rsidR="00DA4708" w:rsidRPr="00DA4708">
        <w:rPr>
          <w:color w:val="000000" w:themeColor="text1"/>
        </w:rPr>
        <w:t xml:space="preserve"> </w:t>
      </w:r>
      <w:r w:rsidR="009D2323" w:rsidRPr="00DA4708">
        <w:rPr>
          <w:color w:val="000000" w:themeColor="text1"/>
        </w:rPr>
        <w:t xml:space="preserve">This activity is </w:t>
      </w:r>
      <w:r w:rsidR="007070DD" w:rsidRPr="00DA4708">
        <w:rPr>
          <w:color w:val="000000" w:themeColor="text1"/>
        </w:rPr>
        <w:t xml:space="preserve">critical to the </w:t>
      </w:r>
      <w:r w:rsidR="009D2323" w:rsidRPr="00DA4708">
        <w:rPr>
          <w:color w:val="000000" w:themeColor="text1"/>
        </w:rPr>
        <w:t>nutrition, food security, and</w:t>
      </w:r>
      <w:r w:rsidR="00DA4708">
        <w:rPr>
          <w:color w:val="000000" w:themeColor="text1"/>
        </w:rPr>
        <w:t>/or</w:t>
      </w:r>
      <w:r w:rsidR="009D2323" w:rsidRPr="00DA4708">
        <w:rPr>
          <w:color w:val="000000" w:themeColor="text1"/>
        </w:rPr>
        <w:t xml:space="preserve"> economic stability</w:t>
      </w:r>
      <w:r w:rsidR="007070DD" w:rsidRPr="00DA4708">
        <w:rPr>
          <w:color w:val="000000" w:themeColor="text1"/>
        </w:rPr>
        <w:t xml:space="preserve"> of </w:t>
      </w:r>
      <w:r w:rsidR="00DA4708">
        <w:rPr>
          <w:color w:val="000000" w:themeColor="text1"/>
        </w:rPr>
        <w:t>the</w:t>
      </w:r>
      <w:r w:rsidR="00813F42" w:rsidRPr="00DA4708">
        <w:rPr>
          <w:color w:val="000000" w:themeColor="text1"/>
        </w:rPr>
        <w:t xml:space="preserve"> </w:t>
      </w:r>
      <w:r w:rsidR="00DA4708" w:rsidRPr="00DA4708">
        <w:rPr>
          <w:color w:val="000000" w:themeColor="text1"/>
        </w:rPr>
        <w:t>h</w:t>
      </w:r>
      <w:r w:rsidR="00DA4708">
        <w:rPr>
          <w:color w:val="000000" w:themeColor="text1"/>
        </w:rPr>
        <w:t>unter</w:t>
      </w:r>
      <w:r w:rsidR="00DA4708" w:rsidRPr="00DA4708">
        <w:rPr>
          <w:color w:val="000000" w:themeColor="text1"/>
        </w:rPr>
        <w:t xml:space="preserve"> and their family </w:t>
      </w:r>
      <w:r w:rsidR="00DA4708" w:rsidRPr="00DA4708">
        <w:rPr>
          <w:color w:val="000000" w:themeColor="text1"/>
        </w:rPr>
        <w:fldChar w:fldCharType="begin" w:fldLock="1"/>
      </w:r>
      <w:r w:rsidR="00B2630D">
        <w:rPr>
          <w:color w:val="000000" w:themeColor="text1"/>
        </w:rPr>
        <w:instrText>ADDIN CSL_CITATION {"citationItems":[{"id":"ITEM-1","itemData":{"author":[{"dropping-particle":"","family":"Peres","given":"C A","non-dropping-particle":"","parse-names":false,"suffix":""}],"container-title":"Hunting for sustainability in tropical forests","editor":[{"dropping-particle":"","family":"Robinson","given":"J G","non-dropping-particle":"","parse-names":false,"suffix":""},{"dropping-particle":"","family":"Bennett","given":"E L","non-dropping-particle":"","parse-names":false,"suffix":""}],"id":"ITEM-1","issued":{"date-parts":[["2000"]]},"page":"31-56","publisher":"Columbia University Press, New York, USA","title":"Evaluating the impact and sustainability of subsistence hunting at multiple Amazonian forest sites","type":"chapter"},"uris":["http://www.mendeley.com/documents/?uuid=a84d43d0-d341-4eb5-8fc7-e76331fcc322"]}],"mendeley":{"formattedCitation":"(Peres 2000a)","manualFormatting":"(Peres, 2000)","plainTextFormattedCitation":"(Peres 2000a)","previouslyFormattedCitation":"(Peres 2000a)"},"properties":{"noteIndex":0},"schema":"https://github.com/citation-style-language/schema/raw/master/csl-citation.json"}</w:instrText>
      </w:r>
      <w:r w:rsidR="00DA4708" w:rsidRPr="00DA4708">
        <w:rPr>
          <w:color w:val="000000" w:themeColor="text1"/>
        </w:rPr>
        <w:fldChar w:fldCharType="separate"/>
      </w:r>
      <w:r w:rsidR="00DA4708" w:rsidRPr="00DA4708">
        <w:rPr>
          <w:noProof/>
          <w:color w:val="000000" w:themeColor="text1"/>
        </w:rPr>
        <w:t>(Peres</w:t>
      </w:r>
      <w:r w:rsidR="003F03C5">
        <w:rPr>
          <w:noProof/>
          <w:color w:val="000000" w:themeColor="text1"/>
        </w:rPr>
        <w:t>,</w:t>
      </w:r>
      <w:r w:rsidR="00DA4708" w:rsidRPr="00DA4708">
        <w:rPr>
          <w:noProof/>
          <w:color w:val="000000" w:themeColor="text1"/>
        </w:rPr>
        <w:t xml:space="preserve"> 2000)</w:t>
      </w:r>
      <w:r w:rsidR="00DA4708" w:rsidRPr="00DA4708">
        <w:rPr>
          <w:color w:val="000000" w:themeColor="text1"/>
        </w:rPr>
        <w:fldChar w:fldCharType="end"/>
      </w:r>
      <w:r w:rsidR="00DA4708" w:rsidRPr="00DA4708">
        <w:rPr>
          <w:color w:val="000000" w:themeColor="text1"/>
        </w:rPr>
        <w:t>.</w:t>
      </w:r>
      <w:r w:rsidR="00DA4708">
        <w:rPr>
          <w:color w:val="000000" w:themeColor="text1"/>
        </w:rPr>
        <w:t xml:space="preserve"> </w:t>
      </w:r>
      <w:r w:rsidR="009C5D4C" w:rsidRPr="00DA4708">
        <w:rPr>
          <w:i/>
          <w:color w:val="000000" w:themeColor="text1"/>
        </w:rPr>
        <w:t>C</w:t>
      </w:r>
      <w:r w:rsidR="00455EFF" w:rsidRPr="00DA4708">
        <w:rPr>
          <w:i/>
          <w:color w:val="000000" w:themeColor="text1"/>
        </w:rPr>
        <w:t>ommercial harvesting</w:t>
      </w:r>
      <w:r w:rsidR="00455EFF" w:rsidRPr="00DA4708">
        <w:rPr>
          <w:color w:val="000000" w:themeColor="text1"/>
        </w:rPr>
        <w:t xml:space="preserve"> </w:t>
      </w:r>
      <w:r w:rsidR="009C5D4C" w:rsidRPr="00DA4708">
        <w:rPr>
          <w:color w:val="000000" w:themeColor="text1"/>
        </w:rPr>
        <w:t xml:space="preserve">is </w:t>
      </w:r>
      <w:r w:rsidR="00455EFF" w:rsidRPr="00DA4708">
        <w:rPr>
          <w:color w:val="000000" w:themeColor="text1"/>
        </w:rPr>
        <w:t xml:space="preserve">when hunting is undertaken primarily or exclusively for the sale of wild </w:t>
      </w:r>
      <w:r w:rsidR="00455EFF" w:rsidRPr="002257F6">
        <w:rPr>
          <w:color w:val="000000" w:themeColor="text1"/>
        </w:rPr>
        <w:t xml:space="preserve">meat for profit. </w:t>
      </w:r>
      <w:r w:rsidR="00A431C9" w:rsidRPr="002257F6">
        <w:rPr>
          <w:color w:val="000000" w:themeColor="text1"/>
        </w:rPr>
        <w:t xml:space="preserve">However, this division </w:t>
      </w:r>
      <w:r w:rsidR="0024266A" w:rsidRPr="002257F6">
        <w:rPr>
          <w:color w:val="000000" w:themeColor="text1"/>
        </w:rPr>
        <w:t>does</w:t>
      </w:r>
      <w:r w:rsidR="008228E9" w:rsidRPr="002257F6">
        <w:rPr>
          <w:color w:val="000000" w:themeColor="text1"/>
        </w:rPr>
        <w:t xml:space="preserve"> not </w:t>
      </w:r>
      <w:r w:rsidR="00B5629C" w:rsidRPr="002257F6">
        <w:rPr>
          <w:color w:val="000000" w:themeColor="text1"/>
        </w:rPr>
        <w:t xml:space="preserve">well </w:t>
      </w:r>
      <w:r w:rsidR="008228E9" w:rsidRPr="002257F6">
        <w:rPr>
          <w:color w:val="000000" w:themeColor="text1"/>
        </w:rPr>
        <w:t xml:space="preserve">reflect the current </w:t>
      </w:r>
      <w:r w:rsidR="0024266A" w:rsidRPr="002257F6">
        <w:t>range of circumstances in which</w:t>
      </w:r>
      <w:r w:rsidR="0024266A" w:rsidRPr="0070404D">
        <w:t xml:space="preserve"> wild animal products are consumed or sold</w:t>
      </w:r>
      <w:r w:rsidR="008228E9" w:rsidRPr="0070404D">
        <w:rPr>
          <w:color w:val="000000" w:themeColor="text1"/>
        </w:rPr>
        <w:t xml:space="preserve">. </w:t>
      </w:r>
      <w:r w:rsidR="0024266A" w:rsidRPr="0070404D">
        <w:rPr>
          <w:color w:val="000000" w:themeColor="text1"/>
        </w:rPr>
        <w:t>R</w:t>
      </w:r>
      <w:r w:rsidR="008228E9" w:rsidRPr="0070404D">
        <w:rPr>
          <w:color w:val="000000" w:themeColor="text1"/>
        </w:rPr>
        <w:t xml:space="preserve">ural, village-based hunters often sell excess meat that is not required by the family, or the most valuable species, as a source of income </w:t>
      </w:r>
      <w:r w:rsidR="00B2630D">
        <w:rPr>
          <w:color w:val="000000" w:themeColor="text1"/>
        </w:rPr>
        <w:fldChar w:fldCharType="begin" w:fldLock="1"/>
      </w:r>
      <w:r w:rsidR="00C51889">
        <w:rPr>
          <w:color w:val="000000" w:themeColor="text1"/>
        </w:rPr>
        <w:instrText>ADDIN CSL_CITATION {"citationItems":[{"id":"ITEM-1","itemData":{"DOI":"10.1017/S0030605313001294","author":[{"dropping-particle":"","family":"Alexander","given":"J S","non-dropping-particle":"","parse-names":false,"suffix":""},{"dropping-particle":"","family":"McNamara","given":"J","non-dropping-particle":"","parse-names":false,"suffix":""},{"dropping-particle":"","family":"Rowcliffe","given":"J M","non-dropping-particle":"","parse-names":false,"suffix":""},{"dropping-particle":"","family":"Oppong","given":"J","non-dropping-particle":"","parse-names":false,"suffix":""},{"dropping-particle":"","family":"Milner-Gulland","given":"E J","non-dropping-particle":"","parse-names":false,"suffix":""}],"container-title":"Oryx","id":"ITEM-1","issue":"4","issued":{"date-parts":[["2015"]]},"page":"643-651","title":"The role of bushmeat in a West African agricultural landscape","type":"article-journal","volume":"49"},"uris":["http://www.mendeley.com/documents/?uuid=918290d8-877c-43f2-9954-c29f02d2d6be"]},{"id":"ITEM-2","itemData":{"DOI":"10.1111/j.1523-1739.2010.01525.x","author":[{"dropping-particle":"","family":"Coad","given":"L.","non-dropping-particle":"","parse-names":false,"suffix":""},{"dropping-particle":"","family":"Abernethy","given":"K.A.","non-dropping-particle":"","parse-names":false,"suffix":""},{"dropping-particle":"","family":"Balmford","given":"A.","non-dropping-particle":"","parse-names":false,"suffix":""},{"dropping-particle":"","family":"Manica","given":"A.","non-dropping-particle":"","parse-names":false,"suffix":""},{"dropping-particle":"","family":"Airey","given":"L.","non-dropping-particle":"","parse-names":false,"suffix":""},{"dropping-particle":"","family":"Milner-Gulland","given":"E.J.","non-dropping-particle":"","parse-names":false,"suffix":""}],"container-title":"Conservation Biology","id":"ITEM-2","issued":{"date-parts":[["2010"]]},"page":"1510-1518","title":"Distribution and use of income from bushmeat in a rural village, Central Gabon","type":"article-journal","volume":"24"},"uris":["http://www.mendeley.com/documents/?uuid=1613662d-7cac-4308-b879-4bfff838b077"]},{"id":"ITEM-3","itemData":{"DOI":"10.1111/cobi.12785","ISBN":"9788578110796","ISSN":"15231739","PMID":"25246403","abstract":"Although deforestation and forest degradation have long been considered the most significant threats to tropical biodiversity, across Southeast Asia (Northeast India, Indochina, Sundaland, Philippines) substantial areas of natural habitat have few wild animals (&gt;1 kg), bar a few hunting-tolerant species. To document hunting impacts on vertebrate populations regionally,we conducted an extensive literature review, including papers in local journals and reports of governmental and nongovernmental agencies. Evidence from multiple sites indicated animal populations declined precipitously across the region since approximately 1980, and many species are now extirpated from substantial portions of their former ranges. Hunting is by far the greatest immediate threat to the survival of most of the region’s endangered vertebrates. Causes of recent overhunting include improved access to forests and markets, improved hunting technology, and escalating demand for wildmeat, wildlife-derived medicinal products, and wild animals as pets. Although hunters often take common species, such as pigs or rats, for their own consumption, they take rarer species opportunistically and sell surplus meat and commercially valuable products. There is also widespread targeted hunting of high-value species. Consequently, as currently practiced, hunting cannot be considered sustainable anywhere in the region, and in most places enforcement of protected-area and protected-species legislation is weak. The international community’s focus on cross-border trade fails to address overexploitation of wildlife because hunting and the sale of wildmeat is largely a local issue and most of the harvest is consumed in villages, rural towns, and nearby cities. In addition to improved enforcement, efforts to engage hunters and manage wildlife populations through sustainable hunting practices are urgently needed. Unless there is a step change in efforts to reduce wildlife exploitation to sustainable levels, the region will likely lose most of its iconic species, and many others besides, within the next few years. Keywords:","author":[{"dropping-particle":"","family":"Harrison","given":"Rhett D.","non-dropping-particle":"","parse-names":false,"suffix":""},{"dropping-particle":"","family":"Sreekar","given":"Rachakonda","non-dropping-particle":"","parse-names":false,"suffix":""},{"dropping-particle":"","family":"Brodie","given":"Jedediah F.","non-dropping-particle":"","parse-names":false,"suffix":""},{"dropping-particle":"","family":"Brook","given":"Sarah","non-dropping-particle":"","parse-names":false,"suffix":""},{"dropping-particle":"","family":"Luskin","given":"Matthew","non-dropping-particle":"","parse-names":false,"suffix":""},{"dropping-particle":"","family":"O'Kelly","given":"Hannah","non-dropping-particle":"","parse-names":false,"suffix":""},{"dropping-particle":"","family":"Rao","given":"Madhu","non-dropping-particle":"","parse-names":false,"suffix":""},{"dropping-particle":"","family":"Scheffers","given":"Brett","non-dropping-particle":"","parse-names":false,"suffix":""},{"dropping-particle":"","family":"Velho","given":"Nandini","non-dropping-particle":"","parse-names":false,"suffix":""}],"container-title":"Conservation Biology","id":"ITEM-3","issue":"5","issued":{"date-parts":[["2016"]]},"page":"972-981","title":"Impacts of hunting on tropical forests in Southeast Asia","type":"article-journal","volume":"30"},"uris":["http://www.mendeley.com/documents/?uuid=9156a739-3962-4575-aeb8-3bbb3e13bd98"]},{"id":"ITEM-4","itemData":{"DOI":"10.1371/journal.pone.0072807","author":[{"dropping-particle":"","family":"Schulte-Herbrüggen","given":"Björn","non-dropping-particle":"","parse-names":false,"suffix":""},{"dropping-particle":"","family":"Cowlishaw","given":"Guy","non-dropping-particle":"","parse-names":false,"suffix":""},{"dropping-particle":"","family":"Homewood","given":"Katherine","non-dropping-particle":"","parse-names":false,"suffix":""},{"dropping-particle":"","family":"Rowcliffe","given":"J Marcus","non-dropping-particle":"","parse-names":false,"suffix":""}],"container-title":"PLoS ONE","id":"ITEM-4","issue":"8","issued":{"date-parts":[["2013"]]},"page":"e72807","title":"The importance of bushmeat in the livelihoods of West African cash-crop farmers living in a faunally-depleted landscape","type":"article-journal","volume":"8"},"uris":["http://www.mendeley.com/documents/?uuid=ae2032d7-1b3b-4287-8673-e7d0ae355117"]}],"mendeley":{"formattedCitation":"(Coad et al. 2010; Schulte-Herbrüggen et al. 2013; Alexander et al. 2015; Harrison et al. 2016)","plainTextFormattedCitation":"(Coad et al. 2010; Schulte-Herbrüggen et al. 2013; Alexander et al. 2015; Harrison et al. 2016)","previouslyFormattedCitation":"(Coad et al. 2010; Schulte-Herbrüggen et al. 2013; Alexander et al. 2015; Harrison et al. 2016)"},"properties":{"noteIndex":0},"schema":"https://github.com/citation-style-language/schema/raw/master/csl-citation.json"}</w:instrText>
      </w:r>
      <w:r w:rsidR="00B2630D">
        <w:rPr>
          <w:color w:val="000000" w:themeColor="text1"/>
        </w:rPr>
        <w:fldChar w:fldCharType="separate"/>
      </w:r>
      <w:r w:rsidR="004821B4" w:rsidRPr="004821B4">
        <w:rPr>
          <w:noProof/>
          <w:color w:val="000000" w:themeColor="text1"/>
        </w:rPr>
        <w:t xml:space="preserve">(Coad et al. 2010; Schulte-Herbrüggen et al. 2013; </w:t>
      </w:r>
      <w:r w:rsidR="004821B4" w:rsidRPr="004821B4">
        <w:rPr>
          <w:noProof/>
          <w:color w:val="000000" w:themeColor="text1"/>
        </w:rPr>
        <w:lastRenderedPageBreak/>
        <w:t>Alexander et al. 2015; Harrison et al. 2016)</w:t>
      </w:r>
      <w:r w:rsidR="00B2630D">
        <w:rPr>
          <w:color w:val="000000" w:themeColor="text1"/>
        </w:rPr>
        <w:fldChar w:fldCharType="end"/>
      </w:r>
      <w:r w:rsidR="001C5DAC">
        <w:rPr>
          <w:color w:val="000000" w:themeColor="text1"/>
        </w:rPr>
        <w:t xml:space="preserve"> T</w:t>
      </w:r>
      <w:r w:rsidR="008228E9" w:rsidRPr="0070404D">
        <w:rPr>
          <w:color w:val="000000" w:themeColor="text1"/>
        </w:rPr>
        <w:t>he percentage sold can increase</w:t>
      </w:r>
      <w:r w:rsidR="00A629D3" w:rsidRPr="0070404D">
        <w:rPr>
          <w:color w:val="000000" w:themeColor="text1"/>
        </w:rPr>
        <w:t xml:space="preserve"> quickly</w:t>
      </w:r>
      <w:r w:rsidR="008228E9" w:rsidRPr="0070404D">
        <w:rPr>
          <w:color w:val="000000" w:themeColor="text1"/>
        </w:rPr>
        <w:t xml:space="preserve"> as markets for </w:t>
      </w:r>
      <w:r w:rsidR="007A3FE2" w:rsidRPr="0070404D">
        <w:rPr>
          <w:color w:val="000000" w:themeColor="text1"/>
        </w:rPr>
        <w:t>wild meat</w:t>
      </w:r>
      <w:r w:rsidR="008228E9" w:rsidRPr="0070404D">
        <w:rPr>
          <w:color w:val="000000" w:themeColor="text1"/>
        </w:rPr>
        <w:t xml:space="preserve"> products develop (e.g. </w:t>
      </w:r>
      <w:r w:rsidR="004353C5">
        <w:rPr>
          <w:color w:val="000000" w:themeColor="text1"/>
        </w:rPr>
        <w:fldChar w:fldCharType="begin" w:fldLock="1"/>
      </w:r>
      <w:r w:rsidR="00D72B40">
        <w:rPr>
          <w:color w:val="000000" w:themeColor="text1"/>
        </w:rPr>
        <w:instrText>ADDIN CSL_CITATION {"citationItems":[{"id":"ITEM-1","itemData":{"author":[{"dropping-particle":"","family":"Sierra","given":"Rodrigo","non-dropping-particle":"","parse-names":false,"suffix":""},{"dropping-particle":"","family":"Rodriguez","given":"Fabian","non-dropping-particle":"","parse-names":false,"suffix":""},{"dropping-particle":"","family":"Losos","given":"Elizabeth","non-dropping-particle":"","parse-names":false,"suffix":""}],"container-title":"Ecological Economics","id":"ITEM-1","issued":{"date-parts":[["1999"]]},"page":"107-119","title":"Forest resource use change during early market integration in tropical rain forests: the Huaorani of upper Amazonia","type":"article-journal","volume":"30"},"uris":["http://www.mendeley.com/documents/?uuid=f5f08a14-9c02-4e32-ae07-b2e6c046c1a7"]}],"mendeley":{"formattedCitation":"(Sierra et al. 1999)","manualFormatting":"Sierra et al., 1999)","plainTextFormattedCitation":"(Sierra et al. 1999)","previouslyFormattedCitation":"(Sierra et al. 1999)"},"properties":{"noteIndex":0},"schema":"https://github.com/citation-style-language/schema/raw/master/csl-citation.json"}</w:instrText>
      </w:r>
      <w:r w:rsidR="004353C5">
        <w:rPr>
          <w:color w:val="000000" w:themeColor="text1"/>
        </w:rPr>
        <w:fldChar w:fldCharType="separate"/>
      </w:r>
      <w:r w:rsidR="004353C5" w:rsidRPr="004353C5">
        <w:rPr>
          <w:noProof/>
          <w:color w:val="000000" w:themeColor="text1"/>
        </w:rPr>
        <w:t>Sierra et al.</w:t>
      </w:r>
      <w:r w:rsidR="003F03C5">
        <w:rPr>
          <w:noProof/>
          <w:color w:val="000000" w:themeColor="text1"/>
        </w:rPr>
        <w:t>,</w:t>
      </w:r>
      <w:r w:rsidR="004353C5" w:rsidRPr="004353C5">
        <w:rPr>
          <w:noProof/>
          <w:color w:val="000000" w:themeColor="text1"/>
        </w:rPr>
        <w:t xml:space="preserve"> 1999)</w:t>
      </w:r>
      <w:r w:rsidR="004353C5">
        <w:rPr>
          <w:color w:val="000000" w:themeColor="text1"/>
        </w:rPr>
        <w:fldChar w:fldCharType="end"/>
      </w:r>
      <w:r w:rsidR="001C5DAC">
        <w:rPr>
          <w:color w:val="000000" w:themeColor="text1"/>
        </w:rPr>
        <w:t>, beyond use by the hunter solely for primary necessities in the traditional view of ‘subsistence’</w:t>
      </w:r>
      <w:r w:rsidR="00DB43DB">
        <w:rPr>
          <w:color w:val="000000" w:themeColor="text1"/>
        </w:rPr>
        <w:t xml:space="preserve"> </w:t>
      </w:r>
      <w:r w:rsidR="00B2630D">
        <w:rPr>
          <w:color w:val="000000" w:themeColor="text1"/>
        </w:rPr>
        <w:fldChar w:fldCharType="begin" w:fldLock="1"/>
      </w:r>
      <w:r w:rsidR="00C51889">
        <w:rPr>
          <w:color w:val="000000" w:themeColor="text1"/>
        </w:rPr>
        <w:instrText>ADDIN CSL_CITATION {"citationItems":[{"id":"ITEM-1","itemData":{"DOI":"10.1111/j.1523-1739.2010.01525.x","author":[{"dropping-particle":"","family":"Coad","given":"L.","non-dropping-particle":"","parse-names":false,"suffix":""},{"dropping-particle":"","family":"Abernethy","given":"K.A.","non-dropping-particle":"","parse-names":false,"suffix":""},{"dropping-particle":"","family":"Balmford","given":"A.","non-dropping-particle":"","parse-names":false,"suffix":""},{"dropping-particle":"","family":"Manica","given":"A.","non-dropping-particle":"","parse-names":false,"suffix":""},{"dropping-particle":"","family":"Airey","given":"L.","non-dropping-particle":"","parse-names":false,"suffix":""},{"dropping-particle":"","family":"Milner-Gulland","given":"E.J.","non-dropping-particle":"","parse-names":false,"suffix":""}],"container-title":"Conservation Biology","id":"ITEM-1","issued":{"date-parts":[["2010"]]},"page":"1510-1518","title":"Distribution and use of income from bushmeat in a rural village, Central Gabon","type":"article-journal","volume":"24"},"uris":["http://www.mendeley.com/documents/?uuid=1613662d-7cac-4308-b879-4bfff838b077"]}],"mendeley":{"formattedCitation":"(Coad et al. 2010)","plainTextFormattedCitation":"(Coad et al. 2010)","previouslyFormattedCitation":"(Coad et al. 2010)"},"properties":{"noteIndex":0},"schema":"https://github.com/citation-style-language/schema/raw/master/csl-citation.json"}</w:instrText>
      </w:r>
      <w:r w:rsidR="00B2630D">
        <w:rPr>
          <w:color w:val="000000" w:themeColor="text1"/>
        </w:rPr>
        <w:fldChar w:fldCharType="separate"/>
      </w:r>
      <w:r w:rsidR="004821B4" w:rsidRPr="004821B4">
        <w:rPr>
          <w:noProof/>
          <w:color w:val="000000" w:themeColor="text1"/>
        </w:rPr>
        <w:t>(Coad et al. 2010)</w:t>
      </w:r>
      <w:r w:rsidR="00B2630D">
        <w:rPr>
          <w:color w:val="000000" w:themeColor="text1"/>
        </w:rPr>
        <w:fldChar w:fldCharType="end"/>
      </w:r>
      <w:r w:rsidR="00B2630D">
        <w:rPr>
          <w:color w:val="000000" w:themeColor="text1"/>
        </w:rPr>
        <w:t xml:space="preserve">. </w:t>
      </w:r>
      <w:r w:rsidR="004E0348" w:rsidRPr="0070404D">
        <w:t>Consumption and sale of wild meat ranges from no meat sold, as in the case of some indigenous communities that live deep in the forest</w:t>
      </w:r>
      <w:r w:rsidR="00070C2C">
        <w:t xml:space="preserve"> </w:t>
      </w:r>
      <w:r w:rsidR="00070C2C">
        <w:fldChar w:fldCharType="begin" w:fldLock="1"/>
      </w:r>
      <w:r w:rsidR="00022F58">
        <w:instrText>ADDIN CSL_CITATION {"citationItems":[{"id":"ITEM-1","itemData":{"DOI":"10.1111/j.1523-1739.2009.01224.x","author":[{"dropping-particle":"","family":"Parry","given":"Luke","non-dropping-particle":"","parse-names":false,"suffix":""},{"dropping-particle":"","family":"Barlow","given":"J O S","non-dropping-particle":"","parse-names":false,"suffix":""},{"dropping-particle":"","family":"Peres","given":"Carlos A","non-dropping-particle":"","parse-names":false,"suffix":""}],"container-title":"Conservation Biology","id":"ITEM-1","issue":"5","issued":{"date-parts":[["2009"]]},"page":"1270-1280","title":"Hunting for sustainability in tropical secondary forests","type":"article-journal","volume":"23"},"uris":["http://www.mendeley.com/documents/?uuid=19211f74-eab3-43ed-9aaf-33d0f399ea79"]},{"id":"ITEM-2","itemData":{"DOI":"10.1371/journal.pone.0161703","author":[{"dropping-particle":"","family":"Fa","given":"John E","non-dropping-particle":"","parse-names":false,"suffix":""},{"dropping-particle":"","family":"Olivero","given":"Jesús","non-dropping-particle":"","parse-names":false,"suffix":""},{"dropping-particle":"","family":"Farfán","given":"Miguel Angel","non-dropping-particle":"","parse-names":false,"suffix":""},{"dropping-particle":"","family":"Lewis","given":"Jerome","non-dropping-particle":"","parse-names":false,"suffix":""},{"dropping-particle":"","family":"Yasuoka","given":"Hirokazu","non-dropping-particle":"","parse-names":false,"suffix":""},{"dropping-particle":"","family":"Noss","given":"Andrew","non-dropping-particle":"","parse-names":false,"suffix":""},{"dropping-particle":"","family":"Hattori","given":"Shiho","non-dropping-particle":"","parse-names":false,"suffix":""},{"dropping-particle":"","family":"Hirai","given":"Masaaki","non-dropping-particle":"","parse-names":false,"suffix":""},{"dropping-particle":"","family":"Kamgaing","given":"Towa O W","non-dropping-particle":"","parse-names":false,"suffix":""},{"dropping-particle":"","family":"Carpaneto","given":"Giuseppe M","non-dropping-particle":"","parse-names":false,"suffix":""},{"dropping-particle":"","family":"Germi","given":"Francesco","non-dropping-particle":"","parse-names":false,"suffix":""},{"dropping-particle":"","family":"Marquez","given":"Ana L.","non-dropping-particle":"","parse-names":false,"suffix":""},{"dropping-particle":"","family":"Duarte","given":"Jesús","non-dropping-particle":"","parse-names":false,"suffix":""},{"dropping-particle":"","family":"Duda","given":"Romain","non-dropping-particle":"","parse-names":false,"suffix":""},{"dropping-particle":"","family":"Gallois","given":"Sandrine","non-dropping-particle":"","parse-names":false,"suffix":""},{"dropping-particle":"","family":"Riddell","given":"Michael","non-dropping-particle":"","parse-names":false,"suffix":""},{"dropping-particle":"","family":"Nasi","given":"Robert","non-dropping-particle":"","parse-names":false,"suffix":""}],"container-title":"PLoS ONE","id":"ITEM-2","issue":"6","issued":{"date-parts":[["2016"]]},"page":"e0161703","title":"Differences between Pygmy and non-Pygmy hunting in Congo Basin forests","type":"article-journal","volume":"11"},"uris":["http://www.mendeley.com/documents/?uuid=b38eb8e1-c45c-4422-9fb1-6fffc740e705"]}],"mendeley":{"formattedCitation":"(Parry et al. 2009; Fa et al. 2016a)","manualFormatting":"(Parry et al., 2009; Fa et al., 2016)","plainTextFormattedCitation":"(Parry et al. 2009; Fa et al. 2016a)","previouslyFormattedCitation":"(Parry et al. 2009; Fa et al. 2016a)"},"properties":{"noteIndex":0},"schema":"https://github.com/citation-style-language/schema/raw/master/csl-citation.json"}</w:instrText>
      </w:r>
      <w:r w:rsidR="00070C2C">
        <w:fldChar w:fldCharType="separate"/>
      </w:r>
      <w:r w:rsidR="00070C2C" w:rsidRPr="00070C2C">
        <w:rPr>
          <w:noProof/>
        </w:rPr>
        <w:t>(Parry et al.</w:t>
      </w:r>
      <w:r w:rsidR="003F03C5">
        <w:rPr>
          <w:noProof/>
        </w:rPr>
        <w:t>,</w:t>
      </w:r>
      <w:r w:rsidR="00070C2C" w:rsidRPr="00070C2C">
        <w:rPr>
          <w:noProof/>
        </w:rPr>
        <w:t xml:space="preserve"> 2009; Fa et al.</w:t>
      </w:r>
      <w:r w:rsidR="003F03C5">
        <w:rPr>
          <w:noProof/>
        </w:rPr>
        <w:t>,</w:t>
      </w:r>
      <w:r w:rsidR="00070C2C" w:rsidRPr="00070C2C">
        <w:rPr>
          <w:noProof/>
        </w:rPr>
        <w:t xml:space="preserve"> 2016)</w:t>
      </w:r>
      <w:r w:rsidR="00070C2C">
        <w:fldChar w:fldCharType="end"/>
      </w:r>
      <w:r w:rsidR="004E0348" w:rsidRPr="0070404D">
        <w:t>, to almost</w:t>
      </w:r>
      <w:r w:rsidR="00CB7A8E" w:rsidRPr="0070404D">
        <w:t xml:space="preserve"> all meat sold, as is the case for some </w:t>
      </w:r>
      <w:r w:rsidR="004E0348" w:rsidRPr="0070404D">
        <w:t xml:space="preserve">rural communities </w:t>
      </w:r>
      <w:r w:rsidR="00CB7A8E" w:rsidRPr="0070404D">
        <w:t>close</w:t>
      </w:r>
      <w:r w:rsidR="004E0348" w:rsidRPr="0070404D">
        <w:t xml:space="preserve"> to urban markets </w:t>
      </w:r>
      <w:r w:rsidR="006844AD">
        <w:fldChar w:fldCharType="begin" w:fldLock="1"/>
      </w:r>
      <w:r w:rsidR="00763BF5">
        <w:instrText>ADDIN CSL_CITATION {"citationItems":[{"id":"ITEM-1","itemData":{"DOI":"10.1111/j.1523-1739.2010.01505.x","ISSN":"1523-1739","PMID":"20455910","abstract":"Results of many studies show unsustainable levels of bushmeat hunting across West/Central Africa. Nevertheless, these results are usually derived from snapshot sustainability indices in which critical parameters are often taken from the literature. Simple, more informative tools for assessing sustainability are needed. We evaluated the impact of bushmeat hunting across a range of temporal, spatial, and taxonomic scales in a comparison of different measures of sustainability. Over 15 months in 2002-2004 in and around a village close to Equatorial Guinea's Monte Alén National Park, we collected data via a village offtake survey, hunter-camp bushmeat-consumption diaries, hunter interviews, and following hunters during hunts. We compared 2003 data with a previous offtake survey (1998-1999) and interview reports back to 1990. In the past 14 years, average distance from the village at which hunters operated remained constant, with hunters switching back and forth between long-established camps, although trapping effort increased. In the past 5 years, overall offtake and number of active hunters did not change substantially, although catch per unit effort (CPUE) decreased slightly. Although the proportion of the two most commonly trapped species (Cephalophus monticola and Atherurus africanus) and gun-hunted primates increased in the offtake, species presumably less robust to trapping decreased slightly. Apparent sustainability in economic terms may be masking gradual local extirpation of more vulnerable species before and during this study. Our results suggest that changes in prey profiles and CPUE may be the most accurate indicators of actual sustainability; these indices can be monitored with simple village-based offtake surveys and hunter interviews to improve community management of bushmeat hunting.","author":[{"dropping-particle":"","family":"Kümpel","given":"Noëlle F","non-dropping-particle":"","parse-names":false,"suffix":""},{"dropping-particle":"","family":"Milner-Gulland","given":"E J","non-dropping-particle":"","parse-names":false,"suffix":""},{"dropping-particle":"","family":"Cowlishaw","given":"Guy","non-dropping-particle":"","parse-names":false,"suffix":""},{"dropping-particle":"","family":"Rowcliffe","given":"J Marcus","non-dropping-particle":"","parse-names":false,"suffix":""}],"container-title":"Conservation Biology","id":"ITEM-1","issue":"3","issued":{"date-parts":[["2010","6"]]},"page":"861-871","title":"Assessing sustainability at multiple scales in a rotational bushmeat hunting system.","type":"article-journal","volume":"24"},"uris":["http://www.mendeley.com/documents/?uuid=174d35aa-a5a2-48d4-a0a1-8f4545fe3282"]},{"id":"ITEM-2","itemData":{"author":[{"dropping-particle":"","family":"Vliet","given":"Nathalie","non-dropping-particle":"Van","parse-names":false,"suffix":""},{"dropping-particle":"","family":"Quiceno","given":"Maria Paula","non-dropping-particle":"","parse-names":false,"suffix":""},{"dropping-particle":"","family":"Cruz","given":"Daniel","non-dropping-particle":"","parse-names":false,"suffix":""},{"dropping-particle":"","family":"Jonhson","given":"Lindon","non-dropping-particle":"","parse-names":false,"suffix":""},{"dropping-particle":"","family":"Aquino","given":"Neves","non-dropping-particle":"de","parse-names":false,"suffix":""},{"dropping-particle":"","family":"Yagüe","given":"Blanca","non-dropping-particle":"","parse-names":false,"suffix":""},{"dropping-particle":"","family":"Schor","given":"Tatiana","non-dropping-particle":"","parse-names":false,"suffix":""}],"container-title":"Ecology and Society","id":"ITEM-2","issue":"3","issued":{"date-parts":[["2015"]]},"page":"21","title":"Bushmeat networks link the forest to urban areas in the trifrontier region between Brazil, Colombia, and Peru","type":"article-journal","volume":"20"},"uris":["http://www.mendeley.com/documents/?uuid=c363af56-1774-4b0f-bfd2-53765b13cabe"]}],"mendeley":{"formattedCitation":"(Kümpel et al. 2010; Van Vliet et al. 2015e)","manualFormatting":"(Kümpel et al., 2010; Van Vliet et al., 2015b)","plainTextFormattedCitation":"(Kümpel et al. 2010; Van Vliet et al. 2015e)","previouslyFormattedCitation":"(Kümpel et al. 2010; Van Vliet et al. 2015e)"},"properties":{"noteIndex":0},"schema":"https://github.com/citation-style-language/schema/raw/master/csl-citation.json"}</w:instrText>
      </w:r>
      <w:r w:rsidR="006844AD">
        <w:fldChar w:fldCharType="separate"/>
      </w:r>
      <w:r w:rsidR="006844AD" w:rsidRPr="006844AD">
        <w:rPr>
          <w:noProof/>
        </w:rPr>
        <w:t>(Kümpel et al.</w:t>
      </w:r>
      <w:r w:rsidR="003F03C5">
        <w:rPr>
          <w:noProof/>
        </w:rPr>
        <w:t>,</w:t>
      </w:r>
      <w:r w:rsidR="006844AD" w:rsidRPr="006844AD">
        <w:rPr>
          <w:noProof/>
        </w:rPr>
        <w:t xml:space="preserve"> 2010; </w:t>
      </w:r>
      <w:r w:rsidR="00463F14">
        <w:rPr>
          <w:noProof/>
        </w:rPr>
        <w:t xml:space="preserve">Van </w:t>
      </w:r>
      <w:r w:rsidR="006844AD" w:rsidRPr="006844AD">
        <w:rPr>
          <w:noProof/>
        </w:rPr>
        <w:t>Vliet et al.</w:t>
      </w:r>
      <w:r w:rsidR="003F03C5">
        <w:rPr>
          <w:noProof/>
        </w:rPr>
        <w:t>,</w:t>
      </w:r>
      <w:r w:rsidR="006844AD" w:rsidRPr="006844AD">
        <w:rPr>
          <w:noProof/>
        </w:rPr>
        <w:t xml:space="preserve"> 2015b)</w:t>
      </w:r>
      <w:r w:rsidR="006844AD">
        <w:fldChar w:fldCharType="end"/>
      </w:r>
      <w:r w:rsidR="004E0348" w:rsidRPr="0070404D">
        <w:t xml:space="preserve">. </w:t>
      </w:r>
      <w:r w:rsidR="000D79C3" w:rsidRPr="0070404D">
        <w:rPr>
          <w:color w:val="000000" w:themeColor="text1"/>
        </w:rPr>
        <w:t>The</w:t>
      </w:r>
      <w:r w:rsidR="0024266A" w:rsidRPr="0070404D">
        <w:rPr>
          <w:color w:val="000000" w:themeColor="text1"/>
        </w:rPr>
        <w:t xml:space="preserve"> level</w:t>
      </w:r>
      <w:r w:rsidR="008228E9" w:rsidRPr="0070404D">
        <w:rPr>
          <w:color w:val="000000" w:themeColor="text1"/>
        </w:rPr>
        <w:t xml:space="preserve"> of cash or non-cash </w:t>
      </w:r>
      <w:r w:rsidR="007A3FE2" w:rsidRPr="0070404D">
        <w:rPr>
          <w:color w:val="000000" w:themeColor="text1"/>
        </w:rPr>
        <w:t>use, which entails subsistence use in these circumstances,</w:t>
      </w:r>
      <w:r w:rsidR="0024266A" w:rsidRPr="0070404D">
        <w:rPr>
          <w:color w:val="000000" w:themeColor="text1"/>
        </w:rPr>
        <w:t xml:space="preserve"> </w:t>
      </w:r>
      <w:r w:rsidR="008228E9" w:rsidRPr="0070404D">
        <w:rPr>
          <w:color w:val="000000" w:themeColor="text1"/>
        </w:rPr>
        <w:t xml:space="preserve">is hard to </w:t>
      </w:r>
      <w:r w:rsidR="0024266A" w:rsidRPr="0070404D">
        <w:rPr>
          <w:color w:val="000000" w:themeColor="text1"/>
        </w:rPr>
        <w:t>define</w:t>
      </w:r>
      <w:r w:rsidR="008228E9" w:rsidRPr="0070404D">
        <w:rPr>
          <w:color w:val="000000" w:themeColor="text1"/>
        </w:rPr>
        <w:t xml:space="preserve">. </w:t>
      </w:r>
      <w:r w:rsidR="00A96A8F" w:rsidRPr="0070404D">
        <w:rPr>
          <w:color w:val="000000" w:themeColor="text1"/>
        </w:rPr>
        <w:t xml:space="preserve">We therefore </w:t>
      </w:r>
      <w:r w:rsidR="00A431C9" w:rsidRPr="0070404D">
        <w:rPr>
          <w:color w:val="000000" w:themeColor="text1"/>
        </w:rPr>
        <w:t>do not use the term ‘</w:t>
      </w:r>
      <w:r w:rsidR="008228E9" w:rsidRPr="0070404D">
        <w:rPr>
          <w:i/>
          <w:color w:val="000000" w:themeColor="text1"/>
        </w:rPr>
        <w:t>S</w:t>
      </w:r>
      <w:r w:rsidR="00A431C9" w:rsidRPr="0070404D">
        <w:rPr>
          <w:i/>
          <w:color w:val="000000" w:themeColor="text1"/>
        </w:rPr>
        <w:t>ubsistence h</w:t>
      </w:r>
      <w:r w:rsidR="00A96A8F" w:rsidRPr="0070404D">
        <w:rPr>
          <w:i/>
          <w:color w:val="000000" w:themeColor="text1"/>
        </w:rPr>
        <w:t>arvesting</w:t>
      </w:r>
      <w:r w:rsidR="008228E9" w:rsidRPr="0070404D">
        <w:rPr>
          <w:i/>
          <w:color w:val="000000" w:themeColor="text1"/>
        </w:rPr>
        <w:t>’</w:t>
      </w:r>
      <w:r w:rsidR="00A431C9" w:rsidRPr="0070404D">
        <w:rPr>
          <w:color w:val="000000" w:themeColor="text1"/>
        </w:rPr>
        <w:t xml:space="preserve">, and </w:t>
      </w:r>
      <w:r w:rsidR="00A96A8F" w:rsidRPr="0070404D">
        <w:rPr>
          <w:color w:val="000000" w:themeColor="text1"/>
        </w:rPr>
        <w:t>rather identify hunters by their location – for example ‘</w:t>
      </w:r>
      <w:r w:rsidR="006A1330" w:rsidRPr="0070404D">
        <w:rPr>
          <w:i/>
          <w:color w:val="000000" w:themeColor="text1"/>
        </w:rPr>
        <w:t>rural village</w:t>
      </w:r>
      <w:r w:rsidR="00A96A8F" w:rsidRPr="0070404D">
        <w:rPr>
          <w:i/>
          <w:color w:val="000000" w:themeColor="text1"/>
        </w:rPr>
        <w:t xml:space="preserve"> hunters</w:t>
      </w:r>
      <w:r w:rsidR="00A96A8F" w:rsidRPr="0070404D">
        <w:rPr>
          <w:color w:val="000000" w:themeColor="text1"/>
        </w:rPr>
        <w:t>’</w:t>
      </w:r>
      <w:r w:rsidR="008228E9" w:rsidRPr="0070404D">
        <w:rPr>
          <w:color w:val="000000" w:themeColor="text1"/>
        </w:rPr>
        <w:t xml:space="preserve"> </w:t>
      </w:r>
      <w:r w:rsidR="00A96A8F" w:rsidRPr="0070404D">
        <w:rPr>
          <w:color w:val="000000" w:themeColor="text1"/>
        </w:rPr>
        <w:t xml:space="preserve">to describe </w:t>
      </w:r>
      <w:r w:rsidR="00471191" w:rsidRPr="0070404D">
        <w:rPr>
          <w:color w:val="000000" w:themeColor="text1"/>
        </w:rPr>
        <w:t xml:space="preserve">the residents of a </w:t>
      </w:r>
      <w:r w:rsidR="006A1330" w:rsidRPr="0070404D">
        <w:rPr>
          <w:color w:val="000000" w:themeColor="text1"/>
        </w:rPr>
        <w:t xml:space="preserve">rural village </w:t>
      </w:r>
      <w:r w:rsidR="00A96A8F" w:rsidRPr="0070404D">
        <w:rPr>
          <w:color w:val="000000" w:themeColor="text1"/>
        </w:rPr>
        <w:t>community who practice hunting</w:t>
      </w:r>
      <w:r w:rsidR="00471191" w:rsidRPr="0070404D">
        <w:rPr>
          <w:color w:val="000000" w:themeColor="text1"/>
        </w:rPr>
        <w:t xml:space="preserve"> within their community</w:t>
      </w:r>
      <w:r w:rsidR="00A96A8F" w:rsidRPr="0070404D">
        <w:rPr>
          <w:color w:val="000000" w:themeColor="text1"/>
        </w:rPr>
        <w:t xml:space="preserve"> as one of their livelihood activities, and ‘</w:t>
      </w:r>
      <w:r w:rsidR="00A96A8F" w:rsidRPr="0070404D">
        <w:rPr>
          <w:i/>
          <w:color w:val="000000" w:themeColor="text1"/>
        </w:rPr>
        <w:t>external</w:t>
      </w:r>
      <w:r w:rsidR="0024266A" w:rsidRPr="0070404D">
        <w:rPr>
          <w:i/>
          <w:color w:val="000000" w:themeColor="text1"/>
        </w:rPr>
        <w:t xml:space="preserve"> commercial</w:t>
      </w:r>
      <w:r w:rsidR="00A96A8F" w:rsidRPr="0070404D">
        <w:rPr>
          <w:i/>
          <w:color w:val="000000" w:themeColor="text1"/>
        </w:rPr>
        <w:t xml:space="preserve"> hunters</w:t>
      </w:r>
      <w:r w:rsidR="00A96A8F" w:rsidRPr="0070404D">
        <w:rPr>
          <w:color w:val="000000" w:themeColor="text1"/>
        </w:rPr>
        <w:t xml:space="preserve">’, who hunt primarily for trade, and often move their hunting area based on prey availability. These hunters may live in urban areas and travel to rural areas in order to hunt. </w:t>
      </w:r>
      <w:r w:rsidR="00BC741A" w:rsidRPr="0070404D">
        <w:rPr>
          <w:i/>
          <w:color w:val="000000" w:themeColor="text1"/>
        </w:rPr>
        <w:t>Recreational hunting</w:t>
      </w:r>
      <w:r w:rsidR="00BC741A" w:rsidRPr="0070404D">
        <w:rPr>
          <w:color w:val="000000" w:themeColor="text1"/>
        </w:rPr>
        <w:t xml:space="preserve"> refers to activities in which the main objective is the personal enjoyment of the hunter, rather than food or profit (e.g. trophy lion hunting, </w:t>
      </w:r>
      <w:r w:rsidR="006844AD">
        <w:rPr>
          <w:color w:val="000000" w:themeColor="text1"/>
        </w:rPr>
        <w:fldChar w:fldCharType="begin" w:fldLock="1"/>
      </w:r>
      <w:r w:rsidR="00D72B40">
        <w:rPr>
          <w:color w:val="000000" w:themeColor="text1"/>
        </w:rPr>
        <w:instrText>ADDIN CSL_CITATION {"citationItems":[{"id":"ITEM-1","itemData":{"author":[{"dropping-particle":"","family":"Whitman","given":"Karyl","non-dropping-particle":"","parse-names":false,"suffix":""},{"dropping-particle":"","family":"Starfield","given":"Anthony M","non-dropping-particle":"","parse-names":false,"suffix":""},{"dropping-particle":"","family":"Quadling","given":"Henley S","non-dropping-particle":"","parse-names":false,"suffix":""},{"dropping-particle":"","family":"Packer","given":"Craig","non-dropping-particle":"","parse-names":false,"suffix":""}],"container-title":"Nature","id":"ITEM-1","issued":{"date-parts":[["2004"]]},"page":"175-178","title":"Sustainable trophy hunting of African lions","type":"article-journal","volume":"428"},"uris":["http://www.mendeley.com/documents/?uuid=726ed961-b0f3-47b5-961f-9e4996f052e2"]}],"mendeley":{"formattedCitation":"(Whitman et al. 2004)","manualFormatting":"Whitman et al., 2004)","plainTextFormattedCitation":"(Whitman et al. 2004)","previouslyFormattedCitation":"(Whitman et al. 2004)"},"properties":{"noteIndex":0},"schema":"https://github.com/citation-style-language/schema/raw/master/csl-citation.json"}</w:instrText>
      </w:r>
      <w:r w:rsidR="006844AD">
        <w:rPr>
          <w:color w:val="000000" w:themeColor="text1"/>
        </w:rPr>
        <w:fldChar w:fldCharType="separate"/>
      </w:r>
      <w:r w:rsidR="006844AD" w:rsidRPr="006844AD">
        <w:rPr>
          <w:noProof/>
          <w:color w:val="000000" w:themeColor="text1"/>
        </w:rPr>
        <w:t>Whitman et al.</w:t>
      </w:r>
      <w:r w:rsidR="003F03C5">
        <w:rPr>
          <w:noProof/>
          <w:color w:val="000000" w:themeColor="text1"/>
        </w:rPr>
        <w:t>,</w:t>
      </w:r>
      <w:r w:rsidR="006844AD" w:rsidRPr="006844AD">
        <w:rPr>
          <w:noProof/>
          <w:color w:val="000000" w:themeColor="text1"/>
        </w:rPr>
        <w:t xml:space="preserve"> 2004)</w:t>
      </w:r>
      <w:r w:rsidR="006844AD">
        <w:rPr>
          <w:color w:val="000000" w:themeColor="text1"/>
        </w:rPr>
        <w:fldChar w:fldCharType="end"/>
      </w:r>
      <w:r w:rsidR="00BC741A" w:rsidRPr="0070404D">
        <w:rPr>
          <w:color w:val="000000" w:themeColor="text1"/>
        </w:rPr>
        <w:t xml:space="preserve">. Recreational hunting may </w:t>
      </w:r>
      <w:r w:rsidR="00DB43DB">
        <w:rPr>
          <w:color w:val="000000" w:themeColor="text1"/>
        </w:rPr>
        <w:t>also</w:t>
      </w:r>
      <w:r w:rsidR="00BC741A" w:rsidRPr="0070404D">
        <w:rPr>
          <w:color w:val="000000" w:themeColor="text1"/>
        </w:rPr>
        <w:t xml:space="preserve"> have roots in traditional hunting activities </w:t>
      </w:r>
      <w:r w:rsidR="006844AD">
        <w:rPr>
          <w:color w:val="000000" w:themeColor="text1"/>
        </w:rPr>
        <w:fldChar w:fldCharType="begin" w:fldLock="1"/>
      </w:r>
      <w:r w:rsidR="00D72B40">
        <w:rPr>
          <w:color w:val="000000" w:themeColor="text1"/>
        </w:rPr>
        <w:instrText>ADDIN CSL_CITATION {"citationItems":[{"id":"ITEM-1","itemData":{"author":[{"dropping-particle":"","family":"McCorquodale","given":"S M","non-dropping-particle":"","parse-names":false,"suffix":""}],"container-title":"Wildlife Society Bulletin","id":"ITEM-1","issue":"2","issued":{"date-parts":[["1997"]]},"page":"568-573","title":"Cultural contexts of recreational hunting and native subsistence and ceremonial hunting: their significance for wildlife management","type":"article-journal","volume":"25"},"uris":["http://www.mendeley.com/documents/?uuid=64016cc3-62bc-42ff-8a31-6fcce7112745"]}],"mendeley":{"formattedCitation":"(McCorquodale 1997)","manualFormatting":"(McCorquodale, 1997)","plainTextFormattedCitation":"(McCorquodale 1997)","previouslyFormattedCitation":"(McCorquodale 1997)"},"properties":{"noteIndex":0},"schema":"https://github.com/citation-style-language/schema/raw/master/csl-citation.json"}</w:instrText>
      </w:r>
      <w:r w:rsidR="006844AD">
        <w:rPr>
          <w:color w:val="000000" w:themeColor="text1"/>
        </w:rPr>
        <w:fldChar w:fldCharType="separate"/>
      </w:r>
      <w:r w:rsidR="006844AD" w:rsidRPr="006844AD">
        <w:rPr>
          <w:noProof/>
          <w:color w:val="000000" w:themeColor="text1"/>
        </w:rPr>
        <w:t>(McCorquodale</w:t>
      </w:r>
      <w:r w:rsidR="003F03C5">
        <w:rPr>
          <w:noProof/>
          <w:color w:val="000000" w:themeColor="text1"/>
        </w:rPr>
        <w:t>,</w:t>
      </w:r>
      <w:r w:rsidR="006844AD" w:rsidRPr="006844AD">
        <w:rPr>
          <w:noProof/>
          <w:color w:val="000000" w:themeColor="text1"/>
        </w:rPr>
        <w:t xml:space="preserve"> 1997)</w:t>
      </w:r>
      <w:r w:rsidR="006844AD">
        <w:rPr>
          <w:color w:val="000000" w:themeColor="text1"/>
        </w:rPr>
        <w:fldChar w:fldCharType="end"/>
      </w:r>
      <w:r w:rsidR="00BC741A" w:rsidRPr="0070404D">
        <w:rPr>
          <w:color w:val="000000" w:themeColor="text1"/>
        </w:rPr>
        <w:t xml:space="preserve">. </w:t>
      </w:r>
      <w:r w:rsidR="00A96A8F" w:rsidRPr="0070404D">
        <w:rPr>
          <w:color w:val="000000" w:themeColor="text1"/>
        </w:rPr>
        <w:t xml:space="preserve"> </w:t>
      </w:r>
    </w:p>
    <w:p w14:paraId="6577936C" w14:textId="375F8DE5" w:rsidR="00CA6B68" w:rsidRPr="002657E5" w:rsidRDefault="00CA6B68" w:rsidP="00C258BC">
      <w:pPr>
        <w:jc w:val="both"/>
        <w:rPr>
          <w:b/>
          <w:i/>
          <w:color w:val="000000" w:themeColor="text1"/>
        </w:rPr>
      </w:pPr>
      <w:r w:rsidRPr="002657E5">
        <w:rPr>
          <w:b/>
          <w:i/>
          <w:color w:val="000000" w:themeColor="text1"/>
        </w:rPr>
        <w:t>Sustainable use:</w:t>
      </w:r>
    </w:p>
    <w:p w14:paraId="2859D73F" w14:textId="503B2B69" w:rsidR="003D1172" w:rsidRDefault="003D1172" w:rsidP="00C258BC">
      <w:pPr>
        <w:jc w:val="both"/>
        <w:rPr>
          <w:color w:val="000000" w:themeColor="text1"/>
        </w:rPr>
      </w:pPr>
      <w:r w:rsidRPr="0070404D">
        <w:rPr>
          <w:color w:val="000000" w:themeColor="text1"/>
        </w:rPr>
        <w:t xml:space="preserve">The CBD defines </w:t>
      </w:r>
      <w:r w:rsidRPr="0070404D">
        <w:rPr>
          <w:i/>
          <w:color w:val="000000" w:themeColor="text1"/>
        </w:rPr>
        <w:t>sustainable use</w:t>
      </w:r>
      <w:r w:rsidRPr="0070404D">
        <w:rPr>
          <w:color w:val="000000" w:themeColor="text1"/>
        </w:rPr>
        <w:t xml:space="preserve"> as “the use of components of biological diversity in a way and at a rate that does not lead to the long-term decline of biological diversity, thereby maintaining its potential to meet the needs and aspirations of pr</w:t>
      </w:r>
      <w:r w:rsidR="0029152D">
        <w:rPr>
          <w:color w:val="000000" w:themeColor="text1"/>
        </w:rPr>
        <w:t xml:space="preserve">esent and future generations.” </w:t>
      </w:r>
      <w:r w:rsidR="0029152D">
        <w:rPr>
          <w:color w:val="000000" w:themeColor="text1"/>
        </w:rPr>
        <w:fldChar w:fldCharType="begin" w:fldLock="1"/>
      </w:r>
      <w:r w:rsidR="0029152D">
        <w:rPr>
          <w:color w:val="000000" w:themeColor="text1"/>
        </w:rPr>
        <w:instrText>ADDIN CSL_CITATION {"citationItems":[{"id":"ITEM-1","itemData":{"author":[{"dropping-particle":"","family":"CBD","given":"","non-dropping-particle":"","parse-names":false,"suffix":""}],"id":"ITEM-1","issued":{"date-parts":[["1992"]]},"title":"Convention on Biological Diveristy, Article 2","type":"report"},"uris":["http://www.mendeley.com/documents/?uuid=45ab2b1e-f874-4d05-9b0d-9f376a2b0bb3"]}],"mendeley":{"formattedCitation":"(CBD 1992)","plainTextFormattedCitation":"(CBD 1992)","previouslyFormattedCitation":"(CBD 1992)"},"properties":{"noteIndex":0},"schema":"https://github.com/citation-style-language/schema/raw/master/csl-citation.json"}</w:instrText>
      </w:r>
      <w:r w:rsidR="0029152D">
        <w:rPr>
          <w:color w:val="000000" w:themeColor="text1"/>
        </w:rPr>
        <w:fldChar w:fldCharType="separate"/>
      </w:r>
      <w:r w:rsidR="0029152D" w:rsidRPr="0029152D">
        <w:rPr>
          <w:noProof/>
          <w:color w:val="000000" w:themeColor="text1"/>
        </w:rPr>
        <w:t>(CBD 1992)</w:t>
      </w:r>
      <w:r w:rsidR="0029152D">
        <w:rPr>
          <w:color w:val="000000" w:themeColor="text1"/>
        </w:rPr>
        <w:fldChar w:fldCharType="end"/>
      </w:r>
      <w:r w:rsidRPr="0070404D">
        <w:rPr>
          <w:color w:val="000000" w:themeColor="text1"/>
        </w:rPr>
        <w:t>. Within this definition, different important elements of sustainability are alluded to</w:t>
      </w:r>
      <w:r>
        <w:rPr>
          <w:color w:val="000000" w:themeColor="text1"/>
        </w:rPr>
        <w:t>. This includes (a)</w:t>
      </w:r>
      <w:r w:rsidRPr="0070404D">
        <w:rPr>
          <w:color w:val="000000" w:themeColor="text1"/>
        </w:rPr>
        <w:t xml:space="preserve"> </w:t>
      </w:r>
      <w:r w:rsidRPr="004904D8">
        <w:rPr>
          <w:i/>
          <w:color w:val="000000" w:themeColor="text1"/>
        </w:rPr>
        <w:t>ecological sustainability</w:t>
      </w:r>
      <w:r w:rsidRPr="004904D8">
        <w:rPr>
          <w:color w:val="000000" w:themeColor="text1"/>
        </w:rPr>
        <w:t>, meaning that the offtake levels (i.e. the quantities of meat harvested)</w:t>
      </w:r>
      <w:r w:rsidRPr="005512D2">
        <w:rPr>
          <w:color w:val="000000" w:themeColor="text1"/>
        </w:rPr>
        <w:t xml:space="preserve"> do not result in a continued decline of the prey population to zero, and there are no significant knock-on effects on the surrounding ecological systems, and </w:t>
      </w:r>
      <w:r>
        <w:rPr>
          <w:color w:val="000000" w:themeColor="text1"/>
        </w:rPr>
        <w:t xml:space="preserve">(b) </w:t>
      </w:r>
      <w:r w:rsidRPr="0064175F">
        <w:rPr>
          <w:i/>
          <w:color w:val="000000" w:themeColor="text1"/>
        </w:rPr>
        <w:t>socio-economic sustainability</w:t>
      </w:r>
      <w:r w:rsidRPr="0070404D">
        <w:rPr>
          <w:color w:val="000000" w:themeColor="text1"/>
        </w:rPr>
        <w:t xml:space="preserve">, meaning the ability of a system to support a defined level of economic production and social </w:t>
      </w:r>
      <w:r w:rsidR="00A479D2" w:rsidRPr="0070404D">
        <w:rPr>
          <w:color w:val="000000" w:themeColor="text1"/>
        </w:rPr>
        <w:t>well-being</w:t>
      </w:r>
      <w:r w:rsidRPr="0070404D">
        <w:rPr>
          <w:color w:val="000000" w:themeColor="text1"/>
        </w:rPr>
        <w:t xml:space="preserve"> indefinitely. Hunting is necessarily connected to society </w:t>
      </w:r>
      <w:r w:rsidR="0029152D" w:rsidRPr="0070404D">
        <w:rPr>
          <w:color w:val="000000" w:themeColor="text1"/>
        </w:rPr>
        <w:t xml:space="preserve"> </w:t>
      </w:r>
      <w:r w:rsidR="0029152D">
        <w:rPr>
          <w:color w:val="000000" w:themeColor="text1"/>
        </w:rPr>
        <w:fldChar w:fldCharType="begin" w:fldLock="1"/>
      </w:r>
      <w:r w:rsidR="00763BF5">
        <w:rPr>
          <w:color w:val="000000" w:themeColor="text1"/>
        </w:rPr>
        <w:instrText>ADDIN CSL_CITATION {"citationItems":[{"id":"ITEM-1","itemData":{"DOI":"10.5751/ES-07669-200307","ISBN":"1708-3087","ISSN":"1708-3087","author":[{"dropping-particle":"","family":"Vliet","given":"Nathalie","non-dropping-particle":"Van","parse-names":false,"suffix":""},{"dropping-particle":"","family":"Fa","given":"John","non-dropping-particle":"","parse-names":false,"suffix":""},{"dropping-particle":"","family":"Nasi","given":"Robert","non-dropping-particle":"","parse-names":false,"suffix":""}],"container-title":"Ecology and Society","id":"ITEM-1","issue":"3","issued":{"date-parts":[["2015"]]},"page":"7","title":"Managing hunting under uncertainty : from one- off ecological indicators to resilience approaches in assessing the sustainability of bushmeat hunting","type":"article-journal","volume":"20"},"uris":["http://www.mendeley.com/documents/?uuid=08fdc1f8-7191-4e12-83a3-6ead06757974"]}],"mendeley":{"formattedCitation":"(Van Vliet et al. 2015b)","plainTextFormattedCitation":"(Van Vliet et al. 2015b)","previouslyFormattedCitation":"(Van Vliet et al. 2015b)"},"properties":{"noteIndex":0},"schema":"https://github.com/citation-style-language/schema/raw/master/csl-citation.json"}</w:instrText>
      </w:r>
      <w:r w:rsidR="0029152D">
        <w:rPr>
          <w:color w:val="000000" w:themeColor="text1"/>
        </w:rPr>
        <w:fldChar w:fldCharType="separate"/>
      </w:r>
      <w:r w:rsidR="00763BF5" w:rsidRPr="00763BF5">
        <w:rPr>
          <w:noProof/>
          <w:color w:val="000000" w:themeColor="text1"/>
        </w:rPr>
        <w:t>(Van Vliet et al. 2015b)</w:t>
      </w:r>
      <w:r w:rsidR="0029152D">
        <w:rPr>
          <w:color w:val="000000" w:themeColor="text1"/>
        </w:rPr>
        <w:fldChar w:fldCharType="end"/>
      </w:r>
      <w:r w:rsidR="0029152D">
        <w:rPr>
          <w:color w:val="000000" w:themeColor="text1"/>
        </w:rPr>
        <w:t xml:space="preserve"> </w:t>
      </w:r>
      <w:r w:rsidRPr="0070404D">
        <w:rPr>
          <w:color w:val="000000" w:themeColor="text1"/>
        </w:rPr>
        <w:t xml:space="preserve">and sustainability hinges on the feedback and balances between social and ecological systems </w:t>
      </w:r>
      <w:r w:rsidR="0029152D">
        <w:rPr>
          <w:color w:val="000000" w:themeColor="text1"/>
        </w:rPr>
        <w:fldChar w:fldCharType="begin" w:fldLock="1"/>
      </w:r>
      <w:r w:rsidR="00763BF5">
        <w:rPr>
          <w:color w:val="000000" w:themeColor="text1"/>
        </w:rPr>
        <w:instrText>ADDIN CSL_CITATION {"citationItems":[{"id":"ITEM-1","itemData":{"author":[{"dropping-particle":"","family":"Ostrom","given":"Elinor","non-dropping-particle":"","parse-names":false,"suffix":""}],"container-title":"Proceedings of the National Academy of Sciences","id":"ITEM-1","issue":"39","issued":{"date-parts":[["2007"]]},"page":"15181-15187","title":"A diagnostic approach for going beyond panaceas","type":"article-journal","volume":"104"},"uris":["http://www.mendeley.com/documents/?uuid=2812f188-c3d7-49a1-adbc-78f5b57890e6"]},{"id":"ITEM-2","itemData":{"DOI":"10.5751/ES-07669-200307","ISBN":"1708-3087","ISSN":"1708-3087","author":[{"dropping-particle":"","family":"Vliet","given":"Nathalie","non-dropping-particle":"Van","parse-names":false,"suffix":""},{"dropping-particle":"","family":"Fa","given":"John","non-dropping-particle":"","parse-names":false,"suffix":""},{"dropping-particle":"","family":"Nasi","given":"Robert","non-dropping-particle":"","parse-names":false,"suffix":""}],"container-title":"Ecology and Society","id":"ITEM-2","issue":"3","issued":{"date-parts":[["2015"]]},"page":"7","title":"Managing hunting under uncertainty : from one- off ecological indicators to resilience approaches in assessing the sustainability of bushmeat hunting","type":"article-journal","volume":"20"},"uris":["http://www.mendeley.com/documents/?uuid=08fdc1f8-7191-4e12-83a3-6ead06757974"]}],"mendeley":{"formattedCitation":"(Ostrom 2007; Van Vliet et al. 2015b)","plainTextFormattedCitation":"(Ostrom 2007; Van Vliet et al. 2015b)","previouslyFormattedCitation":"(Ostrom 2007; Van Vliet et al. 2015b)"},"properties":{"noteIndex":0},"schema":"https://github.com/citation-style-language/schema/raw/master/csl-citation.json"}</w:instrText>
      </w:r>
      <w:r w:rsidR="0029152D">
        <w:rPr>
          <w:color w:val="000000" w:themeColor="text1"/>
        </w:rPr>
        <w:fldChar w:fldCharType="separate"/>
      </w:r>
      <w:r w:rsidR="00763BF5" w:rsidRPr="00763BF5">
        <w:rPr>
          <w:noProof/>
          <w:color w:val="000000" w:themeColor="text1"/>
        </w:rPr>
        <w:t>(Ostrom 2007; Van Vliet et al. 2015b)</w:t>
      </w:r>
      <w:r w:rsidR="0029152D">
        <w:rPr>
          <w:color w:val="000000" w:themeColor="text1"/>
        </w:rPr>
        <w:fldChar w:fldCharType="end"/>
      </w:r>
      <w:r w:rsidRPr="0070404D">
        <w:rPr>
          <w:color w:val="000000" w:themeColor="text1"/>
        </w:rPr>
        <w:t xml:space="preserve">. </w:t>
      </w:r>
    </w:p>
    <w:p w14:paraId="62E722C0" w14:textId="493B82AD" w:rsidR="00E64E1D" w:rsidRPr="009515D8" w:rsidRDefault="00E64E1D" w:rsidP="00E64E1D">
      <w:pPr>
        <w:jc w:val="both"/>
        <w:rPr>
          <w:i/>
          <w:color w:val="000000" w:themeColor="text1"/>
        </w:rPr>
        <w:sectPr w:rsidR="00E64E1D" w:rsidRPr="009515D8">
          <w:pgSz w:w="11906" w:h="16838"/>
          <w:pgMar w:top="1440" w:right="1440" w:bottom="1440" w:left="1440" w:header="708" w:footer="708" w:gutter="0"/>
          <w:cols w:space="708"/>
          <w:docGrid w:linePitch="360"/>
        </w:sectPr>
      </w:pPr>
    </w:p>
    <w:p w14:paraId="037B6764" w14:textId="40739EE3" w:rsidR="00804CC6" w:rsidRPr="00804CC6" w:rsidRDefault="009422AB" w:rsidP="00C258BC">
      <w:pPr>
        <w:pStyle w:val="MainTitle"/>
        <w:jc w:val="both"/>
      </w:pPr>
      <w:bookmarkStart w:id="33" w:name="_Toc517693735"/>
      <w:bookmarkStart w:id="34" w:name="_Ref518892953"/>
      <w:bookmarkStart w:id="35" w:name="_Toc519156077"/>
      <w:r w:rsidRPr="00804CC6">
        <w:lastRenderedPageBreak/>
        <w:t xml:space="preserve">SECTION 1: </w:t>
      </w:r>
      <w:r w:rsidR="00760262" w:rsidRPr="00804CC6">
        <w:t>THE CHARACTERISTICS OF WILDMEAT USE, AND THE DRIVERS AND IMPACTS OF UNSUSTAINABLE HUNTING</w:t>
      </w:r>
    </w:p>
    <w:p w14:paraId="0F98C4AC" w14:textId="0C4A808A" w:rsidR="00CA6B68" w:rsidRPr="00785A38" w:rsidRDefault="00CA6B68" w:rsidP="00DF57F3">
      <w:pPr>
        <w:pStyle w:val="Heading1"/>
      </w:pPr>
      <w:bookmarkStart w:id="36" w:name="_Ref520733384"/>
      <w:bookmarkStart w:id="37" w:name="_Ref520733391"/>
      <w:bookmarkStart w:id="38" w:name="_Toc529390335"/>
      <w:r w:rsidRPr="00785A38">
        <w:t xml:space="preserve">DESCRIBING THE </w:t>
      </w:r>
      <w:r w:rsidR="005F1487" w:rsidRPr="00785A38">
        <w:t>WILD MEAT HARVEST</w:t>
      </w:r>
      <w:bookmarkEnd w:id="33"/>
      <w:bookmarkEnd w:id="34"/>
      <w:bookmarkEnd w:id="35"/>
      <w:bookmarkEnd w:id="36"/>
      <w:bookmarkEnd w:id="37"/>
      <w:bookmarkEnd w:id="38"/>
    </w:p>
    <w:p w14:paraId="35DB8193" w14:textId="79E042CF" w:rsidR="002665DD" w:rsidRPr="0070404D" w:rsidRDefault="00CA6B68" w:rsidP="00C258BC">
      <w:pPr>
        <w:jc w:val="both"/>
      </w:pPr>
      <w:r w:rsidRPr="0070404D">
        <w:t>Across all of the tropical and sub-tropical regions</w:t>
      </w:r>
      <w:r w:rsidR="003D1172">
        <w:t xml:space="preserve"> of the world</w:t>
      </w:r>
      <w:r w:rsidRPr="0070404D">
        <w:t>, wild animals are consumed for their meat. In this section we sum</w:t>
      </w:r>
      <w:r w:rsidRPr="004904D8">
        <w:t>marise information available on the species that are hunted in these regions, the characteristics of the hunters involved, and how much we know about the volume of wild meat extracted. Th</w:t>
      </w:r>
      <w:r w:rsidR="002665DD" w:rsidRPr="004904D8">
        <w:t xml:space="preserve">is information is needed to determine </w:t>
      </w:r>
      <w:r w:rsidR="003D1172">
        <w:t xml:space="preserve">the </w:t>
      </w:r>
      <w:r w:rsidRPr="004904D8">
        <w:t xml:space="preserve">overall extent of use of </w:t>
      </w:r>
      <w:r w:rsidR="007A3FE2" w:rsidRPr="005512D2">
        <w:t>wild meat</w:t>
      </w:r>
      <w:r w:rsidRPr="005512D2">
        <w:t xml:space="preserve"> and the main actors involved</w:t>
      </w:r>
      <w:r w:rsidR="00B5629C" w:rsidRPr="0064175F">
        <w:t>.</w:t>
      </w:r>
      <w:r w:rsidR="002665DD" w:rsidRPr="0070404D">
        <w:t xml:space="preserve"> </w:t>
      </w:r>
      <w:bookmarkStart w:id="39" w:name="_Toc517693736"/>
    </w:p>
    <w:p w14:paraId="4DC8AA50" w14:textId="4106A9C9" w:rsidR="00A54B55" w:rsidRPr="0070404D" w:rsidRDefault="00EC36CB" w:rsidP="00DF57F3">
      <w:pPr>
        <w:pStyle w:val="Heading2"/>
      </w:pPr>
      <w:bookmarkStart w:id="40" w:name="_Ref519009399"/>
      <w:bookmarkStart w:id="41" w:name="_Toc519156078"/>
      <w:bookmarkStart w:id="42" w:name="_Toc529390336"/>
      <w:r w:rsidRPr="0070404D">
        <w:t>Hunted species</w:t>
      </w:r>
      <w:bookmarkEnd w:id="39"/>
      <w:bookmarkEnd w:id="40"/>
      <w:bookmarkEnd w:id="41"/>
      <w:bookmarkEnd w:id="42"/>
    </w:p>
    <w:p w14:paraId="1BF058E6" w14:textId="60F74402" w:rsidR="00692C2E" w:rsidRPr="00DA4708" w:rsidRDefault="00CA6B68" w:rsidP="00C258BC">
      <w:pPr>
        <w:autoSpaceDE w:val="0"/>
        <w:autoSpaceDN w:val="0"/>
        <w:adjustRightInd w:val="0"/>
        <w:jc w:val="both"/>
        <w:rPr>
          <w:color w:val="000000" w:themeColor="text1"/>
          <w:lang w:val="es-ES"/>
        </w:rPr>
      </w:pPr>
      <w:r w:rsidRPr="0070404D">
        <w:rPr>
          <w:color w:val="000000" w:themeColor="text1"/>
        </w:rPr>
        <w:t>As many as 2,000 species of invertebrates, amphibians, insects, fish, reptiles, birds and mammals are used as wild meat across the world</w:t>
      </w:r>
      <w:r w:rsidR="002665DD" w:rsidRPr="0070404D">
        <w:rPr>
          <w:color w:val="000000" w:themeColor="text1"/>
        </w:rPr>
        <w:t xml:space="preserve"> </w:t>
      </w:r>
      <w:r w:rsidR="0029152D">
        <w:rPr>
          <w:color w:val="000000" w:themeColor="text1"/>
        </w:rPr>
        <w:fldChar w:fldCharType="begin" w:fldLock="1"/>
      </w:r>
      <w:r w:rsidR="0029152D">
        <w:rPr>
          <w:color w:val="000000" w:themeColor="text1"/>
        </w:rPr>
        <w:instrText>ADDIN CSL_CITATION {"citationItems":[{"id":"ITEM-1","itemData":{"author":[{"dropping-particle":"","family":"Redmond","given":"I","non-dropping-particle":"","parse-names":false,"suffix":""},{"dropping-particle":"","family":"Aldred","given":"T","non-dropping-particle":"","parse-names":false,"suffix":""},{"dropping-particle":"","family":"Jedamzik","given":"K","non-dropping-particle":"","parse-names":false,"suffix":""},{"dropping-particle":"","family":"Westwood","given":"M","non-dropping-particle":"","parse-names":false,"suffix":""}],"id":"ITEM-1","issued":{"date-parts":[["2006"]]},"publisher":"Ape Alliance and World Society for the Protection of Animals, London, UK","title":"Recipes for survival: controlling the bushmeat trade","type":"book"},"uris":["http://www.mendeley.com/documents/?uuid=2fea57b6-61b5-4611-ada7-db12804da924"]}],"mendeley":{"formattedCitation":"(Redmond et al. 2006)","plainTextFormattedCitation":"(Redmond et al. 2006)","previouslyFormattedCitation":"(Redmond et al. 2006)"},"properties":{"noteIndex":0},"schema":"https://github.com/citation-style-language/schema/raw/master/csl-citation.json"}</w:instrText>
      </w:r>
      <w:r w:rsidR="0029152D">
        <w:rPr>
          <w:color w:val="000000" w:themeColor="text1"/>
        </w:rPr>
        <w:fldChar w:fldCharType="separate"/>
      </w:r>
      <w:r w:rsidR="0029152D" w:rsidRPr="0029152D">
        <w:rPr>
          <w:noProof/>
          <w:color w:val="000000" w:themeColor="text1"/>
        </w:rPr>
        <w:t>(Redmond et al. 2006)</w:t>
      </w:r>
      <w:r w:rsidR="0029152D">
        <w:rPr>
          <w:color w:val="000000" w:themeColor="text1"/>
        </w:rPr>
        <w:fldChar w:fldCharType="end"/>
      </w:r>
      <w:r w:rsidRPr="0070404D">
        <w:rPr>
          <w:color w:val="000000" w:themeColor="text1"/>
        </w:rPr>
        <w:t>.</w:t>
      </w:r>
      <w:r w:rsidR="00692C2E">
        <w:rPr>
          <w:color w:val="000000" w:themeColor="text1"/>
        </w:rPr>
        <w:t xml:space="preserve"> </w:t>
      </w:r>
      <w:r w:rsidR="00692C2E">
        <w:rPr>
          <w:kern w:val="1"/>
          <w:lang w:val="en-US" w:eastAsia="ar-SA"/>
        </w:rPr>
        <w:t>T</w:t>
      </w:r>
      <w:r w:rsidR="00692C2E" w:rsidRPr="00FA23E2">
        <w:rPr>
          <w:kern w:val="1"/>
          <w:lang w:val="en-US" w:eastAsia="ar-SA"/>
        </w:rPr>
        <w:t xml:space="preserve">he main vertebrate group targeted by hunting activities </w:t>
      </w:r>
      <w:r w:rsidR="00692C2E">
        <w:rPr>
          <w:kern w:val="1"/>
          <w:lang w:val="en-US" w:eastAsia="ar-SA"/>
        </w:rPr>
        <w:t xml:space="preserve">are mammals </w:t>
      </w:r>
      <w:r w:rsidR="00692C2E">
        <w:rPr>
          <w:kern w:val="1"/>
          <w:lang w:val="en-US" w:eastAsia="ar-SA"/>
        </w:rPr>
        <w:fldChar w:fldCharType="begin">
          <w:fldData xml:space="preserve">PEVuZE5vdGU+PENpdGU+PEF1dGhvcj5Sb2JpbnNvbjwvQXV0aG9yPjxZZWFyPjE5OTE8L1llYXI+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</w:fldData>
        </w:fldChar>
      </w:r>
      <w:r w:rsidR="00692C2E" w:rsidRPr="0029152D">
        <w:rPr>
          <w:kern w:val="1"/>
          <w:lang w:val="en-US" w:eastAsia="ar-SA"/>
        </w:rPr>
        <w:instrText xml:space="preserve"> ADDIN EN.CITE </w:instrText>
      </w:r>
      <w:r w:rsidR="00692C2E" w:rsidRPr="0029152D">
        <w:rPr>
          <w:kern w:val="1"/>
          <w:lang w:val="en-US" w:eastAsia="ar-SA"/>
        </w:rPr>
        <w:fldChar w:fldCharType="begin">
          <w:fldData xml:space="preserve">PEVuZE5vdGU+PENpdGU+PEF1dGhvcj5Sb2JpbnNvbjwvQXV0aG9yPjxZZWFyPjE5OTE8L1llYXI+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</w:fldData>
        </w:fldChar>
      </w:r>
      <w:r w:rsidR="00692C2E" w:rsidRPr="0029152D">
        <w:rPr>
          <w:kern w:val="1"/>
          <w:lang w:val="en-US" w:eastAsia="ar-SA"/>
        </w:rPr>
        <w:instrText xml:space="preserve"> ADDIN EN.CITE.DATA </w:instrText>
      </w:r>
      <w:r w:rsidR="00692C2E" w:rsidRPr="0029152D">
        <w:rPr>
          <w:kern w:val="1"/>
          <w:lang w:val="en-US" w:eastAsia="ar-SA"/>
        </w:rPr>
      </w:r>
      <w:r w:rsidR="00692C2E" w:rsidRPr="0029152D">
        <w:rPr>
          <w:kern w:val="1"/>
          <w:lang w:val="en-US" w:eastAsia="ar-SA"/>
        </w:rPr>
        <w:fldChar w:fldCharType="end"/>
      </w:r>
      <w:r w:rsidR="00692C2E">
        <w:rPr>
          <w:kern w:val="1"/>
          <w:lang w:val="en-US" w:eastAsia="ar-SA"/>
        </w:rPr>
      </w:r>
      <w:r w:rsidR="00692C2E">
        <w:rPr>
          <w:kern w:val="1"/>
          <w:lang w:val="en-US" w:eastAsia="ar-SA"/>
        </w:rPr>
        <w:fldChar w:fldCharType="separate"/>
      </w:r>
      <w:r w:rsidR="00692C2E">
        <w:rPr>
          <w:noProof/>
          <w:kern w:val="1"/>
          <w:lang w:val="en-US" w:eastAsia="ar-SA"/>
        </w:rPr>
        <w:t>(Redford and Robinson</w:t>
      </w:r>
      <w:r w:rsidR="00026DF0">
        <w:rPr>
          <w:noProof/>
          <w:kern w:val="1"/>
          <w:lang w:val="en-US" w:eastAsia="ar-SA"/>
        </w:rPr>
        <w:t>,</w:t>
      </w:r>
      <w:r w:rsidR="00692C2E">
        <w:rPr>
          <w:noProof/>
          <w:kern w:val="1"/>
          <w:lang w:val="en-US" w:eastAsia="ar-SA"/>
        </w:rPr>
        <w:t xml:space="preserve"> 1987; Robinson and Redford</w:t>
      </w:r>
      <w:r w:rsidR="00026DF0">
        <w:rPr>
          <w:noProof/>
          <w:kern w:val="1"/>
          <w:lang w:val="en-US" w:eastAsia="ar-SA"/>
        </w:rPr>
        <w:t>,</w:t>
      </w:r>
      <w:r w:rsidR="00692C2E">
        <w:rPr>
          <w:noProof/>
          <w:kern w:val="1"/>
          <w:lang w:val="en-US" w:eastAsia="ar-SA"/>
        </w:rPr>
        <w:t xml:space="preserve"> 1991; Alves et al.</w:t>
      </w:r>
      <w:r w:rsidR="00026DF0">
        <w:rPr>
          <w:noProof/>
          <w:kern w:val="1"/>
          <w:lang w:val="en-US" w:eastAsia="ar-SA"/>
        </w:rPr>
        <w:t>,</w:t>
      </w:r>
      <w:r w:rsidR="00692C2E">
        <w:rPr>
          <w:noProof/>
          <w:kern w:val="1"/>
          <w:lang w:val="en-US" w:eastAsia="ar-SA"/>
        </w:rPr>
        <w:t xml:space="preserve"> 2016; Barboza et al.</w:t>
      </w:r>
      <w:r w:rsidR="00026DF0">
        <w:rPr>
          <w:noProof/>
          <w:kern w:val="1"/>
          <w:lang w:val="en-US" w:eastAsia="ar-SA"/>
        </w:rPr>
        <w:t>,</w:t>
      </w:r>
      <w:r w:rsidR="00692C2E">
        <w:rPr>
          <w:noProof/>
          <w:kern w:val="1"/>
          <w:lang w:val="en-US" w:eastAsia="ar-SA"/>
        </w:rPr>
        <w:t xml:space="preserve"> 2016)</w:t>
      </w:r>
      <w:r w:rsidR="00692C2E">
        <w:rPr>
          <w:kern w:val="1"/>
          <w:lang w:val="en-US" w:eastAsia="ar-SA"/>
        </w:rPr>
        <w:fldChar w:fldCharType="end"/>
      </w:r>
      <w:r w:rsidR="00692C2E">
        <w:rPr>
          <w:lang w:val="en-US"/>
        </w:rPr>
        <w:t xml:space="preserve">. These animals </w:t>
      </w:r>
      <w:r w:rsidR="00692C2E" w:rsidRPr="00FA23E2">
        <w:rPr>
          <w:lang w:val="en-US"/>
        </w:rPr>
        <w:t xml:space="preserve">comprise the preferred source of food because of their size and the possibility of yielding a greater return for the energy invested in hunting </w:t>
      </w:r>
      <w:r w:rsidR="00692C2E">
        <w:fldChar w:fldCharType="begin"/>
      </w:r>
      <w:r w:rsidR="00692C2E" w:rsidRPr="002B2245">
        <w:instrText xml:space="preserve"> ADDIN EN.CITE &lt;EndNote&gt;&lt;Cite&gt;&lt;Author&gt;Leopold&lt;/Author&gt;&lt;Year&gt;1959&lt;/Year&gt;&lt;RecNum&gt;2994&lt;/RecNum&gt;&lt;DisplayText&gt;(Leopold 1959; Alves et al. 2016)&lt;/DisplayText&gt;&lt;record&gt;&lt;rec-number&gt;2994&lt;/rec-number&gt;&lt;foreign-keys&gt;&lt;key app="EN" db-id="9fwffww9bsxrt1epsdw5ddduzas2rsf2dpp9" timestamp="1360082760"&gt;2994&lt;/key&gt;&lt;/foreign-keys&gt;&lt;ref-type name="Book"&gt;6&lt;/ref-type&gt;&lt;contributors&gt;&lt;authors&gt;&lt;author&gt;Leopold, A. S.&lt;/author&gt;&lt;/authors&gt;&lt;/contributors&gt;&lt;titles&gt;&lt;title&gt;Wildlife of Mexico: the game birds and mammals&lt;/title&gt;&lt;/titles&gt;&lt;section&gt;568&lt;/section&gt;&lt;dates&gt;&lt;year&gt;1959&lt;/year&gt;&lt;/dates&gt;&lt;pub-location&gt;Berkeley and Los Angeles&lt;/pub-location&gt;&lt;publisher&gt;Univ of California Press&lt;/publisher&gt;&lt;isbn&gt;0520007247&lt;/isbn&gt;&lt;urls&gt;&lt;/urls&gt;&lt;/record&gt;&lt;/Cite&gt;&lt;Cite&gt;&lt;Author&gt;Alves&lt;/Author&gt;&lt;Year&gt;2016&lt;/Year&gt;&lt;RecNum&gt;3590&lt;/RecNum&gt;&lt;record&gt;&lt;rec-number&gt;3590&lt;/rec-number&gt;&lt;foreign-keys&gt;&lt;key app="EN" db-id="9fwffww9bsxrt1epsdw5ddduzas2rsf2dpp9" timestamp="1469653659"&gt;3590&lt;/key&gt;&lt;/foreign-keys&gt;&lt;ref-type name="Journal Article"&gt;17&lt;/ref-type&gt;&lt;contributors&gt;&lt;authors&gt;&lt;author&gt;Alves, R.R.N.&lt;/author&gt;&lt;author&gt;Feijó, A.&lt;/author&gt;&lt;author&gt;Barboza, R.R. D. &lt;/author&gt;&lt;author&gt;Souto, W. M. S.&lt;/author&gt;&lt;author&gt;Fernandes-Ferreira, H.&lt;/author&gt;&lt;author&gt;Cordeiro-Estrela, P.&lt;/author&gt;&lt;author&gt;Langguth, A.&lt;/author&gt;&lt;/authors&gt;&lt;/contributors&gt;&lt;titles&gt;&lt;title&gt;Game mammals of the Caatinga biome&lt;/title&gt;&lt;secondary-title&gt;Ethnobiology and Conservation&lt;/secondary-title&gt;&lt;/titles&gt;&lt;periodical&gt;&lt;full-title&gt;Ethnobiology And Conservation&lt;/full-title&gt;&lt;/periodical&gt;&lt;pages&gt;1-51&lt;/pages&gt;&lt;volume&gt;5&lt;/volume&gt;&lt;dates&gt;&lt;year&gt;2016&lt;/year&gt;&lt;/dates&gt;&lt;urls&gt;&lt;/urls&gt;&lt;electronic-resource-num&gt;10.15451/ec2016-7-5.5-1-51&lt;/electronic-resource-num&gt;&lt;/record&gt;&lt;/Cite&gt;&lt;/EndNote&gt;</w:instrText>
      </w:r>
      <w:r w:rsidR="00692C2E">
        <w:fldChar w:fldCharType="separate"/>
      </w:r>
      <w:r w:rsidR="00692C2E" w:rsidRPr="002B2245">
        <w:rPr>
          <w:noProof/>
        </w:rPr>
        <w:t>(Leopold</w:t>
      </w:r>
      <w:r w:rsidR="00026DF0">
        <w:rPr>
          <w:noProof/>
        </w:rPr>
        <w:t>,</w:t>
      </w:r>
      <w:r w:rsidR="00692C2E" w:rsidRPr="002B2245">
        <w:rPr>
          <w:noProof/>
        </w:rPr>
        <w:t xml:space="preserve"> 1959; Alves et al.</w:t>
      </w:r>
      <w:r w:rsidR="00026DF0">
        <w:rPr>
          <w:noProof/>
        </w:rPr>
        <w:t>,</w:t>
      </w:r>
      <w:r w:rsidR="00692C2E" w:rsidRPr="002B2245">
        <w:rPr>
          <w:noProof/>
        </w:rPr>
        <w:t xml:space="preserve"> 2016)</w:t>
      </w:r>
      <w:r w:rsidR="00692C2E">
        <w:fldChar w:fldCharType="end"/>
      </w:r>
      <w:r w:rsidR="00692C2E" w:rsidRPr="002B2245">
        <w:t xml:space="preserve"> </w:t>
      </w:r>
      <w:r w:rsidR="00C63397">
        <w:t>(</w:t>
      </w:r>
      <w:r w:rsidR="00692C2E" w:rsidRPr="00DA4708">
        <w:rPr>
          <w:color w:val="000000" w:themeColor="text1"/>
          <w:lang w:val="en-US"/>
        </w:rPr>
        <w:fldChar w:fldCharType="begin">
          <w:fldData xml:space="preserve">PEVuZE5vdGU+PENpdGU+PEF1dGhvcj5BbGJ1cXVlcnF1ZTwvQXV0aG9yPjxZZWFyPjIwMTI8L1ll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</w:fldData>
        </w:fldChar>
      </w:r>
      <w:r w:rsidR="00692C2E" w:rsidRPr="0029152D">
        <w:rPr>
          <w:color w:val="000000" w:themeColor="text1"/>
          <w:lang w:val="en-US"/>
        </w:rPr>
        <w:instrText xml:space="preserve"> ADDIN EN.CITE </w:instrText>
      </w:r>
      <w:r w:rsidR="00692C2E" w:rsidRPr="0029152D">
        <w:rPr>
          <w:color w:val="000000" w:themeColor="text1"/>
          <w:lang w:val="en-US"/>
        </w:rPr>
        <w:fldChar w:fldCharType="begin">
          <w:fldData xml:space="preserve">PEVuZE5vdGU+PENpdGU+PEF1dGhvcj5BbGJ1cXVlcnF1ZTwvQXV0aG9yPjxZZWFyPjIwMTI8L1ll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</w:fldData>
        </w:fldChar>
      </w:r>
      <w:r w:rsidR="00692C2E" w:rsidRPr="0029152D">
        <w:rPr>
          <w:color w:val="000000" w:themeColor="text1"/>
          <w:lang w:val="en-US"/>
        </w:rPr>
        <w:instrText xml:space="preserve"> ADDIN EN.CITE.DATA </w:instrText>
      </w:r>
      <w:r w:rsidR="00692C2E" w:rsidRPr="0029152D">
        <w:rPr>
          <w:color w:val="000000" w:themeColor="text1"/>
          <w:lang w:val="en-US"/>
        </w:rPr>
      </w:r>
      <w:r w:rsidR="00692C2E" w:rsidRPr="0029152D">
        <w:rPr>
          <w:color w:val="000000" w:themeColor="text1"/>
          <w:lang w:val="en-US"/>
        </w:rPr>
        <w:fldChar w:fldCharType="end"/>
      </w:r>
      <w:r w:rsidR="00692C2E" w:rsidRPr="00DA4708">
        <w:rPr>
          <w:color w:val="000000" w:themeColor="text1"/>
          <w:lang w:val="en-US"/>
        </w:rPr>
      </w:r>
      <w:r w:rsidR="00692C2E" w:rsidRPr="00DA4708">
        <w:rPr>
          <w:color w:val="000000" w:themeColor="text1"/>
          <w:lang w:val="en-US"/>
        </w:rPr>
        <w:fldChar w:fldCharType="separate"/>
      </w:r>
      <w:r w:rsidR="00692C2E" w:rsidRPr="00DA4708">
        <w:rPr>
          <w:noProof/>
          <w:color w:val="000000" w:themeColor="text1"/>
        </w:rPr>
        <w:t>Nasi et al.</w:t>
      </w:r>
      <w:r w:rsidR="00026DF0">
        <w:rPr>
          <w:noProof/>
          <w:color w:val="000000" w:themeColor="text1"/>
        </w:rPr>
        <w:t>,</w:t>
      </w:r>
      <w:r w:rsidR="00692C2E" w:rsidRPr="00DA4708">
        <w:rPr>
          <w:noProof/>
          <w:color w:val="000000" w:themeColor="text1"/>
        </w:rPr>
        <w:t xml:space="preserve"> 2008; Albuquerque et al.</w:t>
      </w:r>
      <w:r w:rsidR="00026DF0">
        <w:rPr>
          <w:noProof/>
          <w:color w:val="000000" w:themeColor="text1"/>
        </w:rPr>
        <w:t>,</w:t>
      </w:r>
      <w:r w:rsidR="00692C2E" w:rsidRPr="00DA4708">
        <w:rPr>
          <w:noProof/>
          <w:color w:val="000000" w:themeColor="text1"/>
        </w:rPr>
        <w:t xml:space="preserve"> 2012)</w:t>
      </w:r>
      <w:r w:rsidR="00692C2E" w:rsidRPr="00DA4708">
        <w:rPr>
          <w:color w:val="000000" w:themeColor="text1"/>
          <w:lang w:val="en-US"/>
        </w:rPr>
        <w:fldChar w:fldCharType="end"/>
      </w:r>
      <w:r w:rsidR="00692C2E" w:rsidRPr="00DA4708">
        <w:rPr>
          <w:color w:val="000000" w:themeColor="text1"/>
        </w:rPr>
        <w:t xml:space="preserve">. </w:t>
      </w:r>
    </w:p>
    <w:p w14:paraId="37B91487" w14:textId="3CB4A6A7" w:rsidR="00692C2E" w:rsidRPr="00DA4708" w:rsidRDefault="00062A11" w:rsidP="00C258BC">
      <w:pPr>
        <w:spacing w:after="0"/>
        <w:jc w:val="both"/>
        <w:rPr>
          <w:color w:val="000000" w:themeColor="text1"/>
        </w:rPr>
      </w:pPr>
      <w:r w:rsidRPr="00DA4708">
        <w:rPr>
          <w:color w:val="000000" w:themeColor="text1"/>
        </w:rPr>
        <w:t>In a meta-analysis of 354 hunting and market studies i</w:t>
      </w:r>
      <w:r w:rsidR="00692C2E" w:rsidRPr="00DA4708">
        <w:rPr>
          <w:color w:val="000000" w:themeColor="text1"/>
        </w:rPr>
        <w:t>n sub-Saharan Africa</w:t>
      </w:r>
      <w:r w:rsidR="008E5C1D" w:rsidRPr="00DA4708">
        <w:rPr>
          <w:color w:val="000000" w:themeColor="text1"/>
        </w:rPr>
        <w:t>,</w:t>
      </w:r>
      <w:r w:rsidR="00692C2E" w:rsidRPr="00DA4708">
        <w:rPr>
          <w:color w:val="000000" w:themeColor="text1"/>
        </w:rPr>
        <w:t xml:space="preserve"> a </w:t>
      </w:r>
      <w:r w:rsidR="007C3A14" w:rsidRPr="00DA4708">
        <w:rPr>
          <w:color w:val="000000" w:themeColor="text1"/>
        </w:rPr>
        <w:t>total of 318 species (</w:t>
      </w:r>
      <w:r w:rsidRPr="00DA4708">
        <w:rPr>
          <w:color w:val="000000" w:themeColor="text1"/>
        </w:rPr>
        <w:t xml:space="preserve">of which </w:t>
      </w:r>
      <w:r w:rsidR="007C3A14" w:rsidRPr="00DA4708">
        <w:rPr>
          <w:color w:val="000000" w:themeColor="text1"/>
        </w:rPr>
        <w:t xml:space="preserve">254 </w:t>
      </w:r>
      <w:r w:rsidRPr="00DA4708">
        <w:rPr>
          <w:color w:val="000000" w:themeColor="text1"/>
        </w:rPr>
        <w:t xml:space="preserve">were </w:t>
      </w:r>
      <w:r w:rsidR="007C3A14" w:rsidRPr="00DA4708">
        <w:rPr>
          <w:color w:val="000000" w:themeColor="text1"/>
        </w:rPr>
        <w:t>mammal</w:t>
      </w:r>
      <w:r w:rsidRPr="00DA4708">
        <w:rPr>
          <w:color w:val="000000" w:themeColor="text1"/>
        </w:rPr>
        <w:t>s, 72%</w:t>
      </w:r>
      <w:r w:rsidR="007C3A14" w:rsidRPr="00DA4708">
        <w:rPr>
          <w:color w:val="000000" w:themeColor="text1"/>
        </w:rPr>
        <w:t>)</w:t>
      </w:r>
      <w:r w:rsidRPr="00DA4708">
        <w:rPr>
          <w:color w:val="000000" w:themeColor="text1"/>
        </w:rPr>
        <w:t xml:space="preserve"> were recorded as hunted</w:t>
      </w:r>
      <w:r w:rsidR="007C3A14" w:rsidRPr="00DA4708">
        <w:rPr>
          <w:color w:val="000000" w:themeColor="text1"/>
        </w:rPr>
        <w:t xml:space="preserve"> </w:t>
      </w:r>
      <w:r w:rsidR="00020159" w:rsidRPr="00DA4708">
        <w:rPr>
          <w:color w:val="000000" w:themeColor="text1"/>
        </w:rPr>
        <w:fldChar w:fldCharType="begin" w:fldLock="1"/>
      </w:r>
      <w:r w:rsidR="00D72B40">
        <w:rPr>
          <w:color w:val="000000" w:themeColor="text1"/>
        </w:rPr>
        <w:instrText>ADDIN CSL_CITATION {"citationItems":[{"id":"ITEM-1","itemData":{"author":[{"dropping-particle":"","family":"Ingram","given":"D J","non-dropping-particle":"","parse-names":false,"suffix":""}],"id":"ITEM-1","issued":{"date-parts":[["2018"]]},"publisher":"PhD Thesis, University of Sussex, UK","title":"Quantifying the exploitation of terrestrial wildlife in Africa","type":"book"},"uris":["http://www.mendeley.com/documents/?uuid=451f4b9c-bb2f-42f4-a869-55128eb90dad"]}],"mendeley":{"formattedCitation":"(Ingram 2018)","manualFormatting":"(Ingram, 2018)","plainTextFormattedCitation":"(Ingram 2018)","previouslyFormattedCitation":"(Ingram 2018)"},"properties":{"noteIndex":0},"schema":"https://github.com/citation-style-language/schema/raw/master/csl-citation.json"}</w:instrText>
      </w:r>
      <w:r w:rsidR="00020159" w:rsidRPr="00DA4708">
        <w:rPr>
          <w:color w:val="000000" w:themeColor="text1"/>
        </w:rPr>
        <w:fldChar w:fldCharType="separate"/>
      </w:r>
      <w:r w:rsidR="00020159" w:rsidRPr="00DA4708">
        <w:rPr>
          <w:noProof/>
          <w:color w:val="000000" w:themeColor="text1"/>
        </w:rPr>
        <w:t>(Ingram</w:t>
      </w:r>
      <w:r w:rsidR="00026DF0">
        <w:rPr>
          <w:noProof/>
          <w:color w:val="000000" w:themeColor="text1"/>
        </w:rPr>
        <w:t>,</w:t>
      </w:r>
      <w:r w:rsidR="00020159" w:rsidRPr="00DA4708">
        <w:rPr>
          <w:noProof/>
          <w:color w:val="000000" w:themeColor="text1"/>
        </w:rPr>
        <w:t xml:space="preserve"> 2018)</w:t>
      </w:r>
      <w:r w:rsidR="00020159" w:rsidRPr="00DA4708">
        <w:rPr>
          <w:color w:val="000000" w:themeColor="text1"/>
        </w:rPr>
        <w:fldChar w:fldCharType="end"/>
      </w:r>
      <w:r w:rsidR="007C3A14" w:rsidRPr="00DA4708">
        <w:rPr>
          <w:color w:val="000000" w:themeColor="text1"/>
        </w:rPr>
        <w:t xml:space="preserve">. </w:t>
      </w:r>
      <w:bookmarkStart w:id="43" w:name="_Ref518905936"/>
      <w:r w:rsidR="00C63397">
        <w:rPr>
          <w:color w:val="000000" w:themeColor="text1"/>
        </w:rPr>
        <w:t>In Central African forests, the</w:t>
      </w:r>
      <w:r w:rsidR="00692C2E" w:rsidRPr="00DA4708">
        <w:rPr>
          <w:color w:val="000000" w:themeColor="text1"/>
        </w:rPr>
        <w:t xml:space="preserve"> most consumed terrestrial mammals are ungulates, rodents and primates</w:t>
      </w:r>
      <w:r w:rsidR="00692C2E" w:rsidRPr="00DA4708">
        <w:rPr>
          <w:color w:val="000000" w:themeColor="text1"/>
          <w:lang w:val="en-US"/>
        </w:rPr>
        <w:t xml:space="preserve"> </w:t>
      </w:r>
      <w:r w:rsidR="00692C2E" w:rsidRPr="00DA4708">
        <w:rPr>
          <w:color w:val="000000" w:themeColor="text1"/>
        </w:rPr>
        <w:fldChar w:fldCharType="begin" w:fldLock="1"/>
      </w:r>
      <w:r w:rsidR="00566AAF">
        <w:rPr>
          <w:color w:val="000000" w:themeColor="text1"/>
        </w:rPr>
        <w:instrText>ADDIN CSL_CITATION {"citationItems":[{"id":"ITEM-1","itemData":{"DOI":"10.1016/j.biocon.2005.11.031","ISSN":"00063207","author":[{"dropping-particle":"","family":"Fa","given":"John E.","non-dropping-particle":"","parse-names":false,"suffix":""},{"dropping-particle":"","family":"Seymour","given":"Sarah","non-dropping-particle":"","parse-names":false,"suffix":""},{"dropping-particle":"","family":"Dupain","given":"Jef","non-dropping-particle":"","parse-names":false,"suffix":""},{"dropping-particle":"","family":"Amin","given":"Rajan","non-dropping-particle":"","parse-names":false,"suffix":""},{"dropping-particle":"","family":"Albrechtsen","given":"Lise","non-dropping-particle":"","parse-names":false,"suffix":""},{"dropping-particle":"","family":"Macdonald","given":"David","non-dropping-particle":"","parse-names":false,"suffix":""}],"container-title":"Biological Conservation","id":"ITEM-1","issue":"4","issued":{"date-parts":[["2006","5"]]},"page":"497-510","title":"Getting to grips with the magnitude of exploitation: bushmeat in the Cross–Sanaga rivers region, Nigeria and Cameroon","type":"article-journal","volume":"129"},"uris":["http://www.mendeley.com/documents/?uuid=1f1a7388-9b62-4825-aed2-99a8fe77e386"]},{"id":"ITEM-2","itemData":{"DOI":"10.1098/rstb.2012.0303","ISBN":"1471-2970 (Electronic)\\n0962-8436 (Linking)","ISSN":"1471-2970","PMID":"23878333","abstract":"Humans have hunted wildlife in Central Africa for millennia. Today, however, many species are being rapidly extirpated and sanctuaries for wildlife are dwindling. Almost all Central Africa's forests are now accessible to hunters. Drastic declines of large mammals have been caused in the past 20 years by the commercial trade for meat or ivory. We review a growing body of empirical data which shows that trophic webs are significantly disrupted in the region, with knock-on effects for other ecological functions, including seed dispersal and forest regeneration. Plausible scenarios for land-use change indicate that increasing extraction pressure on Central African forests is likely to usher in new worker populations and to intensify the hunting impacts and trophic cascade disruption already in progress, unless serious efforts are made for hunting regulation. The profound ecological changes initiated by hunting will not mitigate and may even exacerbate the predicted effects of climate change for the region. We hypothesize that, in the near future, the trophic changes brought about by hunting will have a larger and more rapid impact on Central African rainforest structure and function than the direct impacts of climate change on the vegetation. Immediate hunting regulation is vital for the survival of the Central African rainforest ecosystem.","author":[{"dropping-particle":"","family":"Abernethy","given":"K a","non-dropping-particle":"","parse-names":false,"suffix":""},{"dropping-particle":"","family":"Coad","given":"L.","non-dropping-particle":"","parse-names":false,"suffix":""},{"dropping-particle":"","family":"Taylor","given":"G.","non-dropping-particle":"","parse-names":false,"suffix":""},{"dropping-particle":"","family":"Lee","given":"M E","non-dropping-particle":"","parse-names":false,"suffix":""},{"dropping-particle":"","family":"Maisels","given":"F.","non-dropping-particle":"","parse-names":false,"suffix":""}],"container-title":"Philosophical transactions of the Royal Society of London. Series B, Biological sciences","id":"ITEM-2","issue":"1624","issued":{"date-parts":[["2013"]]},"title":"Extent and ecological consequences of hunting in Central African rainforests in the twenty-first century.","type":"article-journal","volume":"368"},"uris":["http://www.mendeley.com/documents/?uuid=983f72fa-3717-3685-86a0-a1dbb5f943b7"]},{"id":"ITEM-3","itemData":{"DOI":"10.1016/j.biocon.2014.11.001","ISSN":"00063207","author":[{"dropping-particle":"","family":"Taylor","given":"G.","non-dropping-particle":"","parse-names":false,"suffix":""},{"dropping-particle":"","family":"Scharlemann","given":"J.P.W.","non-dropping-particle":"","parse-names":false,"suffix":""},{"dropping-particle":"","family":"Rowcliffe","given":"M.","non-dropping-particle":"","parse-names":false,"suffix":""},{"dropping-particle":"","family":"Kümpel","given":"N.","non-dropping-particle":"","parse-names":false,"suffix":""},{"dropping-particle":"","family":"Harfoot","given":"M.B.J.","non-dropping-particle":"","parse-names":false,"suffix":""},{"dropping-particle":"","family":"Fa","given":"J.E.","non-dropping-particle":"","parse-names":false,"suffix":""},{"dropping-particle":"","family":"Melisch","given":"R.","non-dropping-particle":"","parse-names":false,"suffix":""},{"dropping-particle":"","family":"Milner-Gulland","given":"E.J.","non-dropping-particle":"","parse-names":false,"suffix":""},{"dropping-particle":"","family":"Bhagwat","given":"S.","non-dropping-particle":"","parse-names":false,"suffix":""},{"dropping-particle":"","family":"Abernethy","given":"K.a.","non-dropping-particle":"","parse-names":false,"suffix":""},{"dropping-particle":"","family":"Ajonina","given":"A.S.","non-dropping-particle":"","parse-names":false,"suffix":""},{"dropping-particle":"","family":"Albrechtsen","given":"L.","non-dropping-particle":"","parse-names":false,"suffix":""},{"dropping-particle":"","family":"Allebone-Webb","given":"S.","non-dropping-particle":"","parse-names":false,"suffix":""},{"dropping-particle":"","family":"Brown","given":"E.","non-dropping-particle":"","parse-names":false,"suffix":""},{"dropping-particle":"","family":"Brugiere","given":"D.","non-dropping-particle":"","parse-names":false,"suffix":""},{"dropping-particle":"","family":"Clark","given":"C.","non-dropping-particle":"","parse-names":false,"suffix":""},{"dropping-particle":"","family":"Colell","given":"M.","non-dropping-particle":"","parse-names":false,"suffix":""},{"dropping-particle":"","family":"Cowlishaw","given":"G.","non-dropping-particle":"","parse-names":false,"suffix":""},{"dropping-particle":"","family":"Crookes","given":"D.","non-dropping-particle":"","parse-names":false,"suffix":""},{"dropping-particle":"","family":"Merode","given":"E.","non-dropping-particle":"De","parse-names":false,"suffix":""},{"dropping-particle":"","family":"Dupain","given":"J.","non-dropping-particle":"","parse-names":false,"suffix":""},{"dropping-particle":"","family":"East","given":"T.","non-dropping-particle":"","parse-names":false,"suffix":""},{"dropping-particle":"","family":"Edderai","given":"D.","non-dropping-particle":"","parse-names":false,"suffix":""},{"dropping-particle":"","family":"Elkan","given":"P.","non-dropping-particle":"","parse-names":false,"suffix":""},{"dropping-particle":"","family":"Gill","given":"D.","non-dropping-particle":"","parse-names":false,"suffix":""},{"dropping-particle":"","family":"Greengrass","given":"E.","non-dropping-particle":"","parse-names":false,"suffix":""},{"dropping-particle":"","family":"Hodgkinson","given":"C.","non-dropping-particle":"","parse-names":false,"suffix":""},{"dropping-particle":"","family":"Ilambu","given":"O.","non-dropping-particle":"","parse-names":false,"suffix":""},{"dropping-particle":"","family":"Jeanmart","given":"P.","non-dropping-particle":"","parse-names":false,"suffix":""},{"dropping-particle":"","family":"Juste","given":"J.","non-dropping-particle":"","parse-names":false,"suffix":""},{"dropping-particle":"","family":"Linder","given":"J.M.","non-dropping-particle":"","parse-names":false,"suffix":""},{"dropping-particle":"","family":"Macdonald","given":"D.W.","non-dropping-particle":"","parse-names":false,"suffix":""},{"dropping-particle":"","family":"Noss","given":"A.J.","non-dropping-particle":"","parse-names":false,"suffix":""},{"dropping-particle":"","family":"Okorie","given":"P.U.","non-dropping-particle":"","parse-names":false,"suffix":""},{"dropping-particle":"","family":"Okouyi","given":"V.J.J.","non-dropping-particle":"","parse-names":false,"suffix":""},{"dropping-particle":"","family":"Pailler","given":"S.","non-dropping-particle":"","parse-names":false,"suffix":""},{"dropping-particle":"","family":"Poulsen","given":"J.R.","non-dropping-particle":"","parse-names":false,"suffix":""},{"dropping-particle":"","family":"Riddell","given":"M.","non-dropping-particle":"","parse-names":false,"suffix":""},{"dropping-particle":"","family":"Schleicher","given":"J.","non-dropping-particle":"","parse-names":false,"suffix":""},{"dropping-particle":"","family":"Schulte-Herbrüggen","given":"B.","non-dropping-particle":"","parse-names":false,"suffix":""},{"dropping-particle":"","family":"Starkey","given":"M.","non-dropping-particle":"","parse-names":false,"suffix":""},{"dropping-particle":"","family":"Vliet","given":"N.","non-dropping-particle":"van","parse-names":false,"suffix":""},{"dropping-particle":"","family":"Whitham","given":"C.","non-dropping-particle":"","parse-names":false,"suffix":""},{"dropping-particle":"","family":"Willcox","given":"A.S.","non-dropping-particle":"","parse-names":false,"suffix":""},{"dropping-particle":"","family":"Wilkie","given":"D.S.","non-dropping-particle":"","parse-names":false,"suffix":""},{"dropping-particle":"","family":"Wright","given":"J.H.","non-dropping-particle":"","parse-names":false,"suffix":""},{"dropping-particle":"","family":"Coad","given":"L.M.","non-dropping-particle":"","parse-names":false,"suffix":""}],"container-title":"Biological Conservation","id":"ITEM-3","issued":{"date-parts":[["2015","1"]]},"page":"199-205","title":"Synthesising bushmeat research effort in West and Central Africa: a new regional database","type":"article-journal","volume":"181"},"uris":["http://www.mendeley.com/documents/?uuid=8619bbfb-a1ce-4ecc-b19a-2073998ecf04"]},{"id":"ITEM-4","itemData":{"ISSN":"05643295","author":[{"dropping-particle":"","family":"Petrozzi","given":"Fabio","non-dropping-particle":"","parse-names":false,"suffix":""},{"dropping-particle":"","family":"Amori","given":"Giovanni","non-dropping-particle":"","parse-names":false,"suffix":""},{"dropping-particle":"","family":"Franco","given":"Daniel","non-dropping-particle":"","parse-names":false,"suffix":""},{"dropping-particle":"","family":"Gaubert","given":"Philippe","non-dropping-particle":"","parse-names":false,"suffix":""},{"dropping-particle":"","family":"Pacini","given":"Nic","non-dropping-particle":"","parse-names":false,"suffix":""},{"dropping-particle":"","family":"Eniang","given":"Edem A.","non-dropping-particle":"","parse-names":false,"suffix":""},{"dropping-particle":"","family":"Akani","given":"Godfrey C.","non-dropping-particle":"","parse-names":false,"suffix":""},{"dropping-particle":"","family":"Politano","given":"Edoardo","non-dropping-particle":"","parse-names":false,"suffix":""},{"dropping-particle":"","family":"Luiselli","given":"Luca","non-dropping-particle":"","parse-names":false,"suffix":""}],"container-title":"Tropical Ecology","id":"ITEM-4","issue":"3","issued":{"date-parts":[["2016"]]},"page":"545-557","title":"Ecology of the bushmeat trade in West and Central Africa","type":"article-journal","volume":"57"},"uris":["http://www.mendeley.com/documents/?uuid=49a5816e-22f5-4c2a-85e4-b68e2b247511"]}],"mendeley":{"formattedCitation":"(Fa et al. 2006; Abernethy et al. 2013a; Taylor et al. 2015; Petrozzi et al. 2016)","manualFormatting":"(Fa et al. 2006; Abernethy et al. 2013b; Taylor et al. 2015; Petrozzi et al. 2016)","plainTextFormattedCitation":"(Fa et al. 2006; Abernethy et al. 2013a; Taylor et al. 2015; Petrozzi et al. 2016)","previouslyFormattedCitation":"(Fa et al. 2006; Abernethy et al. 2013a; Taylor et al. 2015; Petrozzi et al. 2016)"},"properties":{"noteIndex":0},"schema":"https://github.com/citation-style-language/schema/raw/master/csl-citation.json"}</w:instrText>
      </w:r>
      <w:r w:rsidR="00692C2E" w:rsidRPr="00DA4708">
        <w:rPr>
          <w:color w:val="000000" w:themeColor="text1"/>
        </w:rPr>
        <w:fldChar w:fldCharType="separate"/>
      </w:r>
      <w:r w:rsidR="0043640D">
        <w:rPr>
          <w:noProof/>
          <w:color w:val="000000" w:themeColor="text1"/>
          <w:lang w:val="es-ES"/>
        </w:rPr>
        <w:fldChar w:fldCharType="begin" w:fldLock="1"/>
      </w:r>
      <w:r w:rsidR="00566AAF">
        <w:rPr>
          <w:noProof/>
          <w:color w:val="000000" w:themeColor="text1"/>
          <w:lang w:val="es-ES"/>
        </w:rPr>
        <w:instrText>ADDIN CSL_CITATION {"citationItems":[{"id":"ITEM-1","itemData":{"DOI":"10.1016/j.biocon.2005.11.031","ISSN":"00063207","author":[{"dropping-particle":"","family":"Fa","given":"John E.","non-dropping-particle":"","parse-names":false,"suffix":""},{"dropping-particle":"","family":"Seymour","given":"Sarah","non-dropping-particle":"","parse-names":false,"suffix":""},{"dropping-particle":"","family":"Dupain","given":"Jef","non-dropping-particle":"","parse-names":false,"suffix":""},{"dropping-particle":"","family":"Amin","given":"Rajan","non-dropping-particle":"","parse-names":false,"suffix":""},{"dropping-particle":"","family":"Albrechtsen","given":"Lise","non-dropping-particle":"","parse-names":false,"suffix":""},{"dropping-particle":"","family":"Macdonald","given":"David","non-dropping-particle":"","parse-names":false,"suffix":""}],"container-title":"Biological Conservation","id":"ITEM-1","issue":"4","issued":{"date-parts":[["2006","5"]]},"page":"497-510","title":"Getting to grips with the magnitude of exploitation: bushmeat in the Cross–Sanaga rivers region, Nigeria and Cameroon","type":"article-journal","volume":"129"},"uris":["http://www.mendeley.com/documents/?uuid=1f1a7388-9b62-4825-aed2-99a8fe77e386"]},{"id":"ITEM-2","itemData":{"DOI":"10.1098/rstb.2012.0303","ISBN":"1471-2970 (Electronic)\\n0962-8436 (Linking)","ISSN":"1471-2970","PMID":"23878333","abstract":"Humans have hunted wildlife in Central Africa for millennia. Today, however, many species are being rapidly extirpated and sanctuaries for wildlife are dwindling. Almost all Central Africa's forests are now accessible to hunters. Drastic declines of large mammals have been caused in the past 20 years by the commercial trade for meat or ivory. We review a growing body of empirical data which shows that trophic webs are significantly disrupted in the region, with knock-on effects for other ecological functions, including seed dispersal and forest regeneration. Plausible scenarios for land-use change indicate that increasing extraction pressure on Central African forests is likely to usher in new worker populations and to intensify the hunting impacts and trophic cascade disruption already in progress, unless serious efforts are made for hunting regulation. The profound ecological changes initiated by hunting will not mitigate and may even exacerbate the predicted effects of climate change for the region. We hypothesize that, in the near future, the trophic changes brought about by hunting will have a larger and more rapid impact on Central African rainforest structure and function than the direct impacts of climate change on the vegetation. Immediate hunting regulation is vital for the survival of the Central African rainforest ecosystem.","author":[{"dropping-particle":"","family":"Abernethy","given":"K.A.","non-dropping-particle":"","parse-names":false,"suffix":""},{"dropping-particle":"","family":"Coad","given":"L.","non-dropping-particle":"","parse-names":false,"suffix":""},{"dropping-particle":"","family":"Taylor","given":"G.","non-dropping-particle":"","parse-names":false,"suffix":""},{"dropping-particle":"","family":"Lee","given":"M E","non-dropping-particle":"","parse-names":false,"suffix":""},{"dropping-particle":"","family":"Maisels","given":"F.","non-dropping-particle":"","parse-names":false,"suffix":""}],"container-title":"Philosophical transactions of the Royal Society of London. Series B, Biological sciences","id":"ITEM-2","issued":{"date-parts":[["2013"]]},"page":"20120303","title":"Extent and ecological consequences of hunting in Central African rainforests in the twenty-first century.","type":"article-journal","volume":"368"},"uris":["http://www.mendeley.com/documents/?uuid=18796464-9ea5-47fb-afcb-938cbd1dcd95"]},{"id":"ITEM-3","itemData":{"DOI":"10.1016/j.biocon.2014.11.001","ISSN":"00063207","author":[{"dropping-particle":"","family":"Taylor","given":"G.","non-dropping-particle":"","parse-names":false,"suffix":""},{"dropping-particle":"","family":"Scharlemann","given":"J.P.W.","non-dropping-particle":"","parse-names":false,"suffix":""},{"dropping-particle":"","family":"Rowcliffe","given":"M.","non-dropping-particle":"","parse-names":false,"suffix":""},{"dropping-particle":"","family":"Kümpel","given":"N.","non-dropping-particle":"","parse-names":false,"suffix":""},{"dropping-particle":"","family":"Harfoot","given":"M.B.J.","non-dropping-particle":"","parse-names":false,"suffix":""},{"dropping-particle":"","family":"Fa","given":"J.E.","non-dropping-particle":"","parse-names":false,"suffix":""},{"dropping-particle":"","family":"Melisch","given":"R.","non-dropping-particle":"","parse-names":false,"suffix":""},{"dropping-particle":"","family":"Milner-Gulland","given":"E.J.","non-dropping-particle":"","parse-names":false,"suffix":""},{"dropping-particle":"","family":"Bhagwat","given":"S.","non-dropping-particle":"","parse-names":false,"suffix":""},{"dropping-particle":"","family":"Abernethy","given":"K.a.","non-dropping-particle":"","parse-names":false,"suffix":""},{"dropping-particle":"","family":"Ajonina","given":"A.S.","non-dropping-particle":"","parse-names":false,"suffix":""},{"dropping-particle":"","family":"Albrechtsen","given":"L.","non-dropping-particle":"","parse-names":false,"suffix":""},{"dropping-particle":"","family":"Allebone-Webb","given":"S.","non-dropping-particle":"","parse-names":false,"suffix":""},{"dropping-particle":"","family":"Brown","given":"E.","non-dropping-particle":"","parse-names":false,"suffix":""},{"dropping-particle":"","family":"Brugiere","given":"D.","non-dropping-particle":"","parse-names":false,"suffix":""},{"dropping-particle":"","family":"Clark","given":"C.","non-dropping-particle":"","parse-names":false,"suffix":""},{"dropping-particle":"","family":"Colell","given":"M.","non-dropping-particle":"","parse-names":false,"suffix":""},{"dropping-particle":"","family":"Cowlishaw","given":"G.","non-dropping-particle":"","parse-names":false,"suffix":""},{"dropping-particle":"","family":"Crookes","given":"D.","non-dropping-particle":"","parse-names":false,"suffix":""},{"dropping-particle":"","family":"Merode","given":"E.","non-dropping-particle":"De","parse-names":false,"suffix":""},{"dropping-particle":"","family":"Dupain","given":"J.","non-dropping-particle":"","parse-names":false,"suffix":""},{"dropping-particle":"","family":"East","given":"T.","non-dropping-particle":"","parse-names":false,"suffix":""},{"dropping-particle":"","family":"Edderai","given":"D.","non-dropping-particle":"","parse-names":false,"suffix":""},{"dropping-particle":"","family":"Elkan","given":"P.","non-dropping-particle":"","parse-names":false,"suffix":""},{"dropping-particle":"","family":"Gill","given":"D.","non-dropping-particle":"","parse-names":false,"suffix":""},{"dropping-particle":"","family":"Greengrass","given":"E.","non-dropping-particle":"","parse-names":false,"suffix":""},{"dropping-particle":"","family":"Hodgkinson","given":"C.","non-dropping-particle":"","parse-names":false,"suffix":""},{"dropping-particle":"","family":"Ilambu","given":"O.","non-dropping-particle":"","parse-names":false,"suffix":""},{"dropping-particle":"","family":"Jeanmart","given":"P.","non-dropping-particle":"","parse-names":false,"suffix":""},{"dropping-particle":"","family":"Juste","given":"J.","non-dropping-particle":"","parse-names":false,"suffix":""},{"dropping-particle":"","family":"Linder","given":"J.M.","non-dropping-particle":"","parse-names":false,"suffix":""},{"dropping-particle":"","family":"Macdonald","given":"D.W.","non-dropping-particle":"","parse-names":false,"suffix":""},{"dropping-particle":"","family":"Noss","given":"A.J.","non-dropping-particle":"","parse-names":false,"suffix":""},{"dropping-particle":"","family":"Okorie","given":"P.U.","non-dropping-particle":"","parse-names":false,"suffix":""},{"dropping-particle":"","family":"Okouyi","given":"V.J.J.","non-dropping-particle":"","parse-names":false,"suffix":""},{"dropping-particle":"","family":"Pailler","given":"S.","non-dropping-particle":"","parse-names":false,"suffix":""},{"dropping-particle":"","family":"Poulsen","given":"J.R.","non-dropping-particle":"","parse-names":false,"suffix":""},{"dropping-particle":"","family":"Riddell","given":"M.","non-dropping-particle":"","parse-names":false,"suffix":""},{"dropping-particle":"","family":"Schleicher","given":"J.","non-dropping-particle":"","parse-names":false,"suffix":""},{"dropping-particle":"","family":"Schulte-Herbrüggen","given":"B.","non-dropping-particle":"","parse-names":false,"suffix":""},{"dropping-particle":"","family":"Starkey","given":"M.","non-dropping-particle":"","parse-names":false,"suffix":""},{"dropping-particle":"","family":"Vliet","given":"N.","non-dropping-particle":"van","parse-names":false,"suffix":""},{"dropping-particle":"","family":"Whitham","given":"C.","non-dropping-particle":"","parse-names":false,"suffix":""},{"dropping-particle":"","family":"Willcox","given":"A.S.","non-dropping-particle":"","parse-names":false,"suffix":""},{"dropping-particle":"","family":"Wilkie","given":"D.S.","non-dropping-particle":"","parse-names":false,"suffix":""},{"dropping-particle":"","family":"Wright","given":"J.H.","non-dropping-particle":"","parse-names":false,"suffix":""},{"dropping-particle":"","family":"Coad","given":"L.M.","non-dropping-particle":"","parse-names":false,"suffix":""}],"container-title":"Biological Conservation","id":"ITEM-3","issued":{"date-parts":[["2015","1"]]},"page":"199-205","title":"Synthesising bushmeat research effort in West and Central Africa: a new regional database","type":"article-journal","volume":"181"},"uris":["http://www.mendeley.com/documents/?uuid=8619bbfb-a1ce-4ecc-b19a-2073998ecf04"]},{"id":"ITEM-4","itemData":{"ISSN":"05643295","author":[{"dropping-particle":"","family":"Petrozzi","given":"Fabio","non-dropping-particle":"","parse-names":false,"suffix":""},{"dropping-particle":"","family":"Amori","given":"Giovanni","non-dropping-particle":"","parse-names":false,"suffix":""},{"dropping-particle":"","family":"Franco","given":"Daniel","non-dropping-particle":"","parse-names":false,"suffix":""},{"dropping-particle":"","family":"Gaubert","given":"Philippe","non-dropping-particle":"","parse-names":false,"suffix":""},{"dropping-particle":"","family":"Pacini","given":"Nic","non-dropping-particle":"","parse-names":false,"suffix":""},{"dropping-particle":"","family":"Eniang","given":"Edem A.","non-dropping-particle":"","parse-names":false,"suffix":""},{"dropping-particle":"","family":"Akani","given":"Godfrey C.","non-dropping-particle":"","parse-names":false,"suffix":""},{"dropping-particle":"","family":"Politano","given":"Edoardo","non-dropping-particle":"","parse-names":false,"suffix":""},{"dropping-particle":"","family":"Luiselli","given":"Luca","non-dropping-particle":"","parse-names":false,"suffix":""}],"container-title":"Tropical Ecology","id":"ITEM-4","issue":"3","issued":{"date-parts":[["2016"]]},"page":"545-557","title":"Ecology of the bushmeat trade in West and Central Africa","type":"article-journal","volume":"57"},"uris":["http://www.mendeley.com/documents/?uuid=49a5816e-22f5-4c2a-85e4-b68e2b247511"]}],"mendeley":{"formattedCitation":"(Fa et al. 2006; Abernethy et al. 2013b; Taylor et al. 2015; Petrozzi et al. 2016)","plainTextFormattedCitation":"(Fa et al. 2006; Abernethy et al. 2013b; Taylor et al. 2015; Petrozzi et al. 2016)","previouslyFormattedCitation":"(Fa et al. 2006; Abernethy et al. 2013b; Taylor et al. 2015; Petrozzi et al. 2016)"},"properties":{"noteIndex":0},"schema":"https://github.com/citation-style-language/schema/raw/master/csl-citation.json"}</w:instrText>
      </w:r>
      <w:r w:rsidR="0043640D">
        <w:rPr>
          <w:noProof/>
          <w:color w:val="000000" w:themeColor="text1"/>
          <w:lang w:val="es-ES"/>
        </w:rPr>
        <w:fldChar w:fldCharType="separate"/>
      </w:r>
      <w:r w:rsidR="0043640D" w:rsidRPr="0043640D">
        <w:rPr>
          <w:noProof/>
          <w:color w:val="000000" w:themeColor="text1"/>
          <w:lang w:val="es-ES"/>
        </w:rPr>
        <w:t xml:space="preserve">(Fa et </w:t>
      </w:r>
      <w:r w:rsidR="008E47ED">
        <w:rPr>
          <w:noProof/>
          <w:color w:val="000000" w:themeColor="text1"/>
          <w:lang w:val="es-ES"/>
        </w:rPr>
        <w:t>al. 2006; Abernethy et al. 2013</w:t>
      </w:r>
      <w:r w:rsidR="0043640D" w:rsidRPr="0043640D">
        <w:rPr>
          <w:noProof/>
          <w:color w:val="000000" w:themeColor="text1"/>
          <w:lang w:val="es-ES"/>
        </w:rPr>
        <w:t>; Taylor et al. 2015; Petrozzi et al. 2016)</w:t>
      </w:r>
      <w:r w:rsidR="0043640D">
        <w:rPr>
          <w:noProof/>
          <w:color w:val="000000" w:themeColor="text1"/>
          <w:lang w:val="es-ES"/>
        </w:rPr>
        <w:fldChar w:fldCharType="end"/>
      </w:r>
      <w:r w:rsidR="00692C2E" w:rsidRPr="00DA4708">
        <w:rPr>
          <w:color w:val="000000" w:themeColor="text1"/>
        </w:rPr>
        <w:fldChar w:fldCharType="end"/>
      </w:r>
      <w:r w:rsidR="0043640D" w:rsidRPr="00DA4708">
        <w:rPr>
          <w:color w:val="000000" w:themeColor="text1"/>
          <w:lang w:val="es-ES"/>
        </w:rPr>
        <w:t xml:space="preserve"> </w:t>
      </w:r>
      <w:r w:rsidR="00692C2E" w:rsidRPr="00DA4708">
        <w:rPr>
          <w:color w:val="000000" w:themeColor="text1"/>
          <w:lang w:val="es-ES"/>
        </w:rPr>
        <w:t xml:space="preserve"> </w:t>
      </w:r>
      <w:r w:rsidR="0043640D">
        <w:rPr>
          <w:color w:val="000000" w:themeColor="text1"/>
          <w:lang w:val="es-ES"/>
        </w:rPr>
        <w:t>(</w:t>
      </w:r>
      <w:r w:rsidR="00692C2E" w:rsidRPr="00DA4708">
        <w:rPr>
          <w:color w:val="000000" w:themeColor="text1"/>
        </w:rPr>
        <w:fldChar w:fldCharType="begin"/>
      </w:r>
      <w:r w:rsidR="00692C2E" w:rsidRPr="00DA4708">
        <w:rPr>
          <w:color w:val="000000" w:themeColor="text1"/>
          <w:lang w:val="es-ES"/>
        </w:rPr>
        <w:instrText xml:space="preserve"> REF _Ref520280226 \h </w:instrText>
      </w:r>
      <w:r w:rsidR="00DA4708">
        <w:rPr>
          <w:color w:val="000000" w:themeColor="text1"/>
        </w:rPr>
        <w:instrText xml:space="preserve"> \* MERGEFORMAT </w:instrText>
      </w:r>
      <w:r w:rsidR="00692C2E" w:rsidRPr="00DA4708">
        <w:rPr>
          <w:color w:val="000000" w:themeColor="text1"/>
        </w:rPr>
      </w:r>
      <w:r w:rsidR="00692C2E" w:rsidRPr="00DA4708">
        <w:rPr>
          <w:color w:val="000000" w:themeColor="text1"/>
        </w:rPr>
        <w:fldChar w:fldCharType="separate"/>
      </w:r>
      <w:r w:rsidR="007034F1" w:rsidRPr="007034F1">
        <w:rPr>
          <w:color w:val="000000" w:themeColor="text1"/>
        </w:rPr>
        <w:t xml:space="preserve">Figure </w:t>
      </w:r>
      <w:r w:rsidR="007034F1" w:rsidRPr="007034F1">
        <w:rPr>
          <w:noProof/>
          <w:color w:val="000000" w:themeColor="text1"/>
        </w:rPr>
        <w:t>1</w:t>
      </w:r>
      <w:r w:rsidR="00692C2E" w:rsidRPr="00DA4708">
        <w:rPr>
          <w:color w:val="000000" w:themeColor="text1"/>
        </w:rPr>
        <w:fldChar w:fldCharType="end"/>
      </w:r>
      <w:r w:rsidR="00185C05" w:rsidRPr="00DA4708">
        <w:rPr>
          <w:color w:val="000000" w:themeColor="text1"/>
          <w:lang w:val="es-ES"/>
        </w:rPr>
        <w:t>). M</w:t>
      </w:r>
      <w:r w:rsidR="00692C2E" w:rsidRPr="00DA4708" w:rsidDel="009069E5">
        <w:rPr>
          <w:color w:val="000000" w:themeColor="text1"/>
        </w:rPr>
        <w:t>ost species harvested are frugivores</w:t>
      </w:r>
      <w:r w:rsidR="00185C05" w:rsidRPr="00DA4708">
        <w:rPr>
          <w:color w:val="000000" w:themeColor="text1"/>
        </w:rPr>
        <w:t>, represent</w:t>
      </w:r>
      <w:r w:rsidR="00C63397">
        <w:rPr>
          <w:color w:val="000000" w:themeColor="text1"/>
        </w:rPr>
        <w:t>ing</w:t>
      </w:r>
      <w:r w:rsidR="00692C2E" w:rsidRPr="00DA4708">
        <w:rPr>
          <w:color w:val="000000" w:themeColor="text1"/>
        </w:rPr>
        <w:t xml:space="preserve"> over 60% of </w:t>
      </w:r>
      <w:r w:rsidR="00185C05" w:rsidRPr="00DA4708">
        <w:rPr>
          <w:color w:val="000000" w:themeColor="text1"/>
        </w:rPr>
        <w:t xml:space="preserve">the </w:t>
      </w:r>
      <w:r w:rsidR="00692C2E" w:rsidRPr="00DA4708">
        <w:rPr>
          <w:color w:val="000000" w:themeColor="text1"/>
        </w:rPr>
        <w:t>hunted biomass in Central Africa</w:t>
      </w:r>
      <w:r w:rsidR="0043640D">
        <w:rPr>
          <w:color w:val="000000" w:themeColor="text1"/>
        </w:rPr>
        <w:t xml:space="preserve"> </w:t>
      </w:r>
      <w:r w:rsidR="0043640D">
        <w:rPr>
          <w:color w:val="000000" w:themeColor="text1"/>
        </w:rPr>
        <w:fldChar w:fldCharType="begin" w:fldLock="1"/>
      </w:r>
      <w:r w:rsidR="00B2630D">
        <w:rPr>
          <w:color w:val="000000" w:themeColor="text1"/>
        </w:rPr>
        <w:instrText>ADDIN CSL_CITATION {"citationItems":[{"id":"ITEM-1","itemData":{"DOI":"10.1098/rstb.2012.0303","ISBN":"1471-2970 (Electronic)\\n0962-8436 (Linking)","ISSN":"1471-2970","PMID":"23878333","abstract":"Humans have hunted wildlife in Central Africa for millennia. Today, however, many species are being rapidly extirpated and sanctuaries for wildlife are dwindling. Almost all Central Africa's forests are now accessible to hunters. Drastic declines of large mammals have been caused in the past 20 years by the commercial trade for meat or ivory. We review a growing body of empirical data which shows that trophic webs are significantly disrupted in the region, with knock-on effects for other ecological functions, including seed dispersal and forest regeneration. Plausible scenarios for land-use change indicate that increasing extraction pressure on Central African forests is likely to usher in new worker populations and to intensify the hunting impacts and trophic cascade disruption already in progress, unless serious efforts are made for hunting regulation. The profound ecological changes initiated by hunting will not mitigate and may even exacerbate the predicted effects of climate change for the region. We hypothesize that, in the near future, the trophic changes brought about by hunting will have a larger and more rapid impact on Central African rainforest structure and function than the direct impacts of climate change on the vegetation. Immediate hunting regulation is vital for the survival of the Central African rainforest ecosystem.","author":[{"dropping-particle":"","family":"Abernethy","given":"K.A.","non-dropping-particle":"","parse-names":false,"suffix":""},{"dropping-particle":"","family":"Coad","given":"L.","non-dropping-particle":"","parse-names":false,"suffix":""},{"dropping-particle":"","family":"Taylor","given":"G.","non-dropping-particle":"","parse-names":false,"suffix":""},{"dropping-particle":"","family":"Lee","given":"M E","non-dropping-particle":"","parse-names":false,"suffix":""},{"dropping-particle":"","family":"Maisels","given":"F.","non-dropping-particle":"","parse-names":false,"suffix":""}],"container-title":"Philosophical transactions of the Royal Society of London. Series B, Biological sciences","id":"ITEM-1","issued":{"date-parts":[["2013"]]},"page":"20120303","title":"Extent and ecological consequences of hunting in Central African rainforests in the twenty-first century.","type":"article-journal","volume":"368"},"uris":["http://www.mendeley.com/documents/?uuid=18796464-9ea5-47fb-afcb-938cbd1dcd95"]}],"mendeley":{"formattedCitation":"(Abernethy et al. 2013b)","plainTextFormattedCitation":"(Abernethy et al. 2013b)","previouslyFormattedCitation":"(Abernethy et al. 2013b)"},"properties":{"noteIndex":0},"schema":"https://github.com/citation-style-language/schema/raw/master/csl-citation.json"}</w:instrText>
      </w:r>
      <w:r w:rsidR="0043640D">
        <w:rPr>
          <w:color w:val="000000" w:themeColor="text1"/>
        </w:rPr>
        <w:fldChar w:fldCharType="separate"/>
      </w:r>
      <w:r w:rsidR="0043640D" w:rsidRPr="0043640D">
        <w:rPr>
          <w:noProof/>
          <w:color w:val="000000" w:themeColor="text1"/>
        </w:rPr>
        <w:t>(Abernethy et al. 2013b)</w:t>
      </w:r>
      <w:r w:rsidR="0043640D">
        <w:rPr>
          <w:color w:val="000000" w:themeColor="text1"/>
        </w:rPr>
        <w:fldChar w:fldCharType="end"/>
      </w:r>
      <w:r w:rsidR="00692C2E" w:rsidRPr="00DA4708">
        <w:rPr>
          <w:color w:val="000000" w:themeColor="text1"/>
        </w:rPr>
        <w:t>.</w:t>
      </w:r>
      <w:r w:rsidR="00692C2E" w:rsidRPr="00814265">
        <w:rPr>
          <w:noProof/>
          <w:color w:val="000000" w:themeColor="text1"/>
          <w:lang w:val="en-US" w:eastAsia="pt-BR"/>
        </w:rPr>
        <w:t xml:space="preserve"> </w:t>
      </w:r>
      <w:r w:rsidR="00C63397" w:rsidRPr="00DD65C9">
        <w:rPr>
          <w:noProof/>
          <w:color w:val="000000" w:themeColor="text1"/>
          <w:lang w:val="en-US" w:eastAsia="pt-BR"/>
        </w:rPr>
        <w:t>In African savannas,</w:t>
      </w:r>
      <w:r w:rsidR="00692C2E" w:rsidRPr="00DD65C9">
        <w:rPr>
          <w:noProof/>
          <w:color w:val="000000" w:themeColor="text1"/>
          <w:lang w:val="en-US" w:eastAsia="pt-BR"/>
        </w:rPr>
        <w:t xml:space="preserve"> ungulates are</w:t>
      </w:r>
      <w:r w:rsidR="00C63397" w:rsidRPr="00DD65C9">
        <w:rPr>
          <w:noProof/>
          <w:color w:val="000000" w:themeColor="text1"/>
          <w:lang w:val="en-US" w:eastAsia="pt-BR"/>
        </w:rPr>
        <w:t xml:space="preserve"> likewise</w:t>
      </w:r>
      <w:r w:rsidR="00692C2E" w:rsidRPr="00DD65C9">
        <w:rPr>
          <w:noProof/>
          <w:color w:val="000000" w:themeColor="text1"/>
          <w:lang w:val="en-US" w:eastAsia="pt-BR"/>
        </w:rPr>
        <w:t xml:space="preserve"> </w:t>
      </w:r>
      <w:r w:rsidR="00C63397" w:rsidRPr="00DD65C9">
        <w:rPr>
          <w:noProof/>
          <w:color w:val="000000" w:themeColor="text1"/>
          <w:lang w:val="en-US" w:eastAsia="pt-BR"/>
        </w:rPr>
        <w:t>the most hunted mammals.  I</w:t>
      </w:r>
      <w:r w:rsidR="00692C2E" w:rsidRPr="00DD65C9">
        <w:rPr>
          <w:noProof/>
          <w:color w:val="000000" w:themeColor="text1"/>
          <w:lang w:val="en-US" w:eastAsia="pt-BR"/>
        </w:rPr>
        <w:t xml:space="preserve">n Tanzania, </w:t>
      </w:r>
      <w:r w:rsidR="00692C2E" w:rsidRPr="00DA4708">
        <w:rPr>
          <w:color w:val="000000" w:themeColor="text1"/>
          <w:lang w:val="en-US"/>
        </w:rPr>
        <w:t>dikdik</w:t>
      </w:r>
      <w:r w:rsidR="00026DF0">
        <w:rPr>
          <w:color w:val="000000" w:themeColor="text1"/>
          <w:lang w:val="en-US"/>
        </w:rPr>
        <w:t>s</w:t>
      </w:r>
      <w:r w:rsidR="00692C2E" w:rsidRPr="00DA4708">
        <w:rPr>
          <w:color w:val="000000" w:themeColor="text1"/>
          <w:lang w:val="en-US"/>
        </w:rPr>
        <w:t xml:space="preserve"> (</w:t>
      </w:r>
      <w:r w:rsidR="0006017D" w:rsidRPr="00DA4708">
        <w:rPr>
          <w:i/>
          <w:color w:val="000000" w:themeColor="text1"/>
          <w:lang w:val="en-US"/>
        </w:rPr>
        <w:t xml:space="preserve">Madoqua </w:t>
      </w:r>
      <w:r w:rsidR="00692C2E" w:rsidRPr="00DA4708">
        <w:rPr>
          <w:color w:val="000000" w:themeColor="text1"/>
          <w:lang w:val="en-US"/>
        </w:rPr>
        <w:t>spp.) and duikers (</w:t>
      </w:r>
      <w:r w:rsidR="00692C2E" w:rsidRPr="00DA4708">
        <w:rPr>
          <w:i/>
          <w:color w:val="000000" w:themeColor="text1"/>
          <w:lang w:val="en-US"/>
        </w:rPr>
        <w:t>Cephalophus</w:t>
      </w:r>
      <w:r w:rsidR="00692C2E" w:rsidRPr="00DA4708">
        <w:rPr>
          <w:color w:val="000000" w:themeColor="text1"/>
          <w:lang w:val="en-US"/>
        </w:rPr>
        <w:t xml:space="preserve"> spp.) make up the majority of records </w:t>
      </w:r>
      <w:r w:rsidR="00F71768">
        <w:rPr>
          <w:color w:val="000000" w:themeColor="text1"/>
          <w:lang w:val="en-US"/>
        </w:rPr>
        <w:fldChar w:fldCharType="begin" w:fldLock="1"/>
      </w:r>
      <w:r w:rsidR="00F71768">
        <w:rPr>
          <w:color w:val="000000" w:themeColor="text1"/>
          <w:lang w:val="en-US"/>
        </w:rPr>
        <w:instrText>ADDIN CSL_CITATION {"citationItems":[{"id":"ITEM-1","itemData":{"author":[{"dropping-particle":"","family":"Ceppi","given":"Silvia Laura","non-dropping-particle":"","parse-names":false,"suffix":""},{"dropping-particle":"","family":"Nielsen","given":"Martin Reinhardt","non-dropping-particle":"","parse-names":false,"suffix":""}],"container-title":"Tropical Conservation Science","id":"ITEM-1","issue":"2","issued":{"date-parts":[["2014"]]},"page":"272-287","title":"A comparative study on bushmeat consumption patterns in ten tribes in Tanzania","type":"article-journal","volume":"7"},"uris":["http://www.mendeley.com/documents/?uuid=27e1ee0d-da3b-4295-83b9-80a7cff33669"]}],"mendeley":{"formattedCitation":"(Ceppi &amp; Nielsen 2014)","plainTextFormattedCitation":"(Ceppi &amp; Nielsen 2014)","previouslyFormattedCitation":"(Ceppi &amp; Nielsen 2014)"},"properties":{"noteIndex":0},"schema":"https://github.com/citation-style-language/schema/raw/master/csl-citation.json"}</w:instrText>
      </w:r>
      <w:r w:rsidR="00F71768">
        <w:rPr>
          <w:color w:val="000000" w:themeColor="text1"/>
          <w:lang w:val="en-US"/>
        </w:rPr>
        <w:fldChar w:fldCharType="separate"/>
      </w:r>
      <w:r w:rsidR="00F71768" w:rsidRPr="00F71768">
        <w:rPr>
          <w:noProof/>
          <w:color w:val="000000" w:themeColor="text1"/>
          <w:lang w:val="en-US"/>
        </w:rPr>
        <w:t>(Ceppi &amp; Nielsen 2014)</w:t>
      </w:r>
      <w:r w:rsidR="00F71768">
        <w:rPr>
          <w:color w:val="000000" w:themeColor="text1"/>
          <w:lang w:val="en-US"/>
        </w:rPr>
        <w:fldChar w:fldCharType="end"/>
      </w:r>
      <w:r w:rsidR="00692C2E" w:rsidRPr="00DA4708">
        <w:rPr>
          <w:color w:val="000000" w:themeColor="text1"/>
          <w:lang w:val="en-US"/>
        </w:rPr>
        <w:t xml:space="preserve">. Larger species such as bushbuck </w:t>
      </w:r>
      <w:r w:rsidR="00975926" w:rsidRPr="00DA4708">
        <w:rPr>
          <w:color w:val="000000" w:themeColor="text1"/>
          <w:lang w:val="en-US"/>
        </w:rPr>
        <w:t>(</w:t>
      </w:r>
      <w:r w:rsidR="00975926" w:rsidRPr="00DA4708">
        <w:rPr>
          <w:i/>
          <w:color w:val="000000" w:themeColor="text1"/>
          <w:lang w:val="en-US"/>
        </w:rPr>
        <w:t xml:space="preserve">Tragelaphus </w:t>
      </w:r>
      <w:r w:rsidR="00975926" w:rsidRPr="00DA4708">
        <w:rPr>
          <w:color w:val="000000" w:themeColor="text1"/>
          <w:lang w:val="en-US"/>
        </w:rPr>
        <w:t>spp</w:t>
      </w:r>
      <w:r w:rsidR="00975926" w:rsidRPr="00DA4708">
        <w:rPr>
          <w:i/>
          <w:color w:val="000000" w:themeColor="text1"/>
          <w:lang w:val="en-US"/>
        </w:rPr>
        <w:t>.</w:t>
      </w:r>
      <w:r w:rsidR="00975926" w:rsidRPr="00DA4708">
        <w:rPr>
          <w:color w:val="000000" w:themeColor="text1"/>
          <w:lang w:val="en-US"/>
        </w:rPr>
        <w:t xml:space="preserve">) </w:t>
      </w:r>
      <w:r w:rsidR="00692C2E" w:rsidRPr="00DA4708">
        <w:rPr>
          <w:color w:val="000000" w:themeColor="text1"/>
          <w:lang w:val="en-US"/>
        </w:rPr>
        <w:t>and</w:t>
      </w:r>
      <w:r w:rsidR="00433DF6" w:rsidRPr="00DA4708">
        <w:rPr>
          <w:color w:val="000000" w:themeColor="text1"/>
          <w:lang w:val="en-US"/>
        </w:rPr>
        <w:t xml:space="preserve"> the</w:t>
      </w:r>
      <w:r w:rsidR="00692C2E" w:rsidRPr="00DA4708">
        <w:rPr>
          <w:color w:val="000000" w:themeColor="text1"/>
          <w:lang w:val="en-US"/>
        </w:rPr>
        <w:t xml:space="preserve"> </w:t>
      </w:r>
      <w:r w:rsidR="00433DF6" w:rsidRPr="00DA4708">
        <w:rPr>
          <w:color w:val="000000" w:themeColor="text1"/>
          <w:lang w:val="en-US"/>
        </w:rPr>
        <w:t xml:space="preserve">African </w:t>
      </w:r>
      <w:r w:rsidR="00692C2E" w:rsidRPr="00DA4708">
        <w:rPr>
          <w:color w:val="000000" w:themeColor="text1"/>
          <w:lang w:val="en-US"/>
        </w:rPr>
        <w:t xml:space="preserve">buffalo </w:t>
      </w:r>
      <w:r w:rsidR="00975926" w:rsidRPr="00DA4708">
        <w:rPr>
          <w:color w:val="000000" w:themeColor="text1"/>
          <w:lang w:val="en-US"/>
        </w:rPr>
        <w:t>(</w:t>
      </w:r>
      <w:r w:rsidR="00975926" w:rsidRPr="00DA4708">
        <w:rPr>
          <w:i/>
          <w:color w:val="000000" w:themeColor="text1"/>
          <w:lang w:val="en-US"/>
        </w:rPr>
        <w:t>Syncerus caffer</w:t>
      </w:r>
      <w:r w:rsidR="00975926" w:rsidRPr="00DA4708">
        <w:rPr>
          <w:color w:val="000000" w:themeColor="text1"/>
          <w:lang w:val="en-US"/>
        </w:rPr>
        <w:t xml:space="preserve">) </w:t>
      </w:r>
      <w:r w:rsidR="00692C2E" w:rsidRPr="00DA4708">
        <w:rPr>
          <w:color w:val="000000" w:themeColor="text1"/>
          <w:lang w:val="en-US"/>
        </w:rPr>
        <w:t xml:space="preserve">are consumed more rarely. In Zimbabwe, </w:t>
      </w:r>
      <w:r w:rsidR="00585E54" w:rsidRPr="00DA4708">
        <w:rPr>
          <w:color w:val="000000" w:themeColor="text1"/>
          <w:lang w:val="en-US"/>
        </w:rPr>
        <w:t xml:space="preserve">plains </w:t>
      </w:r>
      <w:r w:rsidR="00692C2E" w:rsidRPr="00DA4708">
        <w:rPr>
          <w:color w:val="000000" w:themeColor="text1"/>
          <w:lang w:val="en-US"/>
        </w:rPr>
        <w:t>zebra</w:t>
      </w:r>
      <w:r w:rsidR="00585E54" w:rsidRPr="00DA4708">
        <w:rPr>
          <w:color w:val="000000" w:themeColor="text1"/>
        </w:rPr>
        <w:t xml:space="preserve"> (</w:t>
      </w:r>
      <w:r w:rsidR="00585E54" w:rsidRPr="00DA4708">
        <w:rPr>
          <w:i/>
          <w:color w:val="000000" w:themeColor="text1"/>
          <w:lang w:val="en-US"/>
        </w:rPr>
        <w:t>Equus quagga</w:t>
      </w:r>
      <w:r w:rsidR="00585E54" w:rsidRPr="00DA4708">
        <w:rPr>
          <w:color w:val="000000" w:themeColor="text1"/>
          <w:lang w:val="en-US"/>
        </w:rPr>
        <w:t>)</w:t>
      </w:r>
      <w:r w:rsidR="00692C2E" w:rsidRPr="00DA4708">
        <w:rPr>
          <w:color w:val="000000" w:themeColor="text1"/>
          <w:lang w:val="en-US"/>
        </w:rPr>
        <w:t>, impala</w:t>
      </w:r>
      <w:r w:rsidR="00585E54" w:rsidRPr="00DA4708">
        <w:rPr>
          <w:color w:val="000000" w:themeColor="text1"/>
        </w:rPr>
        <w:t xml:space="preserve"> (</w:t>
      </w:r>
      <w:r w:rsidR="00585E54" w:rsidRPr="00DA4708">
        <w:rPr>
          <w:i/>
          <w:color w:val="000000" w:themeColor="text1"/>
          <w:lang w:val="en-US"/>
        </w:rPr>
        <w:t>Aepyceros melampus</w:t>
      </w:r>
      <w:r w:rsidR="00585E54" w:rsidRPr="00DA4708">
        <w:rPr>
          <w:color w:val="000000" w:themeColor="text1"/>
          <w:lang w:val="en-US"/>
        </w:rPr>
        <w:t>)</w:t>
      </w:r>
      <w:r w:rsidR="00692C2E" w:rsidRPr="00DA4708">
        <w:rPr>
          <w:color w:val="000000" w:themeColor="text1"/>
          <w:lang w:val="en-US"/>
        </w:rPr>
        <w:t xml:space="preserve"> </w:t>
      </w:r>
      <w:r w:rsidR="00433DF6" w:rsidRPr="00DA4708">
        <w:rPr>
          <w:color w:val="000000" w:themeColor="text1"/>
          <w:lang w:val="en-US"/>
        </w:rPr>
        <w:t xml:space="preserve">and </w:t>
      </w:r>
      <w:r w:rsidR="00585E54" w:rsidRPr="00DA4708">
        <w:rPr>
          <w:color w:val="000000" w:themeColor="text1"/>
          <w:lang w:val="en-US"/>
        </w:rPr>
        <w:t xml:space="preserve">blue </w:t>
      </w:r>
      <w:r w:rsidR="00692C2E" w:rsidRPr="00DA4708">
        <w:rPr>
          <w:color w:val="000000" w:themeColor="text1"/>
          <w:lang w:val="en-US"/>
        </w:rPr>
        <w:t xml:space="preserve">wildebeest </w:t>
      </w:r>
      <w:r w:rsidR="00585E54" w:rsidRPr="00DA4708">
        <w:rPr>
          <w:color w:val="000000" w:themeColor="text1"/>
          <w:lang w:val="en-US"/>
        </w:rPr>
        <w:t>(</w:t>
      </w:r>
      <w:r w:rsidR="00585E54" w:rsidRPr="00DA4708">
        <w:rPr>
          <w:i/>
          <w:color w:val="000000" w:themeColor="text1"/>
          <w:lang w:val="en-US"/>
        </w:rPr>
        <w:t>Connochaetes taurinus</w:t>
      </w:r>
      <w:r w:rsidR="00585E54" w:rsidRPr="00DA4708">
        <w:rPr>
          <w:color w:val="000000" w:themeColor="text1"/>
          <w:lang w:val="en-US"/>
        </w:rPr>
        <w:t xml:space="preserve">) </w:t>
      </w:r>
      <w:r w:rsidR="00692C2E" w:rsidRPr="00DA4708">
        <w:rPr>
          <w:color w:val="000000" w:themeColor="text1"/>
          <w:lang w:val="en-US"/>
        </w:rPr>
        <w:t>are the most hunted species in terms of biomass</w:t>
      </w:r>
      <w:r w:rsidR="00960EBB">
        <w:rPr>
          <w:color w:val="000000" w:themeColor="text1"/>
          <w:lang w:val="en-US"/>
        </w:rPr>
        <w:t xml:space="preserve"> </w:t>
      </w:r>
      <w:r w:rsidR="00960EBB">
        <w:rPr>
          <w:color w:val="000000" w:themeColor="text1"/>
          <w:lang w:val="en-US"/>
        </w:rPr>
        <w:fldChar w:fldCharType="begin" w:fldLock="1"/>
      </w:r>
      <w:r w:rsidR="00960EBB">
        <w:rPr>
          <w:color w:val="000000" w:themeColor="text1"/>
          <w:lang w:val="en-US"/>
        </w:rPr>
        <w:instrText>ADDIN CSL_CITATION {"citationItems":[{"id":"ITEM-1","itemData":{"DOI":"10.1017/S0030605310001274","ISBN":"0030-6053\\r1365-3008","ISSN":"0030-6053","abstract":"The prevalence and impacts of the illegal trade in bushmeat are under appreciated in Southern Africa, de- spite indications that it constitutes a serious conservation threat in parts of the region. Bushmeat trade has emerged as a severe threat to wildlife conservation and the viability of wildlife-based land uses in Zimbabwe during a period of political instability and severe economic decline. We conducted a study around Save ´ Valley Conservancy in the South-East Lowveld of Zimbabwe to investigate the dynamics and underlying causes of the bushmeat trade, with the objective of developing solutions. We found that bushmeat hunting is conducted mainly by unemployed young men to generate cash income, used mostly to purchase food. Bushmeat is mainly sold to people with cash incomes in adjacent communal lands and population centres and is popular by virtue of its affordability and availability. Key drivers of the bushmeat trade in the South-East Lowveld include: poverty, unemployment and food shortages, settlement of wildlife areas by impover- ished communities that provided open access to wildlife resources, failure to provide stakes for communities in wildlife-based land uses, absence of affordable protein sources other than illegally sourced bushmeat, inadequate investment in anti-poaching in areas remaining under wildlife management, and weak penal systems that do not provide sufficient deterrents to illegal bushmeat hunt- ers. Each of these underlying causes needs to be addressed for the bushmeat trade to be tackled effectively. However, in the absence of political and economic stability, control- ling illegal bushmeat hunting will remain extremely diffi- cult and the future of wildlife-based land uses will remain bleak. P.","author":[{"dropping-particle":"","family":"Lindsey","given":"P. A.","non-dropping-particle":"","parse-names":false,"suffix":""},{"dropping-particle":"","family":"Romañach","given":"S.S.","non-dropping-particle":"","parse-names":false,"suffix":""},{"dropping-particle":"","family":"Matema","given":"S.","non-dropping-particle":"","parse-names":false,"suffix":""},{"dropping-particle":"","family":"Matema","given":"C.","non-dropping-particle":"","parse-names":false,"suffix":""},{"dropping-particle":"","family":"Mupamhadzi","given":"I.","non-dropping-particle":"","parse-names":false,"suffix":""},{"dropping-particle":"","family":"Muvengwi","given":"J.","non-dropping-particle":"","parse-names":false,"suffix":""}],"container-title":"Oryx","id":"ITEM-1","issue":"01","issued":{"date-parts":[["2011"]]},"page":"84-95","title":"Dynamics and underlying causes of illegal bushmeat trade in Zimbabwe","type":"article-journal","volume":"45"},"uris":["http://www.mendeley.com/documents/?uuid=dae9e01b-08b9-434b-85ba-f54dd0b3c141"]}],"mendeley":{"formattedCitation":"(Lindsey et al. 2011a)","plainTextFormattedCitation":"(Lindsey et al. 2011a)","previouslyFormattedCitation":"(Lindsey et al. 2011a)"},"properties":{"noteIndex":0},"schema":"https://github.com/citation-style-language/schema/raw/master/csl-citation.json"}</w:instrText>
      </w:r>
      <w:r w:rsidR="00960EBB">
        <w:rPr>
          <w:color w:val="000000" w:themeColor="text1"/>
          <w:lang w:val="en-US"/>
        </w:rPr>
        <w:fldChar w:fldCharType="separate"/>
      </w:r>
      <w:r w:rsidR="00960EBB" w:rsidRPr="00960EBB">
        <w:rPr>
          <w:noProof/>
          <w:color w:val="000000" w:themeColor="text1"/>
          <w:lang w:val="en-US"/>
        </w:rPr>
        <w:t>(Lindsey et al. 2011a)</w:t>
      </w:r>
      <w:r w:rsidR="00960EBB">
        <w:rPr>
          <w:color w:val="000000" w:themeColor="text1"/>
          <w:lang w:val="en-US"/>
        </w:rPr>
        <w:fldChar w:fldCharType="end"/>
      </w:r>
      <w:r w:rsidR="00692C2E" w:rsidRPr="00DA4708">
        <w:rPr>
          <w:color w:val="000000" w:themeColor="text1"/>
          <w:lang w:val="en-US"/>
        </w:rPr>
        <w:t xml:space="preserve">. </w:t>
      </w:r>
    </w:p>
    <w:p w14:paraId="4906148E" w14:textId="7DAB8277" w:rsidR="004E712C" w:rsidRDefault="004E712C" w:rsidP="00C258BC">
      <w:pPr>
        <w:jc w:val="both"/>
        <w:rPr>
          <w:color w:val="000000" w:themeColor="text1"/>
        </w:rPr>
      </w:pPr>
    </w:p>
    <w:p w14:paraId="42C3A2FA" w14:textId="665020C4" w:rsidR="000C5673" w:rsidRPr="000C5673" w:rsidRDefault="000C5673" w:rsidP="000C5673">
      <w:pPr>
        <w:jc w:val="center"/>
        <w:rPr>
          <w:b/>
          <w:color w:val="000000" w:themeColor="text1"/>
        </w:rPr>
      </w:pPr>
      <w:r w:rsidRPr="000C5673">
        <w:rPr>
          <w:b/>
          <w:color w:val="000000" w:themeColor="text1"/>
        </w:rPr>
        <w:t>FIGURE 1 AROUND HERE</w:t>
      </w:r>
    </w:p>
    <w:p w14:paraId="498FB867" w14:textId="3F671D70" w:rsidR="00CD18AD" w:rsidRDefault="00EE5F3C" w:rsidP="00C258BC">
      <w:pPr>
        <w:jc w:val="both"/>
        <w:rPr>
          <w:color w:val="000000" w:themeColor="text1"/>
        </w:rPr>
      </w:pPr>
      <w:r w:rsidRPr="009742FE">
        <w:rPr>
          <w:noProof/>
          <w:lang w:val="en-US"/>
        </w:rPr>
        <w:lastRenderedPageBreak/>
        <w:drawing>
          <wp:inline distT="0" distB="0" distL="0" distR="0" wp14:anchorId="71E1351D" wp14:editId="6A1DAA08">
            <wp:extent cx="4456253" cy="281070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456253" cy="2810709"/>
                    </a:xfrm>
                    <a:prstGeom prst="rect">
                      <a:avLst/>
                    </a:prstGeom>
                  </pic:spPr>
                </pic:pic>
              </a:graphicData>
            </a:graphic>
          </wp:inline>
        </w:drawing>
      </w:r>
    </w:p>
    <w:p w14:paraId="233669CD" w14:textId="1D1F8E79" w:rsidR="00EE5F3C" w:rsidRPr="00DA4708" w:rsidRDefault="005B509E" w:rsidP="00DA4708">
      <w:pPr>
        <w:pStyle w:val="Caption"/>
        <w:jc w:val="both"/>
        <w:rPr>
          <w:color w:val="000000" w:themeColor="text1"/>
          <w:lang w:val="en-GB"/>
        </w:rPr>
      </w:pPr>
      <w:bookmarkStart w:id="44" w:name="_Ref520280226"/>
      <w:r w:rsidRPr="00785A38">
        <w:rPr>
          <w:lang w:val="en-GB"/>
        </w:rPr>
        <w:t xml:space="preserve">Figure </w:t>
      </w:r>
      <w:r w:rsidRPr="00785A38">
        <w:rPr>
          <w:lang w:val="en-GB"/>
        </w:rPr>
        <w:fldChar w:fldCharType="begin"/>
      </w:r>
      <w:r w:rsidRPr="00785A38">
        <w:rPr>
          <w:lang w:val="en-GB"/>
        </w:rPr>
        <w:instrText xml:space="preserve"> SEQ Figure \* ARABIC </w:instrText>
      </w:r>
      <w:r w:rsidRPr="00785A38">
        <w:rPr>
          <w:lang w:val="en-GB"/>
        </w:rPr>
        <w:fldChar w:fldCharType="separate"/>
      </w:r>
      <w:r w:rsidR="004873F0">
        <w:rPr>
          <w:noProof/>
          <w:lang w:val="en-GB"/>
        </w:rPr>
        <w:t>1</w:t>
      </w:r>
      <w:r w:rsidRPr="00785A38">
        <w:rPr>
          <w:lang w:val="en-GB"/>
        </w:rPr>
        <w:fldChar w:fldCharType="end"/>
      </w:r>
      <w:bookmarkEnd w:id="43"/>
      <w:bookmarkEnd w:id="44"/>
      <w:r w:rsidRPr="00785A38">
        <w:rPr>
          <w:color w:val="000000" w:themeColor="text1"/>
          <w:lang w:val="en-GB"/>
        </w:rPr>
        <w:t xml:space="preserve">: The </w:t>
      </w:r>
      <w:r w:rsidR="00DC7F1B">
        <w:rPr>
          <w:color w:val="000000" w:themeColor="text1"/>
          <w:lang w:val="en-GB"/>
        </w:rPr>
        <w:t xml:space="preserve">20 </w:t>
      </w:r>
      <w:r w:rsidRPr="00785A38">
        <w:rPr>
          <w:color w:val="000000" w:themeColor="text1"/>
          <w:lang w:val="en-GB"/>
        </w:rPr>
        <w:t xml:space="preserve">most frequently </w:t>
      </w:r>
      <w:r w:rsidRPr="0043640D">
        <w:rPr>
          <w:color w:val="000000" w:themeColor="text1"/>
          <w:lang w:val="en-GB"/>
        </w:rPr>
        <w:t>hunted</w:t>
      </w:r>
      <w:r w:rsidR="00CD18AD" w:rsidRPr="0043640D">
        <w:rPr>
          <w:color w:val="000000" w:themeColor="text1"/>
          <w:lang w:val="en-GB"/>
        </w:rPr>
        <w:t xml:space="preserve"> </w:t>
      </w:r>
      <w:r w:rsidR="00DC7F1B" w:rsidRPr="0043640D">
        <w:rPr>
          <w:color w:val="000000" w:themeColor="text1"/>
          <w:lang w:val="en-GB"/>
        </w:rPr>
        <w:t>terrestrial vertebrates</w:t>
      </w:r>
      <w:r w:rsidRPr="0043640D">
        <w:rPr>
          <w:color w:val="000000" w:themeColor="text1"/>
          <w:lang w:val="en-GB"/>
        </w:rPr>
        <w:t xml:space="preserve"> (in terms of </w:t>
      </w:r>
      <w:r w:rsidR="00197738" w:rsidRPr="0043640D">
        <w:rPr>
          <w:color w:val="000000" w:themeColor="text1"/>
          <w:lang w:val="en-GB"/>
        </w:rPr>
        <w:t>number</w:t>
      </w:r>
      <w:r w:rsidRPr="0043640D">
        <w:rPr>
          <w:color w:val="000000" w:themeColor="text1"/>
          <w:lang w:val="en-GB"/>
        </w:rPr>
        <w:t>) in Central Africa</w:t>
      </w:r>
      <w:r w:rsidR="00CD18AD" w:rsidRPr="0043640D">
        <w:rPr>
          <w:color w:val="000000" w:themeColor="text1"/>
          <w:lang w:val="en-GB"/>
        </w:rPr>
        <w:t xml:space="preserve">. </w:t>
      </w:r>
      <w:r w:rsidR="00DC7F1B" w:rsidRPr="0043640D">
        <w:rPr>
          <w:color w:val="000000" w:themeColor="text1"/>
          <w:lang w:val="en-GB"/>
        </w:rPr>
        <w:t>Created</w:t>
      </w:r>
      <w:r w:rsidR="00CD18AD" w:rsidRPr="0043640D">
        <w:rPr>
          <w:color w:val="000000" w:themeColor="text1"/>
          <w:lang w:val="en-GB"/>
        </w:rPr>
        <w:t xml:space="preserve"> fro</w:t>
      </w:r>
      <w:r w:rsidR="000C3CE3" w:rsidRPr="0043640D">
        <w:rPr>
          <w:color w:val="000000" w:themeColor="text1"/>
          <w:lang w:val="en-GB"/>
        </w:rPr>
        <w:t xml:space="preserve">m supplementary data from </w:t>
      </w:r>
      <w:r w:rsidR="0043640D" w:rsidRPr="0043640D">
        <w:rPr>
          <w:noProof/>
          <w:color w:val="000000" w:themeColor="text1"/>
          <w:lang w:val="en-GB"/>
        </w:rPr>
        <w:t xml:space="preserve">Abernethy et al. </w:t>
      </w:r>
      <w:r w:rsidR="0043640D" w:rsidRPr="0043640D">
        <w:rPr>
          <w:color w:val="000000" w:themeColor="text1"/>
          <w:lang w:val="en-GB"/>
        </w:rPr>
        <w:fldChar w:fldCharType="begin" w:fldLock="1"/>
      </w:r>
      <w:r w:rsidR="00B2630D">
        <w:rPr>
          <w:color w:val="000000" w:themeColor="text1"/>
          <w:lang w:val="en-GB"/>
        </w:rPr>
        <w:instrText>ADDIN CSL_CITATION {"citationItems":[{"id":"ITEM-1","itemData":{"DOI":"10.1098/rstb.2012.0303","ISBN":"1471-2970 (Electronic)\\n0962-8436 (Linking)","ISSN":"1471-2970","PMID":"23878333","abstract":"Humans have hunted wildlife in Central Africa for millennia. Today, however, many species are being rapidly extirpated and sanctuaries for wildlife are dwindling. Almost all Central Africa's forests are now accessible to hunters. Drastic declines of large mammals have been caused in the past 20 years by the commercial trade for meat or ivory. We review a growing body of empirical data which shows that trophic webs are significantly disrupted in the region, with knock-on effects for other ecological functions, including seed dispersal and forest regeneration. Plausible scenarios for land-use change indicate that increasing extraction pressure on Central African forests is likely to usher in new worker populations and to intensify the hunting impacts and trophic cascade disruption already in progress, unless serious efforts are made for hunting regulation. The profound ecological changes initiated by hunting will not mitigate and may even exacerbate the predicted effects of climate change for the region. We hypothesize that, in the near future, the trophic changes brought about by hunting will have a larger and more rapid impact on Central African rainforest structure and function than the direct impacts of climate change on the vegetation. Immediate hunting regulation is vital for the survival of the Central African rainforest ecosystem.","author":[{"dropping-particle":"","family":"Abernethy","given":"K.A.","non-dropping-particle":"","parse-names":false,"suffix":""},{"dropping-particle":"","family":"Coad","given":"L.","non-dropping-particle":"","parse-names":false,"suffix":""},{"dropping-particle":"","family":"Taylor","given":"G.","non-dropping-particle":"","parse-names":false,"suffix":""},{"dropping-particle":"","family":"Lee","given":"M E","non-dropping-particle":"","parse-names":false,"suffix":""},{"dropping-particle":"","family":"Maisels","given":"F.","non-dropping-particle":"","parse-names":false,"suffix":""}],"container-title":"Philosophical transactions of the Royal Society of London. Series B, Biological sciences","id":"ITEM-1","issued":{"date-parts":[["2013"]]},"page":"20120303","title":"Extent and ecological consequences of hunting in Central African rainforests in the twenty-first century.","type":"article-journal","volume":"368"},"uris":["http://www.mendeley.com/documents/?uuid=18796464-9ea5-47fb-afcb-938cbd1dcd95"]}],"mendeley":{"formattedCitation":"(Abernethy et al. 2013b)","manualFormatting":"(2013b)","plainTextFormattedCitation":"(Abernethy et al. 2013b)","previouslyFormattedCitation":"(Abernethy et al. 2013b)"},"properties":{"noteIndex":0},"schema":"https://github.com/citation-style-language/schema/raw/master/csl-citation.json"}</w:instrText>
      </w:r>
      <w:r w:rsidR="0043640D" w:rsidRPr="0043640D">
        <w:rPr>
          <w:color w:val="000000" w:themeColor="text1"/>
          <w:lang w:val="en-GB"/>
        </w:rPr>
        <w:fldChar w:fldCharType="separate"/>
      </w:r>
      <w:r w:rsidR="0043640D" w:rsidRPr="0043640D">
        <w:rPr>
          <w:noProof/>
          <w:color w:val="000000" w:themeColor="text1"/>
          <w:lang w:val="en-GB"/>
        </w:rPr>
        <w:t>(2013b)</w:t>
      </w:r>
      <w:r w:rsidR="0043640D" w:rsidRPr="0043640D">
        <w:rPr>
          <w:color w:val="000000" w:themeColor="text1"/>
          <w:lang w:val="en-GB"/>
        </w:rPr>
        <w:fldChar w:fldCharType="end"/>
      </w:r>
      <w:r w:rsidR="00726FA0">
        <w:rPr>
          <w:color w:val="000000" w:themeColor="text1"/>
          <w:lang w:val="en-GB"/>
        </w:rPr>
        <w:t>.</w:t>
      </w:r>
      <w:r w:rsidR="0043640D" w:rsidRPr="0043640D">
        <w:rPr>
          <w:color w:val="000000" w:themeColor="text1"/>
          <w:lang w:val="en-GB"/>
        </w:rPr>
        <w:t xml:space="preserve"> </w:t>
      </w:r>
      <w:r w:rsidR="00CD18AD" w:rsidRPr="0043640D">
        <w:rPr>
          <w:color w:val="000000" w:themeColor="text1"/>
          <w:lang w:val="en-GB"/>
        </w:rPr>
        <w:t>Hunting offtake data from 16 studies, covering 28 sites in Central Africa</w:t>
      </w:r>
    </w:p>
    <w:p w14:paraId="11A473A9" w14:textId="77777777" w:rsidR="002656D6" w:rsidRDefault="002656D6" w:rsidP="00C258BC">
      <w:pPr>
        <w:spacing w:after="0"/>
        <w:jc w:val="both"/>
        <w:rPr>
          <w:color w:val="000000" w:themeColor="text1"/>
        </w:rPr>
      </w:pPr>
    </w:p>
    <w:p w14:paraId="49415FC6" w14:textId="105BFA48" w:rsidR="00692C2E" w:rsidRPr="00DA4708" w:rsidRDefault="00C63397" w:rsidP="00C258BC">
      <w:pPr>
        <w:spacing w:after="0"/>
        <w:jc w:val="both"/>
        <w:rPr>
          <w:color w:val="000000" w:themeColor="text1"/>
        </w:rPr>
      </w:pPr>
      <w:r>
        <w:rPr>
          <w:color w:val="000000" w:themeColor="text1"/>
        </w:rPr>
        <w:t>A</w:t>
      </w:r>
      <w:r w:rsidR="00F25A80" w:rsidRPr="00DA4708">
        <w:rPr>
          <w:color w:val="000000" w:themeColor="text1"/>
        </w:rPr>
        <w:t xml:space="preserve"> variety of vertebrates are hunted or gathered i</w:t>
      </w:r>
      <w:r w:rsidR="007C3A14" w:rsidRPr="00DA4708">
        <w:rPr>
          <w:color w:val="000000" w:themeColor="text1"/>
        </w:rPr>
        <w:t>n Central America and Amazonia</w:t>
      </w:r>
      <w:r w:rsidR="00101CD0" w:rsidRPr="00DA4708">
        <w:rPr>
          <w:color w:val="000000" w:themeColor="text1"/>
        </w:rPr>
        <w:t xml:space="preserve"> </w:t>
      </w:r>
      <w:r w:rsidR="00F71768">
        <w:rPr>
          <w:color w:val="000000" w:themeColor="text1"/>
        </w:rPr>
        <w:fldChar w:fldCharType="begin" w:fldLock="1"/>
      </w:r>
      <w:r w:rsidR="00B2630D">
        <w:rPr>
          <w:color w:val="000000" w:themeColor="text1"/>
        </w:rPr>
        <w:instrText>ADDIN CSL_CITATION {"citationItems":[{"id":"ITEM-1","itemData":{"DOI":"10.1016/B978-0-12-809913-1.00010-7","author":[{"dropping-particle":"","family":"Alves","given":"Rômulo R.N.","non-dropping-particle":"","parse-names":false,"suffix":""},{"dropping-particle":"","family":"Vliet","given":"Nathalie","non-dropping-particle":"van","parse-names":false,"suffix":""}],"container-title":"Ethnozoology","editor":[{"dropping-particle":"","family":"Alves","given":"Rômulo Romeu Nóbrega","non-dropping-particle":"","parse-names":false,"suffix":""},{"dropping-particle":"","family":"Albuquerque","given":"Ulysses Paulino","non-dropping-particle":"","parse-names":false,"suffix":""}],"id":"ITEM-1","issued":{"date-parts":[["2018"]]},"page":"167-194","publisher":"Elsevier, Oxford, UK","title":"Wild Fauna on the menu","type":"chapter"},"uris":["http://www.mendeley.com/documents/?uuid=649f842d-0315-4aaf-86b8-7b489039e440"]}],"mendeley":{"formattedCitation":"(Alves &amp; van Vliet 2018)","plainTextFormattedCitation":"(Alves &amp; van Vliet 2018)","previouslyFormattedCitation":"(Alves &amp; van Vliet 2018)"},"properties":{"noteIndex":0},"schema":"https://github.com/citation-style-language/schema/raw/master/csl-citation.json"}</w:instrText>
      </w:r>
      <w:r w:rsidR="00F71768">
        <w:rPr>
          <w:color w:val="000000" w:themeColor="text1"/>
        </w:rPr>
        <w:fldChar w:fldCharType="separate"/>
      </w:r>
      <w:r w:rsidR="00184775" w:rsidRPr="00184775">
        <w:rPr>
          <w:noProof/>
          <w:color w:val="000000" w:themeColor="text1"/>
        </w:rPr>
        <w:t>(Alves &amp; van Vliet 2018)</w:t>
      </w:r>
      <w:r w:rsidR="00F71768">
        <w:rPr>
          <w:color w:val="000000" w:themeColor="text1"/>
        </w:rPr>
        <w:fldChar w:fldCharType="end"/>
      </w:r>
      <w:r w:rsidR="00430E45">
        <w:rPr>
          <w:color w:val="000000" w:themeColor="text1"/>
        </w:rPr>
        <w:t>. A</w:t>
      </w:r>
      <w:r w:rsidR="008F48FF">
        <w:rPr>
          <w:color w:val="000000" w:themeColor="text1"/>
        </w:rPr>
        <w:t xml:space="preserve"> meta-analysis of </w:t>
      </w:r>
      <w:r w:rsidR="008F48FF" w:rsidRPr="004904D8">
        <w:rPr>
          <w:color w:val="000000" w:themeColor="text1"/>
        </w:rPr>
        <w:t>78 hunting studies</w:t>
      </w:r>
      <w:r>
        <w:rPr>
          <w:color w:val="000000" w:themeColor="text1"/>
        </w:rPr>
        <w:t>,</w:t>
      </w:r>
      <w:r w:rsidR="008F48FF">
        <w:rPr>
          <w:color w:val="000000" w:themeColor="text1"/>
        </w:rPr>
        <w:t xml:space="preserve"> from sites located in Central America, Amazonia and</w:t>
      </w:r>
      <w:r w:rsidR="008F48FF" w:rsidRPr="00DA4708">
        <w:rPr>
          <w:color w:val="000000" w:themeColor="text1"/>
        </w:rPr>
        <w:t xml:space="preserve"> the Guianan shield</w:t>
      </w:r>
      <w:r>
        <w:rPr>
          <w:color w:val="000000" w:themeColor="text1"/>
        </w:rPr>
        <w:t>,</w:t>
      </w:r>
      <w:r w:rsidR="008F48FF">
        <w:rPr>
          <w:color w:val="000000" w:themeColor="text1"/>
        </w:rPr>
        <w:t xml:space="preserve"> recorded </w:t>
      </w:r>
      <w:r w:rsidR="008F48FF" w:rsidRPr="00DA4708">
        <w:rPr>
          <w:color w:val="000000" w:themeColor="text1"/>
        </w:rPr>
        <w:t xml:space="preserve">a total of 90 </w:t>
      </w:r>
      <w:r>
        <w:rPr>
          <w:color w:val="000000" w:themeColor="text1"/>
        </w:rPr>
        <w:t xml:space="preserve">hunted </w:t>
      </w:r>
      <w:r w:rsidR="008F48FF" w:rsidRPr="00DA4708">
        <w:rPr>
          <w:color w:val="000000" w:themeColor="text1"/>
        </w:rPr>
        <w:t>mammal</w:t>
      </w:r>
      <w:r w:rsidR="008F48FF">
        <w:rPr>
          <w:color w:val="000000" w:themeColor="text1"/>
        </w:rPr>
        <w:t xml:space="preserve"> species </w:t>
      </w:r>
      <w:r w:rsidR="00F71768">
        <w:rPr>
          <w:color w:val="000000" w:themeColor="text1"/>
        </w:rPr>
        <w:fldChar w:fldCharType="begin" w:fldLock="1"/>
      </w:r>
      <w:r w:rsidR="00303311">
        <w:rPr>
          <w:color w:val="000000" w:themeColor="text1"/>
        </w:rPr>
        <w:instrText>ADDIN CSL_CITATION {"citationItems":[{"id":"ITEM-1","itemData":{"DOI":"10.1007/s10531-017-1334-8","ISSN":"1572-9710","author":[{"dropping-particle":"","family":"Stafford","given":"C A","non-dropping-particle":"","parse-names":false,"suffix":""},{"dropping-particle":"","family":"Preziosi","given":"R. F.","non-dropping-particle":"","parse-names":false,"suffix":""},{"dropping-particle":"","family":"Sellers","given":"W. I.","non-dropping-particle":"","parse-names":false,"suffix":""}],"container-title":"Biodiversity and Conservation","id":"ITEM-1","issue":"8","issued":{"date-parts":[["2017"]]},"page":"1877-1897","publisher":"Springer Netherlands","title":"A pan-neotropical analysis of hunting preferences","type":"article-journal","volume":"26"},"uris":["http://www.mendeley.com/documents/?uuid=556d7d03-6474-4f43-9739-1c5ee9054aad"]}],"mendeley":{"formattedCitation":"(Stafford et al. 2017a)","plainTextFormattedCitation":"(Stafford et al. 2017a)","previouslyFormattedCitation":"(Stafford et al. 2017a)"},"properties":{"noteIndex":0},"schema":"https://github.com/citation-style-language/schema/raw/master/csl-citation.json"}</w:instrText>
      </w:r>
      <w:r w:rsidR="00F71768">
        <w:rPr>
          <w:color w:val="000000" w:themeColor="text1"/>
        </w:rPr>
        <w:fldChar w:fldCharType="separate"/>
      </w:r>
      <w:r w:rsidR="00303311" w:rsidRPr="00303311">
        <w:rPr>
          <w:noProof/>
          <w:color w:val="000000" w:themeColor="text1"/>
        </w:rPr>
        <w:t>(Stafford et al. 2017a)</w:t>
      </w:r>
      <w:r w:rsidR="00F71768">
        <w:rPr>
          <w:color w:val="000000" w:themeColor="text1"/>
        </w:rPr>
        <w:fldChar w:fldCharType="end"/>
      </w:r>
      <w:r w:rsidR="00430E45">
        <w:rPr>
          <w:color w:val="000000" w:themeColor="text1"/>
        </w:rPr>
        <w:t>, i</w:t>
      </w:r>
      <w:r w:rsidR="008F48FF">
        <w:rPr>
          <w:color w:val="000000" w:themeColor="text1"/>
        </w:rPr>
        <w:t>nclud</w:t>
      </w:r>
      <w:r w:rsidR="00430E45">
        <w:rPr>
          <w:color w:val="000000" w:themeColor="text1"/>
        </w:rPr>
        <w:t>ing</w:t>
      </w:r>
      <w:r w:rsidR="008F48FF">
        <w:rPr>
          <w:color w:val="000000" w:themeColor="text1"/>
        </w:rPr>
        <w:t xml:space="preserve"> </w:t>
      </w:r>
      <w:r w:rsidR="008F48FF" w:rsidRPr="00DA4708">
        <w:rPr>
          <w:color w:val="000000" w:themeColor="text1"/>
        </w:rPr>
        <w:t>12 primate genera, 6 ungulate genera and 8 rodent genera</w:t>
      </w:r>
      <w:r w:rsidR="008F48FF">
        <w:rPr>
          <w:color w:val="000000" w:themeColor="text1"/>
        </w:rPr>
        <w:t>.</w:t>
      </w:r>
      <w:r w:rsidR="002656D6">
        <w:rPr>
          <w:color w:val="000000" w:themeColor="text1"/>
        </w:rPr>
        <w:t xml:space="preserve"> </w:t>
      </w:r>
      <w:r w:rsidR="002F106A" w:rsidRPr="00DA4708">
        <w:rPr>
          <w:color w:val="000000" w:themeColor="text1"/>
        </w:rPr>
        <w:t xml:space="preserve">Similarly to Africa, </w:t>
      </w:r>
      <w:r w:rsidR="001D0D1E" w:rsidRPr="00DA4708">
        <w:rPr>
          <w:color w:val="000000" w:themeColor="text1"/>
        </w:rPr>
        <w:t>ungulates</w:t>
      </w:r>
      <w:r>
        <w:rPr>
          <w:color w:val="000000" w:themeColor="text1"/>
        </w:rPr>
        <w:t xml:space="preserve"> and rodents</w:t>
      </w:r>
      <w:r w:rsidR="00430E45">
        <w:rPr>
          <w:color w:val="000000" w:themeColor="text1"/>
        </w:rPr>
        <w:t xml:space="preserve"> make up the majority of the wild meat offtake</w:t>
      </w:r>
      <w:r w:rsidR="001D0D1E" w:rsidRPr="00DA4708">
        <w:rPr>
          <w:color w:val="000000" w:themeColor="text1"/>
        </w:rPr>
        <w:t xml:space="preserve"> in neotropical communities. In the Amazon Basin, much of the wild meat offtake</w:t>
      </w:r>
      <w:r w:rsidR="007C3A14" w:rsidRPr="00DA4708">
        <w:rPr>
          <w:color w:val="000000" w:themeColor="text1"/>
        </w:rPr>
        <w:t xml:space="preserve"> </w:t>
      </w:r>
      <w:r>
        <w:rPr>
          <w:color w:val="000000" w:themeColor="text1"/>
        </w:rPr>
        <w:t xml:space="preserve">is </w:t>
      </w:r>
      <w:r w:rsidR="007C3A14" w:rsidRPr="00DA4708">
        <w:rPr>
          <w:color w:val="000000" w:themeColor="text1"/>
        </w:rPr>
        <w:t>comprise</w:t>
      </w:r>
      <w:r>
        <w:rPr>
          <w:color w:val="000000" w:themeColor="text1"/>
        </w:rPr>
        <w:t>d of</w:t>
      </w:r>
      <w:r w:rsidR="007C3A14" w:rsidRPr="00DA4708">
        <w:rPr>
          <w:color w:val="000000" w:themeColor="text1"/>
        </w:rPr>
        <w:t xml:space="preserve"> medium-sized ungulates such as </w:t>
      </w:r>
      <w:r w:rsidR="00433DF6" w:rsidRPr="00DA4708">
        <w:rPr>
          <w:color w:val="000000" w:themeColor="text1"/>
        </w:rPr>
        <w:t>the white-lipped peccary (</w:t>
      </w:r>
      <w:r w:rsidR="00433DF6" w:rsidRPr="00DA4708">
        <w:rPr>
          <w:i/>
          <w:color w:val="000000" w:themeColor="text1"/>
        </w:rPr>
        <w:t>Tayassu peccar</w:t>
      </w:r>
      <w:r w:rsidR="00D47EBC" w:rsidRPr="00DA4708">
        <w:rPr>
          <w:i/>
          <w:color w:val="000000" w:themeColor="text1"/>
        </w:rPr>
        <w:t>i</w:t>
      </w:r>
      <w:r w:rsidR="00433DF6" w:rsidRPr="00DA4708">
        <w:rPr>
          <w:color w:val="000000" w:themeColor="text1"/>
        </w:rPr>
        <w:t>), the collared peccary (</w:t>
      </w:r>
      <w:r w:rsidR="00433DF6" w:rsidRPr="00DA4708">
        <w:rPr>
          <w:i/>
          <w:color w:val="000000" w:themeColor="text1"/>
        </w:rPr>
        <w:t>Pecari tajacu</w:t>
      </w:r>
      <w:r w:rsidR="00433DF6" w:rsidRPr="00DA4708">
        <w:rPr>
          <w:color w:val="000000" w:themeColor="text1"/>
        </w:rPr>
        <w:t>)</w:t>
      </w:r>
      <w:r w:rsidR="007C3A14" w:rsidRPr="00DA4708">
        <w:rPr>
          <w:color w:val="000000" w:themeColor="text1"/>
        </w:rPr>
        <w:t>, white-tailed deer (</w:t>
      </w:r>
      <w:r w:rsidR="007C3A14" w:rsidRPr="00DA4708">
        <w:rPr>
          <w:i/>
          <w:color w:val="000000" w:themeColor="text1"/>
        </w:rPr>
        <w:t xml:space="preserve">Odocoileus </w:t>
      </w:r>
      <w:r w:rsidR="00433DF6" w:rsidRPr="00DA4708">
        <w:rPr>
          <w:i/>
          <w:color w:val="000000" w:themeColor="text1"/>
        </w:rPr>
        <w:t>virginianus</w:t>
      </w:r>
      <w:r w:rsidR="007C3A14" w:rsidRPr="00DA4708">
        <w:rPr>
          <w:color w:val="000000" w:themeColor="text1"/>
        </w:rPr>
        <w:t>)</w:t>
      </w:r>
      <w:r w:rsidR="00831939" w:rsidRPr="00DA4708">
        <w:rPr>
          <w:color w:val="000000" w:themeColor="text1"/>
        </w:rPr>
        <w:t xml:space="preserve">, </w:t>
      </w:r>
      <w:r w:rsidR="001D0D1E" w:rsidRPr="00DA4708">
        <w:rPr>
          <w:color w:val="000000" w:themeColor="text1"/>
        </w:rPr>
        <w:t xml:space="preserve">various </w:t>
      </w:r>
      <w:r w:rsidR="007C3A14" w:rsidRPr="00DA4708">
        <w:rPr>
          <w:color w:val="000000" w:themeColor="text1"/>
        </w:rPr>
        <w:t xml:space="preserve">brocket deer </w:t>
      </w:r>
      <w:r w:rsidR="001D0D1E" w:rsidRPr="00DA4708">
        <w:rPr>
          <w:color w:val="000000" w:themeColor="text1"/>
        </w:rPr>
        <w:t xml:space="preserve">species </w:t>
      </w:r>
      <w:r w:rsidR="007C3A14" w:rsidRPr="00DA4708">
        <w:rPr>
          <w:color w:val="000000" w:themeColor="text1"/>
        </w:rPr>
        <w:t>(</w:t>
      </w:r>
      <w:r w:rsidR="007C3A14" w:rsidRPr="00DA4708">
        <w:rPr>
          <w:i/>
          <w:color w:val="000000" w:themeColor="text1"/>
        </w:rPr>
        <w:t>Mazama</w:t>
      </w:r>
      <w:r w:rsidR="007C3A14" w:rsidRPr="00DA4708">
        <w:rPr>
          <w:color w:val="000000" w:themeColor="text1"/>
        </w:rPr>
        <w:t xml:space="preserve"> spp.), as well as large rodents like the paca (</w:t>
      </w:r>
      <w:r w:rsidR="007C3A14" w:rsidRPr="00DA4708">
        <w:rPr>
          <w:i/>
          <w:color w:val="000000" w:themeColor="text1"/>
        </w:rPr>
        <w:t>Cuniculus</w:t>
      </w:r>
      <w:r w:rsidR="007C3A14" w:rsidRPr="00DA4708">
        <w:rPr>
          <w:color w:val="000000" w:themeColor="text1"/>
        </w:rPr>
        <w:t xml:space="preserve"> </w:t>
      </w:r>
      <w:r w:rsidR="007C3A14" w:rsidRPr="00DA4708">
        <w:rPr>
          <w:i/>
          <w:color w:val="000000" w:themeColor="text1"/>
        </w:rPr>
        <w:t>paca</w:t>
      </w:r>
      <w:r w:rsidR="007C3A14" w:rsidRPr="00DA4708">
        <w:rPr>
          <w:color w:val="000000" w:themeColor="text1"/>
        </w:rPr>
        <w:t>) and agouti</w:t>
      </w:r>
      <w:r w:rsidR="00433DF6" w:rsidRPr="00DA4708">
        <w:rPr>
          <w:color w:val="000000" w:themeColor="text1"/>
        </w:rPr>
        <w:t>s</w:t>
      </w:r>
      <w:r w:rsidR="007C3A14" w:rsidRPr="00DA4708">
        <w:rPr>
          <w:color w:val="000000" w:themeColor="text1"/>
        </w:rPr>
        <w:t xml:space="preserve"> (</w:t>
      </w:r>
      <w:r w:rsidR="007C3A14" w:rsidRPr="00DA4708">
        <w:rPr>
          <w:i/>
          <w:color w:val="000000" w:themeColor="text1"/>
        </w:rPr>
        <w:t>Dasyprocta</w:t>
      </w:r>
      <w:r w:rsidR="007C3A14" w:rsidRPr="00DA4708">
        <w:rPr>
          <w:color w:val="000000" w:themeColor="text1"/>
        </w:rPr>
        <w:t xml:space="preserve"> spp.) </w:t>
      </w:r>
      <w:r w:rsidR="00605B38" w:rsidRPr="00DA4708">
        <w:rPr>
          <w:color w:val="000000" w:themeColor="text1"/>
        </w:rPr>
        <w:fldChar w:fldCharType="begin" w:fldLock="1"/>
      </w:r>
      <w:r w:rsidR="00B2630D">
        <w:rPr>
          <w:color w:val="000000" w:themeColor="text1"/>
        </w:rPr>
        <w:instrText>ADDIN CSL_CITATION {"citationItems":[{"id":"ITEM-1","itemData":{"ISBN":"9780521787338","author":[{"dropping-particle":"","family":"Fa","given":"John E.","non-dropping-particle":"","parse-names":false,"suffix":""},{"dropping-particle":"","family":"Peres","given":"Carlos A.","non-dropping-particle":"","parse-names":false,"suffix":""}],"container-title":"Conservation of Exploited Species.","editor":[{"dropping-particle":"","family":"Reynolds","given":"J. D.","non-dropping-particle":"","parse-names":false,"suffix":""},{"dropping-particle":"","family":"Mace","given":"G. M.","non-dropping-particle":"","parse-names":false,"suffix":""},{"dropping-particle":"","family":"Robinson","given":"J. G.","non-dropping-particle":"","parse-names":false,"suffix":""},{"dropping-particle":"","family":"Redford","given":"K. H.","non-dropping-particle":"","parse-names":false,"suffix":""}],"id":"ITEM-1","issued":{"date-parts":[["2001"]]},"page":"203-241","publisher":"Cambridge University Press, Cambridge, UK","title":"Game vertebrate extraction in African and Neotropical forests: an intercontinental comparison","type":"chapter"},"uris":["http://www.mendeley.com/documents/?uuid=8481025f-7043-4628-ad63-92b5878fa29c"]},{"id":"ITEM-2","itemData":{"DOI":"10.15451/ec2015-1-4.2-1-14","author":[{"dropping-particle":"","family":"Mesquita","given":"Geison Pires","non-dropping-particle":"","parse-names":false,"suffix":""},{"dropping-particle":"","family":"Barreto","given":"Larissa Nascimento","non-dropping-particle":"","parse-names":false,"suffix":""}],"container-title":"Ethnobiology and Conservation","id":"ITEM-2","issue":"2","issued":{"date-parts":[["2015"]]},"title":"Evaluation of mammals hunting in indigenous and rural localities in Eastern Brazilian Amazon","type":"article-journal","volume":"4"},"uris":["http://www.mendeley.com/documents/?uuid=dce37682-8d62-4ee4-9df1-e13e5af33c4f"]},{"id":"ITEM-3","itemData":{"DOI":"10.1007/s10531-017-1334-8","ISSN":"1572-9710","author":[{"dropping-particle":"","family":"Stafford","given":"C A","non-dropping-particle":"","parse-names":false,"suffix":""},{"dropping-particle":"","family":"Preziosi","given":"R. F.","non-dropping-particle":"","parse-names":false,"suffix":""},{"dropping-particle":"","family":"Sellers","given":"W. I.","non-dropping-particle":"","parse-names":false,"suffix":""}],"container-title":"Biodiversity and Conservation","id":"ITEM-3","issue":"8","issued":{"date-parts":[["2017"]]},"page":"1877-1897","publisher":"Springer Netherlands","title":"A pan-neotropical analysis of hunting preferences","type":"article-journal","volume":"26"},"uris":["http://www.mendeley.com/documents/?uuid=556d7d03-6474-4f43-9739-1c5ee9054aad"]}],"mendeley":{"formattedCitation":"(Fa &amp; Peres 2001; Mesquita &amp; Barreto 2015; Stafford et al. 2017a)","manualFormatting":"(Fa and Peres, 2001; Mesquita and Barreto, 2015; Stafford et al., 2017","plainTextFormattedCitation":"(Fa &amp; Peres 2001; Mesquita &amp; Barreto 2015; Stafford et al. 2017a)","previouslyFormattedCitation":"(Fa &amp; Peres 2001; Mesquita &amp; Barreto 2015; Stafford et al. 2017a)"},"properties":{"noteIndex":0},"schema":"https://github.com/citation-style-language/schema/raw/master/csl-citation.json"}</w:instrText>
      </w:r>
      <w:r w:rsidR="00605B38" w:rsidRPr="00DA4708">
        <w:rPr>
          <w:color w:val="000000" w:themeColor="text1"/>
        </w:rPr>
        <w:fldChar w:fldCharType="separate"/>
      </w:r>
      <w:r w:rsidR="00605B38" w:rsidRPr="00DA4708">
        <w:rPr>
          <w:noProof/>
          <w:color w:val="000000" w:themeColor="text1"/>
        </w:rPr>
        <w:t xml:space="preserve">(Fa </w:t>
      </w:r>
      <w:r w:rsidR="00037F04" w:rsidRPr="00DA4708">
        <w:rPr>
          <w:noProof/>
          <w:color w:val="000000" w:themeColor="text1"/>
        </w:rPr>
        <w:t xml:space="preserve">and </w:t>
      </w:r>
      <w:r w:rsidR="00605B38" w:rsidRPr="00DA4708">
        <w:rPr>
          <w:noProof/>
          <w:color w:val="000000" w:themeColor="text1"/>
        </w:rPr>
        <w:t>Peres</w:t>
      </w:r>
      <w:r w:rsidR="00037F04" w:rsidRPr="00DA4708">
        <w:rPr>
          <w:noProof/>
          <w:color w:val="000000" w:themeColor="text1"/>
        </w:rPr>
        <w:t>,</w:t>
      </w:r>
      <w:r w:rsidR="00605B38" w:rsidRPr="00DA4708">
        <w:rPr>
          <w:noProof/>
          <w:color w:val="000000" w:themeColor="text1"/>
        </w:rPr>
        <w:t xml:space="preserve"> 2001; Mesquita </w:t>
      </w:r>
      <w:r w:rsidR="00037F04" w:rsidRPr="00DA4708">
        <w:rPr>
          <w:noProof/>
          <w:color w:val="000000" w:themeColor="text1"/>
        </w:rPr>
        <w:t xml:space="preserve">and </w:t>
      </w:r>
      <w:r w:rsidR="00605B38" w:rsidRPr="00DA4708">
        <w:rPr>
          <w:noProof/>
          <w:color w:val="000000" w:themeColor="text1"/>
        </w:rPr>
        <w:t>Barreto</w:t>
      </w:r>
      <w:r w:rsidR="00037F04" w:rsidRPr="00DA4708">
        <w:rPr>
          <w:noProof/>
          <w:color w:val="000000" w:themeColor="text1"/>
        </w:rPr>
        <w:t>,</w:t>
      </w:r>
      <w:r w:rsidR="00605B38" w:rsidRPr="00DA4708">
        <w:rPr>
          <w:noProof/>
          <w:color w:val="000000" w:themeColor="text1"/>
        </w:rPr>
        <w:t xml:space="preserve"> 2015; Stafford et al.</w:t>
      </w:r>
      <w:r w:rsidR="00037F04" w:rsidRPr="00DA4708">
        <w:rPr>
          <w:noProof/>
          <w:color w:val="000000" w:themeColor="text1"/>
        </w:rPr>
        <w:t>,</w:t>
      </w:r>
      <w:r w:rsidR="00605B38" w:rsidRPr="00DA4708">
        <w:rPr>
          <w:noProof/>
          <w:color w:val="000000" w:themeColor="text1"/>
        </w:rPr>
        <w:t xml:space="preserve"> 2017</w:t>
      </w:r>
      <w:r w:rsidR="00605B38" w:rsidRPr="00DA4708">
        <w:rPr>
          <w:color w:val="000000" w:themeColor="text1"/>
        </w:rPr>
        <w:fldChar w:fldCharType="end"/>
      </w:r>
      <w:r w:rsidR="007C3A14" w:rsidRPr="00DA4708">
        <w:rPr>
          <w:color w:val="000000" w:themeColor="text1"/>
        </w:rPr>
        <w:t xml:space="preserve">; </w:t>
      </w:r>
      <w:r w:rsidR="005B509E" w:rsidRPr="00DA4708">
        <w:rPr>
          <w:color w:val="000000" w:themeColor="text1"/>
        </w:rPr>
        <w:fldChar w:fldCharType="begin"/>
      </w:r>
      <w:r w:rsidR="005B509E" w:rsidRPr="00DA4708">
        <w:rPr>
          <w:color w:val="000000" w:themeColor="text1"/>
        </w:rPr>
        <w:instrText xml:space="preserve"> REF _Ref518905970 \h </w:instrText>
      </w:r>
      <w:r w:rsidR="00DA4708">
        <w:rPr>
          <w:color w:val="000000" w:themeColor="text1"/>
        </w:rPr>
        <w:instrText xml:space="preserve"> \* MERGEFORMAT </w:instrText>
      </w:r>
      <w:r w:rsidR="005B509E" w:rsidRPr="00DA4708">
        <w:rPr>
          <w:color w:val="000000" w:themeColor="text1"/>
        </w:rPr>
      </w:r>
      <w:r w:rsidR="005B509E" w:rsidRPr="00DA4708">
        <w:rPr>
          <w:color w:val="000000" w:themeColor="text1"/>
        </w:rPr>
        <w:fldChar w:fldCharType="separate"/>
      </w:r>
      <w:r w:rsidR="007034F1" w:rsidRPr="007034F1">
        <w:rPr>
          <w:color w:val="000000" w:themeColor="text1"/>
        </w:rPr>
        <w:t xml:space="preserve">Figure </w:t>
      </w:r>
      <w:r w:rsidR="007034F1" w:rsidRPr="007034F1">
        <w:rPr>
          <w:noProof/>
          <w:color w:val="000000" w:themeColor="text1"/>
        </w:rPr>
        <w:t>2</w:t>
      </w:r>
      <w:r w:rsidR="005B509E" w:rsidRPr="00DA4708">
        <w:rPr>
          <w:color w:val="000000" w:themeColor="text1"/>
        </w:rPr>
        <w:fldChar w:fldCharType="end"/>
      </w:r>
      <w:r w:rsidR="007C3A14" w:rsidRPr="00DA4708">
        <w:rPr>
          <w:color w:val="000000" w:themeColor="text1"/>
        </w:rPr>
        <w:t>). The tapir (</w:t>
      </w:r>
      <w:r w:rsidR="00D16CBE" w:rsidRPr="00DA4708">
        <w:rPr>
          <w:color w:val="000000" w:themeColor="text1"/>
        </w:rPr>
        <w:t xml:space="preserve">which includes </w:t>
      </w:r>
      <w:r w:rsidR="007C3A14" w:rsidRPr="00DA4708">
        <w:rPr>
          <w:i/>
          <w:color w:val="000000" w:themeColor="text1"/>
        </w:rPr>
        <w:t>Tapirus</w:t>
      </w:r>
      <w:r w:rsidR="007C3A14" w:rsidRPr="00DA4708">
        <w:rPr>
          <w:color w:val="000000" w:themeColor="text1"/>
        </w:rPr>
        <w:t xml:space="preserve"> </w:t>
      </w:r>
      <w:r w:rsidR="00D16CBE" w:rsidRPr="00DA4708">
        <w:rPr>
          <w:i/>
          <w:color w:val="000000" w:themeColor="text1"/>
        </w:rPr>
        <w:t>terrestris</w:t>
      </w:r>
      <w:r w:rsidR="00D16CBE" w:rsidRPr="00DA4708">
        <w:rPr>
          <w:color w:val="000000" w:themeColor="text1"/>
        </w:rPr>
        <w:t xml:space="preserve"> in lowland South American forests, </w:t>
      </w:r>
      <w:r w:rsidR="00D16CBE" w:rsidRPr="00DA4708">
        <w:rPr>
          <w:i/>
          <w:color w:val="000000" w:themeColor="text1"/>
        </w:rPr>
        <w:t>T. bairdii</w:t>
      </w:r>
      <w:r w:rsidR="00D16CBE" w:rsidRPr="00DA4708">
        <w:rPr>
          <w:color w:val="000000" w:themeColor="text1"/>
        </w:rPr>
        <w:t xml:space="preserve"> in Central America and </w:t>
      </w:r>
      <w:r w:rsidR="00D16CBE" w:rsidRPr="00DA4708">
        <w:rPr>
          <w:i/>
          <w:color w:val="000000" w:themeColor="text1"/>
        </w:rPr>
        <w:t>T. pinchaque</w:t>
      </w:r>
      <w:r w:rsidR="00D16CBE" w:rsidRPr="00DA4708">
        <w:rPr>
          <w:color w:val="000000" w:themeColor="text1"/>
        </w:rPr>
        <w:t xml:space="preserve"> in Andean forests</w:t>
      </w:r>
      <w:r w:rsidR="007C3A14" w:rsidRPr="00DA4708">
        <w:rPr>
          <w:color w:val="000000" w:themeColor="text1"/>
        </w:rPr>
        <w:t xml:space="preserve">), </w:t>
      </w:r>
      <w:r w:rsidR="00D16CBE" w:rsidRPr="00DA4708">
        <w:rPr>
          <w:color w:val="000000" w:themeColor="text1"/>
        </w:rPr>
        <w:t xml:space="preserve">is </w:t>
      </w:r>
      <w:r w:rsidR="007C3A14" w:rsidRPr="00DA4708">
        <w:rPr>
          <w:color w:val="000000" w:themeColor="text1"/>
        </w:rPr>
        <w:t>the largest mammal in South American forests (</w:t>
      </w:r>
      <w:r w:rsidR="007C3A14" w:rsidRPr="00DA4708">
        <w:rPr>
          <w:i/>
          <w:color w:val="000000" w:themeColor="text1"/>
        </w:rPr>
        <w:t>ca</w:t>
      </w:r>
      <w:r w:rsidR="007C3A14" w:rsidRPr="00DA4708">
        <w:rPr>
          <w:color w:val="000000" w:themeColor="text1"/>
        </w:rPr>
        <w:t xml:space="preserve">. 200 kg), </w:t>
      </w:r>
      <w:r w:rsidR="008F48FF">
        <w:rPr>
          <w:color w:val="000000" w:themeColor="text1"/>
        </w:rPr>
        <w:t>and a</w:t>
      </w:r>
      <w:r w:rsidR="007C3A14" w:rsidRPr="00DA4708">
        <w:rPr>
          <w:color w:val="000000" w:themeColor="text1"/>
        </w:rPr>
        <w:t xml:space="preserve"> sought-after prey species </w:t>
      </w:r>
      <w:r w:rsidR="00443602" w:rsidRPr="00DA4708">
        <w:rPr>
          <w:color w:val="000000" w:themeColor="text1"/>
        </w:rPr>
        <w:fldChar w:fldCharType="begin" w:fldLock="1"/>
      </w:r>
      <w:r w:rsidR="00D72B40">
        <w:rPr>
          <w:color w:val="000000" w:themeColor="text1"/>
        </w:rPr>
        <w:instrText>ADDIN CSL_CITATION {"citationItems":[{"id":"ITEM-1","itemData":{"author":[{"dropping-particle":"","family":"Nasi","given":"R","non-dropping-particle":"","parse-names":false,"suffix":""},{"dropping-particle":"","family":"Taber","given":"A","non-dropping-particle":"","parse-names":false,"suffix":""},{"dropping-particle":"","family":"Vliet","given":"N","non-dropping-particle":"van","parse-names":false,"suffix":""}],"container-title":"International Forestry Review","id":"ITEM-1","issue":"3","issued":{"date-parts":[["2011"]]},"page":"355-368","title":"Empty forests, empty stomachs? Bushmeat and livelihoods in the Congo and Amazon Basins","type":"article-journal","volume":"13"},"uris":["http://www.mendeley.com/documents/?uuid=975db7a7-3da0-44cf-9a13-3605f762558f"]},{"id":"ITEM-2","itemData":{"DOI":"10.1111/j.1469-1795.2009.00262.x","author":[{"dropping-particle":"","family":"Suárez","given":"E","non-dropping-particle":"","parse-names":false,"suffix":""},{"dropping-particle":"","family":"Morales","given":"M","non-dropping-particle":"","parse-names":false,"suffix":""},{"dropping-particle":"","family":"Cueva","given":"R","non-dropping-particle":"","parse-names":false,"suffix":""},{"dropping-particle":"","family":"Bucheli","given":"V Utreras","non-dropping-particle":"","parse-names":false,"suffix":""},{"dropping-particle":"","family":"Toral","given":"E","non-dropping-particle":"","parse-names":false,"suffix":""},{"dropping-particle":"","family":"Torres","given":"J","non-dropping-particle":"","parse-names":false,"suffix":""},{"dropping-particle":"","family":"Prado","given":"W","non-dropping-particle":"","parse-names":false,"suffix":""},{"dropping-particle":"","family":"Olalla","given":"J Vargas","non-dropping-particle":"","parse-names":false,"suffix":""}],"container-title":"Animal Conservation","id":"ITEM-2","issued":{"date-parts":[["2009"]]},"page":"364-373","title":"Oil industry, wild meat trade and roads: indirect effects of oil extraction activities in a protected area in north-east Ecuador","type":"article-journal","volume":"12"},"uris":["http://www.mendeley.com/documents/?uuid=576e3ebf-103c-46b2-b91d-2734e10c2911"]},{"id":"ITEM-3","itemData":{"author":[{"dropping-particle":"","family":"Jerozolimski","given":"Adriano","non-dropping-particle":"","parse-names":false,"suffix":""},{"dropping-particle":"","family":"Peres","given":"Carlos A","non-dropping-particle":"","parse-names":false,"suffix":""}],"container-title":"Biological Conservation","id":"ITEM-3","issued":{"date-parts":[["2003"]]},"page":"415-425","title":"Bringing home the biggest bacon: a cross-site analysis of the structure of hunter-kill profiles in Neotropical forests","type":"article-journal","volume":"111"},"uris":["http://www.mendeley.com/documents/?uuid=6bf3a22a-7b0e-4dfb-be28-6ec52b7815da"]}],"mendeley":{"formattedCitation":"(Jerozolimski &amp; Peres 2003; Suárez et al. 2009; Nasi et al. 2011)","manualFormatting":"(Jerozolimski and Peres, 2003; Suárez et al., 2009; Nasi et al., 2011)","plainTextFormattedCitation":"(Jerozolimski &amp; Peres 2003; Suárez et al. 2009; Nasi et al. 2011)","previouslyFormattedCitation":"(Jerozolimski &amp; Peres 2003; Suárez et al. 2009; Nasi et al. 2011)"},"properties":{"noteIndex":0},"schema":"https://github.com/citation-style-language/schema/raw/master/csl-citation.json"}</w:instrText>
      </w:r>
      <w:r w:rsidR="00443602" w:rsidRPr="00DA4708">
        <w:rPr>
          <w:color w:val="000000" w:themeColor="text1"/>
        </w:rPr>
        <w:fldChar w:fldCharType="separate"/>
      </w:r>
      <w:r w:rsidR="00443602" w:rsidRPr="00DA4708">
        <w:rPr>
          <w:noProof/>
          <w:color w:val="000000" w:themeColor="text1"/>
        </w:rPr>
        <w:t xml:space="preserve">(Jerozolimski </w:t>
      </w:r>
      <w:r w:rsidR="00037F04" w:rsidRPr="00DA4708">
        <w:rPr>
          <w:noProof/>
          <w:color w:val="000000" w:themeColor="text1"/>
        </w:rPr>
        <w:t xml:space="preserve">and </w:t>
      </w:r>
      <w:r w:rsidR="00443602" w:rsidRPr="00DA4708">
        <w:rPr>
          <w:noProof/>
          <w:color w:val="000000" w:themeColor="text1"/>
        </w:rPr>
        <w:t>Peres</w:t>
      </w:r>
      <w:r w:rsidR="00037F04" w:rsidRPr="00DA4708">
        <w:rPr>
          <w:noProof/>
          <w:color w:val="000000" w:themeColor="text1"/>
        </w:rPr>
        <w:t>,</w:t>
      </w:r>
      <w:r w:rsidR="00443602" w:rsidRPr="00DA4708">
        <w:rPr>
          <w:noProof/>
          <w:color w:val="000000" w:themeColor="text1"/>
        </w:rPr>
        <w:t xml:space="preserve"> 2003; Suárez et al.</w:t>
      </w:r>
      <w:r w:rsidR="00037F04" w:rsidRPr="00DA4708">
        <w:rPr>
          <w:noProof/>
          <w:color w:val="000000" w:themeColor="text1"/>
        </w:rPr>
        <w:t>,</w:t>
      </w:r>
      <w:r w:rsidR="00443602" w:rsidRPr="00DA4708">
        <w:rPr>
          <w:noProof/>
          <w:color w:val="000000" w:themeColor="text1"/>
        </w:rPr>
        <w:t xml:space="preserve"> 2009; Nasi et al.</w:t>
      </w:r>
      <w:r w:rsidR="00037F04" w:rsidRPr="00DA4708">
        <w:rPr>
          <w:noProof/>
          <w:color w:val="000000" w:themeColor="text1"/>
        </w:rPr>
        <w:t>,</w:t>
      </w:r>
      <w:r w:rsidR="00443602" w:rsidRPr="00DA4708">
        <w:rPr>
          <w:noProof/>
          <w:color w:val="000000" w:themeColor="text1"/>
        </w:rPr>
        <w:t xml:space="preserve"> 2011)</w:t>
      </w:r>
      <w:r w:rsidR="00443602" w:rsidRPr="00DA4708">
        <w:rPr>
          <w:color w:val="000000" w:themeColor="text1"/>
        </w:rPr>
        <w:fldChar w:fldCharType="end"/>
      </w:r>
      <w:r w:rsidR="007C3A14" w:rsidRPr="00DA4708">
        <w:rPr>
          <w:color w:val="000000" w:themeColor="text1"/>
        </w:rPr>
        <w:t xml:space="preserve">. </w:t>
      </w:r>
      <w:r w:rsidR="00433DF6" w:rsidRPr="00DA4708">
        <w:rPr>
          <w:color w:val="000000" w:themeColor="text1"/>
        </w:rPr>
        <w:t xml:space="preserve">Primates are also </w:t>
      </w:r>
      <w:r w:rsidR="00F25A80" w:rsidRPr="00DA4708">
        <w:rPr>
          <w:color w:val="000000" w:themeColor="text1"/>
        </w:rPr>
        <w:t>primary</w:t>
      </w:r>
      <w:r w:rsidR="00433DF6" w:rsidRPr="00DA4708">
        <w:rPr>
          <w:color w:val="000000" w:themeColor="text1"/>
        </w:rPr>
        <w:t xml:space="preserve"> target</w:t>
      </w:r>
      <w:r w:rsidR="00F25A80" w:rsidRPr="00DA4708">
        <w:rPr>
          <w:color w:val="000000" w:themeColor="text1"/>
        </w:rPr>
        <w:t>s</w:t>
      </w:r>
      <w:r w:rsidR="00433DF6" w:rsidRPr="00DA4708">
        <w:rPr>
          <w:color w:val="000000" w:themeColor="text1"/>
        </w:rPr>
        <w:t xml:space="preserve"> for hunters in the </w:t>
      </w:r>
      <w:r w:rsidR="00B93C10" w:rsidRPr="00DA4708">
        <w:rPr>
          <w:color w:val="000000" w:themeColor="text1"/>
        </w:rPr>
        <w:t>Central and South America</w:t>
      </w:r>
      <w:r w:rsidR="00433DF6" w:rsidRPr="00DA4708">
        <w:rPr>
          <w:color w:val="000000" w:themeColor="text1"/>
        </w:rPr>
        <w:t>, though in terms of overall biomass these may provide less than ungulates and rodents combined</w:t>
      </w:r>
      <w:r w:rsidR="00F25A80" w:rsidRPr="00DA4708">
        <w:rPr>
          <w:color w:val="000000" w:themeColor="text1"/>
        </w:rPr>
        <w:t xml:space="preserve"> (see Fig. 2)</w:t>
      </w:r>
      <w:r w:rsidR="00433DF6" w:rsidRPr="00DA4708">
        <w:rPr>
          <w:color w:val="000000" w:themeColor="text1"/>
        </w:rPr>
        <w:t xml:space="preserve">. </w:t>
      </w:r>
      <w:r>
        <w:rPr>
          <w:color w:val="000000" w:themeColor="text1"/>
        </w:rPr>
        <w:t>Large Cebid monkeys are particularly targeted, and all the larger cebids -</w:t>
      </w:r>
      <w:r>
        <w:rPr>
          <w:color w:val="000000" w:themeColor="text1"/>
          <w:lang w:val="en-US"/>
        </w:rPr>
        <w:t>s</w:t>
      </w:r>
      <w:r w:rsidRPr="00DA4708">
        <w:rPr>
          <w:color w:val="000000" w:themeColor="text1"/>
          <w:lang w:val="en-US"/>
        </w:rPr>
        <w:t xml:space="preserve">ix species of Alouttinae monkeys (genus </w:t>
      </w:r>
      <w:r w:rsidRPr="009E4C7B">
        <w:rPr>
          <w:i/>
          <w:color w:val="000000" w:themeColor="text1"/>
          <w:lang w:val="en-US"/>
        </w:rPr>
        <w:t>Alouatta</w:t>
      </w:r>
      <w:r w:rsidRPr="00DA4708">
        <w:rPr>
          <w:color w:val="000000" w:themeColor="text1"/>
          <w:lang w:val="en-US"/>
        </w:rPr>
        <w:t>)</w:t>
      </w:r>
      <w:r>
        <w:rPr>
          <w:color w:val="000000" w:themeColor="text1"/>
          <w:lang w:val="en-US"/>
        </w:rPr>
        <w:t>, and s</w:t>
      </w:r>
      <w:r w:rsidRPr="00DA4708">
        <w:rPr>
          <w:color w:val="000000" w:themeColor="text1"/>
          <w:lang w:val="en-US"/>
        </w:rPr>
        <w:t xml:space="preserve">even species of Atelinae monkeys (genera </w:t>
      </w:r>
      <w:r w:rsidRPr="009E4C7B">
        <w:rPr>
          <w:i/>
          <w:color w:val="000000" w:themeColor="text1"/>
          <w:lang w:val="en-US"/>
        </w:rPr>
        <w:t>Lagothrix, Ateles and Brachytheles</w:t>
      </w:r>
      <w:r w:rsidRPr="00DA4708">
        <w:rPr>
          <w:color w:val="000000" w:themeColor="text1"/>
          <w:lang w:val="en-US"/>
        </w:rPr>
        <w:t xml:space="preserve">) </w:t>
      </w:r>
      <w:r>
        <w:rPr>
          <w:color w:val="000000" w:themeColor="text1"/>
          <w:lang w:val="en-US"/>
        </w:rPr>
        <w:t xml:space="preserve"> - </w:t>
      </w:r>
      <w:r w:rsidRPr="00DA4708">
        <w:rPr>
          <w:color w:val="000000" w:themeColor="text1"/>
          <w:lang w:val="en-US"/>
        </w:rPr>
        <w:t xml:space="preserve">are actively hunted for meat throughout their ranges </w:t>
      </w:r>
      <w:r w:rsidR="00D602CA">
        <w:rPr>
          <w:color w:val="000000" w:themeColor="text1"/>
          <w:lang w:val="en-US"/>
        </w:rPr>
        <w:fldChar w:fldCharType="begin" w:fldLock="1"/>
      </w:r>
      <w:r w:rsidR="00D602CA">
        <w:rPr>
          <w:color w:val="000000" w:themeColor="text1"/>
          <w:lang w:val="en-US"/>
        </w:rPr>
        <w:instrText>ADDIN CSL_CITATION {"citationItems":[{"id":"ITEM-1","itemData":{"DOI":"10.1017/S003060530002086X","ISSN":"13653008","PMID":"706","abstract":"This paper examines the impact of hunting on the conservation of large Neotropical primates (;» 6 kg adult body mass) and of the forest they inhabit. A greater emphasis on the in-situ conservation of large cebids outside protected areas and close to people is advocated and research priorities are suggested to support the conservation of large primates imperilled by hunting.","author":[{"dropping-particle":"","family":"Ráez-Luna","given":"E. F.","non-dropping-particle":"","parse-names":false,"suffix":""}],"container-title":"Oryx","id":"ITEM-1","issue":"1","issued":{"date-parts":[["1995"]]},"page":"43-48","title":"Hunting large primates and conservation of the Neotropical rain forests","type":"article-journal","volume":"29"},"uris":["http://www.mendeley.com/documents/?uuid=ac9e7fac-8842-44a0-94d3-dae79ee05ccb"]}],"mendeley":{"formattedCitation":"(Ráez-Luna 1995)","plainTextFormattedCitation":"(Ráez-Luna 1995)","previouslyFormattedCitation":"(Ráez-Luna 1995)"},"properties":{"noteIndex":0},"schema":"https://github.com/citation-style-language/schema/raw/master/csl-citation.json"}</w:instrText>
      </w:r>
      <w:r w:rsidR="00D602CA">
        <w:rPr>
          <w:color w:val="000000" w:themeColor="text1"/>
          <w:lang w:val="en-US"/>
        </w:rPr>
        <w:fldChar w:fldCharType="separate"/>
      </w:r>
      <w:r w:rsidR="00D602CA" w:rsidRPr="00D602CA">
        <w:rPr>
          <w:noProof/>
          <w:color w:val="000000" w:themeColor="text1"/>
          <w:lang w:val="en-US"/>
        </w:rPr>
        <w:t>(Ráez-Luna 1995)</w:t>
      </w:r>
      <w:r w:rsidR="00D602CA">
        <w:rPr>
          <w:color w:val="000000" w:themeColor="text1"/>
          <w:lang w:val="en-US"/>
        </w:rPr>
        <w:fldChar w:fldCharType="end"/>
      </w:r>
      <w:r w:rsidR="00D602CA">
        <w:rPr>
          <w:color w:val="000000" w:themeColor="text1"/>
          <w:lang w:val="en-US"/>
        </w:rPr>
        <w:t xml:space="preserve">. </w:t>
      </w:r>
      <w:r w:rsidR="00433DF6" w:rsidRPr="00DA4708">
        <w:rPr>
          <w:color w:val="000000" w:themeColor="text1"/>
        </w:rPr>
        <w:t xml:space="preserve">According to Chapman and Peres </w:t>
      </w:r>
      <w:r w:rsidR="00D602CA">
        <w:rPr>
          <w:color w:val="000000" w:themeColor="text1"/>
        </w:rPr>
        <w:fldChar w:fldCharType="begin" w:fldLock="1"/>
      </w:r>
      <w:r w:rsidR="00A11C8C">
        <w:rPr>
          <w:color w:val="000000" w:themeColor="text1"/>
        </w:rPr>
        <w:instrText>ADDIN CSL_CITATION {"citationItems":[{"id":"ITEM-1","itemData":{"author":[{"dropping-particle":"","family":"Chapman","given":"Colin A.","non-dropping-particle":"","parse-names":false,"suffix":""},{"dropping-particle":"","family":"Peres","given":"Carlos A.","non-dropping-particle":"","parse-names":false,"suffix":""}],"container-title":"Evolutionary Anthropology","id":"ITEM-1","issued":{"date-parts":[["2001"]]},"page":"16-33","title":"Primate conservation in the new millennium: the role of scientists","type":"article-journal","volume":"33"},"uris":["http://www.mendeley.com/documents/?uuid=29906c5c-1942-4405-afd2-3a92f850d5c1"]}],"mendeley":{"formattedCitation":"(Chapman &amp; Peres 2001)","manualFormatting":"(2001)","plainTextFormattedCitation":"(Chapman &amp; Peres 2001)","previouslyFormattedCitation":"(Chapman &amp; Peres 2001)"},"properties":{"noteIndex":0},"schema":"https://github.com/citation-style-language/schema/raw/master/csl-citation.json"}</w:instrText>
      </w:r>
      <w:r w:rsidR="00D602CA">
        <w:rPr>
          <w:color w:val="000000" w:themeColor="text1"/>
        </w:rPr>
        <w:fldChar w:fldCharType="separate"/>
      </w:r>
      <w:r w:rsidR="00D602CA" w:rsidRPr="00D602CA">
        <w:rPr>
          <w:noProof/>
          <w:color w:val="000000" w:themeColor="text1"/>
        </w:rPr>
        <w:t>(2001)</w:t>
      </w:r>
      <w:r w:rsidR="00D602CA">
        <w:rPr>
          <w:color w:val="000000" w:themeColor="text1"/>
        </w:rPr>
        <w:fldChar w:fldCharType="end"/>
      </w:r>
      <w:r w:rsidR="00D602CA">
        <w:rPr>
          <w:color w:val="000000" w:themeColor="text1"/>
        </w:rPr>
        <w:t xml:space="preserve"> </w:t>
      </w:r>
      <w:r w:rsidR="00F25A80" w:rsidRPr="00DA4708">
        <w:rPr>
          <w:color w:val="000000" w:themeColor="text1"/>
        </w:rPr>
        <w:t>3.8 million primates are consumed annually in the Brazilian Amazon (range 2.2 - 5.4 million), which represents a total biomass harvest of 16,092 tons and a mean annual market value of $34.4 million.</w:t>
      </w:r>
    </w:p>
    <w:p w14:paraId="66617BF1" w14:textId="77777777" w:rsidR="00433DF6" w:rsidRPr="00DA4708" w:rsidRDefault="00433DF6" w:rsidP="00433DF6">
      <w:pPr>
        <w:spacing w:after="0"/>
        <w:jc w:val="both"/>
        <w:rPr>
          <w:color w:val="000000" w:themeColor="text1"/>
        </w:rPr>
      </w:pPr>
    </w:p>
    <w:p w14:paraId="1F0D3700" w14:textId="77777777" w:rsidR="000C5673" w:rsidRPr="00DA4708" w:rsidRDefault="000C5673" w:rsidP="00C258BC">
      <w:pPr>
        <w:spacing w:after="0"/>
        <w:jc w:val="both"/>
        <w:rPr>
          <w:color w:val="000000" w:themeColor="text1"/>
        </w:rPr>
      </w:pPr>
    </w:p>
    <w:p w14:paraId="080B0FD1" w14:textId="02DB872E" w:rsidR="000C5673" w:rsidRPr="00DA4708" w:rsidRDefault="000C5673" w:rsidP="000C5673">
      <w:pPr>
        <w:jc w:val="center"/>
        <w:rPr>
          <w:b/>
          <w:color w:val="000000" w:themeColor="text1"/>
        </w:rPr>
      </w:pPr>
      <w:r w:rsidRPr="00DA4708">
        <w:rPr>
          <w:b/>
          <w:color w:val="000000" w:themeColor="text1"/>
        </w:rPr>
        <w:t>FIGURE 2 AROUND HERE</w:t>
      </w:r>
    </w:p>
    <w:p w14:paraId="5903BE22" w14:textId="77777777" w:rsidR="000C5673" w:rsidRPr="00DA4708" w:rsidRDefault="000C5673" w:rsidP="00C258BC">
      <w:pPr>
        <w:spacing w:after="0"/>
        <w:jc w:val="both"/>
        <w:rPr>
          <w:color w:val="000000" w:themeColor="text1"/>
        </w:rPr>
      </w:pPr>
    </w:p>
    <w:p w14:paraId="7FA214F6" w14:textId="77777777" w:rsidR="000C5673" w:rsidRPr="00DA4708" w:rsidRDefault="000C5673" w:rsidP="00C258BC">
      <w:pPr>
        <w:spacing w:after="0"/>
        <w:jc w:val="both"/>
        <w:rPr>
          <w:color w:val="000000" w:themeColor="text1"/>
        </w:rPr>
      </w:pPr>
    </w:p>
    <w:p w14:paraId="3BE1F873" w14:textId="12968E94" w:rsidR="00692C2E" w:rsidRPr="00320E6A" w:rsidRDefault="008F48FF" w:rsidP="003B0F63">
      <w:pPr>
        <w:pStyle w:val="NormalWeb"/>
        <w:jc w:val="both"/>
      </w:pPr>
      <w:r>
        <w:rPr>
          <w:color w:val="000000" w:themeColor="text1"/>
        </w:rPr>
        <w:lastRenderedPageBreak/>
        <w:t xml:space="preserve">While regional </w:t>
      </w:r>
      <w:r w:rsidR="00320E6A">
        <w:rPr>
          <w:color w:val="000000" w:themeColor="text1"/>
        </w:rPr>
        <w:t>analyses are informative</w:t>
      </w:r>
      <w:r>
        <w:rPr>
          <w:color w:val="000000" w:themeColor="text1"/>
        </w:rPr>
        <w:t xml:space="preserve">, prey profiles </w:t>
      </w:r>
      <w:r w:rsidR="00320E6A">
        <w:rPr>
          <w:color w:val="000000" w:themeColor="text1"/>
        </w:rPr>
        <w:t xml:space="preserve">can </w:t>
      </w:r>
      <w:r>
        <w:rPr>
          <w:color w:val="000000" w:themeColor="text1"/>
        </w:rPr>
        <w:t xml:space="preserve">vary </w:t>
      </w:r>
      <w:r w:rsidR="00320E6A">
        <w:rPr>
          <w:color w:val="000000" w:themeColor="text1"/>
        </w:rPr>
        <w:t xml:space="preserve">significantly with species ranges, </w:t>
      </w:r>
      <w:r>
        <w:rPr>
          <w:color w:val="000000" w:themeColor="text1"/>
        </w:rPr>
        <w:t xml:space="preserve">habitats and </w:t>
      </w:r>
      <w:r w:rsidR="00320E6A">
        <w:rPr>
          <w:color w:val="000000" w:themeColor="text1"/>
        </w:rPr>
        <w:t>community preferences and hunting techniques</w:t>
      </w:r>
      <w:r>
        <w:rPr>
          <w:color w:val="000000" w:themeColor="text1"/>
        </w:rPr>
        <w:t xml:space="preserve">. </w:t>
      </w:r>
      <w:r w:rsidR="00692C2E" w:rsidRPr="00DA4708">
        <w:rPr>
          <w:color w:val="000000" w:themeColor="text1"/>
        </w:rPr>
        <w:t xml:space="preserve">In the Brazilian cerrado, </w:t>
      </w:r>
      <w:r w:rsidR="00692C2E" w:rsidRPr="00DA4708">
        <w:rPr>
          <w:color w:val="000000" w:themeColor="text1"/>
          <w:lang w:val="en-US"/>
        </w:rPr>
        <w:t>the game animals preferred in ritual hunting include tapir (</w:t>
      </w:r>
      <w:r w:rsidR="00692C2E" w:rsidRPr="00DA4708">
        <w:rPr>
          <w:i/>
          <w:color w:val="000000" w:themeColor="text1"/>
          <w:lang w:val="en-US"/>
        </w:rPr>
        <w:t>Tapirus</w:t>
      </w:r>
      <w:r w:rsidR="00692C2E" w:rsidRPr="00DA4708">
        <w:rPr>
          <w:color w:val="000000" w:themeColor="text1"/>
          <w:lang w:val="en-US"/>
        </w:rPr>
        <w:t xml:space="preserve"> </w:t>
      </w:r>
      <w:r w:rsidR="00692C2E" w:rsidRPr="00DA4708">
        <w:rPr>
          <w:i/>
          <w:color w:val="000000" w:themeColor="text1"/>
          <w:lang w:val="en-US"/>
        </w:rPr>
        <w:t>terrestris</w:t>
      </w:r>
      <w:r w:rsidR="00692C2E" w:rsidRPr="00DA4708">
        <w:rPr>
          <w:color w:val="000000" w:themeColor="text1"/>
          <w:lang w:val="en-US"/>
        </w:rPr>
        <w:t>), white-lipped peccary, collared peccary, marsh deer (</w:t>
      </w:r>
      <w:r w:rsidR="00692C2E" w:rsidRPr="00DA4708">
        <w:rPr>
          <w:i/>
          <w:color w:val="000000" w:themeColor="text1"/>
          <w:lang w:val="en-US"/>
        </w:rPr>
        <w:t>Blastocerus dichotomus</w:t>
      </w:r>
      <w:r w:rsidR="00692C2E" w:rsidRPr="00DA4708">
        <w:rPr>
          <w:color w:val="000000" w:themeColor="text1"/>
          <w:lang w:val="en-US"/>
        </w:rPr>
        <w:t>), pampas deer (</w:t>
      </w:r>
      <w:r w:rsidR="00692C2E" w:rsidRPr="00DA4708">
        <w:rPr>
          <w:i/>
          <w:color w:val="000000" w:themeColor="text1"/>
          <w:lang w:val="en-US"/>
        </w:rPr>
        <w:t>Ozotoceros bezoarticus</w:t>
      </w:r>
      <w:r w:rsidR="00692C2E" w:rsidRPr="00DA4708">
        <w:rPr>
          <w:color w:val="000000" w:themeColor="text1"/>
          <w:lang w:val="en-US"/>
        </w:rPr>
        <w:t>), gray brocket deer (</w:t>
      </w:r>
      <w:r w:rsidR="00692C2E" w:rsidRPr="00DA4708">
        <w:rPr>
          <w:i/>
          <w:color w:val="000000" w:themeColor="text1"/>
          <w:lang w:val="en-US"/>
        </w:rPr>
        <w:t xml:space="preserve">Mazama </w:t>
      </w:r>
      <w:r w:rsidR="00692C2E" w:rsidRPr="00430E45">
        <w:rPr>
          <w:i/>
          <w:color w:val="000000" w:themeColor="text1"/>
          <w:lang w:val="en-US"/>
        </w:rPr>
        <w:t>gouazoubira</w:t>
      </w:r>
      <w:r w:rsidR="00692C2E" w:rsidRPr="00430E45">
        <w:rPr>
          <w:color w:val="000000" w:themeColor="text1"/>
          <w:lang w:val="en-US"/>
        </w:rPr>
        <w:t>), red brocket deer (</w:t>
      </w:r>
      <w:r w:rsidR="00692C2E" w:rsidRPr="00430E45">
        <w:rPr>
          <w:i/>
          <w:color w:val="000000" w:themeColor="text1"/>
          <w:lang w:val="en-US"/>
        </w:rPr>
        <w:t>Mazama americana</w:t>
      </w:r>
      <w:r w:rsidR="00692C2E" w:rsidRPr="00430E45">
        <w:rPr>
          <w:color w:val="000000" w:themeColor="text1"/>
          <w:lang w:val="en-US"/>
        </w:rPr>
        <w:t>), and giant anteater (</w:t>
      </w:r>
      <w:r w:rsidR="00692C2E" w:rsidRPr="00430E45">
        <w:rPr>
          <w:i/>
          <w:color w:val="000000" w:themeColor="text1"/>
          <w:lang w:val="en-US"/>
        </w:rPr>
        <w:t>Myrmecophaga tridactyla</w:t>
      </w:r>
      <w:r w:rsidR="000C4D92" w:rsidRPr="00430E45">
        <w:rPr>
          <w:color w:val="000000" w:themeColor="text1"/>
          <w:lang w:val="en-US"/>
        </w:rPr>
        <w:t>)</w:t>
      </w:r>
      <w:r w:rsidR="00692C2E" w:rsidRPr="00430E45">
        <w:rPr>
          <w:color w:val="000000" w:themeColor="text1"/>
          <w:lang w:val="en-US"/>
        </w:rPr>
        <w:t xml:space="preserve"> </w:t>
      </w:r>
      <w:r w:rsidR="008032B7">
        <w:rPr>
          <w:color w:val="000000" w:themeColor="text1"/>
          <w:lang w:val="en-US"/>
        </w:rPr>
        <w:fldChar w:fldCharType="begin" w:fldLock="1"/>
      </w:r>
      <w:r w:rsidR="00E443E8">
        <w:rPr>
          <w:color w:val="000000" w:themeColor="text1"/>
          <w:lang w:val="en-US"/>
        </w:rPr>
        <w:instrText>ADDIN CSL_CITATION {"citationItems":[{"id":"ITEM-1","itemData":{"DOI":"10.1007/s10745-013-9637-1","ISBN":"03007839","ISSN":"03007839","abstract":"Conservation attention to indigenous hunting with fire in the cerrado largely focuses on sustainability as construed in scientific terms rather than according to indigenous points of view. Towards the goal of reframing the debate in terms more congruent with indigenous perspectives, I address how the Xavante (A'uwẽ) view ritualized and collective hunting, including hunting with fire, as indispensable means of acquiring gifts by which to celebrate important events, express feelings of respect and gratitude towards others, promote positive social values among male youth, and maintain the group's ethnic identity. In particular, ritualized exchanges of game meat are necessary and culturally appropriate means of expressing esteem for others at some of life's most important moments. For the Xavante, the social imperative to give and receive gifts of meat during weddings and initiation ceremonies motivates efforts to maintain the collective hunting with fire tradition in a manner that ensures its long term environmental viability. © 2014 Springer Science+Business Media New York.","author":[{"dropping-particle":"","family":"Welch","given":"James R.","non-dropping-particle":"","parse-names":false,"suffix":""}],"container-title":"Human Ecology","id":"ITEM-1","issue":"1","issued":{"date-parts":[["2014"]]},"page":"47-59","title":"Xavante ritual hunting: anthropogenic fire, reciprocity, and collective landscape management in the Brazilian Cerrado","type":"article-journal","volume":"42"},"uris":["http://www.mendeley.com/documents/?uuid=d3fff399-13b5-43e3-ab39-1d3f152be7d2"]}],"mendeley":{"formattedCitation":"(Welch 2014)","plainTextFormattedCitation":"(Welch 2014)","previouslyFormattedCitation":"(Welch 2014)"},"properties":{"noteIndex":0},"schema":"https://github.com/citation-style-language/schema/raw/master/csl-citation.json"}</w:instrText>
      </w:r>
      <w:r w:rsidR="008032B7">
        <w:rPr>
          <w:color w:val="000000" w:themeColor="text1"/>
          <w:lang w:val="en-US"/>
        </w:rPr>
        <w:fldChar w:fldCharType="separate"/>
      </w:r>
      <w:r w:rsidR="008032B7" w:rsidRPr="008032B7">
        <w:rPr>
          <w:noProof/>
          <w:color w:val="000000" w:themeColor="text1"/>
          <w:lang w:val="en-US"/>
        </w:rPr>
        <w:t>(Welch 2014)</w:t>
      </w:r>
      <w:r w:rsidR="008032B7">
        <w:rPr>
          <w:color w:val="000000" w:themeColor="text1"/>
          <w:lang w:val="en-US"/>
        </w:rPr>
        <w:fldChar w:fldCharType="end"/>
      </w:r>
      <w:r w:rsidR="00692C2E" w:rsidRPr="00430E45">
        <w:rPr>
          <w:color w:val="000000" w:themeColor="text1"/>
          <w:lang w:val="en-US"/>
        </w:rPr>
        <w:t>. In the Colombian Chocó, the most commonly consumed species</w:t>
      </w:r>
      <w:r w:rsidR="00C63397" w:rsidRPr="00430E45">
        <w:rPr>
          <w:color w:val="000000" w:themeColor="text1"/>
          <w:lang w:val="en-US"/>
        </w:rPr>
        <w:t xml:space="preserve"> by the </w:t>
      </w:r>
      <w:r w:rsidR="00C63397" w:rsidRPr="00430E45">
        <w:rPr>
          <w:i/>
          <w:color w:val="000000" w:themeColor="text1"/>
          <w:lang w:val="en-US"/>
        </w:rPr>
        <w:t>caiçaras</w:t>
      </w:r>
      <w:r w:rsidR="00430E45">
        <w:rPr>
          <w:i/>
          <w:color w:val="000000" w:themeColor="text1"/>
          <w:lang w:val="en-US"/>
        </w:rPr>
        <w:t xml:space="preserve"> </w:t>
      </w:r>
      <w:r w:rsidR="00430E45" w:rsidRPr="00430E45">
        <w:rPr>
          <w:color w:val="000000" w:themeColor="text1"/>
          <w:lang w:val="en-US"/>
        </w:rPr>
        <w:t>(</w:t>
      </w:r>
      <w:r w:rsidR="00236245">
        <w:rPr>
          <w:color w:val="000000" w:themeColor="text1"/>
          <w:lang w:val="en-US"/>
        </w:rPr>
        <w:t xml:space="preserve">peoples of </w:t>
      </w:r>
      <w:r w:rsidR="00430E45">
        <w:rPr>
          <w:color w:val="000000" w:themeColor="text1"/>
          <w:lang w:val="en-US"/>
        </w:rPr>
        <w:t>mixed indigenous and European heritage)</w:t>
      </w:r>
      <w:r w:rsidR="00C63397" w:rsidRPr="00430E45">
        <w:rPr>
          <w:color w:val="000000" w:themeColor="text1"/>
          <w:lang w:val="en-US"/>
        </w:rPr>
        <w:t xml:space="preserve"> </w:t>
      </w:r>
      <w:r w:rsidR="00692C2E" w:rsidRPr="00430E45">
        <w:rPr>
          <w:color w:val="000000" w:themeColor="text1"/>
          <w:lang w:val="en-US"/>
        </w:rPr>
        <w:t>are paca, armadillo (</w:t>
      </w:r>
      <w:r w:rsidR="00692C2E" w:rsidRPr="002C0EF9">
        <w:rPr>
          <w:i/>
          <w:color w:val="000000" w:themeColor="text1"/>
          <w:lang w:val="en-US"/>
        </w:rPr>
        <w:t>Dasypus novcinctus</w:t>
      </w:r>
      <w:r w:rsidR="00692C2E" w:rsidRPr="00430E45">
        <w:rPr>
          <w:color w:val="000000" w:themeColor="text1"/>
          <w:lang w:val="en-US"/>
        </w:rPr>
        <w:t>) and agouti (</w:t>
      </w:r>
      <w:r w:rsidR="00692C2E" w:rsidRPr="002C0EF9">
        <w:rPr>
          <w:i/>
          <w:color w:val="000000" w:themeColor="text1"/>
          <w:lang w:val="en-US"/>
        </w:rPr>
        <w:t>Dasyprocta</w:t>
      </w:r>
      <w:r w:rsidR="00692C2E" w:rsidRPr="00430E45">
        <w:rPr>
          <w:color w:val="000000" w:themeColor="text1"/>
          <w:lang w:val="en-US"/>
        </w:rPr>
        <w:t xml:space="preserve"> sp</w:t>
      </w:r>
      <w:r w:rsidR="00D35CBB" w:rsidRPr="00430E45">
        <w:rPr>
          <w:color w:val="000000" w:themeColor="text1"/>
          <w:lang w:val="en-US"/>
        </w:rPr>
        <w:t>p</w:t>
      </w:r>
      <w:r w:rsidR="00320E6A" w:rsidRPr="00430E45">
        <w:rPr>
          <w:color w:val="000000" w:themeColor="text1"/>
          <w:lang w:val="en-US"/>
        </w:rPr>
        <w:t xml:space="preserve">.) </w:t>
      </w:r>
      <w:r w:rsidR="00E443E8">
        <w:rPr>
          <w:color w:val="000000" w:themeColor="text1"/>
          <w:lang w:val="en-US"/>
        </w:rPr>
        <w:fldChar w:fldCharType="begin" w:fldLock="1"/>
      </w:r>
      <w:r w:rsidR="0082193E">
        <w:rPr>
          <w:color w:val="000000" w:themeColor="text1"/>
          <w:lang w:val="en-US"/>
        </w:rPr>
        <w:instrText>ADDIN CSL_CITATION {"citationItems":[{"id":"ITEM-1","itemData":{"DOI":"10.15451/ec2018","author":[{"dropping-particle":"","family":"Vliet","given":"Nathalie","non-dropping-particle":"Van","parse-names":false,"suffix":""},{"dropping-particle":"","family":"Schulte-Herbruggen","given":"Björn","non-dropping-particle":"","parse-names":false,"suffix":""},{"dropping-particle":"","family":"Vanegas","given":"Liliana","non-dropping-particle":"","parse-names":false,"suffix":""},{"dropping-particle":"","family":"Yair-Cuesta","given":"Eric","non-dropping-particle":"","parse-names":false,"suffix":""},{"dropping-particle":"","family":"Sandrin","given":"Francois","non-dropping-particle":"","parse-names":false,"suffix":""},{"dropping-particle":"","family":"Nasi","given":"Robert","non-dropping-particle":"","parse-names":false,"suffix":""}],"container-title":"Ethnobiology and Conservation","id":"ITEM-1","issue":"2","issued":{"date-parts":[["2018"]]},"page":"1-15","title":"Wild animals (fish and wildmeat) contribute to dietary diversity among food insecure urban teenagers the case of Quibdó, Colombia","type":"article-journal","volume":"7"},"uris":["http://www.mendeley.com/documents/?uuid=71e2bbf4-9637-4afa-8d29-2cd96c34dc49"]}],"mendeley":{"formattedCitation":"(Van Vliet et al. 2018b)","plainTextFormattedCitation":"(Van Vliet et al. 2018b)","previouslyFormattedCitation":"(Van Vliet et al. 2018b)"},"properties":{"noteIndex":0},"schema":"https://github.com/citation-style-language/schema/raw/master/csl-citation.json"}</w:instrText>
      </w:r>
      <w:r w:rsidR="00E443E8">
        <w:rPr>
          <w:color w:val="000000" w:themeColor="text1"/>
          <w:lang w:val="en-US"/>
        </w:rPr>
        <w:fldChar w:fldCharType="separate"/>
      </w:r>
      <w:r w:rsidR="001C10E4" w:rsidRPr="001C10E4">
        <w:rPr>
          <w:noProof/>
          <w:color w:val="000000" w:themeColor="text1"/>
          <w:lang w:val="en-US"/>
        </w:rPr>
        <w:t>(Van Vliet et al. 2018b)</w:t>
      </w:r>
      <w:r w:rsidR="00E443E8">
        <w:rPr>
          <w:color w:val="000000" w:themeColor="text1"/>
          <w:lang w:val="en-US"/>
        </w:rPr>
        <w:fldChar w:fldCharType="end"/>
      </w:r>
      <w:r w:rsidR="00320E6A" w:rsidRPr="00430E45">
        <w:rPr>
          <w:color w:val="000000" w:themeColor="text1"/>
          <w:lang w:val="en-US"/>
        </w:rPr>
        <w:t xml:space="preserve">. However, </w:t>
      </w:r>
      <w:r w:rsidR="00692C2E" w:rsidRPr="00430E45">
        <w:rPr>
          <w:color w:val="000000" w:themeColor="text1"/>
          <w:lang w:val="en-US"/>
        </w:rPr>
        <w:t>for indigenous communities living in the Chocó region, the most frequently</w:t>
      </w:r>
      <w:r w:rsidR="00692C2E" w:rsidRPr="00DA4708">
        <w:rPr>
          <w:color w:val="000000" w:themeColor="text1"/>
          <w:lang w:val="en-US"/>
        </w:rPr>
        <w:t xml:space="preserve"> hunted mammals are prim</w:t>
      </w:r>
      <w:r>
        <w:rPr>
          <w:color w:val="000000" w:themeColor="text1"/>
          <w:lang w:val="en-US"/>
        </w:rPr>
        <w:t>at</w:t>
      </w:r>
      <w:r w:rsidR="00692C2E" w:rsidRPr="00DA4708">
        <w:rPr>
          <w:color w:val="000000" w:themeColor="text1"/>
          <w:lang w:val="en-US"/>
        </w:rPr>
        <w:t>es</w:t>
      </w:r>
      <w:r w:rsidR="00320E6A">
        <w:rPr>
          <w:color w:val="000000" w:themeColor="text1"/>
          <w:lang w:val="en-US"/>
        </w:rPr>
        <w:t xml:space="preserve"> </w:t>
      </w:r>
      <w:r w:rsidR="00E443E8">
        <w:rPr>
          <w:color w:val="000000" w:themeColor="text1"/>
          <w:lang w:val="en-US"/>
        </w:rPr>
        <w:fldChar w:fldCharType="begin" w:fldLock="1"/>
      </w:r>
      <w:r w:rsidR="00B2630D">
        <w:rPr>
          <w:color w:val="000000" w:themeColor="text1"/>
          <w:lang w:val="en-US"/>
        </w:rPr>
        <w:instrText>ADDIN CSL_CITATION {"citationItems":[{"id":"ITEM-1","itemData":{"author":[{"dropping-particle":"","family":"Cormier","given":"L.","non-dropping-particle":"","parse-names":false,"suffix":""}],"container-title":"Ecol. Envir. Anthr.","id":"ITEM-1","issue":"1","issued":{"date-parts":[["2006"]]},"page":"14 - 32","title":"A preliminary review of Neotropical primates in the subsistence and symbolism of indigenous lowland South American peoples.","type":"article-journal","volume":"2"},"uris":["http://www.mendeley.com/documents/?uuid=17285f04-0f5b-46b9-93fc-20afa048036e"]},{"id":"ITEM-2","itemData":{"author":[{"dropping-particle":"","family":"Ojasti","given":"J","non-dropping-particle":"","parse-names":false,"suffix":""}],"id":"ITEM-2","issued":{"date-parts":[["1996"]]},"publisher":"Food and Agriculture Organization of the United Nations (FAO), Rome, Italy","title":"Wildlife utilization in Latin America: current situation and prospects for sustainable management","type":"book"},"uris":["http://www.mendeley.com/documents/?uuid=99b9673c-f019-4750-a24f-213c2b8ed610"]}],"mendeley":{"formattedCitation":"(Ojasti 1996; Cormier 2006)","plainTextFormattedCitation":"(Ojasti 1996; Cormier 2006)","previouslyFormattedCitation":"(Ojasti 1996; Cormier 2006)"},"properties":{"noteIndex":0},"schema":"https://github.com/citation-style-language/schema/raw/master/csl-citation.json"}</w:instrText>
      </w:r>
      <w:r w:rsidR="00E443E8">
        <w:rPr>
          <w:color w:val="000000" w:themeColor="text1"/>
          <w:lang w:val="en-US"/>
        </w:rPr>
        <w:fldChar w:fldCharType="separate"/>
      </w:r>
      <w:r w:rsidR="00E443E8" w:rsidRPr="00E443E8">
        <w:rPr>
          <w:noProof/>
          <w:color w:val="000000" w:themeColor="text1"/>
          <w:lang w:val="en-US"/>
        </w:rPr>
        <w:t>(Ojasti 1996; Cormier 2006)</w:t>
      </w:r>
      <w:r w:rsidR="00E443E8">
        <w:rPr>
          <w:color w:val="000000" w:themeColor="text1"/>
          <w:lang w:val="en-US"/>
        </w:rPr>
        <w:fldChar w:fldCharType="end"/>
      </w:r>
      <w:r w:rsidR="00C63397">
        <w:rPr>
          <w:color w:val="000000" w:themeColor="text1"/>
          <w:lang w:val="en-US"/>
        </w:rPr>
        <w:t>.</w:t>
      </w:r>
      <w:r w:rsidR="00692C2E" w:rsidRPr="00DA4708">
        <w:rPr>
          <w:color w:val="000000" w:themeColor="text1"/>
          <w:lang w:val="en-US"/>
        </w:rPr>
        <w:t xml:space="preserve"> Among the Wai Wai indigeno</w:t>
      </w:r>
      <w:r w:rsidR="000C4D92" w:rsidRPr="00DA4708">
        <w:rPr>
          <w:color w:val="000000" w:themeColor="text1"/>
          <w:lang w:val="en-US"/>
        </w:rPr>
        <w:t xml:space="preserve">us communities in Guyana, paca </w:t>
      </w:r>
      <w:r w:rsidR="00692C2E" w:rsidRPr="00DA4708">
        <w:rPr>
          <w:color w:val="000000" w:themeColor="text1"/>
          <w:lang w:val="en-US"/>
        </w:rPr>
        <w:t>and currosaw (</w:t>
      </w:r>
      <w:r w:rsidR="00692C2E" w:rsidRPr="00DA4708">
        <w:rPr>
          <w:i/>
          <w:color w:val="000000" w:themeColor="text1"/>
          <w:lang w:val="en-US"/>
        </w:rPr>
        <w:t>Crax alector</w:t>
      </w:r>
      <w:r w:rsidR="00692C2E" w:rsidRPr="00DA4708">
        <w:rPr>
          <w:color w:val="000000" w:themeColor="text1"/>
          <w:lang w:val="en-US"/>
        </w:rPr>
        <w:t>) and spider monkeys</w:t>
      </w:r>
      <w:r w:rsidR="00320E6A">
        <w:rPr>
          <w:color w:val="000000" w:themeColor="text1"/>
          <w:lang w:val="en-US"/>
        </w:rPr>
        <w:t xml:space="preserve"> (</w:t>
      </w:r>
      <w:r w:rsidR="00320E6A" w:rsidRPr="00320E6A">
        <w:rPr>
          <w:i/>
          <w:color w:val="000000" w:themeColor="text1"/>
        </w:rPr>
        <w:t>Atelidae sp</w:t>
      </w:r>
      <w:r w:rsidR="00320E6A">
        <w:rPr>
          <w:color w:val="000000" w:themeColor="text1"/>
        </w:rPr>
        <w:t xml:space="preserve">.) </w:t>
      </w:r>
      <w:r w:rsidR="00692C2E" w:rsidRPr="00DA4708">
        <w:rPr>
          <w:color w:val="000000" w:themeColor="text1"/>
          <w:lang w:val="en-US"/>
        </w:rPr>
        <w:t xml:space="preserve">are the most harvested species </w:t>
      </w:r>
      <w:r w:rsidR="00E443E8">
        <w:rPr>
          <w:color w:val="000000" w:themeColor="text1"/>
          <w:lang w:val="en-US"/>
        </w:rPr>
        <w:fldChar w:fldCharType="begin" w:fldLock="1"/>
      </w:r>
      <w:r w:rsidR="00E443E8">
        <w:rPr>
          <w:color w:val="000000" w:themeColor="text1"/>
          <w:lang w:val="en-US"/>
        </w:rPr>
        <w:instrText>ADDIN CSL_CITATION {"citationItems":[{"id":"ITEM-1","itemData":{"DOI":"10.1111/cobi.12891","ISSN":"15231739","PMID":"28074624","abstract":"Although hunting is a key component of subsistence strategies of many Amazonians, it is also one of the greatest threats to wildlife. Because indigenous reserves comprise over 20% of Amazonia, effective conservation often requires that conservation professionals work closely with indigenous groups to manage resource use. We used hunter-generated harvesting data in spatially explicit biodemographic models to assess the sustainability of subsistence hunting of indigenous Waiwai in Guyana. We collected data through a hunter self-monitoring program, systematic follows of hunters, and semistructured interviews. We used these data to predict future densities of 2 indicator species, spider monkeys (Ateles paniscus) and bearded sakis (Chiropotes sagulatus), under different scenarios of human population expansion and changing hunting technology. We used encounter rates from transect surveys and hunter catch-per-unit effort (CPUE) to validate model predictions. Paca (Cuniculus paca) (198 /year), Currosaw (Crax alector) (168), and spider monkey (117) were the most frequently harvested species. Predicted densities of spider monkeys were statistically indistinguishable from empirically derived transect data (Kolmogorov–Smirnov D = 0.67, p = 0.759) and CPUE (D = 0.32, p = 1.000), demonstrating the robustness of model predictions. Ateles paniscus and C. sagulatus were predicted to be extirpated from &lt;13% of the Waiwai reserve in 20 years, even under the most intensive hunting scenarios. Our results suggest Waiwai hunting is currently sustainable, primarily due to their low population density and use of bow and arrow. Continual monitoring is necessary, however, particularly if human population increases are accompanied by a switch to shotgun-only hunting. We suggest that hunter self-monitoring and biodemographic modeling can be used effectively in a comanagement approach in which indigenous parabiologists continuously provide hunting data that is then used to update model parameters and validate model predictions. © 2017 The Authors. Conservation Biology published by Wiley Periodicals, Inc. on behalf of Society for Conservation Biology.","author":[{"dropping-particle":"","family":"Shaffer","given":"Christopher A.","non-dropping-particle":"","parse-names":false,"suffix":""},{"dropping-particle":"","family":"Milstein","given":"Marissa S.","non-dropping-particle":"","parse-names":false,"suffix":""},{"dropping-particle":"","family":"Yukuma","given":"Charakura","non-dropping-particle":"","parse-names":false,"suffix":""},{"dropping-particle":"","family":"Marawanaru","given":"Elisha","non-dropping-particle":"","parse-names":false,"suffix":""},{"dropping-particle":"","family":"Suse","given":"Phillip","non-dropping-particle":"","parse-names":false,"suffix":""}],"container-title":"Conservation Biology","id":"ITEM-1","issue":"5","issued":{"date-parts":[["2017"]]},"page":"1119-1131","title":"Sustainability and comanagement of subsistence hunting in an indigenous reserve in Guyana","type":"article-journal","volume":"31"},"uris":["http://www.mendeley.com/documents/?uuid=ce1a24ba-1645-455f-9c8e-6b2500162a6b"]}],"mendeley":{"formattedCitation":"(Shaffer et al. 2017)","plainTextFormattedCitation":"(Shaffer et al. 2017)","previouslyFormattedCitation":"(Shaffer et al. 2017)"},"properties":{"noteIndex":0},"schema":"https://github.com/citation-style-language/schema/raw/master/csl-citation.json"}</w:instrText>
      </w:r>
      <w:r w:rsidR="00E443E8">
        <w:rPr>
          <w:color w:val="000000" w:themeColor="text1"/>
          <w:lang w:val="en-US"/>
        </w:rPr>
        <w:fldChar w:fldCharType="separate"/>
      </w:r>
      <w:r w:rsidR="00E443E8" w:rsidRPr="00E443E8">
        <w:rPr>
          <w:noProof/>
          <w:color w:val="000000" w:themeColor="text1"/>
          <w:lang w:val="en-US"/>
        </w:rPr>
        <w:t>(Shaffer et al. 2017)</w:t>
      </w:r>
      <w:r w:rsidR="00E443E8">
        <w:rPr>
          <w:color w:val="000000" w:themeColor="text1"/>
          <w:lang w:val="en-US"/>
        </w:rPr>
        <w:fldChar w:fldCharType="end"/>
      </w:r>
      <w:r w:rsidR="00692C2E" w:rsidRPr="00DA4708">
        <w:rPr>
          <w:color w:val="000000" w:themeColor="text1"/>
          <w:lang w:val="en-US"/>
        </w:rPr>
        <w:t xml:space="preserve">. Among creole communities in Belize, the most preferred wildmeat species are </w:t>
      </w:r>
      <w:r w:rsidR="000C4D92" w:rsidRPr="00DA4708">
        <w:rPr>
          <w:color w:val="000000" w:themeColor="text1"/>
          <w:lang w:val="en-US"/>
        </w:rPr>
        <w:t>a</w:t>
      </w:r>
      <w:r w:rsidR="00692C2E" w:rsidRPr="00DA4708">
        <w:rPr>
          <w:color w:val="000000" w:themeColor="text1"/>
          <w:lang w:val="en-US"/>
        </w:rPr>
        <w:t>gouti</w:t>
      </w:r>
      <w:r w:rsidR="000C4D92" w:rsidRPr="00DA4708">
        <w:rPr>
          <w:color w:val="000000" w:themeColor="text1"/>
          <w:lang w:val="en-US"/>
        </w:rPr>
        <w:t>,</w:t>
      </w:r>
      <w:r w:rsidR="00692C2E" w:rsidRPr="00DA4708">
        <w:rPr>
          <w:color w:val="000000" w:themeColor="text1"/>
          <w:lang w:val="en-US"/>
        </w:rPr>
        <w:t xml:space="preserve"> paca,</w:t>
      </w:r>
      <w:r w:rsidR="00692C2E" w:rsidRPr="00DA4708">
        <w:rPr>
          <w:color w:val="000000" w:themeColor="text1"/>
        </w:rPr>
        <w:t xml:space="preserve"> </w:t>
      </w:r>
      <w:r w:rsidR="000C4D92" w:rsidRPr="00DA4708">
        <w:rPr>
          <w:color w:val="000000" w:themeColor="text1"/>
        </w:rPr>
        <w:t>white-tailed deer (</w:t>
      </w:r>
      <w:r w:rsidR="00692C2E" w:rsidRPr="00DA4708">
        <w:rPr>
          <w:i/>
          <w:color w:val="000000" w:themeColor="text1"/>
          <w:lang w:val="en-US"/>
        </w:rPr>
        <w:t>Odocoileus</w:t>
      </w:r>
      <w:r w:rsidR="00692C2E" w:rsidRPr="00DA4708">
        <w:rPr>
          <w:color w:val="000000" w:themeColor="text1"/>
          <w:lang w:val="en-US"/>
        </w:rPr>
        <w:t xml:space="preserve"> </w:t>
      </w:r>
      <w:r w:rsidR="00692C2E" w:rsidRPr="00DA4708">
        <w:rPr>
          <w:i/>
          <w:color w:val="000000" w:themeColor="text1"/>
          <w:lang w:val="en-US"/>
        </w:rPr>
        <w:t>virginianus</w:t>
      </w:r>
      <w:r w:rsidR="000C4D92" w:rsidRPr="00DA4708">
        <w:rPr>
          <w:color w:val="000000" w:themeColor="text1"/>
          <w:lang w:val="en-US"/>
        </w:rPr>
        <w:t>)</w:t>
      </w:r>
      <w:r w:rsidR="00692C2E" w:rsidRPr="00DA4708">
        <w:rPr>
          <w:color w:val="000000" w:themeColor="text1"/>
          <w:lang w:val="en-US"/>
        </w:rPr>
        <w:t xml:space="preserve"> and </w:t>
      </w:r>
      <w:r w:rsidR="000C4D92" w:rsidRPr="00DA4708">
        <w:rPr>
          <w:color w:val="000000" w:themeColor="text1"/>
          <w:lang w:val="en-US"/>
        </w:rPr>
        <w:t>white-lipped peccary</w:t>
      </w:r>
      <w:r w:rsidR="00E11643" w:rsidRPr="00DA4708">
        <w:rPr>
          <w:color w:val="000000" w:themeColor="text1"/>
          <w:lang w:val="en-US"/>
        </w:rPr>
        <w:t xml:space="preserve"> </w:t>
      </w:r>
      <w:r w:rsidR="00692C2E" w:rsidRPr="00DA4708">
        <w:rPr>
          <w:color w:val="000000" w:themeColor="text1"/>
          <w:lang w:val="en-US"/>
        </w:rPr>
        <w:t xml:space="preserve">whereas monkeys </w:t>
      </w:r>
      <w:r w:rsidR="000C4D92" w:rsidRPr="00DA4708">
        <w:rPr>
          <w:color w:val="000000" w:themeColor="text1"/>
          <w:lang w:val="en-US"/>
        </w:rPr>
        <w:t>are only hunted by Chinese and B</w:t>
      </w:r>
      <w:r w:rsidR="00692C2E" w:rsidRPr="00DA4708">
        <w:rPr>
          <w:color w:val="000000" w:themeColor="text1"/>
          <w:lang w:val="en-US"/>
        </w:rPr>
        <w:t xml:space="preserve">ritish descendants </w:t>
      </w:r>
      <w:r w:rsidR="00E443E8">
        <w:rPr>
          <w:color w:val="000000" w:themeColor="text1"/>
          <w:lang w:val="en-US"/>
        </w:rPr>
        <w:fldChar w:fldCharType="begin" w:fldLock="1"/>
      </w:r>
      <w:r w:rsidR="007D672F">
        <w:rPr>
          <w:color w:val="000000" w:themeColor="text1"/>
          <w:lang w:val="en-US"/>
        </w:rPr>
        <w:instrText>ADDIN CSL_CITATION {"citationItems":[{"id":"ITEM-1","itemData":{"DOI":"10.1207/s15327604jaws0702","abstract":"This study surveyed 33 male hunters between the ages of17 and 54 at the Community Baboon Sanctuary (CBS), Belize, to evaluate attitudes and behaviors in relation to hunting black howler monkeys (Alouatta pigra). The study defined hunting restraint as a learned predisposition not to hunt 1 or more species ofnonhuman animal. Consis- tent with Belizean folklore, Creoles at the CBS exhibited hunting restraint with re- spect to black howlers, preferring to kill bushmeat other than monkeys. The most cited reasons for the observed hunting restraint were utilitarian. Historical and cul- tural factors also appeared significant. The study results are interpreted in terms of economic theory and suggest that disinhibition of hunting restraint might depend on changes in opportunity costs of hunting these primates. Nonetheless, a change in hunting attitudes and behaviors by Belizean Creoles seems unlikely in the near future because the local and national government and the benefits of ecotourism economi- cally and legally protect howlers. The Creoles’ culturally transmitted hunting re- straint also culturally protects A. pigra, and the species is not a preferred source of food.","author":[{"dropping-particle":"","family":"Jones","given":"C B","non-dropping-particle":"","parse-names":false,"suffix":""},{"dropping-particle":"","family":"Young","given":"J","non-dropping-particle":"","parse-names":false,"suffix":""}],"container-title":"Journal of applied animal welfare science","id":"ITEM-1","issue":"2","issued":{"date-parts":[["2004"]]},"page":"127-141","title":"Hunting restraint by Creoles at the community baboon sanctuary, Belize: a preliminary survey","type":"article-journal","volume":"7"},"uris":["http://www.mendeley.com/documents/?uuid=3b59ca5b-a5e4-4e2d-96fb-d3a22ab3d688"]}],"mendeley":{"formattedCitation":"(Jones &amp; Young 2004)","plainTextFormattedCitation":"(Jones &amp; Young 2004)","previouslyFormattedCitation":"(Jones &amp; Young 2004)"},"properties":{"noteIndex":0},"schema":"https://github.com/citation-style-language/schema/raw/master/csl-citation.json"}</w:instrText>
      </w:r>
      <w:r w:rsidR="00E443E8">
        <w:rPr>
          <w:color w:val="000000" w:themeColor="text1"/>
          <w:lang w:val="en-US"/>
        </w:rPr>
        <w:fldChar w:fldCharType="separate"/>
      </w:r>
      <w:r w:rsidR="00E443E8" w:rsidRPr="00E443E8">
        <w:rPr>
          <w:noProof/>
          <w:color w:val="000000" w:themeColor="text1"/>
          <w:lang w:val="en-US"/>
        </w:rPr>
        <w:t>(Jones &amp; Young 2004)</w:t>
      </w:r>
      <w:r w:rsidR="00E443E8">
        <w:rPr>
          <w:color w:val="000000" w:themeColor="text1"/>
          <w:lang w:val="en-US"/>
        </w:rPr>
        <w:fldChar w:fldCharType="end"/>
      </w:r>
      <w:r w:rsidR="00E443E8">
        <w:rPr>
          <w:color w:val="000000" w:themeColor="text1"/>
          <w:lang w:val="en-US"/>
        </w:rPr>
        <w:t>.</w:t>
      </w:r>
    </w:p>
    <w:p w14:paraId="3FC400F0" w14:textId="3695EE6C" w:rsidR="007C3A14" w:rsidRPr="00DA4708" w:rsidRDefault="007C3A14" w:rsidP="00C258BC">
      <w:pPr>
        <w:jc w:val="both"/>
        <w:rPr>
          <w:color w:val="000000" w:themeColor="text1"/>
        </w:rPr>
      </w:pPr>
    </w:p>
    <w:p w14:paraId="7763952E" w14:textId="425EF940" w:rsidR="00197738" w:rsidRDefault="00197738" w:rsidP="00C258BC">
      <w:pPr>
        <w:jc w:val="both"/>
        <w:rPr>
          <w:color w:val="000000" w:themeColor="text1"/>
        </w:rPr>
      </w:pPr>
    </w:p>
    <w:p w14:paraId="4A0DBF77" w14:textId="4D989E3F" w:rsidR="00DC7F1B" w:rsidRPr="005512D2" w:rsidRDefault="00DC7F1B" w:rsidP="00C258BC">
      <w:pPr>
        <w:jc w:val="both"/>
        <w:rPr>
          <w:color w:val="000000" w:themeColor="text1"/>
        </w:rPr>
      </w:pPr>
      <w:r w:rsidRPr="00510F65">
        <w:rPr>
          <w:noProof/>
          <w:lang w:val="en-US"/>
        </w:rPr>
        <w:drawing>
          <wp:inline distT="0" distB="0" distL="0" distR="0" wp14:anchorId="4AEFB930" wp14:editId="453E3212">
            <wp:extent cx="5372100" cy="350085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383298" cy="3508149"/>
                    </a:xfrm>
                    <a:prstGeom prst="rect">
                      <a:avLst/>
                    </a:prstGeom>
                  </pic:spPr>
                </pic:pic>
              </a:graphicData>
            </a:graphic>
          </wp:inline>
        </w:drawing>
      </w:r>
    </w:p>
    <w:p w14:paraId="0A09C5A9" w14:textId="74B50EAA" w:rsidR="005B509E" w:rsidRPr="00785A38" w:rsidRDefault="005B509E" w:rsidP="00C258BC">
      <w:pPr>
        <w:pStyle w:val="Caption"/>
        <w:jc w:val="both"/>
        <w:rPr>
          <w:color w:val="000000" w:themeColor="text1"/>
          <w:lang w:val="en-GB"/>
        </w:rPr>
      </w:pPr>
      <w:bookmarkStart w:id="45" w:name="_Ref518905970"/>
      <w:r w:rsidRPr="00785A38">
        <w:rPr>
          <w:lang w:val="en-GB"/>
        </w:rPr>
        <w:t xml:space="preserve">Figure </w:t>
      </w:r>
      <w:r w:rsidRPr="00785A38">
        <w:rPr>
          <w:lang w:val="en-GB"/>
        </w:rPr>
        <w:fldChar w:fldCharType="begin"/>
      </w:r>
      <w:r w:rsidRPr="00785A38">
        <w:rPr>
          <w:lang w:val="en-GB"/>
        </w:rPr>
        <w:instrText xml:space="preserve"> SEQ Figure \* ARABIC </w:instrText>
      </w:r>
      <w:r w:rsidRPr="00785A38">
        <w:rPr>
          <w:lang w:val="en-GB"/>
        </w:rPr>
        <w:fldChar w:fldCharType="separate"/>
      </w:r>
      <w:r w:rsidR="004873F0">
        <w:rPr>
          <w:noProof/>
          <w:lang w:val="en-GB"/>
        </w:rPr>
        <w:t>2</w:t>
      </w:r>
      <w:r w:rsidRPr="00785A38">
        <w:rPr>
          <w:lang w:val="en-GB"/>
        </w:rPr>
        <w:fldChar w:fldCharType="end"/>
      </w:r>
      <w:bookmarkEnd w:id="45"/>
      <w:r w:rsidRPr="00785A38">
        <w:rPr>
          <w:lang w:val="en-GB"/>
        </w:rPr>
        <w:t xml:space="preserve">: </w:t>
      </w:r>
      <w:r w:rsidRPr="00785A38">
        <w:rPr>
          <w:color w:val="000000" w:themeColor="text1"/>
          <w:lang w:val="en-GB"/>
        </w:rPr>
        <w:t xml:space="preserve">The </w:t>
      </w:r>
      <w:r w:rsidR="00DC7F1B">
        <w:rPr>
          <w:color w:val="000000" w:themeColor="text1"/>
          <w:lang w:val="en-GB"/>
        </w:rPr>
        <w:t xml:space="preserve">20 </w:t>
      </w:r>
      <w:r w:rsidRPr="00785A38">
        <w:rPr>
          <w:color w:val="000000" w:themeColor="text1"/>
          <w:lang w:val="en-GB"/>
        </w:rPr>
        <w:t>most frequently hunted</w:t>
      </w:r>
      <w:r w:rsidR="00197738">
        <w:rPr>
          <w:color w:val="000000" w:themeColor="text1"/>
          <w:lang w:val="en-GB"/>
        </w:rPr>
        <w:t xml:space="preserve"> </w:t>
      </w:r>
      <w:r w:rsidR="00DC7F1B">
        <w:rPr>
          <w:color w:val="000000" w:themeColor="text1"/>
          <w:lang w:val="en-GB"/>
        </w:rPr>
        <w:t>terrestrial vertebrates</w:t>
      </w:r>
      <w:r w:rsidRPr="00785A38">
        <w:rPr>
          <w:color w:val="000000" w:themeColor="text1"/>
          <w:lang w:val="en-GB"/>
        </w:rPr>
        <w:t xml:space="preserve"> (in terms of </w:t>
      </w:r>
      <w:r w:rsidR="00197738">
        <w:rPr>
          <w:color w:val="000000" w:themeColor="text1"/>
          <w:lang w:val="en-GB"/>
        </w:rPr>
        <w:t>number</w:t>
      </w:r>
      <w:r w:rsidRPr="00785A38">
        <w:rPr>
          <w:color w:val="000000" w:themeColor="text1"/>
          <w:lang w:val="en-GB"/>
        </w:rPr>
        <w:t xml:space="preserve">) in </w:t>
      </w:r>
      <w:r w:rsidR="00197738">
        <w:rPr>
          <w:color w:val="000000" w:themeColor="text1"/>
          <w:lang w:val="en-GB"/>
        </w:rPr>
        <w:t xml:space="preserve">the Eastern </w:t>
      </w:r>
      <w:r w:rsidR="007A3FE2">
        <w:rPr>
          <w:color w:val="000000" w:themeColor="text1"/>
          <w:lang w:val="en-GB"/>
        </w:rPr>
        <w:t>Brazilian</w:t>
      </w:r>
      <w:r w:rsidR="00197738">
        <w:rPr>
          <w:color w:val="000000" w:themeColor="text1"/>
          <w:lang w:val="en-GB"/>
        </w:rPr>
        <w:t xml:space="preserve"> Amazon (</w:t>
      </w:r>
      <w:r w:rsidR="00DC7F1B">
        <w:rPr>
          <w:color w:val="000000" w:themeColor="text1"/>
          <w:lang w:val="en-GB"/>
        </w:rPr>
        <w:t>created</w:t>
      </w:r>
      <w:r w:rsidR="00197738">
        <w:rPr>
          <w:color w:val="000000" w:themeColor="text1"/>
          <w:lang w:val="en-GB"/>
        </w:rPr>
        <w:t xml:space="preserve"> usin</w:t>
      </w:r>
      <w:r w:rsidR="00443602">
        <w:rPr>
          <w:color w:val="000000" w:themeColor="text1"/>
          <w:lang w:val="en-GB"/>
        </w:rPr>
        <w:t>g data from Mesquita and Barret</w:t>
      </w:r>
      <w:r w:rsidR="00197738">
        <w:rPr>
          <w:color w:val="000000" w:themeColor="text1"/>
          <w:lang w:val="en-GB"/>
        </w:rPr>
        <w:t>o, 2015)</w:t>
      </w:r>
    </w:p>
    <w:p w14:paraId="3C9101C5" w14:textId="0E527F1C" w:rsidR="00FC6940" w:rsidRPr="00DA4708" w:rsidRDefault="007C3A14" w:rsidP="00C258BC">
      <w:pPr>
        <w:jc w:val="both"/>
        <w:rPr>
          <w:color w:val="000000" w:themeColor="text1"/>
        </w:rPr>
      </w:pPr>
      <w:r w:rsidRPr="0070404D">
        <w:rPr>
          <w:color w:val="000000" w:themeColor="text1"/>
        </w:rPr>
        <w:t>Differences in sample sizes and geographical coverage between meta-analyses in Africa and South America make comparison of the number of species targeted</w:t>
      </w:r>
      <w:r w:rsidRPr="004904D8">
        <w:rPr>
          <w:color w:val="000000" w:themeColor="text1"/>
        </w:rPr>
        <w:t xml:space="preserve"> by hunters difficult without further analysis. However, </w:t>
      </w:r>
      <w:r w:rsidR="005B3E09">
        <w:rPr>
          <w:color w:val="000000" w:themeColor="text1"/>
        </w:rPr>
        <w:fldChar w:fldCharType="begin" w:fldLock="1"/>
      </w:r>
      <w:r w:rsidR="00B2630D">
        <w:rPr>
          <w:color w:val="000000" w:themeColor="text1"/>
        </w:rPr>
        <w:instrText>ADDIN CSL_CITATION {"citationItems":[{"id":"ITEM-1","itemData":{"ISBN":"9780521787338","author":[{"dropping-particle":"","family":"Fa","given":"John E.","non-dropping-particle":"","parse-names":false,"suffix":""},{"dropping-particle":"","family":"Peres","given":"Carlos A.","non-dropping-particle":"","parse-names":false,"suffix":""}],"container-title":"Conservation of Exploited Species.","editor":[{"dropping-particle":"","family":"Reynolds","given":"J. D.","non-dropping-particle":"","parse-names":false,"suffix":""},{"dropping-particle":"","family":"Mace","given":"G. M.","non-dropping-particle":"","parse-names":false,"suffix":""},{"dropping-particle":"","family":"Robinson","given":"J. G.","non-dropping-particle":"","parse-names":false,"suffix":""},{"dropping-particle":"","family":"Redford","given":"K. H.","non-dropping-particle":"","parse-names":false,"suffix":""}],"id":"ITEM-1","issued":{"date-parts":[["2001"]]},"page":"203-241","publisher":"Cambridge University Press, Cambridge, UK","title":"Game vertebrate extraction in African and Neotropical forests: an intercontinental comparison","type":"chapter"},"uris":["http://www.mendeley.com/documents/?uuid=8481025f-7043-4628-ad63-92b5878fa29c"]}],"mendeley":{"formattedCitation":"(Fa &amp; Peres 2001)","manualFormatting":"Fa and Peres (2001)","plainTextFormattedCitation":"(Fa &amp; Peres 2001)","previouslyFormattedCitation":"(Fa &amp; Peres 2001)"},"properties":{"noteIndex":0},"schema":"https://github.com/citation-style-language/schema/raw/master/csl-citation.json"}</w:instrText>
      </w:r>
      <w:r w:rsidR="005B3E09">
        <w:rPr>
          <w:color w:val="000000" w:themeColor="text1"/>
        </w:rPr>
        <w:fldChar w:fldCharType="separate"/>
      </w:r>
      <w:r w:rsidR="005B3E09">
        <w:rPr>
          <w:noProof/>
          <w:color w:val="000000" w:themeColor="text1"/>
        </w:rPr>
        <w:t>Fa and</w:t>
      </w:r>
      <w:r w:rsidR="005B3E09" w:rsidRPr="005B3E09">
        <w:rPr>
          <w:noProof/>
          <w:color w:val="000000" w:themeColor="text1"/>
        </w:rPr>
        <w:t xml:space="preserve"> Peres </w:t>
      </w:r>
      <w:r w:rsidR="005B3E09">
        <w:rPr>
          <w:noProof/>
          <w:color w:val="000000" w:themeColor="text1"/>
        </w:rPr>
        <w:t>(</w:t>
      </w:r>
      <w:r w:rsidR="005B3E09" w:rsidRPr="005B3E09">
        <w:rPr>
          <w:noProof/>
          <w:color w:val="000000" w:themeColor="text1"/>
        </w:rPr>
        <w:t>2001)</w:t>
      </w:r>
      <w:r w:rsidR="005B3E09">
        <w:rPr>
          <w:color w:val="000000" w:themeColor="text1"/>
        </w:rPr>
        <w:fldChar w:fldCharType="end"/>
      </w:r>
      <w:r w:rsidRPr="004904D8">
        <w:rPr>
          <w:color w:val="000000" w:themeColor="text1"/>
        </w:rPr>
        <w:t xml:space="preserve"> suggest that fewer species are hunted in South American forests than in African forests, due to differences </w:t>
      </w:r>
      <w:r w:rsidR="00E61B49" w:rsidRPr="004904D8">
        <w:rPr>
          <w:color w:val="000000" w:themeColor="text1"/>
        </w:rPr>
        <w:t xml:space="preserve">in </w:t>
      </w:r>
      <w:r w:rsidRPr="004904D8">
        <w:rPr>
          <w:color w:val="000000" w:themeColor="text1"/>
        </w:rPr>
        <w:t>p</w:t>
      </w:r>
      <w:r w:rsidRPr="004904D8" w:rsidDel="009069E5">
        <w:rPr>
          <w:color w:val="000000" w:themeColor="text1"/>
        </w:rPr>
        <w:t>rey size and accessibility. The prominence of terrestrial large</w:t>
      </w:r>
      <w:r w:rsidRPr="005512D2">
        <w:rPr>
          <w:color w:val="000000" w:themeColor="text1"/>
        </w:rPr>
        <w:t>r</w:t>
      </w:r>
      <w:r w:rsidRPr="005512D2" w:rsidDel="009069E5">
        <w:rPr>
          <w:color w:val="000000" w:themeColor="text1"/>
        </w:rPr>
        <w:t>-bodied mammals in African forests</w:t>
      </w:r>
      <w:r w:rsidRPr="0064175F">
        <w:rPr>
          <w:color w:val="000000" w:themeColor="text1"/>
        </w:rPr>
        <w:t xml:space="preserve"> (60% of species are &gt;1kg and 80% terrestrial)</w:t>
      </w:r>
      <w:r w:rsidRPr="0070404D" w:rsidDel="009069E5">
        <w:rPr>
          <w:color w:val="000000" w:themeColor="text1"/>
        </w:rPr>
        <w:t xml:space="preserve"> can explain their greater vulnerability to indirect hunting techniques</w:t>
      </w:r>
      <w:r w:rsidRPr="0070404D">
        <w:rPr>
          <w:color w:val="000000" w:themeColor="text1"/>
        </w:rPr>
        <w:t>, such as</w:t>
      </w:r>
      <w:r w:rsidRPr="0070404D" w:rsidDel="009069E5">
        <w:rPr>
          <w:color w:val="000000" w:themeColor="text1"/>
        </w:rPr>
        <w:t xml:space="preserve"> traps, nets, snares</w:t>
      </w:r>
      <w:r w:rsidRPr="0070404D">
        <w:rPr>
          <w:color w:val="000000" w:themeColor="text1"/>
        </w:rPr>
        <w:t xml:space="preserve"> in comparison with Amazonian forest species, where more species are </w:t>
      </w:r>
      <w:r w:rsidRPr="0070404D">
        <w:rPr>
          <w:color w:val="000000" w:themeColor="text1"/>
        </w:rPr>
        <w:lastRenderedPageBreak/>
        <w:t xml:space="preserve">small-bodied (38% of species &gt;1kg) and arboreal (50 – 90% of species) </w:t>
      </w:r>
      <w:r w:rsidR="00D85704" w:rsidRPr="00DA4708">
        <w:rPr>
          <w:color w:val="000000" w:themeColor="text1"/>
        </w:rPr>
        <w:fldChar w:fldCharType="begin" w:fldLock="1"/>
      </w:r>
      <w:r w:rsidR="00B2630D">
        <w:rPr>
          <w:color w:val="000000" w:themeColor="text1"/>
        </w:rPr>
        <w:instrText>ADDIN CSL_CITATION {"citationItems":[{"id":"ITEM-1","itemData":{"author":[{"dropping-particle":"","family":"Bahuchet","given":"S","non-dropping-particle":"","parse-names":false,"suffix":""},{"dropping-particle":"","family":"Garine","given":"I","non-dropping-particle":"de","parse-names":false,"suffix":""}],"container-title":"Food and nutrition in the African Rain Forest","editor":[{"dropping-particle":"","family":"Hladik","given":"C M","non-dropping-particle":"","parse-names":false,"suffix":""},{"dropping-particle":"","family":"Bahuchet","given":"S","non-dropping-particle":"","parse-names":false,"suffix":""},{"dropping-particle":"","family":"Garine","given":"I","non-dropping-particle":"de","parse-names":false,"suffix":""}],"id":"ITEM-1","issued":{"date-parts":[["1990"]]},"page":"24-25","publisher":"UNESCO / MAB, Paris, France","title":"The art of trapping in the rain forest","type":"chapter"},"uris":["http://www.mendeley.com/documents/?uuid=fea164bb-7b1f-4d5c-b46d-2544095c95d8"]},{"id":"ITEM-2","itemData":{"author":[{"dropping-particle":"","family":"Wilkie","given":"D S","non-dropping-particle":"","parse-names":false,"suffix":""},{"dropping-particle":"","family":"Curran","given":"B","non-dropping-particle":"","parse-names":false,"suffix":""}],"container-title":"American Anthropologist","id":"ITEM-2","issue":"3","issued":{"date-parts":[["1991"]]},"page":"680-689","title":"Why do Mbuti hunters use nets? Ungulate hunting efficiency of archers and net-hunters in the Ituri rain forest","type":"article-journal","volume":"93"},"uris":["http://www.mendeley.com/documents/?uuid=ca5b10b3-fbec-4323-867b-b1b3855c68ad"]},{"id":"ITEM-3","itemData":{"DOI":"10.1111/j.1523-1739.1998.96027.x","ISSN":"08888892","author":[{"dropping-particle":"","family":"Noss","given":"Andrew J.","non-dropping-particle":"","parse-names":false,"suffix":""}],"container-title":"Conservation Biology","id":"ITEM-3","issue":"2","issued":{"date-parts":[["1998","7","7"]]},"page":"390-398","title":"The impacts of cable snare hunting on wildlife populations in the forests of the Central African Republic","type":"article-journal","volume":"12"},"uris":["http://www.mendeley.com/documents/?uuid=16208071-be57-4c41-9457-c8f1a7b465a8"]},{"id":"ITEM-4","itemData":{"ISBN":"9780521787338","author":[{"dropping-particle":"","family":"Fa","given":"John E.","non-dropping-particle":"","parse-names":false,"suffix":""},{"dropping-particle":"","family":"Peres","given":"Carlos A.","non-dropping-particle":"","parse-names":false,"suffix":""}],"container-title":"Conservation of Exploited Species.","editor":[{"dropping-particle":"","family":"Reynolds","given":"J. D.","non-dropping-particle":"","parse-names":false,"suffix":""},{"dropping-particle":"","family":"Mace","given":"G. M.","non-dropping-particle":"","parse-names":false,"suffix":""},{"dropping-particle":"","family":"Robinson","given":"J. G.","non-dropping-particle":"","parse-names":false,"suffix":""},{"dropping-particle":"","family":"Redford","given":"K. H.","non-dropping-particle":"","parse-names":false,"suffix":""}],"id":"ITEM-4","issued":{"date-parts":[["2001"]]},"page":"203-241","publisher":"Cambridge University Press, Cambridge, UK","title":"Game vertebrate extraction in African and Neotropical forests: an intercontinental comparison","type":"chapter"},"uris":["http://www.mendeley.com/documents/?uuid=8481025f-7043-4628-ad63-92b5878fa29c"]}],"mendeley":{"formattedCitation":"(Bahuchet &amp; de Garine 1990; Wilkie &amp; Curran 1991; Noss 1998; Fa &amp; Peres 2001)","manualFormatting":"(Bahuchet and de Garine, 1990; Wilkie and Curran, 1991; Noss, 1998; Fa and Peres, 2001)","plainTextFormattedCitation":"(Bahuchet &amp; de Garine 1990; Wilkie &amp; Curran 1991; Noss 1998; Fa &amp; Peres 2001)","previouslyFormattedCitation":"(Bahuchet &amp; de Garine 1990; Wilkie &amp; Curran 1991; Noss 1998; Fa &amp; Peres 2001)"},"properties":{"noteIndex":0},"schema":"https://github.com/citation-style-language/schema/raw/master/csl-citation.json"}</w:instrText>
      </w:r>
      <w:r w:rsidR="00D85704" w:rsidRPr="00DA4708">
        <w:rPr>
          <w:color w:val="000000" w:themeColor="text1"/>
        </w:rPr>
        <w:fldChar w:fldCharType="separate"/>
      </w:r>
      <w:r w:rsidR="00D85704" w:rsidRPr="00DA4708">
        <w:rPr>
          <w:noProof/>
          <w:color w:val="000000" w:themeColor="text1"/>
        </w:rPr>
        <w:t xml:space="preserve">(Bahuchet </w:t>
      </w:r>
      <w:r w:rsidR="00037F04" w:rsidRPr="00DA4708">
        <w:rPr>
          <w:noProof/>
          <w:color w:val="000000" w:themeColor="text1"/>
        </w:rPr>
        <w:t xml:space="preserve">and </w:t>
      </w:r>
      <w:r w:rsidR="00D85704" w:rsidRPr="00DA4708">
        <w:rPr>
          <w:noProof/>
          <w:color w:val="000000" w:themeColor="text1"/>
        </w:rPr>
        <w:t>de Garine</w:t>
      </w:r>
      <w:r w:rsidR="00037F04" w:rsidRPr="00DA4708">
        <w:rPr>
          <w:noProof/>
          <w:color w:val="000000" w:themeColor="text1"/>
        </w:rPr>
        <w:t>,</w:t>
      </w:r>
      <w:r w:rsidR="00D85704" w:rsidRPr="00DA4708">
        <w:rPr>
          <w:noProof/>
          <w:color w:val="000000" w:themeColor="text1"/>
        </w:rPr>
        <w:t xml:space="preserve"> 1990; Wilkie </w:t>
      </w:r>
      <w:r w:rsidR="00037F04" w:rsidRPr="00DA4708">
        <w:rPr>
          <w:noProof/>
          <w:color w:val="000000" w:themeColor="text1"/>
        </w:rPr>
        <w:t>and</w:t>
      </w:r>
      <w:r w:rsidR="00D85704" w:rsidRPr="00DA4708">
        <w:rPr>
          <w:noProof/>
          <w:color w:val="000000" w:themeColor="text1"/>
        </w:rPr>
        <w:t xml:space="preserve"> Curran</w:t>
      </w:r>
      <w:r w:rsidR="00037F04" w:rsidRPr="00DA4708">
        <w:rPr>
          <w:noProof/>
          <w:color w:val="000000" w:themeColor="text1"/>
        </w:rPr>
        <w:t>,</w:t>
      </w:r>
      <w:r w:rsidR="00D85704" w:rsidRPr="00DA4708">
        <w:rPr>
          <w:noProof/>
          <w:color w:val="000000" w:themeColor="text1"/>
        </w:rPr>
        <w:t xml:space="preserve"> 1991; Noss</w:t>
      </w:r>
      <w:r w:rsidR="00037F04" w:rsidRPr="00DA4708">
        <w:rPr>
          <w:noProof/>
          <w:color w:val="000000" w:themeColor="text1"/>
        </w:rPr>
        <w:t>,</w:t>
      </w:r>
      <w:r w:rsidR="00D85704" w:rsidRPr="00DA4708">
        <w:rPr>
          <w:noProof/>
          <w:color w:val="000000" w:themeColor="text1"/>
        </w:rPr>
        <w:t xml:space="preserve"> 1998; Fa </w:t>
      </w:r>
      <w:r w:rsidR="00037F04" w:rsidRPr="00DA4708">
        <w:rPr>
          <w:noProof/>
          <w:color w:val="000000" w:themeColor="text1"/>
        </w:rPr>
        <w:t>and</w:t>
      </w:r>
      <w:r w:rsidR="00D85704" w:rsidRPr="00DA4708">
        <w:rPr>
          <w:noProof/>
          <w:color w:val="000000" w:themeColor="text1"/>
        </w:rPr>
        <w:t xml:space="preserve"> Peres</w:t>
      </w:r>
      <w:r w:rsidR="00037F04" w:rsidRPr="00DA4708">
        <w:rPr>
          <w:noProof/>
          <w:color w:val="000000" w:themeColor="text1"/>
        </w:rPr>
        <w:t>,</w:t>
      </w:r>
      <w:r w:rsidR="00D85704" w:rsidRPr="00DA4708">
        <w:rPr>
          <w:noProof/>
          <w:color w:val="000000" w:themeColor="text1"/>
        </w:rPr>
        <w:t xml:space="preserve"> 2001)</w:t>
      </w:r>
      <w:r w:rsidR="00D85704" w:rsidRPr="00DA4708">
        <w:rPr>
          <w:color w:val="000000" w:themeColor="text1"/>
        </w:rPr>
        <w:fldChar w:fldCharType="end"/>
      </w:r>
      <w:r w:rsidRPr="00DA4708" w:rsidDel="009069E5">
        <w:rPr>
          <w:color w:val="000000" w:themeColor="text1"/>
        </w:rPr>
        <w:t>.</w:t>
      </w:r>
    </w:p>
    <w:p w14:paraId="52BAB8C9" w14:textId="7A191845" w:rsidR="003B6FE0" w:rsidRPr="00DA4708" w:rsidRDefault="007C3A14" w:rsidP="00320E6A">
      <w:pPr>
        <w:jc w:val="both"/>
        <w:rPr>
          <w:color w:val="000000" w:themeColor="text1"/>
        </w:rPr>
      </w:pPr>
      <w:r w:rsidRPr="00DA4708">
        <w:rPr>
          <w:iCs/>
          <w:color w:val="000000" w:themeColor="text1"/>
        </w:rPr>
        <w:t xml:space="preserve">Information on </w:t>
      </w:r>
      <w:r w:rsidR="003E4F82" w:rsidRPr="00DA4708">
        <w:rPr>
          <w:iCs/>
          <w:color w:val="000000" w:themeColor="text1"/>
        </w:rPr>
        <w:t xml:space="preserve">wild meat </w:t>
      </w:r>
      <w:r w:rsidRPr="00DA4708">
        <w:rPr>
          <w:iCs/>
          <w:color w:val="000000" w:themeColor="text1"/>
        </w:rPr>
        <w:t xml:space="preserve">extraction </w:t>
      </w:r>
      <w:r w:rsidR="003E4F82" w:rsidRPr="00DA4708">
        <w:rPr>
          <w:iCs/>
          <w:color w:val="000000" w:themeColor="text1"/>
        </w:rPr>
        <w:t>in</w:t>
      </w:r>
      <w:r w:rsidRPr="00DA4708">
        <w:rPr>
          <w:iCs/>
          <w:color w:val="000000" w:themeColor="text1"/>
        </w:rPr>
        <w:t xml:space="preserve"> Asian moist forests remains scant </w:t>
      </w:r>
      <w:r w:rsidR="007A3B8F" w:rsidRPr="00DA4708">
        <w:rPr>
          <w:color w:val="000000" w:themeColor="text1"/>
        </w:rPr>
        <w:fldChar w:fldCharType="begin" w:fldLock="1"/>
      </w:r>
      <w:r w:rsidR="00B2630D">
        <w:rPr>
          <w:color w:val="000000" w:themeColor="text1"/>
        </w:rPr>
        <w:instrText>ADDIN CSL_CITATION {"citationItems":[{"id":"ITEM-1","itemData":{"DOI":"10.17528/cifor/005135","ISBN":"9786021504543","ISSN":"0854-9818","author":[{"dropping-particle":"","family":"Lee","given":"T.M.","non-dropping-particle":"","parse-names":false,"suffix":""},{"dropping-particle":"","family":"Sigouin","given":"A.","non-dropping-particle":"","parse-names":false,"suffix":""},{"dropping-particle":"","family":"Pinedo-Vasquez","given":"M.","non-dropping-particle":"","parse-names":false,"suffix":""},{"dropping-particle":"","family":"Nasi","given":"R.","non-dropping-particle":"","parse-names":false,"suffix":""}],"id":"ITEM-1","issued":{"date-parts":[["2014"]]},"number-of-pages":"56","publisher-place":"CIFOR, Bogor, Indonesia","title":"The harvest of wildlife for bushmeat and traditional medicine in East, South and Southeast Asia: current knowledge base, challenges, opportunities and areas for future research. Occasional Paper 115.","type":"report"},"uris":["http://www.mendeley.com/documents/?uuid=bae8b825-3458-4133-9106-48d41f41b7da"]}],"mendeley":{"formattedCitation":"(Lee et al. 2014)","manualFormatting":"(Lee et al., 2014)","plainTextFormattedCitation":"(Lee et al. 2014)","previouslyFormattedCitation":"(Lee et al. 2014)"},"properties":{"noteIndex":0},"schema":"https://github.com/citation-style-language/schema/raw/master/csl-citation.json"}</w:instrText>
      </w:r>
      <w:r w:rsidR="007A3B8F" w:rsidRPr="00DA4708">
        <w:rPr>
          <w:color w:val="000000" w:themeColor="text1"/>
        </w:rPr>
        <w:fldChar w:fldCharType="separate"/>
      </w:r>
      <w:r w:rsidR="007A3B8F" w:rsidRPr="00DA4708">
        <w:rPr>
          <w:noProof/>
          <w:color w:val="000000" w:themeColor="text1"/>
        </w:rPr>
        <w:t>(Lee et al.</w:t>
      </w:r>
      <w:r w:rsidR="00037F04" w:rsidRPr="00DA4708">
        <w:rPr>
          <w:noProof/>
          <w:color w:val="000000" w:themeColor="text1"/>
        </w:rPr>
        <w:t>,</w:t>
      </w:r>
      <w:r w:rsidR="007A3B8F" w:rsidRPr="00DA4708">
        <w:rPr>
          <w:noProof/>
          <w:color w:val="000000" w:themeColor="text1"/>
        </w:rPr>
        <w:t xml:space="preserve"> 2014)</w:t>
      </w:r>
      <w:r w:rsidR="007A3B8F" w:rsidRPr="00DA4708">
        <w:rPr>
          <w:color w:val="000000" w:themeColor="text1"/>
        </w:rPr>
        <w:fldChar w:fldCharType="end"/>
      </w:r>
      <w:r w:rsidR="003E4F82" w:rsidRPr="00DA4708">
        <w:rPr>
          <w:color w:val="000000" w:themeColor="text1"/>
        </w:rPr>
        <w:t xml:space="preserve">. </w:t>
      </w:r>
      <w:r w:rsidR="00A171F1" w:rsidRPr="00DA4708">
        <w:rPr>
          <w:color w:val="000000" w:themeColor="text1"/>
        </w:rPr>
        <w:t xml:space="preserve">Overall, mammal species &gt;1kg are hunted, representing over 160 species </w:t>
      </w:r>
      <w:r w:rsidR="00A171F1" w:rsidRPr="00DA4708">
        <w:rPr>
          <w:color w:val="000000" w:themeColor="text1"/>
        </w:rPr>
        <w:fldChar w:fldCharType="begin" w:fldLock="1"/>
      </w:r>
      <w:r w:rsidR="00D72B40">
        <w:rPr>
          <w:color w:val="000000" w:themeColor="text1"/>
        </w:rPr>
        <w:instrText>ADDIN CSL_CITATION {"citationItems":[{"id":"ITEM-1","itemData":{"DOI":"10.1111/j.1744-7429.2007.00271.x","ISBN":"00063606","ISSN":"00063606","abstract":"People have hunted mammals in tropical Asian forests for at least 40,000 yr. This period has seen one confirmed global extinction (the giant pangolin, Manis palaeojavanica) and range restrictions for several large mammals, but there is no strong evidence for unsustainable hunting pressure until the last 2000–3000 yr, when elephants, rhinoceroses, and several other species were progressively eliminated from the large parts of their ranges. Regional declines in most species have occurred largely within the last 50 yr. Recent subsistence hunting has typically focused on pigs and deer (hunted with dogs and spears or with snares), monkeys and other arboreal mammals (often caught with blowpipes), and porcupines and other rodents (smoked or dug out of burrows). Over the last 50 yr, the importance of hunting for subsistence has been increasingly outweighed by hunting for the market. The hunted biomass is dominated by the same species as before, sold mostly for local consumption, but numerous additional species are targeted for the colossal regional trade in wild animals and their parts for food, medicines, raw materials, and pets. Many populations of mammalian dispersers of large seeds and understory browsers have been depleted or eliminated, while seed predators have had a more variable fate.Most of this hunting is now illegal, but the law enforcement is generally weak. However, examples of successful enforcement show that hunting impacts can be greatly reduced where there is sufficient political will. Ending the trade in wild animals and their parts should have the highest regional conservation priority","author":[{"dropping-particle":"","family":"Corlett","given":"Richard T.","non-dropping-particle":"","parse-names":false,"suffix":""}],"container-title":"Biotropica","id":"ITEM-1","issue":"3","issued":{"date-parts":[["2007"]]},"page":"292-303","title":"The impact of hunting on the mammalian fauna of tropical Asian forests","type":"article-journal","volume":"39"},"uris":["http://www.mendeley.com/documents/?uuid=822c279d-e311-4945-8bd6-c6262466157b"]}],"mendeley":{"formattedCitation":"(Corlett 2007)","manualFormatting":"(Corlett, 2007)","plainTextFormattedCitation":"(Corlett 2007)","previouslyFormattedCitation":"(Corlett 2007)"},"properties":{"noteIndex":0},"schema":"https://github.com/citation-style-language/schema/raw/master/csl-citation.json"}</w:instrText>
      </w:r>
      <w:r w:rsidR="00A171F1" w:rsidRPr="00DA4708">
        <w:rPr>
          <w:color w:val="000000" w:themeColor="text1"/>
        </w:rPr>
        <w:fldChar w:fldCharType="separate"/>
      </w:r>
      <w:r w:rsidR="00A171F1" w:rsidRPr="00DA4708">
        <w:rPr>
          <w:noProof/>
          <w:color w:val="000000" w:themeColor="text1"/>
        </w:rPr>
        <w:t>(Corlett</w:t>
      </w:r>
      <w:r w:rsidR="006C7887">
        <w:rPr>
          <w:noProof/>
          <w:color w:val="000000" w:themeColor="text1"/>
        </w:rPr>
        <w:t>,</w:t>
      </w:r>
      <w:r w:rsidR="00A171F1" w:rsidRPr="00DA4708">
        <w:rPr>
          <w:noProof/>
          <w:color w:val="000000" w:themeColor="text1"/>
        </w:rPr>
        <w:t xml:space="preserve"> 2007)</w:t>
      </w:r>
      <w:r w:rsidR="00A171F1" w:rsidRPr="00DA4708">
        <w:rPr>
          <w:color w:val="000000" w:themeColor="text1"/>
        </w:rPr>
        <w:fldChar w:fldCharType="end"/>
      </w:r>
      <w:r w:rsidR="00A171F1" w:rsidRPr="00DA4708">
        <w:rPr>
          <w:color w:val="000000" w:themeColor="text1"/>
        </w:rPr>
        <w:t xml:space="preserve"> but pigs now generally represent the predominant form of large-bodied animals left to hunt for personal consumption </w:t>
      </w:r>
      <w:r w:rsidR="00A171F1" w:rsidRPr="00DA4708">
        <w:rPr>
          <w:color w:val="000000" w:themeColor="text1"/>
        </w:rPr>
        <w:fldChar w:fldCharType="begin" w:fldLock="1"/>
      </w:r>
      <w:r w:rsidR="00184775">
        <w:rPr>
          <w:color w:val="000000" w:themeColor="text1"/>
        </w:rPr>
        <w:instrText>ADDIN CSL_CITATION {"citationItems":[{"id":"ITEM-1","itemData":{"DOI":"10.1111/j.1744-7429.2007.00271.x","ISBN":"00063606","ISSN":"00063606","abstract":"People have hunted mammals in tropical Asian forests for at least 40,000 yr. This period has seen one confirmed global extinction (the giant pangolin, Manis palaeojavanica) and range restrictions for several large mammals, but there is no strong evidence for unsustainable hunting pressure until the last 2000–3000 yr, when elephants, rhinoceroses, and several other species were progressively eliminated from the large parts of their ranges. Regional declines in most species have occurred largely within the last 50 yr. Recent subsistence hunting has typically focused on pigs and deer (hunted with dogs and spears or with snares), monkeys and other arboreal mammals (often caught with blowpipes), and porcupines and other rodents (smoked or dug out of burrows). Over the last 50 yr, the importance of hunting for subsistence has been increasingly outweighed by hunting for the market. The hunted biomass is dominated by the same species as before, sold mostly for local consumption, but numerous additional species are targeted for the colossal regional trade in wild animals and their parts for food, medicines, raw materials, and pets. Many populations of mammalian dispersers of large seeds and understory browsers have been depleted or eliminated, while seed predators have had a more variable fate.Most of this hunting is now illegal, but the law enforcement is generally weak. However, examples of successful enforcement show that hunting impacts can be greatly reduced where there is sufficient political will. Ending the trade in wild animals and their parts should have the highest regional conservation priority","author":[{"dropping-particle":"","family":"Corlett","given":"Richard T.","non-dropping-particle":"","parse-names":false,"suffix":""}],"container-title":"Biotropica","id":"ITEM-1","issue":"3","issued":{"date-parts":[["2007"]]},"page":"292-303","title":"The impact of hunting on the mammalian fauna of tropical Asian forests","type":"article-journal","volume":"39"},"uris":["http://www.mendeley.com/documents/?uuid=822c279d-e311-4945-8bd6-c6262466157b"]},{"id":"ITEM-2","itemData":{"DOI":"10.1644/06-MAMM-A-124R2.1","ISBN":"0022-2372","ISSN":"0022-2372","PMID":"251846300001","abstract":"Large mammals often play critical roles within ecosystems by affecting either prey populations or the structure and species composition of surrounding vegetation. However, large mammals are highly vulnerable to extirpation by humans and consequently, severe contractions of species ranges result in intact large mammal faunas becoming increasingly rare. We compared historical (AD 1500) range maps of large mammals with their current distributions to determine which areas today retain complete assemblages of large mammals. We estimate that less than 21% of the earth’s terrestrial surface still contains all of the large (.20 kg) mammals it once held, with the proportion varying between 68% in Australasia to only 1% in Indomalaya. Although the presence of large mammals offers no guarantee of the presence of all smaller animals, their absence represents an ecologically based measurement of human impacts on biodiversity. Given the ecological importance of large mammals and their vulnerability to extinction, better protection and extension of sites containing complete assemblages of large mammals is urgently needed.","author":[{"dropping-particle":"","family":"Morrison","given":"John C.","non-dropping-particle":"","parse-names":false,"suffix":""},{"dropping-particle":"","family":"Sechrest","given":"Wes","non-dropping-particle":"","parse-names":false,"suffix":""},{"dropping-particle":"","family":"Dinerstein","given":"Eric","non-dropping-particle":"","parse-names":false,"suffix":""},{"dropping-particle":"","family":"Wilcove","given":"David S.","non-dropping-particle":"","parse-names":false,"suffix":""},{"dropping-particle":"","family":"Lamoreux","given":"John F.","non-dropping-particle":"","parse-names":false,"suffix":""}],"container-title":"Journal of Mammalogy","id":"ITEM-2","issue":"6","issued":{"date-parts":[["2007"]]},"page":"1363-1380","title":"Persistence of large mammal faunas as indicators of global human impacts","type":"article-journal","volume":"88"},"uris":["http://www.mendeley.com/documents/?uuid=026c9444-d979-482c-9b11-f81792848aea"]},{"id":"ITEM-3","itemData":{"DOI":"10.1016/j.tree.2013.04.005","ISBN":"0169-5347 (Print)\\r0169-5347 (Linking)","ISSN":"01695347","PMID":"23764258","abstract":"In 2004, Navjot Sodhi and colleagues warned that logging and agricultural conversion of Southeast Asia's forests were leading to a biodiversity disaster. We evaluate this prediction against subsequent research and conclude that most of the fauna of the region can persist in logged forests. Conversely, conversion of primary or logged forests to plantation crops, such as oil palm, causes tremendous biodiversity loss. This loss is exacerbated by increased fire frequency. Therefore, we conclude that preventing agricultural conversion of logged forests is essential to conserving the biodiversity of this region. Our analysis also suggests that, because Southeast Asian forests are tightly tied to global commodity markets, conservation payments commensurate with combined returns from logging and subsequent agricultural production may be required to secure long-term forest protection. © 2013 Elsevier Ltd.","author":[{"dropping-particle":"","family":"Wilcove","given":"David S.","non-dropping-particle":"","parse-names":false,"suffix":""},{"dropping-particle":"","family":"Giam","given":"Xingli","non-dropping-particle":"","parse-names":false,"suffix":""},{"dropping-particle":"","family":"Edwards","given":"David P.","non-dropping-particle":"","parse-names":false,"suffix":""},{"dropping-particle":"","family":"Fisher","given":"Brendan","non-dropping-particle":"","parse-names":false,"suffix":""},{"dropping-particle":"","family":"Koh","given":"Lian Pin","non-dropping-particle":"","parse-names":false,"suffix":""}],"container-title":"Trends in Ecology and Evolution","id":"ITEM-3","issue":"9","issued":{"date-parts":[["2013"]]},"page":"531-540","publisher":"Elsevier Ltd","title":"Navjot's nightmare revisited: logging, agriculture, and biodiversity in Southeast Asia","type":"article-journal","volume":"28"},"uris":["http://www.mendeley.com/documents/?uuid=2b563aad-6db2-4b5b-a078-b678abe956c6"]},{"id":"ITEM-4","itemData":{"DOI":"10.1111/cobi.12785","ISBN":"9788578110796","ISSN":"15231739","PMID":"25246403","abstract":"Although deforestation and forest degradation have long been considered the most significant threats to tropical biodiversity, across Southeast Asia (Northeast India, Indochina, Sundaland, Philippines) substantial areas of natural habitat have few wild animals (&gt;1 kg), bar a few hunting-tolerant species. To document hunting impacts on vertebrate populations regionally,we conducted an extensive literature review, including papers in local journals and reports of governmental and nongovernmental agencies. Evidence from multiple sites indicated animal populations declined precipitously across the region since approximately 1980, and many species are now extirpated from substantial portions of their former ranges. Hunting is by far the greatest immediate threat to the survival of most of the region’s endangered vertebrates. Causes of recent overhunting include improved access to forests and markets, improved hunting technology, and escalating demand for wildmeat, wildlife-derived medicinal products, and wild animals as pets. Although hunters often take common species, such as pigs or rats, for their own consumption, they take rarer species opportunistically and sell surplus meat and commercially valuable products. There is also widespread targeted hunting of high-value species. Consequently, as currently practiced, hunting cannot be considered sustainable anywhere in the region, and in most places enforcement of protected-area and protected-species legislation is weak. The international community’s focus on cross-border trade fails to address overexploitation of wildlife because hunting and the sale of wildmeat is largely a local issue and most of the harvest is consumed in villages, rural towns, and nearby cities. In addition to improved enforcement, efforts to engage hunters and manage wildlife populations through sustainable hunting practices are urgently needed. Unless there is a step change in efforts to reduce wildlife exploitation to sustainable levels, the region will likely lose most of its iconic species, and many others besides, within the next few years. Keywords:","author":[{"dropping-particle":"","family":"Harrison","given":"Rhett D.","non-dropping-particle":"","parse-names":false,"suffix":""},{"dropping-particle":"","family":"Sreekar","given":"Rachakonda","non-dropping-particle":"","parse-names":false,"suffix":""},{"dropping-particle":"","family":"Brodie","given":"Jedediah F.","non-dropping-particle":"","parse-names":false,"suffix":""},{"dropping-particle":"","family":"Brook","given":"Sarah","non-dropping-particle":"","parse-names":false,"suffix":""},{"dropping-particle":"","family":"Luskin","given":"Matthew","non-dropping-particle":"","parse-names":false,"suffix":""},{"dropping-particle":"","family":"O'Kelly","given":"Hannah","non-dropping-particle":"","parse-names":false,"suffix":""},{"dropping-particle":"","family":"Rao","given":"Madhu","non-dropping-particle":"","parse-names":false,"suffix":""},{"dropping-particle":"","family":"Scheffers","given":"Brett","non-dropping-particle":"","parse-names":false,"suffix":""},{"dropping-particle":"","family":"Velho","given":"Nandini","non-dropping-particle":"","parse-names":false,"suffix":""}],"container-title":"Conservation Biology","id":"ITEM-4","issue":"5","issued":{"date-parts":[["2016"]]},"page":"972-981","title":"Impacts of hunting on tropical forests in Southeast Asia","type":"article-journal","volume":"30"},"uris":["http://www.mendeley.com/documents/?uuid=9156a739-3962-4575-aeb8-3bbb3e13bd98"]},{"id":"ITEM-5","itemData":{"DOI":"10.1126/science.aal4811","ISSN":"10959203","author":[{"dropping-particle":"","family":"Gray","given":"T N E","non-dropping-particle":"","parse-names":false,"suffix":""},{"dropping-particle":"","family":"Lynam","given":"A J","non-dropping-particle":"","parse-names":false,"suffix":""},{"dropping-particle":"","family":"Seng","given":"T","non-dropping-particle":"","parse-names":false,"suffix":""},{"dropping-particle":"","family":"Laurance","given":"W F","non-dropping-particle":"","parse-names":false,"suffix":""},{"dropping-particle":"","family":"Long","given":"B","non-dropping-particle":"","parse-names":false,"suffix":""},{"dropping-particle":"","family":"Scotson","given":"L","non-dropping-particle":"","parse-names":false,"suffix":""},{"dropping-particle":"","family":"Ripple","given":"W J","non-dropping-particle":"","parse-names":false,"suffix":""}],"container-title":"Science","id":"ITEM-5","issue":"6322","issued":{"date-parts":[["2017"]]},"page":"255-256","title":"Wildlife-snaring crisis in Asian forests","type":"article-journal","volume":"355"},"uris":["http://www.mendeley.com/documents/?uuid=388dd6ff-56b1-484e-abca-e0711c34f539"]}],"mendeley":{"formattedCitation":"(Corlett 2007; Morrison et al. 2007; Wilcove et al. 2013; Harrison et al. 2016; Gray et al. 2017)","plainTextFormattedCitation":"(Corlett 2007; Morrison et al. 2007; Wilcove et al. 2013; Harrison et al. 2016; Gray et al. 2017)","previouslyFormattedCitation":"(Corlett 2007; Morrison et al. 2007; Wilcove et al. 2013; Harrison et al. 2016; Gray et al. 2017)"},"properties":{"noteIndex":0},"schema":"https://github.com/citation-style-language/schema/raw/master/csl-citation.json"}</w:instrText>
      </w:r>
      <w:r w:rsidR="00A171F1" w:rsidRPr="00DA4708">
        <w:rPr>
          <w:color w:val="000000" w:themeColor="text1"/>
        </w:rPr>
        <w:fldChar w:fldCharType="separate"/>
      </w:r>
      <w:r w:rsidR="00D72B40" w:rsidRPr="00D72B40">
        <w:rPr>
          <w:noProof/>
          <w:color w:val="000000" w:themeColor="text1"/>
        </w:rPr>
        <w:t>(Corlett 2007; Morrison et al. 2007; Wilcove et al. 2013; Harrison et al. 2016; Gray et al. 2017)</w:t>
      </w:r>
      <w:r w:rsidR="00A171F1" w:rsidRPr="00DA4708">
        <w:rPr>
          <w:color w:val="000000" w:themeColor="text1"/>
        </w:rPr>
        <w:fldChar w:fldCharType="end"/>
      </w:r>
      <w:r w:rsidR="00A171F1" w:rsidRPr="00DA4708">
        <w:rPr>
          <w:color w:val="000000" w:themeColor="text1"/>
        </w:rPr>
        <w:t xml:space="preserve">. </w:t>
      </w:r>
      <w:r w:rsidR="003E4F82" w:rsidRPr="00DA4708">
        <w:rPr>
          <w:color w:val="000000" w:themeColor="text1"/>
        </w:rPr>
        <w:t xml:space="preserve">Southeast Asia </w:t>
      </w:r>
      <w:r w:rsidR="00320E6A">
        <w:rPr>
          <w:color w:val="000000" w:themeColor="text1"/>
        </w:rPr>
        <w:t>has some of the highest deforestation rates in the world, and while the region is a hotspot of biodiversity, it is</w:t>
      </w:r>
      <w:r w:rsidR="00320E6A" w:rsidRPr="00320E6A">
        <w:rPr>
          <w:color w:val="000000" w:themeColor="text1"/>
        </w:rPr>
        <w:t xml:space="preserve"> a</w:t>
      </w:r>
      <w:r w:rsidR="00320E6A">
        <w:rPr>
          <w:color w:val="000000" w:themeColor="text1"/>
        </w:rPr>
        <w:t>lso said to be the most biologi</w:t>
      </w:r>
      <w:r w:rsidR="00320E6A" w:rsidRPr="00320E6A">
        <w:rPr>
          <w:color w:val="000000" w:themeColor="text1"/>
        </w:rPr>
        <w:t>cally threatened</w:t>
      </w:r>
      <w:r w:rsidR="00320E6A">
        <w:rPr>
          <w:color w:val="000000" w:themeColor="text1"/>
        </w:rPr>
        <w:t xml:space="preserve"> </w:t>
      </w:r>
      <w:r w:rsidR="00320E6A" w:rsidRPr="00320E6A">
        <w:rPr>
          <w:color w:val="000000" w:themeColor="text1"/>
        </w:rPr>
        <w:t>globally</w:t>
      </w:r>
      <w:r w:rsidR="00320E6A">
        <w:rPr>
          <w:color w:val="000000" w:themeColor="text1"/>
        </w:rPr>
        <w:t>, especially for mammals,</w:t>
      </w:r>
      <w:r w:rsidR="00320E6A" w:rsidRPr="00320E6A">
        <w:rPr>
          <w:color w:val="000000" w:themeColor="text1"/>
        </w:rPr>
        <w:t xml:space="preserve"> </w:t>
      </w:r>
      <w:r w:rsidR="007D672F">
        <w:rPr>
          <w:color w:val="000000" w:themeColor="text1"/>
        </w:rPr>
        <w:fldChar w:fldCharType="begin" w:fldLock="1"/>
      </w:r>
      <w:r w:rsidR="00B2630D">
        <w:rPr>
          <w:color w:val="000000" w:themeColor="text1"/>
        </w:rPr>
        <w:instrText>ADDIN CSL_CITATION {"citationItems":[{"id":"ITEM-1","itemData":{"author":[{"dropping-particle":"","family":"Schipper","given":"Jan","non-dropping-particle":"","parse-names":false,"suffix":""},{"dropping-particle":"","family":"Chanson","given":"Janice S","non-dropping-particle":"","parse-names":false,"suffix":""},{"dropping-particle":"","family":"Chiozza","given":"Federica","non-dropping-particle":"","parse-names":false,"suffix":""},{"dropping-particle":"","family":"Cox","given":"Neil A","non-dropping-particle":"","parse-names":false,"suffix":""},{"dropping-particle":"","family":"Hoffmann","given":"Michael","non-dropping-particle":"","parse-names":false,"suffix":""},{"dropping-particle":"","family":"Katariya","given":"Vineet","non-dropping-particle":"","parse-names":false,"suffix":""},{"dropping-particle":"","family":"Lamoreux","given":"John","non-dropping-particle":"","parse-names":false,"suffix":""},{"dropping-particle":"","family":"Rodrigues","given":"Ana S L","non-dropping-particle":"","parse-names":false,"suffix":""},{"dropping-particle":"","family":"Stuart","given":"Simon N","non-dropping-particle":"","parse-names":false,"suffix":""},{"dropping-particle":"","family":"Temple","given":"Helen J","non-dropping-particle":"","parse-names":false,"suffix":""},{"dropping-particle":"","family":"Baillie","given":"Jonathan","non-dropping-particle":"","parse-names":false,"suffix":""},{"dropping-particle":"","family":"Boitani","given":"Luigi","non-dropping-particle":"","parse-names":false,"suffix":""},{"dropping-particle":"","family":"Jr","given":"Thomas E Lacher","non-dropping-particle":"","parse-names":false,"suffix":""},{"dropping-particle":"","family":"Mittermeier","given":"Russell A","non-dropping-particle":"","parse-names":false,"suffix":""},{"dropping-particle":"","family":"Smith","given":"Andrew T","non-dropping-particle":"","parse-names":false,"suffix":""},{"dropping-particle":"","family":"Absolon","given":"Daniel","non-dropping-particle":"","parse-names":false,"suffix":""},{"dropping-particle":"","family":"Aguiar","given":"John M","non-dropping-particle":"","parse-names":false,"suffix":""},{"dropping-particle":"","family":"Amori","given":"Giovanni","non-dropping-particle":"","parse-names":false,"suffix":""},{"dropping-particle":"","family":"Bakkour","given":"Noura","non-dropping-particle":"","parse-names":false,"suffix":""},{"dropping-particle":"","family":"Baldi","given":"Ricardo","non-dropping-particle":"","parse-names":false,"suffix":""},{"dropping-particle":"","family":"Berridge","given":"Richard J","non-dropping-particle":"","parse-names":false,"suffix":""},{"dropping-particle":"","family":"Bielby","given":"Jon","non-dropping-particle":"","parse-names":false,"suffix":""},{"dropping-particle":"","family":"Black","given":"Patricia Ann","non-dropping-particle":"","parse-names":false,"suffix":""},{"dropping-particle":"","family":"Blanc","given":"J Julian","non-dropping-particle":"","parse-names":false,"suffix":""},{"dropping-particle":"","family":"Brooks","given":"Thomas M","non-dropping-particle":"","parse-names":false,"suffix":""},{"dropping-particle":"","family":"Burton","given":"James A","non-dropping-particle":"","parse-names":false,"suffix":""},{"dropping-particle":"","family":"Butynski","given":"Thomas M","non-dropping-particle":"","parse-names":false,"suffix":""},{"dropping-particle":"","family":"Catullo","given":"Gianluca","non-dropping-particle":"","parse-names":false,"suffix":""},{"dropping-particle":"","family":"Garshelis","given":"David L","non-dropping-particle":"","parse-names":false,"suffix":""},{"dropping-particle":"","family":"Gates","given":"Cormack","non-dropping-particle":"","parse-names":false,"suffix":""},{"dropping-particle":"","family":"Gimenez-dixon","given":"Mariano","non-dropping-particle":"","parse-names":false,"suffix":""},{"dropping-particle":"","family":"Gonzalez","given":"Susana","non-dropping-particle":"","parse-names":false,"suffix":""},{"dropping-particle":"","family":"Gonzalez-maya","given":"Jose Fernando","non-dropping-particle":"","parse-names":false,"suffix":""},{"dropping-particle":"","family":"Good","given":"Tatjana C","non-dropping-particle":"","parse-names":false,"suffix":""},{"dropping-particle":"","family":"Hammerson","given":"Geoffrey","non-dropping-particle":"","parse-names":false,"suffix":""},{"dropping-particle":"","family":"Hammond","given":"Philip S","non-dropping-particle":"","parse-names":false,"suffix":""},{"dropping-particle":"","family":"Happold","given":"David","non-dropping-particle":"","parse-names":false,"suffix":""},{"dropping-particle":"","family":"Happold","given":"Meredith","non-dropping-particle":"","parse-names":false,"suffix":""},{"dropping-particle":"","family":"Hare","given":"John","non-dropping-particle":"","parse-names":false,"suffix":""},{"dropping-particle":"","family":"Harris","given":"Richard B","non-dropping-particle":"","parse-names":false,"suffix":""},{"dropping-particle":"","family":"Hawkins","given":"Clare E","non-dropping-particle":"","parse-names":false,"suffix":""},{"dropping-particle":"","family":"Haywood","given":"Mandy","non-dropping-particle":"","parse-names":false,"suffix":""},{"dropping-particle":"","family":"Heaney","given":"Lawrence R","non-dropping-particle":"","parse-names":false,"suffix":""},{"dropping-particle":"","family":"Hedges","given":"Simon","non-dropping-particle":"","parse-names":false,"suffix":""},{"dropping-particle":"","family":"Helgen","given":"Kristofer M","non-dropping-particle":"","parse-names":false,"suffix":""},{"dropping-particle":"","family":"Hilton-taylor","given":"Craig","non-dropping-particle":"","parse-names":false,"suffix":""},{"dropping-particle":"","family":"Hussain","given":"Syed Ainul","non-dropping-particle":"","parse-names":false,"suffix":""},{"dropping-particle":"","family":"Ishii","given":"Nobuo","non-dropping-particle":"","parse-names":false,"suffix":""},{"dropping-particle":"","family":"Jefferson","given":"Thomas A","non-dropping-particle":"","parse-names":false,"suffix":""},{"dropping-particle":"","family":"Jenkins","given":"Richard K B","non-dropping-particle":"","parse-names":false,"suffix":""},{"dropping-particle":"","family":"Johnston","given":"Charlotte H","non-dropping-particle":"","parse-names":false,"suffix":""},{"dropping-particle":"","family":"Keith","given":"Mark","non-dropping-particle":"","parse-names":false,"suffix":""},{"dropping-particle":"","family":"Kingdon","given":"Jonathan","non-dropping-particle":"","parse-names":false,"suffix":""},{"dropping-particle":"","family":"Knox","given":"David H","non-dropping-particle":"","parse-names":false,"suffix":""},{"dropping-particle":"","family":"Kovacs","given":"Kit M","non-dropping-particle":"","parse-names":false,"suffix":""},{"dropping-particle":"","family":"Langhammer","given":"Penny","non-dropping-particle":"","parse-names":false,"suffix":""},{"dropping-particle":"","family":"Leus","given":"Kristin","non-dropping-particle":"","parse-names":false,"suffix":""},{"dropping-particle":"","family":"Lewison","given":"Rebecca","non-dropping-particle":"","parse-names":false,"suffix":""},{"dropping-particle":"","family":"Lichtenstein","given":"Gabriela","non-dropping-particle":"","parse-names":false,"suffix":""},{"dropping-particle":"","family":"Lowry","given":"Lloyd F","non-dropping-particle":"","parse-names":false,"suffix":""},{"dropping-particle":"","family":"Macavoy","given":"Zoe","non-dropping-particle":"","parse-names":false,"suffix":""},{"dropping-particle":"","family":"Medellín","given":"Rodrigo A","non-dropping-particle":"","parse-names":false,"suffix":""},{"dropping-particle":"","family":"Medici","given":"Patricia","non-dropping-particle":"","parse-names":false,"suffix":""},{"dropping-particle":"","family":"Mills","given":"Gus","non-dropping-particle":"","parse-names":false,"suffix":""},{"dropping-particle":"","family":"Moehlman","given":"Patricia D","non-dropping-particle":"","parse-names":false,"suffix":""},{"dropping-particle":"","family":"Molur","given":"Sanjay","non-dropping-particle":"","parse-names":false,"suffix":""},{"dropping-particle":"","family":"Mora","given":"Arturo","non-dropping-particle":"","parse-names":false,"suffix":""},{"dropping-particle":"","family":"Nowell","given":"Kristin","non-dropping-particle":"","parse-names":false,"suffix":""},{"dropping-particle":"","family":"Oates","given":"John F","non-dropping-particle":"","parse-names":false,"suffix":""},{"dropping-particle":"","family":"Olech","given":"Wanda","non-dropping-particle":"","parse-names":false,"suffix":""},{"dropping-particle":"","family":"Oliver","given":"William R L","non-dropping-particle":"","parse-names":false,"suffix":""},{"dropping-particle":"","family":"Oprea","given":"Monik","non-dropping-particle":"","parse-names":false,"suffix":""},{"dropping-particle":"","family":"Patterson","given":"Bruce D","non-dropping-particle":"","parse-names":false,"suffix":""},{"dropping-particle":"","family":"Perrin","given":"William F","non-dropping-particle":"","parse-names":false,"suffix":""},{"dropping-particle":"","family":"Polidoro","given":"Beth A","non-dropping-particle":"","parse-names":false,"suffix":""},{"dropping-particle":"","family":"Pollock","given":"Caroline","non-dropping-particle":"","parse-names":false,"suffix":""},{"dropping-particle":"","family":"Powel","given":"Abigail","non-dropping-particle":"","parse-names":false,"suffix":""},{"dropping-particle":"","family":"Protas","given":"Yelizaveta","non-dropping-particle":"","parse-names":false,"suffix":""},{"dropping-particle":"","family":"Racey","given":"Paul","non-dropping-particle":"","parse-names":false,"suffix":""},{"dropping-particle":"","family":"Ragle","given":"Jim","non-dropping-particle":"","parse-names":false,"suffix":""},{"dropping-particle":"","family":"Ramani","given":"Pavithra","non-dropping-particle":"","parse-names":false,"suffix":""},{"dropping-particle":"","family":"Rathbun","given":"Galen","non-dropping-particle":"","parse-names":false,"suffix":""},{"dropping-particle":"","family":"Reeves","given":"Randall R","non-dropping-particle":"","parse-names":false,"suffix":""},{"dropping-particle":"","family":"Reilly","given":"Stephen B","non-dropping-particle":"","parse-names":false,"suffix":""},{"dropping-particle":"","family":"Iii","given":"John E Reynolds","non-dropping-particle":"","parse-names":false,"suffix":""},{"dropping-particle":"","family":"Rondinini","given":"Carlo","non-dropping-particle":"","parse-names":false,"suffix":""},{"dropping-particle":"","family":"Rosell-ambal","given":"Ruth Grace","non-dropping-particle":"","parse-names":false,"suffix":""},{"dropping-particle":"","family":"Rulli","given":"Monica","non-dropping-particle":"","parse-names":false,"suffix":""},{"dropping-particle":"","family":"Rylands","given":"Anthony B","non-dropping-particle":"","parse-names":false,"suffix":""},{"dropping-particle":"","family":"Savini","given":"Simona","non-dropping-particle":"","parse-names":false,"suffix":""},{"dropping-particle":"","family":"Schank","given":"Cody J","non-dropping-particle":"","parse-names":false,"suffix":""},{"dropping-particle":"","family":"Sechrest","given":"Wes","non-dropping-particle":"","parse-names":false,"suffix":""},{"dropping-particle":"","family":"Self-sullivan","given":"Caryn","non-dropping-particle":"","parse-names":false,"suffix":""},{"dropping-particle":"","family":"Shoemaker","given":"Alan","non-dropping-particle":"","parse-names":false,"suffix":""},{"dropping-particle":"","family":"Sillero-zubiri","given":"Claudio","non-dropping-particle":"","parse-names":false,"suffix":""},{"dropping-particle":"De","family":"Silva","given":"Naamal","non-dropping-particle":"","parse-names":false,"suffix":""},{"dropping-particle":"","family":"Smith","given":"David E","non-dropping-particle":"","parse-names":false,"suffix":""},{"dropping-particle":"","family":"Taylor","given":"Barbara L","non-dropping-particle":"","parse-names":false,"suffix":""},{"dropping-particle":"","family":"Timmins","given":"Rob","non-dropping-particle":"","parse-names":false,"suffix":""},{"dropping-particle":"","family":"Tirira","given":"Diego G","non-dropping-particle":"","parse-names":false,"suffix":""},{"dropping-particle":"","family":"Tognelli","given":"Marcelo F","non-dropping-particle":"","parse-names":false,"suffix":""},{"dropping-particle":"","family":"Tsytsulina","given":"Katerina","non-dropping-particle":"","parse-names":false,"suffix":""},{"dropping-particle":"","family":"Veiga","given":"Liza M","non-dropping-particle":"","parse-names":false,"suffix":""},{"dropping-particle":"","family":"Vié","given":"Jean-christophe","non-dropping-particle":"","parse-names":false,"suffix":""},{"dropping-particle":"","family":"Williamson","given":"Elizabeth A","non-dropping-particle":"","parse-names":false,"suffix":""},{"dropping-particle":"","family":"Wyatt","given":"Sarah A","non-dropping-particle":"","parse-names":false,"suffix":""},{"dropping-particle":"","family":"Xie","given":"Yan","non-dropping-particle":"","parse-names":false,"suffix":""},{"dropping-particle":"","family":"Young","given":"Bruce E","non-dropping-particle":"","parse-names":false,"suffix":""}],"id":"ITEM-1","issue":"October","issued":{"date-parts":[["2008"]]},"title":"The Status of the World ’ s Land Mammals: Diversity, Threats and Knowlegde","type":"article-journal","volume":"322"},"uris":["http://www.mendeley.com/documents/?uuid=0e2a60a1-6c87-4959-911a-3c69527b7608"]},{"id":"ITEM-2","itemData":{"DOI":"10.1002/ecs2.1624","ISBN":"2150-8925","ISSN":"21508925","abstract":"Southeast Asia (SE Asia) is a known global hotspot of biodiversity and endemism, yet the region is also one of the most biotically threatened. Ecosystems across the region are threatened by an array of drivers, each of which increases the probability of extinction of species in a variety of ecosystems. These issues are symptomatic of the issues that face the global tropics; however, with around 4 billion peo- ple in the wider region and the associated pressures on biodiversity, this region may be under some of the greatest levels of biotic threat. Deforestation rates in SE Asia are some of the highest globally, additionally Southeast Asia has the highest rate of mining in the tropics, the around the greatest number of hydropower dams under construction, and a consumption of species for traditional medicines which is a threat to biodi- versity globally. In this review, the greatest threats to regional biodiversity in the SE Asian region are dis- cussed. Tree-plantations and deforestation represents one of the most imminent threats, and some countries have already lost over half their original forest cover (i.e., the Philippines, parts of Indonesia), with projections of as much as 98% loss for some regions in the coming decade. Hunting and trade repre- sents a significant threat as demand stems not only for food, but also for medicine, for ornamentation, and as a status symbol. Mining represents a frequently overlooked threat, as the Asian region is one of the greatest exporters of limestone and various minerals globally, and the cost of this to biodiversity is not only through the direct loss of areas for mines, but also through the development of roads that further fragment the landscape, the leakage of heavy metals, and the destruction of limestone karsts, which represent global endemicity hotspots. Reservoir construction, wetland drainage, fires, pollution, invasive species, disease, and finally climate change are also considered. Once each issue has been discussed, the overall prognosis of regional biodiversity and priority actions to protect SE Asian biodiversity in the future is discussed. Key","author":[{"dropping-particle":"","family":"Hughes","given":"Alice C.","non-dropping-particle":"","parse-names":false,"suffix":""}],"container-title":"Ecosphere","id":"ITEM-2","issue":"1","issued":{"date-parts":[["2017"]]},"page":"e01624","title":"Understanding the drivers of Southeast Asian biodiversity loss","type":"article-journal","volume":"8"},"uris":["http://www.mendeley.com/documents/?uuid=29b2fbca-14d6-4e53-87b8-c97431c730c5"]}],"mendeley":{"formattedCitation":"(Schipper et al. 2008; Hughes 2017)","plainTextFormattedCitation":"(Schipper et al. 2008; Hughes 2017)","previouslyFormattedCitation":"(Schipper et al. 2008; Hughes 2017)"},"properties":{"noteIndex":0},"schema":"https://github.com/citation-style-language/schema/raw/master/csl-citation.json"}</w:instrText>
      </w:r>
      <w:r w:rsidR="007D672F">
        <w:rPr>
          <w:color w:val="000000" w:themeColor="text1"/>
        </w:rPr>
        <w:fldChar w:fldCharType="separate"/>
      </w:r>
      <w:r w:rsidR="007D672F" w:rsidRPr="007D672F">
        <w:rPr>
          <w:noProof/>
          <w:color w:val="000000" w:themeColor="text1"/>
        </w:rPr>
        <w:t>(Schipper et al. 2008; Hughes 2017)</w:t>
      </w:r>
      <w:r w:rsidR="007D672F">
        <w:rPr>
          <w:color w:val="000000" w:themeColor="text1"/>
        </w:rPr>
        <w:fldChar w:fldCharType="end"/>
      </w:r>
      <w:r w:rsidR="003E4F82" w:rsidRPr="00DA4708">
        <w:rPr>
          <w:color w:val="000000" w:themeColor="text1"/>
        </w:rPr>
        <w:t xml:space="preserve">. Hunting, largely to supply ever-expanding local, regional and global markets, constitutes the greatest current threat to wild vertebrates in the region; even in areas where good quality forest remain intact, these retain only a small proportion of their former vertebrate diversity and abundance </w:t>
      </w:r>
      <w:r w:rsidR="00D85704" w:rsidRPr="00DA4708">
        <w:rPr>
          <w:color w:val="000000" w:themeColor="text1"/>
        </w:rPr>
        <w:fldChar w:fldCharType="begin" w:fldLock="1"/>
      </w:r>
      <w:r w:rsidR="00D72B40">
        <w:rPr>
          <w:color w:val="000000" w:themeColor="text1"/>
        </w:rPr>
        <w:instrText>ADDIN CSL_CITATION {"citationItems":[{"id":"ITEM-1","itemData":{"DOI":"10.1111/cobi.12785","ISBN":"9788578110796","ISSN":"15231739","PMID":"25246403","abstract":"Although deforestation and forest degradation have long been considered the most significant threats to tropical biodiversity, across Southeast Asia (Northeast India, Indochina, Sundaland, Philippines) substantial areas of natural habitat have few wild animals (&gt;1 kg), bar a few hunting-tolerant species. To document hunting impacts on vertebrate populations regionally,we conducted an extensive literature review, including papers in local journals and reports of governmental and nongovernmental agencies. Evidence from multiple sites indicated animal populations declined precipitously across the region since approximately 1980, and many species are now extirpated from substantial portions of their former ranges. Hunting is by far the greatest immediate threat to the survival of most of the region’s endangered vertebrates. Causes of recent overhunting include improved access to forests and markets, improved hunting technology, and escalating demand for wildmeat, wildlife-derived medicinal products, and wild animals as pets. Although hunters often take common species, such as pigs or rats, for their own consumption, they take rarer species opportunistically and sell surplus meat and commercially valuable products. There is also widespread targeted hunting of high-value species. Consequently, as currently practiced, hunting cannot be considered sustainable anywhere in the region, and in most places enforcement of protected-area and protected-species legislation is weak. The international community’s focus on cross-border trade fails to address overexploitation of wildlife because hunting and the sale of wildmeat is largely a local issue and most of the harvest is consumed in villages, rural towns, and nearby cities. In addition to improved enforcement, efforts to engage hunters and manage wildlife populations through sustainable hunting practices are urgently needed. Unless there is a step change in efforts to reduce wildlife exploitation to sustainable levels, the region will likely lose most of its iconic species, and many others besides, within the next few years. Keywords:","author":[{"dropping-particle":"","family":"Harrison","given":"Rhett D.","non-dropping-particle":"","parse-names":false,"suffix":""},{"dropping-particle":"","family":"Sreekar","given":"Rachakonda","non-dropping-particle":"","parse-names":false,"suffix":""},{"dropping-particle":"","family":"Brodie","given":"Jedediah F.","non-dropping-particle":"","parse-names":false,"suffix":""},{"dropping-particle":"","family":"Brook","given":"Sarah","non-dropping-particle":"","parse-names":false,"suffix":""},{"dropping-particle":"","family":"Luskin","given":"Matthew","non-dropping-particle":"","parse-names":false,"suffix":""},{"dropping-particle":"","family":"O'Kelly","given":"Hannah","non-dropping-particle":"","parse-names":false,"suffix":""},{"dropping-particle":"","family":"Rao","given":"Madhu","non-dropping-particle":"","parse-names":false,"suffix":""},{"dropping-particle":"","family":"Scheffers","given":"Brett","non-dropping-particle":"","parse-names":false,"suffix":""},{"dropping-particle":"","family":"Velho","given":"Nandini","non-dropping-particle":"","parse-names":false,"suffix":""}],"container-title":"Conservation Biology","id":"ITEM-1","issue":"5","issued":{"date-parts":[["2016"]]},"page":"972-981","title":"Impacts of hunting on tropical forests in Southeast Asia","type":"article-journal","volume":"30"},"uris":["http://www.mendeley.com/documents/?uuid=9156a739-3962-4575-aeb8-3bbb3e13bd98"]}],"mendeley":{"formattedCitation":"(Harrison et al. 2016)","manualFormatting":"(Harrison et al., 2016)","plainTextFormattedCitation":"(Harrison et al. 2016)","previouslyFormattedCitation":"(Harrison et al. 2016)"},"properties":{"noteIndex":0},"schema":"https://github.com/citation-style-language/schema/raw/master/csl-citation.json"}</w:instrText>
      </w:r>
      <w:r w:rsidR="00D85704" w:rsidRPr="00DA4708">
        <w:rPr>
          <w:color w:val="000000" w:themeColor="text1"/>
        </w:rPr>
        <w:fldChar w:fldCharType="separate"/>
      </w:r>
      <w:r w:rsidR="00D85704" w:rsidRPr="00DA4708">
        <w:rPr>
          <w:noProof/>
          <w:color w:val="000000" w:themeColor="text1"/>
        </w:rPr>
        <w:t>(Harrison et al.</w:t>
      </w:r>
      <w:r w:rsidR="006C7887">
        <w:rPr>
          <w:noProof/>
          <w:color w:val="000000" w:themeColor="text1"/>
        </w:rPr>
        <w:t>,</w:t>
      </w:r>
      <w:r w:rsidR="00D85704" w:rsidRPr="00DA4708">
        <w:rPr>
          <w:noProof/>
          <w:color w:val="000000" w:themeColor="text1"/>
        </w:rPr>
        <w:t xml:space="preserve"> 2016)</w:t>
      </w:r>
      <w:r w:rsidR="00D85704" w:rsidRPr="00DA4708">
        <w:rPr>
          <w:color w:val="000000" w:themeColor="text1"/>
        </w:rPr>
        <w:fldChar w:fldCharType="end"/>
      </w:r>
      <w:r w:rsidR="00252E40" w:rsidRPr="00DA4708">
        <w:rPr>
          <w:color w:val="000000" w:themeColor="text1"/>
        </w:rPr>
        <w:t xml:space="preserve">. </w:t>
      </w:r>
      <w:r w:rsidR="00A171F1" w:rsidRPr="00DA4708">
        <w:rPr>
          <w:color w:val="000000" w:themeColor="text1"/>
        </w:rPr>
        <w:t xml:space="preserve">Only 1% of land in tropical Asia supports an intact fauna of mammals &gt;20kg </w:t>
      </w:r>
      <w:r w:rsidR="00A171F1" w:rsidRPr="00DA4708">
        <w:rPr>
          <w:color w:val="000000" w:themeColor="text1"/>
        </w:rPr>
        <w:fldChar w:fldCharType="begin" w:fldLock="1"/>
      </w:r>
      <w:r w:rsidR="00D72B40">
        <w:rPr>
          <w:color w:val="000000" w:themeColor="text1"/>
        </w:rPr>
        <w:instrText>ADDIN CSL_CITATION {"citationItems":[{"id":"ITEM-1","itemData":{"DOI":"10.1644/06-MAMM-A-124R2.1","ISBN":"0022-2372","ISSN":"0022-2372","PMID":"251846300001","abstract":"Large mammals often play critical roles within ecosystems by affecting either prey populations or the structure and species composition of surrounding vegetation. However, large mammals are highly vulnerable to extirpation by humans and consequently, severe contractions of species ranges result in intact large mammal faunas becoming increasingly rare. We compared historical (AD 1500) range maps of large mammals with their current distributions to determine which areas today retain complete assemblages of large mammals. We estimate that less than 21% of the earth’s terrestrial surface still contains all of the large (.20 kg) mammals it once held, with the proportion varying between 68% in Australasia to only 1% in Indomalaya. Although the presence of large mammals offers no guarantee of the presence of all smaller animals, their absence represents an ecologically based measurement of human impacts on biodiversity. Given the ecological importance of large mammals and their vulnerability to extinction, better protection and extension of sites containing complete assemblages of large mammals is urgently needed.","author":[{"dropping-particle":"","family":"Morrison","given":"John C.","non-dropping-particle":"","parse-names":false,"suffix":""},{"dropping-particle":"","family":"Sechrest","given":"Wes","non-dropping-particle":"","parse-names":false,"suffix":""},{"dropping-particle":"","family":"Dinerstein","given":"Eric","non-dropping-particle":"","parse-names":false,"suffix":""},{"dropping-particle":"","family":"Wilcove","given":"David S.","non-dropping-particle":"","parse-names":false,"suffix":""},{"dropping-particle":"","family":"Lamoreux","given":"John F.","non-dropping-particle":"","parse-names":false,"suffix":""}],"container-title":"Journal of Mammalogy","id":"ITEM-1","issue":"6","issued":{"date-parts":[["2007"]]},"page":"1363-1380","title":"Persistence of large mammal faunas as indicators of global human impacts","type":"article-journal","volume":"88"},"uris":["http://www.mendeley.com/documents/?uuid=026c9444-d979-482c-9b11-f81792848aea"]}],"mendeley":{"formattedCitation":"(Morrison et al. 2007)","manualFormatting":"(Morrison et al., 2007)","plainTextFormattedCitation":"(Morrison et al. 2007)","previouslyFormattedCitation":"(Morrison et al. 2007)"},"properties":{"noteIndex":0},"schema":"https://github.com/citation-style-language/schema/raw/master/csl-citation.json"}</w:instrText>
      </w:r>
      <w:r w:rsidR="00A171F1" w:rsidRPr="00DA4708">
        <w:rPr>
          <w:color w:val="000000" w:themeColor="text1"/>
        </w:rPr>
        <w:fldChar w:fldCharType="separate"/>
      </w:r>
      <w:r w:rsidR="00A171F1" w:rsidRPr="00DA4708">
        <w:rPr>
          <w:noProof/>
          <w:color w:val="000000" w:themeColor="text1"/>
        </w:rPr>
        <w:t>(Morrison et al.</w:t>
      </w:r>
      <w:r w:rsidR="006C7887">
        <w:rPr>
          <w:noProof/>
          <w:color w:val="000000" w:themeColor="text1"/>
        </w:rPr>
        <w:t>,</w:t>
      </w:r>
      <w:r w:rsidR="00A171F1" w:rsidRPr="00DA4708">
        <w:rPr>
          <w:noProof/>
          <w:color w:val="000000" w:themeColor="text1"/>
        </w:rPr>
        <w:t xml:space="preserve"> 2007)</w:t>
      </w:r>
      <w:r w:rsidR="00A171F1" w:rsidRPr="00DA4708">
        <w:rPr>
          <w:color w:val="000000" w:themeColor="text1"/>
        </w:rPr>
        <w:fldChar w:fldCharType="end"/>
      </w:r>
      <w:r w:rsidR="00A171F1" w:rsidRPr="00DA4708">
        <w:rPr>
          <w:color w:val="000000" w:themeColor="text1"/>
        </w:rPr>
        <w:t xml:space="preserve">. </w:t>
      </w:r>
      <w:r w:rsidR="003E4F82" w:rsidRPr="00DA4708">
        <w:rPr>
          <w:color w:val="000000" w:themeColor="text1"/>
        </w:rPr>
        <w:t xml:space="preserve">Local studies of wildlife hunting </w:t>
      </w:r>
      <w:r w:rsidR="00A171F1" w:rsidRPr="00DA4708">
        <w:rPr>
          <w:color w:val="000000" w:themeColor="text1"/>
        </w:rPr>
        <w:t>also</w:t>
      </w:r>
      <w:r w:rsidR="003E4F82" w:rsidRPr="00DA4708">
        <w:rPr>
          <w:color w:val="000000" w:themeColor="text1"/>
        </w:rPr>
        <w:t xml:space="preserve"> </w:t>
      </w:r>
      <w:r w:rsidR="00A171F1" w:rsidRPr="00DA4708">
        <w:rPr>
          <w:color w:val="000000" w:themeColor="text1"/>
        </w:rPr>
        <w:t>confirm</w:t>
      </w:r>
      <w:r w:rsidR="003E4F82" w:rsidRPr="00DA4708">
        <w:rPr>
          <w:color w:val="000000" w:themeColor="text1"/>
        </w:rPr>
        <w:t xml:space="preserve"> </w:t>
      </w:r>
      <w:r w:rsidR="00A171F1" w:rsidRPr="00DA4708">
        <w:rPr>
          <w:color w:val="000000" w:themeColor="text1"/>
        </w:rPr>
        <w:t xml:space="preserve">such defaunation effects </w:t>
      </w:r>
      <w:r w:rsidR="00AB05AC">
        <w:rPr>
          <w:color w:val="000000" w:themeColor="text1"/>
        </w:rPr>
        <w:fldChar w:fldCharType="begin" w:fldLock="1"/>
      </w:r>
      <w:r w:rsidR="00303311">
        <w:rPr>
          <w:color w:val="000000" w:themeColor="text1"/>
        </w:rPr>
        <w:instrText>ADDIN CSL_CITATION {"citationItems":[{"id":"ITEM-1","itemData":{"ISSN":"s","abstract":"Hunting is a serious threat to wildlife worldwide. The rainforest-rich Arunachal Pradesh state of India, a biodiversity hotspot, is an area severely affected by indigenous hunting. The state has several indigenous tribes who hunt for food, trade, culture and leisure. Using semi-structured interviews and questionnaires we surveyed 184 individuals in 51 villages across four tribes for information on species hunted and hunting practices. A total of 33 mammalian species are reportedly hunted, of which only 11 were reported by hunters during formal interviews. The other 22 species were observed during casual visits, festivals and informal discussions. Of the species hunted 20 are Endangered, Vulnerable or Near Threatened on the IUCN Red List. Villagers now travel longer distances to hunt than they did a decade ago, suggesting a decline in wildlife populations around villages. The extent of offtake of mammals was related to the altitude of the village and the use of guns. Villagers living at higher altitudes and with guns appeared to hunt more. We also documented the importance of ritualistic hunting by some tribes. Additional research is required to estimate offtake and consumption rates of wild meat. Increasing conservation awareness and community-based conservation projects may assist in controlling the severity and extent of this hunting problem.","author":[{"dropping-particle":"","family":"Aiyadurai","given":"A","non-dropping-particle":"","parse-names":false,"suffix":""},{"dropping-particle":"","family":"Singh","given":"N.J.","non-dropping-particle":"","parse-names":false,"suffix":""},{"dropping-particle":"","family":"Milner-Gulland","given":"E.J.","non-dropping-particle":"","parse-names":false,"suffix":""}],"container-title":"Oryx","id":"ITEM-1","issue":"4","issued":{"date-parts":[["2010"]]},"page":"564 - 572","title":"Wildlife hunting by indigenous tribes: a case study from Arunachal Pradesh, north-east India","type":"article-journal","volume":"44"},"uris":["http://www.mendeley.com/documents/?uuid=0da3b84c-d7b5-4ee0-a9e5-246122c43739"]},{"id":"ITEM-2","itemData":{"DOI":"10.1021/ac50157a900","ISSN":"0003-2700","PMID":"23325266","author":[{"dropping-particle":"","family":"Johnson","given":"A","non-dropping-particle":"","parse-names":false,"suffix":""},{"dropping-particle":"","family":"Singh","given":"S","non-dropping-particle":"","parse-names":false,"suffix":""},{"dropping-particle":"","family":"Dongdala","given":"M","non-dropping-particle":"","parse-names":false,"suffix":""},{"dropping-particle":"","family":"Vongsa","given":"O","non-dropping-particle":"","parse-names":false,"suffix":""}],"id":"ITEM-2","issued":{"date-parts":[["2003"]]},"publisher-place":"Vientiane","title":"Wildlife hunting and use in the Nam Ha National Protected Area: Implications for rural livelihoods and biodiversity conservation. December 2003.","type":"report"},"uris":["http://www.mendeley.com/documents/?uuid=3a1e02d8-3973-44b9-96cf-cb86a06ee04d"]},{"id":"ITEM-3","itemData":{"DOI":"10.1007/s00267-010-9519-x","ISBN":"0364-152x","ISSN":"0364152X","PMID":"20593177","abstract":"The Hponkanrazi Wildlife Sanctuary, North Myanmar and three contiguous protected areas, comprise some of the largest expanses of natural forest remaining in the region. Demand for wildlife products has resulted in unsustainable exploitation of commercially valuable species resulting in local extirpation of vulnerable species. Camera trap, track and sign, and questionnaire-based surveys were used to examine (a) wildlife species targeted by hunters, (b) the importance of wild meat for household consumption, and (c) the significance of hunting as a livelihood activity for resident villages. Certain commercially valuable species highly preferred by hunters were either completely absent from hunt records (tiger, musk deer and otter) or infrequently obtained during actual hunts (bear, pangolin). Species obtained by hunters were commonly occurring species such as muntjacs with low commercial value and not highly preferred by hunters. Fifty eight percent of respondents (n = 84) indicated trade, 27% listed subsistence use and 14% listed human-wildlife conflict as the main reason for hunting (n = 84). Average amount of wild meat consumed per month is not significantly higher during the hunting season compared to the planting season (paired t-test, P &gt; 0.05). Throughout the year, the average amount of fish consumed per month was higher than livestock or wild meat (Friedman test, P &lt; 0.0001). Hunting is driven largely by trade and wild meat, while not a critical source of food for a large number of families could potentially be an important, indirect source of access to food for hunting families. Findings and trends from this study are potentially useful in helping design effective conservation strategies to address globally prevalent problems of declining wildlife populations and dependent human communities. The study provides recommendations to reduce illegal hunting and protect vulnerable species by strengthening park management through enforcement, increasing the opportunity costs of poaching, establishing no-take zones and research to determine the economic significance of hunting for livelihoods.","author":[{"dropping-particle":"","family":"Rao","given":"Madhu","non-dropping-particle":"","parse-names":false,"suffix":""},{"dropping-particle":"","family":"Htun","given":"Saw","non-dropping-particle":"","parse-names":false,"suffix":""},{"dropping-particle":"","family":"Zaw","given":"Than","non-dropping-particle":"","parse-names":false,"suffix":""},{"dropping-particle":"","family":"Myint","given":"Than","non-dropping-particle":"","parse-names":false,"suffix":""}],"container-title":"Environmental Management","id":"ITEM-3","issue":"2","issued":{"date-parts":[["2010"]]},"page":"143-153","title":"Hunting, livelihoods and declining wildlife in the Hponkanrazi wildlife sanctuary, North Myanmar","type":"article-journal","volume":"46"},"uris":["http://www.mendeley.com/documents/?uuid=628e13ca-14f1-4766-ba54-5bd34709b836"]}],"mendeley":{"formattedCitation":"(Johnson et al. 2003; Aiyadurai et al. 2010; Rao et al. 2010)","plainTextFormattedCitation":"(Johnson et al. 2003; Aiyadurai et al. 2010; Rao et al. 2010)","previouslyFormattedCitation":"(Johnson et al. 2003; Aiyadurai et al. 2010; Rao et al. 2010)"},"properties":{"noteIndex":0},"schema":"https://github.com/citation-style-language/schema/raw/master/csl-citation.json"}</w:instrText>
      </w:r>
      <w:r w:rsidR="00AB05AC">
        <w:rPr>
          <w:color w:val="000000" w:themeColor="text1"/>
        </w:rPr>
        <w:fldChar w:fldCharType="separate"/>
      </w:r>
      <w:r w:rsidR="00303311" w:rsidRPr="00303311">
        <w:rPr>
          <w:noProof/>
          <w:color w:val="000000" w:themeColor="text1"/>
        </w:rPr>
        <w:t>(Johnson et al. 2003; Aiyadurai et al. 2010; Rao et al. 2010)</w:t>
      </w:r>
      <w:r w:rsidR="00AB05AC">
        <w:rPr>
          <w:color w:val="000000" w:themeColor="text1"/>
        </w:rPr>
        <w:fldChar w:fldCharType="end"/>
      </w:r>
      <w:r w:rsidR="00AB05AC">
        <w:rPr>
          <w:color w:val="000000" w:themeColor="text1"/>
        </w:rPr>
        <w:t>.</w:t>
      </w:r>
    </w:p>
    <w:p w14:paraId="2044E74F" w14:textId="4B4DBFA7" w:rsidR="00225F57" w:rsidRPr="0070404D" w:rsidRDefault="008D1462" w:rsidP="00C258BC">
      <w:pPr>
        <w:jc w:val="both"/>
        <w:rPr>
          <w:color w:val="000000" w:themeColor="text1"/>
        </w:rPr>
      </w:pPr>
      <w:r w:rsidRPr="0070404D">
        <w:rPr>
          <w:color w:val="000000" w:themeColor="text1"/>
        </w:rPr>
        <w:t xml:space="preserve">Larger animals tend to be the most lucrative species to hunt, and so are typically </w:t>
      </w:r>
      <w:r w:rsidR="007A3FE2" w:rsidRPr="0070404D">
        <w:rPr>
          <w:color w:val="000000" w:themeColor="text1"/>
        </w:rPr>
        <w:t>targeted</w:t>
      </w:r>
      <w:r w:rsidRPr="0070404D">
        <w:rPr>
          <w:color w:val="000000" w:themeColor="text1"/>
        </w:rPr>
        <w:t xml:space="preserve"> first by hunters </w:t>
      </w:r>
      <w:r w:rsidR="00303311">
        <w:rPr>
          <w:color w:val="000000" w:themeColor="text1"/>
        </w:rPr>
        <w:fldChar w:fldCharType="begin" w:fldLock="1"/>
      </w:r>
      <w:r w:rsidR="00AB268B">
        <w:rPr>
          <w:color w:val="000000" w:themeColor="text1"/>
        </w:rPr>
        <w:instrText>ADDIN CSL_CITATION {"citationItems":[{"id":"ITEM-1","itemData":{"author":[{"dropping-particle":"","family":"Maisels","given":"F","non-dropping-particle":"","parse-names":false,"suffix":""},{"dropping-particle":"","family":"Keming","given":"E","non-dropping-particle":"","parse-names":false,"suffix":""},{"dropping-particle":"","family":"Kemei","given":"M","non-dropping-particle":"","parse-names":false,"suffix":""},{"dropping-particle":"","family":"Toh","given":"C","non-dropping-particle":"","parse-names":false,"suffix":""}],"container-title":"Oryx","id":"ITEM-1","issue":"4","issued":{"date-parts":[["2001"]]},"page":"322-331","title":"Large mammal extinction and implications for montane forest conservation: a case study from the Kilum-Ijim Forest, North-West Province, Cameroon","type":"article-journal","volume":"35"},"uris":["http://www.mendeley.com/documents/?uuid=379c912e-ebf2-47ca-a32b-4b78c3c55383"]},{"id":"ITEM-2","itemData":{"DOI":"10.1016/j.biocon.2012.12.020","ISBN":"00063207","ISSN":"00063207","PMID":"25246403","abstract":"The bushmeat trade, or the illegal acquisition and exchange of wild meat, has long been recognised as a severe problem in forest biomes, but receives little attention in savannas, perhaps due to a misconception that bushmeat hunting is a low-impact subsistence activity. Though data on impacts are scarce, indications are that bushmeat hunting is a widespread problem in savannas, with severe impacts on wildlife populations and wildlife-based land uses. The impacts of the bushmeat trade in savannas vary from edge-effects around protected areas, to disproportionate declines of some species, to severe wildlife declines in areas with inadequate anti-poaching. In some areas, bushmeat contributes significantly to food security, but these benefits are unsustainable, and hunting is wasteful, utilising a fraction of the wildlife killed or of its financial value obtainable through tourism, trophy hunting and/or legal game meat production. The bushmeat trade appears to be becoming increasingly commercialised due to elevated demand in rural areas, urban centres and even overseas cities. Other drivers for the trade include human encroachment of wildlife areas; poverty and food insecurity; and inadequate legal frameworks to enable communities to benefit legally from wildlife, and to create incentives for people to desist from illegal bushmeat hunting. These drivers are exacerbated by inadequate wildlife laws and enforcement and in some areas, political instability. Urgent efforts are needed to address these drivers and raise awareness among local and international governments of the seriousness of the threat. Failure to address this will result in severe wildlife declines widely in African savannas, with significant ecological, economic and social impacts. © 2012 Elsevier Ltd.","author":[{"dropping-particle":"","family":"Lindsey","given":"Peter Andrew","non-dropping-particle":"","parse-names":false,"suffix":""},{"dropping-particle":"","family":"Balme","given":"Guy","non-dropping-particle":"","parse-names":false,"suffix":""},{"dropping-particle":"","family":"Becker","given":"Matthew","non-dropping-particle":"","parse-names":false,"suffix":""},{"dropping-particle":"","family":"Begg","given":"Colleen","non-dropping-particle":"","parse-names":false,"suffix":""},{"dropping-particle":"","family":"Bento","given":"Carlos","non-dropping-particle":"","parse-names":false,"suffix":""},{"dropping-particle":"","family":"Bocchino","given":"Clara","non-dropping-particle":"","parse-names":false,"suffix":""},{"dropping-particle":"","family":"Dickman","given":"Amy","non-dropping-particle":"","parse-names":false,"suffix":""},{"dropping-particle":"","family":"Diggle","given":"Richard W.","non-dropping-particle":"","parse-names":false,"suffix":""},{"dropping-particle":"","family":"Eves","given":"Heather","non-dropping-particle":"","parse-names":false,"suffix":""},{"dropping-particle":"","family":"Henschel","given":"Philipp","non-dropping-particle":"","parse-names":false,"suffix":""},{"dropping-particle":"","family":"Lewis","given":"Dale","non-dropping-particle":"","parse-names":false,"suffix":""},{"dropping-particle":"","family":"Marnewick","given":"Kelly","non-dropping-particle":"","parse-names":false,"suffix":""},{"dropping-particle":"","family":"Mattheus","given":"Jaco","non-dropping-particle":"","parse-names":false,"suffix":""},{"dropping-particle":"","family":"Weldon McNutt","given":"J.","non-dropping-particle":"","parse-names":false,"suffix":""},{"dropping-particle":"","family":"McRobb","given":"Rachel","non-dropping-particle":"","parse-names":false,"suffix":""},{"dropping-particle":"","family":"Midlane","given":"Neil","non-dropping-particle":"","parse-names":false,"suffix":""},{"dropping-particle":"","family":"Milanzi","given":"James","non-dropping-particle":"","parse-names":false,"suffix":""},{"dropping-particle":"","family":"Morley","given":"Robert","non-dropping-particle":"","parse-names":false,"suffix":""},{"dropping-particle":"","family":"Murphree","given":"Michael","non-dropping-particle":"","parse-names":false,"suffix":""},{"dropping-particle":"","family":"Opyene","given":"Vincent","non-dropping-particle":"","parse-names":false,"suffix":""},{"dropping-particle":"","family":"Phadima","given":"Joe","non-dropping-particle":"","parse-names":false,"suffix":""},{"dropping-particle":"","family":"Purchase","given":"Gianetta","non-dropping-particle":"","parse-names":false,"suffix":""},{"dropping-particle":"","family":"Rentsch","given":"Dennis","non-dropping-particle":"","parse-names":false,"suffix":""},{"dropping-particle":"","family":"Roche","given":"Christopher","non-dropping-particle":"","parse-names":false,"suffix":""},{"dropping-particle":"","family":"Shaw","given":"Joanne","non-dropping-particle":"","parse-names":false,"suffix":""},{"dropping-particle":"van der","family":"Westhuizen","given":"Hugo","non-dropping-particle":"","parse-names":false,"suffix":""},{"dropping-particle":"Van","family":"Vliet","given":"Nathalie","non-dropping-particle":"","parse-names":false,"suffix":""},{"dropping-particle":"","family":"Zisadza-Gandiwa","given":"Patience","non-dropping-particle":"","parse-names":false,"suffix":""}],"container-title":"Biological Conservation","id":"ITEM-2","issued":{"date-parts":[["2013"]]},"page":"80-96","title":"The bushmeat trade in African savannas: Impacts, drivers, and possible solutions","type":"article-journal","volume":"160"},"uris":["http://www.mendeley.com/documents/?uuid=c895dd6c-1f97-4744-b4cc-30da58bbc9b4"]},{"id":"ITEM-3","itemData":{"author":[{"dropping-particle":"","family":"Constantino","given":"Pedro de Araujo Lima","non-dropping-particle":"","parse-names":false,"suffix":""}],"container-title":"Ecology and Society","id":"ITEM-3","issue":"2","issued":{"date-parts":[["2016"]]},"page":"3","title":"Deforestation and hunting effects on wildlife across Amazonian indigenous lands","type":"article-journal","volume":"21"},"uris":["http://www.mendeley.com/documents/?uuid=1d81229c-f0bb-41c0-ac05-1ed648a34164"]}],"mendeley":{"formattedCitation":"(Maisels et al. 2001; Lindsey et al. 2013a; Constantino 2016)","plainTextFormattedCitation":"(Maisels et al. 2001; Lindsey et al. 2013a; Constantino 2016)","previouslyFormattedCitation":"(Maisels et al. 2001; Lindsey et al. 2013a; Constantino 2016)"},"properties":{"noteIndex":0},"schema":"https://github.com/citation-style-language/schema/raw/master/csl-citation.json"}</w:instrText>
      </w:r>
      <w:r w:rsidR="00303311">
        <w:rPr>
          <w:color w:val="000000" w:themeColor="text1"/>
        </w:rPr>
        <w:fldChar w:fldCharType="separate"/>
      </w:r>
      <w:r w:rsidR="00730F44" w:rsidRPr="00730F44">
        <w:rPr>
          <w:noProof/>
          <w:color w:val="000000" w:themeColor="text1"/>
        </w:rPr>
        <w:t>(Maisels et al. 2001; Lindsey et al. 2013a; Constantino 2016)</w:t>
      </w:r>
      <w:r w:rsidR="00303311">
        <w:rPr>
          <w:color w:val="000000" w:themeColor="text1"/>
        </w:rPr>
        <w:fldChar w:fldCharType="end"/>
      </w:r>
      <w:r w:rsidRPr="004904D8">
        <w:rPr>
          <w:color w:val="000000" w:themeColor="text1"/>
        </w:rPr>
        <w:t>. When their populations decline, at some point the time and effort required to catch these large species will outweigh the potential gain</w:t>
      </w:r>
      <w:r w:rsidR="00FC01C0">
        <w:rPr>
          <w:color w:val="000000" w:themeColor="text1"/>
        </w:rPr>
        <w:t>. As a result,</w:t>
      </w:r>
      <w:r w:rsidRPr="004904D8">
        <w:rPr>
          <w:color w:val="000000" w:themeColor="text1"/>
        </w:rPr>
        <w:t xml:space="preserve"> hunters change to targeting the mid-size species until finally, if overexploitation is sustained, the hunt will primarily target small </w:t>
      </w:r>
      <w:r w:rsidR="00303311">
        <w:rPr>
          <w:color w:val="000000" w:themeColor="text1"/>
        </w:rPr>
        <w:fldChar w:fldCharType="begin" w:fldLock="1"/>
      </w:r>
      <w:r w:rsidR="00303311">
        <w:rPr>
          <w:color w:val="000000" w:themeColor="text1"/>
        </w:rPr>
        <w:instrText>ADDIN CSL_CITATION {"citationItems":[{"id":"ITEM-1","itemData":{"author":[{"dropping-particle":"","family":"Jerozolimski","given":"Adriano","non-dropping-particle":"","parse-names":false,"suffix":""},{"dropping-particle":"","family":"Peres","given":"Carlos A","non-dropping-particle":"","parse-names":false,"suffix":""}],"container-title":"Biological Conservation","id":"ITEM-1","issued":{"date-parts":[["2003"]]},"page":"415-425","title":"Bringing home the biggest bacon: a cross-site analysis of the structure of hunter-kill profiles in Neotropical forests","type":"article-journal","volume":"111"},"uris":["http://www.mendeley.com/documents/?uuid=6bf3a22a-7b0e-4dfb-be28-6ec52b7815da"]}],"mendeley":{"formattedCitation":"(Jerozolimski &amp; Peres 2003)","plainTextFormattedCitation":"(Jerozolimski &amp; Peres 2003)","previouslyFormattedCitation":"(Jerozolimski &amp; Peres 2003)"},"properties":{"noteIndex":0},"schema":"https://github.com/citation-style-language/schema/raw/master/csl-citation.json"}</w:instrText>
      </w:r>
      <w:r w:rsidR="00303311">
        <w:rPr>
          <w:color w:val="000000" w:themeColor="text1"/>
        </w:rPr>
        <w:fldChar w:fldCharType="separate"/>
      </w:r>
      <w:r w:rsidR="00303311" w:rsidRPr="00906FC0">
        <w:rPr>
          <w:noProof/>
          <w:color w:val="000000" w:themeColor="text1"/>
        </w:rPr>
        <w:t>(Jerozolimski &amp; Peres 2003)</w:t>
      </w:r>
      <w:r w:rsidR="00303311">
        <w:rPr>
          <w:color w:val="000000" w:themeColor="text1"/>
        </w:rPr>
        <w:fldChar w:fldCharType="end"/>
      </w:r>
      <w:r w:rsidRPr="005512D2">
        <w:rPr>
          <w:color w:val="000000" w:themeColor="text1"/>
        </w:rPr>
        <w:t>. However, throughout this process, the largest species of a multi-species hunt will continue to be opportunistically captured whenever possible</w:t>
      </w:r>
      <w:r w:rsidR="008879D5">
        <w:rPr>
          <w:color w:val="000000" w:themeColor="text1"/>
        </w:rPr>
        <w:t>, preventing large species recovery, even once the primary target is now a smaller species</w:t>
      </w:r>
      <w:r w:rsidRPr="005512D2">
        <w:rPr>
          <w:color w:val="000000" w:themeColor="text1"/>
        </w:rPr>
        <w:t xml:space="preserve"> </w:t>
      </w:r>
      <w:r w:rsidR="00303311">
        <w:rPr>
          <w:color w:val="000000" w:themeColor="text1"/>
        </w:rPr>
        <w:fldChar w:fldCharType="begin" w:fldLock="1"/>
      </w:r>
      <w:r w:rsidR="00303311">
        <w:rPr>
          <w:color w:val="000000" w:themeColor="text1"/>
        </w:rPr>
        <w:instrText>ADDIN CSL_CITATION {"citationItems":[{"id":"ITEM-1","itemData":{"DOI":"10.1017/S1367943004001532","author":[{"dropping-particle":"","family":"Robinson","given":"John G","non-dropping-particle":"","parse-names":false,"suffix":""},{"dropping-particle":"","family":"Bennett","given":"Elizabeth L","non-dropping-particle":"","parse-names":false,"suffix":""}],"container-title":"Animal Conservation","id":"ITEM-1","issued":{"date-parts":[["2004"]]},"page":"397-408","title":"Having your wildlife and eating it too: an analysis of hunting sustainability across tropical ecosystems","type":"article-journal","volume":"7"},"uris":["http://www.mendeley.com/documents/?uuid=081b2359-707f-4126-8bc5-61422cfc0683"]}],"mendeley":{"formattedCitation":"(Robinson &amp; Bennett 2004)","plainTextFormattedCitation":"(Robinson &amp; Bennett 2004)","previouslyFormattedCitation":"(Robinson &amp; Bennett 2004)"},"properties":{"noteIndex":0},"schema":"https://github.com/citation-style-language/schema/raw/master/csl-citation.json"}</w:instrText>
      </w:r>
      <w:r w:rsidR="00303311">
        <w:rPr>
          <w:color w:val="000000" w:themeColor="text1"/>
        </w:rPr>
        <w:fldChar w:fldCharType="separate"/>
      </w:r>
      <w:r w:rsidR="00303311" w:rsidRPr="00906FC0">
        <w:rPr>
          <w:noProof/>
          <w:color w:val="000000" w:themeColor="text1"/>
        </w:rPr>
        <w:t>(Robinson &amp; Bennett 2004)</w:t>
      </w:r>
      <w:r w:rsidR="00303311">
        <w:rPr>
          <w:color w:val="000000" w:themeColor="text1"/>
        </w:rPr>
        <w:fldChar w:fldCharType="end"/>
      </w:r>
      <w:r w:rsidRPr="005512D2">
        <w:rPr>
          <w:color w:val="000000" w:themeColor="text1"/>
        </w:rPr>
        <w:t>. In addition, snares, which are largely indiscriminate in what they catch, are now widel</w:t>
      </w:r>
      <w:r w:rsidRPr="0064175F">
        <w:rPr>
          <w:color w:val="000000" w:themeColor="text1"/>
        </w:rPr>
        <w:t xml:space="preserve">y used in Africa and Asia </w:t>
      </w:r>
      <w:r w:rsidR="00303311">
        <w:rPr>
          <w:color w:val="000000" w:themeColor="text1"/>
        </w:rPr>
        <w:fldChar w:fldCharType="begin" w:fldLock="1"/>
      </w:r>
      <w:r w:rsidR="00184775">
        <w:rPr>
          <w:color w:val="000000" w:themeColor="text1"/>
        </w:rPr>
        <w:instrText>ADDIN CSL_CITATION {"citationItems":[{"id":"ITEM-1","itemData":{"DOI":"10.1111/j.1523-1739.1998.96027.x","ISSN":"08888892","author":[{"dropping-particle":"","family":"Noss","given":"Andrew J.","non-dropping-particle":"","parse-names":false,"suffix":""}],"container-title":"Conservation Biology","id":"ITEM-1","issue":"2","issued":{"date-parts":[["1998","7","7"]]},"page":"390-398","title":"The impacts of cable snare hunting on wildlife populations in the forests of the Central African Republic","type":"article-journal","volume":"12"},"uris":["http://www.mendeley.com/documents/?uuid=16208071-be57-4c41-9457-c8f1a7b465a8"]},{"id":"ITEM-2","itemData":{"DOI":"10.1016/j.biocon.2004.04.016","ISSN":"00063207","author":[{"dropping-particle":"","family":"Fa","given":"John E.","non-dropping-particle":"","parse-names":false,"suffix":""},{"dropping-particle":"","family":"Ryan","given":"Sarah F.","non-dropping-particle":"","parse-names":false,"suffix":""},{"dropping-particle":"","family":"Bell","given":"Diana J.","non-dropping-particle":"","parse-names":false,"suffix":""}],"container-title":"Biological Conservation","id":"ITEM-2","issue":"2","issued":{"date-parts":[["2005","1"]]},"page":"167-176","title":"Hunting vulnerability, ecological characteristics and harvest rates of bushmeat species in afrotropical forests","type":"article-journal","volume":"121"},"uris":["http://www.mendeley.com/documents/?uuid=8773490d-127b-43e1-b8ec-42eaace732e4"]},{"id":"ITEM-3","itemData":{"DOI":"10.1111/cobi.12785","ISBN":"9788578110796","ISSN":"15231739","PMID":"25246403","abstract":"Although deforestation and forest degradation have long been considered the most significant threats to tropical biodiversity, across Southeast Asia (Northeast India, Indochina, Sundaland, Philippines) substantial areas of natural habitat have few wild animals (&gt;1 kg), bar a few hunting-tolerant species. To document hunting impacts on vertebrate populations regionally,we conducted an extensive literature review, including papers in local journals and reports of governmental and nongovernmental agencies. Evidence from multiple sites indicated animal populations declined precipitously across the region since approximately 1980, and many species are now extirpated from substantial portions of their former ranges. Hunting is by far the greatest immediate threat to the survival of most of the region’s endangered vertebrates. Causes of recent overhunting include improved access to forests and markets, improved hunting technology, and escalating demand for wildmeat, wildlife-derived medicinal products, and wild animals as pets. Although hunters often take common species, such as pigs or rats, for their own consumption, they take rarer species opportunistically and sell surplus meat and commercially valuable products. There is also widespread targeted hunting of high-value species. Consequently, as currently practiced, hunting cannot be considered sustainable anywhere in the region, and in most places enforcement of protected-area and protected-species legislation is weak. The international community’s focus on cross-border trade fails to address overexploitation of wildlife because hunting and the sale of wildmeat is largely a local issue and most of the harvest is consumed in villages, rural towns, and nearby cities. In addition to improved enforcement, efforts to engage hunters and manage wildlife populations through sustainable hunting practices are urgently needed. Unless there is a step change in efforts to reduce wildlife exploitation to sustainable levels, the region will likely lose most of its iconic species, and many others besides, within the next few years. Keywords:","author":[{"dropping-particle":"","family":"Harrison","given":"Rhett D.","non-dropping-particle":"","parse-names":false,"suffix":""},{"dropping-particle":"","family":"Sreekar","given":"Rachakonda","non-dropping-particle":"","parse-names":false,"suffix":""},{"dropping-particle":"","family":"Brodie","given":"Jedediah F.","non-dropping-particle":"","parse-names":false,"suffix":""},{"dropping-particle":"","family":"Brook","given":"Sarah","non-dropping-particle":"","parse-names":false,"suffix":""},{"dropping-particle":"","family":"Luskin","given":"Matthew","non-dropping-particle":"","parse-names":false,"suffix":""},{"dropping-particle":"","family":"O'Kelly","given":"Hannah","non-dropping-particle":"","parse-names":false,"suffix":""},{"dropping-particle":"","family":"Rao","given":"Madhu","non-dropping-particle":"","parse-names":false,"suffix":""},{"dropping-particle":"","family":"Scheffers","given":"Brett","non-dropping-particle":"","parse-names":false,"suffix":""},{"dropping-particle":"","family":"Velho","given":"Nandini","non-dropping-particle":"","parse-names":false,"suffix":""}],"container-title":"Conservation Biology","id":"ITEM-3","issue":"5","issued":{"date-parts":[["2016"]]},"page":"972-981","title":"Impacts of hunting on tropical forests in Southeast Asia","type":"article-journal","volume":"30"},"uris":["http://www.mendeley.com/documents/?uuid=9156a739-3962-4575-aeb8-3bbb3e13bd98"]}],"mendeley":{"formattedCitation":"(Noss 1998; Fa et al. 2005; Harrison et al. 2016)","plainTextFormattedCitation":"(Noss 1998; Fa et al. 2005; Harrison et al. 2016)","previouslyFormattedCitation":"(Noss 1998; Fa et al. 2005; Harrison et al. 2016)"},"properties":{"noteIndex":0},"schema":"https://github.com/citation-style-language/schema/raw/master/csl-citation.json"}</w:instrText>
      </w:r>
      <w:r w:rsidR="00303311">
        <w:rPr>
          <w:color w:val="000000" w:themeColor="text1"/>
        </w:rPr>
        <w:fldChar w:fldCharType="separate"/>
      </w:r>
      <w:r w:rsidR="00303311" w:rsidRPr="004345F7">
        <w:rPr>
          <w:noProof/>
          <w:color w:val="000000" w:themeColor="text1"/>
        </w:rPr>
        <w:t>(Noss 1998; Fa et al. 2005; Harrison et al. 2016)</w:t>
      </w:r>
      <w:r w:rsidR="00303311">
        <w:rPr>
          <w:color w:val="000000" w:themeColor="text1"/>
        </w:rPr>
        <w:fldChar w:fldCharType="end"/>
      </w:r>
      <w:r w:rsidRPr="0070404D">
        <w:rPr>
          <w:color w:val="000000" w:themeColor="text1"/>
        </w:rPr>
        <w:t>. Thus</w:t>
      </w:r>
      <w:r w:rsidR="00E54B75">
        <w:rPr>
          <w:color w:val="000000" w:themeColor="text1"/>
        </w:rPr>
        <w:t>, without regulation,</w:t>
      </w:r>
      <w:r w:rsidRPr="0070404D">
        <w:rPr>
          <w:color w:val="000000" w:themeColor="text1"/>
        </w:rPr>
        <w:t xml:space="preserve"> </w:t>
      </w:r>
      <w:r w:rsidR="00E54B75" w:rsidRPr="0070404D">
        <w:rPr>
          <w:color w:val="000000" w:themeColor="text1"/>
        </w:rPr>
        <w:t xml:space="preserve">as long as </w:t>
      </w:r>
      <w:r w:rsidR="00E54B75">
        <w:rPr>
          <w:color w:val="000000" w:themeColor="text1"/>
        </w:rPr>
        <w:t xml:space="preserve">the total offtake from an area keeps hunting profitable, the </w:t>
      </w:r>
      <w:r w:rsidRPr="0070404D">
        <w:rPr>
          <w:color w:val="000000" w:themeColor="text1"/>
        </w:rPr>
        <w:t>large</w:t>
      </w:r>
      <w:r w:rsidR="00E54B75">
        <w:rPr>
          <w:color w:val="000000" w:themeColor="text1"/>
        </w:rPr>
        <w:t>st</w:t>
      </w:r>
      <w:r w:rsidRPr="0070404D">
        <w:rPr>
          <w:color w:val="000000" w:themeColor="text1"/>
        </w:rPr>
        <w:t xml:space="preserve"> animals </w:t>
      </w:r>
      <w:r w:rsidR="00E54B75">
        <w:rPr>
          <w:color w:val="000000" w:themeColor="text1"/>
        </w:rPr>
        <w:t xml:space="preserve">will </w:t>
      </w:r>
      <w:r w:rsidRPr="0070404D">
        <w:rPr>
          <w:color w:val="000000" w:themeColor="text1"/>
        </w:rPr>
        <w:t xml:space="preserve">be driven to </w:t>
      </w:r>
      <w:r w:rsidR="00E54B75">
        <w:rPr>
          <w:color w:val="000000" w:themeColor="text1"/>
        </w:rPr>
        <w:t xml:space="preserve">local </w:t>
      </w:r>
      <w:r w:rsidRPr="0070404D">
        <w:rPr>
          <w:color w:val="000000" w:themeColor="text1"/>
        </w:rPr>
        <w:t xml:space="preserve">extinction by hunters </w:t>
      </w:r>
      <w:r w:rsidR="00303311">
        <w:rPr>
          <w:color w:val="000000" w:themeColor="text1"/>
        </w:rPr>
        <w:fldChar w:fldCharType="begin" w:fldLock="1"/>
      </w:r>
      <w:r w:rsidR="00B2630D">
        <w:rPr>
          <w:color w:val="000000" w:themeColor="text1"/>
        </w:rPr>
        <w:instrText>ADDIN CSL_CITATION {"citationItems":[{"id":"ITEM-1","itemData":{"DOI":"10.1016/j.tree.2013.03.003","ISBN":"0169-5347","ISSN":"01695347","PMID":"23562732","abstract":"How can species be exploited economically to extinction? Past single-species hypotheses examining the economic plausibility of exploiting rare species have argued that the escalating value of rarity allows extinction to be profitable. We describe an alternative pathway toward extinction in multispecies exploitation systems, termed 'opportunistic exploitation'. In this mode, highly valued species that are targeted first by fishing, hunting, and logging become rare, but their populations can decline further through opportunistic exploitation while more common but less desirable species are targeted. Effectively, expanding exploitation to more species subsidizes the eventual extinction of valuable species at low densities. Managers need to recognize conditions that permit opportunistic depletion and pass regulations to protect highly desirable species when exploitation can expand to other species. © 2013 Elsevier Ltd.","author":[{"dropping-particle":"","family":"Branch","given":"Trevor A.","non-dropping-particle":"","parse-names":false,"suffix":""},{"dropping-particle":"","family":"Lobo","given":"Aaron S.","non-dropping-particle":"","parse-names":false,"suffix":""},{"dropping-particle":"","family":"Purcell","given":"Steven W.","non-dropping-particle":"","parse-names":false,"suffix":""}],"container-title":"Trends in Ecology and Evolution","id":"ITEM-1","issue":"7","issued":{"date-parts":[["2013"]]},"page":"409-413","publisher":"Elsevier Ltd","title":"Opportunistic exploitation: an overlooked pathway to extinction","type":"article-journal","volume":"28"},"uris":["http://www.mendeley.com/documents/?uuid=7149f0c1-597b-4900-998a-afbc94996ec7"]},{"id":"ITEM-2","itemData":{"DOI":"10.1111/cobi.12785","ISBN":"9788578110796","ISSN":"15231739","PMID":"25246403","abstract":"Although deforestation and forest degradation have long been considered the most significant threats to tropical biodiversity, across Southeast Asia (Northeast India, Indochina, Sundaland, Philippines) substantial areas of natural habitat have few wild animals (&gt;1 kg), bar a few hunting-tolerant species. To document hunting impacts on vertebrate populations regionally,we conducted an extensive literature review, including papers in local journals and reports of governmental and nongovernmental agencies. Evidence from multiple sites indicated animal populations declined precipitously across the region since approximately 1980, and many species are now extirpated from substantial portions of their former ranges. Hunting is by far the greatest immediate threat to the survival of most of the region’s endangered vertebrates. Causes of recent overhunting include improved access to forests and markets, improved hunting technology, and escalating demand for wildmeat, wildlife-derived medicinal products, and wild animals as pets. Although hunters often take common species, such as pigs or rats, for their own consumption, they take rarer species opportunistically and sell surplus meat and commercially valuable products. There is also widespread targeted hunting of high-value species. Consequently, as currently practiced, hunting cannot be considered sustainable anywhere in the region, and in most places enforcement of protected-area and protected-species legislation is weak. The international community’s focus on cross-border trade fails to address overexploitation of wildlife because hunting and the sale of wildmeat is largely a local issue and most of the harvest is consumed in villages, rural towns, and nearby cities. In addition to improved enforcement, efforts to engage hunters and manage wildlife populations through sustainable hunting practices are urgently needed. Unless there is a step change in efforts to reduce wildlife exploitation to sustainable levels, the region will likely lose most of its iconic species, and many others besides, within the next few years. Keywords:","author":[{"dropping-particle":"","family":"Harrison","given":"Rhett D.","non-dropping-particle":"","parse-names":false,"suffix":""},{"dropping-particle":"","family":"Sreekar","given":"Rachakonda","non-dropping-particle":"","parse-names":false,"suffix":""},{"dropping-particle":"","family":"Brodie","given":"Jedediah F.","non-dropping-particle":"","parse-names":false,"suffix":""},{"dropping-particle":"","family":"Brook","given":"Sarah","non-dropping-particle":"","parse-names":false,"suffix":""},{"dropping-particle":"","family":"Luskin","given":"Matthew","non-dropping-particle":"","parse-names":false,"suffix":""},{"dropping-particle":"","family":"O'Kelly","given":"Hannah","non-dropping-particle":"","parse-names":false,"suffix":""},{"dropping-particle":"","family":"Rao","given":"Madhu","non-dropping-particle":"","parse-names":false,"suffix":""},{"dropping-particle":"","family":"Scheffers","given":"Brett","non-dropping-particle":"","parse-names":false,"suffix":""},{"dropping-particle":"","family":"Velho","given":"Nandini","non-dropping-particle":"","parse-names":false,"suffix":""}],"container-title":"Conservation Biology","id":"ITEM-2","issue":"5","issued":{"date-parts":[["2016"]]},"page":"972-981","title":"Impacts of hunting on tropical forests in Southeast Asia","type":"article-journal","volume":"30"},"uris":["http://www.mendeley.com/documents/?uuid=9156a739-3962-4575-aeb8-3bbb3e13bd98"]},{"id":"ITEM-3","itemData":{"abstract":"In this report, the term 'bushmeat' is used to denote meat from wild animals that have been hunted illegally, which aside from being used for personal consumption, is often sold commercially. The bushmeat trade has long been recognized as a severe threat to wildlife populations in the forests of West and Central Africa and is considered a conservation crisis in that biome. Far less attention has been focused on the issue in African savannas, perhaps due to a misconception that illegal hunting for bushmeat in the biome is primarily for subsistence and is largely sustainable. However, there is a growing body of research conducted in the Serengeti ecosystem in Tanzania, and from sporadic studies elsewhere that contradict that perception. This report summarizes a workshop on illegal hunting and the bushmeat trade in the savanna biome organised and sponsored by Panthera, the Zoological Society of London and Wildlife Conservation Society. Growing concern over the impacts of illegal hunting and the bushmeat trade, particularly on large carnivores populations in Southern and East Africa, motivated the workshop. Large carnivores are particularly sensitive to the impacts of illegal hunting and the bushmeat trade and can act as a barometer of the severity of the problem, and also act as a basis from which to catalyze conservation action. Key experts gathered at the workshop to identify the drivers of illegal hunting and the bushmeat trade and the interventions necessary to address the issue. Hunting of wildlife is regulated in most African countries through wildlife legislation and permitting systems which specify restrictions on the times and places that hunting is permitted, the species that may be hunted and the hunting methods that may be used. The large majority of hunting for bushmeat contravenes one or more such restrictions. Snaring is the most common illegal hunting method and is particularly undesirable from a conservation perspective as it is highly effective, difficult to control, unselective in terms of the genders or species of animals captured, wasteful, and has severe animal welfare implications due to the manner of capture and confinement, and frequent incidents of severe, non-lethal wounding of wildlife. Other common bushmeat hunting methods include the use of rifles, muzzle-loaders, shotguns, dogs, fire, and in some cases, gin traps, pitfall traps and poison.","author":[{"dropping-particle":"","family":"Lindsey","given":"P","non-dropping-particle":"","parse-names":false,"suffix":""},{"dropping-particle":"","family":"Balme","given":"G","non-dropping-particle":"","parse-names":false,"suffix":""},{"dropping-particle":"","family":"Becker","given":"M","non-dropping-particle":"","parse-names":false,"suffix":""},{"dropping-particle":"","family":"Begg","given":"C","non-dropping-particle":"","parse-names":false,"suffix":""},{"dropping-particle":"","family":"Bento","given":"C","non-dropping-particle":"","parse-names":false,"suffix":""},{"dropping-particle":"","family":"Bocchino","given":"C","non-dropping-particle":"","parse-names":false,"suffix":""},{"dropping-particle":"","family":"Dickman","given":"A","non-dropping-particle":"","parse-names":false,"suffix":""},{"dropping-particle":"","family":"Diggle","given":"R","non-dropping-particle":"","parse-names":false,"suffix":""},{"dropping-particle":"","family":"Eves","given":"H","non-dropping-particle":"","parse-names":false,"suffix":""},{"dropping-particle":"","family":"Henschel","given":"P","non-dropping-particle":"","parse-names":false,"suffix":""},{"dropping-particle":"","family":"Lewis","given":"D","non-dropping-particle":"","parse-names":false,"suffix":""},{"dropping-particle":"","family":"Marnewick","given":"K","non-dropping-particle":"","parse-names":false,"suffix":""},{"dropping-particle":"","family":"Matheus","given":"J","non-dropping-particle":"","parse-names":false,"suffix":""},{"dropping-particle":"","family":"McNutt","given":"J.W.","non-dropping-particle":"","parse-names":false,"suffix":""},{"dropping-particle":"","family":"McRobb","given":"R","non-dropping-particle":"","parse-names":false,"suffix":""},{"dropping-particle":"","family":"Midlane","given":"N","non-dropping-particle":"","parse-names":false,"suffix":""},{"dropping-particle":"","family":"Milanzi","given":"J","non-dropping-particle":"","parse-names":false,"suffix":""},{"dropping-particle":"","family":"Morley","given":"R","non-dropping-particle":"","parse-names":false,"suffix":""},{"dropping-particle":"","family":"Murphree","given":"M","non-dropping-particle":"","parse-names":false,"suffix":""},{"dropping-particle":"","family":"Nyoni","given":"P","non-dropping-particle":"","parse-names":false,"suffix":""},{"dropping-particle":"","family":"Opyene","given":"V","non-dropping-particle":"","parse-names":false,"suffix":""},{"dropping-particle":"","family":"Phadima","given":"J","non-dropping-particle":"","parse-names":false,"suffix":""},{"dropping-particle":"","family":"Purchase","given":"N","non-dropping-particle":"","parse-names":false,"suffix":""},{"dropping-particle":"","family":"Rentsch","given":"D","non-dropping-particle":"","parse-names":false,"suffix":""},{"dropping-particle":"","family":"Roche","given":"C","non-dropping-particle":"","parse-names":false,"suffix":""},{"dropping-particle":"","family":"SHaw","given":"J","non-dropping-particle":"","parse-names":false,"suffix":""},{"dropping-particle":"","family":"Westhuizen","given":"H","non-dropping-particle":"van der","parse-names":false,"suffix":""},{"dropping-particle":"","family":"Vliet","given":"N","non-dropping-particle":"Van","parse-names":false,"suffix":""},{"dropping-particle":"","family":"Zisadza","given":"P","non-dropping-particle":"","parse-names":false,"suffix":""}],"id":"ITEM-3","issued":{"date-parts":[["2012"]]},"number-of-pages":"74","publisher-place":"Panthera/Zoological Society of London/Wildlife Conservation Society report, New York, USA","title":"Illegal hunting and the bushmeat trade in savanna Africa: drivers, impacts and solutions to address the Problem","type":"report"},"uris":["http://www.mendeley.com/documents/?uuid=4a928509-ba61-4f94-9540-31e0f46d02f0"]}],"mendeley":{"formattedCitation":"(Lindsey et al. 2012; Branch et al. 2013; Harrison et al. 2016)","plainTextFormattedCitation":"(Lindsey et al. 2012; Branch et al. 2013; Harrison et al. 2016)","previouslyFormattedCitation":"(Lindsey et al. 2012; Branch et al. 2013; Harrison et al. 2016)"},"properties":{"noteIndex":0},"schema":"https://github.com/citation-style-language/schema/raw/master/csl-citation.json"}</w:instrText>
      </w:r>
      <w:r w:rsidR="00303311">
        <w:rPr>
          <w:color w:val="000000" w:themeColor="text1"/>
        </w:rPr>
        <w:fldChar w:fldCharType="separate"/>
      </w:r>
      <w:r w:rsidR="00300AE4" w:rsidRPr="00300AE4">
        <w:rPr>
          <w:noProof/>
          <w:color w:val="000000" w:themeColor="text1"/>
        </w:rPr>
        <w:t>(Lindsey et al. 2012; Branch et al. 2013; Harrison et al. 2016)</w:t>
      </w:r>
      <w:r w:rsidR="00303311">
        <w:rPr>
          <w:color w:val="000000" w:themeColor="text1"/>
        </w:rPr>
        <w:fldChar w:fldCharType="end"/>
      </w:r>
      <w:r w:rsidRPr="0070404D">
        <w:rPr>
          <w:color w:val="000000" w:themeColor="text1"/>
        </w:rPr>
        <w:t>. This creates a problem comparable to that of ‘bycatch’ in marine fisheries.</w:t>
      </w:r>
      <w:r w:rsidR="00225F57">
        <w:rPr>
          <w:color w:val="000000" w:themeColor="text1"/>
        </w:rPr>
        <w:t xml:space="preserve"> </w:t>
      </w:r>
    </w:p>
    <w:p w14:paraId="0E6A7E65" w14:textId="324BFD5B" w:rsidR="00225F57" w:rsidRPr="00DA4708" w:rsidRDefault="00225F57" w:rsidP="00C258BC">
      <w:pPr>
        <w:autoSpaceDE w:val="0"/>
        <w:autoSpaceDN w:val="0"/>
        <w:adjustRightInd w:val="0"/>
        <w:jc w:val="both"/>
        <w:rPr>
          <w:color w:val="000000" w:themeColor="text1"/>
        </w:rPr>
      </w:pPr>
      <w:r w:rsidRPr="00DA4708">
        <w:rPr>
          <w:color w:val="000000" w:themeColor="text1"/>
        </w:rPr>
        <w:t xml:space="preserve">Reptiles and Amphibians also </w:t>
      </w:r>
      <w:r w:rsidRPr="00DA4708">
        <w:rPr>
          <w:color w:val="000000" w:themeColor="text1"/>
          <w:lang w:val="en-US"/>
        </w:rPr>
        <w:t>serve as an important source of protein for human populations around the world.</w:t>
      </w:r>
      <w:r w:rsidRPr="00DA4708">
        <w:rPr>
          <w:color w:val="000000" w:themeColor="text1"/>
        </w:rPr>
        <w:t xml:space="preserve"> </w:t>
      </w:r>
      <w:r w:rsidRPr="00DA4708">
        <w:rPr>
          <w:color w:val="000000" w:themeColor="text1"/>
          <w:lang w:val="en-US"/>
        </w:rPr>
        <w:t xml:space="preserve">Of all reptiles, </w:t>
      </w:r>
      <w:r w:rsidR="00320E6A">
        <w:rPr>
          <w:color w:val="000000" w:themeColor="text1"/>
          <w:lang w:val="en-US"/>
        </w:rPr>
        <w:t>turtles and tortoise species (</w:t>
      </w:r>
      <w:r w:rsidRPr="00DA4708">
        <w:rPr>
          <w:color w:val="000000" w:themeColor="text1"/>
          <w:lang w:val="en-US"/>
        </w:rPr>
        <w:t>chelonians</w:t>
      </w:r>
      <w:r w:rsidR="00320E6A">
        <w:rPr>
          <w:color w:val="000000" w:themeColor="text1"/>
          <w:lang w:val="en-US"/>
        </w:rPr>
        <w:t>)</w:t>
      </w:r>
      <w:r w:rsidRPr="00DA4708">
        <w:rPr>
          <w:color w:val="000000" w:themeColor="text1"/>
        </w:rPr>
        <w:t xml:space="preserve"> </w:t>
      </w:r>
      <w:r w:rsidRPr="00DA4708">
        <w:rPr>
          <w:color w:val="000000" w:themeColor="text1"/>
          <w:lang w:val="en-US"/>
        </w:rPr>
        <w:t xml:space="preserve">are the most heavily exploited for human </w:t>
      </w:r>
      <w:r w:rsidRPr="008F48FF">
        <w:rPr>
          <w:color w:val="000000" w:themeColor="text1"/>
          <w:lang w:val="en-US"/>
        </w:rPr>
        <w:t>consumption</w:t>
      </w:r>
      <w:r w:rsidRPr="008F48FF">
        <w:rPr>
          <w:color w:val="000000" w:themeColor="text1"/>
        </w:rPr>
        <w:t xml:space="preserve"> </w:t>
      </w:r>
      <w:r w:rsidR="00303311">
        <w:rPr>
          <w:color w:val="131413"/>
        </w:rPr>
        <w:fldChar w:fldCharType="begin" w:fldLock="1"/>
      </w:r>
      <w:r w:rsidR="00303311">
        <w:rPr>
          <w:color w:val="131413"/>
        </w:rPr>
        <w:instrText>ADDIN CSL_CITATION {"citationItems":[{"id":"ITEM-1","itemData":{"DOI":"10.1016/j.simpat.2010.01.001","ISSN":"1569-190X","abstract":"Chelonians (turtles and tortoises) of the Amazon Basin have constituted a source of food for native populations since pre-Columbian times and have continued to be an important product for subsistence and cash income. Little is known about current levels of exploitation and pressure on natural stocks, despite observations of declining populations of the larger and most valued species. This study investigates how people living in the Negro River area use Amazonian chelonians, including issues of consumption, preferences, restrictions, segmentary taboos, harmfulness, medicinal use, and sale. We conducted interviews with fishing families in the city of Barcelos and in Jau ´ National Park, both located in the Rio Negro basin, in the state of Amazonas, Brazil. All chelonian species are used by these riverine people, especially for food. Peltocephalus dumerilianus is caught year round, whereas the capture of other species is more frequent during the dry season. Terrestrial species are collected whenever found in the forest. Herbivorous species are preferred as food; omnivorous or carnivorous species are subject to food taboos. Two species are largely used as medicines, mainly to treat swelling and hemorrhages. Fat and epidermal scutes (scales) are widely used. At least four species are exploited commercially. Key","author":[{"dropping-particle":"","family":"Pezzuti","given":"J C B","non-dropping-particle":"","parse-names":false,"suffix":""},{"dropping-particle":"","family":"Lima","given":"J P","non-dropping-particle":"","parse-names":false,"suffix":""},{"dropping-particle":"","family":"Silva","given":"D F","non-dropping-particle":"da","parse-names":false,"suffix":""},{"dropping-particle":"","family":"Begossi","given":"A","non-dropping-particle":"","parse-names":false,"suffix":""}],"container-title":"Journal of ethnobiology","id":"ITEM-1","issue":"1","issued":{"date-parts":[["2010"]]},"page":"153-168","title":"Uses and taboos of turtles and tortoises along Rio Negro, Amazon Basin","type":"article-journal","volume":"30"},"uris":["http://www.mendeley.com/documents/?uuid=f3ed01ae-320a-4e70-b571-ba310cea2eb9"]},{"id":"ITEM-2","itemData":{"DOI":"10.1177/194008291200500312","ISBN":"9788578110796","ISSN":"1940-0829","PMID":"25246403","abstract":"A caça e o uso da fauna são práticas antigas e que desempenham um importante papel socioeconômico no semiárido nordestino. De uma perspectiva conservacionista, essas atividades tem evidentes implicações que necessitam ser melhor investigadas visando subsidiar planos de manejo sustentável. Diante disso, a presente pesquisa objetiva caracterizar as práticas cinegéticas direcionadas a vertebrados e seus usos em dois municípios do semiárido do Estado da Paraíba (Brasil), bem como avaliar as implicações dessas práticas para conservação. As informações foram obtidas através de entrevistas com questionários semiestruturados, complementadas com conversas informais. Um total de 37 caçadores ou usuários de produtos de animais silvestres foi entrevistado. A fauna cinegética registrada foi representada por 81 espécies de vertebrados, os quais se enquadram nas seguintes categorias de uso: alimentação (42 espécies), estimação (31), medicinal (15), artesanal (05) e ritualística (03). Um total de 21 espécies é abatida por controle, uma vez que podem representar perigo ou prejuízo. Constatou-se que dentre as espécies de valor utilitário, os grupos taxonômicos com papel mais relevante são aves e mamíferos. Nossos resultados apontam a necessidade urgente de programas educativos junto aos moradores locais procurando ordenar as atividades de caça. Considerando que a caça e uso da fauna silvestre são atividades comuns na região, percebe-se a urgência em controlar melhor essas práticas, já que a legislação não tem sido eficaz nesse sentido. A elaboração de planos de manejo e conservação deve levar em consideração o contexto social e cultural das pessoas envolvidas nessas atividades e devem ser implementados em consonância com populações usuárias dos recursos","author":[{"dropping-particle":"","family":"Alves","given":"Rômulo Romeu Nóbrega","non-dropping-particle":"","parse-names":false,"suffix":""},{"dropping-particle":"","family":"Gonçalves","given":"Maria Betânia Ribeiro","non-dropping-particle":"","parse-names":false,"suffix":""},{"dropping-particle":"","family":"Vieira","given":"Washington Luiz Silva","non-dropping-particle":"","parse-names":false,"suffix":""}],"container-title":"Tropical Conservation Science","id":"ITEM-2","issue":"3","issued":{"date-parts":[["2012"]]},"page":"394-416","title":"Caça, uso e conservação de vertebrados no semiárido Brasileiro","type":"article-journal","volume":"5"},"uris":["http://www.mendeley.com/documents/?uuid=ad6be555-c997-4ff1-ac3f-e1be0bbe32c9"]}],"mendeley":{"formattedCitation":"(Pezzuti et al. 2010; Alves et al. 2012)","plainTextFormattedCitation":"(Pezzuti et al. 2010; Alves et al. 2012)","previouslyFormattedCitation":"(Pezzuti et al. 2010; Alves et al. 2012)"},"properties":{"noteIndex":0},"schema":"https://github.com/citation-style-language/schema/raw/master/csl-citation.json"}</w:instrText>
      </w:r>
      <w:r w:rsidR="00303311">
        <w:rPr>
          <w:color w:val="131413"/>
        </w:rPr>
        <w:fldChar w:fldCharType="separate"/>
      </w:r>
      <w:r w:rsidR="00303311" w:rsidRPr="00236A55">
        <w:rPr>
          <w:noProof/>
          <w:color w:val="131413"/>
        </w:rPr>
        <w:t>(Pezzuti et al. 2010; Alves et al. 2012)</w:t>
      </w:r>
      <w:r w:rsidR="00303311">
        <w:rPr>
          <w:color w:val="131413"/>
        </w:rPr>
        <w:fldChar w:fldCharType="end"/>
      </w:r>
      <w:r w:rsidRPr="008F48FF">
        <w:rPr>
          <w:color w:val="000000" w:themeColor="text1"/>
          <w:lang w:val="en-US"/>
        </w:rPr>
        <w:t xml:space="preserve">. </w:t>
      </w:r>
      <w:r w:rsidRPr="008F48FF">
        <w:rPr>
          <w:color w:val="000000" w:themeColor="text1"/>
        </w:rPr>
        <w:t xml:space="preserve">In South America, </w:t>
      </w:r>
      <w:r w:rsidR="008E63C6" w:rsidRPr="008F48FF">
        <w:rPr>
          <w:color w:val="000000" w:themeColor="text1"/>
        </w:rPr>
        <w:t>the giant Amazon river turtle (</w:t>
      </w:r>
      <w:r w:rsidRPr="008F48FF">
        <w:rPr>
          <w:i/>
          <w:color w:val="000000" w:themeColor="text1"/>
        </w:rPr>
        <w:t>Podocnemis expansa</w:t>
      </w:r>
      <w:r w:rsidR="008E63C6" w:rsidRPr="008F48FF">
        <w:rPr>
          <w:color w:val="000000" w:themeColor="text1"/>
        </w:rPr>
        <w:t>)</w:t>
      </w:r>
      <w:r w:rsidRPr="008F48FF">
        <w:rPr>
          <w:color w:val="000000" w:themeColor="text1"/>
        </w:rPr>
        <w:t xml:space="preserve">, the largest </w:t>
      </w:r>
      <w:r w:rsidR="008E63C6" w:rsidRPr="008F48FF">
        <w:rPr>
          <w:color w:val="000000" w:themeColor="text1"/>
        </w:rPr>
        <w:t xml:space="preserve">South American </w:t>
      </w:r>
      <w:r w:rsidRPr="008F48FF">
        <w:rPr>
          <w:color w:val="000000" w:themeColor="text1"/>
        </w:rPr>
        <w:t>river turtle, is one of the most consumed species. Crocodile meat is</w:t>
      </w:r>
      <w:r w:rsidRPr="00DA4708">
        <w:rPr>
          <w:color w:val="000000" w:themeColor="text1"/>
        </w:rPr>
        <w:t xml:space="preserve"> considered a delicacy </w:t>
      </w:r>
      <w:r w:rsidR="00303311">
        <w:rPr>
          <w:color w:val="000000"/>
        </w:rPr>
        <w:fldChar w:fldCharType="begin"/>
      </w:r>
      <w:r w:rsidR="00303311">
        <w:rPr>
          <w:color w:val="000000"/>
        </w:rPr>
        <w:instrText xml:space="preserve"> ADDIN EN.CITE &lt;EndNote&gt;&lt;Cite&gt;&lt;Author&gt;Huchzermeyer&lt;/Author&gt;&lt;Year&gt;2003&lt;/Year&gt;&lt;RecNum&gt;3734&lt;/RecNum&gt;&lt;DisplayText&gt;(Huchzermeyer 2003)&lt;/DisplayText&gt;&lt;record&gt;&lt;rec-number&gt;3734&lt;/rec-number&gt;&lt;foreign-keys&gt;&lt;key app="EN" db-id="9fwffww9bsxrt1epsdw5ddduzas2rsf2dpp9" timestamp="1474202936"&gt;3734&lt;/key&gt;&lt;/foreign-keys&gt;&lt;ref-type name="Book"&gt;6&lt;/ref-type&gt;&lt;contributors&gt;&lt;authors&gt;&lt;author&gt;Huchzermeyer, F. W. &lt;/author&gt;&lt;/authors&gt;&lt;/contributors&gt;&lt;titles&gt;&lt;title&gt;Crocodiles: Biology, husbandry and diseases&lt;/title&gt;&lt;/titles&gt;&lt;dates&gt;&lt;year&gt;2003&lt;/year&gt;&lt;/dates&gt;&lt;pub-location&gt;Wallingford&lt;/pub-location&gt;&lt;publisher&gt;CABI Publishing&lt;/publisher&gt;&lt;urls&gt;&lt;/urls&gt;&lt;/record&gt;&lt;/Cite&gt;&lt;/EndNote&gt;</w:instrText>
      </w:r>
      <w:r w:rsidR="00303311">
        <w:rPr>
          <w:color w:val="000000"/>
        </w:rPr>
        <w:fldChar w:fldCharType="separate"/>
      </w:r>
      <w:r w:rsidR="00303311">
        <w:rPr>
          <w:noProof/>
          <w:color w:val="000000"/>
        </w:rPr>
        <w:t>(Huchzermeyer 2003)</w:t>
      </w:r>
      <w:r w:rsidR="00303311">
        <w:rPr>
          <w:color w:val="000000"/>
        </w:rPr>
        <w:fldChar w:fldCharType="end"/>
      </w:r>
      <w:r w:rsidRPr="00DA4708">
        <w:rPr>
          <w:color w:val="000000" w:themeColor="text1"/>
        </w:rPr>
        <w:t xml:space="preserve">, and it is particularly consumed in Australia, South Africa, Thailand, Ethiopia, Cuba, and in regions of the United States </w:t>
      </w:r>
      <w:r w:rsidR="00303311">
        <w:rPr>
          <w:color w:val="000000"/>
        </w:rPr>
        <w:fldChar w:fldCharType="begin"/>
      </w:r>
      <w:r w:rsidR="00303311">
        <w:rPr>
          <w:color w:val="000000"/>
        </w:rPr>
        <w:instrText xml:space="preserve"> ADDIN EN.CITE &lt;EndNote&gt;&lt;Cite&gt;&lt;Author&gt;Hoffman&lt;/Author&gt;&lt;Year&gt;2012&lt;/Year&gt;&lt;RecNum&gt;3737&lt;/RecNum&gt;&lt;DisplayText&gt;(Hoffman and Cawthorn 2012)&lt;/DisplayText&gt;&lt;record&gt;&lt;rec-number&gt;3737&lt;/rec-number&gt;&lt;foreign-keys&gt;&lt;key app="EN" db-id="9fwffww9bsxrt1epsdw5ddduzas2rsf2dpp9" timestamp="1474207887"&gt;3737&lt;/key&gt;&lt;/foreign-keys&gt;&lt;ref-type name="Journal Article"&gt;17&lt;/ref-type&gt;&lt;contributors&gt;&lt;authors&gt;&lt;author&gt;Hoffman, L.C.&lt;/author&gt;&lt;author&gt;Cawthorn, D.M.&lt;/author&gt;&lt;/authors&gt;&lt;/contributors&gt;&lt;titles&gt;&lt;title&gt;What is the role and contribution of meat from wildlife in providing high quality protein for consumption&lt;/title&gt;&lt;secondary-title&gt;Animal frontiers&lt;/secondary-title&gt;&lt;/titles&gt;&lt;periodical&gt;&lt;full-title&gt;Animal frontiers&lt;/full-title&gt;&lt;/periodical&gt;&lt;pages&gt;40-53&lt;/pages&gt;&lt;volume&gt;2&lt;/volume&gt;&lt;number&gt;4&lt;/number&gt;&lt;dates&gt;&lt;year&gt;2012&lt;/year&gt;&lt;/dates&gt;&lt;isbn&gt;2160-6064&lt;/isbn&gt;&lt;urls&gt;&lt;/urls&gt;&lt;/record&gt;&lt;/Cite&gt;&lt;/EndNote&gt;</w:instrText>
      </w:r>
      <w:r w:rsidR="00303311">
        <w:rPr>
          <w:color w:val="000000"/>
        </w:rPr>
        <w:fldChar w:fldCharType="separate"/>
      </w:r>
      <w:r w:rsidR="00303311">
        <w:rPr>
          <w:noProof/>
          <w:color w:val="000000"/>
        </w:rPr>
        <w:t>(Hoffman and Cawthorn 2012)</w:t>
      </w:r>
      <w:r w:rsidR="00303311">
        <w:rPr>
          <w:color w:val="000000"/>
        </w:rPr>
        <w:fldChar w:fldCharType="end"/>
      </w:r>
      <w:r w:rsidRPr="00DA4708">
        <w:rPr>
          <w:color w:val="000000" w:themeColor="text1"/>
        </w:rPr>
        <w:t xml:space="preserve">. The consumption of snakes is generally opportunistic, but in Asian countries (China, Taiwan, Thailand, Indonesia, Vietnam and Cambodia) and West Africa, these animals are important sources of meat </w:t>
      </w:r>
      <w:r w:rsidR="00303311">
        <w:rPr>
          <w:color w:val="000000"/>
        </w:rPr>
        <w:fldChar w:fldCharType="begin" w:fldLock="1"/>
      </w:r>
      <w:r w:rsidR="007B247B">
        <w:rPr>
          <w:color w:val="000000"/>
        </w:rPr>
        <w:instrText>ADDIN CSL_CITATION {"citationItems":[{"id":"ITEM-1","itemData":{"DOI":"10.1016/j.biocon.2010.05.023","ISBN":"0006-3207","ISSN":"00063207","abstract":"Commercial trade is a major driver of over-exploitation of wild species, but the pattern of demand and how it responds to changes in supply is poorly understood. Here we explore the markets for snakes from Tonle Sap Lake in Cambodia to evaluate future exploitation scenarios, identify entry points for conservation and, more generally, to illustrate the value of multi-scale analysis of markets to traded wildlife conservation. In Cambodia, the largest driver of snake exploitation is the domestic trade in snakes as crocodile food. We estimate that farmed crocodiles consume between 2.7 and 12.2 million snakes per year. The market price for crocodiles has been in decline since 2003, which, combined with rising prices for their food, has led to a reduced frequency of feeding and closure of small farms. The large farms that generate a disproportionate amount of the demand for snakes continue to operate in anticipation of future market opportunities, and preferences for snakes could help maintain demand if market prices for crocodiles rise to pre 2003 levels. In the absence of a sustained demand from crocodile farms, it is also possible that alternative markets will develop, such as one for human snack food. The demand for snakes, however, also depends on the availability of substitute resources, principally fish. The substitutability and low price elasticity of demand offers a relatively sustainable form of consumerism. Given the nature of these market drivers, addressing consumer preferences and limiting the protection of snakes to their breeding season are likely to be the most effective tools for conservation. This study highlights the importance of understanding the structure of markets and the behaviour of consumer demand prior to implementing regulations on wildlife hunting and trade. © 2010 Elsevier Ltd.","author":[{"dropping-particle":"","family":"Brooks","given":"Sharon E.","non-dropping-particle":"","parse-names":false,"suffix":""},{"dropping-particle":"","family":"Allison","given":"Edward H.","non-dropping-particle":"","parse-names":false,"suffix":""},{"dropping-particle":"","family":"Gill","given":"Jennifer A.","non-dropping-particle":"","parse-names":false,"suffix":""},{"dropping-particle":"","family":"Reynolds","given":"John D.","non-dropping-particle":"","parse-names":false,"suffix":""}],"container-title":"Biological Conservation","id":"ITEM-1","issue":"9","issued":{"date-parts":[["2010"]]},"page":"2127-2135","publisher":"Elsevier Ltd","title":"Snake prices and crocodile appetites: aquatic wildlife supply and demand on Tonle Sap Lake, Cambodia","type":"article-journal","volume":"143"},"uris":["http://www.mendeley.com/documents/?uuid=32a5c6b2-a0a5-4f3c-aff8-0369fb375bf6"]},{"id":"ITEM-2","itemData":{"DOI":"10.2527/af.2012-0061","ISBN":"2160-6056\\r2160-6064","ISSN":"2160-6056","PMID":"20123393832","abstract":" An overview is presented on the global human usage of uncon- ventional  animal  species  (ungulates,  rodents,  rabbits  and  hares,  kangaroos, reptiles and bats) derived either from wild harvesting  or farming •   The nutritional value of these species is discussed, focusing on  their  potential  to  contribute  to  food  security  and  to  address  the  protein requirements of a growing population.  •   The challenges and opportunities arising from the commercial use  of these animals are highlighted, as are the problems faced with  overexploitation of certain wild species. •   Of the species addressed, the rodents appear to present great po- tential for becoming large commercial commodities for food use.","author":[{"dropping-particle":"","family":"Hoffman","given":"L. C.","non-dropping-particle":"","parse-names":false,"suffix":""},{"dropping-particle":"","family":"Cawthorn","given":"D.- M.","non-dropping-particle":"","parse-names":false,"suffix":""}],"container-title":"Animal Frontiers","id":"ITEM-2","issue":"4","issued":{"date-parts":[["2012"]]},"page":"40-53","title":"What is the role and contribution of meat from wildlife in providing high quality protein for consumption?","type":"article-journal","volume":"2"},"uris":["http://www.mendeley.com/documents/?uuid=cfa7f5f6-94f4-4b92-a982-742e6d9f6c86"]}],"mendeley":{"formattedCitation":"(Brooks et al. 2010b; Hoffman &amp; Cawthorn 2012)","plainTextFormattedCitation":"(Brooks et al. 2010b; Hoffman &amp; Cawthorn 2012)","previouslyFormattedCitation":"(Brooks et al. 2010b; Hoffman &amp; Cawthorn 2012)"},"properties":{"noteIndex":0},"schema":"https://github.com/citation-style-language/schema/raw/master/csl-citation.json"}</w:instrText>
      </w:r>
      <w:r w:rsidR="00303311">
        <w:rPr>
          <w:color w:val="000000"/>
        </w:rPr>
        <w:fldChar w:fldCharType="separate"/>
      </w:r>
      <w:r w:rsidR="007B247B" w:rsidRPr="007B247B">
        <w:rPr>
          <w:noProof/>
          <w:color w:val="000000"/>
        </w:rPr>
        <w:t>(Brooks et al. 2010b; Hoffman &amp; Cawthorn 2012)</w:t>
      </w:r>
      <w:r w:rsidR="00303311">
        <w:rPr>
          <w:color w:val="000000"/>
        </w:rPr>
        <w:fldChar w:fldCharType="end"/>
      </w:r>
      <w:r w:rsidRPr="00DA4708">
        <w:rPr>
          <w:color w:val="000000" w:themeColor="text1"/>
        </w:rPr>
        <w:t xml:space="preserve">. </w:t>
      </w:r>
      <w:r w:rsidRPr="00DA4708">
        <w:rPr>
          <w:color w:val="000000" w:themeColor="text1"/>
          <w:lang w:val="en-US"/>
        </w:rPr>
        <w:t xml:space="preserve">Although amphibians </w:t>
      </w:r>
      <w:r w:rsidRPr="00A03EC7">
        <w:rPr>
          <w:lang w:val="en-US"/>
        </w:rPr>
        <w:t xml:space="preserve">are consumed on a smaller scale than other vertebrates, </w:t>
      </w:r>
      <w:r w:rsidR="00303311">
        <w:rPr>
          <w:lang w:val="en-US"/>
        </w:rPr>
        <w:fldChar w:fldCharType="begin" w:fldLock="1"/>
      </w:r>
      <w:r w:rsidR="00303311">
        <w:rPr>
          <w:lang w:val="en-US"/>
        </w:rPr>
        <w:instrText>ADDIN CSL_CITATION {"citationItems":[{"id":"ITEM-1","itemData":{"ISSN":"00363375","abstract":"With a continuously growing global human population the exploitation of natural resources is likewise increasing. Herein we provide an overview on exploitation and trade of amphibian species in different regions of the world, with a main emphasis on West Africa. Whereas particular West African tribes have always used frogs as food, medicine or for cultural reasons, the current increase in frog hunting seems to be new. Amphibian declines are likely and may result in measurable changes to aquatic and riparian ecosystems. © 2009 Deutsche Gesellschaft für Herpetologie und Terrarienkunde e.V. (DGHT).","author":[{"dropping-particle":"","family":"Mohneke","given":"Meike","non-dropping-particle":"","parse-names":false,"suffix":""},{"dropping-particle":"","family":"Onadeko","given":"Abiodun B.","non-dropping-particle":"","parse-names":false,"suffix":""},{"dropping-particle":"","family":"Rödel","given":"Mark-Oliver","non-dropping-particle":"","parse-names":false,"suffix":""}],"container-title":"Salamandra","id":"ITEM-1","issue":"4","issued":{"date-parts":[["2009"]]},"page":"193-202","title":"Exploitation of frogs - a review with a focus on West Africa","type":"article-journal","volume":"45"},"uris":["http://www.mendeley.com/documents/?uuid=3181c7ed-52b3-4b4f-b156-291ee0e6b1b0"]}],"mendeley":{"formattedCitation":"(Mohneke et al. 2009)","manualFormatting":"Mohneke et al. (2009)","plainTextFormattedCitation":"(Mohneke et al. 2009)","previouslyFormattedCitation":"(Mohneke et al. 2009)"},"properties":{"noteIndex":0},"schema":"https://github.com/citation-style-language/schema/raw/master/csl-citation.json"}</w:instrText>
      </w:r>
      <w:r w:rsidR="00303311">
        <w:rPr>
          <w:lang w:val="en-US"/>
        </w:rPr>
        <w:fldChar w:fldCharType="separate"/>
      </w:r>
      <w:r w:rsidR="00303311" w:rsidRPr="003B546D">
        <w:rPr>
          <w:noProof/>
          <w:lang w:val="en-US"/>
        </w:rPr>
        <w:t xml:space="preserve">Mohneke et al. </w:t>
      </w:r>
      <w:r w:rsidR="00303311">
        <w:rPr>
          <w:noProof/>
          <w:lang w:val="en-US"/>
        </w:rPr>
        <w:t>(</w:t>
      </w:r>
      <w:r w:rsidR="00303311" w:rsidRPr="003B546D">
        <w:rPr>
          <w:noProof/>
          <w:lang w:val="en-US"/>
        </w:rPr>
        <w:t>2009)</w:t>
      </w:r>
      <w:r w:rsidR="00303311">
        <w:rPr>
          <w:lang w:val="en-US"/>
        </w:rPr>
        <w:fldChar w:fldCharType="end"/>
      </w:r>
      <w:r w:rsidRPr="005C2991">
        <w:rPr>
          <w:color w:val="000000"/>
        </w:rPr>
        <w:t xml:space="preserve"> pointed </w:t>
      </w:r>
      <w:r w:rsidR="003B0F63">
        <w:rPr>
          <w:color w:val="000000"/>
        </w:rPr>
        <w:t>that at least 32 amphibians (3 U</w:t>
      </w:r>
      <w:r w:rsidRPr="005C2991">
        <w:rPr>
          <w:color w:val="000000"/>
        </w:rPr>
        <w:t xml:space="preserve">rodela and 29 </w:t>
      </w:r>
      <w:r w:rsidRPr="00DA4708">
        <w:rPr>
          <w:color w:val="000000" w:themeColor="text1"/>
        </w:rPr>
        <w:t xml:space="preserve">Anura) are used as food in the world. </w:t>
      </w:r>
    </w:p>
    <w:p w14:paraId="0954A6C3" w14:textId="5E90ECDD" w:rsidR="00225F57" w:rsidRPr="00DA4708" w:rsidRDefault="00225F57" w:rsidP="00C258BC">
      <w:pPr>
        <w:jc w:val="both"/>
        <w:rPr>
          <w:color w:val="000000" w:themeColor="text1"/>
        </w:rPr>
      </w:pPr>
      <w:r w:rsidRPr="00DA4708">
        <w:rPr>
          <w:color w:val="000000" w:themeColor="text1"/>
        </w:rPr>
        <w:t xml:space="preserve">Birds also play an important role in the subsistence of rural families that depend on wildlife for their livelihoods. </w:t>
      </w:r>
      <w:r w:rsidR="00200A90" w:rsidRPr="00DA4708">
        <w:rPr>
          <w:color w:val="000000" w:themeColor="text1"/>
        </w:rPr>
        <w:t xml:space="preserve">Cracids, a group of large </w:t>
      </w:r>
      <w:r w:rsidR="00337360" w:rsidRPr="00DA4708">
        <w:rPr>
          <w:color w:val="000000" w:themeColor="text1"/>
        </w:rPr>
        <w:t>arboreal galliform birds (</w:t>
      </w:r>
      <w:r w:rsidR="00200A90" w:rsidRPr="00DA4708">
        <w:rPr>
          <w:color w:val="000000" w:themeColor="text1"/>
        </w:rPr>
        <w:t>chachalacas, guans and curassows</w:t>
      </w:r>
      <w:r w:rsidR="00337360" w:rsidRPr="00DA4708">
        <w:rPr>
          <w:color w:val="000000" w:themeColor="text1"/>
        </w:rPr>
        <w:t>)</w:t>
      </w:r>
      <w:r w:rsidR="00200A90" w:rsidRPr="00DA4708">
        <w:rPr>
          <w:color w:val="000000" w:themeColor="text1"/>
        </w:rPr>
        <w:t xml:space="preserve"> </w:t>
      </w:r>
      <w:r w:rsidR="00337360" w:rsidRPr="00DA4708">
        <w:rPr>
          <w:color w:val="000000" w:themeColor="text1"/>
        </w:rPr>
        <w:t xml:space="preserve">are important prey in </w:t>
      </w:r>
      <w:r w:rsidR="00200A90" w:rsidRPr="00DA4708">
        <w:rPr>
          <w:color w:val="000000" w:themeColor="text1"/>
        </w:rPr>
        <w:t>tropical and subtropical Central and South America.</w:t>
      </w:r>
      <w:r w:rsidR="00337360" w:rsidRPr="00DA4708">
        <w:rPr>
          <w:color w:val="000000" w:themeColor="text1"/>
        </w:rPr>
        <w:t xml:space="preserve"> </w:t>
      </w:r>
      <w:r w:rsidR="001D7F19" w:rsidRPr="00DA4708">
        <w:rPr>
          <w:color w:val="000000" w:themeColor="text1"/>
        </w:rPr>
        <w:t xml:space="preserve">They </w:t>
      </w:r>
      <w:r w:rsidRPr="00DA4708">
        <w:rPr>
          <w:color w:val="000000" w:themeColor="text1"/>
        </w:rPr>
        <w:t xml:space="preserve">are traditionally considered the most important birds for subsistence hunting in tropical </w:t>
      </w:r>
      <w:r w:rsidR="00A479D2" w:rsidRPr="00DA4708">
        <w:rPr>
          <w:color w:val="000000" w:themeColor="text1"/>
        </w:rPr>
        <w:t>forests and</w:t>
      </w:r>
      <w:r w:rsidRPr="00DA4708">
        <w:rPr>
          <w:color w:val="000000" w:themeColor="text1"/>
        </w:rPr>
        <w:t xml:space="preserve"> are almost always present in the diet of Amazonian rural communities </w:t>
      </w:r>
      <w:r w:rsidR="00303311">
        <w:fldChar w:fldCharType="begin" w:fldLock="1"/>
      </w:r>
      <w:r w:rsidR="00B2630D">
        <w:instrText>ADDIN CSL_CITATION {"citationItems":[{"id":"ITEM-1","itemData":{"DOI":"10.1186/1746-4269-7-1","ISBN":"1746-4269","ISSN":"17464269","PMID":"21194497","abstract":"In the Amazonian basin, the human populations that traditionally inhabit the forest use its natural resources in various ways. One example is the local fauna which, among several other uses, is an important source of protein. The general aim of our study was to investigate the importance of hunting to the lives of the Amazonian riverine communities and to identify the multiple uses and knowledge about the hunted animals. In this article we focused the study on the razor-billed curassow Pauxi tuberosa, a Cracidae of significant value to the studied community. The investigation was conducted in the \"Riozinho do Anfrísio Extractive Reserve\", a Brazilian Conservation Unit located at the Altamira municipality, in the state of Pará. We used an ethnoecological approach, which included participant observation and semi-structured interviews. Our results show that the razor-billed curassow is used by the \"Riozinho do Anfrísio\" local population mainly as food, but it also fulfils secondary functions, with the feathers being used as a domestic tool and as magic-religious symbol, some organs as traditional medicine, and some chicks even being raised as pets. Our study also revealed that the traditional ecological knowledge of the riverines about their environment is considerably large, and that the local biodiversity provides various ecosystem services.","author":[{"dropping-particle":"","family":"Barros","given":"Flávio B.","non-dropping-particle":"","parse-names":false,"suffix":""},{"dropping-particle":"","family":"Pereira","given":"Henrique M.","non-dropping-particle":"","parse-names":false,"suffix":""},{"dropping-particle":"","family":"Vicente","given":"Luís","non-dropping-particle":"","parse-names":false,"suffix":""}],"container-title":"Journal of Ethnobiology and Ethnomedicine","id":"ITEM-1","issue":"1","issued":{"date-parts":[["2011"]]},"page":"11","publisher":"BioMed Central Ltd","title":"Use and knowledge of the razor-billed curassow Pauxi tuberosa (Spix, 1825) (Galliformes, Cracidae) by a riverine community of the oriental Amazonia, Brazil","type":"article-journal","volume":"7"},"uris":["http://www.mendeley.com/documents/?uuid=08f693b0-d335-4481-b4f8-502882211078"]},{"id":"ITEM-2","itemData":{"DOI":"10.1177/1940082917736894","ISSN":"1940-0829","abstract":"Subsistence hunting of neotropical birds is common and widespread in the tropical forests of Latin America. Although its sustainability under different scenarios is subject to debate, hunting has already contributed to the decline and local extirpation of several taxa and is considered to be a significant threat to a range of large-bodied species. Gaining a better understanding of the variability of hunting patterns, as well as the factors that can potentially be used to predict them, is important if we are to develop conservation strategies that target the species most likely to be experiencing declines. In this article, we examine the avian hunting profiles of 65 communities in the neotropics. We describe their variability and look at the relationship between a hunting profile and (a) its geographical location, (b) the community’s age, (c) the community’s population size, and (d) the year in which the survey was carried out. We find that there is a significant but weak relationship between a community’s...","author":[{"dropping-particle":"","family":"Stafford","given":"C. A.","non-dropping-particle":"","parse-names":false,"suffix":""},{"dropping-particle":"","family":"Preziosi","given":"R. F.","non-dropping-particle":"","parse-names":false,"suffix":""},{"dropping-particle":"","family":"Sellers","given":"W. I.","non-dropping-particle":"","parse-names":false,"suffix":""}],"container-title":"Tropical Conservation Science","id":"ITEM-2","issued":{"date-parts":[["2017"]]},"page":"194008291773689","title":"A cross-site analysis of Neotropical bird hunting profiles","type":"article-journal","volume":"10"},"uris":["http://www.mendeley.com/documents/?uuid=74c69076-68b6-433c-b960-c2bc86a9cf29"]}],"mendeley":{"formattedCitation":"(Barros et al. 2011; Stafford et al. 2017b)","plainTextFormattedCitation":"(Barros et al. 2011; Stafford et al. 2017b)","previouslyFormattedCitation":"(Barros et al. 2011; Stafford et al. 2017b)"},"properties":{"noteIndex":0},"schema":"https://github.com/citation-style-language/schema/raw/master/csl-citation.json"}</w:instrText>
      </w:r>
      <w:r w:rsidR="00303311">
        <w:fldChar w:fldCharType="separate"/>
      </w:r>
      <w:r w:rsidR="00303311" w:rsidRPr="00604872">
        <w:rPr>
          <w:noProof/>
        </w:rPr>
        <w:t>(Barros et al. 2011; Stafford et al. 2017b)</w:t>
      </w:r>
      <w:r w:rsidR="00303311">
        <w:fldChar w:fldCharType="end"/>
      </w:r>
      <w:r w:rsidRPr="00DA4708">
        <w:rPr>
          <w:color w:val="000000" w:themeColor="text1"/>
        </w:rPr>
        <w:t>. In</w:t>
      </w:r>
      <w:r w:rsidR="001D7F19" w:rsidRPr="00DA4708">
        <w:rPr>
          <w:color w:val="000000" w:themeColor="text1"/>
        </w:rPr>
        <w:t xml:space="preserve"> semi-</w:t>
      </w:r>
      <w:r w:rsidRPr="00DA4708">
        <w:rPr>
          <w:color w:val="000000" w:themeColor="text1"/>
        </w:rPr>
        <w:t xml:space="preserve">arid regions from Brazil, </w:t>
      </w:r>
      <w:r w:rsidR="001D7F19" w:rsidRPr="00DA4708">
        <w:rPr>
          <w:color w:val="000000" w:themeColor="text1"/>
        </w:rPr>
        <w:t>doves and pigeons (family Columbidae) and tinamous (</w:t>
      </w:r>
      <w:r w:rsidR="001D7F19" w:rsidRPr="00DA4708">
        <w:rPr>
          <w:rFonts w:ascii="Times" w:hAnsi="Times" w:cs="Times"/>
          <w:color w:val="000000" w:themeColor="text1"/>
        </w:rPr>
        <w:t xml:space="preserve">family </w:t>
      </w:r>
      <w:r w:rsidRPr="00DA4708">
        <w:rPr>
          <w:rFonts w:ascii="Times" w:hAnsi="Times" w:cs="Times"/>
          <w:color w:val="000000" w:themeColor="text1"/>
        </w:rPr>
        <w:t xml:space="preserve">Tinamidae) are the most </w:t>
      </w:r>
      <w:r w:rsidR="001D7F19" w:rsidRPr="00DA4708">
        <w:rPr>
          <w:rFonts w:ascii="Times" w:hAnsi="Times" w:cs="Times"/>
          <w:color w:val="000000" w:themeColor="text1"/>
        </w:rPr>
        <w:t xml:space="preserve">frequently </w:t>
      </w:r>
      <w:r w:rsidRPr="00DA4708">
        <w:rPr>
          <w:rFonts w:ascii="Times" w:hAnsi="Times" w:cs="Times"/>
          <w:color w:val="000000" w:themeColor="text1"/>
        </w:rPr>
        <w:t xml:space="preserve">hunted for food, mainly </w:t>
      </w:r>
      <w:r w:rsidRPr="00DA4708">
        <w:rPr>
          <w:rFonts w:ascii="Times" w:hAnsi="Times" w:cs="Times"/>
          <w:color w:val="000000" w:themeColor="text1"/>
        </w:rPr>
        <w:lastRenderedPageBreak/>
        <w:t xml:space="preserve">because other larger sized species are scarce or have been locally depleted by hunting </w:t>
      </w:r>
      <w:r w:rsidR="00303311" w:rsidRPr="008244A6">
        <w:rPr>
          <w:rFonts w:ascii="Times" w:hAnsi="Times" w:cs="Times"/>
        </w:rPr>
        <w:fldChar w:fldCharType="begin">
          <w:fldData xml:space="preserve">PEVuZE5vdGU+PENpdGU+PEF1dGhvcj5NZW5kb27Dp2E8L0F1dGhvcj48WWVhcj4yMDE2PC9ZZWFy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</w:fldData>
        </w:fldChar>
      </w:r>
      <w:r w:rsidR="00303311" w:rsidRPr="00B8541C">
        <w:rPr>
          <w:rFonts w:ascii="Times" w:hAnsi="Times" w:cs="Times"/>
        </w:rPr>
        <w:instrText xml:space="preserve"> ADDIN EN.CITE </w:instrText>
      </w:r>
      <w:r w:rsidR="00303311" w:rsidRPr="00B8541C">
        <w:rPr>
          <w:rFonts w:ascii="Times" w:hAnsi="Times" w:cs="Times"/>
        </w:rPr>
        <w:fldChar w:fldCharType="begin">
          <w:fldData xml:space="preserve">PEVuZE5vdGU+PENpdGU+PEF1dGhvcj5NZW5kb27Dp2E8L0F1dGhvcj48WWVhcj4yMDE2PC9ZZWFy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</w:fldData>
        </w:fldChar>
      </w:r>
      <w:r w:rsidR="00303311" w:rsidRPr="00B8541C">
        <w:rPr>
          <w:rFonts w:ascii="Times" w:hAnsi="Times" w:cs="Times"/>
        </w:rPr>
        <w:instrText xml:space="preserve"> ADDIN EN.CITE.DATA </w:instrText>
      </w:r>
      <w:r w:rsidR="00303311" w:rsidRPr="00B8541C">
        <w:rPr>
          <w:rFonts w:ascii="Times" w:hAnsi="Times" w:cs="Times"/>
        </w:rPr>
      </w:r>
      <w:r w:rsidR="00303311" w:rsidRPr="00B8541C">
        <w:rPr>
          <w:rFonts w:ascii="Times" w:hAnsi="Times" w:cs="Times"/>
        </w:rPr>
        <w:fldChar w:fldCharType="end"/>
      </w:r>
      <w:r w:rsidR="00303311" w:rsidRPr="008244A6">
        <w:rPr>
          <w:rFonts w:ascii="Times" w:hAnsi="Times" w:cs="Times"/>
        </w:rPr>
      </w:r>
      <w:r w:rsidR="00303311" w:rsidRPr="008244A6">
        <w:rPr>
          <w:rFonts w:ascii="Times" w:hAnsi="Times" w:cs="Times"/>
        </w:rPr>
        <w:fldChar w:fldCharType="separate"/>
      </w:r>
      <w:r w:rsidR="00303311" w:rsidRPr="008244A6">
        <w:rPr>
          <w:rFonts w:ascii="Times" w:hAnsi="Times" w:cs="Times"/>
          <w:noProof/>
        </w:rPr>
        <w:t>(Albuquerque et al. 2012; Mendonça et al. 2016)</w:t>
      </w:r>
      <w:r w:rsidR="00303311" w:rsidRPr="008244A6">
        <w:rPr>
          <w:rFonts w:ascii="Times" w:hAnsi="Times" w:cs="Times"/>
        </w:rPr>
        <w:fldChar w:fldCharType="end"/>
      </w:r>
      <w:r w:rsidRPr="00DA4708">
        <w:rPr>
          <w:rFonts w:ascii="Times" w:hAnsi="Times" w:cs="Times"/>
          <w:color w:val="000000" w:themeColor="text1"/>
        </w:rPr>
        <w:t>.</w:t>
      </w:r>
      <w:r w:rsidRPr="00DA4708">
        <w:rPr>
          <w:color w:val="000000" w:themeColor="text1"/>
        </w:rPr>
        <w:t xml:space="preserve"> In the southern part of Pacaya-Samiria National Reserve (Peru) and its surroundings, </w:t>
      </w:r>
      <w:r w:rsidRPr="00DA4708">
        <w:rPr>
          <w:color w:val="000000" w:themeColor="text1"/>
        </w:rPr>
        <w:fldChar w:fldCharType="begin"/>
      </w:r>
      <w:r w:rsidRPr="00DA4708">
        <w:rPr>
          <w:color w:val="000000" w:themeColor="text1"/>
        </w:rPr>
        <w:instrText xml:space="preserve"> ADDIN EN.CITE &lt;EndNote&gt;&lt;Cite AuthorYear="1"&gt;&lt;Author&gt;Gonzalez&lt;/Author&gt;&lt;Year&gt;2004&lt;/Year&gt;&lt;RecNum&gt;3721&lt;/RecNum&gt;&lt;DisplayText&gt;Gonzalez (2004)&lt;/DisplayText&gt;&lt;record&gt;&lt;rec-number&gt;3721&lt;/rec-number&gt;&lt;foreign-keys&gt;&lt;key app="EN" db-id="9fwffww9bsxrt1epsdw5ddduzas2rsf2dpp9" timestamp="1473867487"&gt;3721&lt;/key&gt;&lt;/foreign-keys&gt;&lt;ref-type name="Book Section"&gt;5&lt;/ref-type&gt;&lt;contributors&gt;&lt;authors&gt;&lt;author&gt;Gonzalez, J.A.&lt;/author&gt;&lt;/authors&gt;&lt;secondary-authors&gt;&lt;author&gt;Silvius,K.&lt;/author&gt;&lt;author&gt;Bodmer, R.&lt;/author&gt;&lt;author&gt;Fragoso, J.&lt;/author&gt;&lt;/secondary-authors&gt;&lt;/contributors&gt;&lt;titles&gt;&lt;title&gt;Human Use and Conservation of Economically Important Birds in Seasonally Flooded Forests of the Northeastern Peruvian Amazon&lt;/title&gt;&lt;secondary-title&gt;People in Nature: Wildlife Conservation in South and Central America&lt;/secondary-title&gt;&lt;/titles&gt;&lt;pages&gt;344-361&lt;/pages&gt;&lt;dates&gt;&lt;year&gt;2004&lt;/year&gt;&lt;/dates&gt;&lt;pub-location&gt;New York&lt;/pub-location&gt;&lt;publisher&gt;Columbia University Press&lt;/publisher&gt;&lt;urls&gt;&lt;/urls&gt;&lt;/record&gt;&lt;/Cite&gt;&lt;/EndNote&gt;</w:instrText>
      </w:r>
      <w:r w:rsidRPr="00DA4708">
        <w:rPr>
          <w:color w:val="000000" w:themeColor="text1"/>
        </w:rPr>
        <w:fldChar w:fldCharType="separate"/>
      </w:r>
      <w:r w:rsidRPr="00DA4708">
        <w:rPr>
          <w:noProof/>
          <w:color w:val="000000" w:themeColor="text1"/>
        </w:rPr>
        <w:t>Gonzalez (2004)</w:t>
      </w:r>
      <w:r w:rsidRPr="00DA4708">
        <w:rPr>
          <w:color w:val="000000" w:themeColor="text1"/>
        </w:rPr>
        <w:fldChar w:fldCharType="end"/>
      </w:r>
      <w:r w:rsidRPr="00DA4708">
        <w:rPr>
          <w:color w:val="000000" w:themeColor="text1"/>
        </w:rPr>
        <w:t xml:space="preserve"> </w:t>
      </w:r>
      <w:r w:rsidR="001D7F19" w:rsidRPr="00DA4708">
        <w:rPr>
          <w:color w:val="000000" w:themeColor="text1"/>
        </w:rPr>
        <w:t>recorded</w:t>
      </w:r>
      <w:r w:rsidRPr="00DA4708">
        <w:rPr>
          <w:color w:val="000000" w:themeColor="text1"/>
        </w:rPr>
        <w:t xml:space="preserve"> at least forty-seven bird species hunted for food in 1996, but undulated tinamous (</w:t>
      </w:r>
      <w:r w:rsidRPr="00DA4708">
        <w:rPr>
          <w:i/>
          <w:color w:val="000000" w:themeColor="text1"/>
        </w:rPr>
        <w:t>Crypturellus undulatus</w:t>
      </w:r>
      <w:r w:rsidRPr="00DA4708">
        <w:rPr>
          <w:color w:val="000000" w:themeColor="text1"/>
        </w:rPr>
        <w:t>), anhingas (</w:t>
      </w:r>
      <w:r w:rsidRPr="00DA4708">
        <w:rPr>
          <w:i/>
          <w:color w:val="000000" w:themeColor="text1"/>
        </w:rPr>
        <w:t>Anhinga anhinga</w:t>
      </w:r>
      <w:r w:rsidRPr="00DA4708">
        <w:rPr>
          <w:color w:val="000000" w:themeColor="text1"/>
        </w:rPr>
        <w:t>), razor-billed curassows (</w:t>
      </w:r>
      <w:r w:rsidRPr="00DA4708">
        <w:rPr>
          <w:i/>
          <w:color w:val="000000" w:themeColor="text1"/>
        </w:rPr>
        <w:t>Mitu tuberosa</w:t>
      </w:r>
      <w:r w:rsidRPr="00DA4708">
        <w:rPr>
          <w:color w:val="000000" w:themeColor="text1"/>
        </w:rPr>
        <w:t>), muscovy ducks (</w:t>
      </w:r>
      <w:r w:rsidRPr="00DA4708">
        <w:rPr>
          <w:i/>
          <w:color w:val="000000" w:themeColor="text1"/>
        </w:rPr>
        <w:t>Cairina moschata</w:t>
      </w:r>
      <w:r w:rsidRPr="00DA4708">
        <w:rPr>
          <w:color w:val="000000" w:themeColor="text1"/>
        </w:rPr>
        <w:t>), and olivaceous cormorants (</w:t>
      </w:r>
      <w:r w:rsidRPr="00DA4708">
        <w:rPr>
          <w:i/>
          <w:color w:val="000000" w:themeColor="text1"/>
        </w:rPr>
        <w:t>Phalacrocorax olivaceus</w:t>
      </w:r>
      <w:r w:rsidRPr="00DA4708">
        <w:rPr>
          <w:color w:val="000000" w:themeColor="text1"/>
        </w:rPr>
        <w:t>) were the most-frequently hunted</w:t>
      </w:r>
      <w:r w:rsidRPr="00DA4708">
        <w:rPr>
          <w:rFonts w:ascii="Times" w:hAnsi="Times" w:cs="Times"/>
          <w:color w:val="000000" w:themeColor="text1"/>
        </w:rPr>
        <w:t>.</w:t>
      </w:r>
      <w:r w:rsidRPr="00DA4708">
        <w:rPr>
          <w:color w:val="000000" w:themeColor="text1"/>
        </w:rPr>
        <w:t xml:space="preserve"> Bird eggs are also an important source of food for local people in many areas of the Peruvian Amazon </w:t>
      </w:r>
      <w:r w:rsidR="009E4C7B">
        <w:rPr>
          <w:color w:val="000000" w:themeColor="text1"/>
        </w:rPr>
        <w:t>(</w:t>
      </w:r>
      <w:r w:rsidR="00303311">
        <w:fldChar w:fldCharType="begin"/>
      </w:r>
      <w:r w:rsidR="00303311">
        <w:instrText xml:space="preserve"> ADDIN EN.CITE &lt;EndNote&gt;&lt;Cite AuthorYear="1"&gt;&lt;Author&gt;Gonzalez&lt;/Author&gt;&lt;Year&gt;2004&lt;/Year&gt;&lt;RecNum&gt;3721&lt;/RecNum&gt;&lt;DisplayText&gt;Gonzalez (2004)&lt;/DisplayText&gt;&lt;record&gt;&lt;rec-number&gt;3721&lt;/rec-number&gt;&lt;foreign-keys&gt;&lt;key app="EN" db-id="9fwffww9bsxrt1epsdw5ddduzas2rsf2dpp9" timestamp="1473867487"&gt;3721&lt;/key&gt;&lt;/foreign-keys&gt;&lt;ref-type name="Book Section"&gt;5&lt;/ref-type&gt;&lt;contributors&gt;&lt;authors&gt;&lt;author&gt;Gonzalez, J.A.&lt;/author&gt;&lt;/authors&gt;&lt;secondary-authors&gt;&lt;author&gt;Silvius,K.&lt;/author&gt;&lt;author&gt;Bodmer, R.&lt;/author&gt;&lt;author&gt;Fragoso, J.&lt;/author&gt;&lt;/secondary-authors&gt;&lt;/contributors&gt;&lt;titles&gt;&lt;title&gt;Human Use and Conservation of Economically Important Birds in Seasonally Flooded Forests of the Northeastern Peruvian Amazon&lt;/title&gt;&lt;secondary-title&gt;People in Nature: Wildlife Conservation in South and Central America&lt;/secondary-title&gt;&lt;/titles&gt;&lt;pages&gt;344-361&lt;/pages&gt;&lt;dates&gt;&lt;year&gt;2004&lt;/year&gt;&lt;/dates&gt;&lt;pub-location&gt;New York&lt;/pub-location&gt;&lt;publisher&gt;Columbia University Press&lt;/publisher&gt;&lt;urls&gt;&lt;/urls&gt;&lt;/record&gt;&lt;/Cite&gt;&lt;/EndNote&gt;</w:instrText>
      </w:r>
      <w:r w:rsidR="00303311">
        <w:fldChar w:fldCharType="separate"/>
      </w:r>
      <w:r w:rsidR="00303311">
        <w:rPr>
          <w:noProof/>
        </w:rPr>
        <w:t>Gonzalez 2004)</w:t>
      </w:r>
      <w:r w:rsidR="00303311">
        <w:fldChar w:fldCharType="end"/>
      </w:r>
      <w:r w:rsidR="00303311">
        <w:t>.</w:t>
      </w:r>
    </w:p>
    <w:p w14:paraId="320BFAFD" w14:textId="161EE0E3" w:rsidR="007C3A14" w:rsidRPr="0070404D" w:rsidRDefault="00E54B75" w:rsidP="00C258BC">
      <w:pPr>
        <w:jc w:val="both"/>
        <w:rPr>
          <w:color w:val="000000" w:themeColor="text1"/>
          <w:highlight w:val="yellow"/>
        </w:rPr>
      </w:pPr>
      <w:r>
        <w:rPr>
          <w:color w:val="000000" w:themeColor="text1"/>
        </w:rPr>
        <w:t>Though very small, i</w:t>
      </w:r>
      <w:r w:rsidRPr="0070404D">
        <w:rPr>
          <w:color w:val="000000" w:themeColor="text1"/>
        </w:rPr>
        <w:t xml:space="preserve">nvertebrates </w:t>
      </w:r>
      <w:r>
        <w:rPr>
          <w:color w:val="000000" w:themeColor="text1"/>
        </w:rPr>
        <w:t>ca</w:t>
      </w:r>
      <w:r w:rsidR="00510F65">
        <w:rPr>
          <w:color w:val="000000" w:themeColor="text1"/>
        </w:rPr>
        <w:t xml:space="preserve">n </w:t>
      </w:r>
      <w:r w:rsidR="007C3A14" w:rsidRPr="0070404D">
        <w:rPr>
          <w:color w:val="000000" w:themeColor="text1"/>
        </w:rPr>
        <w:t>have a very significant nutritional role in some areas</w:t>
      </w:r>
      <w:r>
        <w:rPr>
          <w:color w:val="000000" w:themeColor="text1"/>
        </w:rPr>
        <w:t xml:space="preserve"> through their high abundances</w:t>
      </w:r>
      <w:r w:rsidR="007C3A14" w:rsidRPr="0070404D">
        <w:rPr>
          <w:color w:val="000000" w:themeColor="text1"/>
        </w:rPr>
        <w:t xml:space="preserve">, but are frequently overlooked in studies of wild food harvesting </w:t>
      </w:r>
      <w:r w:rsidR="005C53DF">
        <w:rPr>
          <w:color w:val="000000" w:themeColor="text1"/>
        </w:rPr>
        <w:fldChar w:fldCharType="begin" w:fldLock="1"/>
      </w:r>
      <w:r w:rsidR="002150E7">
        <w:rPr>
          <w:color w:val="000000" w:themeColor="text1"/>
        </w:rPr>
        <w:instrText>ADDIN CSL_CITATION {"citationItems":[{"id":"ITEM-1","itemData":{"DOI":"10.1146/annurev-ento-120710-100713","ISBN":"00664170 (ISSN)","ISSN":"0066-4170","PMID":"23039342","abstract":"Keywords insect abundance, insect nutritional value, extractive technology, nutritional geometry, right-angled mixture triangle, primate body size, insectivory Abstract Entomophagy is widespread among nonhuman primates and is common among many human communities. However, the extent and patterns of en-tomophagy vary substantially both in humans and nonhuman primates. Here we synthesize the literature to examine why humans and other primates eat insects and what accounts for the variation in the extent to which they do so. Variation in the availability of insects is clearly important, but less under-stood is the role of nutrients in entomophagy. We apply a multidimensional analytical approach, the right-angled mixture triangle, to published data on the macronutrient compositions of insects to address this. Results showed that insects eaten by humans spanned a wide range of protein-to-fat ratios but were generally nutrient dense, whereas insects with high protein-to-fat ratios were eaten by nonhuman primates. Although suggestive, our survey exposes a need for additional, standardized, data.","author":[{"dropping-particle":"","family":"Raubenheimer","given":"David","non-dropping-particle":"","parse-names":false,"suffix":""},{"dropping-particle":"","family":"Rothman","given":"Jessica M.","non-dropping-particle":"","parse-names":false,"suffix":""}],"container-title":"Annual Review of Entomology","id":"ITEM-1","issue":"1","issued":{"date-parts":[["2013"]]},"page":"141-160","title":"Nutritional Ecology of Entomophagy in Humans and Other Primates","type":"article-journal","volume":"58"},"uris":["http://www.mendeley.com/documents/?uuid=c422d89d-5466-4b53-a55b-0d98a7ddd07f"]},{"id":"ITEM-2","itemData":{"author":[{"dropping-particle":"","family":"Ingram","given":"D J","non-dropping-particle":"","parse-names":false,"suffix":""}],"id":"ITEM-2","issued":{"date-parts":[["2018"]]},"publisher":"PhD Thesis, University of Sussex, UK","title":"Quantifying the exploitation of terrestrial wildlife in Africa","type":"book"},"uris":["http://www.mendeley.com/documents/?uuid=451f4b9c-bb2f-42f4-a869-55128eb90dad"]}],"mendeley":{"formattedCitation":"(Raubenheimer &amp; Rothman 2013; Ingram 2018)","plainTextFormattedCitation":"(Raubenheimer &amp; Rothman 2013; Ingram 2018)","previouslyFormattedCitation":"(Raubenheimer &amp; Rothman 2013; Ingram 2018)"},"properties":{"noteIndex":0},"schema":"https://github.com/citation-style-language/schema/raw/master/csl-citation.json"}</w:instrText>
      </w:r>
      <w:r w:rsidR="005C53DF">
        <w:rPr>
          <w:color w:val="000000" w:themeColor="text1"/>
        </w:rPr>
        <w:fldChar w:fldCharType="separate"/>
      </w:r>
      <w:r w:rsidR="005C53DF" w:rsidRPr="005C53DF">
        <w:rPr>
          <w:noProof/>
          <w:color w:val="000000" w:themeColor="text1"/>
        </w:rPr>
        <w:t>(Raubenheimer &amp; Rothman 2013; Ingram 2018)</w:t>
      </w:r>
      <w:r w:rsidR="005C53DF">
        <w:rPr>
          <w:color w:val="000000" w:themeColor="text1"/>
        </w:rPr>
        <w:fldChar w:fldCharType="end"/>
      </w:r>
      <w:r w:rsidR="007C3A14" w:rsidRPr="0070404D">
        <w:rPr>
          <w:color w:val="000000" w:themeColor="text1"/>
        </w:rPr>
        <w:t xml:space="preserve">. More than 1,700 insect species are eaten worldwide </w:t>
      </w:r>
      <w:r w:rsidR="005C53DF">
        <w:rPr>
          <w:color w:val="000000" w:themeColor="text1"/>
        </w:rPr>
        <w:fldChar w:fldCharType="begin" w:fldLock="1"/>
      </w:r>
      <w:r w:rsidR="00B2630D">
        <w:rPr>
          <w:color w:val="000000" w:themeColor="text1"/>
        </w:rPr>
        <w:instrText>ADDIN CSL_CITATION {"citationItems":[{"id":"ITEM-1","itemData":{"DOI":"10.1080/10408398.2018.1440191","ISSN":"1040-8398","abstract":"ABSTRACTThe traditional consumption of edible insects is common in one third of the world's population, mostly in Latin America, Africa and Asia. There are over one thousand identified species of insects eaten in some stage of their life cycle; and they play important roles in ensuring food security. The most common way to collect insects are from the wild, which is seasonal with limited availability and has an increasing demand resulting in a disruption to the ecosystem. There is a growing interest shown in rearing insects for commercial purposes, and an industrial scale production will be required to ensure steady supplies. Industrial production will need to take into account the living environment of insects, the nutritional composition of their feed and the overall efficiency of the production system. We provide a short overview on the consumption of and rearing insects in Africa, Asia and Europe. For Africa, a snapshot is given for Nigeria, Ghana, Central African Republic, Kenya and Uganda, while the...","author":[{"dropping-particle":"","family":"Raheem","given":"Dele","non-dropping-particle":"","parse-names":false,"suffix":""},{"dropping-particle":"","family":"Carrascosa","given":"Conrado","non-dropping-particle":"","parse-names":false,"suffix":""},{"dropping-particle":"","family":"Oluwole","given":"Oluwatoyin Bolanle","non-dropping-particle":"","parse-names":false,"suffix":""},{"dropping-particle":"","family":"Nieuwland","given":"Maaike","non-dropping-particle":"","parse-names":false,"suffix":""},{"dropping-particle":"","family":"Saraiva","given":"Ariana","non-dropping-particle":"","parse-names":false,"suffix":""},{"dropping-particle":"","family":"Millán","given":"Rafael","non-dropping-particle":"","parse-names":false,"suffix":""},{"dropping-particle":"","family":"Raposo","given":"António","non-dropping-particle":"","parse-names":false,"suffix":""}],"container-title":"Critical Reviews in Food Science and Nutrition","id":"ITEM-1","issued":{"date-parts":[["2018"]]},"page":"1-20","publisher":"Taylor &amp; Francis","title":"Traditional consumption of and rearing edible insects in Africa, Asia and Europe","type":"article-journal","volume":"8398"},"uris":["http://www.mendeley.com/documents/?uuid=4a3c596f-7c66-4aa7-bd0b-9313df889209"]}],"mendeley":{"formattedCitation":"(Raheem et al. 2018)","plainTextFormattedCitation":"(Raheem et al. 2018)","previouslyFormattedCitation":"(Raheem et al. 2018)"},"properties":{"noteIndex":0},"schema":"https://github.com/citation-style-language/schema/raw/master/csl-citation.json"}</w:instrText>
      </w:r>
      <w:r w:rsidR="005C53DF">
        <w:rPr>
          <w:color w:val="000000" w:themeColor="text1"/>
        </w:rPr>
        <w:fldChar w:fldCharType="separate"/>
      </w:r>
      <w:r w:rsidR="005C53DF" w:rsidRPr="00C54F19">
        <w:rPr>
          <w:noProof/>
          <w:color w:val="000000" w:themeColor="text1"/>
        </w:rPr>
        <w:t>(Raheem et al. 2018)</w:t>
      </w:r>
      <w:r w:rsidR="005C53DF">
        <w:rPr>
          <w:color w:val="000000" w:themeColor="text1"/>
        </w:rPr>
        <w:fldChar w:fldCharType="end"/>
      </w:r>
      <w:r w:rsidR="005C53DF">
        <w:rPr>
          <w:color w:val="000000" w:themeColor="text1"/>
        </w:rPr>
        <w:t xml:space="preserve">, </w:t>
      </w:r>
      <w:r w:rsidR="007C3A14" w:rsidRPr="0070404D">
        <w:rPr>
          <w:color w:val="000000" w:themeColor="text1"/>
        </w:rPr>
        <w:t xml:space="preserve">including 520 species in Africa (with grasshoppers, locusts, crickets and Lepidoptera sp., eaten mostly in their larval or pupal stages, among the preferred species), 67 species in Latin America (bees, wasps and ants </w:t>
      </w:r>
      <w:r w:rsidR="007A3FE2" w:rsidRPr="0070404D">
        <w:rPr>
          <w:color w:val="000000" w:themeColor="text1"/>
        </w:rPr>
        <w:t>preferred</w:t>
      </w:r>
      <w:r w:rsidR="007C3A14" w:rsidRPr="0070404D">
        <w:rPr>
          <w:color w:val="000000" w:themeColor="text1"/>
        </w:rPr>
        <w:t xml:space="preserve">), and over 340 species in Asia, which are commonly eaten by rural people and serve as an important protein source </w:t>
      </w:r>
      <w:r w:rsidR="002150E7" w:rsidRPr="0070404D">
        <w:rPr>
          <w:color w:val="000000" w:themeColor="text1"/>
        </w:rPr>
        <w:t xml:space="preserve">source </w:t>
      </w:r>
      <w:r w:rsidR="002150E7">
        <w:rPr>
          <w:color w:val="000000" w:themeColor="text1"/>
        </w:rPr>
        <w:fldChar w:fldCharType="begin" w:fldLock="1"/>
      </w:r>
      <w:r w:rsidR="00B2630D">
        <w:rPr>
          <w:color w:val="000000" w:themeColor="text1"/>
        </w:rPr>
        <w:instrText>ADDIN CSL_CITATION {"citationItems":[{"id":"ITEM-1","itemData":{"DOI":"10.1111/j.1748-5967.2009.00238.x","ISBN":"17382297 (ISSN)","ISSN":"17382297","abstract":"Environmental cycles and human factors have altered ecosystems throughout the world. Natural resources have acquired high value because they are important to life and the survival of human beings. Among these resources are edible insects. They have many important features and, to date, up to 2086 species are consumed by 3071 ethnic groups. Rural people, who primarily search, gather, fix, commercialize and store this important natural resource, do not exterminate them. This is because rural people exploit only the central part of the insects' population curves. Nonetheless, some species are overexploited. Anthropo-entomophagy (eating of insects by humans) constitutes a major source of nutrition and these foods are eaten in 130 countries, with the African and American continents being the most entomophagous until now. It exists in protocultures (care is given to the edible insect species) and formal cultures, such as in Mexico, which date back to prehisphanic times. According to anthropologists the \"saving gene theory\" is based on insect ingestion, which, since the Paleolithic era, has given human beings reproductive success. The evolution of anthropo-entomophagy has been achieved in many ways, from the point of view of collection, fixing, marketing and consumption, and for the insects' organoleptical qualities. The sustainability of these species is fundamental; therefore, it is necessary to take certain measures for species conservation. In Mexico, more than 100 species of edible insects have been tested for their sustainability over 500 years, from the Spanish conquest to the present.","author":[{"dropping-particle":"","family":"Ramos-Elorduy","given":"Julieta","non-dropping-particle":"","parse-names":false,"suffix":""}],"container-title":"Entomological Research","id":"ITEM-1","issue":"5","issued":{"date-parts":[["2009"]]},"page":"271-288","title":"Anthropo-entomophagy: Cultures, evolution and sustainability","type":"article-journal","volume":"39"},"uris":["http://www.mendeley.com/documents/?uuid=c5aa081b-6ae6-45bb-aaeb-29c9d7a3684f"]},{"id":"ITEM-2","itemData":{"DOI":"10.1016/j.foodres.2009.10.014","ISBN":"0963-9969","ISSN":"09639969","PMID":"47149726","abstract":"Fatty acid composition and proximate analysis of eight terricolous insects namely dung beetle (Copris nevinsoni Waterhouse), short tailed cricket (Brachytrupes portentosus Lichtenstein), june beetle (Holotrichia sp.), queen caste (Oecophylla smaragdina Fabricius), weaver ant (Oecophylla smaragdina Fabricius), termite (Termes sp.), longan stink bug (Tessaratoma papillosa), cicada (Meimuna opalifera Walker) were determined. Polyunsaturated fatty acid (PUFA) was the most predominant fatty acid found in all analyzed insects, followed by saturated fatty acid (SFA) and monounsaturated fatty acid (MUFA). The concentration of total PUFA ranged from 213 in cicada to 1514 mg/100 g in dung beetle. There were five PUFAs; 18:3n - 3, 20:3n - 6, 20:4n - 6, 20:5n - 3 and 22:6n - 3 detected in the insect samples. Two fatty acids, 20:3n - 6, and 20:4n - 6 were found in all analyzed insects, while, 20:5n - 3 was only detected in dung beetle which lives in herbivore faeces, at concentration of 300 mg/100 g accounted for 13% of total fatty acid. The SFA content in ranged from 234 in termite to 733 mg/100 g in dung beetle. Only one MUFA, 18:1 was detected in the all analyzed insects. The protein content of insects ranged from 37% in queen caste to 54% in dung beetle. The highest amount of carbohydrate (16%) was found in cicada. Lipid contents ranged from 5% in june beetle to 37% in queen caste, while ash contents of edible insects ranged from 2% in queen caste to 12% in june beetle. We suggest that the insect could be considered as a good nutritional food source especially for fat and protein. © 2009 Elsevier Ltd. All rights reserved.","author":[{"dropping-particle":"","family":"Raksakantong","given":"Pornpimol","non-dropping-particle":"","parse-names":false,"suffix":""},{"dropping-particle":"","family":"Meeso","given":"Naret","non-dropping-particle":"","parse-names":false,"suffix":""},{"dropping-particle":"","family":"Kubola","given":"Jittawan","non-dropping-particle":"","parse-names":false,"suffix":""},{"dropping-particle":"","family":"Siriamornpun","given":"Sirithon","non-dropping-particle":"","parse-names":false,"suffix":""}],"container-title":"Food Research International","id":"ITEM-2","issue":"1","issued":{"date-parts":[["2010"]]},"page":"350-355","publisher":"Elsevier Ltd","title":"Fatty acids and proximate composition of eight Thai edible terricolous insects","type":"article-journal","volume":"43"},"uris":["http://www.mendeley.com/documents/?uuid=c7345ff7-da99-4174-9712-54e3b0bf5fe9"]},{"id":"ITEM-3","itemData":{"author":[{"dropping-particle":"","family":"Huis","given":"A","non-dropping-particle":"Van","parse-names":false,"suffix":""},{"dropping-particle":"V","family":"Itterbeek","given":"J","non-dropping-particle":"","parse-names":false,"suffix":""},{"dropping-particle":"","family":"Klunder","given":"H C","non-dropping-particle":"","parse-names":false,"suffix":""},{"dropping-particle":"","family":"Mertens","given":"E","non-dropping-particle":"","parse-names":false,"suffix":""},{"dropping-particle":"","family":"Halloran","given":"A","non-dropping-particle":"","parse-names":false,"suffix":""},{"dropping-particle":"","family":"Muir","given":"G","non-dropping-particle":"","parse-names":false,"suffix":""},{"dropping-particle":"","family":"Vanthomme","given":"P","non-dropping-particle":"","parse-names":false,"suffix":""}],"id":"ITEM-3","issued":{"date-parts":[["2013"]]},"publisher-place":"Food and Agriculture Organization of the United Nations (FAO), Rome, Italy","title":"Edible insects: future prospects for food and feed security","type":"report"},"uris":["http://www.mendeley.com/documents/?uuid=41320679-1a35-4732-9900-3cc7fd68c445"]}],"mendeley":{"formattedCitation":"(Ramos-Elorduy 2009; Raksakantong et al. 2010; Van Huis et al. 2013)","plainTextFormattedCitation":"(Ramos-Elorduy 2009; Raksakantong et al. 2010; Van Huis et al. 2013)","previouslyFormattedCitation":"(Ramos-Elorduy 2009; Raksakantong et al. 2010; Van Huis et al. 2013)"},"properties":{"noteIndex":0},"schema":"https://github.com/citation-style-language/schema/raw/master/csl-citation.json"}</w:instrText>
      </w:r>
      <w:r w:rsidR="002150E7">
        <w:rPr>
          <w:color w:val="000000" w:themeColor="text1"/>
        </w:rPr>
        <w:fldChar w:fldCharType="separate"/>
      </w:r>
      <w:r w:rsidR="002150E7" w:rsidRPr="00C664E3">
        <w:rPr>
          <w:noProof/>
          <w:color w:val="000000" w:themeColor="text1"/>
        </w:rPr>
        <w:t>(Ramos-Elorduy 2009; Raksakantong et al. 2010; Van Huis et al. 2013)</w:t>
      </w:r>
      <w:r w:rsidR="002150E7">
        <w:rPr>
          <w:color w:val="000000" w:themeColor="text1"/>
        </w:rPr>
        <w:fldChar w:fldCharType="end"/>
      </w:r>
      <w:r w:rsidR="007C3A14" w:rsidRPr="0070404D">
        <w:rPr>
          <w:color w:val="000000" w:themeColor="text1"/>
        </w:rPr>
        <w:t>. About two billion people worldwide currently incorporate insects into their diets</w:t>
      </w:r>
      <w:r w:rsidR="009B1218">
        <w:rPr>
          <w:color w:val="000000" w:themeColor="text1"/>
        </w:rPr>
        <w:t xml:space="preserve"> </w:t>
      </w:r>
      <w:r w:rsidR="009B1218">
        <w:rPr>
          <w:color w:val="000000" w:themeColor="text1"/>
        </w:rPr>
        <w:fldChar w:fldCharType="begin" w:fldLock="1"/>
      </w:r>
      <w:r w:rsidR="00566AAF">
        <w:rPr>
          <w:color w:val="000000" w:themeColor="text1"/>
        </w:rPr>
        <w:instrText>ADDIN CSL_CITATION {"citationItems":[{"id":"ITEM-1","itemData":{"author":[{"dropping-particle":"","family":"Huis","given":"A","non-dropping-particle":"Van","parse-names":false,"suffix":""},{"dropping-particle":"V","family":"Itterbeek","given":"J","non-dropping-particle":"","parse-names":false,"suffix":""},{"dropping-particle":"","family":"Klunder","given":"H C","non-dropping-particle":"","parse-names":false,"suffix":""},{"dropping-particle":"","family":"Mertens","given":"E","non-dropping-particle":"","parse-names":false,"suffix":""},{"dropping-particle":"","family":"Halloran","given":"A","non-dropping-particle":"","parse-names":false,"suffix":""},{"dropping-particle":"","family":"Muir","given":"G","non-dropping-particle":"","parse-names":false,"suffix":""},{"dropping-particle":"","family":"Vanthomme","given":"P","non-dropping-particle":"","parse-names":false,"suffix":""}],"id":"ITEM-1","issued":{"date-parts":[["2013"]]},"publisher-place":"Food and Agriculture Organization of the United Nations (FAO), Rome, Italy","title":"Edible insects: future prospects for food and feed security","type":"report"},"uris":["http://www.mendeley.com/documents/?uuid=41320679-1a35-4732-9900-3cc7fd68c445"]}],"mendeley":{"formattedCitation":"(Van Huis et al. 2013)","plainTextFormattedCitation":"(Van Huis et al. 2013)","previouslyFormattedCitation":"(Van Huis et al. 2013)"},"properties":{"noteIndex":0},"schema":"https://github.com/citation-style-language/schema/raw/master/csl-citation.json"}</w:instrText>
      </w:r>
      <w:r w:rsidR="009B1218">
        <w:rPr>
          <w:color w:val="000000" w:themeColor="text1"/>
        </w:rPr>
        <w:fldChar w:fldCharType="separate"/>
      </w:r>
      <w:r w:rsidR="009B1218" w:rsidRPr="009B1218">
        <w:rPr>
          <w:noProof/>
          <w:color w:val="000000" w:themeColor="text1"/>
        </w:rPr>
        <w:t>(Van Huis et al. 2013)</w:t>
      </w:r>
      <w:r w:rsidR="009B1218">
        <w:rPr>
          <w:color w:val="000000" w:themeColor="text1"/>
        </w:rPr>
        <w:fldChar w:fldCharType="end"/>
      </w:r>
      <w:r w:rsidR="007C3A14" w:rsidRPr="0070404D">
        <w:rPr>
          <w:color w:val="000000" w:themeColor="text1"/>
        </w:rPr>
        <w:t xml:space="preserve">, more in the tropics than in temperate areas of the world, partly due to the larger size and </w:t>
      </w:r>
      <w:r w:rsidR="007A3FE2" w:rsidRPr="0070404D">
        <w:rPr>
          <w:color w:val="000000" w:themeColor="text1"/>
        </w:rPr>
        <w:t>availability</w:t>
      </w:r>
      <w:r w:rsidR="007C3A14" w:rsidRPr="0070404D">
        <w:rPr>
          <w:color w:val="000000" w:themeColor="text1"/>
        </w:rPr>
        <w:t xml:space="preserve"> of insects in the tropics. However, insects are not eaten simply due to their availability. As </w:t>
      </w:r>
      <w:r w:rsidR="00463F14">
        <w:rPr>
          <w:color w:val="000000" w:themeColor="text1"/>
        </w:rPr>
        <w:t xml:space="preserve">Van </w:t>
      </w:r>
      <w:r w:rsidR="007C3A14" w:rsidRPr="0070404D">
        <w:rPr>
          <w:color w:val="000000" w:themeColor="text1"/>
        </w:rPr>
        <w:t xml:space="preserve">Huis et al. </w:t>
      </w:r>
      <w:r w:rsidR="002150E7">
        <w:rPr>
          <w:color w:val="000000" w:themeColor="text1"/>
        </w:rPr>
        <w:fldChar w:fldCharType="begin" w:fldLock="1"/>
      </w:r>
      <w:r w:rsidR="00B2630D">
        <w:rPr>
          <w:color w:val="000000" w:themeColor="text1"/>
        </w:rPr>
        <w:instrText>ADDIN CSL_CITATION {"citationItems":[{"id":"ITEM-1","itemData":{"author":[{"dropping-particle":"","family":"Huis","given":"A","non-dropping-particle":"Van","parse-names":false,"suffix":""},{"dropping-particle":"V","family":"Itterbeek","given":"J","non-dropping-particle":"","parse-names":false,"suffix":""},{"dropping-particle":"","family":"Klunder","given":"H C","non-dropping-particle":"","parse-names":false,"suffix":""},{"dropping-particle":"","family":"Mertens","given":"E","non-dropping-particle":"","parse-names":false,"suffix":""},{"dropping-particle":"","family":"Halloran","given":"A","non-dropping-particle":"","parse-names":false,"suffix":""},{"dropping-particle":"","family":"Muir","given":"G","non-dropping-particle":"","parse-names":false,"suffix":""},{"dropping-particle":"","family":"Vanthomme","given":"P","non-dropping-particle":"","parse-names":false,"suffix":""}],"id":"ITEM-1","issued":{"date-parts":[["2013"]]},"publisher-place":"Food and Agriculture Organization of the United Nations (FAO), Rome, Italy","title":"Edible insects: future prospects for food and feed security","type":"report"},"uris":["http://www.mendeley.com/documents/?uuid=41320679-1a35-4732-9900-3cc7fd68c445"]}],"mendeley":{"formattedCitation":"(Van Huis et al. 2013)","manualFormatting":"(2013)","plainTextFormattedCitation":"(Van Huis et al. 2013)","previouslyFormattedCitation":"(Van Huis et al. 2013)"},"properties":{"noteIndex":0},"schema":"https://github.com/citation-style-language/schema/raw/master/csl-citation.json"}</w:instrText>
      </w:r>
      <w:r w:rsidR="002150E7">
        <w:rPr>
          <w:color w:val="000000" w:themeColor="text1"/>
        </w:rPr>
        <w:fldChar w:fldCharType="separate"/>
      </w:r>
      <w:r w:rsidR="002150E7" w:rsidRPr="002150E7">
        <w:rPr>
          <w:noProof/>
          <w:color w:val="000000" w:themeColor="text1"/>
        </w:rPr>
        <w:t>(2013)</w:t>
      </w:r>
      <w:r w:rsidR="002150E7">
        <w:rPr>
          <w:color w:val="000000" w:themeColor="text1"/>
        </w:rPr>
        <w:fldChar w:fldCharType="end"/>
      </w:r>
      <w:r w:rsidR="007C3A14" w:rsidRPr="0070404D">
        <w:rPr>
          <w:color w:val="000000" w:themeColor="text1"/>
        </w:rPr>
        <w:t xml:space="preserve"> note: ‘</w:t>
      </w:r>
      <w:r w:rsidR="007A3FE2" w:rsidRPr="0070404D">
        <w:rPr>
          <w:i/>
          <w:color w:val="000000" w:themeColor="text1"/>
        </w:rPr>
        <w:t>it</w:t>
      </w:r>
      <w:r w:rsidR="007C3A14" w:rsidRPr="0070404D">
        <w:rPr>
          <w:i/>
          <w:color w:val="000000" w:themeColor="text1"/>
        </w:rPr>
        <w:t xml:space="preserve"> is a misconception to believe that insects are only eaten because of lack of alternatives or because people are hungry. Often my interviewees indicated that they eat insects because they are just delicious</w:t>
      </w:r>
      <w:r w:rsidR="007C3A14" w:rsidRPr="0070404D">
        <w:rPr>
          <w:color w:val="000000" w:themeColor="text1"/>
        </w:rPr>
        <w:t xml:space="preserve">’. </w:t>
      </w:r>
    </w:p>
    <w:p w14:paraId="7F24708A" w14:textId="6B60CEB7" w:rsidR="00936FA3" w:rsidRPr="0070404D" w:rsidRDefault="007C3A14" w:rsidP="00DF57F3">
      <w:pPr>
        <w:pStyle w:val="Heading2"/>
      </w:pPr>
      <w:bookmarkStart w:id="46" w:name="_Toc517693737"/>
      <w:bookmarkStart w:id="47" w:name="_Toc519156079"/>
      <w:bookmarkStart w:id="48" w:name="_Toc529390337"/>
      <w:r w:rsidRPr="0070404D">
        <w:t>Hunter characteristics</w:t>
      </w:r>
      <w:bookmarkStart w:id="49" w:name="_Toc506383306"/>
      <w:bookmarkStart w:id="50" w:name="_Toc506383629"/>
      <w:bookmarkStart w:id="51" w:name="_Toc506383307"/>
      <w:bookmarkStart w:id="52" w:name="_Toc506383630"/>
      <w:bookmarkEnd w:id="46"/>
      <w:bookmarkEnd w:id="47"/>
      <w:bookmarkEnd w:id="49"/>
      <w:bookmarkEnd w:id="50"/>
      <w:bookmarkEnd w:id="51"/>
      <w:bookmarkEnd w:id="52"/>
      <w:bookmarkEnd w:id="48"/>
    </w:p>
    <w:p w14:paraId="62891556" w14:textId="541C09EF" w:rsidR="003B6FE0" w:rsidRPr="00DF57F3" w:rsidRDefault="00E27A01" w:rsidP="00C258BC">
      <w:pPr>
        <w:jc w:val="both"/>
        <w:rPr>
          <w:color w:val="000000" w:themeColor="text1"/>
          <w:lang w:val="fr-FR"/>
        </w:rPr>
      </w:pPr>
      <w:r w:rsidRPr="005512D2">
        <w:rPr>
          <w:color w:val="000000" w:themeColor="text1"/>
        </w:rPr>
        <w:t xml:space="preserve">In the tropics and sub-tropics, most </w:t>
      </w:r>
      <w:r w:rsidR="00195AF0" w:rsidRPr="005512D2">
        <w:rPr>
          <w:color w:val="000000" w:themeColor="text1"/>
        </w:rPr>
        <w:t xml:space="preserve">self-identified </w:t>
      </w:r>
      <w:r w:rsidRPr="005512D2">
        <w:rPr>
          <w:color w:val="000000" w:themeColor="text1"/>
        </w:rPr>
        <w:t>wild meat hunters are men</w:t>
      </w:r>
      <w:r w:rsidR="00FC01C0">
        <w:rPr>
          <w:color w:val="000000" w:themeColor="text1"/>
        </w:rPr>
        <w:t xml:space="preserve">, </w:t>
      </w:r>
      <w:r w:rsidRPr="005512D2">
        <w:rPr>
          <w:color w:val="000000" w:themeColor="text1"/>
        </w:rPr>
        <w:t xml:space="preserve">with </w:t>
      </w:r>
      <w:r w:rsidRPr="00D52BC7">
        <w:rPr>
          <w:color w:val="000000" w:themeColor="text1"/>
        </w:rPr>
        <w:t>exceptions such as the Aka forest foragers ("Pygmies") of the Central African Republic</w:t>
      </w:r>
      <w:r w:rsidR="00641A4E" w:rsidRPr="00D52BC7">
        <w:rPr>
          <w:color w:val="000000" w:themeColor="text1"/>
        </w:rPr>
        <w:t xml:space="preserve"> (CAR)</w:t>
      </w:r>
      <w:r w:rsidRPr="00D52BC7">
        <w:rPr>
          <w:color w:val="000000" w:themeColor="text1"/>
        </w:rPr>
        <w:t>, where women net-hunt more frequently t</w:t>
      </w:r>
      <w:r w:rsidR="00FC01C0" w:rsidRPr="00D52BC7">
        <w:rPr>
          <w:color w:val="000000" w:themeColor="text1"/>
        </w:rPr>
        <w:t>han men</w:t>
      </w:r>
      <w:r w:rsidR="00195AF0" w:rsidRPr="00D52BC7">
        <w:rPr>
          <w:color w:val="000000" w:themeColor="text1"/>
        </w:rPr>
        <w:t xml:space="preserve"> </w:t>
      </w:r>
      <w:r w:rsidR="002150E7">
        <w:rPr>
          <w:color w:val="000000" w:themeColor="text1"/>
        </w:rPr>
        <w:fldChar w:fldCharType="begin" w:fldLock="1"/>
      </w:r>
      <w:r w:rsidR="002150E7">
        <w:rPr>
          <w:color w:val="000000" w:themeColor="text1"/>
        </w:rPr>
        <w:instrText>ADDIN CSL_CITATION {"citationItems":[{"id":"ITEM-1","itemData":{"author":[{"dropping-particle":"","family":"Noss","given":"A J","non-dropping-particle":"","parse-names":false,"suffix":""},{"dropping-particle":"","family":"Hewlett","given":"B S","non-dropping-particle":"","parse-names":false,"suffix":""}],"container-title":"American Anthropologist","id":"ITEM-1","issue":"4","issued":{"date-parts":[["2001"]]},"page":"1024-1040","title":"The contexts of female hunting in Central Africa","type":"article-journal","volume":"103"},"uris":["http://www.mendeley.com/documents/?uuid=ffafac4f-2c95-4243-9fb9-d685f48c956d"]}],"mendeley":{"formattedCitation":"(Noss &amp; Hewlett 2001)","plainTextFormattedCitation":"(Noss &amp; Hewlett 2001)","previouslyFormattedCitation":"(Noss &amp; Hewlett 2001)"},"properties":{"noteIndex":0},"schema":"https://github.com/citation-style-language/schema/raw/master/csl-citation.json"}</w:instrText>
      </w:r>
      <w:r w:rsidR="002150E7">
        <w:rPr>
          <w:color w:val="000000" w:themeColor="text1"/>
        </w:rPr>
        <w:fldChar w:fldCharType="separate"/>
      </w:r>
      <w:r w:rsidR="002150E7" w:rsidRPr="00620673">
        <w:rPr>
          <w:noProof/>
          <w:color w:val="000000" w:themeColor="text1"/>
        </w:rPr>
        <w:t>(Noss &amp; Hewlett 2001)</w:t>
      </w:r>
      <w:r w:rsidR="002150E7">
        <w:rPr>
          <w:color w:val="000000" w:themeColor="text1"/>
        </w:rPr>
        <w:fldChar w:fldCharType="end"/>
      </w:r>
      <w:r w:rsidRPr="00D52BC7">
        <w:rPr>
          <w:color w:val="000000" w:themeColor="text1"/>
        </w:rPr>
        <w:t xml:space="preserve">. </w:t>
      </w:r>
      <w:r w:rsidR="00CB7A8E" w:rsidRPr="00D52BC7">
        <w:rPr>
          <w:color w:val="000000" w:themeColor="text1"/>
        </w:rPr>
        <w:t>Hunting</w:t>
      </w:r>
      <w:r w:rsidRPr="00D52BC7">
        <w:rPr>
          <w:color w:val="000000" w:themeColor="text1"/>
        </w:rPr>
        <w:t xml:space="preserve"> </w:t>
      </w:r>
      <w:r w:rsidR="00BC741A" w:rsidRPr="00D52BC7">
        <w:rPr>
          <w:color w:val="000000" w:themeColor="text1"/>
        </w:rPr>
        <w:t xml:space="preserve">by </w:t>
      </w:r>
      <w:r w:rsidRPr="00D52BC7">
        <w:rPr>
          <w:color w:val="000000" w:themeColor="text1"/>
        </w:rPr>
        <w:t>women and children is rarely recorded as it is often opportunistic</w:t>
      </w:r>
      <w:r w:rsidR="00966B69" w:rsidRPr="00D52BC7">
        <w:rPr>
          <w:color w:val="000000" w:themeColor="text1"/>
        </w:rPr>
        <w:t xml:space="preserve"> hunting, generally of </w:t>
      </w:r>
      <w:r w:rsidR="00195AF0" w:rsidRPr="00D52BC7">
        <w:rPr>
          <w:color w:val="000000" w:themeColor="text1"/>
        </w:rPr>
        <w:t>sm</w:t>
      </w:r>
      <w:r w:rsidR="00966B69" w:rsidRPr="00D52BC7">
        <w:rPr>
          <w:color w:val="000000" w:themeColor="text1"/>
        </w:rPr>
        <w:t xml:space="preserve">all birds </w:t>
      </w:r>
      <w:r w:rsidR="00966B69">
        <w:t>and mammals, crayfish</w:t>
      </w:r>
      <w:r w:rsidR="00195AF0" w:rsidRPr="005512D2">
        <w:t xml:space="preserve"> </w:t>
      </w:r>
      <w:r w:rsidR="00966B69">
        <w:t xml:space="preserve">and reptiles, </w:t>
      </w:r>
      <w:r w:rsidR="00195AF0" w:rsidRPr="005512D2">
        <w:t>within the course of other livelihood activities such as agriculture</w:t>
      </w:r>
      <w:r w:rsidRPr="005512D2">
        <w:t>. Including th</w:t>
      </w:r>
      <w:r w:rsidR="00CB7A8E" w:rsidRPr="005512D2">
        <w:t>eir hunting</w:t>
      </w:r>
      <w:r w:rsidRPr="005512D2">
        <w:t xml:space="preserve"> </w:t>
      </w:r>
      <w:r w:rsidR="007C30FF" w:rsidRPr="005512D2">
        <w:t>off</w:t>
      </w:r>
      <w:r w:rsidRPr="005512D2">
        <w:t>take however can make a difference to calculations of overall</w:t>
      </w:r>
      <w:r w:rsidR="00936FA3" w:rsidRPr="005512D2">
        <w:t xml:space="preserve"> </w:t>
      </w:r>
      <w:r w:rsidR="00260DF6" w:rsidRPr="005512D2">
        <w:t>use of</w:t>
      </w:r>
      <w:r w:rsidR="00936FA3" w:rsidRPr="005512D2">
        <w:t xml:space="preserve"> </w:t>
      </w:r>
      <w:r w:rsidR="007A3FE2" w:rsidRPr="005512D2">
        <w:t>wi</w:t>
      </w:r>
      <w:r w:rsidR="00C63397">
        <w:t>l</w:t>
      </w:r>
      <w:r w:rsidR="007A3FE2" w:rsidRPr="005512D2">
        <w:t>d</w:t>
      </w:r>
      <w:r w:rsidR="007A3FE2">
        <w:t xml:space="preserve"> </w:t>
      </w:r>
      <w:r w:rsidR="007A3FE2" w:rsidRPr="005512D2">
        <w:t>meat</w:t>
      </w:r>
      <w:r w:rsidR="00936FA3" w:rsidRPr="005512D2">
        <w:t xml:space="preserve"> </w:t>
      </w:r>
      <w:r w:rsidR="00260DF6" w:rsidRPr="005512D2">
        <w:t>and the social and ecological impacts</w:t>
      </w:r>
      <w:r w:rsidR="00DB5CF1" w:rsidRPr="005512D2">
        <w:t xml:space="preserve"> </w:t>
      </w:r>
      <w:r w:rsidR="002150E7">
        <w:rPr>
          <w:color w:val="000000" w:themeColor="text1"/>
        </w:rPr>
        <w:fldChar w:fldCharType="begin" w:fldLock="1"/>
      </w:r>
      <w:r w:rsidR="00B2630D">
        <w:rPr>
          <w:color w:val="000000" w:themeColor="text1"/>
        </w:rPr>
        <w:instrText>ADDIN CSL_CITATION {"citationItems":[{"id":"ITEM-1","itemData":{"ISBN":"1111111111","author":[{"dropping-particle":"","family":"Bonwitt","given":"Jesse","non-dropping-particle":"","parse-names":false,"suffix":""},{"dropping-particle":"","family":"Kandeh","given":"Martin","non-dropping-particle":"","parse-names":false,"suffix":""},{"dropping-particle":"","family":"Dawson","given":"Michael","non-dropping-particle":"","parse-names":false,"suffix":""},{"dropping-particle":"","family":"Ansumana","given":"Rashid","non-dropping-particle":"","parse-names":false,"suffix":""},{"dropping-particle":"","family":"Sahr","given":"Foday","non-dropping-particle":"","parse-names":false,"suffix":""},{"dropping-particle":"","family":"Kelly","given":"Ann H","non-dropping-particle":"","parse-names":false,"suffix":""},{"dropping-particle":"","family":"Brown","given":"Hannah","non-dropping-particle":"","parse-names":false,"suffix":""}],"container-title":"PLOS Neglected Tropical Diseases","id":"ITEM-1","issue":"7","issued":{"date-parts":[["2017"]]},"page":"e0005699","title":"Participation of women and children in hunting activities in Sierra Leone and implications for control of zoonotic infections","type":"article-journal","volume":"11"},"uris":["http://www.mendeley.com/documents/?uuid=c8c70030-1404-41fb-ae3a-a08847754d4a"]},{"id":"ITEM-2","itemData":{"DOI":"10.1111/conl.12389","author":[{"dropping-particle":"","family":"Ingram","given":"Daniel J","non-dropping-particle":"","parse-names":false,"suffix":""},{"dropping-particle":"","family":"Coad","given":"Lauren","non-dropping-particle":"","parse-names":false,"suffix":""},{"dropping-particle":"","family":"Abernethy","given":"K. A.","non-dropping-particle":"","parse-names":false,"suffix":""},{"dropping-particle":"","family":"Maisels","given":"Fiona","non-dropping-particle":"","parse-names":false,"suffix":""},{"dropping-particle":"","family":"Stokes","given":"Emma J","non-dropping-particle":"","parse-names":false,"suffix":""},{"dropping-particle":"","family":"Bobo","given":"Kadiri S","non-dropping-particle":"","parse-names":false,"suffix":""},{"dropping-particle":"","family":"Breuer","given":"Thomas","non-dropping-particle":"","parse-names":false,"suffix":""},{"dropping-particle":"","family":"Gandiwa","given":"Edson","non-dropping-particle":"","parse-names":false,"suffix":""},{"dropping-particle":"","family":"Ghiurghi","given":"Andrea","non-dropping-particle":"","parse-names":false,"suffix":""},{"dropping-particle":"","family":"Greengrass","given":"Elizabeth","non-dropping-particle":"","parse-names":false,"suffix":""},{"dropping-particle":"","family":"Holmern","given":"Tomas","non-dropping-particle":"","parse-names":false,"suffix":""},{"dropping-particle":"","family":"Kamgaing","given":"Towa O W","non-dropping-particle":"","parse-names":false,"suffix":""},{"dropping-particle":"","family":"Obiang","given":"Anne-marie Ndong","non-dropping-particle":"","parse-names":false,"suffix":""},{"dropping-particle":"","family":"Poulsen","given":"John R","non-dropping-particle":"","parse-names":false,"suffix":""},{"dropping-particle":"","family":"Schleicher","given":"Judith","non-dropping-particle":"","parse-names":false,"suffix":""},{"dropping-particle":"","family":"Nielsen","given":"Martin R","non-dropping-particle":"","parse-names":false,"suffix":""},{"dropping-particle":"","family":"Solly","given":"Hilary","non-dropping-particle":"","parse-names":false,"suffix":""},{"dropping-particle":"","family":"Vath","given":"Carrie L","non-dropping-particle":"","parse-names":false,"suffix":""},{"dropping-particle":"","family":"Waltert","given":"Matthias","non-dropping-particle":"","parse-names":false,"suffix":""}],"container-title":"Conservation Letters","id":"ITEM-2","issued":{"date-parts":[["2018"]]},"page":"e12389","title":"Assessing Africa-wide pangolin exploitation by scaling local data","type":"article-journal","volume":"11"},"uris":["http://www.mendeley.com/documents/?uuid=16e379bf-a328-43b1-8cfb-26e8483496ee"]},{"id":"ITEM-3","itemData":{"DOI":"10.15451/ec2018","author":[{"dropping-particle":"","family":"Vliet","given":"Nathalie","non-dropping-particle":"Van","parse-names":false,"suffix":""},{"dropping-particle":"","family":"Schulte-Herbruggen","given":"Björn","non-dropping-particle":"","parse-names":false,"suffix":""},{"dropping-particle":"","family":"Vanegas","given":"Liliana","non-dropping-particle":"","parse-names":false,"suffix":""},{"dropping-particle":"","family":"Yair-Cuesta","given":"Eric","non-dropping-particle":"","parse-names":false,"suffix":""},{"dropping-particle":"","family":"Sandrin","given":"Francois","non-dropping-particle":"","parse-names":false,"suffix":""},{"dropping-particle":"","family":"Nasi","given":"Robert","non-dropping-particle":"","parse-names":false,"suffix":""}],"container-title":"Ethnobiology and Conservation","id":"ITEM-3","issue":"2","issued":{"date-parts":[["2018"]]},"page":"1-15","title":"Wild animals (fish and wildmeat) contribute to dietary diversity among food insecure urban teenagers the case of Quibdó, Colombia","type":"article-journal","volume":"7"},"uris":["http://www.mendeley.com/documents/?uuid=71e2bbf4-9637-4afa-8d29-2cd96c34dc49"]},{"id":"ITEM-4","itemData":{"DOI":"10.1007/BF00287829","ISBN":"1573-2762","ISSN":"03600025","abstract":"Women's hunting is widely held biologically impracticable in foraging societies, chiefly because hunting is presumed incompatible with maternal responsibilities. A three-year study of hunting practices among the Agta Negrito people of northern Luzon reveals women's active participation in hunting, singly and in groups, without detriment to normal fertility and child care.","author":[{"dropping-particle":"","family":"Goodman","given":"Madeleine J.","non-dropping-particle":"","parse-names":false,"suffix":""},{"dropping-particle":"","family":"Griffin","given":"P. Bion","non-dropping-particle":"","parse-names":false,"suffix":""},{"dropping-particle":"","family":"Estioko-Griffin","given":"Agnes A.","non-dropping-particle":"","parse-names":false,"suffix":""},{"dropping-particle":"","family":"Grove","given":"John S.","non-dropping-particle":"","parse-names":false,"suffix"</w:instrText>
      </w:r>
      <w:r w:rsidR="00B2630D" w:rsidRPr="00DF57F3">
        <w:rPr>
          <w:color w:val="000000" w:themeColor="text1"/>
          <w:lang w:val="fr-FR"/>
        </w:rPr>
        <w:instrText>:""}],"container-title":"Sex Roles","id":"ITEM-4","issue":"11/12","issued":{"date-parts":[["1985"]]},"page":"1199-1209","title":"The compatibility of hunting and mothering among the agta hunter-gatherers of the Philippines","type":"article-journal","volume":"12"},"uris":["http://www.mendeley.com/documents/?uuid=b470f831-3545-4658-b0e8-51ffed7876c3"]},{"id":"ITEM-5","itemData":{"author":[{"dropping-particle":"","family":"Hewlett","given":"Barry S.","non-dropping-particle":"","parse-names":false,"suffix":""}],"edition":"1st","id":"ITEM-5","issued":{"date-parts":[["2005"]]},"number-of-pages":"483","publisher":"Routledge","publisher-place":"New York, USA","title":"Hunter-gatherer Childhoods. Evolutionary, Developmental, and Cultural Perspectives","type":"book"},"uris":["http://www.mendeley.com/documents/?uuid=38914f30-9a78-4224-bf70-5a7a9c92f93d"]}],"mendeley":{"formattedCitation":"(Goodman et al. 1985; Hewlett 2005; Bonwitt et al. 2017; Ingram et al. 2018; Van Vliet et al. 2018b)","manualFormatting":"(Goodman et al. 1985; Hewlett 2005; Bonwitt et al. 2017; Ingram et al. 2018; Van Vliet et al. 2018)","plainTextFormattedCitation":"(Goodman et al. 1985; Hewlett 2005; Bonwitt et al. 2017; Ingram et al. 2018; Van Vliet et al. 2018b)","previouslyFormattedCitation":"(Goodman et al. 1985; Hewlett 2005; Bonwitt et al. 2017; Ingram et al. 2018; Van Vliet et al. 2018b)"},"properties":{"noteIndex":0},"schema":"https://github.com/citation-style-language/schema/raw/master/csl-citation.json"}</w:instrText>
      </w:r>
      <w:r w:rsidR="002150E7">
        <w:rPr>
          <w:color w:val="000000" w:themeColor="text1"/>
        </w:rPr>
        <w:fldChar w:fldCharType="separate"/>
      </w:r>
      <w:r w:rsidR="002150E7" w:rsidRPr="00DF57F3">
        <w:rPr>
          <w:noProof/>
          <w:color w:val="000000" w:themeColor="text1"/>
          <w:lang w:val="fr-FR"/>
        </w:rPr>
        <w:t>(Goodman et al. 1985; Hewlett 2005; Bonwitt et al. 2017; Ingram et al. 2018; Van Vliet et al. 2018)</w:t>
      </w:r>
      <w:r w:rsidR="002150E7">
        <w:rPr>
          <w:color w:val="000000" w:themeColor="text1"/>
        </w:rPr>
        <w:fldChar w:fldCharType="end"/>
      </w:r>
      <w:r w:rsidR="00954DCB" w:rsidRPr="00DF57F3">
        <w:rPr>
          <w:color w:val="000000" w:themeColor="text1"/>
          <w:lang w:val="fr-FR"/>
        </w:rPr>
        <w:t>.</w:t>
      </w:r>
    </w:p>
    <w:p w14:paraId="04A825A3" w14:textId="77DD9609" w:rsidR="003B6FE0" w:rsidRPr="004904D8" w:rsidRDefault="00A629D3" w:rsidP="00C258BC">
      <w:pPr>
        <w:jc w:val="both"/>
        <w:rPr>
          <w:color w:val="000000" w:themeColor="text1"/>
        </w:rPr>
      </w:pPr>
      <w:r w:rsidRPr="004904D8">
        <w:rPr>
          <w:color w:val="000000" w:themeColor="text1"/>
        </w:rPr>
        <w:t xml:space="preserve">In rural </w:t>
      </w:r>
      <w:r w:rsidR="00936FA3" w:rsidRPr="005512D2">
        <w:rPr>
          <w:color w:val="000000" w:themeColor="text1"/>
        </w:rPr>
        <w:t xml:space="preserve">village </w:t>
      </w:r>
      <w:r w:rsidRPr="005512D2">
        <w:rPr>
          <w:color w:val="000000" w:themeColor="text1"/>
        </w:rPr>
        <w:t>communiti</w:t>
      </w:r>
      <w:r w:rsidR="007C30FF" w:rsidRPr="0064175F">
        <w:rPr>
          <w:color w:val="000000" w:themeColor="text1"/>
        </w:rPr>
        <w:t>es, h</w:t>
      </w:r>
      <w:r w:rsidR="00E27A01" w:rsidRPr="0070404D">
        <w:rPr>
          <w:color w:val="000000" w:themeColor="text1"/>
        </w:rPr>
        <w:t>unting is usually practised all year,</w:t>
      </w:r>
      <w:r w:rsidR="00835AD9" w:rsidRPr="0070404D">
        <w:rPr>
          <w:color w:val="000000" w:themeColor="text1"/>
        </w:rPr>
        <w:t xml:space="preserve"> albeit with seasonal variation in effort and hunting methods,</w:t>
      </w:r>
      <w:r w:rsidR="00E27A01" w:rsidRPr="0070404D">
        <w:rPr>
          <w:color w:val="000000" w:themeColor="text1"/>
        </w:rPr>
        <w:t xml:space="preserve"> often </w:t>
      </w:r>
      <w:r w:rsidR="00E27A01" w:rsidRPr="00236245">
        <w:rPr>
          <w:color w:val="000000" w:themeColor="text1"/>
        </w:rPr>
        <w:t xml:space="preserve">by men of working age who may </w:t>
      </w:r>
      <w:r w:rsidR="00966B69" w:rsidRPr="00236245">
        <w:rPr>
          <w:color w:val="000000" w:themeColor="text1"/>
        </w:rPr>
        <w:t>self-</w:t>
      </w:r>
      <w:r w:rsidR="00E27A01" w:rsidRPr="00236245">
        <w:rPr>
          <w:color w:val="000000" w:themeColor="text1"/>
        </w:rPr>
        <w:t xml:space="preserve">identify primarily as farmers and fishermen before hunters. </w:t>
      </w:r>
      <w:r w:rsidR="007C30FF" w:rsidRPr="00236245">
        <w:rPr>
          <w:color w:val="000000" w:themeColor="text1"/>
        </w:rPr>
        <w:t>The majority of</w:t>
      </w:r>
      <w:r w:rsidR="00E27A01" w:rsidRPr="00236245">
        <w:rPr>
          <w:color w:val="000000" w:themeColor="text1"/>
        </w:rPr>
        <w:t xml:space="preserve"> village-based men hunt for family consumption, and sell a </w:t>
      </w:r>
      <w:r w:rsidR="00E27A01" w:rsidRPr="00835E46">
        <w:rPr>
          <w:color w:val="000000" w:themeColor="text1"/>
        </w:rPr>
        <w:t xml:space="preserve">surplus </w:t>
      </w:r>
      <w:r w:rsidR="002150E7">
        <w:rPr>
          <w:color w:val="000000" w:themeColor="text1"/>
        </w:rPr>
        <w:fldChar w:fldCharType="begin" w:fldLock="1"/>
      </w:r>
      <w:r w:rsidR="00B2630D">
        <w:rPr>
          <w:color w:val="000000" w:themeColor="text1"/>
        </w:rPr>
        <w:instrText>ADDIN CSL_CITATION {"citationItems":[{"id":"ITEM-1","itemData":{"abstract":"Bushmeat hunting is thought to be becoming increasingly unsustainable in west and central Africa, but true assessment of sustainability, and consequently appropriate management, is constrained by poor understanding of cause and effect. This cross-disciplinary study considers the complex and dynamic interactions between market, hunter and prey along an entire bushmeat chain in continental Equatorial Guinea, thus enabling evaluation of the sustainability of the system under different policy scenarios. Fieldwork was undertaken over a period of 18 months from 2002-2004. Market surveys and consumer interviews in Bata, the regional capital, were used to evaluate the determinants of urban bushmeat consumption: people preferred fresh meat and fish, including bushmeat, but tended to consume cheaper frozen foods more often. Bushmeat consumption increased with income. 1607 household and 72 hunter interviews were conducted in the village of Sendje, gateway to the forested Monte Alén National Park and major source of bushmeat to Bata. Men hunt for income because there are few other livelihood options. A village offtake survey estimated over 10,000 animals hunted per year (90% by trapping), hunted using a long-term rotation of camps up to 30 km from the village. Hunter behaviour, prey choice and animal encounter rates were recorded during 77 trapper and 48 gun-hunter follows. Trapping is currently preferred to gunhunting due to lower costs and relatively high returns. However, as the availability and affordability of guns and cartridges increases, and trapping success decreases, hunters are switching to shooting arboreal prey. Population densities of key primate prey species were estimated in two sites with differing gun-hunting histories, using 408 km of line transects. Whereas some of the guenon monkey species were still numerous in the heavily hunted village site, the absence of Colobus satanus suggests they are more vulnerable to hunting pressure. Extremely high densities of Colobus satanus were found inside the park, suggesting it should be an urgent conservation priority. The current oil boom in Equatorial Guinea is increasing urban wealth and subsequent demand for bushmeat. In the absence of alternative foods and rural livelihoods, and proper enforcement of protected areas, people will continue to hunt for the commercial bushmeat trade until many vulnerable species become at least locally extinct.","author":[{"dropping-particle":"","family":"Kümpel","given":"Noëlle Francesca","non-dropping-particle":"","parse-names":false,"suffix":""}],"id":"ITEM-1","issued":{"date-parts":[["2006"]]},"number-of-pages":"247","publisher":"PhD Thesis, Imperial College London, UK","publisher-place":"PhD Thesis, Imperial College London, UK","title":"Incentives for sustainable hunting of bushmeat in Río Muni, Equatorial Guinea","type":"book"},"uris":["http://www.mendeley.com/documents/?uuid=788befdd-0bff-48ba-8bc7-4515dc3b1e67"]},{"id":"ITEM-2","itemData":{"DOI":"10.1111/cobi.12012","ISBN":"1523-1739","ISSN":"08888892","PMID":"23369059","abstract":"Despite widespread recognition of the major threat to tropical forest biological diversity and local food security posed by unsustainable bushmeat hunting, virtually no long-term studies tracking the socioecological dynamics of hunting systems have been conducted. We interviewed local hunters and collected detailed hunting data to investigate changes in offtake and hunter characteristics over 10 years (2001-2010) in Dibouka and Kouagna villages, central Gabon, in the context of hunter recollections of longer term trends since the 1950s. To control for changes in hunter behavior, such as trap location and characteristics, we report hunting offtake data per trap. Our results suggest the hunting area was already highly depleted by 2001; local hunters reported that 16 large-bodied prey species had become rare or locally extirpated over the last 60 years. Overall, we observed no significant declines in hunting offtake or changes in species composition from 2001 to 2010, and offtakes per trap increased slightly between 2004 and 2010. However, trapping distance from the villages increased, and there was a switch in hunting techniques; a larger proportion of the catch was hunted with guns in 2010. The number of hunters declined by 20% from 2004 to 2010, and male livelihood activities shifted away from hunting. Hunters with the lowest hunting incomes in 2004 were more likely than successful hunters to have moved away from the village by 2010 (often in response to alternative employment opportunities). Therefore, changes in trap success (potentially related to biological factors) were interacting with system-level changes in hunter number and composition (related to external socioeconomic factors) to produce a relatively static overall offtake. Our results highlight the importance of understanding the small-scale context of hunting to correctly interpret changes or apparent stasis in hunting effort and offtake over time.","author":[{"dropping-particle":"","family":"Coad","given":"L.","non-dropping-particle":"","parse-names":false,"suffix":""},{"dropping-particle":"","family":"Schleicher","given":"J.","non-dropping-particle":"","parse-names":false,"suffix":""},{"dropping-particle":"","family":"Milner-Gulland","given":"E. J.","non-dropping-particle":"","parse-names":false,"suffix":""},{"dropping-particle":"","family":"Marthews","given":"T. R.","non-dropping-particle":"","parse-names":false,"suffix":""},{"dropping-particle":"","family":"Starkey","given":"M.","non-dropping-particle":"","parse-names":false,"suffix":""},{"dropping-particle":"","family":"Manica","given":"A.","non-dropping-particle":"","parse-names":false,"suffix":""},{"dropping-particle":"","family":"Balmford","given":"A.","non-dropping-particle":"","parse-names":false,"suffix":""},{"dropping-particle":"","family":"Mbombe","given":"W.","non-dropping-particle":"","parse-names":false,"suffix":""},{"dropping-particle":"","family":"Diop Bineni","given":"T. R.","non-dropping-particle":"","parse-names":false,"suffix":""},{"dropping-particle":"","family":"Abernethy","given":"K. A.","non-dropping-particle":"","parse-names":false,"suffix":""}],"container-title":"Conservation Biology","id":"ITEM-2","issue":"2","issued":{"date-parts":[["2013"]]},"page":"270-280","title":"Social and ecological change over a decade in a village hunting system, Central Gabon","type":"article-journal","volume":"27"},"uris":["http://www.mendeley.com/documents/?uuid=2487128a-cfb3-488a-90a8-01aebd4969c4"]},{"id":"ITEM-3","itemData":{"author":[{"dropping-particle":"","family":"Vliet","given":"Nathalie","non-dropping-particle":"Van","parse-names":false,"suffix":""},{"dropping-particle":"","family":"Quiceno","given":"Maria Paula","non-dropping-particle":"","parse-names":false,"suffix":""},{"dropping-particle":"","family":"Cruz","given":"Daniel","non-dropping-particle":"","parse-names":false,"suffix":""},{"dropping-particle":"","family":"Jonhson","given":"Lindon","non-dropping-particle":"","parse-names":false,"suffix":""},{"dropping-particle":"","family":"Aquino","given":"Neves","non-dropping-particle":"de","parse-names":false,"suffix":""},{"dropping-particle":"","family":"Yagüe","given":"Blanca","non-dropping-particle":"","parse-names":false,"suffix":""},{"dropping-particle":"","family":"Schor","given":"Tatiana","non-dropping-particle":"","parse-names":false,"suffix":""}],"container-title":"Ecology and Society","id":"ITEM-3","issue":"3","issued":{"date-parts":[["2015"]]},"page":"21","title":"Bushmeat networks link the forest to urban areas in the trifrontier region between Brazil, Colombia, and Peru","type":"article-journal","volume":"20"},"uris":["http://www.mendeley.com/documents/?uuid=c363af56-1774-4b0f-bfd2-53765b13cabe"]}],"mendeley":{"formattedCitation":"(Kümpel 2006; Coad et al. 2013; Van Vliet et al. 2015e)","plainTextFormattedCitation":"(Kümpel 2006; Coad et al. 2013; Van Vliet et al. 2015e)","previouslyFormattedCitation":"(Kümpel 2006; Coad et al. 2013; Van Vliet et al. 2015e)"},"properties":{"noteIndex":0},"schema":"https://github.com/citation-style-language/schema/raw/master/csl-citation.json"}</w:instrText>
      </w:r>
      <w:r w:rsidR="002150E7">
        <w:rPr>
          <w:color w:val="000000" w:themeColor="text1"/>
        </w:rPr>
        <w:fldChar w:fldCharType="separate"/>
      </w:r>
      <w:r w:rsidR="00763BF5" w:rsidRPr="00763BF5">
        <w:rPr>
          <w:noProof/>
          <w:color w:val="000000" w:themeColor="text1"/>
        </w:rPr>
        <w:t>(Kümpel 2006; Coad et al. 2013; Van Vliet et al. 2015e)</w:t>
      </w:r>
      <w:r w:rsidR="002150E7">
        <w:rPr>
          <w:color w:val="000000" w:themeColor="text1"/>
        </w:rPr>
        <w:fldChar w:fldCharType="end"/>
      </w:r>
      <w:r w:rsidR="00E27A01" w:rsidRPr="00835E46">
        <w:rPr>
          <w:color w:val="000000" w:themeColor="text1"/>
        </w:rPr>
        <w:t xml:space="preserve">. However, a smaller proportion of </w:t>
      </w:r>
      <w:r w:rsidR="007C30FF" w:rsidRPr="00835E46">
        <w:rPr>
          <w:color w:val="000000" w:themeColor="text1"/>
        </w:rPr>
        <w:t xml:space="preserve">village-based </w:t>
      </w:r>
      <w:r w:rsidR="00E27A01" w:rsidRPr="00835E46">
        <w:rPr>
          <w:color w:val="000000" w:themeColor="text1"/>
        </w:rPr>
        <w:t xml:space="preserve">men hunt ‘professionally’ and </w:t>
      </w:r>
      <w:r w:rsidR="00225F57" w:rsidRPr="00835E46">
        <w:rPr>
          <w:color w:val="000000" w:themeColor="text1"/>
        </w:rPr>
        <w:t>may extract large</w:t>
      </w:r>
      <w:r w:rsidR="00225F57" w:rsidRPr="00236245">
        <w:rPr>
          <w:color w:val="000000" w:themeColor="text1"/>
        </w:rPr>
        <w:t xml:space="preserve"> volumes of prey for profit </w:t>
      </w:r>
      <w:r w:rsidR="002150E7">
        <w:rPr>
          <w:color w:val="000000" w:themeColor="text1"/>
        </w:rPr>
        <w:fldChar w:fldCharType="begin" w:fldLock="1"/>
      </w:r>
      <w:r w:rsidR="00815E9A">
        <w:rPr>
          <w:color w:val="000000" w:themeColor="text1"/>
        </w:rPr>
        <w:instrText>ADDIN CSL_CITATION {"citationItems":[{"id":"ITEM-1","itemData":{"DOI":"10.1111/cobi.12067","ISBN":"0888-8892","ISSN":"08888892","PMID":"23692021","abstract":"Across West and Central Africa, wildlife provides a source of food and income. We investigated the relation between bushmeat hunting and household wealth and protein consumption in 2 rural communities in Bioko Island, Equatorial Guinea. One village was dedicated to commercial hunting, the other trapped game primarily for food. We tested whether commercial-hunter households were nutritionally advantaged over subsistence-hunter households due to their higher income from the bushmeat trade and greater access to wild-animal protein. We conducted bushmeat-offtake surveys in both villages (captures by hunters and carcasses arriving to each village). Mammals (including threatened primates: black colobus [Colobus satanas], Preussi's guenon [Allochrocebus preussi], and russet-eared guenon [Cercopithecus erythrotis]), birds, and reptiles were hunted. The blue duiker (Philantomba monticola), giant pouched rat (Cricetomys emini), and brush-tailed porcupine (Atherurus africanus) contributed almost all the animal biomass hunted, consumed, or sold in both villages. Monkeys and Ogilbyi's duikers (Cephalophus ogilbyi) were hunted only by commercial hunters. Commercial hunters generated a mean of US$2000/year from bushmeat sales. Households with commercial hunters were on average wealthier, generated more income, spent more money on nonessential goods, and bought more products they did not grow. By contrast, households with subsistence hunters spent less on market items, spent more on essential products, and grew more of their own food. Despite these differences, average consumption of vegetable protein and domestic meat and bushmeat protein did not differ between villages. Our results highlight the importance of understanding the socioeconomic and nutritional context of commercial and subsistence bushmeat hunting to correctly interpret ways of reducing their effects on threatened species and to enable the sustainable offtake of more productive taxa.","author":[{"dropping-particle":"","family":"Grande Vega","given":"María","non-dropping-particle":"","parse-names":false,"suffix":""},{"dropping-particle":"","family":"Carpinetti","given":"Bruno","non-dropping-particle":"","parse-names":false,"suffix":""},{"dropping-particle":"","family":"Duarte","given":"Jesús","non-dropping-particle":"","parse-names":false,"suffix":""},{"dropping-particle":"","family":"Fa","given":"John E.","non-dropping-particle":"","parse-names":false,"suffix":""}],"container-title":"Conservation Biology","id":"ITEM-1","issue":"3","issued":{"date-parts":[["2013"]]},"page":"576-587","title":"Contrasts in livelihoods and protein intake between commercial and subsistence bushmeat hunters in two villages on Bioko Island, Equatorial Guinea","type":"article-journal","volume":"27"},"uris":["http://www.mendeley.com/documents/?uuid=3980d082-4789-4a6d-81c7-e7c6156c6bcc"]},{"id":"ITEM-2","itemData":{"DOI":"10.1111/cobi.12174.Economic","author":[{"dropping-particle":"","family":"Golden","given":"C D","non-dropping-particle":"","parse-names":false,"suffix":""},{"dropping-particle":"","family":"Bonds","given":"M H","non-dropping-particle":"","parse-names":false,"suffix":""},{"dropping-particle":"","family":"Brashares","given":"J S","non-dropping-particle":"","parse-names":false,"suffix":""},{"dropping-particle":"","family":"Rasolofoniaina","given":"B J R","non-dropping-particle":"","parse-names":false,"suffix":""},{"dropping-particle":"","family":"Kremen","given":"C","non-dropping-particle":"","parse-names":false,"suffix":""}],"container-title":"Conservation Biology","id":"ITEM-2","issue":"1","issued":{"date-parts":[["2014"]]},"page":"234-243","title":"Economic valuation of subsistence harvest of wildlife in Madagascar","type":"article-journal","volume":"28"},"uris":["http://www.mendeley.com/documents/?uuid=cce4700e-dfa6-41a3-a7c9-fb4966558ad5"]},{"id":"ITEM-3","itemData":{"DOI":"10.1007/s10745-013-9629-1","ISBN":"0300-7839","ISSN":"03007839","abstract":"Ensuring the sustainability of bushmeat consumption is critical for both biodiversity conservation and poverty alleviation in tropical developing countries, yet we know little about the role of hunting and bushmeat consumption in the daily lives of rural communities. We provide the first detailed, qualitative examination of bushmeat hunting activities conducted by a rural community within one of Madagascar's new, multiple-use protected areas, in order to inform appropriate management strategies. Results suggest that most species are eaten, but that few are favoured above domestic meat. Hunting is generally a secondary pursuit, carried out opportunistically during the course of other activities, although its importance does increase in times of food stress. Management focused on increasing domestic meat availability and directing hunting effort away from sensitive species may improve the sustainability of hunting, but development interventions to reduce forest dependence may be required to promote conservation and poverty alleviation simultaneously.[PUBLICATION ABSTRACT]","author":[{"dropping-particle":"","family":"Gardner","given":"Charlie J.","non-dropping-particle":"","parse-names":false,"suffix":""},{"dropping-particle":"","family":"Davies","given":"Zoe G.","non-dropping-particle":"","parse-names":false,"suffix":""}],"container-title":"Human Ecology","id":"ITEM-3","issue":"1","issued":{"date-parts":[["2014"]]},"page":"21-34","title":"Rural bushmeat consumption within multiple-use protected areas: qualitative evidence from southwest Madagascar","type":"article-journal","volume":"42"},"uris":["http://www.mendeley.com/documents/?uuid=c3c6aa7f-7903-3e69-8bbf-68304dc966b5"]},{"id":"ITEM-4","itemData":{"abstract":"Hunting is a main threat for wildlife conservation in Central Africa, but remains an essential component of local people's livelihoods. Research suggests that hunters engage in hunting in different ways, especially according to various technical means, which might potentially have differentiated impacts on wildlife. Using quantitative data collected over a 12 months period, we analyse different hunter's profiles among the Baka of Southeastern Camer-oon, and compare socioeconomic and hunting offtake data across profiles. We monitored 719 hunting events, recording 579 catches (belonging to 32 species). Most Baka hunters engage in snare trapping, a relatively low-efficiency hunting technique, while a reduced number of Baka hunters use firearms. Firearm users obtain the highest offtake and sell most of it. This study therefore suggests the emergence of specialized hunters in shotgun hunting with a higher integration in market economy. Disentangling the effects of hunting techniques and their relations to socioeconomic status might help design wildlife management strategies that take into consideration the diversity and the complexity of practices among local populations.","author":[{"dropping-particle":"","family":"Duda","given":"Romain","non-dropping-particle":"","parse-names":false,"suffix":""},{"dropping-particle":"","family":"Gallois","given":"Sandrine","non-dropping-particle":"","parse-names":false,"suffix":""},{"dropping-particle":"","family":"Reyes-Garcia","given":"Victoria","non-dropping-particle":"","parse-names":false,"suffix":""}],"container-title":"African Study Monographs","id":"ITEM-4","issue":"2","issued":{"date-parts":[["2017"]]},"page":"97-118","title":"Hunting techniques, wildlife offtake and market integration. A perspective from individual variations among the Baka (Cameroon)","type":"article-journal","volume":"38"},"uris":["http://www.mendeley.com/documents/?uuid=4702c616-98b0-4f78-9f7d-cabd0cf39cc6"]},{"id":"ITEM-5","itemData":{"DOI":"10.1111/cobi.12012","ISBN":"1523-1739","ISSN":"08888892","PMID":"23369059","abstract":"Despite widespread recognition of the major threat to tropical forest biological diversity and local food security posed by unsustainable bushmeat hunting, virtually no long-term studies tracking the socioecological dynamics of hunting systems have been conducted. We interviewed local hunters and collected detailed hunting data to investigate changes in offtake and hunter characteristics over 10 years (2001-2010) in Dibouka and Kouagna villages, central Gabon, in the context of hunter recollections of longer term trends since the 1950s. To control for changes in hunter behavior, such as trap location and characteristics, we report hunting offtake data per trap. Our results suggest the hunting area was already highly depleted by 2001; local hunters reported that 16 large-bodied prey species had become rare or locally extirpated over the last 60 years. Overall, we observed no significant declines in hunting offtake or changes in species composition from 2001 to 2010, and offtakes per trap increased slightly between 2004 and 2010. However, trapping distance from the villages increased, and there was a switch in hunting techniques; a larger proportion of the catch was hunted with guns in 2010. The number of hunters declined by 20% from 2004 to 2010, and male livelihood activities shifted away from hunting. Hunters with the lowest hunting incomes in 2004 were more likely than successful hunters to have moved away from the village by 2010 (often in response to alternative employment opportunities). Therefore, changes in trap success (potentially related to biological factors) were interacting with system-level changes in hunter number and composition (related to external socioeconomic factors) to produce a relatively static overall offtake. Our results highlight the importance of understanding the small-scale context of hunting to correctly interpret changes or apparent stasis in hunting effort and offtake over time.","author":[{"dropping-particle":"","family":"Coad","given":"L.","non-dropping-particle":"","parse-names":false,"suffix":""},{"dropping-particle":"","family":"Schleicher","given":"J.","non-dropping-particle":"","parse-names":false,"suffix":""},{"dropping-particle":"","family":"Milner-Gulland","given":"E. J.","non-dropping-particle":"","parse-names":false,"suffix":""},{"dropping-particle":"","family":"Marthews","given":"T. R.","non-dropping-particle":"","parse-names":false,"suffix":""},{"dropping-particle":"","family":"Starkey","given":"M.","non-dropping-particle":"","pa</w:instrText>
      </w:r>
      <w:r w:rsidR="00815E9A" w:rsidRPr="00DF57F3">
        <w:rPr>
          <w:color w:val="000000" w:themeColor="text1"/>
          <w:lang w:val="fr-FR"/>
        </w:rPr>
        <w:instrText>rse-names":false,"suffix":""},{"dropping-particle":"","family":"Manica","given":"A.","non-dropping-particle":"","parse-names":false,"suffix":""},{"dropping-particle":"","family":"Balmford","given":"A.","non-dropping-particle":"","parse-names":false,"suffix":""},{"dropping-particle":"","family":"Mbombe","given":"W.","non-dropping-particle":"","parse-names":false,"suffix":""},{"dropping-particle":"","family":"Diop Bineni","given":"T. R.","non-dropping-particle":"","parse-names":false,"suffix":""},{"dropping-particle":"","family":"Abernethy","given":"K. A.","non-dropping-particle":"","parse-names":false,"suffix":""}],"container-title":"Conservation Biology","id":"ITEM-5","issue":"2","issued":{"date-parts":[["2013"]]},"page":"270-280","title":"Social and ecological change over a decade in a village hunting system, Central Gabon","type":"article-journal","volume":"27"},"uris":["http://www.mendeley.com/documents/?uuid=2487128a-cfb3-488a-90a8-01aebd4969c4"]}],"mendeley":{"formattedCitation":"(Coad et al. 2013; Grande Vega et al. 2013; Gardner &amp; Davies 2014; Golden et al. 2014; Duda et al. 2017)","plainTextFormattedCitation":"(Coad et al. 2013; Grande Vega et al. 2013; Gardner &amp; Davies 2014; Golden et al. 2014; Duda et al. 2017)","previouslyFormattedCitation":"(Coad et al. 2013; Grande Vega et al. 2013; Gardner &amp; Davies 2014; Golden et al. 2014; Duda et al. 2017)"},"properties":{"noteIndex":0},"schema":"https://github.com/citation-style-language/schema/raw/master/csl-citation.json"}</w:instrText>
      </w:r>
      <w:r w:rsidR="002150E7">
        <w:rPr>
          <w:color w:val="000000" w:themeColor="text1"/>
        </w:rPr>
        <w:fldChar w:fldCharType="separate"/>
      </w:r>
      <w:r w:rsidR="0043640D" w:rsidRPr="00DF57F3">
        <w:rPr>
          <w:noProof/>
          <w:color w:val="000000" w:themeColor="text1"/>
          <w:lang w:val="fr-FR"/>
        </w:rPr>
        <w:t>(Coad et al. 2013; Grande Vega et al. 2013; Gardner &amp; Davies 2014; Golden et al. 2014; Duda et al. 2017)</w:t>
      </w:r>
      <w:r w:rsidR="002150E7">
        <w:rPr>
          <w:color w:val="000000" w:themeColor="text1"/>
        </w:rPr>
        <w:fldChar w:fldCharType="end"/>
      </w:r>
      <w:r w:rsidR="002E11E5" w:rsidRPr="00DF57F3">
        <w:rPr>
          <w:color w:val="000000" w:themeColor="text1"/>
          <w:lang w:val="fr-FR"/>
        </w:rPr>
        <w:t>.</w:t>
      </w:r>
      <w:r w:rsidR="002150E7" w:rsidRPr="00DF57F3">
        <w:rPr>
          <w:color w:val="000000" w:themeColor="text1"/>
          <w:lang w:val="fr-FR"/>
        </w:rPr>
        <w:t xml:space="preserve"> </w:t>
      </w:r>
      <w:r w:rsidR="00DD4F17" w:rsidRPr="00236245">
        <w:rPr>
          <w:color w:val="000000" w:themeColor="text1"/>
        </w:rPr>
        <w:t>Some may</w:t>
      </w:r>
      <w:r w:rsidR="00225F57" w:rsidRPr="00236245">
        <w:rPr>
          <w:color w:val="000000" w:themeColor="text1"/>
        </w:rPr>
        <w:t xml:space="preserve"> even specialise in targeting high value species, such as primates in the context of Central Africa</w:t>
      </w:r>
      <w:r w:rsidR="00966B69" w:rsidRPr="00236245">
        <w:rPr>
          <w:color w:val="000000" w:themeColor="text1"/>
        </w:rPr>
        <w:t xml:space="preserve"> </w:t>
      </w:r>
      <w:r w:rsidR="002E11E5">
        <w:rPr>
          <w:color w:val="000000" w:themeColor="text1"/>
        </w:rPr>
        <w:fldChar w:fldCharType="begin" w:fldLock="1"/>
      </w:r>
      <w:r w:rsidR="00184775">
        <w:rPr>
          <w:color w:val="000000" w:themeColor="text1"/>
        </w:rPr>
        <w:instrText>ADDIN CSL_CITATION {"citationItems":[{"id":"ITEM-1","itemData":{"DOI":"10.1111/cobi.12067","ISBN":"0888-8892","ISSN":"08888892","PMID":"23692021","abstract":"Across West and Central Africa, wildlife provides a source of food and income. We investigated the relation between bushmeat hunting and household wealth and protein consumption in 2 rural communities in Bioko Island, Equatorial Guinea. One village was dedicated to commercial hunting, the other trapped game primarily for food. We tested whether commercial-hunter households were nutritionally advantaged over subsistence-hunter households due to their higher income from the bushmeat trade and greater access to wild-animal protein. We conducted bushmeat-offtake surveys in both villages (captures by hunters and carcasses arriving to each village). Mammals (including threatened primates: black colobus [Colobus satanas], Preussi's guenon [Allochrocebus preussi], and russet-eared guenon [Cercopithecus erythrotis]), birds, and reptiles were hunted. The blue duiker (Philantomba monticola), giant pouched rat (Cricetomys emini), and brush-tailed porcupine (Atherurus africanus) contributed almost all the animal biomass hunted, consumed, or sold in both villages. Monkeys and Ogilbyi's duikers (Cephalophus ogilbyi) were hunted only by commercial hunters. Commercial hunters generated a mean of US$2000/year from bushmeat sales. Households with commercial hunters were on average wealthier, generated more income, spent more money on nonessential goods, and bought more products they did not grow. By contrast, households with subsistence hunters spent less on market items, spent more on essential products, and grew more of their own food. Despite these differences, average consumption of vegetable protein and domestic meat and bushmeat protein did not differ between villages. Our results highlight the importance of understanding the socioeconomic and nutritional context of commercial and subsistence bushmeat hunting to correctly interpret ways of reducing their effects on threatened species and to enable the sustainable offtake of more productive taxa.","author":[{"dropping-particle":"","family":"Grande Vega","given":"María","non-dropping-particle":"","parse-names":false,"suffix":""},{"dropping-particle":"","family":"Carpinetti","given":"Bruno","non-dropping-particle":"","parse-names":false,"suffix":""},{"dropping-particle":"","family":"Duarte","given":"Jesús","non-dropping-particle":"","parse-names":false,"suffix":""},{"dropping-particle":"","family":"Fa","given":"John E.","non-dropping-particle":"","parse-names":false,"suffix":""}],"container-title":"Conservation Biology","id":"ITEM-1","issue":"3","issued":{"date-parts":[["2013"]]},"page":"576-587","title":"Contrasts in livelihoods and protein intake between commercial and subsistence bushmeat hunters in two villages on Bioko Island, Equatorial Guinea","type":"article-journal","volume":"27"},"uris":["http://www.mendeley.com/documents/?uuid=3980d082-4789-4a6d-81c7-e7c6156c6bcc"]},{"id":"ITEM-2","itemData":{"DOI":"10.1111/izy.12175","ISSN":"17481090","abstract":"© 2018 The Zoological Society of London. Current levels of bushmeat hunting in west and central Africa are largely unsustainable, and will lead to the loss of an important natural resource and cause the extinction of threatened species. Worryingly, great apes are hunted for their meat despite being protected across their range. In this paper, we highlight the main actors involved in the trafficking of great ape meat around the Dja Biosphere Reserve (DBR) in Cameroon, and describe the commodity chain associated with the trade. In total, 78 hunters, porters, traders and consumers were interviewed. Hunters, all men, were primarily driven by profit, encouraged by middlemen, though some hunt for their own consumption. However, we identify that great ape hunting is undertaken by specialized hunters along a relatively short supply chain. Gorilla and chimpanzee meat is sold to restaurants and wealthy buyers via few intermediaries. The price of great ape meat varied at different stages of the chain. Middlemen obtained the greatest financial gain, whereas wholesale traders profited least. Movement of ape meat to markets was predominantly by public transport and facilitated by the use of vehicles that can pass through checkpoints without being examined. Based on our study we recommend potential interventions, including support of law enforcement, investments in conservation and development initiatives, and monitoring and research.","author":[{"dropping-particle":"","family":"Tagg","given":"N.","non-dropping-particle":"","parse-names":false,"suffix":""},{"dropping-particle":"","family":"Maddison","given":"N.","non-dropping-particle":"","parse-names":false,"suffix":""},{"dropping-particle":"","family":"Dupain","given":"J.","non-dropping-particle":"","parse-names":false,"suffix":""},{"dropping-particle":"","family":"Mcgilchrist","given":"L.","non-dropping-particle":"","parse-names":false,"suffix":""},{"dropping-particle":"","family":"Mouamfon","given":"M.","non-dropping-particle":"","parse-names":false,"suffix":""},{"dropping-particle":"","family":"Mccabe","given":"G.","non-dropping-particle":"","parse-names":false,"suffix":""},{"dropping-particle":"","family":"Ngo Badjeck","given":"M. M.","non-dropping-particle":"","parse-names":false,"suffix":""},{"dropping-particle":"","family":"Tchouankep","given":"M.","non-dropping-particle":"","parse-names":false,"suffix":""},{"dropping-particle":"","family":"Mbohli","given":"D.","non-dropping-particle":"","parse-names":false,"suffix":""},{"dropping-particle":"","family":"Epanda","given":"M. A.","non-dropping-particle":"","parse-names":false,"suffix":""},{"dropping-particle":"","family":"Ransom","given":"C.","non-dropping-particle":"","parse-names":false,"suffix":""},{"dropping-particle":"","family":"Fa","given":"J. E.","non-dropping-particle":"","parse-names":false,"suffix":""}],"container-title":"International Zoo Yearbook","id":"ITEM-2","issued":{"date-parts":[["2018"]]},"page":"182-193","title":"A zoo-led study of the great ape bushmeat commodity chain in Cameroon","type":"article-journal","volume":"52"},"uris":["http://www.mendeley.com/documents/?uuid=182fcc84-b036-46af-b88b-12e1c48b14da"]}],"mendeley":{"formattedCitation":"(Grande Vega et al. 2013; Tagg et al. 2018)","plainTextFormattedCitation":"(Grande Vega et al. 2013; Tagg et al. 2018)","previouslyFormattedCitation":"(Grande Vega et al. 2013; Tagg et al. 2018)"},"properties":{"noteIndex":0},"schema":"https://github.com/citation-style-language/schema/raw/master/csl-citation.json"}</w:instrText>
      </w:r>
      <w:r w:rsidR="002E11E5">
        <w:rPr>
          <w:color w:val="000000" w:themeColor="text1"/>
        </w:rPr>
        <w:fldChar w:fldCharType="separate"/>
      </w:r>
      <w:r w:rsidR="002E11E5" w:rsidRPr="00F43FE0">
        <w:rPr>
          <w:noProof/>
          <w:color w:val="000000" w:themeColor="text1"/>
        </w:rPr>
        <w:t>(Grande Vega et al. 2013; Tagg et al. 2018)</w:t>
      </w:r>
      <w:r w:rsidR="002E11E5">
        <w:rPr>
          <w:color w:val="000000" w:themeColor="text1"/>
        </w:rPr>
        <w:fldChar w:fldCharType="end"/>
      </w:r>
      <w:r w:rsidR="00225F57" w:rsidRPr="00236245">
        <w:rPr>
          <w:color w:val="000000" w:themeColor="text1"/>
        </w:rPr>
        <w:t xml:space="preserve">, or tapir and peccary </w:t>
      </w:r>
      <w:r w:rsidR="006B3780" w:rsidRPr="00236245">
        <w:rPr>
          <w:color w:val="000000" w:themeColor="text1"/>
        </w:rPr>
        <w:t>in the context of the Amazon</w:t>
      </w:r>
      <w:r w:rsidR="00966B69">
        <w:rPr>
          <w:color w:val="000000" w:themeColor="text1"/>
        </w:rPr>
        <w:t xml:space="preserve"> </w:t>
      </w:r>
      <w:r w:rsidR="002E11E5">
        <w:rPr>
          <w:color w:val="000000" w:themeColor="text1"/>
        </w:rPr>
        <w:fldChar w:fldCharType="begin" w:fldLock="1"/>
      </w:r>
      <w:r w:rsidR="00763BF5">
        <w:rPr>
          <w:color w:val="000000" w:themeColor="text1"/>
        </w:rPr>
        <w:instrText>ADDIN CSL_CITATION {"citationItems":[{"id":"ITEM-1","itemData":{"author":[{"dropping-particle":"","family":"Vliet","given":"Nathalie","non-dropping-particle":"Van","parse-names":false,"suffix":""},{"dropping-particle":"","family":"Quiceno","given":"Maria Paula","non-dropping-particle":"","parse-names":false,"suffix":""},{"dropping-particle":"","family":"Cruz","given":"Daniel","non-dropping-particle":"","parse-names":false,"suffix":""},{"dropping-particle":"","family":"Jonhson","given":"Lindon","non-dropping-particle":"","parse-names":false,"suffix":""},{"dropping-particle":"","family":"Aquino","given":"Neves","non-dropping-particle":"de","parse-names":false,"suffix":""},{"dropping-particle":"","family":"Yagüe","given":"Blanca","non-dropping-particle":"","parse-names":false,"suffix":""},{"dropping-particle":"","family":"Schor","given":"Tatiana","non-dropping-particle":"","parse-names":false,"suffix":""}],"container-title":"Ecology and Society","id":"ITEM-1","issue":"3","issued":{"date-parts":[["2015"]]},"page":"21","title":"Bushmeat networks link the forest to urban areas in the trifrontier region between Brazil, Colombia, and Peru","type":"article-journal","volume":"20"},"uris":["http://www.mendeley.com/documents/?uuid=c363af56-1774-4b0f-bfd2-53765b13cabe"]}],"mendeley":{"formattedCitation":"(Van Vliet et al. 2015e)","plainTextFormattedCitation":"(Van Vliet et al. 2015e)","previouslyFormattedCitation":"(Van Vliet et al. 2015e)"},"properties":{"noteIndex":0},"schema":"https://github.com/citation-style-language/schema/raw/master/csl-citation.json"}</w:instrText>
      </w:r>
      <w:r w:rsidR="002E11E5">
        <w:rPr>
          <w:color w:val="000000" w:themeColor="text1"/>
        </w:rPr>
        <w:fldChar w:fldCharType="separate"/>
      </w:r>
      <w:r w:rsidR="00763BF5" w:rsidRPr="00763BF5">
        <w:rPr>
          <w:noProof/>
          <w:color w:val="000000" w:themeColor="text1"/>
        </w:rPr>
        <w:t>(Van Vliet et al. 2015e)</w:t>
      </w:r>
      <w:r w:rsidR="002E11E5">
        <w:rPr>
          <w:color w:val="000000" w:themeColor="text1"/>
        </w:rPr>
        <w:fldChar w:fldCharType="end"/>
      </w:r>
      <w:r w:rsidR="006B3780">
        <w:rPr>
          <w:color w:val="000000" w:themeColor="text1"/>
        </w:rPr>
        <w:t xml:space="preserve">. </w:t>
      </w:r>
      <w:r w:rsidR="00835AD9" w:rsidRPr="004904D8">
        <w:rPr>
          <w:color w:val="000000" w:themeColor="text1"/>
        </w:rPr>
        <w:t>These few village-based commercially-minded hunters can sometimes account for a significant proportion of overall village hunting offtakes</w:t>
      </w:r>
      <w:r w:rsidR="00740F97">
        <w:rPr>
          <w:color w:val="000000" w:themeColor="text1"/>
        </w:rPr>
        <w:t xml:space="preserve"> and incomes</w:t>
      </w:r>
      <w:r w:rsidR="0043640D">
        <w:rPr>
          <w:color w:val="000000" w:themeColor="text1"/>
        </w:rPr>
        <w:t xml:space="preserve"> </w:t>
      </w:r>
      <w:r w:rsidR="00B2630D">
        <w:rPr>
          <w:color w:val="000000" w:themeColor="text1"/>
        </w:rPr>
        <w:fldChar w:fldCharType="begin" w:fldLock="1"/>
      </w:r>
      <w:r w:rsidR="00C51889">
        <w:rPr>
          <w:color w:val="000000" w:themeColor="text1"/>
        </w:rPr>
        <w:instrText>ADDIN CSL_CITATION {"citationItems":[{"id":"ITEM-1","itemData":{"DOI":"10.1111/cobi.12174.Economic","author":[{"dropping-particle":"","family":"Golden","given":"C D","non-dropping-particle":"","parse-names":false,"suffix":""},{"dropping-particle":"","family":"Bonds","given":"M H","non-dropping-particle":"","parse-names":false,"suffix":""},{"dropping-particle":"","family":"Brashares","given":"J S","non-dropping-particle":"","parse-names":false,"suffix":""},{"dropping-particle":"","family":"Rasolofoniaina","given":"B J R","non-dropping-particle":"","parse-names":false,"suffix":""},{"dropping-particle":"","family":"Kremen","given":"C","non-dropping-particle":"","parse-names":false,"suffix":""}],"container-title":"Conservation Biology","id":"ITEM-1","issue":"1","issued":{"date-parts":[["2014"]]},"page":"234-243","title":"Economic valuation of subsistence harvest of wildlife in Madagascar","type":"article-journal","volume":"28"},"uris":["http://www.mendeley.com/documents/?uuid=cce4700e-dfa6-41a3-a7c9-fb4966558ad5"]},{"id":"ITEM-2","itemData":{"DOI":"10.1007/s10745-013-9629-1","ISBN":"0300-7839","ISSN":"03007839","abstract":"Ensuring the sustainability of bushmeat consumption is critical for both biodiversity conservation and poverty alleviation in tropical developing countries, yet we know little about the role of hunting and bushmeat consumption in the daily lives of rural communities. We provide the first detailed, qualitative examination of bushmeat hunting activities conducted by a rural community within one of Madagascar's new, multiple-use protected areas, in order to inform appropriate management strategies. Results suggest that most species are eaten, but that few are favoured above domestic meat. Hunting is generally a secondary pursuit, carried out opportunistically during the course of other activities, although its importance does increase in times of food stress. Management focused on increasing domestic meat availability and directing hunting effort away from sensitive species may improve the sustainability of hunting, but development interventions to reduce forest dependence may be required to promote conservation and poverty alleviation simultaneously.[PUBLICATION ABSTRACT]","author":[{"dropping-particle":"","family":"Gardner","given":"Charlie J.","non-dropping-particle":"","parse-names":false,"suffix":""},{"dropping-particle":"","family":"Davies","given":"Zoe G.","non-dropping-particle":"","parse-names":false,"suffix":""}],"container-title":"Human Ecology","id":"ITEM-2","issue":"1","issued":{"date-parts":[["2014"]]},"page":"21-34","title":"Rural bushmeat consumption within multiple-use protected areas: qualitative evidence from southwest Madagascar","type":"article-journal","volume":"42"},"uris":["http://www.mendeley.com/documents/?uuid=d966cfeb-24cc-4bdf-8bd9-77eddcc1b51d"]},{"id":"ITEM-3","itemData":{"DOI":"10.1098/rstb.2012.0303","ISBN":"1471-2970 (Electronic)\\n0962-8436 (Linking)","ISSN":"1471-2970","PMID":"23878333","abstract":"Humans have hunted wildlife in Central Africa for millennia. Today, however, many species are being rapidly extirpated and sanctuaries for wildlife are dwindling. Almost all Central Africa's forests are now accessible to hunters. Drastic declines of large mammals have been caused in the past 20 years by the commercial trade for meat or ivory. We review a growing body of empirical data which shows that trophic webs are significantly disrupted in the region, with knock-on effects for other ecological functions, including seed dispersal and forest regeneration. Plausible scenarios for land-use change indicate that increasing extraction pressure on Central African forests is likely to usher in new worker populations and to intensify the hunting impacts and trophic cascade disruption already in progress, unless serious efforts are made for hunting regulation. The profound ecological changes initiated by hunting will not mitigate and may even exacerbate the predicted effects of climate change for the region. We hypothesize that, in the near future, the trophic changes brought about by hunting will have a larger and more rapid impact on Central African rainforest structure and function than the direct impacts of climate change on the vegetation. Immediate hunting regulation is vital for the survival of the Central African rainforest ecosystem.","author":[{"dropping-particle":"","family":"Abernethy","given":"K.A.","non-dropping-particle":"","parse-names":false,"suffix":""},{"dropping-particle":"","family":"Coad","given":"L.","non-dropping-particle":"","parse-names":false,"suffix":""},{"dropping-particle":"","family":"Taylor","given":"G.","non-dropping-particle":"","parse-names":false,"suffix":""},{"dropping-particle":"","family":"Lee","given":"M E","non-dropping-particle":"","parse-names":false,"suffix":""},{"dropping-particle":"","family":"Maisels","given":"F.","non-dropping-particle":"","parse-names":false,"suffix":""}],"container-title":"Philosophical transactions of the Royal Society of London. Series B, Biological sciences","id":"ITEM-3","issued":{"date-parts":[["2013"]]},"page":"20120303","title":"Extent and ecological consequences of hunting in Central African rainforests in the twenty-first century.","type":"article-journal","volume":"368"},"uris":["http://www.mendeley.com/documents/?uuid=18796464-9ea5-47fb-afcb-938cbd1dcd95"]},{"id":"ITEM-4","itemData":{"DOI":"10.1111/j.1523-1739.2010.01525.x","author":[{"dropping-particle":"","family":"Coad","given":"L.","non-dropping-particle":"","parse-names":false,"suffix":""},{"dropping-particle":"","family":"Abernethy","given":"K.A.","non-dropping-particle":"","parse-names":false,"suffix":""},{"dropping-particle":"","family":"Balmford","given":"A.","non-dropping-particle":"","parse-names":false,"suffix":""},{"dropping-particle":"","family":"Manica","given":"A.","non-dropping-particle":"","parse-names":false,"suffix":""},{"dropping-particle":"","family":"Airey","given":"L.","non-dropping-particle":"","parse-names":false,"suffix":""},{"dropping-particle":"","family":"Milner-Gulland","given":"E.J.","non-dropping-particle":"","parse-names":false,"suffix":""}],"container-title":"Conservation Biology","id":"ITEM-4","issued":{"date-parts":[["2010"]]},"page":"1510-1518","title":"Distribution and use of income from bushmeat in a rural village, Central Gabon","type":"article-journal","volume":"24"},"uris":["http://www.mendeley.com/documents/?uuid=1613662d-7cac-4308-b879-4bfff838b077"]},{"id":"ITEM-5","itemData":{"abstract":"Bushmeat hunting is thought to be becoming increasingly unsustainable in west and central Africa, but true assessment of sustainability, and consequently appropriate management, is constrained by poor understanding of cause and effect. This cross-disciplinary study considers the complex and dynamic interactions between market, hunter and prey along an entire bushmeat chain in continental Equatorial Guinea, thus enabling evaluation of the sustainability of the system under different policy scenarios. Fieldwork was undertaken over a period of 18 months from 2002-2004. Market surveys and consumer interviews in Bata, the regional capital, were used to evaluate the determinants of urban bushmeat consumption: people preferred fresh meat and fish, including bushmeat, but tended to consume cheaper frozen foods more often. Bushmeat consumption increased with income. 1607 household and 72 hunter interviews were conducted in the village of Sendje, gateway to the forested Monte Alén National Park and major source of bushmeat to Bata. Men hunt for income because there are few other livelihood options. A village offtake survey estimated over 10,000 animals hunted per year (90% by trapping), hunted using a long-term rotation of camps up to 30 km from the village. Hunter behaviour, prey choice and animal encounter rates were recorded during 77 trapper and 48 gun-hunter follows. Trapping is currently preferred to gunhunting due to lower costs and relatively high returns. However, as the availability and affordability of guns and cartridges increases, and trapping success decreases, hunters are switching to shooting arboreal prey. Population densities of key primate prey species were estimated in two sites with differing gun-hunting histories, using 408 km of line transects. Whereas some of the guenon monkey species were still numerous in the heavily hunted village site, the absence of Colobus satanus suggests they are more vulnerable to hunting pressure. Extremely high densities of Colobus satanus were found inside the park, suggesting it should be an urgent conservation priority. The current oil boom in Equatorial Guinea is increasing urban wealth and subsequent demand for bushmeat. In the absence of alternative foods and rural livelihoods, and proper enforcement of protected areas, people will continue to hunt for the commercial bushmeat trade until many vulnerable species become at least locally extinct.","author":[{"dropping-particle":"","family":"Kümpel","given":"Noëlle Francesca","non-dropping-particle":"","parse-names":false,"suffix":""}],"id":"ITEM-5","issued":{"date-parts":[["2006"]]},"number-of-pages":"247","publisher":"PhD Thesis, Imperial College London, UK","publisher-place":"PhD Thesis, Imperial College London, UK","title":"Incentives for sustainable hunting of bushmeat in Río Muni, Equatorial Guinea","type":"book"},"uris":["http://www.mendeley.com/documents/?uuid=788befdd-0bff-48ba-8bc7-4515dc3b1e67"]}],"mendeley":{"formattedCitation":"(Kümpel 2006; Coad et al. 2010; Abernethy et al. 2013b; Gardner &amp; Davies 2014; Golden et al. 2014)","plainTextFormattedCitation":"(Kümpel 2006; Coad et al. 2010; Abernethy et al. 2013b; Gardner &amp; Davies 2014; Golden et al. 2014)","previouslyFormattedCitation":"(Kümpel 2006; Coad et al. 2010; Abernethy et al. 2013b; Gardner &amp; Davies 2014; Golden et al. 2014)"},"properties":{"noteIndex":0},"schema":"https://github.com/citation-style-language/schema/raw/master/csl-citation.json"}</w:instrText>
      </w:r>
      <w:r w:rsidR="00B2630D">
        <w:rPr>
          <w:color w:val="000000" w:themeColor="text1"/>
        </w:rPr>
        <w:fldChar w:fldCharType="separate"/>
      </w:r>
      <w:r w:rsidR="004821B4" w:rsidRPr="004821B4">
        <w:rPr>
          <w:noProof/>
          <w:color w:val="000000" w:themeColor="text1"/>
        </w:rPr>
        <w:t xml:space="preserve">(Kümpel 2006; Coad et </w:t>
      </w:r>
      <w:r w:rsidR="008E47ED">
        <w:rPr>
          <w:noProof/>
          <w:color w:val="000000" w:themeColor="text1"/>
        </w:rPr>
        <w:t>al. 2010; Abernethy et al. 2013</w:t>
      </w:r>
      <w:r w:rsidR="004821B4" w:rsidRPr="004821B4">
        <w:rPr>
          <w:noProof/>
          <w:color w:val="000000" w:themeColor="text1"/>
        </w:rPr>
        <w:t>; Gardner &amp; Davies 2014; Golden et al. 2014)</w:t>
      </w:r>
      <w:r w:rsidR="00B2630D">
        <w:rPr>
          <w:color w:val="000000" w:themeColor="text1"/>
        </w:rPr>
        <w:fldChar w:fldCharType="end"/>
      </w:r>
    </w:p>
    <w:p w14:paraId="22CA21BE" w14:textId="2B29A31D" w:rsidR="00DD4F17" w:rsidRDefault="00140A97" w:rsidP="00C258BC">
      <w:pPr>
        <w:jc w:val="both"/>
        <w:rPr>
          <w:color w:val="000000" w:themeColor="text1"/>
        </w:rPr>
      </w:pPr>
      <w:r w:rsidRPr="005512D2">
        <w:rPr>
          <w:color w:val="000000" w:themeColor="text1"/>
        </w:rPr>
        <w:t xml:space="preserve">As urban demand for </w:t>
      </w:r>
      <w:r w:rsidR="007A3FE2" w:rsidRPr="005512D2">
        <w:rPr>
          <w:color w:val="000000" w:themeColor="text1"/>
        </w:rPr>
        <w:t>wild meat</w:t>
      </w:r>
      <w:r w:rsidRPr="005512D2">
        <w:rPr>
          <w:color w:val="000000" w:themeColor="text1"/>
        </w:rPr>
        <w:t xml:space="preserve"> grows, the incentive to hunt increases</w:t>
      </w:r>
      <w:r w:rsidR="00B54278" w:rsidRPr="005512D2">
        <w:rPr>
          <w:color w:val="000000" w:themeColor="text1"/>
        </w:rPr>
        <w:t>.</w:t>
      </w:r>
      <w:r w:rsidR="00CB7A8E" w:rsidRPr="005512D2">
        <w:rPr>
          <w:color w:val="000000" w:themeColor="text1"/>
        </w:rPr>
        <w:t xml:space="preserve"> </w:t>
      </w:r>
      <w:r w:rsidR="00B54278" w:rsidRPr="005512D2">
        <w:rPr>
          <w:color w:val="000000" w:themeColor="text1"/>
        </w:rPr>
        <w:t>Village hunters</w:t>
      </w:r>
      <w:r w:rsidR="00CB7A8E" w:rsidRPr="005512D2">
        <w:rPr>
          <w:color w:val="000000" w:themeColor="text1"/>
        </w:rPr>
        <w:t xml:space="preserve"> </w:t>
      </w:r>
      <w:r w:rsidR="009C025C" w:rsidRPr="005512D2">
        <w:rPr>
          <w:color w:val="000000" w:themeColor="text1"/>
        </w:rPr>
        <w:t>may</w:t>
      </w:r>
      <w:r w:rsidR="00B54278" w:rsidRPr="005512D2">
        <w:rPr>
          <w:color w:val="000000" w:themeColor="text1"/>
        </w:rPr>
        <w:t xml:space="preserve"> </w:t>
      </w:r>
      <w:r w:rsidR="002C0BFD" w:rsidRPr="0064175F">
        <w:rPr>
          <w:color w:val="000000" w:themeColor="text1"/>
        </w:rPr>
        <w:t>respond by</w:t>
      </w:r>
      <w:r w:rsidR="00B54278" w:rsidRPr="005512D2">
        <w:rPr>
          <w:color w:val="000000" w:themeColor="text1"/>
        </w:rPr>
        <w:t xml:space="preserve"> </w:t>
      </w:r>
      <w:r w:rsidR="002C0BFD" w:rsidRPr="005512D2">
        <w:rPr>
          <w:color w:val="000000" w:themeColor="text1"/>
        </w:rPr>
        <w:t>increasing</w:t>
      </w:r>
      <w:r w:rsidR="00CB7A8E" w:rsidRPr="005512D2">
        <w:rPr>
          <w:color w:val="000000" w:themeColor="text1"/>
        </w:rPr>
        <w:t xml:space="preserve"> </w:t>
      </w:r>
      <w:r w:rsidR="00B54278" w:rsidRPr="005512D2">
        <w:rPr>
          <w:color w:val="000000" w:themeColor="text1"/>
        </w:rPr>
        <w:t xml:space="preserve">their </w:t>
      </w:r>
      <w:r w:rsidR="00CB7A8E" w:rsidRPr="005512D2">
        <w:rPr>
          <w:color w:val="000000" w:themeColor="text1"/>
        </w:rPr>
        <w:t xml:space="preserve">hunting </w:t>
      </w:r>
      <w:r w:rsidR="00B54278" w:rsidRPr="005512D2">
        <w:rPr>
          <w:color w:val="000000" w:themeColor="text1"/>
        </w:rPr>
        <w:t>offtake, and</w:t>
      </w:r>
      <w:r w:rsidR="002C0BFD" w:rsidRPr="005512D2">
        <w:rPr>
          <w:color w:val="000000" w:themeColor="text1"/>
        </w:rPr>
        <w:t>/or</w:t>
      </w:r>
      <w:r w:rsidR="00B54278" w:rsidRPr="005512D2">
        <w:rPr>
          <w:color w:val="000000" w:themeColor="text1"/>
        </w:rPr>
        <w:t xml:space="preserve"> sell</w:t>
      </w:r>
      <w:r w:rsidR="002C0BFD" w:rsidRPr="005512D2">
        <w:rPr>
          <w:color w:val="000000" w:themeColor="text1"/>
        </w:rPr>
        <w:t>ing</w:t>
      </w:r>
      <w:r w:rsidR="00B54278" w:rsidRPr="005512D2">
        <w:rPr>
          <w:color w:val="000000" w:themeColor="text1"/>
        </w:rPr>
        <w:t xml:space="preserve"> </w:t>
      </w:r>
      <w:r w:rsidR="00EF2D1B" w:rsidRPr="005512D2">
        <w:rPr>
          <w:color w:val="000000" w:themeColor="text1"/>
        </w:rPr>
        <w:t xml:space="preserve">a </w:t>
      </w:r>
      <w:r w:rsidR="00B54278" w:rsidRPr="005512D2">
        <w:rPr>
          <w:color w:val="000000" w:themeColor="text1"/>
        </w:rPr>
        <w:t>higher proportion of th</w:t>
      </w:r>
      <w:r w:rsidR="002C0BFD" w:rsidRPr="005512D2">
        <w:rPr>
          <w:color w:val="000000" w:themeColor="text1"/>
        </w:rPr>
        <w:t>eir</w:t>
      </w:r>
      <w:r w:rsidR="00B54278" w:rsidRPr="005512D2">
        <w:rPr>
          <w:color w:val="000000" w:themeColor="text1"/>
        </w:rPr>
        <w:t xml:space="preserve"> offtake </w:t>
      </w:r>
      <w:r w:rsidR="002E11E5">
        <w:rPr>
          <w:color w:val="000000" w:themeColor="text1"/>
        </w:rPr>
        <w:fldChar w:fldCharType="begin" w:fldLock="1"/>
      </w:r>
      <w:r w:rsidR="00AB268B">
        <w:rPr>
          <w:color w:val="000000" w:themeColor="text1"/>
        </w:rPr>
        <w:instrText xml:space="preserve">ADDIN CSL_CITATION {"citationItems":[{"id":"ITEM-1","itemData":{"DOI":"10.1073/pnas.1011526108","ISBN":"0027-8424","ISSN":"0027-8424","PMID":"21873180","abstract":"The harvest of wildlife for human consumption is valued at several billion dollars annually and provides an essential source of meat for hundreds of millions of rural people living in poverty. This harvest is also considered among the greatest threats to biodiversity throughout Africa, Asia, and Latin America. Economic development is often proposed as an essential first step to win-win solutions for poverty alleviation and biodiversity conservation by breaking rural reliance on wildlife. However, increases in wealth may accelerate consumption and extend the scale and efficiency of wildlife harvest. Our ability to assess the likelihood of these two contrasting outcomes and to design approaches that simultaneously consider poverty and biodiversity loss is impeded by a weak understanding of the direction and shape of their interaction. Here, we present results of economic and wildlife use surveys conducted in 2,000 households from 96 settlements in Ghana, Cameroon, Tanzania, and Madagascar. We examine the individual and interactive roles of wealth, relative food prices, market access, and opportunity costs of time spent hunting on household rates of wildlife consumption. Despite great differences in biogeographic, social, and economic aspects of our study sites, we found a consistent relationship between wealth and wildlife consumption. Wealthier households consume more bushmeat in settlements nearer urban areas, but the opposite pattern is observed in more isolated settlements. Wildlife hunting and consumption increase when alternative livelihoods collapse, but this safety net is an option only for those people living near harvestable wildlife.","author":[{"dropping-particle":"","family":"Brashares","given":"J. S.","non-dropping-particle":"","parse-names":false,"suffix":""},{"dropping-particle":"","family":"Golden","given":"C. D.","non-dropping-particle":"","parse-names":false,"suffix":""},{"dropping-particle":"","family":"Weinbaum","given":"K. Z.","non-dropping-particle":"","parse-names":false,"suffix":""},{"dropping-particle":"","family":"Barrett","given":"C. B.","non-dropping-particle":"","parse-names":false,"suffix":""},{"dropping-particle":"V.","family":"Okello","given":"G.","non-dropping-particle":"","parse-names":false,"suffix":""}],"container-title":"Proceedings of the National Academy of Sciences","id":"ITEM-1","issue":"34","issued":{"date-parts":[["2011"]]},"page":"13931-13936","title":"Economic and geographic drivers of wildlife consumption in rural Africa","type":"article-journal","volume":"108"},"uris":["http://www.mendeley.com/documents/?uuid=13ad7382-e303-3540-b09e-d11794ebd691"]},{"id":"ITEM-2","itemData":{"DOI":"10.1007/s10745-012-9492-5","ISBN":"0300-7839","ISSN":"03007839","abstract":"It is well known that wild game provides a significant proportion of the dietary protein of the indigenous people of the eastern half of New Guinea (PNG), but almost nothing is known of its importance in the western half (the Indonesian province of Papua or Irian Jaya). We quantified hunting effort, harvest rates and wild meat consumption and sale in the Jayapura region of north-east Papua through interviews with 147 hunters from 21 villages and meal surveys in 93 households. Ten species of mammals, seven species of birds and at least two species of reptiles were harvested in our study area, but the introduced wild pig and rusa deer were the major target species. Hunting in our study area has shifted from a purely subsistence activity towards a more commercial form at least partly due to the emergence of markets created by Indonesian transmigrants. Although the hunting of non-indigenous and certain native species might be sustainable, the maintenance of populations of large threatened species will require sensitive management.","author":[{"dropping-particle":"","family":"Pangau-Adam","given":"Margaretha","non-dropping-particle":"","parse-names":false,"suffix":""},{"dropping-particle":"","family":"Noske","given":"Richard","non-dropping-particle":"","parse-names":false,"suffix":""},{"dropping-particle":"","family":"Muehlenberg","given":"Michael","non-dropping-particle":"","parse-names":false,"suffix":""}],"container-title":"Human Ecology","id":"ITEM-2","issue":"4","issued":{"date-parts":[["2012"]]},"page":"611-621","title":"Wildmeat or bushmeat? Subsistence hunting and commercial harvesting in Papua (West New Guinea), Indonesia","type":"article-journal","volume":"40"},"uris":["http://www.mendeley.com/documents/?uuid=71e3de21-44c9-483b-9864-7f0ce47a0131"]},{"id":"ITEM-3","itemData":{"DOI":"10.1111/cobi.12067","ISBN":"0888-8892","ISSN":"08888892","PMID":"23692021","abstract":"Across West and Central Africa, wildlife provides a source of food and income. We investigated the relation between bushmeat hunting and household wealth and protein consumption in 2 rural communities in Bioko Island, Equatorial Guinea. One village was dedicated to commercial hunting, the other trapped game primarily for food. We tested whether commercial-hunter households were nutritionally advantaged over subsistence-hunter households due to their higher income from the bushmeat trade and greater access to wild-animal protein. We conducted bushmeat-offtake surveys in both villages (captures by hunters and carcasses arriving to each village). Mammals (including threatened primates: black colobus [Colobus satanas], Preussi's guenon [Allochrocebus preussi], and russet-eared guenon [Cercopithecus erythrotis]), birds, and reptiles were hunted. The blue duiker (Philantomba monticola), giant pouched rat (Cricetomys emini), and brush-tailed porcupine (Atherurus africanus) contributed almost all the animal biomass hunted, consumed, or sold in both villages. Monkeys and Ogilbyi's duikers (Cephalophus ogilbyi) were hunted only by commercial hunters. Commercial hunters generated a mean of US$2000/year from bushmeat sales. Households with commercial hunters were on average wealthier, generated more income, spent more money on nonessential goods, and bought more products they did not grow. By contrast, households with subsistence hunters spent less on market items, spent more on essential products, and grew more of their own food. Despite these differences, average consumption of vegetable protein and domestic meat and bushmeat protein did not differ between villages. Our results highlight the importance of understanding the socioeconomic and nutritional context of commercial and subsistence bushmeat hunting to correctly interpret ways of reducing their effects on threatened species </w:instrText>
      </w:r>
      <w:r w:rsidR="00AB268B" w:rsidRPr="00814265">
        <w:rPr>
          <w:color w:val="000000" w:themeColor="text1"/>
          <w:lang w:val="pt-BR"/>
        </w:rPr>
        <w:instrText>and to enable the sustainable offtake of more productive taxa.","author":[{"dropping-particle":"","family":"Grande Vega","given":"María","non-dropping-particle":"","parse-names":false,"suffix":""},{"dropping-particle":"","family":"Carpinetti","given":"Bruno","non-dropping-particle":"","parse-names":false,"suffix":""},{"dropping-particle":"","family":"Duarte","given":"Jesús","non-dropping-particle":"","parse-names":false,"suffix":""},{"dropping-particle":"","family":"Fa","given":"John E.","non-dropping-particle":"","parse-names":false,"suffix":""}],"container-title":"Conservation Biology","id":"ITEM-3","issue":"3","issued":{"date-parts":[["2013"]]},"page":"576-587","title":"Contrasts in livelihoods and protein intake between commercial and subsistence bushmeat hunters in two villages on Bioko Island, Equatorial Guinea","type":"article-journal","volume":"27"},"uris":["http://www.mendeley.com/documents/?uuid=3980d082-4789-4a6d-81c7-e7c6156c6bcc"]}],"mendeley":{"formattedCitation":"(Brashares et al. 2011; Pangau-Adam et al. 2012; Grande Vega et al. 2013)","manualFormatting":"(e.g. Brashares et al. 2011; Pangau-Adam et al. 2012; Grande Vega et al. 2013)","plainTextFormattedCitation":"(Brashares et al. 2011; Pangau-Adam et al. 2012; Grande Vega et al. 2013)","previouslyFormattedCitation":"(Brashares et al. 2011; Pangau-Adam et al. 2012; Grande Vega et al. 2013)"},"properties":{"noteIndex":0},"schema":"https://github.com/citation-style-language/schema/raw/master/csl-citation.json"}</w:instrText>
      </w:r>
      <w:r w:rsidR="002E11E5">
        <w:rPr>
          <w:color w:val="000000" w:themeColor="text1"/>
        </w:rPr>
        <w:fldChar w:fldCharType="separate"/>
      </w:r>
      <w:r w:rsidR="002E11E5" w:rsidRPr="00814265">
        <w:rPr>
          <w:noProof/>
          <w:color w:val="000000" w:themeColor="text1"/>
          <w:lang w:val="pt-BR"/>
        </w:rPr>
        <w:t>(e.g. Brashares et al. 2011; Pangau-Adam et al. 2012; Grande Vega et al. 2013)</w:t>
      </w:r>
      <w:r w:rsidR="002E11E5">
        <w:rPr>
          <w:color w:val="000000" w:themeColor="text1"/>
        </w:rPr>
        <w:fldChar w:fldCharType="end"/>
      </w:r>
      <w:r w:rsidR="00966B69" w:rsidRPr="00814265">
        <w:rPr>
          <w:color w:val="000000" w:themeColor="text1"/>
          <w:lang w:val="pt-BR"/>
        </w:rPr>
        <w:t xml:space="preserve">. </w:t>
      </w:r>
      <w:r w:rsidR="00966B69">
        <w:rPr>
          <w:color w:val="000000" w:themeColor="text1"/>
        </w:rPr>
        <w:t>I</w:t>
      </w:r>
      <w:r w:rsidR="00EC61F4" w:rsidRPr="005512D2">
        <w:rPr>
          <w:color w:val="000000" w:themeColor="text1"/>
        </w:rPr>
        <w:t xml:space="preserve">n some </w:t>
      </w:r>
      <w:r w:rsidR="00EC61F4" w:rsidRPr="005512D2">
        <w:rPr>
          <w:color w:val="000000" w:themeColor="text1"/>
        </w:rPr>
        <w:lastRenderedPageBreak/>
        <w:t xml:space="preserve">circumstances, traders may directly commission village hunters to engage in more intensive commercial hunting </w:t>
      </w:r>
      <w:r w:rsidR="00D411FF">
        <w:rPr>
          <w:color w:val="000000" w:themeColor="text1"/>
        </w:rPr>
        <w:fldChar w:fldCharType="begin" w:fldLock="1"/>
      </w:r>
      <w:r w:rsidR="00D411FF">
        <w:rPr>
          <w:color w:val="000000" w:themeColor="text1"/>
        </w:rPr>
        <w:instrText>ADDIN CSL_CITATION {"citationItems":[{"id":"ITEM-1","itemData":{"author":[{"dropping-particle":"","family":"Wutty","given":"C","non-dropping-particle":"","parse-names":false,"suffix":""},{"dropping-particle":"","family":"Simms","given":"A","non-dropping-particle":"","parse-names":false,"suffix":""}],"id":"ITEM-1","issued":{"date-parts":[["2005"]]},"publisher-place":"Conservation International, Natural Resource Protection Group and Fauna and Flora International","title":"Intelligence-led investigation into illegal wildlife hunting and trade in southwest Cambodia.","type":"report"},"uris":["http://www.mendeley.com/documents/?uuid=ce493be6-b656-446c-9014-c6b7bf099ef8"]}],"mendeley":{"formattedCitation":"(Wutty &amp; Simms 2005)","plainTextFormattedCitation":"(Wutty &amp; Simms 2005)","previouslyFormattedCitation":"(Wutty &amp; Simms 2005)"},"properties":{"noteIndex":0},"schema":"https://github.com/citation-style-language/schema/raw/master/csl-citation.json"}</w:instrText>
      </w:r>
      <w:r w:rsidR="00D411FF">
        <w:rPr>
          <w:color w:val="000000" w:themeColor="text1"/>
        </w:rPr>
        <w:fldChar w:fldCharType="separate"/>
      </w:r>
      <w:r w:rsidR="00D411FF" w:rsidRPr="00B93536">
        <w:rPr>
          <w:noProof/>
          <w:color w:val="000000" w:themeColor="text1"/>
        </w:rPr>
        <w:t>(Wutty &amp; Simms 2005)</w:t>
      </w:r>
      <w:r w:rsidR="00D411FF">
        <w:rPr>
          <w:color w:val="000000" w:themeColor="text1"/>
        </w:rPr>
        <w:fldChar w:fldCharType="end"/>
      </w:r>
      <w:r w:rsidR="00EC61F4" w:rsidRPr="005512D2">
        <w:rPr>
          <w:color w:val="000000" w:themeColor="text1"/>
        </w:rPr>
        <w:t xml:space="preserve">. </w:t>
      </w:r>
      <w:r w:rsidR="00DD4F17">
        <w:rPr>
          <w:color w:val="000000" w:themeColor="text1"/>
        </w:rPr>
        <w:t xml:space="preserve">Commercial hunting by residents of rapidly-expanding regional towns in forest regions is </w:t>
      </w:r>
      <w:r w:rsidR="00EC6DAD">
        <w:rPr>
          <w:color w:val="000000" w:themeColor="text1"/>
        </w:rPr>
        <w:t xml:space="preserve">also </w:t>
      </w:r>
      <w:r w:rsidR="00DD4F17">
        <w:rPr>
          <w:color w:val="000000" w:themeColor="text1"/>
        </w:rPr>
        <w:t xml:space="preserve">becoming more common as access to affordable meats from domestic origin remains low, and hunting grounds in nearby forests remain </w:t>
      </w:r>
      <w:r w:rsidR="00A479D2">
        <w:rPr>
          <w:color w:val="000000" w:themeColor="text1"/>
        </w:rPr>
        <w:t>accessible</w:t>
      </w:r>
      <w:r w:rsidR="00DD4F17">
        <w:rPr>
          <w:color w:val="000000" w:themeColor="text1"/>
        </w:rPr>
        <w:t xml:space="preserve"> </w:t>
      </w:r>
      <w:r w:rsidR="00D411FF">
        <w:rPr>
          <w:color w:val="000000" w:themeColor="text1"/>
        </w:rPr>
        <w:fldChar w:fldCharType="begin" w:fldLock="1"/>
      </w:r>
      <w:r w:rsidR="00B2630D">
        <w:rPr>
          <w:color w:val="000000" w:themeColor="text1"/>
        </w:rPr>
        <w:instrText>ADDIN CSL_CITATION {"citationItems":[{"id":"ITEM-1","itemData":{"DOI":"http://dx.doi.org/10.5751/ES-08358-210202","ISBN":"1708-3087","ISSN":"17083087","abstract":"Although the use of wild mammals as a source of food has been better studied in tropical forest environments, their importance as a source of protein for human communities in semiarid environments is little known. In the latter, the availability of wild animal meat is limited in comparison to other environments. In the semiarid regions of northeastern Brazil, hunting wild mammals for their meat is traditional, playing a crucial role in the livelihoods and food security of various rural and urban communities, especially during the annual drought seasons. In this study, we investigated the role of wild mammals as bushmeat in 10 communities within the Caatinga biome in northeast Brazil. We used key-informant interviews, household surveys, and questionnaires to determine the species hunted and consumed. We found that about 30 species were used for bushmeat, with communities clustering into two main groups. We showed that in almost all municipalities visited, all mammals hunted were reported after interview days. A total of 46.9% of hunters consumed bushmeat at least once a week. However, preference for bushmeat over livestock was perceived to be more a matter of taste (61.50% of respondents) than a real need for protein supplementation from the wild. The ease of entering environmental areas where wild mammals can be found has disadvantages for wildlife in terms of pressure and overexploitation, especially where it concerns endangered species. The key to understanding the socioeconomic, cultural, and ecological contexts in which there are traditional uses is to develop conservationist strategies suitable for the socioeconomic reality of human populations.","author":[{"dropping-particle":"","family":"Barboza","given":"Raynner Rilke","non-dropping-particle":"","parse-names":false,"suffix":""},{"dropping-particle":"","family":"Lopes","given":"Sérgio F.","non-dropping-particle":"","parse-names":false,"suffix":""},{"dropping-particle":"","family":"Souto","given":"Wedson M.S.","non-dropping-particle":"","parse-names":false,"suffix":""},{"dropping-particle":"","family":"Fernandes-Ferreira","given":"Hugo","non-dropping-particle":"","parse-names":false,"suffix":""},{"dropping-particle":"","family":"Alves","given":"Rômulo R.N.","non-dropping-particle":"","parse-names":false,"suffix":""}],"container-title":"Ecology and Society","id":"ITEM-1","issue":"2","issued":{"date-parts":[["2016"]]},"page":"2","title":"The role of game mammals as bushmeat in the Caatinga, northeast Brazil","type":"article-journal","volume":"21"},"uris":["http://www.mendeley.com/documents/?uuid=3189e176-bec9-4e34-b717-1c6033395159"]},{"id":"ITEM-2","itemData":{"author":[{"dropping-particle":"","family":"Vliet","given":"Nathalie","non-dropping-particle":"Van","parse-names":false,"suffix":""},{"dropping-particle":"","family":"Quiceno","given":"Maria Paula","non-dropping-particle":"","parse-names":false,"suffix":""},{"dropping-particle":"","family":"Cruz","given":"Daniel","non-dropping-particle":"","parse-names":false,"suffix":""},{"dropping-particle":"","family":"Jonhson","given":"Lindon","non-dropping-particle":"","parse-names":false,"suffix":""},{"dropping-particle":"","family":"Aquino","given":"Neves","non-dropping-particle":"de","parse-names":false,"suffix":""},{"dropping-particle":"","family":"Yagüe","given":"Blanca","non-dropping-particle":"","parse-names":false,"suffix":""},{"dropping-particle":"","family":"Schor","given":"Tatiana","non-dropping-particle":"","parse-names":false,"suffix":""}],"container-title":"Ecology and Society","id":"ITEM-2","issue":"3","issued":{"date-parts":[["2015"]]},"page":"21","title":"Bushmeat networks link the forest to urban areas in the trifrontier region between Brazil, Colombia, and Peru","type":"article-journal","volume":"20"},"uris":["http://www.mendeley.com/documents/?uuid=c363af56-1774-4b0f-bfd2-53765b13cabe"]}],"mendeley":{"formattedCitation":"(Van Vliet et al. 2015e; Barboza et al. 2016)","plainTextFormattedCitation":"(Van Vliet et al. 2015e; Barboza et al. 2016)","previouslyFormattedCitation":"(Van Vliet et al. 2015e; Barboza et al. 2016)"},"properties":{"noteIndex":0},"schema":"https://github.com/citation-style-language/schema/raw/master/csl-citation.json"}</w:instrText>
      </w:r>
      <w:r w:rsidR="00D411FF">
        <w:rPr>
          <w:color w:val="000000" w:themeColor="text1"/>
        </w:rPr>
        <w:fldChar w:fldCharType="separate"/>
      </w:r>
      <w:r w:rsidR="00763BF5" w:rsidRPr="00763BF5">
        <w:rPr>
          <w:noProof/>
          <w:color w:val="000000" w:themeColor="text1"/>
        </w:rPr>
        <w:t>(Van Vliet et al. 2015e; Barboza et al. 2016)</w:t>
      </w:r>
      <w:r w:rsidR="00D411FF">
        <w:rPr>
          <w:color w:val="000000" w:themeColor="text1"/>
        </w:rPr>
        <w:fldChar w:fldCharType="end"/>
      </w:r>
      <w:r w:rsidR="00DD4F17">
        <w:rPr>
          <w:color w:val="000000" w:themeColor="text1"/>
        </w:rPr>
        <w:t>.</w:t>
      </w:r>
    </w:p>
    <w:p w14:paraId="629FCF1D" w14:textId="023DFF98" w:rsidR="003B6FE0" w:rsidRDefault="00EC61F4" w:rsidP="00C258BC">
      <w:pPr>
        <w:jc w:val="both"/>
        <w:rPr>
          <w:color w:val="000000" w:themeColor="text1"/>
        </w:rPr>
      </w:pPr>
      <w:r w:rsidRPr="005512D2">
        <w:rPr>
          <w:color w:val="000000" w:themeColor="text1"/>
        </w:rPr>
        <w:t>I</w:t>
      </w:r>
      <w:r w:rsidR="00B54278" w:rsidRPr="005512D2">
        <w:rPr>
          <w:color w:val="000000" w:themeColor="text1"/>
        </w:rPr>
        <w:t xml:space="preserve">ncreasing urban demand also </w:t>
      </w:r>
      <w:r w:rsidR="00CB7A8E" w:rsidRPr="005512D2">
        <w:rPr>
          <w:color w:val="000000" w:themeColor="text1"/>
        </w:rPr>
        <w:t>incentivises</w:t>
      </w:r>
      <w:r w:rsidR="00B54278" w:rsidRPr="005512D2">
        <w:rPr>
          <w:color w:val="000000" w:themeColor="text1"/>
        </w:rPr>
        <w:t xml:space="preserve"> </w:t>
      </w:r>
      <w:r w:rsidR="004A5A23" w:rsidRPr="005512D2">
        <w:rPr>
          <w:color w:val="000000" w:themeColor="text1"/>
        </w:rPr>
        <w:t>external commercial hunters</w:t>
      </w:r>
      <w:r w:rsidR="00DD4F17">
        <w:rPr>
          <w:color w:val="000000" w:themeColor="text1"/>
        </w:rPr>
        <w:t>, who</w:t>
      </w:r>
      <w:r w:rsidR="00DD4F17" w:rsidRPr="005512D2">
        <w:rPr>
          <w:color w:val="000000" w:themeColor="text1"/>
        </w:rPr>
        <w:t xml:space="preserve"> respond to an increasingly lucrative urban, and even </w:t>
      </w:r>
      <w:r w:rsidR="00DD4F17">
        <w:rPr>
          <w:color w:val="000000" w:themeColor="text1"/>
        </w:rPr>
        <w:t>transborder</w:t>
      </w:r>
      <w:r w:rsidR="00DD4F17" w:rsidRPr="0064175F">
        <w:rPr>
          <w:color w:val="000000" w:themeColor="text1"/>
        </w:rPr>
        <w:t>,</w:t>
      </w:r>
      <w:r w:rsidR="00DD4F17" w:rsidRPr="005512D2">
        <w:rPr>
          <w:color w:val="000000" w:themeColor="text1"/>
        </w:rPr>
        <w:t xml:space="preserve"> trade in wild meat, and often supply demand for wild meat and wildlife products in tandem. External commercial hunters are highly flexible in where they hunt, moving between areas (including hunting within protected areas and communit</w:t>
      </w:r>
      <w:r w:rsidR="00DD4F17">
        <w:rPr>
          <w:color w:val="000000" w:themeColor="text1"/>
        </w:rPr>
        <w:t>y</w:t>
      </w:r>
      <w:r w:rsidR="00DD4F17" w:rsidRPr="005512D2">
        <w:rPr>
          <w:color w:val="000000" w:themeColor="text1"/>
        </w:rPr>
        <w:t xml:space="preserve"> hunting grounds) to maximise profit. </w:t>
      </w:r>
      <w:r w:rsidR="00DD4F17">
        <w:rPr>
          <w:color w:val="000000" w:themeColor="text1"/>
        </w:rPr>
        <w:t xml:space="preserve">When associated with the trade in ivory or high value wildlife based medicinal products, hunters </w:t>
      </w:r>
      <w:r w:rsidR="00DD4F17" w:rsidRPr="005512D2">
        <w:rPr>
          <w:color w:val="000000" w:themeColor="text1"/>
        </w:rPr>
        <w:t xml:space="preserve">can be part of well-organised, well-armed hunting groups, sometimes ex-military, with strong direct links with urban and international traders (see </w:t>
      </w:r>
      <w:r w:rsidR="00DD4F17" w:rsidRPr="005512D2">
        <w:rPr>
          <w:color w:val="000000" w:themeColor="text1"/>
        </w:rPr>
        <w:fldChar w:fldCharType="begin"/>
      </w:r>
      <w:r w:rsidR="00DD4F17" w:rsidRPr="005512D2">
        <w:rPr>
          <w:color w:val="000000" w:themeColor="text1"/>
        </w:rPr>
        <w:instrText xml:space="preserve"> REF _Ref518914194 \h </w:instrText>
      </w:r>
      <w:r w:rsidR="00DD4F17">
        <w:rPr>
          <w:color w:val="000000" w:themeColor="text1"/>
        </w:rPr>
        <w:instrText xml:space="preserve"> \* MERGEFORMAT </w:instrText>
      </w:r>
      <w:r w:rsidR="00DD4F17" w:rsidRPr="005512D2">
        <w:rPr>
          <w:color w:val="000000" w:themeColor="text1"/>
        </w:rPr>
      </w:r>
      <w:r w:rsidR="00DD4F17" w:rsidRPr="005512D2">
        <w:rPr>
          <w:color w:val="000000" w:themeColor="text1"/>
        </w:rPr>
        <w:fldChar w:fldCharType="separate"/>
      </w:r>
      <w:r w:rsidR="007034F1" w:rsidRPr="00946D97">
        <w:t xml:space="preserve">Figure </w:t>
      </w:r>
      <w:r w:rsidR="007034F1">
        <w:t>3</w:t>
      </w:r>
      <w:r w:rsidR="00DD4F17" w:rsidRPr="005512D2">
        <w:rPr>
          <w:color w:val="000000" w:themeColor="text1"/>
        </w:rPr>
        <w:fldChar w:fldCharType="end"/>
      </w:r>
      <w:r w:rsidR="00DD4F17" w:rsidRPr="005512D2">
        <w:rPr>
          <w:color w:val="000000" w:themeColor="text1"/>
        </w:rPr>
        <w:t>).</w:t>
      </w:r>
      <w:r w:rsidR="00DD4F17" w:rsidRPr="00BA3501">
        <w:rPr>
          <w:color w:val="000000" w:themeColor="text1"/>
        </w:rPr>
        <w:t xml:space="preserve"> </w:t>
      </w:r>
      <w:r w:rsidR="00F711A7" w:rsidRPr="005512D2">
        <w:rPr>
          <w:color w:val="000000" w:themeColor="text1"/>
        </w:rPr>
        <w:t>For example,</w:t>
      </w:r>
      <w:r w:rsidR="00DD1B30" w:rsidRPr="005512D2">
        <w:rPr>
          <w:color w:val="000000" w:themeColor="text1"/>
        </w:rPr>
        <w:t xml:space="preserve"> from undercover surveillance work in the Cardamom mountains,</w:t>
      </w:r>
      <w:r w:rsidR="00F711A7" w:rsidRPr="005512D2">
        <w:rPr>
          <w:color w:val="000000" w:themeColor="text1"/>
        </w:rPr>
        <w:t xml:space="preserve"> Cambodia</w:t>
      </w:r>
      <w:r w:rsidR="00DD1B30" w:rsidRPr="005512D2">
        <w:rPr>
          <w:color w:val="000000" w:themeColor="text1"/>
        </w:rPr>
        <w:t>,</w:t>
      </w:r>
      <w:r w:rsidR="00F711A7" w:rsidRPr="005512D2">
        <w:rPr>
          <w:color w:val="000000" w:themeColor="text1"/>
        </w:rPr>
        <w:t xml:space="preserve"> </w:t>
      </w:r>
      <w:r w:rsidR="00D411FF">
        <w:rPr>
          <w:color w:val="000000" w:themeColor="text1"/>
        </w:rPr>
        <w:fldChar w:fldCharType="begin" w:fldLock="1"/>
      </w:r>
      <w:r w:rsidR="00D411FF">
        <w:rPr>
          <w:color w:val="000000" w:themeColor="text1"/>
        </w:rPr>
        <w:instrText>ADDIN CSL_CITATION {"citationItems":[{"id":"ITEM-1","itemData":{"author":[{"dropping-particle":"","family":"Wutty","given":"C","non-dropping-particle":"","parse-names":false,"suffix":""},{"dropping-particle":"","family":"Simms","given":"A","non-dropping-particle":"","parse-names":false,"suffix":""}],"id":"ITEM-1","issued":{"date-parts":[["2005"]]},"publisher-place":"Conservation International, Natural Resource Protection Group and Fauna and Flora International","title":"Intelligence-led investigation into illegal wildlife hunting and trade in southwest Cambodia.","type":"report"},"uris":["http://www.mendeley.com/documents/?uuid=ce493be6-b656-446c-9014-c6b7bf099ef8"]}],"mendeley":{"formattedCitation":"(Wutty &amp; Simms 2005)","manualFormatting":"Wutty and Simms (2005)","plainTextFormattedCitation":"(Wutty &amp; Simms 2005)","previouslyFormattedCitation":"(Wutty &amp; Simms 2005)"},"properties":{"noteIndex":0},"schema":"https://github.com/citation-style-language/schema/raw/master/csl-citation.json"}</w:instrText>
      </w:r>
      <w:r w:rsidR="00D411FF">
        <w:rPr>
          <w:color w:val="000000" w:themeColor="text1"/>
        </w:rPr>
        <w:fldChar w:fldCharType="separate"/>
      </w:r>
      <w:r w:rsidR="00D411FF">
        <w:rPr>
          <w:noProof/>
          <w:color w:val="000000" w:themeColor="text1"/>
        </w:rPr>
        <w:t>Wutty and</w:t>
      </w:r>
      <w:r w:rsidR="00D411FF" w:rsidRPr="00BA7C32">
        <w:rPr>
          <w:noProof/>
          <w:color w:val="000000" w:themeColor="text1"/>
        </w:rPr>
        <w:t xml:space="preserve"> Simms </w:t>
      </w:r>
      <w:r w:rsidR="00D411FF">
        <w:rPr>
          <w:noProof/>
          <w:color w:val="000000" w:themeColor="text1"/>
        </w:rPr>
        <w:t>(</w:t>
      </w:r>
      <w:r w:rsidR="00D411FF" w:rsidRPr="00BA7C32">
        <w:rPr>
          <w:noProof/>
          <w:color w:val="000000" w:themeColor="text1"/>
        </w:rPr>
        <w:t>2005)</w:t>
      </w:r>
      <w:r w:rsidR="00D411FF">
        <w:rPr>
          <w:color w:val="000000" w:themeColor="text1"/>
        </w:rPr>
        <w:fldChar w:fldCharType="end"/>
      </w:r>
      <w:r w:rsidR="00D411FF">
        <w:rPr>
          <w:color w:val="000000" w:themeColor="text1"/>
        </w:rPr>
        <w:t xml:space="preserve"> </w:t>
      </w:r>
      <w:r w:rsidR="00DD1B30" w:rsidRPr="005512D2">
        <w:rPr>
          <w:color w:val="000000" w:themeColor="text1"/>
        </w:rPr>
        <w:t>were able to describe</w:t>
      </w:r>
      <w:r w:rsidR="00F711A7" w:rsidRPr="005512D2">
        <w:rPr>
          <w:color w:val="000000" w:themeColor="text1"/>
        </w:rPr>
        <w:t xml:space="preserve"> several commercial hu</w:t>
      </w:r>
      <w:r w:rsidR="00DD1B30" w:rsidRPr="005512D2">
        <w:rPr>
          <w:color w:val="000000" w:themeColor="text1"/>
        </w:rPr>
        <w:t>n</w:t>
      </w:r>
      <w:r w:rsidR="00F711A7" w:rsidRPr="005512D2">
        <w:rPr>
          <w:color w:val="000000" w:themeColor="text1"/>
        </w:rPr>
        <w:t xml:space="preserve">ting groups, </w:t>
      </w:r>
      <w:r w:rsidR="00DD1B30" w:rsidRPr="005512D2">
        <w:rPr>
          <w:color w:val="000000" w:themeColor="text1"/>
        </w:rPr>
        <w:t xml:space="preserve">mostly </w:t>
      </w:r>
      <w:r w:rsidR="00F711A7" w:rsidRPr="005512D2">
        <w:rPr>
          <w:color w:val="000000" w:themeColor="text1"/>
        </w:rPr>
        <w:t xml:space="preserve">ex-military, </w:t>
      </w:r>
      <w:r w:rsidR="00DD1B30" w:rsidRPr="005512D2">
        <w:rPr>
          <w:color w:val="000000" w:themeColor="text1"/>
        </w:rPr>
        <w:t>who used la</w:t>
      </w:r>
      <w:r w:rsidR="00315F99" w:rsidRPr="005512D2">
        <w:rPr>
          <w:color w:val="000000" w:themeColor="text1"/>
        </w:rPr>
        <w:t>ndmine traps</w:t>
      </w:r>
      <w:r w:rsidR="00DD1B30" w:rsidRPr="005512D2">
        <w:rPr>
          <w:color w:val="000000" w:themeColor="text1"/>
        </w:rPr>
        <w:t xml:space="preserve"> and AK47 rifles to hunt b</w:t>
      </w:r>
      <w:r w:rsidR="00966B69">
        <w:rPr>
          <w:color w:val="000000" w:themeColor="text1"/>
        </w:rPr>
        <w:t>oth trophy species, such as tigers and</w:t>
      </w:r>
      <w:r w:rsidR="00DD1B30" w:rsidRPr="005512D2">
        <w:rPr>
          <w:color w:val="000000" w:themeColor="text1"/>
        </w:rPr>
        <w:t xml:space="preserve"> elephant</w:t>
      </w:r>
      <w:r w:rsidR="00966B69">
        <w:rPr>
          <w:color w:val="000000" w:themeColor="text1"/>
        </w:rPr>
        <w:t>s,</w:t>
      </w:r>
      <w:r w:rsidR="00DD1B30" w:rsidRPr="005512D2">
        <w:rPr>
          <w:color w:val="000000" w:themeColor="text1"/>
        </w:rPr>
        <w:t xml:space="preserve"> and large mammals for the wild meat trade. </w:t>
      </w:r>
      <w:bookmarkStart w:id="53" w:name="_Ref518996816"/>
      <w:bookmarkStart w:id="54" w:name="_Ref518996822"/>
      <w:r w:rsidR="00F54A9A" w:rsidRPr="005512D2">
        <w:rPr>
          <w:color w:val="000000" w:themeColor="text1"/>
        </w:rPr>
        <w:t xml:space="preserve">These hunting groups often camped in the forest, rather than staying in villages or towns, </w:t>
      </w:r>
      <w:r w:rsidR="00A57CF2" w:rsidRPr="005512D2">
        <w:rPr>
          <w:color w:val="000000" w:themeColor="text1"/>
        </w:rPr>
        <w:t xml:space="preserve">and used handheld icomms, and maintained good community </w:t>
      </w:r>
      <w:r w:rsidR="00122CA8">
        <w:rPr>
          <w:color w:val="000000" w:themeColor="text1"/>
        </w:rPr>
        <w:t xml:space="preserve">intelligence </w:t>
      </w:r>
      <w:r w:rsidR="00A57CF2" w:rsidRPr="005512D2">
        <w:rPr>
          <w:color w:val="000000" w:themeColor="text1"/>
        </w:rPr>
        <w:t xml:space="preserve">networks, to evade enforcement and identify prime hunting spots. </w:t>
      </w:r>
    </w:p>
    <w:p w14:paraId="2F0A08A2" w14:textId="77777777" w:rsidR="000C5673" w:rsidRPr="00DA4708" w:rsidRDefault="000C5673" w:rsidP="00C258BC">
      <w:pPr>
        <w:jc w:val="both"/>
        <w:rPr>
          <w:color w:val="000000" w:themeColor="text1"/>
        </w:rPr>
      </w:pPr>
    </w:p>
    <w:p w14:paraId="76D21E7F" w14:textId="67BBE9ED" w:rsidR="000C5673" w:rsidRPr="00DA4708" w:rsidRDefault="000C5673" w:rsidP="000C5673">
      <w:pPr>
        <w:jc w:val="center"/>
        <w:rPr>
          <w:b/>
          <w:color w:val="000000" w:themeColor="text1"/>
        </w:rPr>
      </w:pPr>
      <w:r w:rsidRPr="00DA4708">
        <w:rPr>
          <w:b/>
          <w:color w:val="000000" w:themeColor="text1"/>
        </w:rPr>
        <w:t>FIGURE 3 AROUND HERE</w:t>
      </w:r>
    </w:p>
    <w:p w14:paraId="6622FF15" w14:textId="77777777" w:rsidR="000C5673" w:rsidRPr="005512D2" w:rsidRDefault="000C5673" w:rsidP="00C258BC">
      <w:pPr>
        <w:jc w:val="both"/>
        <w:rPr>
          <w:color w:val="000000" w:themeColor="text1"/>
        </w:rPr>
      </w:pPr>
    </w:p>
    <w:p w14:paraId="629591DD" w14:textId="38E3C8F3" w:rsidR="00EC61F4" w:rsidRPr="0070404D" w:rsidRDefault="00EC61F4" w:rsidP="00C258BC">
      <w:pPr>
        <w:jc w:val="both"/>
        <w:rPr>
          <w:color w:val="000000" w:themeColor="text1"/>
        </w:rPr>
      </w:pPr>
      <w:r w:rsidRPr="0070404D">
        <w:rPr>
          <w:color w:val="000000" w:themeColor="text1"/>
        </w:rPr>
        <w:t>The suspected</w:t>
      </w:r>
      <w:r w:rsidR="004F6AAA">
        <w:rPr>
          <w:color w:val="000000" w:themeColor="text1"/>
        </w:rPr>
        <w:t xml:space="preserve"> increasing</w:t>
      </w:r>
      <w:r w:rsidRPr="0070404D">
        <w:rPr>
          <w:color w:val="000000" w:themeColor="text1"/>
        </w:rPr>
        <w:t xml:space="preserve"> numbers and distribution of professional groups of commercial hunters</w:t>
      </w:r>
      <w:r w:rsidR="00AB48A3">
        <w:rPr>
          <w:color w:val="000000" w:themeColor="text1"/>
        </w:rPr>
        <w:t xml:space="preserve"> </w:t>
      </w:r>
      <w:r w:rsidR="007A3FE2">
        <w:rPr>
          <w:color w:val="000000" w:themeColor="text1"/>
        </w:rPr>
        <w:t>harvesting</w:t>
      </w:r>
      <w:r w:rsidR="00AB48A3">
        <w:rPr>
          <w:color w:val="000000" w:themeColor="text1"/>
        </w:rPr>
        <w:t xml:space="preserve"> and trading wild meat</w:t>
      </w:r>
      <w:r w:rsidRPr="0070404D">
        <w:rPr>
          <w:color w:val="000000" w:themeColor="text1"/>
        </w:rPr>
        <w:t xml:space="preserve"> in West or Central Africa and SE Asia are a cause for concern</w:t>
      </w:r>
      <w:r w:rsidR="00122CA8">
        <w:rPr>
          <w:color w:val="000000" w:themeColor="text1"/>
        </w:rPr>
        <w:t xml:space="preserve"> </w:t>
      </w:r>
      <w:r w:rsidR="00D411FF">
        <w:rPr>
          <w:color w:val="000000" w:themeColor="text1"/>
        </w:rPr>
        <w:fldChar w:fldCharType="begin" w:fldLock="1"/>
      </w:r>
      <w:r w:rsidR="00D411FF">
        <w:rPr>
          <w:color w:val="000000" w:themeColor="text1"/>
        </w:rPr>
        <w:instrText>ADDIN CSL_CITATION {"citationItems":[{"id":"ITEM-1","itemData":{"ISBN":"9789211482881","author":[{"dropping-particle":"","family":"UNODC","given":"","non-dropping-particle":"","parse-names":false,"suffix":""}],"id":"ITEM-1","issued":{"date-parts":[["2016"]]},"number-of-pages":"1-98","publisher-place":"United Nations Office on Drugs and Crime, Vienna, Austria.","title":"World Wildlife Crime Report: Trafficking in protected species","type":"report"},"uris":["http://www.mendeley.com/documents/?uuid=9e2b0450-bded-4362-b4a5-0a59c875e505"]}],"mendeley":{"formattedCitation":"(UNODC 2016)","plainTextFormattedCitation":"(UNODC 2016)","previouslyFormattedCitation":"(UNODC 2016)"},"properties":{"noteIndex":0},"schema":"https://github.com/citation-style-language/schema/raw/master/csl-citation.json"}</w:instrText>
      </w:r>
      <w:r w:rsidR="00D411FF">
        <w:rPr>
          <w:color w:val="000000" w:themeColor="text1"/>
        </w:rPr>
        <w:fldChar w:fldCharType="separate"/>
      </w:r>
      <w:r w:rsidR="00D411FF" w:rsidRPr="007D7E34">
        <w:rPr>
          <w:noProof/>
          <w:color w:val="000000" w:themeColor="text1"/>
        </w:rPr>
        <w:t>(UNODC 2016)</w:t>
      </w:r>
      <w:r w:rsidR="00D411FF">
        <w:rPr>
          <w:color w:val="000000" w:themeColor="text1"/>
        </w:rPr>
        <w:fldChar w:fldCharType="end"/>
      </w:r>
      <w:r w:rsidRPr="0070404D">
        <w:rPr>
          <w:color w:val="000000" w:themeColor="text1"/>
        </w:rPr>
        <w:t>. However, collecting data on activities and offtake of these groups is dangerous, due to their illegal and clandestine nature, and put</w:t>
      </w:r>
      <w:r w:rsidR="008D1462" w:rsidRPr="0070404D">
        <w:rPr>
          <w:color w:val="000000" w:themeColor="text1"/>
        </w:rPr>
        <w:t>s</w:t>
      </w:r>
      <w:r w:rsidRPr="0070404D">
        <w:rPr>
          <w:color w:val="000000" w:themeColor="text1"/>
        </w:rPr>
        <w:t xml:space="preserve"> lives at risk. </w:t>
      </w:r>
      <w:r w:rsidR="0029752B" w:rsidRPr="0070404D">
        <w:rPr>
          <w:color w:val="000000" w:themeColor="text1"/>
        </w:rPr>
        <w:t xml:space="preserve">As a </w:t>
      </w:r>
      <w:r w:rsidR="00A479D2" w:rsidRPr="0070404D">
        <w:rPr>
          <w:color w:val="000000" w:themeColor="text1"/>
        </w:rPr>
        <w:t>result,</w:t>
      </w:r>
      <w:r w:rsidR="0029752B" w:rsidRPr="0070404D">
        <w:rPr>
          <w:color w:val="000000" w:themeColor="text1"/>
        </w:rPr>
        <w:t xml:space="preserve"> there are few data on external commercial hunt</w:t>
      </w:r>
      <w:r w:rsidR="00F7702A" w:rsidRPr="0070404D">
        <w:rPr>
          <w:color w:val="000000" w:themeColor="text1"/>
        </w:rPr>
        <w:t>er</w:t>
      </w:r>
      <w:r w:rsidR="0029752B" w:rsidRPr="0070404D">
        <w:rPr>
          <w:color w:val="000000" w:themeColor="text1"/>
        </w:rPr>
        <w:t xml:space="preserve"> </w:t>
      </w:r>
      <w:r w:rsidR="007A3FE2" w:rsidRPr="0070404D">
        <w:rPr>
          <w:color w:val="000000" w:themeColor="text1"/>
        </w:rPr>
        <w:t>characteristics</w:t>
      </w:r>
      <w:r w:rsidR="0029752B" w:rsidRPr="0070404D">
        <w:rPr>
          <w:color w:val="000000" w:themeColor="text1"/>
        </w:rPr>
        <w:t>, offtakes and incomes.</w:t>
      </w:r>
    </w:p>
    <w:p w14:paraId="73BE8EC2" w14:textId="77777777" w:rsidR="00EA237B" w:rsidRPr="0070404D" w:rsidRDefault="00EA237B" w:rsidP="00DF57F3">
      <w:pPr>
        <w:pStyle w:val="Heading2"/>
      </w:pPr>
      <w:bookmarkStart w:id="55" w:name="_Toc519156080"/>
      <w:bookmarkStart w:id="56" w:name="_Toc529390338"/>
      <w:r w:rsidRPr="0070404D">
        <w:t>Hunting methods</w:t>
      </w:r>
      <w:bookmarkEnd w:id="55"/>
      <w:bookmarkEnd w:id="56"/>
    </w:p>
    <w:p w14:paraId="04EC2891" w14:textId="46052C1B" w:rsidR="00E654CD" w:rsidRPr="00DA4708" w:rsidRDefault="00E96BE2" w:rsidP="00C258BC">
      <w:pPr>
        <w:spacing w:after="0"/>
        <w:jc w:val="both"/>
        <w:rPr>
          <w:color w:val="000000" w:themeColor="text1"/>
        </w:rPr>
      </w:pPr>
      <w:r w:rsidRPr="00DA4708">
        <w:rPr>
          <w:color w:val="000000" w:themeColor="text1"/>
        </w:rPr>
        <w:t xml:space="preserve">Cable snaring is the predominant form of hunting across large areas of sub-Saharan Africa </w:t>
      </w:r>
      <w:r w:rsidR="00D411FF">
        <w:rPr>
          <w:color w:val="000000" w:themeColor="text1"/>
        </w:rPr>
        <w:fldChar w:fldCharType="begin" w:fldLock="1"/>
      </w:r>
      <w:r w:rsidR="00B2630D">
        <w:rPr>
          <w:color w:val="000000" w:themeColor="text1"/>
        </w:rPr>
        <w:instrText>ADDIN CSL_CITATION {"citationItems":[{"id":"ITEM-1","itemData":{"DOI":"10.1111/j.1523-1739.1998.96027.x","ISSN":"08888892","author":[{"dropping-particle":"","family":"Noss","given":"Andrew J.","non-dropping-particle":"","parse-names":false,"suffix":""}],"container-title":"Conservation Biology","id":"ITEM-1","issue":"2","issued":{"date-parts":[["1998","7","7"]]},"page":"390-398","title":"The impacts of cable snare hunting on wildlife populations in the forests of the Central African Republic","type":"article-journal","volume":"12"},"uris":["http://www.mendeley.com/documents/?uuid=16208071-be57-4c41-9457-c8f1a7b465a8"]},{"id":"ITEM-2","itemData":{"DOI":"10.1371/journal.pone.0072807","author":[{"dropping-particle":"","family":"Schulte-Herbrüggen","given":"Björn","non-dropping-particle":"","parse-names":false,"suffix":""},{"dropping-particle":"","family":"Cowlishaw","given":"Guy","non-dropping-particle":"","parse-names":false,"suffix":""},{"dropping-particle":"","family":"Homewood","given":"Katherine","non-dropping-particle":"","parse-names":false,"suffix":""},{"dropping-particle":"","family":"Rowcliffe","given":"J Marcus","non-dropping-particle":"","parse-names":false,"suffix":""}],"container-title":"PLoS ONE","id":"ITEM-2","issue":"8","issued":{"date-parts":[["2013"]]},"page":"e72807","title":"The importance of bushmeat in the livelihoods of West African cash-crop farmers living in a faunally-depleted landscape","type":"article-journal","volume":"8"},"uris":["http://www.mendeley.com/documents/?uuid=ae2032d7-1b3b-4287-8673-e7d0ae355117"]},{"id":"ITEM-3","itemData":{"author":[{"dropping-particle":"","family":"Yasuoka","given":"Hirokazu","non-dropping-particle":"","parse-names":false,"suffix":""}],"container-title":"African Study Monographs","id":"ITEM-3","issued":{"date-parts":[["2014"]]},"page":"115-136","title":"Snare hunting among Baka hunter-gatherers: implications for sustainable wildlife management","type":"article-journal","volume":"49"},"uris":["http://www.mendeley.com/documents/?uuid=ae2be8fe-2c48-4698-b37f-d859fb913d65"]},{"id":"ITEM-4","itemData":{"abstract":"Hunting is a main threat for wildlife conservation in Central Africa, but remains an essential component of local people's livelihoods. Research suggests that hunters engage in hunting in different ways, especially according to various technical means, which might potentially have differentiated impacts on wildlife. Using quantitative data collected over a 12 months period, we analyse different hunter's profiles among the Baka of Southeastern Camer-oon, and compare socioeconomic and hunting offtake data across profiles. We monitored 719 hunting events, recording 579 catches (belonging to 32 species). Most Baka hunters engage in snare trapping, a relatively low-efficiency hunting technique, while a reduced number of Baka hunters use firearms. Firearm users obtain the highest offtake and sell most of it. This study therefore suggests the emergence of specialized hunters in shotgun hunting with a higher integration in market economy. Disentangling the effects of hunting techniques and their relations to socioeconomic status might help design wildlife management strategies that take into consideration the diversity and the complexity of practices among local populations.","author":[{"dropping-particle":"","family":"Duda","given":"Romain","non-dropping-particle":"","parse-names":false,"suffix":""},{"dropping-particle":"","family":"Gallois","given":"Sandrine","non-dropping-particle":"","parse-names":false,"suffix":""},{"dropping-particle":"","family":"Reyes-Garcia","given":"Victoria","non-dropping-particle":"","parse-names":false,"suffix":""}],"container-title":"African Study Monographs","id":"ITEM-4","issue":"2","issued":{"date-parts":[["2017"]]},"page":"97-118","title":"Hunting techniques, wildlife offtake and market integration. A perspective from individual variations among the Baka (Cameroon)","type":"article-journal","volume":"38"},"uris":["http://www.mendeley.com/documents/?uuid=4702c616-98b0-4f78-9f7d-cabd0cf39cc6"]},{"id":"ITEM-5","itemData":{"DOI":"10.1111/cobi.12012","ISBN":"1523-1739","ISSN":"08888892","PMID":"23369059","abstract":"Despite widespread recognition of the major threat to tropical forest biological diversity and local food security posed by unsustainable bushmeat hunting, virtually no long-term studies tracking the socioecological dynamics of hunting systems have been conducted. We interviewed local hunters and collected detailed hunting data to investigate changes in offtake and hunter characteristics over 10 years (2001-2010) in Dibouka and Kouagna villages, central Gabon, in the context of hunter recollections of longer term trends since the 1950s. To control for changes in hunter behavior, such as trap location and characteristics, we report hunting offtake data per trap. Our results suggest the hunting area was already highly depleted by 2001; local hunters reported that 16 large-bodied prey species had become rare or locally extirpated over the last 60 years. Overall, we observed no significant declines in hunting offtake or changes in species composition from 2001 to 2010, and offtakes per trap increased slightly between 2004 and 2010. However, trapping distance from the villages increased, and there was a switch in hunting techniques; a larger proportion of the catch was hunted with guns in 2010. The number of hunters declined by 20% from 2004 to 2010, and male livelihood activities shifted away from hunting. Hunters with the lowest hunting incomes in 2004 were more likely than successful hunters to have moved away from the village by 2010 (often in response to alternative employment opportunities). Therefore, changes in trap success (potentially related to biological factors) were interacting with system-level changes in hunter number and composition (related to external socioeconomic factors) to produce a relatively static overall offtake. Our results highlight the importance of understanding the small-scale context of hunting to correctly interpret changes or apparent stasis in hunting effort and offtake over time.","author":[{"dropping-particle":"","family":"Coad","given":"L.","non-dropping-particle":"","parse-names":false,"suffix":""},{"dropping-particle":"","family":"Schleicher","given":"J.","non-dropping-particle":"","parse-names":false,"suffix":""},{"dropping-particle":"","family":"Milner-Gulland","given":"E. J.","non-dropping-particle":"","parse-names":false,"suffix":""},{"dropping-particle":"","family":"Marthews","given":"T. R.","non-dropping-particle":"","parse-names":false,"suffix":""},{"dropping-particle":"","family":"Starkey","given":"M.","non-dropping-particle":"","parse-names":false,"suffix":""},{"dropping-particle":"","family":"Manica","given":"A.","non-dropping-particle":"","parse-names":false,"suffix":""},{"dropping-particle":"","family":"Balmford","given":"A.","non-dropping-particle":"","parse-names":false,"suffix":""},{"dropping-particle":"","family":"Mbombe","given":"W.","non-dropping-particle":"","parse-names":false,"suffix":""},{"dropping-particle":"","family":"Diop Bineni","given":"T. R.","non-dropping-particle":"","parse-names":false,"suffix":""},{"dropping-particle":"","family":"Abernethy","given":"K. A.","non-dropping-particle":"","parse-names":false,"suffix":""}],"container-title":"Conservation Biology","id":"ITEM-5","issue":"2","issued":{"date-parts":[["2013"]]},"page":"270-280","title":"Social and ecological change over a decade in a village hunting system, Central Gabon","type":"article-journal","volume":"27"},"uris":["http://www.mendeley.com/documents/?uuid=2487128a-cfb3-488a-90a8-01aebd4969c4"]},{"id":"ITEM-6","itemData":{"abstract":"Bushmeat hunting is thought to be becoming increasingly unsustainable in west and central Africa, but true assessment of sustainability, and consequently appropriate management, is constrained by poor understanding of cause and effect. This cross-disciplinary study considers the complex and dynamic interactions between market, hunter and prey along an entire bushmeat chain in continental Equatorial Guinea, thus enabling evaluation of the sustainability of the system under different policy scenarios. Fieldwork was undertaken over a period of 18 months from 2002-2004. Market surveys and consumer interviews in Bata, the regional capital, were used to evaluate the determinants of urban bushmeat consumption: people preferred fresh meat and fish, including bushmeat, but tended to consume cheaper frozen foods more often. Bushmeat consumption increased with income. 1607 household and 72 hunter interviews were conducted in the village of Sendje, gateway to the forested Monte Alén National Park and major source of bushmeat to Bata. Men hunt for income because there are few other livelihood options. A village offtake survey estimated over 10,000 animals hunted per year (90% by trapping), hunted using a long-term rotation of camps up to 30 km from the village. Hunter behaviour, prey choice and animal encounter rates were recorded during 77 trapper and 48 gun-hunter follows. Trapping is currently preferred to gunhunting due to lower costs and relatively high returns. However, as the availability and affordability of guns and cartridges increases, and trapping success decreases, hunters are switching to shooting arboreal prey. Population densities of key primate prey species were estimated in two sites with differing gun-hunting histories, using 408 km of line transects. Whereas some of the guenon monkey species were still numerous in the heavily hunted village site, the absence of Colobus satanus suggests they are more vulnerable to hunting pressure. Extremely high densities of Colobus satanus were found inside the park, suggesting it should be an urgent conservation priority. The current oil boom in Equatorial Guinea is increasing urban wealth and subsequent demand for bushmeat. In the absence of alternative foods and rural livelihoods, and proper enforcement of protected areas, people will continue to hunt for the commercial bushmeat trade until many vulnerable species become at least locally extinct.","author":[{"dropping-particle":"","family":"Kümpel","given":"Noëlle Francesca","non-dropping-particle":"","parse-names":false,"suffix":""}],"id":"ITEM-6","issued":{"date-parts":[["2006"]]},"number-of-pages":"247","publisher":"PhD Thesis, Imperial College London, UK","publisher-place":"PhD Thesis, Imperial College London, UK","title":"Incentives for sustainable hunting of bushmeat in Río Muni, Equatorial Guinea","type":"book"},"uris":["http://www.mendeley.com/documents/?uuid=788befdd-0bff-48ba-8bc7-4515dc3b1e67"]}],"mendeley":{"formattedCitation":"(Noss 1998; Kümpel 2006; Coad et al. 2013; Schulte-Herbrüggen et al. 2013; Yasuoka 2014; Duda et al. 2017)","plainTextFormattedCitation":"(Noss 1998; Kümpel 2006; Coad et al. 2013; Schulte-Herbrüggen et al. 2013; Yasuoka 2014; Duda et al. 2017)","previouslyFormattedCitation":"(Noss 1998; Kümpel 2006; Coad et al. 2013; Schulte-Herbrüggen et al. 2013; Yasuoka 2014; Duda et al. 2017)"},"properties":{"noteIndex":0},"schema":"https://github.com/citation-style-language/schema/raw/master/csl-citation.json"}</w:instrText>
      </w:r>
      <w:r w:rsidR="00D411FF">
        <w:rPr>
          <w:color w:val="000000" w:themeColor="text1"/>
        </w:rPr>
        <w:fldChar w:fldCharType="separate"/>
      </w:r>
      <w:r w:rsidR="00A11C8C" w:rsidRPr="00A11C8C">
        <w:rPr>
          <w:noProof/>
          <w:color w:val="000000" w:themeColor="text1"/>
        </w:rPr>
        <w:t>(Noss 1998; Kümpel 2006; Coad et al. 2013; Schulte-Herbrüggen et al. 2013; Yasuoka 2014; Duda et al. 2017)</w:t>
      </w:r>
      <w:r w:rsidR="00D411FF">
        <w:rPr>
          <w:color w:val="000000" w:themeColor="text1"/>
        </w:rPr>
        <w:fldChar w:fldCharType="end"/>
      </w:r>
      <w:r w:rsidRPr="00DA4708">
        <w:rPr>
          <w:color w:val="000000" w:themeColor="text1"/>
        </w:rPr>
        <w:t xml:space="preserve"> and S</w:t>
      </w:r>
      <w:r w:rsidR="00966B69" w:rsidRPr="00DA4708">
        <w:rPr>
          <w:color w:val="000000" w:themeColor="text1"/>
        </w:rPr>
        <w:t>outh-E</w:t>
      </w:r>
      <w:r w:rsidRPr="00DA4708">
        <w:rPr>
          <w:color w:val="000000" w:themeColor="text1"/>
        </w:rPr>
        <w:t xml:space="preserve">ast Asia </w:t>
      </w:r>
      <w:r w:rsidR="00C0582B">
        <w:rPr>
          <w:color w:val="000000" w:themeColor="text1"/>
        </w:rPr>
        <w:fldChar w:fldCharType="begin" w:fldLock="1"/>
      </w:r>
      <w:r w:rsidR="00C0582B">
        <w:rPr>
          <w:color w:val="000000" w:themeColor="text1"/>
        </w:rPr>
        <w:instrText>ADDIN CSL_CITATION {"citationItems":[{"id":"ITEM-1","itemData":{"DOI":"10.1111/cobi.12785","ISBN":"9788578110796","ISSN":"15231739","PMID":"25246403","abstract":"Although deforestation and forest degradation have long been considered the most significant threats to tropical biodiversity, across Southeast Asia (Northeast India, Indochina, Sundaland, Philippines) substantial areas of natural habitat have few wild animals (&gt;1 kg), bar a few hunting-tolerant species. To document hunting impacts on vertebrate populations regionally,we conducted an extensive literature review, including papers in local journals and reports of governmental and nongovernmental agencies. Evidence from multiple sites indicated animal populations declined precipitously across the region since approximately 1980, and many species are now extirpated from substantial portions of their former ranges. Hunting is by far the greatest immediate threat to the survival of most of the region’s endangered vertebrates. Causes of recent overhunting include improved access to forests and markets, improved hunting technology, and escalating demand for wildmeat, wildlife-derived medicinal products, and wild animals as pets. Although hunters often take common species, such as pigs or rats, for their own consumption, they take rarer species opportunistically and sell surplus meat and commercially valuable products. There is also widespread targeted hunting of high-value species. Consequently, as currently practiced, hunting cannot be considered sustainable anywhere in the region, and in most places enforcement of protected-area and protected-species legislation is weak. The international community’s focus on cross-border trade fails to address overexploitation of wildlife because hunting and the sale of wildmeat is largely a local issue and most of the harvest is consumed in villages, rural towns, and nearby cities. In addition to improved enforcement, efforts to engage hunters and manage wildlife populations through sustainable hunting practices are urgently needed. Unless there is a step change in efforts to reduce wildlife exploitation to sustainable levels, the region will likely lose most of its iconic species, and many others besides, within the next few years. Keywords:","author":[{"dropping-particle":"","family":"Harrison","given":"Rhett D.","non-dropping-particle":"","parse-names":false,"suffix":""},{"dropping-particle":"","family":"Sreekar","given":"Rachakonda","non-dropping-particle":"","parse-names":false,"suffix":""},{"dropping-particle":"","family":"Brodie","given":"Jedediah F.","non-dropping-particle":"","parse-names":false,"suffix":""},{"dropping-particle":"","family":"Brook","given":"Sarah","non-dropping-particle":"","parse-names":false,"suffix":""},{"dropping-particle":"","family":"Luskin","given":"Matthew","non-dropping-particle":"","parse-names":false,"suffix":""},{"dropping-particle":"","family":"O'Kelly","given":"Hannah","non-dropping-particle":"","parse-names":false,"suffix":""},{"dropping-particle":"","family":"Rao","given":"Madhu","non-dropping-particle":"","parse-names":false,"suffix":""},{"dropping-particle":"","family":"Scheffers","given":"Brett","non-dropping-particle":"","parse-names":false,"suffix":""},{"dropping-particle":"","family":"Velho","given":"Nandini","non-dropping-particle":"","parse-names":false,"suffix":""}],"container-title":"Conservation Biology","id":"ITEM-1","issue":"5","issued":{"date-parts":[["2016"]]},"page":"972-981","title":"Impacts of hunting on tropical forests in Southeast Asia","type":"article-journal","volume":"30"},"uris":["http://www.mendeley.com/documents/?uuid=9156a739-3962-4575-aeb8-3bbb3e13bd98"]},{"id":"ITEM-2","itemData":{"DOI":"10.1126/science.aal4811","ISSN":"10959203","author":[{"dropping-particle":"","family":"Gray","given":"T N E","non-dropping-particle":"","parse-names":false,"suffix":""},{"dropping-particle":"","family":"Lynam","given":"A J","non-dropping-particle":"","parse-names":false,"suffix":""},{"dropping-particle":"","family":"Seng","given":"T","non-dropping-particle":"","parse-names":false,"suffix":""},{"dropping-particle":"","family":"Laurance","given":"W F","non-dropping-particle":"","parse-names":false,"suffix":""},{"dropping-particle":"","family":"Long","given":"B","non-dropping-particle":"","parse-names":false,"suffix":""},{"dropping-particle":"","family":"Scotson","given":"L","non-dropping-particle":"","parse-names":false,"suffix":""},{"dropping-particle":"","family":"Ripple","given":"W J","non-dropping-particle":"","parse-names":false,"suffix":""}],"container-title":"Science","id":"ITEM-2","issue":"6322","issued":{"date-parts":[["2017"]]},"page":"255-256","title":"Wildlife-snaring crisis in Asian forests","type":"article-journal","volume":"355"},"uris":["http://www.mendeley.com/documents/?uuid=388dd6ff-56b1-484e-abca-e0711c34f539"]},{"id":"ITEM-3","itemData":{"DOI":"10.1007/s10531-017-1450-5","ISBN":"0671631985","ISSN":"15729710","PMID":"27489955","abstract":"© 2017 Springer Science+Business Media B.V. Southeast Asia, a region supporting more threatened species than any other comparable continental area, is in the midst of a conservation crisis. Hunting constitutes the greatest current threat to the region’s threatened vertebrates and has resulted in many areas of largely intact forest losing much of their former vertebrate diversity and abundance. Though numerous hunting methods are used, capture with home-made snares is a major driver of this defaunation. Snares are cheaply constructed and easy to set but can be difficult to detect and are highly damaging to vertebrate populations due to their indiscriminate and wasteful nature. The primary response to snaring is the removal of snares by patrol teams: more than 200,000 snares were removed from just five of the region’s protected areas between 2010 and 2015. However due to the low opportunity costs of replacing snares, removal alone is largely ineffective. Without the proactive search, arrest and prosecution of snare-setters, along wi th incentives not to hunt, snares will continue to be replaced. Legislative reform that criminalises the possession of snares, and the materials used for their construction, inside and immediately adjacent to protected areas is also required. Consistent enforcement of such legislation is essential. This must be combined with longer-term demand reduction activities aimed at changing cultural attitudes and behaviors related to the consumption of wildlife products in Southeast Asia.","author":[{"dropping-particle":"","family":"Gray","given":"Thomas N.E.","non-dropping-particle":"","parse-names":false,"suffix":""},{"dropping-particle":"","family":"Hughes","given":"Alice C.","non-dropping-particle":"","parse-names":false,"suffix":""},{"dropping-particle":"","family":"Laurance","given":"William F.","non-dropping-particle":"","parse-names":false,"suffix":""},{"dropping-particle":"","family":"Long","given":"Barney","non-dropping-particle":"","parse-names":false,"suffix":""},{"dropping-particle":"","family":"Lynam","given":"Anthony J.","non-dropping-particle":"","parse-names":false,"suffix":""},{"dropping-particle":"","family":"O’Kelly","given":"Hannah","non-dropping-particle":"","parse-names":false,"suffix":""},{"dropping-particle":"","family":"Ripple","given":"William J.","non-dropping-particle":"","parse-names":false,"suffix":""},{"dropping-particle":"","family":"Seng","given":"Teak","non-dropping-particle":"","parse-names":false,"suffix":""},{"dropping-particle":"","family":"Scotson","given":"Lorraine","non-dropping-particle":"","parse-names":false,"suffix":""},{"dropping-particle":"","family":"Wilkinson","given":"Nicholas M.","non-dropping-particle":"","parse-names":false,"suffix":""}],"container-title":"Biodiversity and Conservation","id":"ITEM-3","issue":"4","issued":{"date-parts":[["2018"]]},"page":"1031-1037","publisher":"Springer Netherlands","title":"The wildlife snaring crisis: an insidious and pervasive threat to biodiversity in Southeast Asia","type":"article-journal","volume":"27"},"uris":["http://www.mendeley.com/documents/?uuid=8eb5b9e1-21e5-48e5-8e45-0fa7d9ac5571"]}],"mendeley":{"formattedCitation":"(Harrison et al. 2016; Gray et al. 2017, 2018)","plainTextFormattedCitation":"(Harrison et al. 2016; Gray et al. 2017, 2018)","previouslyFormattedCitation":"(Harrison et al. 2016; Gray et al. 2017, 2018)"},"properties":{"noteIndex":0},"schema":"https://github.com/citation-style-language/schema/raw/master/csl-citation.json"}</w:instrText>
      </w:r>
      <w:r w:rsidR="00C0582B">
        <w:rPr>
          <w:color w:val="000000" w:themeColor="text1"/>
        </w:rPr>
        <w:fldChar w:fldCharType="separate"/>
      </w:r>
      <w:r w:rsidR="00C0582B" w:rsidRPr="00A93213">
        <w:rPr>
          <w:noProof/>
          <w:color w:val="000000" w:themeColor="text1"/>
        </w:rPr>
        <w:t>(Harrison et al. 2016; Gray et al. 2017, 2018)</w:t>
      </w:r>
      <w:r w:rsidR="00C0582B">
        <w:rPr>
          <w:color w:val="000000" w:themeColor="text1"/>
        </w:rPr>
        <w:fldChar w:fldCharType="end"/>
      </w:r>
      <w:r w:rsidRPr="00DA4708">
        <w:rPr>
          <w:color w:val="000000" w:themeColor="text1"/>
        </w:rPr>
        <w:t xml:space="preserve">, but used </w:t>
      </w:r>
      <w:r w:rsidR="00C63397">
        <w:rPr>
          <w:color w:val="000000" w:themeColor="text1"/>
        </w:rPr>
        <w:t>less frequently</w:t>
      </w:r>
      <w:r w:rsidRPr="00DA4708">
        <w:rPr>
          <w:color w:val="000000" w:themeColor="text1"/>
        </w:rPr>
        <w:t xml:space="preserve"> in Amazonian forests, likely due to the higher proportion of arboreal species </w:t>
      </w:r>
      <w:r w:rsidR="007A4F42">
        <w:rPr>
          <w:color w:val="000000" w:themeColor="text1"/>
        </w:rPr>
        <w:fldChar w:fldCharType="begin" w:fldLock="1"/>
      </w:r>
      <w:r w:rsidR="004F520E">
        <w:rPr>
          <w:color w:val="000000" w:themeColor="text1"/>
        </w:rPr>
        <w:instrText>ADDIN CSL_CITATION {"citationItems":[{"id":"ITEM-1","itemData":{"DOI":"10.2981/wlb.00095","ISBN":"9781424493111","ISSN":"0909-6396","abstract":"A variety of Amazonian mammals serve as sources of food for its human inhabitants, but hunting can have a strong negative impact on them. Diversity, abundance, biomass, and average group size of medium-sized and large mammals are compared across two forest areas of the northern Amazon: the Viruá National Park (protected) and the Novo Paraíso settlement (a human settlement where hunting is permitted). Hunting pressure was also characterized in Novo Paraíso. A total of 33 mammal species were recorded. There were no significant differences in the sighting rates, relative abundance and biomass, and mammal group sizes between the two areas, although the totals of all these variables were higher in Viruá due to the higher abundance of Tayassu pecari, which was not recorded at Novo Paraíso. It is suggested that T. pecari may be on the verge of local extinction, as it was the most hunted species in the settlement area. Through interviews with 50 hunters, we estimate that 541 mammals of 20 species were hunted during the study year, resulting in an estimated biomass take of 8517 kg. While the hunting intensity in Novo Paraíso may be sustainable in the short term, the reported decline of hunting efficiency, combined with the extirpation of T. pecari, suggests that mammal abundance may decline there in the near future. In the study year, 849 hunts were carried out in a hunting effort of 4575 hours, with a maximum distance travelled of 5.4 km. There was an average of 4.82 consumers for each hunt, and a per capita harvest rate of 2.24 individuals/consumer year. Hunting was not only for subsistence, but also for retaliation, although some species may not be hunted due to cultural taboos. The need for quantification of harvesting rates to maintain hunting at sustainable levels is highlighted.","author":[{"dropping-particle":"","family":"Renan de Andrade Melo","given":"Éverton","non-dropping-particle":"","parse-names":false,"suffix":""},{"dropping-particle":"","family":"Gadelha","given":"José Ramon","non-dropping-particle":"","parse-names":false,"suffix":""},{"dropping-particle":"da","family":"Silva","given":"Maria de Nazaré Domingos","non-dropping-particle":"","parse-names":false,"suffix":""},{"dropping-particle":"","family":"Júnior","given":"Antonio Paulo da Silva","non-dropping-particle":"","parse-names":false,"suffix":""},{"dropping-particle":"","family":"Pontes","given":"Antonio Rossano Mendes","non-dropping-particle":"","parse-names":false,"suffix":""}],"container-title":"Wildlife Biology","id":"ITEM-1","issue":"5","issued":{"date-parts":[["2015"]]},"page":"234-245","title":"Diversity, abundance and the impact of hunting on large mammals in two contrasting forest sites in northern amazon","type":"article-journal","volume":"21"},"uris":["http://www.mendeley.com/documents/?uuid=94236085-3c93-4f6f-a3a8-cc0e4f1c6f2a"]},{"id":"ITEM-2","itemData":{"DOI":"10.1186/1746-4269-5-12","ISBN":"1746-4269 (Electronic)\\r1746-4269 (Linking)","ISSN":"17464269","PMID":"19386121","abstract":"Hunting for wild animals is stimulated by the many different human uses of faunal resources, and these animals constitute important subsistence items in local communities in the Caatinga region. In order to gain access to these resources, hunters have developed a series of techniques and strategies that are described in the present work. The principal hunting techniques encountered were: waiting, especially directed towards hunting diurnal birds; calling (\"arremedo\"), a technique in which the hunters imitate the animal's call to attract it to close range; hunting with dogs, a technique mostly used for capturing mammals; tracking, a technique used by only a few hunters who can recognize and follow animal tracks; and \"facheado\", in which the hunters go out at night with lanterns to catch birds in their nests. Additionally, many animal species are captured using mechanical traps. The types of traps used by the interviewees were: dead-fall traps (\"quixó\"), iron-jaw snap traps (\"arataca\"), wooden cages with bait (\"arapuca\"), iron-cage traps (\"gaiola'), \"visgo\", multi-compartment bird cages (\"alçapão\"), buried ground traps with pivoted tops (\"fojo\"), and nooses and cages for carnivorous. The choice of which technique to use depends on the habits of the species being hunted, indicating that the hunters possess a wide knowledge of the biology of these animals. From a conservation perspective, active hunting techniques (waiting, imitation, hunting with dogs, and \"facheado\") have the greatest impact on the local fauna. The use of firearm and dogs brought greater efficiency to hunting activities. Additional studies concerning these hunting activities will be useful to contribute to proposals for management plans regulating hunting in the region – with the objective of attaining sustainable use of faunal resources of great importance to the local human communities.","author":[{"dropping-particle":"","family":"Alves","given":"Rômulo R.N.","non-dropping-particle":"","parse-names":false,"suffix":""},{"dropping-particle":"","family":"Mendonça","given":"Lívia E.T.","non-dropping-particle":"","parse-names":false,"suffix":""},{"dropping-particle":"","family":"Confessor","given":"Maine V.A.","non-dropping-particle":"","parse-names":false,"suffix":""},{"dropping-particle":"","family":"Vieira","given":"Washington L.S.","non-dropping-particle":"","parse-names":false,"suffix":""},{"dropping-particle":"","family":"Lopez","given":"Luiz C.S.","non-dropping-particle":"","parse-names":false,"suffix":""}],"container-title":"Journal of Ethnobiology and Ethnomedicine","id":"ITEM-2","issued":{"date-parts":[["2009"]]},"page":"1-16","title":"Hunting strategies used in the semi-arid region of northeastern Brazil","type":"article-journal","volume":"5"},"uris":["http://www.mendeley.com/documents/?uuid=456e7e59-8eb2-4d10-93bc-d929823e8f51"]},{"id":"ITEM-3","itemData":{"DOI":"10.1111/j.1365-2907.2009.00149.x","ISBN":"0305-1838","ISSN":"13652907","abstract":"Available information on the consumption of wild meat in West and Central Africa is reviewed. We show that mammals are the prime source of bushmeat, and that ungulates and rodents make up the highest proportion of biomass extracted. We present data on current knowledge of extraction patterns of wild mammals in West and Central Africa, and evidence that at current off-take levels, within the range states, mammals as bushmeat are being depleted on an unprecedented scale. Extraction rates are orders of magnitude higher there than in comparable ecosystems like the Amazon, and much less likely t</w:instrText>
      </w:r>
      <w:r w:rsidR="004F520E" w:rsidRPr="00DF57F3">
        <w:rPr>
          <w:color w:val="000000" w:themeColor="text1"/>
          <w:lang w:val="fr-FR"/>
        </w:rPr>
        <w:instrText>o be sustainable. However, basic knowledge of the biology of harvestable tropical moist forest mammals, and the consequences of hunting on mammalian communities, which permits accurate estimation of maximal production rate (the excess of growth over replacement rate), is largely unavailable, and this hinders estimation of hunting quotas and sustainability. Comparisons are made with the existing information available on Amazon basin mammals and hunting patterns reported there.","author":[{"dropping-particle":"","family":"Fa","given":"John E.","non-dropping-particle":"","parse-names":false,"suffix":""},{"dropping-particle":"","family":"Brown","given":"David","non-dropping-particle":"","parse-names":false,"suffix":""}],"container-title":"Mammal Review","id":"ITEM-3","issue":"4","issued":{"date-parts":[["2009"]]},"page":"231-264","title":"Impacts of hunting on mammals in African tropical moist forests: a review and synthesis","type":"article-journal","volume":"39"},"uris":["http://www.mendeley.com/documents/?uuid=fa2ec957-0355-4f82-b4c3-5602496006e3"]}],"mendeley":{"formattedCitation":"(Alves et al. 2009; Fa &amp; Brown 2009; Renan de Andrade Melo et al. 2015)","plainTextFormattedCitation":"(Alves et al. 2009; Fa &amp; Brown 2009; Renan de Andrade Melo et al. 2015)","previouslyFormattedCitation":"(Alves et al. 2009; Fa &amp; Brown 2009; Renan de Andrade Melo et al. 2015)"},"properties":{"noteIndex":0},"schema":"https://github.com/citation-style-language/schema/raw/master/csl-citation.json"}</w:instrText>
      </w:r>
      <w:r w:rsidR="007A4F42">
        <w:rPr>
          <w:color w:val="000000" w:themeColor="text1"/>
        </w:rPr>
        <w:fldChar w:fldCharType="separate"/>
      </w:r>
      <w:r w:rsidR="007A4F42" w:rsidRPr="00DF57F3">
        <w:rPr>
          <w:noProof/>
          <w:color w:val="000000" w:themeColor="text1"/>
          <w:lang w:val="fr-FR"/>
        </w:rPr>
        <w:t>(Alves et al. 2009; Fa &amp; Brown 2009; Renan de Andrade Melo et al. 2015)</w:t>
      </w:r>
      <w:r w:rsidR="007A4F42">
        <w:rPr>
          <w:color w:val="000000" w:themeColor="text1"/>
        </w:rPr>
        <w:fldChar w:fldCharType="end"/>
      </w:r>
      <w:r w:rsidRPr="00DF57F3">
        <w:rPr>
          <w:color w:val="000000" w:themeColor="text1"/>
          <w:lang w:val="fr-FR"/>
        </w:rPr>
        <w:t xml:space="preserve">. </w:t>
      </w:r>
      <w:r w:rsidRPr="00DA4708">
        <w:rPr>
          <w:color w:val="000000" w:themeColor="text1"/>
        </w:rPr>
        <w:t xml:space="preserve">Cable snaring is generally illegal, </w:t>
      </w:r>
      <w:r w:rsidR="00E654CD" w:rsidRPr="00DA4708">
        <w:rPr>
          <w:color w:val="000000" w:themeColor="text1"/>
        </w:rPr>
        <w:t>as snares</w:t>
      </w:r>
      <w:r w:rsidR="00EA237B" w:rsidRPr="00DA4708">
        <w:rPr>
          <w:color w:val="000000" w:themeColor="text1"/>
        </w:rPr>
        <w:t xml:space="preserve"> can trap and injure a wide range of mammal, bird, and reptile species—ranging in size from rodents to elephants. </w:t>
      </w:r>
      <w:r w:rsidR="00E654CD" w:rsidRPr="00DA4708">
        <w:rPr>
          <w:color w:val="000000" w:themeColor="text1"/>
        </w:rPr>
        <w:t>However,</w:t>
      </w:r>
      <w:r w:rsidRPr="00DA4708">
        <w:rPr>
          <w:color w:val="000000" w:themeColor="text1"/>
        </w:rPr>
        <w:t xml:space="preserve"> law enforcement </w:t>
      </w:r>
      <w:r w:rsidR="00E654CD" w:rsidRPr="00DA4708">
        <w:rPr>
          <w:color w:val="000000" w:themeColor="text1"/>
        </w:rPr>
        <w:t xml:space="preserve">effort </w:t>
      </w:r>
      <w:r w:rsidRPr="00DA4708">
        <w:rPr>
          <w:color w:val="000000" w:themeColor="text1"/>
        </w:rPr>
        <w:t xml:space="preserve">is highly variable </w:t>
      </w:r>
      <w:r w:rsidR="008F13AA">
        <w:rPr>
          <w:color w:val="000000" w:themeColor="text1"/>
        </w:rPr>
        <w:fldChar w:fldCharType="begin" w:fldLock="1"/>
      </w:r>
      <w:r w:rsidR="00A11C8C">
        <w:rPr>
          <w:color w:val="000000" w:themeColor="text1"/>
        </w:rPr>
        <w:instrText>ADDIN CSL_CITATION {"citationItems":[{"id":"ITEM-1","itemData":{"author":[{"dropping-particle":"","family":"Santoretto","given":"E","non-dropping-particle":"","parse-names":false,"suffix":""},{"dropping-particle":"","family":"Henriot","given":"C","non-dropping-particle":"","parse-names":false,"suffix":""},{"dropping-particle":"","family":"Bassalang","given":"M.-M.","non-dropping-particle":"","parse-names":false,"suffix":""},{"dropping-particle":"","family":"Nguiffo","given":"S","non-dropping-particle":"","parse-names":false,"suffix":""}],"id":"ITEM-1","issued":{"date-parts":[["2017"]]},"publisher-place":"Food and Agriculture Organization, Rome, Italy","title":"How existing legal frameworks shape forest conversion to agriculture. A study of the Congo Basin. FAO Legal Papers No. 102.","type":"report"},"uris":["http://www.mendeley.com/documents/?uuid=5ae30449-8382-42c4-81a7-962604012867"]}],"mendeley":{"formattedCitation":"(Santoretto et al. 2017)","plainTextFormattedCitation":"(Santoretto et al. 2017)","previouslyFormattedCitation":"(Santoretto et al. 2017)"},"properties":{"noteIndex":0},"schema":"https://github.com/citation-style-language/schema/raw/master/csl-citation.json"}</w:instrText>
      </w:r>
      <w:r w:rsidR="008F13AA">
        <w:rPr>
          <w:color w:val="000000" w:themeColor="text1"/>
        </w:rPr>
        <w:fldChar w:fldCharType="separate"/>
      </w:r>
      <w:r w:rsidR="008F13AA" w:rsidRPr="001D1C67">
        <w:rPr>
          <w:noProof/>
          <w:color w:val="000000" w:themeColor="text1"/>
        </w:rPr>
        <w:t>(Santoretto et al. 2017)</w:t>
      </w:r>
      <w:r w:rsidR="008F13AA">
        <w:rPr>
          <w:color w:val="000000" w:themeColor="text1"/>
        </w:rPr>
        <w:fldChar w:fldCharType="end"/>
      </w:r>
      <w:r w:rsidRPr="00DA4708">
        <w:rPr>
          <w:color w:val="000000" w:themeColor="text1"/>
        </w:rPr>
        <w:t xml:space="preserve">, and </w:t>
      </w:r>
      <w:r w:rsidR="00DA4708">
        <w:rPr>
          <w:color w:val="000000" w:themeColor="text1"/>
        </w:rPr>
        <w:t>it</w:t>
      </w:r>
      <w:r w:rsidRPr="00DA4708">
        <w:rPr>
          <w:color w:val="000000" w:themeColor="text1"/>
        </w:rPr>
        <w:t xml:space="preserve"> more difficult to detect and apprehend</w:t>
      </w:r>
      <w:r w:rsidR="00C86DEF" w:rsidRPr="00DA4708">
        <w:rPr>
          <w:color w:val="000000" w:themeColor="text1"/>
        </w:rPr>
        <w:t xml:space="preserve"> </w:t>
      </w:r>
      <w:r w:rsidR="00DA4708" w:rsidRPr="00DA4708">
        <w:rPr>
          <w:color w:val="000000" w:themeColor="text1"/>
        </w:rPr>
        <w:t xml:space="preserve">hunters that use snares </w:t>
      </w:r>
      <w:r w:rsidRPr="00DA4708">
        <w:rPr>
          <w:color w:val="000000" w:themeColor="text1"/>
        </w:rPr>
        <w:t xml:space="preserve">than </w:t>
      </w:r>
      <w:r w:rsidR="00C86DEF" w:rsidRPr="00DA4708">
        <w:rPr>
          <w:color w:val="000000" w:themeColor="text1"/>
        </w:rPr>
        <w:t xml:space="preserve">for </w:t>
      </w:r>
      <w:r w:rsidRPr="00DA4708">
        <w:rPr>
          <w:color w:val="000000" w:themeColor="text1"/>
        </w:rPr>
        <w:t>other forms of hunting (e.g. gun hunting)</w:t>
      </w:r>
      <w:r w:rsidR="00966B69" w:rsidRPr="00DA4708">
        <w:rPr>
          <w:color w:val="000000" w:themeColor="text1"/>
        </w:rPr>
        <w:t xml:space="preserve">. This is because </w:t>
      </w:r>
      <w:r w:rsidRPr="00DA4708">
        <w:rPr>
          <w:color w:val="000000" w:themeColor="text1"/>
        </w:rPr>
        <w:t>cable can be easily</w:t>
      </w:r>
      <w:r w:rsidR="00966B69" w:rsidRPr="00DA4708">
        <w:rPr>
          <w:color w:val="000000" w:themeColor="text1"/>
        </w:rPr>
        <w:t xml:space="preserve"> and</w:t>
      </w:r>
      <w:r w:rsidRPr="00DA4708">
        <w:rPr>
          <w:color w:val="000000" w:themeColor="text1"/>
        </w:rPr>
        <w:t xml:space="preserve"> legally procured</w:t>
      </w:r>
      <w:r w:rsidR="00C86DEF" w:rsidRPr="00DA4708">
        <w:rPr>
          <w:color w:val="000000" w:themeColor="text1"/>
        </w:rPr>
        <w:t>,</w:t>
      </w:r>
      <w:r w:rsidRPr="00DA4708">
        <w:rPr>
          <w:color w:val="000000" w:themeColor="text1"/>
        </w:rPr>
        <w:t xml:space="preserve"> and snares </w:t>
      </w:r>
      <w:r w:rsidR="00C86DEF" w:rsidRPr="00DA4708">
        <w:rPr>
          <w:color w:val="000000" w:themeColor="text1"/>
        </w:rPr>
        <w:t xml:space="preserve">are </w:t>
      </w:r>
      <w:r w:rsidRPr="00DA4708">
        <w:rPr>
          <w:color w:val="000000" w:themeColor="text1"/>
        </w:rPr>
        <w:t xml:space="preserve">hard to detect and </w:t>
      </w:r>
      <w:r w:rsidR="00C86DEF" w:rsidRPr="00DA4708">
        <w:rPr>
          <w:color w:val="000000" w:themeColor="text1"/>
        </w:rPr>
        <w:t>difficult</w:t>
      </w:r>
      <w:r w:rsidRPr="00DA4708">
        <w:rPr>
          <w:color w:val="000000" w:themeColor="text1"/>
        </w:rPr>
        <w:t xml:space="preserve"> </w:t>
      </w:r>
      <w:r w:rsidR="00C86DEF" w:rsidRPr="00DA4708">
        <w:rPr>
          <w:color w:val="000000" w:themeColor="text1"/>
        </w:rPr>
        <w:t>to trace</w:t>
      </w:r>
      <w:r w:rsidRPr="00DA4708">
        <w:rPr>
          <w:color w:val="000000" w:themeColor="text1"/>
        </w:rPr>
        <w:t xml:space="preserve"> back to an individual hunter. </w:t>
      </w:r>
    </w:p>
    <w:p w14:paraId="293FF548" w14:textId="77777777" w:rsidR="00966B69" w:rsidRDefault="00966B69" w:rsidP="00C258BC">
      <w:pPr>
        <w:spacing w:after="0"/>
        <w:jc w:val="both"/>
        <w:rPr>
          <w:color w:val="000000" w:themeColor="text1"/>
        </w:rPr>
      </w:pPr>
    </w:p>
    <w:p w14:paraId="1F506EA9" w14:textId="64C83ECC" w:rsidR="00B62404" w:rsidRPr="00DA4708" w:rsidRDefault="00430E45" w:rsidP="006C7887">
      <w:pPr>
        <w:jc w:val="both"/>
      </w:pPr>
      <w:r>
        <w:t>P</w:t>
      </w:r>
      <w:r w:rsidR="00A1546D" w:rsidRPr="00DA4708">
        <w:t xml:space="preserve">rojectile weaponry has been the predominant </w:t>
      </w:r>
      <w:r w:rsidR="00EA237B" w:rsidRPr="00DA4708">
        <w:t xml:space="preserve">hunting technology </w:t>
      </w:r>
      <w:r w:rsidR="00A1546D" w:rsidRPr="00DA4708">
        <w:t>in the Amazon</w:t>
      </w:r>
      <w:r w:rsidR="00D228D1" w:rsidRPr="00DA4708">
        <w:t>,</w:t>
      </w:r>
      <w:r w:rsidR="00A1546D" w:rsidRPr="00DA4708">
        <w:t xml:space="preserve"> </w:t>
      </w:r>
      <w:r w:rsidR="000666BC" w:rsidRPr="00DA4708">
        <w:t>reflecting the</w:t>
      </w:r>
      <w:r w:rsidR="00A1546D" w:rsidRPr="00DA4708">
        <w:t xml:space="preserve"> predominance of smaller, arboreal prey in these forests, in contrast to African forests where larger, terrestrial species are more abundant </w:t>
      </w:r>
      <w:r w:rsidR="00D228D1" w:rsidRPr="00DA4708">
        <w:t xml:space="preserve">and easier </w:t>
      </w:r>
      <w:r w:rsidR="00A1546D" w:rsidRPr="00DA4708">
        <w:t>to hunt</w:t>
      </w:r>
      <w:r w:rsidR="000666BC" w:rsidRPr="00DA4708">
        <w:t xml:space="preserve"> with passive methods</w:t>
      </w:r>
      <w:r w:rsidR="00A1546D" w:rsidRPr="00DA4708">
        <w:t xml:space="preserve"> (Fa and Peres, 2001). Basin-wide studies indicate that shotguns are principally used </w:t>
      </w:r>
      <w:r w:rsidR="007509CD" w:rsidRPr="00DA4708">
        <w:t xml:space="preserve">within the Amazon </w:t>
      </w:r>
      <w:r w:rsidR="007509CD" w:rsidRPr="00DA4708">
        <w:lastRenderedPageBreak/>
        <w:t xml:space="preserve">basin </w:t>
      </w:r>
      <w:r w:rsidR="009A4582">
        <w:rPr>
          <w:color w:val="000000" w:themeColor="text1"/>
        </w:rPr>
        <w:fldChar w:fldCharType="begin" w:fldLock="1"/>
      </w:r>
      <w:r w:rsidR="009A4582">
        <w:rPr>
          <w:color w:val="000000" w:themeColor="text1"/>
        </w:rPr>
        <w:instrText>ADDIN CSL_CITATION {"citationItems":[{"id":"ITEM-1","itemData":{"author":[{"dropping-particle":"","family":"Jerozolimski","given":"Adriano","non-dropping-particle":"","parse-names":false,"suffix":""},{"dropping-particle":"","family":"Peres","given":"Carlos A","non-dropping-particle":"","parse-names":false,"suffix":""}],"container-title":"Biological Conservation","id":"ITEM-1","issued":{"date-parts":[["2003"]]},"page":"415-425","title":"Bringing home the biggest bacon: a cross-site analysis of the structure of hunter-kill profiles in Neotropical forests","type":"article-journal","volume":"111"},"uris":["http://www.mendeley.com/documents/?uuid=6bf3a22a-7b0e-4dfb-be28-6ec52b7815da"]},{"id":"ITEM-2","itemData":{"DOI":"10.1186/1746-4269-5-12","ISBN":"1746-4269 (Electronic)\\r1746-4269 (Linking)","ISSN":"17464269","PMID":"19386121","abstract":"Hunting for wild animals is stimulated by the many different human uses of faunal resources, and these animals constitute important subsistence items in local communities in the Caatinga region. In order to gain access to these resources, hunters have developed a series of techniques and strategies that are described in the present work. The principal hunting techniques encountered were: waiting, especially directed towards hunting diurnal birds; calling (\"arremedo\"), a technique in which the hunters imitate the animal's call to attract it to close range; hunting with dogs, a technique mostly used for capturing mammals; tracking, a technique used by only a few hunters who can recognize and follow animal tracks; and \"facheado\", in which the hunters go out at night with lanterns to catch birds in their nests. Additionally, many animal species are captured using mechanical traps. The types of traps used by the interviewees were: dead-fall traps (\"quixó\"), iron-jaw snap traps (\"arataca\"), wooden cages with bait (\"arapuca\"), iron-cage traps (\"gaiola'), \"visgo\", multi-compartment bird cages (\"alçapão\"), buried ground traps with pivoted tops (\"fojo\"), and nooses and cages for carnivorous. The choice of which technique to use depends on the habits of the species being hunted, indicating that the hunters possess a wide knowledge of the biology of these animals. From a conservation perspective, active hunting techniques (waiting, imitation, hunting with dogs, and \"facheado\") have the greatest impact on the local fauna. The use of firearm and dogs brought greater efficiency to hunting activities. Additional studies concerning these hunting activities will be useful to contribute to proposals for management plans regulating hunting in the region – with the objective of attaining sustainable use of faunal resources of great importance to the local human communities.","author":[{"dropping-particle":"","family":"Alves","given":"Rômulo R.N.","non-dropping-particle":"","parse-names":false,"suffix":""},{"dropping-particle":"","family":"Mendonça","given":"Lívia E.T.","non-dropping-particle":"","parse-names":false,"suffix":""},{"dropping-particle":"","family":"Confessor","given":"Maine V.A.","non-dropping-particle":"","parse-names":false,"suffix":""},{"dropping-particle":"","family":"Vieira","given":"Washington L.S.","non-dropping-particle":"","parse-names":false,"suffix":""},{"dropping-particle":"","family":"Lopez","given":"Luiz C.S.","non-dropping-particle":"","parse-names":false,"suffix":""}],"container-title":"Journal of Ethnobiology and Ethnomedicine","id":"ITEM-2","issued":{"date-parts":[["2009"]]},"page":"1-16","title":"Hunting strategies used in the semi-arid region of northeastern Brazil","type":"article-journal","volume":"5"},"uris":["http://www.mendeley.com/documents/?uuid=456e7e59-8eb2-4d10-93bc-d929823e8f51"]}],"mendeley":{"formattedCitation":"(Jerozolimski &amp; Peres 2003; Alves et al. 2009)","plainTextFormattedCitation":"(Jerozolimski &amp; Peres 2003; Alves et al. 2009)","previouslyFormattedCitation":"(Jerozolimski &amp; Peres 2003; Alves et al. 2009)"},"properties":{"noteIndex":0},"schema":"https://github.com/citation-style-language/schema/raw/master/csl-citation.json"}</w:instrText>
      </w:r>
      <w:r w:rsidR="009A4582">
        <w:rPr>
          <w:color w:val="000000" w:themeColor="text1"/>
        </w:rPr>
        <w:fldChar w:fldCharType="separate"/>
      </w:r>
      <w:r w:rsidR="009A4582" w:rsidRPr="001D1C67">
        <w:rPr>
          <w:noProof/>
          <w:color w:val="000000" w:themeColor="text1"/>
        </w:rPr>
        <w:t>(Jerozolimski &amp; Peres 2003; Alves et al. 2009)</w:t>
      </w:r>
      <w:r w:rsidR="009A4582">
        <w:rPr>
          <w:color w:val="000000" w:themeColor="text1"/>
        </w:rPr>
        <w:fldChar w:fldCharType="end"/>
      </w:r>
      <w:r w:rsidR="00EA237B" w:rsidRPr="00DA4708">
        <w:t xml:space="preserve">, and are often the weapon of choice </w:t>
      </w:r>
      <w:r w:rsidR="000666BC" w:rsidRPr="00DA4708">
        <w:t>to target large-bodied species to supply</w:t>
      </w:r>
      <w:r w:rsidR="00EA237B" w:rsidRPr="00DA4708">
        <w:t xml:space="preserve"> the commercial </w:t>
      </w:r>
      <w:r w:rsidR="000666BC" w:rsidRPr="00DA4708">
        <w:t xml:space="preserve">wild meat </w:t>
      </w:r>
      <w:r w:rsidR="00EA237B" w:rsidRPr="00DA4708">
        <w:t xml:space="preserve">trade </w:t>
      </w:r>
      <w:r w:rsidR="000666BC" w:rsidRPr="00DA4708">
        <w:t>in Africa and Asia</w:t>
      </w:r>
      <w:r w:rsidR="00B82BFD">
        <w:t xml:space="preserve"> </w:t>
      </w:r>
      <w:r w:rsidR="00AB268B">
        <w:fldChar w:fldCharType="begin" w:fldLock="1"/>
      </w:r>
      <w:r w:rsidR="00C51889">
        <w:instrText>ADDIN CSL_CITATION {"citationItems":[{"id":"ITEM-1","itemData":{"DOI":"10.1111/j.1523-1739.2010.01525.x","author":[{"dropping-particle":"","family":"Coad","given":"L.","non-dropping-particle":"","parse-names":false,"suffix":""},{"dropping-particle":"","family":"Abernethy","given":"K.A.","non-dropping-particle":"","parse-names":false,"suffix":""},{"dropping-particle":"","family":"Balmford","given":"A.","non-dropping-particle":"","parse-names":false,"suffix":""},{"dropping-particle":"","family":"Manica","given":"A.","non-dropping-particle":"","parse-names":false,"suffix":""},{"dropping-particle":"","family":"Airey","given":"L.","non-dropping-particle":"","parse-names":false,"suffix":""},{"dropping-particle":"","family":"Milner-Gulland","given":"E.J.","non-dropping-particle":"","parse-names":false,"suffix":""}],"container-title":"Conservation Biology","id":"ITEM-1","issued":{"date-parts":[["2010"]]},"page":"1510-1518","title":"Distribution and use of income from bushmeat in a rural village, Central Gabon","type":"article-journal","volume":"24"},"uris":["http://www.mendeley.com/documents/?uuid=1613662d-7cac-4308-b879-4bfff838b077"]},{"id":"ITEM-2","itemData":{"abstract":"Hunting is a main threat for wildlife conservation in Central Africa, but remains an essential component of local people's livelihoods. Research suggests that hunters engage in hunting in different ways, especially according to various technical means, which might potentially have differentiated impacts on wildlife. Using quantitative data collected over a 12 months period, we analyse different hunter's profiles among the Baka of Southeastern Camer-oon, and compare socioeconomic and hunting offtake data across profiles. We monitored 719 hunting events, recording 579 catches (belonging to 32 species). Most Baka hunters engage in snare trapping, a relatively low-efficiency hunting technique, while a reduced number of Baka hunters use firearms. Firearm users obtain the highest offtake and sell most of it. This study therefore suggests the emergence of specialized hunters in shotgun hunting with a higher integration in market economy. Disentangling the effects of hunting techniques and their relations to socioeconomic status might help design wildlife management strategies that take into consideration the diversity and the complexity of practices among local populations.","author":[{"dropping-particle":"","family":"Duda","given":"Romain","non-dropping-particle":"","parse-names":false,"suffix":""},{"dropping-particle":"","family":"Gallois","given":"Sandrine","non-dropping-particle":"","parse-names":false,"suffix":""},{"dropping-particle":"","family":"Reyes-Garcia","given":"Victoria","non-dropping-particle":"","parse-names":false,"suffix":""}],"container-title":"African Study Monographs","id":"ITEM-2","issue":"2","issued":{"date-parts":[["2017"]]},"page":"97-118","title":"Hunting techniques, wildlife offtake and market integration. A perspective from individual variations among the Baka (Cameroon)","type":"article-journal","volume":"38"},"uris":["http://www.mendeley.com/documents/?uuid=4702c616-98b0-4f78-9f7d-cabd0cf39cc6"]},{"id":"ITEM-3","itemData":{"DOI":"10.1007/s10764-008-9254-9","ISBN":"1076400892","ISSN":"0164-0291","author":[{"dropping-particle":"","family":"Kümpel","given":"Noëlle F.","non-dropping-particle":"","parse-names":false,"suffix":""},{"dropping-particle":"","family":"Milner-Gulland","given":"E. J.","non-dropping-particle":"","parse-names":false,"suffix":""},{"dropping-particle":"","family":"Rowcliffe","given":"J. Marcus","non-dropping-particle":"","parse-names":false,"suffix":""},{"dropping-particle":"","family":"Cowlishaw","given":"Guy","non-dropping-particle":"","parse-names":false,"suffix":""}],"container-title":"International Journal of Primatology","id":"ITEM-3","issue":"4","issued":{"date-parts":[["2008","6","11"]]},"page":"1065-1082","title":"Impact of gun-hunting on diurnal primates in continental Equatorial Guinea","type":"article-journal","volume":"29"},"uris":["http://www.mendeley.com/documents/?uuid=f161fc9d-fa81-4792-a669-73480f096c0a"]},{"id":"ITEM-4","itemData":{"author":[{"dropping-particle":"","family":"Lohe","given":"Nutazo","non-dropping-particle":"","parse-names":false,"suffix":""}],"container-title":"Asian Journal of Multidisciplinary Studies","id":"ITEM-4","issue":"8","issued":{"date-parts":[["2014"]]},"page":"184-189","title":"Traditional knowledge system in hunting and trapping methods among the Nagas of northeast India","type":"article-journal","volume":"2"},"uris":["http://www.mendeley.com/documents/?uuid=1461176e-0564-4539-a1e7-626c37718fa0"]},{"id":"ITEM-5","itemData":{"DOI":"10.1007/s10745-013-9606-8","ISBN":"0300-7839","ISSN":"03007839","abstract":"The ongoing expansion of plantation agriculture has changed the ecological, demographic, and social conditions of Southeast Asia's forested areas, yet little is known about hunting practices in these novel landscapes. Using information from 73 in-depth interviews with hunters, agricultural workers and wild meat dealers in the Jambi province of Sumatra, Indonesia, we describe contemporary hunting practices, including how hunting methods, wildlife harvest and consumption rates vary between different indigenous and immigrant ethnic groups. Hunting is now primarily a commercial endeavor for harvesting wild boar (Sus scrofa) meat; over 7500 wild boars were sold in Jambi City alone in 2011. The Muslim majority avoids wild boar for religious reasons, but there is substantial local and export demand driven by Chinese and Christian Batak. We conclude that hunting within oil palm plantations may reduce crop damage from wild boar and also yield large amounts of wild meat with relatively little by-catch of threatened animals. © 2013 Springer Science+Business Media New York.","author":[{"dropping-particle":"","family":"Luskin","given":"M. S.","non-dropping-particle":"","parse-names":false,"suffix":""},{"dropping-particle":"","family":"Christina","given":"E. D.","non-dropping-particle":"","parse-names":false,"suffix":""},{"dropping-particle":"","family":"Kelley","given":"L. C.","non-dropping-particle":"","parse-names":false,"suffix":""},{"dropping-particle":"","family":"Potts","given":"M. D.","non-dropping-particle":"","parse-names":false,"suffix":""}],"container-title":"Human Ecology","id":"ITEM-5","issue":"1","issued":{"date-parts":[["2014"]]},"page":"35-45","title":"Modern hunting practices and wild meat trade in the oil palm plantation-dominated landscapes of Sumatra, Indonesia","type":"article-journal","volume":"42"},"uris":["http://www.mendeley.com/documents/?uuid=8147f6fc-3b56-4895-b558-942586ac716b"]},{"id":"ITEM-6","itemData":{"DOI":"10.1111/cobi.12785","ISBN":"9788578110796","ISSN":"15231739","PMID":"25246403","abstract":"Although deforestation and forest degradation have long been considered the most significant threats to tropical biodiversity, across Southeast Asia (Northeast India, Indochina, Sundaland, Philippines) substantial areas of natural habitat have few wild animals (&gt;1 kg), bar a few hunting-tolerant species. To document hunting impacts on vertebrate populations regionally,we conducted an extensive literature review, including papers in local journals and reports of governmental and nongovernmental agencies. Evidence from multiple sites indicated animal populations declined precipitously across the region since approximately 1980, and many species are now extirpated from substantial portions of their former ranges. Hunting is by far the greatest immediate threat to the survival of most of the region’s endangered vertebrates. Causes of recent overhunting include improved access to forests and markets, improved hunting technology, and escalating demand for wildmeat, wildlife-derived medicinal products, and wild animals as pets. Although hunters often take common species, such as pigs or rats, for their own consumption, they take rarer species opportunistically and sell surplus meat and commercially valuable products. There is also widespread targeted hunting of high-value species. Consequently, as currently practiced, hunting cannot be considered sustainable anywhere in the region, and in most places enforcement of protected-area and protected-species legislation is weak. The international community’s focus on cross-border trade fails to address overexploitation of wildlife because hunting and the sale of wildmeat is largely a local issue and most of the harvest is consumed in villages, rural towns, and nearby cities. In addition to improved enforcement, efforts to engage hunters and manage wildlife populations through sustainable hunting practices are urgently needed. Unless there is a step change in efforts to reduce wildlife exploitation to sustainable levels, the region will likely lose most of its iconic species, and many others besides, within the next few years. Keywords:","author":[{"dropping-particle":"","family":"Harrison","given":"Rhett D.","non-dropping-particle":"","parse-names":false,"suffix":""},{"dropping-particle":"","family":"Sreekar","given":"Rachakonda","non-dropping-particle":"","parse-names":false,"suffix":""},{"dropping-particle":"","family":"Brodie","given":"Jedediah F.","non-dropping-particle":"","parse-names":false,"suffix":""},{"dropping-particle":"","family":"Brook","given":"Sarah","non-dropping-partic</w:instrText>
      </w:r>
      <w:r w:rsidR="00C51889" w:rsidRPr="00DF57F3">
        <w:rPr>
          <w:lang w:val="fr-FR"/>
        </w:rPr>
        <w:instrText>le":"","parse-names":false,"suffix":""},{"dropping-particle":"","family":"Luskin","given":"Matthew","non-dropping-particle":"","parse-names":false,"suffix":""},{"dropping-particle":"","family":"O'Kelly","given":"Hannah","non-dropping-particle":"","parse-names":false,"suffix":""},{"dropping-particle":"","family":"Rao","given":"Madhu","non-dropping-particle":"","parse-names":false,"suffix":""},{"dropping-particle":"","family":"Scheffers","given":"Brett","non-dropping-particle":"","parse-names":false,"suffix":""},{"dropping-particle":"","family":"Velho","given":"Nandini","non-dropping-particle":"","parse-names":false,"suffix":""}],"container-title":"Conservation Biology","id":"ITEM-6","issue":"5","issued":{"date-parts":[["2016"]]},"page":"972-981","title":"Impacts of hunting on tropical forests in Southeast Asia","type":"article-journal","volume":"30"},"uris":["http://www.mendeley.com/documents/?uuid=9156a739-3962-4575-aeb8-3bbb3e13bd98"]}],"mendeley":{"formattedCitation":"(Kümpel et al. 2008; Coad et al. 2010; Lohe 2014; Luskin et al. 2014; Harrison et al. 2016; Duda et al. 2017)","plainTextFormattedCitation":"(Kümpel et al. 2008; Coad et al. 2010; Lohe 2014; Luskin et al. 2014; Harrison et al. 2016; Duda et al. 2017)","previouslyFormattedCitation":"(Kümpel et al. 2008; Coad et al. 2010; Lohe 2014; Luskin et al. 2014; Harrison et al. 2016; Duda et al. 2017)"},"properties":{"noteIndex":0},"schema":"https://github.com/citation-style-language/schema/raw/master/csl-citation.json"}</w:instrText>
      </w:r>
      <w:r w:rsidR="00AB268B">
        <w:fldChar w:fldCharType="separate"/>
      </w:r>
      <w:r w:rsidR="004821B4" w:rsidRPr="00DF57F3">
        <w:rPr>
          <w:noProof/>
          <w:lang w:val="fr-FR"/>
        </w:rPr>
        <w:t>(Kümpel et al. 2008; Coad et al. 2010; Lohe 2014; Luskin et al. 2014; Harrison et al. 2016; Duda et al. 2017)</w:t>
      </w:r>
      <w:r w:rsidR="00AB268B">
        <w:fldChar w:fldCharType="end"/>
      </w:r>
      <w:r w:rsidR="00EA237B" w:rsidRPr="00DF57F3">
        <w:rPr>
          <w:lang w:val="fr-FR"/>
        </w:rPr>
        <w:t xml:space="preserve">. </w:t>
      </w:r>
      <w:r w:rsidR="003634BA" w:rsidRPr="00DA4708">
        <w:t>Although guns and snares remain the most common</w:t>
      </w:r>
      <w:r w:rsidR="000666BC" w:rsidRPr="00DA4708">
        <w:t>ly used</w:t>
      </w:r>
      <w:r w:rsidR="003634BA" w:rsidRPr="00DA4708">
        <w:t xml:space="preserve"> </w:t>
      </w:r>
      <w:r w:rsidR="000666BC" w:rsidRPr="00DA4708">
        <w:t xml:space="preserve">hunting </w:t>
      </w:r>
      <w:r w:rsidR="003634BA" w:rsidRPr="00DA4708">
        <w:t xml:space="preserve">methods, wild animals can be </w:t>
      </w:r>
      <w:r w:rsidR="00027758" w:rsidRPr="00DA4708">
        <w:t>remotely caught</w:t>
      </w:r>
      <w:r w:rsidR="003634BA" w:rsidRPr="00DA4708">
        <w:t xml:space="preserve"> with the aid of </w:t>
      </w:r>
      <w:r w:rsidR="00BB5D53" w:rsidRPr="00DA4708">
        <w:t xml:space="preserve">poison, </w:t>
      </w:r>
      <w:r w:rsidR="003634BA" w:rsidRPr="00DA4708">
        <w:t xml:space="preserve">fire and especially dogs </w:t>
      </w:r>
      <w:r w:rsidR="004F520E">
        <w:fldChar w:fldCharType="begin" w:fldLock="1"/>
      </w:r>
      <w:r w:rsidR="000A4CCA">
        <w:instrText>ADDIN CSL_CITATION {"citationItems":[{"id":"ITEM-1","itemData":{"DOI":"10.1086/592021","ISBN":"0011-3204","ISSN":"0011-3204","abstract":"Although dogs are used by subsistence hunters in many locations throughout the world, hunters with dogs have not been studied from an optimal foraging perspective. A study of indigenous Mayangna and Miskito hunters in Nicaragua indicates that the use of dogs affects both the encounter rates and the pursuit times of several prey types. Before hunters can identify the prey type and initiate a pursuit, they must first catch up to the dogs, and their dogs sometimes chase unprofitable prey types. These costs are incorporated as an additional constraint in the optimal prey choice model. The results of the optimal foraging analysis indicate that hunters generally focus on prey types that are in the optimal diet set. However, hunters do not consume two rarely encountered species that are in the optimal diet set, giant anteaters and northern tamanduas. Although hunting with both rifles and dogs increases the likelihood of harvesting tapirs, the return rates of hunting with dogs, hunting with rifles, and hunting with both guns and dogs are otherwise comparable. This study therefore demonstrates that dogs can be valuable hunting accessories.","author":[{"dropping-particle":"","family":"Koster","given":"Jeremy M.","non-dropping-particle":"","parse-names":false,"suffix":""}],"container-title":"Current Anthropology","id":"ITEM-1","issue":"5","issued":{"date-parts":[["2008"]]},"page":"935-944","title":"Hunting with dogs in Nicaragua: an optimal foraging approach","type":"article-journal","volume":"49"},"uris":["http://www.mendeley.com/documents/?uuid=b2a66670-279d-405b-a57b-5655dc48b793"]}],"mendeley":{"formattedCitation":"(Koster 2008)","plainTextFormattedCitation":"(Koster 2008)","previouslyFormattedCitation":"(Koster 2008)"},"properties":{"noteIndex":0},"schema":"https://github.com/citation-style-language/schema/raw/master/csl-citation.json"}</w:instrText>
      </w:r>
      <w:r w:rsidR="004F520E">
        <w:fldChar w:fldCharType="separate"/>
      </w:r>
      <w:r w:rsidR="004F520E" w:rsidRPr="004F520E">
        <w:rPr>
          <w:noProof/>
        </w:rPr>
        <w:t>(Koster 2008)</w:t>
      </w:r>
      <w:r w:rsidR="004F520E">
        <w:fldChar w:fldCharType="end"/>
      </w:r>
      <w:r w:rsidR="000666BC" w:rsidRPr="00DA4708">
        <w:t>, with non-</w:t>
      </w:r>
      <w:r w:rsidR="00BB5D53" w:rsidRPr="00DA4708">
        <w:t>firearm</w:t>
      </w:r>
      <w:r w:rsidR="000666BC" w:rsidRPr="00DA4708">
        <w:t xml:space="preserve"> projectile w</w:t>
      </w:r>
      <w:r w:rsidR="00BB5D53" w:rsidRPr="00DA4708">
        <w:t xml:space="preserve">eapons such as bows, catapults, crossbows or </w:t>
      </w:r>
      <w:r w:rsidR="000666BC" w:rsidRPr="00DA4708">
        <w:t>blowpipes</w:t>
      </w:r>
      <w:r w:rsidR="00BB5D53" w:rsidRPr="00DA4708">
        <w:t>, as well as a</w:t>
      </w:r>
      <w:r w:rsidR="003147F8">
        <w:t xml:space="preserve"> with a</w:t>
      </w:r>
      <w:r w:rsidR="00BB5D53" w:rsidRPr="00DA4708">
        <w:t xml:space="preserve"> variety of traps </w:t>
      </w:r>
      <w:r w:rsidR="000461CD" w:rsidRPr="00DA4708">
        <w:t xml:space="preserve">that include simple </w:t>
      </w:r>
      <w:r w:rsidR="00EA237B" w:rsidRPr="00DA4708">
        <w:t>pit</w:t>
      </w:r>
      <w:r w:rsidR="00A103C2" w:rsidRPr="00DA4708">
        <w:t xml:space="preserve">fall traps, gum traps, </w:t>
      </w:r>
      <w:bookmarkStart w:id="57" w:name="_Toc519156081"/>
      <w:r w:rsidR="00027758" w:rsidRPr="00DA4708">
        <w:t>and</w:t>
      </w:r>
      <w:r w:rsidR="000461CD" w:rsidRPr="00DA4708">
        <w:t xml:space="preserve"> more elaborate gin traps, </w:t>
      </w:r>
      <w:r w:rsidR="00B62404" w:rsidRPr="00DA4708">
        <w:t>nets, and even snares made from land mines</w:t>
      </w:r>
      <w:r w:rsidR="000A4CCA">
        <w:t xml:space="preserve"> </w:t>
      </w:r>
      <w:r w:rsidR="000A4CCA">
        <w:rPr>
          <w:color w:val="000000" w:themeColor="text1"/>
        </w:rPr>
        <w:fldChar w:fldCharType="begin" w:fldLock="1"/>
      </w:r>
      <w:r w:rsidR="001C10E4">
        <w:rPr>
          <w:color w:val="000000" w:themeColor="text1"/>
        </w:rPr>
        <w:instrText>ADDIN CSL_CITATION {"citationItems":[{"id":"ITEM-1","itemData":{"DOI":"10.1186/1746-4269-5-12","ISBN":"1746-4269 (Electronic)\\r1746-4269 (Linking)","ISSN":"17464269","PMID":"19386121","abstract":"Hunting for wild animals is stimulated by the many different human uses of faunal resources, and these animals constitute important subsistence items in local communities in the Caatinga region. In order to gain access to these resources, hunters have developed a series of techniques and strategies that are described in the present work. The principal hunting techniques encountered were: waiting, especially directed towards hunting diurnal birds; calling (\"arremedo\"), a technique in which the hunters imitate the animal's call to attract it to close range; hunting with dogs, a technique mostly used for capturing mammals; tracking, a technique used by only a few hunters who can recognize and follow animal tracks; and \"facheado\", in which the hunters go out at night with lanterns to catch birds in their nests. Additionally, many animal species are captured using mechanical traps. The types of traps used by the interviewees were: dead-fall traps (\"quixó\"), iron-jaw snap traps (\"arataca\"), wooden cages with bait (\"arapuca\"), iron-cage traps (\"gaiola'), \"visgo\", multi-compartment bird cages (\"alçapão\"), buried ground traps with pivoted tops (\"fojo\"), and nooses and cages for carnivorous. The choice of which technique to use depends on the habits of the species being hunted, indicating that the hunters possess a wide knowledge of the biology of these animals. From a conservation perspective, active hunting techniques (waiting, imitation, hunting with dogs, and \"facheado\") have the greatest impact on the local fauna. The use of firearm and dogs brought greater efficiency to hunting activities. Additional studies concerning these hunting activities will be useful to contribute to proposals for management plans regulating hunting in the region – with the objective of attaining sustainable use of faunal resources of great importance to the local human communities.","author":[{"dropping-particle":"","family":"Alves","given":"Rômulo R.N.","non-dropping-particle":"","parse-names":false,"suffix":""},{"dropping-particle":"","family":"Mendonça","given":"Lívia E.T.","non-dropping-particle":"","parse-names":false,"suffix":""},{"dropping-particle":"","family":"Confessor","given":"Maine V.A.","non-dropping-particle":"","parse-names":false,"suffix":""},{"dropping-particle":"","family":"Vieira","given":"Washington L.S.","non-dropping-particle":"","parse-names":false,"suffix":""},{"dropping-particle":"","family":"Lopez","given":"Luiz C.S.","non-dropping-particle":"","parse-names":false,"suffix":""}],"container-title":"Journal of Ethnobiology and Ethnomedicine","id":"ITEM-1","issued":{"date-parts":[["2009"]]},"page":"1-16","title":"Hunting strategies used in the semi-arid region of northeastern Brazil","type":"article-journal","volume":"5"},"uris":["http://www.mendeley.com/documents/?uuid=456e7e59-8eb2-4d10-93bc-d929823e8f51"]},{"id":"ITEM-2","itemData":{"author":[{"dropping-particle":"","family":"Coad","given":"Lauren","non-dropping-particle":"","parse-names":false,"suffix":""}],"id":"ITEM-2","issued":{"date-parts":[["2007"]]},"number-of-pages":"1-347","publisher":"PhD Thesis, University of Cambridge, UK","title":"Bushmeat hunting in Gabon: socio-economics and hunter behaviour","type":"book"},"uris":["http://www.mendeley.com/documents/?uuid=d233ab1b-d72c-4b6a-b7af-0f580a2c5a50"]},{"id":"ITEM-3","itemData":{"abstract":"Hunting is a main threat for wildlife conservation in Central Africa, but remains an essential component of local people's livelihoods. Research suggests that hunters engage in hunting in different ways, especially according to various technical means, which might potentially have differentiated impacts on wildlife. Using quantitative data collected over a 12 months period, we analyse different hunter's profiles among the Baka of Southeastern Camer-oon, and compare socioeconomic and hunting offtake data across profiles. We monitored 719 hunting events, recording 579 catches (belonging to 32 species). Most Baka hunters engage in snare trapping, a relatively low-efficiency hunting technique, while a reduced number of Baka hunters use firearms. Firearm users obtain the highest offtake and sell most of it. This study therefore suggests the emergence of specialized hunters in shotgun hunting with a higher integration in market economy. Disentangling the effects of hunting techniques and their relations to socioeconomic status might help design wildlife management strategies that take into consideration the diversity and the complexity of practices among local populations.","author":[{"dropping-particle":"","family":"Duda","given":"Romain","non-dropping-particle":"","parse-names":false,"suffix":""},{"dropping-particle":"","family":"Gallois","given":"Sandrine","non-dropping-particle":"","parse-names":false,"suffix":""},{"dropping-particle":"","family":"Reyes-Garcia","given":"Victoria","non-dropping-particle":"","parse-names":false,"suffix":""}],"container-title":"African Study Monographs","id":"ITEM-3","issue":"2","issued":{"date-parts":[["2017"]]},"page":"97-118","title":"Hunting techniques, wildlife offtake and market integration. A perspective from individual variations among the Baka (Cameroon)","type":"article-journal","volume":"38"},"uris":["http://www.mendeley.com/documents/?uuid=4702c616-98b0-4f78-9f7d-cabd0cf39cc6"]},{"id":"ITEM-4","itemData":{"DOI":"10.1086/592021","ISBN":"0011-3204","ISSN":"0011-3204","abstract":"Although dogs are used by subsistence hunters in many locations throughout the world, hunters with dogs have not been studied from an optimal foraging perspective. A study of indigenous Mayangna and Miskito hunters in Nicaragua indicates that the use of dogs affects both the encounter rates and the pursuit times of several prey types. Before hunters can identify the prey type and initiate a pursuit, they must first catch up to the dogs, and their dogs sometimes chase unprofitable prey types. These costs are incorporated as an additional constraint in the optimal prey choice model. The results of the optimal foraging analysis indicate that hunters generally focus on prey types that are in the optimal diet set. However, hunters do not consume two rarely encountered species that are in the optimal diet set, giant anteaters and northern tamanduas. Although hunting with both rifles and dogs increases the likelihood of harvesting tapirs, the return rates of hunting with dogs, hunting with rifles, and hunting with both guns and dogs are otherwise comparable. This study therefore demonstrates that dogs can be valuable hunting accessories.","author":[{"dropping-particle":"","family":"Koster","given":"Jeremy M.","non-dropping-particle":"","parse-names":false,"suffix":""}],"container-title":"Current Anthropology","id":"ITEM-4","issue":"5","issued":{"date-parts":[["2008"]]},"page":"935-944","title":"Hunting with dogs in Nicaragua: an optimal foraging approach","type":"article-journal","volume":"49"},"uris":["http://www.mendeley.com/documents/?uuid=b2a66670-279d-405b-a57b-5655dc48b793"]},{"id":"ITEM-5","itemData":{"author":[{"dropping-particle":"","family":"Lohe","given":"Nutazo","non-dropping-particle":"","parse-names":false,"suffix":""}],"container-title":"Asian Journal of Multidisciplinary Studies","id":"ITEM-5","issue":"8","issued":{"date-parts":[["2014"]]},"page":"184-189","title":"Traditional knowledge system in hunting and trapping methods among the Nagas of northeast India","type":"article-journal","volume":"2"},"uris":["http://www.mendeley.com/documents/?uuid=1461176e-0564-4539-a1e7-626c37718fa0"]},{"id":"ITEM-6","itemData":{"DOI":"10.1007/s10745-013-9606-8","ISBN":"0300-7839","ISSN":"03007839","abstract":"The ongoing expansion of plantation agriculture has changed the ecological, demographic, and social conditions of Southeast Asia's forested areas, yet little is known about hunting practices in these novel landscapes. Using information from 73 in-depth interviews with hunters, agricultural workers and wild meat dealers in the Jambi province of Sumatra, Indonesia, we describe contemporary hunting practices, including how hunting methods, wildlife harvest and consumption rates vary between different indigenous and immigrant ethnic groups. Hunting is now primarily a commercial endeavor for harvesting wild boar (Sus scrofa) meat; over 7500 wild boars were sold in Jambi City alone in 2011. The Muslim majority avoids wild boar for religious reasons, but there is substantial local and export demand driven by Chinese and Christian Batak. We conclude that hunting within oil palm plantations may reduce crop damage from wild boar and also yield large amounts of wild meat with relatively little by-catch of threatened animals. © 2013 Springer Science+Business Media New York.","author":[{"dropping-particle":"","family":"Luskin","given":"M. S.","non-dropping-particle":"","parse-names":false,"suffix":""},{"dropping-particle":"","family":"Christina","given":"E. D.","non-dropping-particle":"","parse-names":false,"suffix":""},{"dropping-particle":"","family":"Kelley","given":"L. C.","non-dropping-particle":"","parse-names":false,"suffix":""},{"dropping-particle":"","family":"Potts","given":"M. D.","non-dropping-particle":"","parse-names":false,"suffix":""}],"container-title":"Human Ecology","id":"ITEM-6","issue":"1","issued":{"date-parts":[["2014"]]},"page":"35-45","title":"Modern hunting practices and wild meat trade in the oil palm plantation-dominated landscapes of Sumatra, Indonesia","type":"article-journal","volume":"42"},"uris":["http://www.mendeley.com/documents/?uuid=8147f6fc-3b56-4895-b558-942586ac716b"]},{"id":"ITEM-7","itemData":{"author":[{"dropping-particle":"","family":"Wutty","given":"C","non-dropping-particle":"","parse-names":false,"suffix":""},{"dropping-particle":"","family":"Simms","given":"A","non-dropping-pa</w:instrText>
      </w:r>
      <w:r w:rsidR="001C10E4" w:rsidRPr="00DF57F3">
        <w:rPr>
          <w:color w:val="000000" w:themeColor="text1"/>
          <w:lang w:val="fr-FR"/>
        </w:rPr>
        <w:instrText>rticle":"","parse-names":false,"suffix":""}],"id":"ITEM-7","issued":{"date-parts":[["2005"]]},"publisher-place":"Conservation International, Natural Resource Protection Group and Fauna and Flora International","title":"Intelligence-led investigation into illegal wildlife hunting and trade in southwest Cambodia.","type":"report"},"uris":["http://www.mendeley.com/documents/?uuid=ce493be6-b656-446c-9014-c6b7bf099ef8"]},{"id":"ITEM-8","itemData":{"author":[{"dropping-particle":"","family":"Walters","given":"G.","non-dropping-particle":"","parse-names":false,"suffix":""}],"container-title":"Human Ecology","id":"ITEM-8","issue":"6","issued":{"date-parts":[["2012"]]},"page":"943-955","title":"Customary Fire Regimes and Vegetation Structure in Gabon's Bateke Plateaux","type":"article-journal","volume":"40"},"uris":["http://www.mendeley.com/documents/?uuid=4b7af244-7aaf-4e04-a663-c932fedd32a8"]}],"mendeley":{"formattedCitation":"(Wutty &amp; Simms 2005; Coad 2007; Koster 2008; Alves et al. 2009; Walters 2012; Lohe 2014; Luskin et al. 2014; Duda et al. 2017)","plainTextFormattedCitation":"(Wutty &amp; Simms 2005; Coad 2007; Koster 2008; Alves et al. 2009; Walters 2012; Lohe 2014; Luskin et al. 2014; Duda et al. 2017)","previouslyFormattedCitation":"(Wutty &amp; Simms 2005; Coad 2007; Koster 2008; Alves et al. 2009; Walters 2012; Lohe 2014; Luskin et al. 2014; Duda et al. 2017)"},"properties":{"noteIndex":0},"schema":"https://github.com/citation-style-language/schema/raw/master/csl-citation.json"}</w:instrText>
      </w:r>
      <w:r w:rsidR="000A4CCA">
        <w:rPr>
          <w:color w:val="000000" w:themeColor="text1"/>
        </w:rPr>
        <w:fldChar w:fldCharType="separate"/>
      </w:r>
      <w:r w:rsidR="00565522" w:rsidRPr="00DF57F3">
        <w:rPr>
          <w:noProof/>
          <w:color w:val="000000" w:themeColor="text1"/>
          <w:lang w:val="fr-FR"/>
        </w:rPr>
        <w:t>(Wutty &amp; Simms 2005; Coad 2007; Koster 2008; Alves et al. 2009; Walters 2012; Lohe 2014; Luskin et al. 2014; Duda et al. 2017)</w:t>
      </w:r>
      <w:r w:rsidR="000A4CCA">
        <w:rPr>
          <w:color w:val="000000" w:themeColor="text1"/>
        </w:rPr>
        <w:fldChar w:fldCharType="end"/>
      </w:r>
      <w:r w:rsidR="00565522" w:rsidRPr="00DF57F3">
        <w:rPr>
          <w:color w:val="000000" w:themeColor="text1"/>
          <w:lang w:val="fr-FR"/>
        </w:rPr>
        <w:t xml:space="preserve">. </w:t>
      </w:r>
      <w:r w:rsidR="002B0463" w:rsidRPr="00F217AD">
        <w:t xml:space="preserve">Further information on the impact of the introduction of modern hunting technologies such as cable snares and firearms is given in Section </w:t>
      </w:r>
      <w:r w:rsidR="002B0463" w:rsidRPr="00F217AD">
        <w:fldChar w:fldCharType="begin"/>
      </w:r>
      <w:r w:rsidR="002B0463" w:rsidRPr="00F217AD">
        <w:instrText xml:space="preserve"> REF _Ref519696142 \r \h </w:instrText>
      </w:r>
      <w:r w:rsidR="00DA4708" w:rsidRPr="00F217AD">
        <w:instrText xml:space="preserve"> \* MERGEFORMAT </w:instrText>
      </w:r>
      <w:r w:rsidR="002B0463" w:rsidRPr="00F217AD">
        <w:fldChar w:fldCharType="separate"/>
      </w:r>
      <w:r w:rsidR="007034F1">
        <w:t>4.3.3</w:t>
      </w:r>
      <w:r w:rsidR="002B0463" w:rsidRPr="00F217AD">
        <w:fldChar w:fldCharType="end"/>
      </w:r>
      <w:r w:rsidR="002B0463" w:rsidRPr="00F217AD">
        <w:t>.</w:t>
      </w:r>
    </w:p>
    <w:p w14:paraId="2E5492F3" w14:textId="393C50B8" w:rsidR="00AD70BE" w:rsidRPr="00DA4708" w:rsidRDefault="00AD70BE" w:rsidP="00DF57F3">
      <w:pPr>
        <w:pStyle w:val="Heading2"/>
      </w:pPr>
      <w:bookmarkStart w:id="58" w:name="_Toc517693738"/>
      <w:bookmarkStart w:id="59" w:name="_Toc519156083"/>
      <w:bookmarkStart w:id="60" w:name="_Toc529390339"/>
      <w:bookmarkEnd w:id="53"/>
      <w:bookmarkEnd w:id="54"/>
      <w:bookmarkEnd w:id="57"/>
      <w:r w:rsidRPr="00DA4708">
        <w:t>Harvest rates</w:t>
      </w:r>
      <w:bookmarkEnd w:id="58"/>
      <w:bookmarkEnd w:id="59"/>
      <w:bookmarkEnd w:id="60"/>
      <w:r w:rsidR="00E33937" w:rsidRPr="00DA4708">
        <w:t xml:space="preserve"> </w:t>
      </w:r>
    </w:p>
    <w:p w14:paraId="0AE0ECA3" w14:textId="2686F58D" w:rsidR="003B6FE0" w:rsidRPr="00DA4708" w:rsidRDefault="00D877E3" w:rsidP="00C258BC">
      <w:pPr>
        <w:jc w:val="both"/>
        <w:rPr>
          <w:color w:val="000000" w:themeColor="text1"/>
        </w:rPr>
      </w:pPr>
      <w:r w:rsidRPr="004904D8">
        <w:rPr>
          <w:color w:val="000000" w:themeColor="text1"/>
        </w:rPr>
        <w:t xml:space="preserve">Hundreds of site-level studies have estimated hunting offtake levels in settlements around the world, </w:t>
      </w:r>
      <w:r w:rsidRPr="005512D2">
        <w:rPr>
          <w:color w:val="000000" w:themeColor="text1"/>
        </w:rPr>
        <w:t>with offtake levels varying widely</w:t>
      </w:r>
      <w:r w:rsidR="00DA7BF8" w:rsidRPr="005512D2">
        <w:rPr>
          <w:color w:val="000000" w:themeColor="text1"/>
        </w:rPr>
        <w:t>,</w:t>
      </w:r>
      <w:r w:rsidRPr="005512D2">
        <w:rPr>
          <w:color w:val="000000" w:themeColor="text1"/>
        </w:rPr>
        <w:t xml:space="preserve"> depend</w:t>
      </w:r>
      <w:r w:rsidR="00DA7BF8" w:rsidRPr="005512D2">
        <w:rPr>
          <w:color w:val="000000" w:themeColor="text1"/>
        </w:rPr>
        <w:t>ant</w:t>
      </w:r>
      <w:r w:rsidRPr="005512D2">
        <w:rPr>
          <w:color w:val="000000" w:themeColor="text1"/>
        </w:rPr>
        <w:t xml:space="preserve"> on a range of drivers </w:t>
      </w:r>
      <w:r w:rsidR="00565522">
        <w:rPr>
          <w:color w:val="000000" w:themeColor="text1"/>
        </w:rPr>
        <w:fldChar w:fldCharType="begin" w:fldLock="1"/>
      </w:r>
      <w:r w:rsidR="00565522">
        <w:rPr>
          <w:color w:val="000000" w:themeColor="text1"/>
        </w:rPr>
        <w:instrText>ADDIN CSL_CITATION {"citationItems":[{"id":"ITEM-1","itemData":{"author":[{"dropping-particle":"","family":"Nasi","given":"R","non-dropping-particle":"","parse-names":false,"suffix":""},{"dropping-particle":"","family":"Taber","given":"A","non-dropping-particle":"","parse-names":false,"suffix":""},{"dropping-particle":"","family":"Vliet","given":"N","non-dropping-particle":"van","parse-names":false,"suffix":""}],"container-title":"International Forestry Review","id":"ITEM-1","issue":"3","issued":{"date-parts":[["2011"]]},"page":"355-368","title":"Empty forests, empty stomachs? Bushmeat and livelihoods in the Congo and Amazon Basins","type":"article-journal","volume":"13"},"uris":["http://www.mendeley.com/documents/?uuid=975db7a7-3da0-44cf-9a13-3605f762558f"]}],"mendeley":{"formattedCitation":"(Nasi et al. 2011)","manualFormatting":"(Nasi et al. 2011","plainTextFormattedCitation":"(Nasi et al. 2011)","previouslyFormattedCitation":"(Nasi et al. 2011)"},"properties":{"noteIndex":0},"schema":"https://github.com/citation-style-language/schema/raw/master/csl-citation.json"}</w:instrText>
      </w:r>
      <w:r w:rsidR="00565522">
        <w:rPr>
          <w:color w:val="000000" w:themeColor="text1"/>
        </w:rPr>
        <w:fldChar w:fldCharType="separate"/>
      </w:r>
      <w:r w:rsidR="00565522" w:rsidRPr="001715CC">
        <w:rPr>
          <w:noProof/>
          <w:color w:val="000000" w:themeColor="text1"/>
        </w:rPr>
        <w:t>(Nasi et al. 2011</w:t>
      </w:r>
      <w:r w:rsidR="00565522">
        <w:rPr>
          <w:color w:val="000000" w:themeColor="text1"/>
        </w:rPr>
        <w:fldChar w:fldCharType="end"/>
      </w:r>
      <w:r w:rsidR="00565522">
        <w:rPr>
          <w:color w:val="000000" w:themeColor="text1"/>
        </w:rPr>
        <w:t>)</w:t>
      </w:r>
      <w:r w:rsidRPr="0070404D">
        <w:rPr>
          <w:color w:val="000000" w:themeColor="text1"/>
        </w:rPr>
        <w:t>. Several</w:t>
      </w:r>
      <w:r w:rsidRPr="004904D8">
        <w:rPr>
          <w:color w:val="000000" w:themeColor="text1"/>
        </w:rPr>
        <w:t xml:space="preserve"> </w:t>
      </w:r>
      <w:r w:rsidR="006D00C5" w:rsidRPr="004904D8">
        <w:rPr>
          <w:color w:val="000000" w:themeColor="text1"/>
        </w:rPr>
        <w:t>studies</w:t>
      </w:r>
      <w:r w:rsidRPr="004904D8">
        <w:rPr>
          <w:color w:val="000000" w:themeColor="text1"/>
        </w:rPr>
        <w:t xml:space="preserve"> have now collated </w:t>
      </w:r>
      <w:r w:rsidR="00F5180A" w:rsidRPr="005512D2">
        <w:rPr>
          <w:color w:val="000000" w:themeColor="text1"/>
        </w:rPr>
        <w:t>site-level</w:t>
      </w:r>
      <w:r w:rsidRPr="005512D2">
        <w:rPr>
          <w:color w:val="000000" w:themeColor="text1"/>
        </w:rPr>
        <w:t xml:space="preserve"> data for </w:t>
      </w:r>
      <w:r w:rsidR="0036123F" w:rsidRPr="005512D2">
        <w:rPr>
          <w:color w:val="000000" w:themeColor="text1"/>
        </w:rPr>
        <w:t xml:space="preserve">communities in </w:t>
      </w:r>
      <w:r w:rsidRPr="005512D2">
        <w:rPr>
          <w:color w:val="000000" w:themeColor="text1"/>
        </w:rPr>
        <w:t xml:space="preserve">Central Africa and </w:t>
      </w:r>
      <w:r w:rsidR="009B3BBB" w:rsidRPr="005512D2">
        <w:rPr>
          <w:color w:val="000000" w:themeColor="text1"/>
        </w:rPr>
        <w:t>the Brazilian Amazon</w:t>
      </w:r>
      <w:r w:rsidR="000A57CD" w:rsidRPr="005512D2">
        <w:rPr>
          <w:color w:val="000000" w:themeColor="text1"/>
        </w:rPr>
        <w:t xml:space="preserve"> to estimate regional harvest rates</w:t>
      </w:r>
      <w:r w:rsidR="0003211B" w:rsidRPr="005512D2">
        <w:rPr>
          <w:color w:val="000000" w:themeColor="text1"/>
        </w:rPr>
        <w:t xml:space="preserve"> (</w:t>
      </w:r>
      <w:r w:rsidR="00260DF6" w:rsidRPr="004904D8">
        <w:rPr>
          <w:color w:val="000000" w:themeColor="text1"/>
          <w:highlight w:val="yellow"/>
        </w:rPr>
        <w:fldChar w:fldCharType="begin"/>
      </w:r>
      <w:r w:rsidR="00260DF6" w:rsidRPr="0070404D">
        <w:rPr>
          <w:color w:val="000000" w:themeColor="text1"/>
        </w:rPr>
        <w:instrText xml:space="preserve"> REF _Ref518910723 \h </w:instrText>
      </w:r>
      <w:r w:rsidR="00260DF6" w:rsidRPr="004904D8">
        <w:rPr>
          <w:color w:val="000000" w:themeColor="text1"/>
          <w:highlight w:val="yellow"/>
        </w:rPr>
      </w:r>
      <w:r w:rsidR="00260DF6" w:rsidRPr="004904D8">
        <w:rPr>
          <w:color w:val="000000" w:themeColor="text1"/>
          <w:highlight w:val="yellow"/>
        </w:rPr>
        <w:fldChar w:fldCharType="separate"/>
      </w:r>
      <w:r w:rsidR="007034F1" w:rsidRPr="00785A38">
        <w:t xml:space="preserve">Table </w:t>
      </w:r>
      <w:r w:rsidR="007034F1">
        <w:rPr>
          <w:noProof/>
        </w:rPr>
        <w:t>1</w:t>
      </w:r>
      <w:r w:rsidR="00260DF6" w:rsidRPr="004904D8">
        <w:rPr>
          <w:color w:val="000000" w:themeColor="text1"/>
          <w:highlight w:val="yellow"/>
        </w:rPr>
        <w:fldChar w:fldCharType="end"/>
      </w:r>
      <w:r w:rsidR="009B3BBB" w:rsidRPr="0070404D">
        <w:rPr>
          <w:color w:val="000000" w:themeColor="text1"/>
        </w:rPr>
        <w:t>). These suggest that annual offtake rates for Central Africa could be between 1.6 – 11.8 mil</w:t>
      </w:r>
      <w:r w:rsidR="009B3BBB" w:rsidRPr="004904D8">
        <w:rPr>
          <w:color w:val="000000" w:themeColor="text1"/>
        </w:rPr>
        <w:t xml:space="preserve">lion tonnes of meat per year, and </w:t>
      </w:r>
      <w:r w:rsidR="009B3BBB" w:rsidRPr="00DA4708">
        <w:rPr>
          <w:color w:val="000000" w:themeColor="text1"/>
        </w:rPr>
        <w:t>between 0.07</w:t>
      </w:r>
      <w:r w:rsidR="005512D2" w:rsidRPr="00DA4708">
        <w:rPr>
          <w:color w:val="000000" w:themeColor="text1"/>
        </w:rPr>
        <w:t xml:space="preserve"> – </w:t>
      </w:r>
      <w:r w:rsidR="00E96BE2" w:rsidRPr="00DA4708">
        <w:rPr>
          <w:color w:val="000000" w:themeColor="text1"/>
        </w:rPr>
        <w:t>1.3 million</w:t>
      </w:r>
      <w:r w:rsidR="009B3BBB" w:rsidRPr="00DA4708">
        <w:rPr>
          <w:color w:val="000000" w:themeColor="text1"/>
        </w:rPr>
        <w:t xml:space="preserve"> tonnes of meat per year for the </w:t>
      </w:r>
      <w:r w:rsidR="00E96BE2" w:rsidRPr="00DA4708">
        <w:rPr>
          <w:color w:val="000000" w:themeColor="text1"/>
        </w:rPr>
        <w:t>Brazilian</w:t>
      </w:r>
      <w:r w:rsidR="009B3BBB" w:rsidRPr="00DA4708">
        <w:rPr>
          <w:color w:val="000000" w:themeColor="text1"/>
        </w:rPr>
        <w:t xml:space="preserve"> Amazon. T</w:t>
      </w:r>
      <w:r w:rsidR="0003211B" w:rsidRPr="00DA4708">
        <w:rPr>
          <w:color w:val="000000" w:themeColor="text1"/>
        </w:rPr>
        <w:t xml:space="preserve">here </w:t>
      </w:r>
      <w:r w:rsidR="00834270" w:rsidRPr="00DA4708">
        <w:rPr>
          <w:color w:val="000000" w:themeColor="text1"/>
        </w:rPr>
        <w:t xml:space="preserve">are no similar </w:t>
      </w:r>
      <w:r w:rsidR="00CD5EBE" w:rsidRPr="00DA4708">
        <w:rPr>
          <w:color w:val="000000" w:themeColor="text1"/>
        </w:rPr>
        <w:t>reviews</w:t>
      </w:r>
      <w:r w:rsidR="00834270" w:rsidRPr="00DA4708">
        <w:rPr>
          <w:color w:val="000000" w:themeColor="text1"/>
        </w:rPr>
        <w:t xml:space="preserve"> for Asia</w:t>
      </w:r>
      <w:r w:rsidR="005F08C9" w:rsidRPr="00DA4708">
        <w:rPr>
          <w:color w:val="000000" w:themeColor="text1"/>
        </w:rPr>
        <w:t>, where</w:t>
      </w:r>
      <w:r w:rsidR="002326ED" w:rsidRPr="00DA4708">
        <w:rPr>
          <w:color w:val="000000" w:themeColor="text1"/>
        </w:rPr>
        <w:t xml:space="preserve"> there </w:t>
      </w:r>
      <w:r w:rsidR="005C2F20" w:rsidRPr="00DA4708">
        <w:rPr>
          <w:color w:val="000000" w:themeColor="text1"/>
        </w:rPr>
        <w:t>are</w:t>
      </w:r>
      <w:r w:rsidR="00774947" w:rsidRPr="00DA4708">
        <w:rPr>
          <w:color w:val="000000" w:themeColor="text1"/>
        </w:rPr>
        <w:t xml:space="preserve"> still insufficient site-level hunting data to make any adequate </w:t>
      </w:r>
      <w:r w:rsidR="00432DC1" w:rsidRPr="00DA4708">
        <w:rPr>
          <w:color w:val="000000" w:themeColor="text1"/>
        </w:rPr>
        <w:t>comparisons</w:t>
      </w:r>
      <w:r w:rsidR="005F08C9" w:rsidRPr="00DA4708">
        <w:rPr>
          <w:color w:val="000000" w:themeColor="text1"/>
        </w:rPr>
        <w:t xml:space="preserve"> </w:t>
      </w:r>
      <w:r w:rsidR="00B72EDA" w:rsidRPr="00DA4708">
        <w:rPr>
          <w:color w:val="000000" w:themeColor="text1"/>
        </w:rPr>
        <w:t>(</w:t>
      </w:r>
      <w:r w:rsidR="00774947" w:rsidRPr="00DA4708">
        <w:rPr>
          <w:color w:val="000000" w:themeColor="text1"/>
        </w:rPr>
        <w:t xml:space="preserve">for an overview see </w:t>
      </w:r>
      <w:r w:rsidR="00565522">
        <w:rPr>
          <w:color w:val="000000" w:themeColor="text1"/>
        </w:rPr>
        <w:fldChar w:fldCharType="begin" w:fldLock="1"/>
      </w:r>
      <w:r w:rsidR="00B2630D">
        <w:rPr>
          <w:color w:val="000000" w:themeColor="text1"/>
        </w:rPr>
        <w:instrText>ADDIN CSL_CITATION {"citationItems":[{"id":"ITEM-1","itemData":{"DOI":"10.1111/j.1744-7429.2007.00271.x","ISBN":"00063606","ISSN":"00063606","abstract":"People have hunted mammals in tropical Asian forests for at least 40,000 yr. This period has seen one confirmed global extinction (the giant pangolin, Manis palaeojavanica) and range restrictions for several large mammals, but there is no strong evidence for unsustainable hunting pressure until the last 2000–3000 yr, when elephants, rhinoceroses, and several other species were progressively eliminated from the large parts of their ranges. Regional declines in most species have occurred largely within the last 50 yr. Recent subsistence hunting has typically focused on pigs and deer (hunted with dogs and spears or with snares), monkeys and other arboreal mammals (often caught with blowpipes), and porcupines and other rodents (smoked or dug out of burrows). Over the last 50 yr, the importance of hunting for subsistence has been increasingly outweighed by hunting for the market. The hunted biomass is dominated by the same species as before, sold mostly for local consumption, but numerous additional species are targeted for the colossal regional trade in wild animals and their parts for food, medicines, raw materials, and pets. Many populations of mammalian dispersers of large seeds and understory browsers have been depleted or eliminated, while seed predators have had a more variable fate.Most of this hunting is now illegal, but the law enforcement is generally weak. However, examples of successful enforcement show that hunting impacts can be greatly reduced where there is sufficient political will. Ending the trade in wild animals and their parts should have the highest regional conservation priority","author":[{"dropping-particle":"","family":"Corlett","given":"Richard T.","non-dropping-particle":"","parse-names":false,"suffix":""}],"container-title":"Biotropica","id":"ITEM-1","issue":"3","issued":{"date-parts":[["2007"]]},"page":"292-303","title":"The impact of hunting on the mammalian fauna of tropical Asian forests","type":"article-journal","volume":"39"},"uris":["http://www.mendeley.com/documents/?uuid=822c279d-e311-4945-8bd6-c6262466157b"]},{"id":"ITEM-2","itemData":{"DOI":"10.17528/cifor/005135","ISBN":"9786021504543","ISSN":"0854-9818","author":[{"dropping-particle":"","family":"Lee","given":"T.M.","non-dropping-particle":"","parse-names":false,"suffix":""},{"dropping-particle":"","family":"Sigouin","given":"A.","non-dropping-particle":"","parse-names":false,"suffix":""},{"dropping-particle":"","family":"Pinedo-Vasquez","given":"M.","non-dropping-particle":"","parse-names":false,"suffix":""},{"dropping-particle":"","family":"Nasi","given":"R.","non-dropping-particle":"","parse-names":false,"suffix":""}],"id":"ITEM-2","issued":{"date-parts":[["2014"]]},"number-of-pages":"56","publisher-place":"CIFOR, Bogor, Indonesia","title":"The harvest of wildlife for bushmeat and traditional medicine in East, South and Southeast Asia: current knowledge base, challenges, opportunities and areas for future research. Occasional Paper 115.","type":"report"},"uris":["http://www.mendeley.com/documents/?uuid=bae8b825-3458-4133-9106-48d41f41b7da"]}],"mendeley":{"formattedCitation":"(Corlett 2007; Lee et al. 2014)","manualFormatting":"Corlett 2007; Lee et al. 2014)","plainTextFormattedCitation":"(Corlett 2007; Lee et al. 2014)","previouslyFormattedCitation":"(Corlett 2007; Lee et al. 2014)"},"properties":{"noteIndex":0},"schema":"https://github.com/citation-style-language/schema/raw/master/csl-citation.json"}</w:instrText>
      </w:r>
      <w:r w:rsidR="00565522">
        <w:rPr>
          <w:color w:val="000000" w:themeColor="text1"/>
        </w:rPr>
        <w:fldChar w:fldCharType="separate"/>
      </w:r>
      <w:r w:rsidR="00565522" w:rsidRPr="00B17133">
        <w:rPr>
          <w:noProof/>
          <w:color w:val="000000" w:themeColor="text1"/>
        </w:rPr>
        <w:t>Corlett 2007; Lee et al. 2014)</w:t>
      </w:r>
      <w:r w:rsidR="00565522">
        <w:rPr>
          <w:color w:val="000000" w:themeColor="text1"/>
        </w:rPr>
        <w:fldChar w:fldCharType="end"/>
      </w:r>
      <w:r w:rsidR="00565522" w:rsidRPr="0070404D">
        <w:rPr>
          <w:color w:val="000000" w:themeColor="text1"/>
        </w:rPr>
        <w:t>.</w:t>
      </w:r>
      <w:r w:rsidR="00834270" w:rsidRPr="00DA4708">
        <w:rPr>
          <w:color w:val="000000" w:themeColor="text1"/>
        </w:rPr>
        <w:t xml:space="preserve"> </w:t>
      </w:r>
      <w:r w:rsidR="00774947" w:rsidRPr="00DA4708">
        <w:rPr>
          <w:color w:val="000000" w:themeColor="text1"/>
        </w:rPr>
        <w:t xml:space="preserve">Offtake data are similarly scarce for </w:t>
      </w:r>
      <w:r w:rsidR="00432DC1" w:rsidRPr="00DA4708">
        <w:rPr>
          <w:color w:val="000000" w:themeColor="text1"/>
        </w:rPr>
        <w:t xml:space="preserve">animal </w:t>
      </w:r>
      <w:r w:rsidR="00260DF6" w:rsidRPr="00DA4708">
        <w:rPr>
          <w:color w:val="000000" w:themeColor="text1"/>
        </w:rPr>
        <w:t>c</w:t>
      </w:r>
      <w:r w:rsidR="0036123F" w:rsidRPr="00DA4708">
        <w:rPr>
          <w:color w:val="000000" w:themeColor="text1"/>
        </w:rPr>
        <w:t xml:space="preserve">ommunities in </w:t>
      </w:r>
      <w:r w:rsidR="00774947" w:rsidRPr="00DA4708">
        <w:rPr>
          <w:color w:val="000000" w:themeColor="text1"/>
        </w:rPr>
        <w:t xml:space="preserve">savannah habitats </w:t>
      </w:r>
      <w:r w:rsidR="00432DC1" w:rsidRPr="00DA4708">
        <w:rPr>
          <w:color w:val="000000" w:themeColor="text1"/>
        </w:rPr>
        <w:t>in</w:t>
      </w:r>
      <w:r w:rsidR="002E0115" w:rsidRPr="00DA4708">
        <w:rPr>
          <w:color w:val="000000" w:themeColor="text1"/>
        </w:rPr>
        <w:t xml:space="preserve"> Africa and South America </w:t>
      </w:r>
      <w:r w:rsidR="00565522">
        <w:rPr>
          <w:color w:val="000000" w:themeColor="text1"/>
        </w:rPr>
        <w:fldChar w:fldCharType="begin" w:fldLock="1"/>
      </w:r>
      <w:r w:rsidR="00AB268B">
        <w:rPr>
          <w:color w:val="000000" w:themeColor="text1"/>
        </w:rPr>
        <w:instrText>ADDIN CSL_CITATION {"citationItems":[{"id":"ITEM-1","itemData":{"DOI":"10.1016/j.biocon.2018.03.022","ISSN":"00063207","abstract":"Bushmeat hunting, trade and consumption is a growing biodiversity and food security concern. Much of the collated research is currently limited to forested regions however, despite indications of the increasing threat in savannas. Savanna regions are biodiverse and often have high-value wildlife tourism industries, but also have rapidly-growing rural populations, often highly dependent on natural resources. In this systematic quantitative literature review we seek to understand the state of knowledge about bushmeat in savanna regions in Africa. We aim to identify gaps in the literature, both spatially and topically, understand what methodologies are used, what common recommendations are made and what interventions have been quantified. We identified 144 relevant studies from the literature. Although studies have increased over time and diversified thematically, there were strong biases. Most studies were conducted in Tanzania, with gaps in research in southern Africa and the Sahelian region. Additionally, only 25% of papers investigated interventions used to reduce bushmeat hunting, with traditional enforcement being the most common intervention studied (53% of intervention studies, 13% of papers). Other frequently recommended interventions such as alternative incomes received little attention (14% of intervention studies, 3.5% of papers). Further, although many studies cite common drivers of bushmeat hunting such as income or livestock, the evidence for these drivers was lacking and contradictory. We reveal that although bushmeat in savanna regions is gaining recognition, many gaps in knowledge remain. This is the first study to systematically quantify the research about bushmeat in African savannas and aims to inform future research.","author":[{"dropping-particle":"","family":"Velden","given":"Julia","non-dropping-particle":"Van","parse-names":false,"suffix":""},{"dropping-particle":"","family":"Wilson","given":"Kerrie","non-dropping-particle":"","parse-names":false,"suffix":""},{"dropping-particle":"","family":"Biggs","given":"Duan","non-dropping-particle":"","parse-names":false,"suffix":""}],"container-title":"Biological Conservation","id":"ITEM-1","issue":"March","issued":{"date-parts":[["2018"]]},"page":"345-356","publisher":"Elsevier","title":"The evidence for the bushmeat crisis in African savannas: a systematic quantitative literature review","type":"article-journal","volume":"221"},"uris":["http://www.mendeley.com/documents/?uuid=c56a10a2-42fa-4117-a9e0-b2072173af6e"]},{"id":"ITEM-2","itemData":{"DOI":"10.1016/j.biocon.2012.12.020","ISBN":"00063207","ISSN":"00063207","PMID":"25246403","abstract":"The bushmeat trade, or the illegal acquisition and exchange of wild meat, has long been recognised as a severe problem in forest biomes, but receives little attention in savannas, perhaps due to a misconception that bushmeat hunting is a low-impact subsistence activity. Though data on impacts are scarce, indications are that bushmeat hunting is a widespread problem in savannas, with severe impacts on wildlife populations and wildlife-based land uses. The impacts of the bushmeat trade in savannas vary from edge-effects around protected areas, to disproportionate declines of some species, to severe wildlife declines in areas with inadequate anti-poaching. In some areas, bushmeat contributes significantly to food security, but these benefits are unsustainable, and hunting is wasteful, utilising a fraction of the wildlife killed or of its financial value obtainable through tourism, trophy hunting and/or legal game meat production. The bushmeat trade appears to be becoming increasingly commercialised due to elevated demand in rural areas, urban centres and even overseas cities. Other drivers for the trade include human encroachment of wildlife areas; poverty and food insecurity; and inadequate legal frameworks to enable communities to benefit legally from wildlife, and to create incentives for people to desist from illegal bushmeat hunting. These drivers are exacerbated by inadequate wildlife laws and enforcement and in some areas, political instability. Urgent efforts are needed to address these drivers and raise awareness among local and international governments of the seriousness of the threat. Failure to address this will result in severe wildlife declines widely in African savannas, with significant ecological, economic and social impacts. © 2012 Elsevier Ltd.","author":[{"dropping-particle":"","family":"Lindsey","given":"Peter Andrew","non-dropping-particle":"","parse-names":false,"suffix":""},{"dropping-particle":"","family":"Balme","given":"Guy","non-dropping-particle":"","parse-names":false,"suffix":""},{"dropping-particle":"","family":"Becker","given":"Matthew","non-dropping-particle":"","parse-names":false,"suffix":""},{"dropping-particle":"","family":"Begg","given":"Colleen","non-dropping-particle":"","parse-names":false,"suffix":""},{"dropping-particle":"","family":"Bento","given":"Carlos","non-dropping-particle":"","parse-names":false,"suffix":""},{"dropping-particle":"","family":"Bocchino","given":"Clara","non-dropping-particle":"","parse-names":false,"suffix":""},{"dropping-particle":"","family":"Dickman","given":"Amy","non-dropping-particle":"","parse-names":false,"suffix":""},{"dropping-particle":"","family":"Diggle","given":"Richard W.","non-dropping-particle":"","parse-names":false,"suffix":""},{"dropping-particle":"","family":"Eves","given":"Heather","non-dropping-particle":"","parse-names":false,"suffix":""},{"dropping-particle":"","family":"Henschel","given":"Philipp","non-dropping-particle":"","parse-names":false,"suffix":""},{"dropping-particle":"","family":"Lewis","given":"Dale","non-dropping-particle":"","parse-names":false,"suffix":""},{"dropping-particle":"","family":"Marnewick","given":"Kelly","non-dropping-particle":"","parse-names":false,"suffix":""},{"dropping-particle":"","family":"Mattheus","given":"Jaco","non-dropping-particle":"","parse-names":false,"suffix":""},{"dropping-particle":"","family":"Weldon McNutt","given":"J.","non-dropping-particle":"","parse-names":false,"suffix":""},{"dropping-particle":"","family":"McRobb","given":"Rachel","non-dropping-particle":"","parse-names":false,"suffix":""},{"dropping-particle":"","family":"Midlane","given":"Neil","non-dropping-particle":"","parse-names":false,"suffix":""},{"dropping-particle":"","family":"Milanzi","given":"James","non-dropping-particle":"","parse-names":false,"suffix":""},{"dropping-particle":"","family":"Morley","given":"Robert","non-dropping-particle":"","parse-names":false,"suffix":""},{"dropping-particle":"","family":"Murphree","given":"Michael","non-dropping-particle":"","parse-names":false,"suffix":""},{"dropping-particle":"","family":"Opyene","given":"Vincent","non-dropping-particle":"","parse-names":false,"suffix":""},{"dropping-particle":"","family":"Phadima","given":"Joe","non-dropping-particle":"","parse-names":false,"suffix":""},{"dropping-particle":"","family":"Purchase","given":"Gianetta","non-dropping-particle":"","parse-names":false,"suffix":""},{"dropping-particle":"","family":"Rentsch","given":"Dennis","non-dropping-particle":"","parse-names":false,"suffix":""},{"dropping-particle":"","family":"Roche","given":"Christopher","non-dropping-particle":"","parse-names":false,"suffix":""},{"dropping-particle":"","family":"Shaw","given":"Joanne","non-dropping-particle":"","parse-names":false,"suffix":""},{"dropping-particle":"van der","family":"Westhuizen","given":"Hugo","non-dropping-particle":"","parse-names":false,"suffix":""},{"dropping-particle":"Van","family":"Vliet","given":"Nathalie","non-dropping-particle":"","parse-names":false,"suffix":""},{"dropping-particle":"","family":"Zisadza-Gandiwa","given":"Patience","non-dropping-particle":"","parse-names":false,"suffix":""}],"container-title":"Biological Conservation","id":"ITEM-2","issued":{"date-parts":[["2013"]]},"page":"80-96","title":"The bushmeat trade in African savannas: Impacts, drivers, and possible solutions","type":"article-journal","volume":"160"},"uris":["http://www.mendeley.com/documents/?uuid=c895dd6c-1f97-4744-b4cc-30da58bbc9b4"]},{"id":"ITEM-3","itemData":{"abstract":"In this report, the term 'bushmeat' is used to denote meat from wild animals that have been hunted illegally, which aside from being used for personal consumption, is often sold commercially. The bushmeat trade has long been recognized as a severe threat to wildlife populations in the forests of West and Central Africa and is considered a conservation crisis in that biome. Far less attention has been focused on the issue in African savannas, perhaps due to a misconception that illegal hunting for bushmeat in the biome is primarily for subsistence and is largely sustainable. However, there is a growing body of research conducted in the Serengeti ecosystem in Tanzania, and from sporadic studies elsewhere that contradict that perception. This report summarizes a workshop on illegal hunting and the bushmeat trade in the savanna biome organised and sponsored by Panthera, the Zoological Society of London and Wildlife Conservation Society. Growing concern over the impacts of illegal hunting and the bushmeat trade, particularly on large carnivores populations in Southern and East Africa, motivated the workshop. Large carnivores are particularly sensitive to the impacts of illegal hunting and the bushmeat trade and can act as a barometer of the severity of the problem, and also act as a basis from which to catalyze conservation action. Key experts gathered at the workshop to identify the drivers of illegal hunting and the bushmeat trade and the interventions necessary to address the issue. Hunting of wildlife is regulated in most African countries through wildlife legislation and permitting systems which specify restrictions on the times and places that hunting is permitted, the species that may be hunted and the hunting methods that may be used. The large majority of hunting for bushmeat contravenes one or more such restrictions. Snaring is the most common illegal hunting method and is particularly undesirable from a conservation perspective as it is highly effective, difficult to control, unselective in terms of the genders or species of animals captured, wasteful, and has severe animal welfare implications due to the manner of capture and confinement, and frequent incidents of severe, non-lethal wounding of wildlife. Other common bushmeat hunting methods include the use of rifles, muzzle-loaders, shotguns, dogs, fire, and in some cases, gin traps, pitfall traps and poison.","author":[{"dropping-particle":"","family":"Lindsey","given":"P","non-dropping-particle":"","parse-names":false,"suffix":""},{"dropping-particle":"","family":"Balme","given":"G","non-dropping-particle":"","parse-names":false,"suffix":""},{"dropping-particle":"","family":"Becker","given":"M","non-dropping-particle":"","parse-names":false,"suffix":""},{"dropping-particle":"","family":"Begg","given":"C","non-dropping-particle":"","parse-names":false,"suffix":""},{"dropping-particle":"","family":"Bento","given":"C","non-dropping-particle":"","parse-names":false,"suffix":""},{"dropping-particle":"","family":"Bocchino","given":"C","non-dropping-particle":"","parse-names":false,"suffix":""},{"dropping-particle":"","family":"Dickman","given":"A","non-dropping-particle":"","parse-names":false,"suffix":""},{"dropping-particle":"","family":"Diggle","given":"R","non-dropping-particle":"","parse-names":false,"suffix":""},{"dropping-particle":"","family":"Eves","given":"H","non-dropping-particle":"","parse-names":false,"suffix":""},{"dropping-particle":"","family":"Henschel","given":"P","non-dropping-particle":"","parse-names":false,"suffix":""},{"dropping-particle":"","family":"Lewis","given":"D","non-dropping-particle":"","parse-names":false,"suffix":""},{"dropping-particle":"","family":"Marnewick","given":"K","non-dropping-particle":"","parse-names":false,"suffix":""},{"dropping-particle":"","family":"Matheus","given":"J","non-dropping-particle":"","parse-names":false,"suffix":""},{"dropping-particle":"","family":"McNutt","given":"J.W.","non-dropping-particle":"","parse-names":false,"suffix":""},{"dropping-particle":"","family":"McRobb","given":"R","non-dropping-particle":"","parse-names":false,"suffix":""},{"dropping-particle":"","family":"Midlane","given":"N","non-dropping-particle":"","parse-names":false,"suffix":""},{"dropping-particle":"","family":"Milanzi","given":"J","non-dropping-particle":"","parse-names":false,"suffix":""},{"dropping-particle":"","family":"Morley","given":"R","non-dropping-particle":"","parse-names":false,"suffix":""},{"dropping-particle":"","family":"Murphree","given":"M","non-dropping-particle":"","parse-names":false,"suffix":""},{"dropping-particle":"","family":"Nyoni","given":"P","non-dropping-particle":"","parse-names":false,"suffix":""},{"dropping-particle":"","family":"Opyene","given":"V","non-dropping-particle":"","parse-names":false,"suffix":""},{"dropping-particle":"","family":"Phadima","given":"J","non-dropping-particle":"","parse-names":false,"suffix":""},{"dropping-particle":"","family":"Purchase","given":"N","non-dropping-particle":"","parse-names":false,"suffix":""},{"dropping-particle":"","family":"Rentsch","given":"D","non-dropping-particle":"","parse-names":false,"suffix":""},{"dropping-particle":"","family":"Roche","given":"C","non-dropping-particle":"","parse-names":false,"suffix":""},{"dropping-particle":"","family":"SHaw","given":"J","non-dropping-particle":"","parse-names":false,"suffix":""},{"dropping-particle":"","family":"Westhuizen","given":"H","non-dropping-particle":"van der","parse-names":false,"suffix":""},{"dropping-particle":"","family":"Vliet","given":"N","non-dropping-particle":"Van","parse-names":false,"suffix":""},{"dropping-particle":"","family":"Zisadza","given":"P","non-dropping-particle":"","parse-names":false,"suffix":""}],"id":"ITEM-3","issued":{"date-parts":[["2012"]]},"number-of-pages":"74","publisher-place":"Panthera/Zoological Society of London/Wildlife Conservation Society report, New York, USA","title":"Illegal hunting and the bushmeat trade in savanna Africa: drivers, impacts and solutions to address the Problem","type":"report"},"uris":["http://www.mendeley.com/documents/?uuid=4a928509-ba61-4f94-9540-31e0f46d02f0"]}],"mendeley":{"formattedCitation":"(Lindsey et al. 2012, 2013a; Van Velden et al. 2018)","plainTextFormattedCitation":"(Lindsey et al. 2012, 2013a; Van Velden et al. 2018)","previouslyFormattedCitation":"(Lindsey et al. 2012, 2013a; Van Velden et al. 2018)"},"properties":{"noteIndex":0},"schema":"https://github.com/citation-style-language/schema/raw/master/csl-citation.json"}</w:instrText>
      </w:r>
      <w:r w:rsidR="00565522">
        <w:rPr>
          <w:color w:val="000000" w:themeColor="text1"/>
        </w:rPr>
        <w:fldChar w:fldCharType="separate"/>
      </w:r>
      <w:r w:rsidR="00730F44" w:rsidRPr="00730F44">
        <w:rPr>
          <w:noProof/>
          <w:color w:val="000000" w:themeColor="text1"/>
        </w:rPr>
        <w:t>(Lindsey et al. 2012, 2013a; Van Velden et al. 2018)</w:t>
      </w:r>
      <w:r w:rsidR="00565522">
        <w:rPr>
          <w:color w:val="000000" w:themeColor="text1"/>
        </w:rPr>
        <w:fldChar w:fldCharType="end"/>
      </w:r>
      <w:r w:rsidR="00820754" w:rsidRPr="00DA4708">
        <w:rPr>
          <w:color w:val="000000" w:themeColor="text1"/>
        </w:rPr>
        <w:t xml:space="preserve">. </w:t>
      </w:r>
      <w:r w:rsidR="00432DC1" w:rsidRPr="00DA4708">
        <w:rPr>
          <w:color w:val="000000" w:themeColor="text1"/>
        </w:rPr>
        <w:t xml:space="preserve">In these open habitats </w:t>
      </w:r>
      <w:r w:rsidR="009C3089" w:rsidRPr="00DA4708">
        <w:rPr>
          <w:color w:val="000000" w:themeColor="text1"/>
        </w:rPr>
        <w:t xml:space="preserve">enforcement of hunting laws </w:t>
      </w:r>
      <w:r w:rsidR="00D757F9" w:rsidRPr="00DA4708">
        <w:rPr>
          <w:color w:val="000000" w:themeColor="text1"/>
        </w:rPr>
        <w:t>is</w:t>
      </w:r>
      <w:r w:rsidR="009C3089" w:rsidRPr="00DA4708">
        <w:rPr>
          <w:color w:val="000000" w:themeColor="text1"/>
        </w:rPr>
        <w:t xml:space="preserve"> </w:t>
      </w:r>
      <w:r w:rsidR="00DA4708" w:rsidRPr="00DA4708">
        <w:rPr>
          <w:color w:val="000000" w:themeColor="text1"/>
        </w:rPr>
        <w:t xml:space="preserve">often </w:t>
      </w:r>
      <w:r w:rsidR="00432DC1" w:rsidRPr="00DA4708">
        <w:rPr>
          <w:color w:val="000000" w:themeColor="text1"/>
        </w:rPr>
        <w:t>easier</w:t>
      </w:r>
      <w:r w:rsidR="00820754" w:rsidRPr="00DA4708">
        <w:rPr>
          <w:color w:val="000000" w:themeColor="text1"/>
        </w:rPr>
        <w:t xml:space="preserve"> </w:t>
      </w:r>
      <w:r w:rsidR="00432DC1" w:rsidRPr="00DA4708">
        <w:rPr>
          <w:color w:val="000000" w:themeColor="text1"/>
        </w:rPr>
        <w:t>because of the greater mobility</w:t>
      </w:r>
      <w:r w:rsidR="00DA4708" w:rsidRPr="00DA4708">
        <w:rPr>
          <w:color w:val="000000" w:themeColor="text1"/>
        </w:rPr>
        <w:t xml:space="preserve"> and visibility</w:t>
      </w:r>
      <w:r w:rsidR="00432DC1" w:rsidRPr="00DA4708">
        <w:rPr>
          <w:color w:val="000000" w:themeColor="text1"/>
        </w:rPr>
        <w:t xml:space="preserve"> possible for patrols in these environments. However, gathering</w:t>
      </w:r>
      <w:r w:rsidR="009C3089" w:rsidRPr="00DA4708">
        <w:rPr>
          <w:color w:val="000000" w:themeColor="text1"/>
        </w:rPr>
        <w:t xml:space="preserve"> </w:t>
      </w:r>
      <w:r w:rsidR="00D757F9" w:rsidRPr="00DA4708">
        <w:rPr>
          <w:color w:val="000000" w:themeColor="text1"/>
        </w:rPr>
        <w:t xml:space="preserve">data </w:t>
      </w:r>
      <w:r w:rsidR="00432DC1" w:rsidRPr="00DA4708">
        <w:rPr>
          <w:color w:val="000000" w:themeColor="text1"/>
        </w:rPr>
        <w:t xml:space="preserve">on </w:t>
      </w:r>
      <w:r w:rsidR="001C10E4">
        <w:rPr>
          <w:color w:val="000000" w:themeColor="text1"/>
        </w:rPr>
        <w:t>volumes</w:t>
      </w:r>
      <w:r w:rsidR="00532E87">
        <w:rPr>
          <w:color w:val="000000" w:themeColor="text1"/>
        </w:rPr>
        <w:t xml:space="preserve"> of wildmeat</w:t>
      </w:r>
      <w:r w:rsidR="001C10E4">
        <w:rPr>
          <w:color w:val="000000" w:themeColor="text1"/>
        </w:rPr>
        <w:t xml:space="preserve"> hunted </w:t>
      </w:r>
      <w:r w:rsidR="00432DC1" w:rsidRPr="00DA4708">
        <w:rPr>
          <w:color w:val="000000" w:themeColor="text1"/>
        </w:rPr>
        <w:t>has remained difficult, though some studies do exist</w:t>
      </w:r>
      <w:r w:rsidR="00D757F9" w:rsidRPr="00DA4708">
        <w:rPr>
          <w:color w:val="000000" w:themeColor="text1"/>
        </w:rPr>
        <w:t xml:space="preserve"> </w:t>
      </w:r>
      <w:r w:rsidR="00F8189C">
        <w:rPr>
          <w:color w:val="000000" w:themeColor="text1"/>
        </w:rPr>
        <w:fldChar w:fldCharType="begin" w:fldLock="1"/>
      </w:r>
      <w:r w:rsidR="00B2630D">
        <w:rPr>
          <w:color w:val="000000" w:themeColor="text1"/>
        </w:rPr>
        <w:instrText>ADDIN CSL_CITATION {"citationItems":[{"id":"ITEM-1","itemData":{"author":[{"dropping-particle":"","family":"Mfunda","given":"I.M.","non-dropping-particle":"","parse-names":false,"suffix":""},{"dropping-particle":"","family":"Røskaft","given":"E.","non-dropping-particle":"","parse-names":false,"suffix":""}],"container-title":"International Journal of Biodiversity and Conservation","id":"ITEM-1","issued":{"date-parts":[["2010"]]},"page":"263 - 272","title":"Bushmeat hunting in Serengeti, Tanzania: an important economic activity to local people.","type":"article-journal","volume":"2"},"uris":["http://www.mendeley.com/documents/?uuid=6a18730b-68af-4b75-a26d-4ea17786ab97"]},{"id":"ITEM-2","itemData":{"author":[{"dropping-particle":"","family":"Hofer","given":"H.","non-dropping-particle":"","parse-names":false,"suffix":""},{"dropping-particle":"","family":"Campbell","given":"K.L.I.","non-dropping-particle":"","parse-names":false,"suffix":""},{"dropping-particle":"","family":"East","given":"M.L","non-dropping-particle":"","parse-names":false,"suffix":""},{"dropping-particle":"","family":"Huish","given":"S.A.","non-dropping-particle":"","parse-names":false,"suffix":""}],"container-title":"The Exploitation of Mammal Populations","editor":[{"dropping-particle":"","family":"Taylor","given":"V.J.","non-dropping-particle":"","parse-names":false,"suffix":""},{"dropping-particle":"","family":"Dunstone","given":"N.","non-dropping-particle":"","parse-names":false,"suffix":""}],"id":"ITEM-2","issued":{"date-parts":[["1996"]]},"page":"117-146","publisher":"Springer","publisher-place":"Dordrecht, Netherlands","title":"The impact of game meat hunting on target and non-target species in the Serengeti","type":"chapter"},"uris":["http://www.mendeley.com/documents/?uuid=868aa1bd-ed81-4773-948a-f41be53892a6"]}],"mendeley":{"formattedCitation":"(Hofer et al. 1996; Mfunda &amp; Røskaft 2010)","manualFormatting":"(see Hofer et al. 1996; Mfunda &amp; Røskaft 2010)","plainTextFormattedCitation":"(Hofer et al. 1996; Mfunda &amp; Røskaft 2010)","previouslyFormattedCitation":"(Hofer et al. 1996; Mfunda &amp; Røskaft 2010)"},"properties":{"noteIndex":0},"schema":"https://github.com/citation-style-language/schema/raw/master/csl-citation.json"}</w:instrText>
      </w:r>
      <w:r w:rsidR="00F8189C">
        <w:rPr>
          <w:color w:val="000000" w:themeColor="text1"/>
        </w:rPr>
        <w:fldChar w:fldCharType="separate"/>
      </w:r>
      <w:r w:rsidR="00F8189C" w:rsidRPr="00F8189C">
        <w:rPr>
          <w:noProof/>
          <w:color w:val="000000" w:themeColor="text1"/>
        </w:rPr>
        <w:t>(</w:t>
      </w:r>
      <w:r w:rsidR="00F8189C">
        <w:rPr>
          <w:noProof/>
          <w:color w:val="000000" w:themeColor="text1"/>
        </w:rPr>
        <w:t xml:space="preserve">see </w:t>
      </w:r>
      <w:r w:rsidR="00F8189C" w:rsidRPr="00F8189C">
        <w:rPr>
          <w:noProof/>
          <w:color w:val="000000" w:themeColor="text1"/>
        </w:rPr>
        <w:t>Hofer et al. 1996; Mfunda &amp; Røskaft 2010)</w:t>
      </w:r>
      <w:r w:rsidR="00F8189C">
        <w:rPr>
          <w:color w:val="000000" w:themeColor="text1"/>
        </w:rPr>
        <w:fldChar w:fldCharType="end"/>
      </w:r>
      <w:r w:rsidR="00B82BFD">
        <w:rPr>
          <w:color w:val="000000" w:themeColor="text1"/>
        </w:rPr>
        <w:t xml:space="preserve">. </w:t>
      </w:r>
      <w:r w:rsidR="00DE1FD7" w:rsidRPr="00DA4708">
        <w:rPr>
          <w:color w:val="000000" w:themeColor="text1"/>
        </w:rPr>
        <w:t>In all regions and biomes</w:t>
      </w:r>
      <w:r w:rsidR="002E2B00" w:rsidRPr="00DA4708">
        <w:rPr>
          <w:color w:val="000000" w:themeColor="text1"/>
        </w:rPr>
        <w:t>,</w:t>
      </w:r>
      <w:r w:rsidR="00DE1FD7" w:rsidRPr="00DA4708">
        <w:rPr>
          <w:color w:val="000000" w:themeColor="text1"/>
        </w:rPr>
        <w:t xml:space="preserve"> there is </w:t>
      </w:r>
      <w:r w:rsidR="002E2B00" w:rsidRPr="00DA4708">
        <w:rPr>
          <w:color w:val="000000" w:themeColor="text1"/>
        </w:rPr>
        <w:t>a scarcity of</w:t>
      </w:r>
      <w:r w:rsidR="00DE1FD7" w:rsidRPr="00DA4708">
        <w:rPr>
          <w:color w:val="000000" w:themeColor="text1"/>
        </w:rPr>
        <w:t xml:space="preserve"> data on offtakes </w:t>
      </w:r>
      <w:r w:rsidR="002E2B00" w:rsidRPr="00DA4708">
        <w:rPr>
          <w:color w:val="000000" w:themeColor="text1"/>
        </w:rPr>
        <w:t>by</w:t>
      </w:r>
      <w:r w:rsidR="00DE1FD7" w:rsidRPr="00DA4708">
        <w:rPr>
          <w:color w:val="000000" w:themeColor="text1"/>
        </w:rPr>
        <w:t xml:space="preserve"> external commercial hunters, due to the difficulties and dangers of collecting </w:t>
      </w:r>
      <w:r w:rsidR="002E2B00" w:rsidRPr="00DA4708">
        <w:rPr>
          <w:color w:val="000000" w:themeColor="text1"/>
        </w:rPr>
        <w:t>this information</w:t>
      </w:r>
      <w:r w:rsidR="00DE1FD7" w:rsidRPr="00DA4708">
        <w:rPr>
          <w:color w:val="000000" w:themeColor="text1"/>
        </w:rPr>
        <w:t>.</w:t>
      </w:r>
    </w:p>
    <w:p w14:paraId="21BD0A4A" w14:textId="26EE9BED" w:rsidR="00A9585C" w:rsidRPr="001C10E4" w:rsidRDefault="002E2B00" w:rsidP="00FC31D2">
      <w:pPr>
        <w:jc w:val="both"/>
        <w:rPr>
          <w:noProof/>
          <w:color w:val="000000" w:themeColor="text1"/>
        </w:rPr>
      </w:pPr>
      <w:r w:rsidRPr="00DA4708">
        <w:rPr>
          <w:color w:val="000000" w:themeColor="text1"/>
        </w:rPr>
        <w:t xml:space="preserve">Comparisons </w:t>
      </w:r>
      <w:r w:rsidR="00FC31D2" w:rsidRPr="00DA4708">
        <w:rPr>
          <w:color w:val="000000" w:themeColor="text1"/>
        </w:rPr>
        <w:t>between</w:t>
      </w:r>
      <w:r w:rsidRPr="00DA4708">
        <w:rPr>
          <w:color w:val="000000" w:themeColor="text1"/>
        </w:rPr>
        <w:t xml:space="preserve"> the </w:t>
      </w:r>
      <w:r w:rsidR="00FC31D2" w:rsidRPr="00DA4708">
        <w:rPr>
          <w:color w:val="000000" w:themeColor="text1"/>
        </w:rPr>
        <w:t xml:space="preserve">maximum </w:t>
      </w:r>
      <w:r w:rsidRPr="00DA4708">
        <w:rPr>
          <w:color w:val="000000" w:themeColor="text1"/>
        </w:rPr>
        <w:t xml:space="preserve">potential production of wildlife populations and </w:t>
      </w:r>
      <w:r w:rsidR="00F85014" w:rsidRPr="00DA4708">
        <w:rPr>
          <w:color w:val="000000" w:themeColor="text1"/>
        </w:rPr>
        <w:t>known</w:t>
      </w:r>
      <w:r w:rsidRPr="00DA4708">
        <w:rPr>
          <w:color w:val="000000" w:themeColor="text1"/>
        </w:rPr>
        <w:t xml:space="preserve"> extraction rates </w:t>
      </w:r>
      <w:r w:rsidR="00F85014" w:rsidRPr="00DA4708">
        <w:rPr>
          <w:color w:val="000000" w:themeColor="text1"/>
        </w:rPr>
        <w:t xml:space="preserve">(from hunter bag data or extrapolations from these) </w:t>
      </w:r>
      <w:r w:rsidRPr="00DA4708">
        <w:rPr>
          <w:color w:val="000000" w:themeColor="text1"/>
        </w:rPr>
        <w:t>have allowe</w:t>
      </w:r>
      <w:r w:rsidR="00FC31D2" w:rsidRPr="00DA4708">
        <w:rPr>
          <w:color w:val="000000" w:themeColor="text1"/>
        </w:rPr>
        <w:t xml:space="preserve">d some authors to </w:t>
      </w:r>
      <w:r w:rsidR="00F217AD">
        <w:rPr>
          <w:color w:val="000000" w:themeColor="text1"/>
        </w:rPr>
        <w:t>investigate</w:t>
      </w:r>
      <w:r w:rsidR="00FC31D2" w:rsidRPr="00DA4708">
        <w:rPr>
          <w:color w:val="000000" w:themeColor="text1"/>
        </w:rPr>
        <w:t xml:space="preserve"> whether overall hunting levels are likely to be sustainable. </w:t>
      </w:r>
      <w:r w:rsidR="00F85014" w:rsidRPr="00DA4708">
        <w:rPr>
          <w:color w:val="000000" w:themeColor="text1"/>
        </w:rPr>
        <w:t xml:space="preserve">Extraction-production models, used to determine wildlife exploitation levels in the Amazon and Congo Basins by Fa et al. </w:t>
      </w:r>
      <w:r w:rsidR="001C10E4">
        <w:rPr>
          <w:color w:val="000000" w:themeColor="text1"/>
        </w:rPr>
        <w:fldChar w:fldCharType="begin" w:fldLock="1"/>
      </w:r>
      <w:r w:rsidR="00184775">
        <w:rPr>
          <w:color w:val="000000" w:themeColor="text1"/>
        </w:rPr>
        <w:instrText>ADDIN CSL_CITATION {"citationItems":[{"id":"ITEM-1","itemData":{"DOI":"10.1046/j.1523-1739.2002.00275.x","ISBN":"1523-1739","ISSN":"0888-8892","PMID":"10875522","abstract":"We calculated extraction and production rates of bushmeat species in two main tropical, moist-forest regions, the Amazon and Congo basins. Extraction was estimated from the average number of animals consumed per person per year from anthropological studies that reported animal kills brought into settlements in the regions. We calculated extraction rates ( kg / km 2/year) for 57 and 31 mammalian taxa in the Congo and Amazon, respectively. We then examined the sustainability of these extraction rates by basin and by taxa, using extraction-to-production ( E:P) mass-balance equations. Production (tonnes/year) was calculated as the product of rmax (the intrinsic rate of natural increase), mammal biomass, and total area of forest in each region. Species exploitation rates at specific body masses were significantly greater in the Congo than in the Amazon. The E :P ratio for the Congo was 2.4, 30 times the Amazon's ratio of 0.081. Thus, Congo Basin mammals must annually produce approximately 93% of their body mass to balance current extraction rates, whereas Amazonian mammals must produce only 4% of their body mass. We calculated sustainability levels derived from Robinson and Redford's harvest model for each taxa. On a basin-wide level, 60% and none of the mammal taxa in the Congo and Amazon basins, respectively, were exploited unsustainably. To evaluate the effect of error on the estimates of E :P, we conducted a sensitivity analysis, which suggests that the mass-balance was most sensitive to error in standing stock but that our results are robust. We estimated that over 5 million tons of wild mammal meat feed millions in Neotropical (0.15 million) and Afrotropical (4.9 million) forests annually. Our Congo basin estimates are four times higher than those calculated for the region by other workers, and we conclude that the current situation of bushmeat extraction in African rain forests is more precarious than previously thought. Calculamos las tasas de extracción y de producción de especies cinegéticas en dos importantes regiones tropicales de bosque húmedo: las cuencas del Amazonas y del Congo. Se estimó la extracción a partir del número promedio de animales consumidos por año en estudios antropológicos que registraron animales cazados y llevados a los poblados en las regiones. Calculamos tasas de extracción ( kg/km 2/año−1) para 57 y 31 taxa de mamíferos en el Congo y el Amazonas, respectivamente. Posteriormente examinamos la sustentabilidad de estas tasas …","author":[{"dropping-particle":"","family":"Fa","given":"John E","non-dropping-particle":"","parse-names":false,"suffix":""},{"dropping-particle":"","family":"Peres","given":"Carlos A","non-dropping-particle":"","parse-names":false,"suffix":""},{"dropping-particle":"","family":"Meeuwig","given":"Jessica","non-dropping-particle":"","parse-names":false,"suffix":""}],"container-title":"Conservation Biology","id":"ITEM-1","issue":"1","issued":{"date-parts":[["2002"]]},"page":"232-237","title":"Bushmeat exploitation in tropical forests: an intercontinental comparison","type":"article-journal","volume":"16"},"uris":["http://www.mendeley.com/documents/?uuid=e1b18c38-751b-40b4-a08a-c77816093199"]}],"mendeley":{"formattedCitation":"(Fa et al. 2002)","manualFormatting":"(2002)","plainTextFormattedCitation":"(Fa et al. 2002)","previouslyFormattedCitation":"(Fa et al. 2002)"},"properties":{"noteIndex":0},"schema":"https://github.com/citation-style-language/schema/raw/master/csl-citation.json"}</w:instrText>
      </w:r>
      <w:r w:rsidR="001C10E4">
        <w:rPr>
          <w:color w:val="000000" w:themeColor="text1"/>
        </w:rPr>
        <w:fldChar w:fldCharType="separate"/>
      </w:r>
      <w:r w:rsidR="001C10E4">
        <w:rPr>
          <w:noProof/>
          <w:color w:val="000000" w:themeColor="text1"/>
        </w:rPr>
        <w:t>(</w:t>
      </w:r>
      <w:r w:rsidR="001C10E4" w:rsidRPr="001C10E4">
        <w:rPr>
          <w:noProof/>
          <w:color w:val="000000" w:themeColor="text1"/>
        </w:rPr>
        <w:t>2002)</w:t>
      </w:r>
      <w:r w:rsidR="001C10E4">
        <w:rPr>
          <w:color w:val="000000" w:themeColor="text1"/>
        </w:rPr>
        <w:fldChar w:fldCharType="end"/>
      </w:r>
      <w:r w:rsidR="00F85014" w:rsidRPr="00DA4708">
        <w:rPr>
          <w:color w:val="000000" w:themeColor="text1"/>
        </w:rPr>
        <w:t>, suggest that</w:t>
      </w:r>
      <w:r w:rsidR="00292C72" w:rsidRPr="00DA4708">
        <w:rPr>
          <w:color w:val="000000" w:themeColor="text1"/>
        </w:rPr>
        <w:t xml:space="preserve"> overall extraction rates </w:t>
      </w:r>
      <w:r w:rsidR="004A5D1B" w:rsidRPr="00DA4708">
        <w:rPr>
          <w:color w:val="000000" w:themeColor="text1"/>
        </w:rPr>
        <w:t xml:space="preserve">in the Congo Basin </w:t>
      </w:r>
      <w:r w:rsidR="00292C72" w:rsidRPr="00DA4708">
        <w:rPr>
          <w:color w:val="000000" w:themeColor="text1"/>
        </w:rPr>
        <w:t xml:space="preserve">could be </w:t>
      </w:r>
      <w:r w:rsidR="00F85014" w:rsidRPr="00DA4708">
        <w:rPr>
          <w:color w:val="000000" w:themeColor="text1"/>
        </w:rPr>
        <w:t xml:space="preserve">as much as </w:t>
      </w:r>
      <w:r w:rsidR="00292C72" w:rsidRPr="00DA4708">
        <w:rPr>
          <w:color w:val="000000" w:themeColor="text1"/>
        </w:rPr>
        <w:t xml:space="preserve">six times </w:t>
      </w:r>
      <w:r w:rsidR="00F85014" w:rsidRPr="00DA4708">
        <w:rPr>
          <w:color w:val="000000" w:themeColor="text1"/>
        </w:rPr>
        <w:t>greater than</w:t>
      </w:r>
      <w:r w:rsidR="00F217AD">
        <w:rPr>
          <w:color w:val="000000" w:themeColor="text1"/>
        </w:rPr>
        <w:t xml:space="preserve"> the maximum sustainable rate,</w:t>
      </w:r>
      <w:r w:rsidR="00292C72" w:rsidRPr="00DA4708">
        <w:rPr>
          <w:color w:val="000000" w:themeColor="text1"/>
        </w:rPr>
        <w:t xml:space="preserve"> </w:t>
      </w:r>
      <w:r w:rsidR="004A5D1B" w:rsidRPr="00DA4708">
        <w:rPr>
          <w:color w:val="000000" w:themeColor="text1"/>
        </w:rPr>
        <w:t>but significantly less</w:t>
      </w:r>
      <w:r w:rsidR="00F85014" w:rsidRPr="00DA4708">
        <w:rPr>
          <w:color w:val="000000" w:themeColor="text1"/>
        </w:rPr>
        <w:t xml:space="preserve"> in the Amazon Basin.</w:t>
      </w:r>
      <w:r w:rsidR="00292C72" w:rsidRPr="00DA4708">
        <w:rPr>
          <w:color w:val="000000" w:themeColor="text1"/>
        </w:rPr>
        <w:t xml:space="preserve"> </w:t>
      </w:r>
      <w:r w:rsidR="004A5D1B" w:rsidRPr="00DA4708">
        <w:rPr>
          <w:color w:val="000000" w:themeColor="text1"/>
        </w:rPr>
        <w:t>Although informative</w:t>
      </w:r>
      <w:r w:rsidR="00403CFD" w:rsidRPr="00DA4708">
        <w:rPr>
          <w:color w:val="000000" w:themeColor="text1"/>
        </w:rPr>
        <w:t>,</w:t>
      </w:r>
      <w:r w:rsidR="004A5D1B" w:rsidRPr="00DA4708">
        <w:rPr>
          <w:color w:val="000000" w:themeColor="text1"/>
        </w:rPr>
        <w:t xml:space="preserve"> </w:t>
      </w:r>
      <w:r w:rsidR="00403CFD" w:rsidRPr="00DA4708">
        <w:rPr>
          <w:color w:val="000000" w:themeColor="text1"/>
        </w:rPr>
        <w:t>s</w:t>
      </w:r>
      <w:r w:rsidR="00F85014" w:rsidRPr="00DA4708">
        <w:rPr>
          <w:color w:val="000000" w:themeColor="text1"/>
        </w:rPr>
        <w:t>uch</w:t>
      </w:r>
      <w:r w:rsidR="00292C72" w:rsidRPr="00DA4708">
        <w:rPr>
          <w:color w:val="000000" w:themeColor="text1"/>
        </w:rPr>
        <w:t xml:space="preserve"> regional estimates are </w:t>
      </w:r>
      <w:r w:rsidR="00403CFD" w:rsidRPr="00DA4708">
        <w:rPr>
          <w:color w:val="000000" w:themeColor="text1"/>
        </w:rPr>
        <w:t xml:space="preserve">likely to be affected by sample size and by </w:t>
      </w:r>
      <w:r w:rsidR="003147F8">
        <w:rPr>
          <w:color w:val="000000" w:themeColor="text1"/>
        </w:rPr>
        <w:t>important social, ecological and geographical differences</w:t>
      </w:r>
      <w:r w:rsidR="00403CFD" w:rsidRPr="00DA4708">
        <w:rPr>
          <w:color w:val="000000" w:themeColor="text1"/>
        </w:rPr>
        <w:t xml:space="preserve"> between </w:t>
      </w:r>
      <w:r w:rsidR="00292C72" w:rsidRPr="00DA4708">
        <w:rPr>
          <w:color w:val="000000" w:themeColor="text1"/>
        </w:rPr>
        <w:t xml:space="preserve">sites </w:t>
      </w:r>
      <w:r w:rsidR="001C10E4">
        <w:rPr>
          <w:color w:val="000000" w:themeColor="text1"/>
        </w:rPr>
        <w:fldChar w:fldCharType="begin" w:fldLock="1"/>
      </w:r>
      <w:r w:rsidR="001C10E4">
        <w:rPr>
          <w:color w:val="000000" w:themeColor="text1"/>
        </w:rPr>
        <w:instrText>ADDIN CSL_CITATION {"citationItems":[{"id":"ITEM-1","itemData":{"DOI":"10.1016/j.biocon.2004.04.016","ISSN":"00063207","author":[{"dropping-particle":"","family":"Fa","given":"John E.","non-dropping-particle":"","parse-names":false,"suffix":""},{"dropping-particle":"","family":"Ryan","given":"Sarah F.","non-dropping-particle":"","parse-names":false,"suffix":""},{"dropping-particle":"","family":"Bell","given":"Diana J.","non-dropping-particle":"","parse-names":false,"suffix":""}],"container-title":"Biological Conservation","id":"ITEM-1","issue":"2","issued":{"date-parts":[["2005","1"]]},"page":"167-176","title":"Hunting vulnerability, ecological characteristics and harvest rates of bushmeat species in afrotropical forests","type":"article-journal","volume":"121"},"uris":["http://www.mendeley.com/documents/?uuid=8773490d-127b-43e1-b8ec-42eaace732e4"]},{"id":"ITEM-2","itemData":{"author":[{"dropping-particle":"","family":"Nasi","given":"R","non-dropping-particle":"","parse-names":false,"suffix":""},{"dropping-particle":"","family":"Taber","given":"A","non-dropping-particle":"","parse-names":false,"suffix":""},{"dropping-particle":"","family":"Vliet","given":"N","non-dropping-particle":"van","parse-names":false,"suffix":""}],"container-title":"International Forestry Review","id":"ITEM-2","issue":"3","issued":{"date-parts":[["2011"]]},"page":"355-368","title":"Empty forests, empty stomachs? Bushmeat and livelihoods in the Congo and Amazon Basins","type":"article-journal","volume":"13"},"uris":["http://www.mendeley.com/documents/?uuid=975db7a7-3da0-44cf-9a13-3605f762558f"]}],"mendeley":{"formattedCitation":"(Fa et al. 2005; Nasi et al. 2011)","plainTextFormattedCitation":"(Fa et al. 2005; Nasi et al. 2011)","previouslyFormattedCitation":"(Fa et al. 2005; Nasi et al. 2011)"},"properties":{"noteIndex":0},"schema":"https://github.com/citation-style-language/schema/raw/master/csl-citation.json"}</w:instrText>
      </w:r>
      <w:r w:rsidR="001C10E4">
        <w:rPr>
          <w:color w:val="000000" w:themeColor="text1"/>
        </w:rPr>
        <w:fldChar w:fldCharType="separate"/>
      </w:r>
      <w:r w:rsidR="001C10E4" w:rsidRPr="001C10E4">
        <w:rPr>
          <w:noProof/>
          <w:color w:val="000000" w:themeColor="text1"/>
        </w:rPr>
        <w:t>(Fa et al. 2005; Nasi et al. 2011)</w:t>
      </w:r>
      <w:r w:rsidR="001C10E4">
        <w:rPr>
          <w:color w:val="000000" w:themeColor="text1"/>
        </w:rPr>
        <w:fldChar w:fldCharType="end"/>
      </w:r>
      <w:r w:rsidR="00292C72" w:rsidRPr="00DA4708">
        <w:rPr>
          <w:color w:val="000000" w:themeColor="text1"/>
        </w:rPr>
        <w:t xml:space="preserve">. </w:t>
      </w:r>
      <w:r w:rsidR="00403CFD" w:rsidRPr="00DA4708">
        <w:rPr>
          <w:color w:val="000000" w:themeColor="text1"/>
        </w:rPr>
        <w:t>As a consequence, regional offtake e</w:t>
      </w:r>
      <w:r w:rsidR="00292C72" w:rsidRPr="00DA4708">
        <w:rPr>
          <w:color w:val="000000" w:themeColor="text1"/>
        </w:rPr>
        <w:t xml:space="preserve">stimates </w:t>
      </w:r>
      <w:r w:rsidR="00403CFD" w:rsidRPr="00DA4708">
        <w:rPr>
          <w:color w:val="000000" w:themeColor="text1"/>
        </w:rPr>
        <w:t xml:space="preserve">for the Amazon and Congo Basins </w:t>
      </w:r>
      <w:r w:rsidR="00292C72" w:rsidRPr="00DA4708">
        <w:rPr>
          <w:color w:val="000000" w:themeColor="text1"/>
        </w:rPr>
        <w:t xml:space="preserve">have varied widely </w:t>
      </w:r>
      <w:r w:rsidR="00292C72" w:rsidRPr="001C10E4">
        <w:rPr>
          <w:color w:val="000000" w:themeColor="text1"/>
        </w:rPr>
        <w:t xml:space="preserve">between meta-analyses, </w:t>
      </w:r>
      <w:r w:rsidR="00403CFD" w:rsidRPr="001C10E4">
        <w:rPr>
          <w:color w:val="000000" w:themeColor="text1"/>
        </w:rPr>
        <w:t>possibly affected</w:t>
      </w:r>
      <w:r w:rsidR="00292C72" w:rsidRPr="001C10E4">
        <w:rPr>
          <w:color w:val="000000" w:themeColor="text1"/>
        </w:rPr>
        <w:t xml:space="preserve"> </w:t>
      </w:r>
      <w:r w:rsidR="00403CFD" w:rsidRPr="001C10E4">
        <w:rPr>
          <w:color w:val="000000" w:themeColor="text1"/>
        </w:rPr>
        <w:t>by the number of</w:t>
      </w:r>
      <w:r w:rsidR="00770B56" w:rsidRPr="001C10E4">
        <w:rPr>
          <w:color w:val="000000" w:themeColor="text1"/>
        </w:rPr>
        <w:t xml:space="preserve"> sites included and </w:t>
      </w:r>
      <w:r w:rsidR="001C10E4" w:rsidRPr="001C10E4">
        <w:rPr>
          <w:color w:val="000000" w:themeColor="text1"/>
        </w:rPr>
        <w:t xml:space="preserve">methods used </w:t>
      </w:r>
      <w:r w:rsidR="001C10E4" w:rsidRPr="001C10E4">
        <w:rPr>
          <w:color w:val="000000" w:themeColor="text1"/>
        </w:rPr>
        <w:fldChar w:fldCharType="begin" w:fldLock="1"/>
      </w:r>
      <w:r w:rsidR="00B82BFD">
        <w:rPr>
          <w:color w:val="000000" w:themeColor="text1"/>
        </w:rPr>
        <w:instrText>ADDIN CSL_CITATION {"citationItems":[{"id":"ITEM-1","itemData":{"author":[{"dropping-particle":"","family":"Ingram","given":"D J","non-dropping-particle":"","parse-names":false,"suffix":""}],"id":"ITEM-1","issued":{"date-parts":[["2018"]]},"publisher":"PhD Thesis, University of Sussex, UK","title":"Quantifying the exploitation of terrestrial wildlife in Africa","type":"book"},"uris":["http://www.mendeley.com/documents/?uuid=451f4b9c-bb2f-42f4-a869-55128eb90dad"]}],"mendeley":{"formattedCitation":"(Ingram 2018)","manualFormatting":"(Ingram 2018; Table 1)","plainTextFormattedCitation":"(Ingram 2018)","previouslyFormattedCitation":"(Ingram 2018)"},"properties":{"noteIndex":0},"schema":"https://github.com/citation-style-language/schema/raw/master/csl-citation.json"}</w:instrText>
      </w:r>
      <w:r w:rsidR="001C10E4" w:rsidRPr="001C10E4">
        <w:rPr>
          <w:color w:val="000000" w:themeColor="text1"/>
        </w:rPr>
        <w:fldChar w:fldCharType="separate"/>
      </w:r>
      <w:r w:rsidR="001C10E4" w:rsidRPr="001C10E4">
        <w:rPr>
          <w:noProof/>
          <w:color w:val="000000" w:themeColor="text1"/>
        </w:rPr>
        <w:t xml:space="preserve">(Ingram 2018; </w:t>
      </w:r>
      <w:r w:rsidR="001C10E4" w:rsidRPr="001C10E4">
        <w:rPr>
          <w:noProof/>
          <w:color w:val="000000" w:themeColor="text1"/>
        </w:rPr>
        <w:fldChar w:fldCharType="begin" w:fldLock="1"/>
      </w:r>
      <w:r w:rsidR="001C10E4" w:rsidRPr="001C10E4">
        <w:rPr>
          <w:noProof/>
          <w:color w:val="000000" w:themeColor="text1"/>
        </w:rPr>
        <w:instrText xml:space="preserve"> REF _Ref518910723 \h </w:instrText>
      </w:r>
      <w:r w:rsidR="001C10E4">
        <w:rPr>
          <w:noProof/>
          <w:color w:val="000000" w:themeColor="text1"/>
        </w:rPr>
        <w:instrText xml:space="preserve"> \* MERGEFORMAT </w:instrText>
      </w:r>
      <w:r w:rsidR="001C10E4" w:rsidRPr="001C10E4">
        <w:rPr>
          <w:noProof/>
          <w:color w:val="000000" w:themeColor="text1"/>
        </w:rPr>
      </w:r>
      <w:r w:rsidR="001C10E4" w:rsidRPr="001C10E4">
        <w:rPr>
          <w:noProof/>
          <w:color w:val="000000" w:themeColor="text1"/>
        </w:rPr>
        <w:fldChar w:fldCharType="separate"/>
      </w:r>
      <w:r w:rsidR="001C10E4" w:rsidRPr="001C10E4">
        <w:rPr>
          <w:noProof/>
        </w:rPr>
        <w:t>Table 1</w:t>
      </w:r>
      <w:r w:rsidR="001C10E4" w:rsidRPr="001C10E4">
        <w:rPr>
          <w:noProof/>
          <w:color w:val="000000" w:themeColor="text1"/>
        </w:rPr>
        <w:fldChar w:fldCharType="end"/>
      </w:r>
      <w:r w:rsidR="001C10E4" w:rsidRPr="001C10E4">
        <w:rPr>
          <w:noProof/>
          <w:color w:val="000000" w:themeColor="text1"/>
        </w:rPr>
        <w:t>)</w:t>
      </w:r>
      <w:r w:rsidR="001C10E4" w:rsidRPr="001C10E4">
        <w:rPr>
          <w:color w:val="000000" w:themeColor="text1"/>
        </w:rPr>
        <w:fldChar w:fldCharType="end"/>
      </w:r>
      <w:r w:rsidR="00292C72" w:rsidRPr="001C10E4">
        <w:rPr>
          <w:color w:val="000000" w:themeColor="text1"/>
        </w:rPr>
        <w:t xml:space="preserve">. </w:t>
      </w:r>
      <w:r w:rsidR="00A479D2" w:rsidRPr="001C10E4">
        <w:rPr>
          <w:color w:val="000000" w:themeColor="text1"/>
        </w:rPr>
        <w:t>At a site-level, while empirical evidence from static indicators of sustainability show that extraction</w:t>
      </w:r>
      <w:r w:rsidR="00A479D2" w:rsidRPr="004904D8">
        <w:rPr>
          <w:color w:val="000000" w:themeColor="text1"/>
        </w:rPr>
        <w:t xml:space="preserve"> levels for target species</w:t>
      </w:r>
      <w:r w:rsidR="00A479D2" w:rsidRPr="005512D2">
        <w:rPr>
          <w:color w:val="000000" w:themeColor="text1"/>
        </w:rPr>
        <w:t xml:space="preserve"> are </w:t>
      </w:r>
      <w:r w:rsidR="00A479D2" w:rsidRPr="008F376F">
        <w:rPr>
          <w:color w:val="000000" w:themeColor="text1"/>
        </w:rPr>
        <w:t>frequently unsustainable</w:t>
      </w:r>
      <w:r w:rsidR="00A479D2" w:rsidRPr="005512D2">
        <w:rPr>
          <w:color w:val="000000" w:themeColor="text1"/>
        </w:rPr>
        <w:t xml:space="preserve"> </w:t>
      </w:r>
      <w:r w:rsidR="00A479D2" w:rsidRPr="004904D8">
        <w:rPr>
          <w:color w:val="000000" w:themeColor="text1"/>
        </w:rPr>
        <w:t xml:space="preserve">in tropical environments </w:t>
      </w:r>
      <w:r w:rsidR="00A479D2" w:rsidRPr="005512D2">
        <w:rPr>
          <w:color w:val="000000" w:themeColor="text1"/>
        </w:rPr>
        <w:t>(</w:t>
      </w:r>
      <w:r w:rsidR="00A479D2" w:rsidRPr="004904D8">
        <w:rPr>
          <w:color w:val="000000" w:themeColor="text1"/>
          <w:highlight w:val="yellow"/>
        </w:rPr>
        <w:fldChar w:fldCharType="begin"/>
      </w:r>
      <w:r w:rsidR="00A479D2" w:rsidRPr="0070404D">
        <w:rPr>
          <w:color w:val="000000" w:themeColor="text1"/>
        </w:rPr>
        <w:instrText xml:space="preserve"> REF _Ref518910772 \h </w:instrText>
      </w:r>
      <w:r w:rsidR="00A479D2">
        <w:rPr>
          <w:color w:val="000000" w:themeColor="text1"/>
          <w:highlight w:val="yellow"/>
        </w:rPr>
        <w:instrText xml:space="preserve"> \* MERGEFORMAT </w:instrText>
      </w:r>
      <w:r w:rsidR="00A479D2" w:rsidRPr="004904D8">
        <w:rPr>
          <w:color w:val="000000" w:themeColor="text1"/>
          <w:highlight w:val="yellow"/>
        </w:rPr>
      </w:r>
      <w:r w:rsidR="00A479D2" w:rsidRPr="004904D8">
        <w:rPr>
          <w:color w:val="000000" w:themeColor="text1"/>
          <w:highlight w:val="yellow"/>
        </w:rPr>
        <w:fldChar w:fldCharType="separate"/>
      </w:r>
      <w:r w:rsidR="007034F1" w:rsidRPr="00785A38">
        <w:t xml:space="preserve">Table </w:t>
      </w:r>
      <w:r w:rsidR="007034F1">
        <w:rPr>
          <w:noProof/>
        </w:rPr>
        <w:t>2</w:t>
      </w:r>
      <w:r w:rsidR="00A479D2" w:rsidRPr="004904D8">
        <w:rPr>
          <w:color w:val="000000" w:themeColor="text1"/>
          <w:highlight w:val="yellow"/>
        </w:rPr>
        <w:fldChar w:fldCharType="end"/>
      </w:r>
      <w:r w:rsidR="00A479D2" w:rsidRPr="0070404D">
        <w:rPr>
          <w:color w:val="000000" w:themeColor="text1"/>
        </w:rPr>
        <w:t>, modified from</w:t>
      </w:r>
      <w:r w:rsidR="00A479D2" w:rsidRPr="004904D8">
        <w:rPr>
          <w:color w:val="000000" w:themeColor="text1"/>
        </w:rPr>
        <w:t xml:space="preserve"> </w:t>
      </w:r>
      <w:r w:rsidR="001C10E4">
        <w:rPr>
          <w:color w:val="000000" w:themeColor="text1"/>
        </w:rPr>
        <w:fldChar w:fldCharType="begin" w:fldLock="1"/>
      </w:r>
      <w:r w:rsidR="001C10E4">
        <w:rPr>
          <w:color w:val="000000" w:themeColor="text1"/>
        </w:rPr>
        <w:instrText>ADDIN CSL_CITATION {"citationItems":[{"id":"ITEM-1","itemData":{"DOI":"10.1016/j.foodres.2015.03.025","ISBN":"0963-9969","ISSN":"09639969","abstract":"Wild meat or 'bushmeat' has long served as a principal source of protein and a key contributor to the food security of millions of people across the developing world, most notably in Africa, Latin America and Asia. More recently, however, growing human populations, technological elaborations and the emergence of a booming commercial bushmeat trade have culminated in unprecedented harvest rates and the consequent decline of numerous wildlife populations. Most research efforts aimed at tackling this problem to date have been rooted in the biological disciplines, focused on quantifying the trade and measuring its level of destruction on wildlife and ecosystems. Comparatively little effort, on the other hand, has been expended on illuminating the role of bushmeat in human livelihoods and in providing alternative sources of food and income, as well as the infrastructure to make these feasible. This paper aims to shift the focus to the human dimension, emphasising the true contributions of bushmeat to food security, nutrition and well-being, while balancing this perspective by considering the far-reaching impacts of overexploitation. What emerges from this synthesis is that bushmeat management will ultimately depend on understanding and working with people, with any approaches focused too narrowly on biodiversity preservation running the risk of failure in the long term. If wildlife is to survive and be utilised in the future, there is undoubtedly a need to relax adherence to unswerving biocentric or anthropocentric convictions, to appreciate the necessity for certain trade-offs and to develop integrated and flexible approaches that reconcile the requirements of both the animals and the people.","author":[{"dropping-particle":"","family":"Cawthorn","given":"Donna-Mareè","non-dropping-particle":"","parse-names":false,"suffix":""},{"dropping-particle":"","family":"Hoffman","given":"Louwrens C.","non-dropping-particle":"","parse-names":false,"suffix":""}],"container-title":"Food Research International","id":"ITEM-1","issued":{"date-parts":[["2015"]]},"page":"906-925","publisher":"Elsevier Ltd","title":"The bushmeat and food security nexus: a global account of the contributions, conundrums and ethical collisions","type":"article-journal","volume":"76"},"uris":["http://www.mendeley.com/documents/?uuid=c61d12b7-b7bb-44d8-854e-7bf9e14efad2"]}],"mendeley":{"formattedCitation":"(Cawthorn &amp; Hoffman 2015)","manualFormatting":"Cawthorn and Hoffman (2015)","plainTextFormattedCitation":"(Cawthorn &amp; Hoffman 2015)","previouslyFormattedCitation":"(Cawthorn &amp; Hoffman 2015)"},"properties":{"noteIndex":0},"schema":"https://github.com/citation-style-language/schema/raw/master/csl-citation.json"}</w:instrText>
      </w:r>
      <w:r w:rsidR="001C10E4">
        <w:rPr>
          <w:color w:val="000000" w:themeColor="text1"/>
        </w:rPr>
        <w:fldChar w:fldCharType="separate"/>
      </w:r>
      <w:r w:rsidR="001C10E4">
        <w:rPr>
          <w:noProof/>
          <w:color w:val="000000" w:themeColor="text1"/>
        </w:rPr>
        <w:t>Cawthorn and</w:t>
      </w:r>
      <w:r w:rsidR="001C10E4" w:rsidRPr="006956BD">
        <w:rPr>
          <w:noProof/>
          <w:color w:val="000000" w:themeColor="text1"/>
        </w:rPr>
        <w:t xml:space="preserve"> Hoffman </w:t>
      </w:r>
      <w:r w:rsidR="001C10E4">
        <w:rPr>
          <w:noProof/>
          <w:color w:val="000000" w:themeColor="text1"/>
        </w:rPr>
        <w:t>(</w:t>
      </w:r>
      <w:r w:rsidR="001C10E4" w:rsidRPr="006956BD">
        <w:rPr>
          <w:noProof/>
          <w:color w:val="000000" w:themeColor="text1"/>
        </w:rPr>
        <w:t>2015)</w:t>
      </w:r>
      <w:r w:rsidR="001C10E4">
        <w:rPr>
          <w:color w:val="000000" w:themeColor="text1"/>
        </w:rPr>
        <w:fldChar w:fldCharType="end"/>
      </w:r>
      <w:r w:rsidR="00A479D2">
        <w:rPr>
          <w:color w:val="000000" w:themeColor="text1"/>
        </w:rPr>
        <w:t xml:space="preserve">, several other studies also demonstrate that a number of resilient species adapt well in post depleted landscapes </w:t>
      </w:r>
      <w:r w:rsidR="001C10E4">
        <w:rPr>
          <w:color w:val="000000" w:themeColor="text1"/>
        </w:rPr>
        <w:fldChar w:fldCharType="begin" w:fldLock="1"/>
      </w:r>
      <w:r w:rsidR="001C10E4">
        <w:rPr>
          <w:color w:val="000000" w:themeColor="text1"/>
        </w:rPr>
        <w:instrText>ADDIN CSL_CITATION {"citationItems":[{"id":"ITEM-1","itemData":{"DOI":"10.1111/j.1365-2664.2005.01046.x","ISSN":"00218901","author":[{"dropping-particle":"","family":"Cowlishaw","given":"Guy","non-dropping-particle":"","parse-names":false,"suffix":""},{"dropping-particle":"","family":"Mendelson","given":"Samantha","non-dropping-particle":"","parse-names":false,"suffix":""},{"dropping-particle":"","family":"Rowcliffe","given":"J. Marcus","non-dropping-particle":"","parse-names":false,"suffix":""}],"container-title":"Journal of Applied Ecology","id":"ITEM-1","issue":"3","issued":{"date-parts":[["2005","6","9"]]},"page":"460-468","title":"Evidence for post-depletion sustainability in a mature bushmeat market","type":"article-journal","volume":"42"},"uris":["http://www.mendeley.com/documents/?uuid=4130a980-b255-41f5-86da-c2246cc59c3b"]},{"id":"ITEM-2","itemData":{"DOI":"10.1177/1940082918799494","ISSN":"1940-0829","author":[{"dropping-particle":"","family":"Vliet","given":"Nathalie","non-dropping-particle":"Van","parse-names":false,"suffix":""},{"dropping-particle":"","family":"Muhindo","given":"Jonas","non-dropping-particle":"","parse-names":false,"suffix":""},{"dropping-particle":"","family":"Kambale Nyumu","given":"Jonas","non-dropping-particle":"","parse-names":false,"suffix":""},{"dropping-particle":"","family":"Mushagalusa","given":"Olivier","non-dropping-particle":"","parse-names":false,"suffix":""},{"dropping-particle":"","family":"Nasi","given":"Robert","non-dropping-particle":"","parse-names":false,"suffix":""}],"container-title":"Tropical Conservation Science","id":"ITEM-2","issued":{"date-parts":[["2018"]]},"page":"1-16","title":"Mammal depletion processes as evidenced from spatially explicit and temporal local ecological knowledge","type":"article-journal","volume":"11"},"uris":["http://www.mendeley.com/documents/?uuid=378262b7-f0cc-4d7d-8e69-5663bffd6f08"]}],"mendeley":{"formattedCitation":"(Cowlishaw et al. 2005; Van Vliet et al. 2018a)","plainTextFormattedCitation":"(Cowlishaw et al. 2005; Van Vliet et al. 2018a)","previouslyFormattedCitation":"(Cowlishaw et al. 2005; Van Vliet et al. 2018a)"},"properties":{"noteIndex":0},"schema":"https://github.com/citation-style-language/schema/raw/master/csl-citation.json"}</w:instrText>
      </w:r>
      <w:r w:rsidR="001C10E4">
        <w:rPr>
          <w:color w:val="000000" w:themeColor="text1"/>
        </w:rPr>
        <w:fldChar w:fldCharType="separate"/>
      </w:r>
      <w:r w:rsidR="001C10E4" w:rsidRPr="00F0548C">
        <w:rPr>
          <w:noProof/>
          <w:color w:val="000000" w:themeColor="text1"/>
        </w:rPr>
        <w:t>(Cowlishaw et al. 2005; Van Vliet et al. 2018a)</w:t>
      </w:r>
      <w:r w:rsidR="001C10E4">
        <w:rPr>
          <w:color w:val="000000" w:themeColor="text1"/>
        </w:rPr>
        <w:fldChar w:fldCharType="end"/>
      </w:r>
      <w:r w:rsidR="00A479D2">
        <w:rPr>
          <w:color w:val="000000" w:themeColor="text1"/>
        </w:rPr>
        <w:t xml:space="preserve">. </w:t>
      </w:r>
      <w:r w:rsidR="00AF1BAE">
        <w:rPr>
          <w:color w:val="000000" w:themeColor="text1"/>
        </w:rPr>
        <w:t xml:space="preserve">Moreover, </w:t>
      </w:r>
      <w:r w:rsidR="00AF1BAE">
        <w:t xml:space="preserve">at several study sites, hunting deemed unsustainable through the use of static indices has continued for decades with little to no evidence for prey depletion </w:t>
      </w:r>
      <w:r w:rsidR="001C10E4">
        <w:fldChar w:fldCharType="begin" w:fldLock="1"/>
      </w:r>
      <w:r w:rsidR="00AB268B">
        <w:instrText>ADDIN CSL_CITATION {"citationItems":[{"id":"ITEM-1","itemData":{"DOI":"10.1016/0006-3207(94)90005-1","ISBN":"0006-3207","ISSN":"00063207","PMID":"23","abstract":"Rural inhabitants in Amazonia can overexploit many mammalian species by game hunting, and tropical forests lose their value as a source of game meat when mammal populations decline. Implementing a sustainable hunt should reduce overexploitation of animals, and therefore help retain the value of intact Amazonian ecosystems. Rural folk in the Tahuayo region of the Reserva Comunal Tamshiyacu-Tahuayo of northeastern Peru appear to be overharvesting primates and lowland tapir Tapirus terrestris, but are apparently not overexploiting artiodactyls and large rodents. Converting the current overhunting in Tahuayo to a more sustainable harvest would require cessation of hunting of overexploited species and the setting of artiodactyl and large rodent harvests at or below current levels. Costs of implementing a more sustainable hunt in Tahuayo would incur a 26% reduction of economic benefits for hunters and reduce the extraction of mammalian biomass by 35%. © 1993.","author":[{"dropping-particle":"","family":"Bodmer","given":"Richard E.","non-dropping-particle":"","parse-names":false,"suffix":""},{"dropping-particle":"","family":"Fang","given":"Tula G.","non-dropping-particle":"","parse-names":false,"suffix":""},{"dropping-particle":"","family":"Moya I","given":"Luis","non-dropping-particle":"","parse-names":false,"suffix":""},{"dropping-particle":"","family":"Gill","given":"Robin","non-dropping-particle":"","parse-names":false,"suffix":""}],"container-title":"Biological Conservation","id":"ITEM-1","issue":"1","issued":{"date-parts":[["1994"]]},"page":"29-35","title":"Managing wildlife to conserve amazonian forests: population biology and economic considerations of game hunting","type":"article-journal","volume":"67"},"uris":["http://www.mendeley.com/documents/?uuid=93cfd7b9-4a4a-4f73-986a-c419c43c3020"]},{"id":"ITEM-2","itemData":{"DOI":"10.1046/j.1523-1739.1997.96047.x","ISBN":"0888-8892","ISSN":"0888-8892","PMID":"12231348","abstract":"Hunting is an important component of native subsistence strategies in Amazonia. It is also a serious threat to biodiversity in some areas. We present data on the faunal harvests of two native Neotropical subsistence hunting peoples, Machiguenga bow-hunters and Piro shotgun hunters of Peru. The rate of annual harvest per square kilometer of catchment is estimated and compared to rates of sustainable harvest calculated by Robinson and Redford (1991). We used indicators of prey abundance to test for the depletion of species that hunters killed in numbers greater than what the model predicts to be sustainable. As predicted, we found the strongest evidence for local depletion of the large primates at the Piro site. The woolly monkey ( Lagothrix lagothricha) harvest at the Machiguenga village and the deer ( Mazama americana) and collared peccary (Tayassu tajacu) harvests at both sites were not predicted to be unsustainable and we found no evidence for depletion. Machiguenga bow hunters killed spider monkeys (Ateles paniscus) in quantities that were slightly above what the model predicted to be sustainable, yet we found no evidence for depletion. Differential species vulnerability, catchment size, and consumer population size could be important factors in determining sustainability. La caza es un componente importante de las estrategias nativas de subsistencia en el Amazonia. Es tambien una amenaza seria para la biodiversidad en ciertas areas. Presentamos datos de cosechas de fauna de dos grupos de cazadores de subsistencia, los cazadores con arco de Machiguenga y los cazadores con arma de fuego de Piro en Peru. La tasa de cosecha anual por kilometro cuadrado es estimada y comparada con tasas de cosecha sostenible calculadas por Robinson y Redford (1991). Utilizamos indicadores de abundancia de presas para analizar la disminucion de especies que los cazadores matan en numeros mayores a los que el modelo predice como sostenibles. Encontramos una fuerte evidencia de disminucion local de primates grandes en el sitio Piro. El mono aullador ( Lagothrix lagothricha) cosechado en la villa Machiguenga, el venado ( Mazama americana) y el pecari de collar (Tayassu tajacu) cosechados en ambos sitios no fueron predecidos como insostenibles y no encontramos evidencias de disminucion. Los cazadores con arco de Machiguenga mataron monos arana (Ateles paniscus) en cantidades que estuvieron ligeramente por encima de lo que el modelo predice como sostenible, aun asi, no encontr…","author":[{"dropping-particle":"","family":"Alvard","given":"Michael S.","non-dropping-particle":"","parse-names":false,"suffix":""},{"dropping-particle":"","family":"Robinson","given":"John G.","non-dropping-particle":"","parse-names":false,"suffix":""},{"dropping-particle":"","family":"Redford","given":"Kent H.","non-dropping-particle":"","parse-names":false,"suffix":""},{"dropping-particle":"","family":"Kaplan","given":"Hillard","non-dropping-particle":"","parse-names":false,"suffix":""}],"container-title":"Conservation Biology","id":"ITEM-2","issue":"4","issued":{"date-parts":[["1997"]]},"page":"977-982","title":"The sustainability of subsistence hunting in the Neotropics.","type":"article-journal","volume":"11"},"uris":["http://www.mendeley.com/documents/?uuid=6d901acd-3d1d-4e3a-907a-9f1ec7f52066"]},{"id":"ITEM-3","itemData":{"DOI":"10.1046/j.1523-1739.2000.98452.x","ISBN":"1523-1739","ISSN":"08888892","PMID":"16449540","abstract":"Abstract: Previous studies of the sustainability of wildlife hunting in the Neotropics have not considered the potential dispersal of animals into hunted areas. A literature review of studies of subsistence hunting in the Neotropics suggests that hunting is often conducted in areas adjacent to relatively undisturbed habitat that may act as sources of animals for the hunted sites. We compared studies of tapir ( Tapirus terrestris) hunting at different sites to illustrate the potential bias of sustainability evaluations based on local productivity. The limited information available suggests that dispersal could have a key role in rebuilding animal populations depleted by hunting. Thus, factors that strongly affect dispersal—such as spatial distribution and size of areas with and without hunting, population size in source areas, and social behavior—should be considered when the sustainability of hunting is evaluated in areas with heterogeneous hunting pressure. We suggest the application of two models that use spatial controls (recognizing the potential source-sink nature of some hunted systems and protecting unhunted refugia) to avoid wildlife overexploitation when biological data and enforcement capabilities to regulate harvests are limited. This approach may produce more reliable evaluations of sustainability, provide information on the dynamics of hunting systems, and help local communities and policymakers conserve key areas (including protected areas) that may act as game sources. Resumen: Las evaluaciones previas de sustentabilidad de la cacería de fauna en el neotrópico no han considerado la dispersión potencial de animales hacia las áreas de caza. Una revisión bibliográfica de estudios de caza de subsistencia sugiere que ésta se efectúa frecuentemente en áreas adyacentes a hábitats poco perturbados, las que podrían ser fuentes de animales para los sitios con caza. Comparamos estudios sobre caza de tapires ( Tapirus terrestris) en diferentes sitios, para ilustrar el sesgo potencial de las evaluaciones de sustentabilidad basadas en la producción animal local. La escasa información disponible sugiere que la dispersión tiene un papel crucial en la recuperación de poblaciones de animales con abundancia reducida por la caza. Por lo tanto, se deberían considerar los factores que influyen fuertemente en la dispersión (estructura espacial y tamaño de áreas con y sin caza, tamaño poblacional en áreas fuente y comportamiento social) al evaluar la sustentabil…","author":[{"dropping-particle":"","family":"Novaro","given":"Andres J.","non-dropping-particle":"","parse-names":false,"suffix":""},{"dropping-particle":"","family":"Redford","given":"Kent H.","non-dropping-particle":"","parse-names":false,"suffix":""},{"dropping-particle":"","family":"Bodmer","given":"Richard E.","non-dropping-particle":"","parse-names":false,"suffix":""}],"container-title":"Conservation Biology","id":"ITEM-3","issue":"3","issued":{"date-parts":[["2000"]]},"page":"713-721","title":"Effect of hunting in source-sink systems in the Neotropics","type":"article-journal","volume":"14"},"uris":["http://www.mendeley.com/documents/?uuid=7816de1e-d80e-45d2-b68a-a2efd7c8f1f1"]},{"id":"ITEM-4","itemData":{"DOI":"10.1046/j.1523-1739.2003.01135.x","ISBN":"0888-8892","ISSN":"08888892","abstract":"This longitudinal study examines the impact of native hunting on the populations of 10 important game species in the Mbaracayu Reserve, Paraguay. From July 1994 to July 2001, native Ache research assistants surveyed 7,535 km of diurnal random transects in the reserve. Analyses of data from these transects and harvest-rate data from 5,526 Ache hunter days suggest that the hunting return rate declined significantly for one species. Nonsignificant declines were observed for 6 of the other 9 species. Native harvest percentages of the stock population appear sustainable for 10 major prey species, but rates of harvest from nonindigenous poaching could not be determined. Crude encounter rates for all 10 species declined over time, but only 2 of these were statistically significant in a univariate model. Multivariate logistic regression controlling for habitat type and location in the reserve showed significant declines in encounter rates over time for 4 species, but the effect of interaction between time and hunting pressure failed to confirm that declines in encounter rates were steeper in more-hunted versus less-hunted areas of the reserve. This may mean that other factors unrelated to hunting pressure are responsible for some of the declines in game encounter rates.","author":[{"dropping-particle":"","family":"Hill","given":"Kim","non-dropping-particle":"","parse-names":false,"suffix":""},{"dropping-particle":"","family":"McMillan","given":"Garnett","non-dropping-particle":"","parse-names":false,"suffix":""},{"dropping-particle":"","family":"Fariña","given":"Rosalia","non-dropping-particle":"","parse-names":false,"suffix":""}],"container-title":"Conservation Biology","id":"ITEM-4","issue":"5","issued":{"date-parts":[["2003"]]},"page":"1312-1323","title":"Hunting-related changes in game encounter rates from 1994 to 2001 in the Mbaracayu Reserve, Paraguay","type":"article-journal","volume":"17"},"uris":["http://www.mendeley.com/documents/?uuid=8d2eaff7-1003-4451-b06a-89f4e7b706dc"]},{"id":"ITEM-5","itemData":{"DOI":"10.1007/s10531-005-5406-9","ISBN":"0960-3115","abstract":"Indigenous forest reserves represent approximately one fifth of Brazilian Amazonia and pose enormous challenges for sustainable natural resource management by native Amazonians. In collaboration with the Kayapo Indians of A'Ukre of southeastern Amazonia, we obtained a game harvest profile of over 1360 forest vertebrates consumed at this village over a 20-month period, including 743 mammals, 361 forest tortoises and 256 birds from a minimum of 42 game species. This amounted to a total of 13,775 kg of game animals harvested over the entire study (mean = 26.2 kg d(-1)supercript stop). We also obtained some 450 km of line transect census data of midsized to large-bodied vertebrates within the core hunting catchment of this village and in an unhunted but otherwise comparable site upriver of A'Ukre. Population density estimates of 16 of the 18 species censused were significantly depressed by hunting by central place foragers within the village catchment, and a number of harvest-sensitive prey species showed clear evidence of local depletion. For the time being, however, we can conclude that hunting was sustainable at the landscape scale largely because source-sink dynamics in the context of low village catchment density is made possible by large surrounding tracts of primary forest that remain unharvested or underharvested.","author":[{"dropping-particle":"","family":"Peres","given":"C A","non-dropping-particle":"","parse-names":false,"suffix":""},{"dropping-particle":"","family":"Nascimento","given":"H S","non-dropping-particle":"","parse-names":false,"suffix":""}],"container-title":"Biodiversity and Conservation","id":"ITEM-5","issue":"8","issued":{"date-parts":[["2006"]]},"note":"Times Cited: 55: Peres, Carlos/B-1276-2013: Peres, Carlos/0000-0002-1588-8765: 1: 60: 1572-9710","page":"2627-2653","title":"Impact of game hunting by the Kayapo of south-eastern Amazonia: implications for wildlife conservation in tropical forest indigenous reserves","type":"article-journal","volume":"15"},"uris":["http://www.mendeley.com/documents/?uuid=ee98b0eb-dcd1-41cf-a1f2-26b6b874e97c"]},{"id":"ITEM-6","itemData":{"DOI":"10.1086/592021","ISBN":"0011-3204","ISSN":"0011-3204","abstract":"Although dogs are used by subsistence hunters in many locations throughout the world, hunters with dogs have not been studied from an optimal foraging perspective. A study of indigenous Mayangna and Miskito hunters in Nicaragua indicates that the use of dogs affects both the encounter rates and the pursuit times of several prey types. Before hunters can identify the prey type and initiate a pursuit, they must first catch up to the dogs, and their dogs sometimes chase unprofitable prey types. These costs are incorporated as an additional constraint in the optimal prey choice model. The results of the optimal foraging analysis indicate that hunters generally focus on prey types that are in the optimal diet set. However, hunters do not consume two rarely encountered species that are in the optimal diet set, giant anteaters and northern tamanduas. Although hunting with both rifles and dogs increases the likelihood of harvesting tapirs, the return rates of hunting with dogs, hunting with rifles, and hunting with both guns and dogs are otherwise comparable. This study therefore demonstrates that dogs can be valuable hunting accessories.","author":[{"dropping-particle":"","family":"Koster","given":"Jeremy M.","non-dropping-particle":"","parse-names":false,"suffix":""}],"container-title":"Current Anthropology","id":"ITEM-6","issue":"5","issued":{"date-parts":[["2008"]]},"page":"935-944","title":"Hunting with dogs in Nicaragua: an optimal foraging approach","type":"article-journal","volume":"49"},"uris":["http://www.mendeley.com/documents/?uuid=b2a66670-279d-405b-a57b-5655dc48b793"]},{"id":"ITEM-7","itemData":{"DOI":"10.1017/S0030605308000288","ISBN":"0030-6053","ISSN":"00306053","abstract":"Hunting of wildlife in Central Africa is largely considered to be unsustainable. Several studies indicate that most mammal species should already have disap- peared from many Central African forests but markets continue to be supplied with bushmeat, with no sign of large scale extinction of the most common species. Most studies of the sustainability of duiker (Cephalophus spp.) hunting in Central Africa are based on the same index of hunting. We illustrate how uncertainty is accumulated in these estimations of sustainability. We show that the results obtained in different sites are not comparable because a variety of methods have been used to calculate the parameters of the model and each of the methods has different sources of error. For the assessment of maximum sustainable harvest for duikers, the studies reviewed differ mainly in the value chosen for the hypothetical adjustment factor, and the method used to calculate the rate of maximum population increase and to estimate duiker population densities. For the assessment of annual hunting offtake the studies differ mainly in the scale at which they were conducted (village or regional), and sampling and extrapolation methods. Without evaluation of accuracy and standardization of methods for the estimation of maximum sustainable harvest and annual offtake, conclu- sions regarding harvesting based on biological indices should be treated with extreme caution.","author":[{"dropping-particle":"","family":"Vliet","given":"Nathalie","non-dropping-particle":"Van","parse-names":false,"suffix":""},{"dropping-particle":"","family":"Nasi","given":"Robert","non-dropping-particle":"","parse-names":false,"suffix":""}],"container-title":"Oryx","id":"ITEM-7","issue":"3","issued":{"date-parts":[["2008"]]},"page":"392-399","title":"Why do models fail to assess properly the sustainability of duiker (Cephalophus spp.) hunting in Central Africa?","type":"article-journal","volume":"42"},"uris":["http://www.mendeley.com/documents/?uuid=8ab0c790-73f3-45e5-8438-5c7204245abd"]},{"id":"ITEM-8","itemData":{"DOI":"10.1111/j.1523-1739.2007.00759.x","ISBN":"1523-1739","ISSN":"08888892","PMID":"17883483","abstract":"The presence of indigenous people in tropical parks has fueled a debate over whether people in parks are conservation allies or direct threats to biodiversity. A well-known example is the Matsigenka (or Machiguenga) population residing in Manu National Park in Peruvian Amazonia. Because the exploitation of wild meat (or bushmeat), especially large vertebrates, represents the most significant internal threat to biodiversity in Manu, we analyzed 1 year of participatory monitoring of game offtake in two Matsigenka native communities within Manu Park (102,397 consumer days and 2,089 prey items). We used the Robinson and Redford (1991) index to identify five prey species hunted at or above maximum sustainable yield within the approximately 150-km(2) core hunting zones of the two communities: woolly monkey (Lagothrix lagotricha), spider monkey (Ateles chamek), white-lipped peccary (Tayassu pecari), Razor-billed Currasow (Mitu tuberosa), and Spix's Guan (Penelope jacquacu). There was little or no evidence that any of these five species has become depleted, other than locally, despite a near doubling of the human population since 1988. Hunter-prey profiles have not changed since 1988, and there has been little change in per capita consumption rates or mean prey weights. The current offtake by the Matsigenka appears to be sustainable, apparently due to source-sink dynamics. Source-sink dynamics imply that even with continued human population growth within a settlement, offtake for each hunted species will eventually reach an asymptote. Thus, stabilizing the Matsigenka population around existing settlements should be a primary policy goal for Manu Park.","author":[{"dropping-particle":"","family":"Ohl-Schacherer","given":"Julia","non-dropping-particle":"","parse-names":false,"suffix":""},{"dropping-particle":"","family":"Shepard","given":"Glenn H.","non-dropping-particle":"","parse-names":false,"suffix":""},{"dropping-particle":"","family":"Kaplan","given":"Hillard","n</w:instrText>
      </w:r>
      <w:r w:rsidR="00AB268B" w:rsidRPr="00DF57F3">
        <w:rPr>
          <w:lang w:val="fr-FR"/>
        </w:rPr>
        <w:instrText>on-dropping-particle":"","parse-names":false,"suffix":""},{"dropping-particle":"","family":"Peres","given":"Carlos A.","non-dropping-particle":"","parse-names":false,"suffix":""},{"dropping-particle":"","family":"Levi","given":"Taal","non-dropping-particle":"","parse-names":false,"suffix":""},{"dropping-particle":"","family":"Yu","given":"Douglas W.","non-dropping-particle":"","parse-names":false,"suffix":""}],"container-title":"Conservation Biology","id":"ITEM-8","issue":"5","issued":{"date-parts":[["2007"]]},"page":"1174-1185","title":"The sustainability of subsistence hunting by Matsigenka native communities in Manu National Park, Peru","type":"article-journal","volume":"21"},"uris":["http://www.mendeley.com/documents/?uuid=cb81af34-94f1-323b-bbbe-c2724367ef68"]}],"mendeley":{"formattedCitation":"(Bodmer et al. 1994; Alvard et al. 1997; Novaro et al. 2000; Hill et al. 2003; Peres &amp; Nascimento 2006; Ohl-Schacherer et al. 2007; Koster 2008; Van Vliet &amp; Nasi 2008)","plainTextFormattedCitation":"(Bodmer et al. 1994; Alvard et al. 1997; Novaro et al. 2000; Hill et al. 2003; Peres &amp; Nascimento 2006; Ohl-Schacherer et al. 2007; Koster 2008; Van Vliet &amp; Nasi 2008)","previouslyFormattedCitation":"(Bodmer et al. 1994; Alvard et al. 1997; Novaro et al. 2000; Hill et al. 2003; Peres &amp; Nascimento 2006; Ohl-Schacherer et al. 2007; Koster 2008; Van Vliet &amp; Nasi 2008)"},"properties":{"noteIndex":0},"schema":"https://github.com/citation-style-language/schema/raw/master/csl-citation.json"}</w:instrText>
      </w:r>
      <w:r w:rsidR="001C10E4">
        <w:fldChar w:fldCharType="separate"/>
      </w:r>
      <w:r w:rsidR="001C10E4" w:rsidRPr="00DF57F3">
        <w:rPr>
          <w:noProof/>
          <w:lang w:val="fr-FR"/>
        </w:rPr>
        <w:t>(Bodmer et al. 1994; Alvard et al. 1997; Novaro et al. 2000; Hill et al. 2003; Peres &amp; Nascimento 2006; Ohl-Schacherer et al. 2007; Koster 2008; Van Vliet &amp; Nasi 2008)</w:t>
      </w:r>
      <w:r w:rsidR="001C10E4">
        <w:fldChar w:fldCharType="end"/>
      </w:r>
      <w:r w:rsidR="00AF1BAE" w:rsidRPr="00DF57F3">
        <w:rPr>
          <w:lang w:val="fr-FR"/>
        </w:rPr>
        <w:t xml:space="preserve">. </w:t>
      </w:r>
      <w:r w:rsidR="00AF1BAE">
        <w:t>This is particularly true in hunting zones adjacent to large areas of unhunted forest, where prey populations may be replenished through source-sink dynamics</w:t>
      </w:r>
      <w:r w:rsidR="001C10E4">
        <w:t xml:space="preserve"> </w:t>
      </w:r>
      <w:r w:rsidR="001C10E4">
        <w:fldChar w:fldCharType="begin" w:fldLock="1"/>
      </w:r>
      <w:r w:rsidR="00D96B47">
        <w:instrText>ADDIN CSL_CITATION {"citationItems":[{"id":"ITEM-1","itemData":{"DOI":"10.1007/s10531-005-5406-9","ISBN":"0960-3115","abstract":"Indigenous forest reserves represent approximately one fifth of Brazilian Amazonia and pose enormous challenges for sustainable natural resource management by native Amazonians. In collaboration with the Kayapo Indians of A'Ukre of southeastern Amazonia, we obtained a game harvest profile of over 1360 forest vertebrates consumed at this village over a 20-month period, including 743 mammals, 361 forest tortoises and 256 birds from a minimum of 42 game species. This amounted to a total of 13,775 kg of game animals harvested over the entire study (mean = 26.2 kg d(-1)supercript stop). We also obtained some 450 km of line transect census data of midsized to large-bodied vertebrates within the core hunting catchment of this village and in an unhunted but otherwise comparable site upriver of A'Ukre. Population density estimates of 16 of the 18 species censused were significantly depressed by hunting by central place foragers within the village catchment, and a number of harvest-sensitive prey species showed clear evidence of local depletion. For the time being, however, we can conclude that hunting was sustainable at the landscape scale largely because source-sink dynamics in the context of low village catchment density is made possible by large surrounding tracts of primary forest that remain unharvested or underharvested.","author":[{"dropping-particle":"","family":"Peres","given":"C A","non-dropping-particle":"","parse-names":false,"suffix":""},{"dropping-particle":"","family":"Nascimento","given":"H S","non-dropping-particle":"","parse-names":false,"suffix":""}],"container-title":"Biodiversity and Conservation","id":"ITEM-1","issue":"8","issued":{"date-parts":[["2006"]]},"note":"Times Cited: 55: Peres, Carlos/B-1276-2013: Peres, Carlos/0000-0002-1588-8765: 1: 60: 1572-9710","page":"2627-2653","title":"Impact of game hunting by the Kayapo of south-eastern Amazonia: implications for wildlife conservation in tropical forest indigenous reserves","type":"article-journal","volume":"15"},"uris":["http://www.mendeley.com/documents/?uuid=ee98b0eb-dcd1-41cf-a1f2-26b6b874e97c"]},{"id":"ITEM-2","itemData":{"DOI":"10.1046/j.1523-1739.2000.98452.x","ISBN":"1523-1739","ISSN":"08888892","PMID":"16449540","abstract":"Abstract: Previous studies of the sustainability of wildlife hunting in the Neotropics have not considered the potential dispersal of animals into hunted areas. A literature review of studies of subsistence hunting in the Neotropics suggests that hunting is often conducted in areas adjacent to relatively undisturbed habitat that may act as sources of animals for the hunted sites. We compared studies of tapir ( Tapirus terrestris) hunting at different sites to illustrate the potential bias of sustainability evaluations based on local productivity. The limited information available suggests that dispersal could have a key role in rebuilding animal populations depleted by hunting. Thus, factors that strongly affect dispersal—such as spatial distribution and size of areas with and without hunting, population size in source areas, and social behavior—should be considered when the sustainability of hunting is evaluated in areas with heterogeneous hunting pressure. We suggest the application of two models that use spatial controls (recognizing the potential source-sink nature of some hunted systems and protecting unhunted refugia) to avoid wildlife overexploitation when biological data and enforcement capabilities to regulate harvests are limited. This approach may produce more reliable evaluations of sustainability, provide information on the dynamics of hunting systems, and help local communities and policymakers conserve key areas (including protected areas) that may act as game sources. Resumen: Las evaluaciones previas de sustentabilidad de la cacería de fauna en el neotrópico no han considerado la dispersión potencial de animales hacia las áreas de caza. Una revisión bibliográfica de estudios de caza de subsistencia sugiere que ésta se efectúa frecuentemente en áreas adyacentes a hábitats poco perturbados, las que podrían ser fuentes de animales para los sitios con caza. Comparamos estudios sobre caza de tapires ( Tapirus terrestris) en diferentes sitios, para ilustrar el sesgo potencial de las evaluaciones de sustentabilidad basadas en la producción animal local. La escasa información disponible sugiere que la dispersión tiene un papel crucial en la recuperación de poblaciones de animales con abundancia reducida por la caza. Por lo tanto, se deberían considerar los factores que influyen fuertemente en la dispersión (estructura espacial y tamaño de áreas con y sin caza, tamaño poblacional en áreas fuente y comportamiento social) al evaluar la sustentabil…","author":[{"dropping-particle":"","family":"Novaro","given":"Andres J.","non-dropping-particle":"","parse-names":false,"suffix":""},{"dropping-particle":"","family":"Redford","given":"Kent H.","non-dropping-particle":"","parse-names":false,"suffix":""},{"dropping-particle":"","family":"Bodmer","given":"Richard E.","non-dropping-particle":"","parse-names":false,"suffix":""}],"container-title":"Conservation Biology","id":"ITEM-2","issue":"3","issued":{"date-parts":[["2000"]]},"page":"713-721","title":"Effect of hunting in source-sink systems in the Neotropics","type":"article-journal","volume":"14"},"uris":["http://www.mendeley.com/documents/?uuid=7816de1e-d80e-45d2-b68a-a2efd7c8f1f1"]},{"id":"ITEM-3","itemData":{"DOI":"10.1111/j.1523-1739.2004.00024.x","ISBN":"1523-1739","ISSN":"08888892","abstract":"Hunting in tropical forests is typically most intense near human settlements, and this creates gradients of decreasing animal densities toward those settlements. Within the context of this spatial pattern, we evaluated the status of game in the hunting grounds of an indigenous community in eastern Ecuador. We constructed a spatially explicit model of hunter-prey interactions that mimicked the hunting in the village and included realistic animal-dispersal rules. We compared predictions from the model with distributions of animal harvest rates and catch per unit effort of 12 game species. Six species were overharvested in part or all of the area, and two other species were probably being overharvested, although high dispersal rates complicated the interpretation. We then compared our method with methods that have been used previously. We argue that because our method provides information about the spatial extent of overharvesting, it could be particularly useful in informing decision makers about where to establish no-take areas and could therefore aid in improving the sustainability of hunting in tropical forests.","author":[{"dropping-particle":"","family":"Sirén","given":"Anders H.","non-dropping-particle":"","parse-names":false,"suffix":""},{"dropping-particle":"","family":"Hambäck","given":"Peter","non-dropping-particle":"","parse-names":false,"suffix":""},{"dropping-particle":"","family":"Machoa","given":"José","non-dropping-particle":"","parse-names":false,"suffix":""}],"container-title":"Conservation Biology","id":"ITEM-3","issue":"5","issued":{"date-parts":[["2004"]]},"page":"1315-1329","title":"Including spatial heterogeneity and animal dispersal when evaluating hunting: a model analysis and an empirical assessment in an Amazonian community","type":"article-journal","volume":"18"},"uris":["http://www.mendeley.com/documents/?uuid=0eb340df-5cb0-4577-8f63-d5218c09b158"]}],"mendeley":{"formattedCitation":"(Novaro et al. 2000; Sirén et al. 2004; Peres &amp; Nascimento 2006)","plainTextFormattedCitation":"(Novaro et al. 2000; Sirén et al. 2004; Peres &amp; Nascimento 2006)","previouslyFormattedCitation":"(Novaro et al. 2000; Sirén et al. 2004; Peres &amp; Nascimento 2006)"},"properties":{"noteIndex":0},"schema":"https://github.com/citation-style-language/schema/raw/master/csl-citation.json"}</w:instrText>
      </w:r>
      <w:r w:rsidR="001C10E4">
        <w:fldChar w:fldCharType="separate"/>
      </w:r>
      <w:r w:rsidR="0082193E" w:rsidRPr="0082193E">
        <w:rPr>
          <w:noProof/>
        </w:rPr>
        <w:t>(Novaro et al. 2000; Sirén et al. 2004; Peres &amp; Nascimento 2006)</w:t>
      </w:r>
      <w:r w:rsidR="001C10E4">
        <w:fldChar w:fldCharType="end"/>
      </w:r>
      <w:r w:rsidR="0082193E">
        <w:t>.</w:t>
      </w:r>
    </w:p>
    <w:p w14:paraId="7E86F738" w14:textId="77777777" w:rsidR="000F0D78" w:rsidRDefault="000F0D78" w:rsidP="00FC31D2">
      <w:pPr>
        <w:jc w:val="both"/>
        <w:rPr>
          <w:color w:val="FF0000"/>
        </w:rPr>
      </w:pPr>
    </w:p>
    <w:p w14:paraId="182AEA66" w14:textId="77777777" w:rsidR="000F0D78" w:rsidRPr="00FC31D2" w:rsidRDefault="000F0D78" w:rsidP="00FC31D2">
      <w:pPr>
        <w:jc w:val="both"/>
        <w:rPr>
          <w:color w:val="FF0000"/>
        </w:rPr>
        <w:sectPr w:rsidR="000F0D78" w:rsidRPr="00FC31D2">
          <w:footerReference w:type="default" r:id="rId35"/>
          <w:pgSz w:w="11906" w:h="16838"/>
          <w:pgMar w:top="1440" w:right="1440" w:bottom="1440" w:left="1440" w:header="708" w:footer="708" w:gutter="0"/>
          <w:cols w:space="708"/>
          <w:docGrid w:linePitch="360"/>
        </w:sectPr>
      </w:pPr>
    </w:p>
    <w:p w14:paraId="5C831EA0" w14:textId="4EF0B6A2" w:rsidR="00C45FED" w:rsidRPr="004904D8" w:rsidRDefault="00C45FED" w:rsidP="00C258BC">
      <w:pPr>
        <w:jc w:val="both"/>
        <w:rPr>
          <w:color w:val="000000" w:themeColor="text1"/>
        </w:rPr>
      </w:pPr>
    </w:p>
    <w:p w14:paraId="6940E21B" w14:textId="3F0DD997" w:rsidR="00260DF6" w:rsidRPr="00785A38" w:rsidRDefault="00260DF6" w:rsidP="00C258BC">
      <w:pPr>
        <w:pStyle w:val="Caption"/>
        <w:keepNext/>
        <w:jc w:val="both"/>
        <w:rPr>
          <w:b w:val="0"/>
          <w:color w:val="000000" w:themeColor="text1"/>
          <w:lang w:val="en-GB"/>
        </w:rPr>
      </w:pPr>
      <w:bookmarkStart w:id="61" w:name="_Ref518910723"/>
      <w:r w:rsidRPr="00785A38">
        <w:rPr>
          <w:lang w:val="en-GB"/>
        </w:rPr>
        <w:t xml:space="preserve">Table </w:t>
      </w:r>
      <w:r w:rsidR="00DE31EF">
        <w:rPr>
          <w:lang w:val="en-GB"/>
        </w:rPr>
        <w:fldChar w:fldCharType="begin"/>
      </w:r>
      <w:r w:rsidR="00DE31EF">
        <w:rPr>
          <w:lang w:val="en-GB"/>
        </w:rPr>
        <w:instrText xml:space="preserve"> SEQ Table \* ARABIC </w:instrText>
      </w:r>
      <w:r w:rsidR="00DE31EF">
        <w:rPr>
          <w:lang w:val="en-GB"/>
        </w:rPr>
        <w:fldChar w:fldCharType="separate"/>
      </w:r>
      <w:r w:rsidR="004873F0">
        <w:rPr>
          <w:noProof/>
          <w:lang w:val="en-GB"/>
        </w:rPr>
        <w:t>1</w:t>
      </w:r>
      <w:r w:rsidR="00DE31EF">
        <w:rPr>
          <w:lang w:val="en-GB"/>
        </w:rPr>
        <w:fldChar w:fldCharType="end"/>
      </w:r>
      <w:bookmarkEnd w:id="61"/>
      <w:r w:rsidR="00C377A8" w:rsidRPr="00785A38">
        <w:rPr>
          <w:b w:val="0"/>
          <w:color w:val="000000" w:themeColor="text1"/>
          <w:lang w:val="en-GB"/>
        </w:rPr>
        <w:t xml:space="preserve">. </w:t>
      </w:r>
      <w:r w:rsidR="00C377A8" w:rsidRPr="00E64E1D">
        <w:rPr>
          <w:b w:val="0"/>
          <w:color w:val="000000" w:themeColor="text1"/>
          <w:lang w:val="en-GB"/>
        </w:rPr>
        <w:t>Estimates of annual terrestrial vertebrate harvest in Central Africa</w:t>
      </w:r>
      <w:r w:rsidR="00541884" w:rsidRPr="00E64E1D">
        <w:rPr>
          <w:b w:val="0"/>
          <w:color w:val="000000" w:themeColor="text1"/>
          <w:lang w:val="en-GB"/>
        </w:rPr>
        <w:t xml:space="preserve"> and South America</w:t>
      </w:r>
      <w:r w:rsidR="00C377A8" w:rsidRPr="00E64E1D">
        <w:rPr>
          <w:b w:val="0"/>
          <w:color w:val="000000" w:themeColor="text1"/>
          <w:lang w:val="en-GB"/>
        </w:rPr>
        <w:t xml:space="preserve">. </w:t>
      </w:r>
    </w:p>
    <w:p w14:paraId="10AD3D36" w14:textId="2BB1FABA" w:rsidR="00260DF6" w:rsidRPr="005512D2" w:rsidRDefault="00C377A8" w:rsidP="00C258BC">
      <w:pPr>
        <w:jc w:val="both"/>
        <w:rPr>
          <w:sz w:val="20"/>
          <w:szCs w:val="20"/>
        </w:rPr>
      </w:pPr>
      <w:r w:rsidRPr="0070404D">
        <w:rPr>
          <w:sz w:val="20"/>
          <w:szCs w:val="20"/>
        </w:rPr>
        <w:t>Dashes represent unk</w:t>
      </w:r>
      <w:r w:rsidRPr="004904D8">
        <w:rPr>
          <w:sz w:val="20"/>
          <w:szCs w:val="20"/>
        </w:rPr>
        <w:t>nown values. Annual harvest per square kilometre (km</w:t>
      </w:r>
      <w:r w:rsidRPr="006C7887">
        <w:rPr>
          <w:sz w:val="20"/>
          <w:szCs w:val="20"/>
          <w:vertAlign w:val="superscript"/>
        </w:rPr>
        <w:t>2</w:t>
      </w:r>
      <w:r w:rsidRPr="004904D8">
        <w:rPr>
          <w:sz w:val="20"/>
          <w:szCs w:val="20"/>
        </w:rPr>
        <w:t xml:space="preserve"> yr</w:t>
      </w:r>
      <w:r w:rsidRPr="006C7887">
        <w:rPr>
          <w:sz w:val="20"/>
          <w:szCs w:val="20"/>
          <w:vertAlign w:val="superscript"/>
        </w:rPr>
        <w:t>-1</w:t>
      </w:r>
      <w:r w:rsidRPr="004904D8">
        <w:rPr>
          <w:sz w:val="20"/>
          <w:szCs w:val="20"/>
        </w:rPr>
        <w:t>)</w:t>
      </w:r>
      <w:r w:rsidR="0003211B" w:rsidRPr="004904D8">
        <w:rPr>
          <w:sz w:val="20"/>
          <w:szCs w:val="20"/>
        </w:rPr>
        <w:t>.</w:t>
      </w:r>
      <w:r w:rsidRPr="004904D8">
        <w:rPr>
          <w:sz w:val="20"/>
          <w:szCs w:val="20"/>
        </w:rPr>
        <w:t> </w:t>
      </w:r>
      <w:r w:rsidR="00541884" w:rsidRPr="004904D8">
        <w:rPr>
          <w:sz w:val="20"/>
          <w:szCs w:val="20"/>
        </w:rPr>
        <w:t>Congo basin refers to the forested regions of the basin itself.  Central Africa refers to the countries: Cameroon, Central African Republic, Democratic Republic of Congo, Equatorial Guinea, Gabon</w:t>
      </w:r>
      <w:r w:rsidR="00541884" w:rsidRPr="005512D2">
        <w:rPr>
          <w:sz w:val="20"/>
          <w:szCs w:val="20"/>
        </w:rPr>
        <w:t>, and Republic of Congo. Adapted from Ingram, 2018.</w:t>
      </w:r>
    </w:p>
    <w:tbl>
      <w:tblPr>
        <w:tblStyle w:val="TableGrid"/>
        <w:tblW w:w="14075" w:type="dxa"/>
        <w:tblInd w:w="-5" w:type="dxa"/>
        <w:tblLook w:val="04A0" w:firstRow="1" w:lastRow="0" w:firstColumn="1" w:lastColumn="0" w:noHBand="0" w:noVBand="1"/>
      </w:tblPr>
      <w:tblGrid>
        <w:gridCol w:w="1759"/>
        <w:gridCol w:w="1759"/>
        <w:gridCol w:w="1114"/>
        <w:gridCol w:w="2404"/>
        <w:gridCol w:w="1759"/>
        <w:gridCol w:w="1014"/>
        <w:gridCol w:w="1398"/>
        <w:gridCol w:w="2868"/>
      </w:tblGrid>
      <w:tr w:rsidR="00F4142D" w:rsidRPr="00EB140F" w14:paraId="0BDCDF04" w14:textId="77777777" w:rsidTr="00F4142D">
        <w:trPr>
          <w:trHeight w:val="197"/>
        </w:trPr>
        <w:tc>
          <w:tcPr>
            <w:tcW w:w="1759" w:type="dxa"/>
            <w:shd w:val="clear" w:color="auto" w:fill="BFBFBF" w:themeFill="background1" w:themeFillShade="BF"/>
            <w:tcMar>
              <w:top w:w="115" w:type="dxa"/>
              <w:left w:w="115" w:type="dxa"/>
              <w:bottom w:w="115" w:type="dxa"/>
              <w:right w:w="115" w:type="dxa"/>
            </w:tcMar>
          </w:tcPr>
          <w:p w14:paraId="418839E6" w14:textId="77777777" w:rsidR="00F4142D" w:rsidRPr="00EB140F" w:rsidRDefault="00F4142D" w:rsidP="00C258BC">
            <w:pPr>
              <w:spacing w:after="0"/>
              <w:jc w:val="both"/>
              <w:rPr>
                <w:b/>
                <w:color w:val="000000" w:themeColor="text1"/>
                <w:sz w:val="20"/>
                <w:szCs w:val="20"/>
              </w:rPr>
            </w:pPr>
            <w:r w:rsidRPr="00EB140F">
              <w:rPr>
                <w:b/>
                <w:color w:val="000000" w:themeColor="text1"/>
                <w:sz w:val="20"/>
                <w:szCs w:val="20"/>
              </w:rPr>
              <w:t>Source </w:t>
            </w:r>
          </w:p>
        </w:tc>
        <w:tc>
          <w:tcPr>
            <w:tcW w:w="1759" w:type="dxa"/>
            <w:shd w:val="clear" w:color="auto" w:fill="BFBFBF" w:themeFill="background1" w:themeFillShade="BF"/>
            <w:tcMar>
              <w:top w:w="115" w:type="dxa"/>
              <w:left w:w="115" w:type="dxa"/>
              <w:bottom w:w="115" w:type="dxa"/>
              <w:right w:w="115" w:type="dxa"/>
            </w:tcMar>
          </w:tcPr>
          <w:p w14:paraId="2221FC21" w14:textId="77777777" w:rsidR="00F4142D" w:rsidRPr="00EB140F" w:rsidRDefault="00F4142D" w:rsidP="00C258BC">
            <w:pPr>
              <w:spacing w:after="0"/>
              <w:jc w:val="both"/>
              <w:rPr>
                <w:b/>
                <w:color w:val="000000" w:themeColor="text1"/>
                <w:sz w:val="20"/>
                <w:szCs w:val="20"/>
              </w:rPr>
            </w:pPr>
            <w:r w:rsidRPr="00EB140F">
              <w:rPr>
                <w:b/>
                <w:color w:val="000000" w:themeColor="text1"/>
                <w:sz w:val="20"/>
                <w:szCs w:val="20"/>
              </w:rPr>
              <w:t>Area </w:t>
            </w:r>
          </w:p>
        </w:tc>
        <w:tc>
          <w:tcPr>
            <w:tcW w:w="1114" w:type="dxa"/>
            <w:shd w:val="clear" w:color="auto" w:fill="BFBFBF" w:themeFill="background1" w:themeFillShade="BF"/>
            <w:tcMar>
              <w:top w:w="115" w:type="dxa"/>
              <w:left w:w="115" w:type="dxa"/>
              <w:bottom w:w="115" w:type="dxa"/>
              <w:right w:w="115" w:type="dxa"/>
            </w:tcMar>
          </w:tcPr>
          <w:p w14:paraId="0CD25416" w14:textId="77777777" w:rsidR="00F4142D" w:rsidRDefault="00F4142D" w:rsidP="00C258BC">
            <w:pPr>
              <w:spacing w:after="0"/>
              <w:jc w:val="both"/>
              <w:rPr>
                <w:b/>
                <w:color w:val="000000" w:themeColor="text1"/>
                <w:sz w:val="20"/>
                <w:szCs w:val="20"/>
              </w:rPr>
            </w:pPr>
            <w:r w:rsidRPr="00EB140F">
              <w:rPr>
                <w:b/>
                <w:color w:val="000000" w:themeColor="text1"/>
                <w:sz w:val="20"/>
                <w:szCs w:val="20"/>
              </w:rPr>
              <w:t>No. Sites </w:t>
            </w:r>
          </w:p>
        </w:tc>
        <w:tc>
          <w:tcPr>
            <w:tcW w:w="2404" w:type="dxa"/>
            <w:shd w:val="clear" w:color="auto" w:fill="BFBFBF" w:themeFill="background1" w:themeFillShade="BF"/>
            <w:tcMar>
              <w:top w:w="115" w:type="dxa"/>
              <w:left w:w="115" w:type="dxa"/>
              <w:bottom w:w="115" w:type="dxa"/>
              <w:right w:w="115" w:type="dxa"/>
            </w:tcMar>
          </w:tcPr>
          <w:p w14:paraId="7BF07827" w14:textId="77777777" w:rsidR="00F4142D" w:rsidRPr="00EB140F" w:rsidRDefault="00F4142D" w:rsidP="00C258BC">
            <w:pPr>
              <w:spacing w:after="0"/>
              <w:jc w:val="both"/>
              <w:rPr>
                <w:b/>
                <w:color w:val="000000" w:themeColor="text1"/>
                <w:sz w:val="20"/>
                <w:szCs w:val="20"/>
              </w:rPr>
            </w:pPr>
            <w:r>
              <w:rPr>
                <w:b/>
                <w:color w:val="000000" w:themeColor="text1"/>
                <w:sz w:val="20"/>
                <w:szCs w:val="20"/>
              </w:rPr>
              <w:t>Method</w:t>
            </w:r>
          </w:p>
        </w:tc>
        <w:tc>
          <w:tcPr>
            <w:tcW w:w="1759" w:type="dxa"/>
            <w:shd w:val="clear" w:color="auto" w:fill="BFBFBF" w:themeFill="background1" w:themeFillShade="BF"/>
            <w:tcMar>
              <w:top w:w="115" w:type="dxa"/>
              <w:left w:w="115" w:type="dxa"/>
              <w:bottom w:w="115" w:type="dxa"/>
              <w:right w:w="115" w:type="dxa"/>
            </w:tcMar>
            <w:hideMark/>
          </w:tcPr>
          <w:p w14:paraId="533E57CB" w14:textId="77777777" w:rsidR="00F4142D" w:rsidRPr="00EB140F" w:rsidRDefault="00F4142D" w:rsidP="00C258BC">
            <w:pPr>
              <w:spacing w:after="0"/>
              <w:jc w:val="both"/>
              <w:rPr>
                <w:b/>
                <w:color w:val="000000" w:themeColor="text1"/>
                <w:sz w:val="20"/>
                <w:szCs w:val="20"/>
              </w:rPr>
            </w:pPr>
            <w:r w:rsidRPr="00EB140F">
              <w:rPr>
                <w:b/>
                <w:color w:val="000000" w:themeColor="text1"/>
                <w:sz w:val="20"/>
                <w:szCs w:val="20"/>
              </w:rPr>
              <w:t xml:space="preserve">Annual Harvest </w:t>
            </w:r>
            <w:r>
              <w:rPr>
                <w:b/>
                <w:color w:val="000000" w:themeColor="text1"/>
                <w:sz w:val="20"/>
                <w:szCs w:val="20"/>
              </w:rPr>
              <w:t>(</w:t>
            </w:r>
            <w:r w:rsidRPr="00EB140F">
              <w:rPr>
                <w:b/>
                <w:color w:val="000000" w:themeColor="text1"/>
                <w:sz w:val="20"/>
                <w:szCs w:val="20"/>
              </w:rPr>
              <w:t>km</w:t>
            </w:r>
            <w:r w:rsidRPr="00EB140F">
              <w:rPr>
                <w:b/>
                <w:color w:val="000000" w:themeColor="text1"/>
                <w:sz w:val="20"/>
                <w:szCs w:val="20"/>
                <w:vertAlign w:val="superscript"/>
              </w:rPr>
              <w:t>2</w:t>
            </w:r>
            <w:r w:rsidRPr="00EB140F">
              <w:rPr>
                <w:b/>
                <w:color w:val="000000" w:themeColor="text1"/>
                <w:sz w:val="20"/>
                <w:szCs w:val="20"/>
              </w:rPr>
              <w:t xml:space="preserve"> yr</w:t>
            </w:r>
            <w:r w:rsidRPr="00BE2A75">
              <w:rPr>
                <w:b/>
                <w:color w:val="000000" w:themeColor="text1"/>
                <w:sz w:val="20"/>
                <w:szCs w:val="20"/>
                <w:vertAlign w:val="superscript"/>
              </w:rPr>
              <w:t>-1</w:t>
            </w:r>
            <w:r>
              <w:rPr>
                <w:b/>
                <w:color w:val="000000" w:themeColor="text1"/>
                <w:sz w:val="20"/>
                <w:szCs w:val="20"/>
              </w:rPr>
              <w:t>)</w:t>
            </w:r>
          </w:p>
        </w:tc>
        <w:tc>
          <w:tcPr>
            <w:tcW w:w="1014" w:type="dxa"/>
            <w:shd w:val="clear" w:color="auto" w:fill="BFBFBF" w:themeFill="background1" w:themeFillShade="BF"/>
            <w:tcMar>
              <w:top w:w="115" w:type="dxa"/>
              <w:left w:w="115" w:type="dxa"/>
              <w:bottom w:w="115" w:type="dxa"/>
              <w:right w:w="115" w:type="dxa"/>
            </w:tcMar>
            <w:hideMark/>
          </w:tcPr>
          <w:p w14:paraId="19BAE8AE" w14:textId="77777777" w:rsidR="00F4142D" w:rsidRPr="00EB140F" w:rsidRDefault="00F4142D" w:rsidP="00C258BC">
            <w:pPr>
              <w:spacing w:after="0"/>
              <w:jc w:val="both"/>
              <w:rPr>
                <w:b/>
                <w:color w:val="000000" w:themeColor="text1"/>
                <w:sz w:val="20"/>
                <w:szCs w:val="20"/>
              </w:rPr>
            </w:pPr>
            <w:r w:rsidRPr="00EB140F">
              <w:rPr>
                <w:b/>
                <w:color w:val="000000" w:themeColor="text1"/>
                <w:sz w:val="20"/>
                <w:szCs w:val="20"/>
              </w:rPr>
              <w:t>Unit </w:t>
            </w:r>
          </w:p>
        </w:tc>
        <w:tc>
          <w:tcPr>
            <w:tcW w:w="1398" w:type="dxa"/>
            <w:shd w:val="clear" w:color="auto" w:fill="BFBFBF" w:themeFill="background1" w:themeFillShade="BF"/>
            <w:tcMar>
              <w:top w:w="115" w:type="dxa"/>
              <w:left w:w="115" w:type="dxa"/>
              <w:bottom w:w="115" w:type="dxa"/>
              <w:right w:w="115" w:type="dxa"/>
            </w:tcMar>
            <w:hideMark/>
          </w:tcPr>
          <w:p w14:paraId="327D1E33" w14:textId="77777777" w:rsidR="00F4142D" w:rsidRPr="00EB140F" w:rsidRDefault="00F4142D" w:rsidP="00BE2A75">
            <w:pPr>
              <w:spacing w:after="0"/>
              <w:rPr>
                <w:b/>
                <w:color w:val="000000" w:themeColor="text1"/>
                <w:sz w:val="20"/>
                <w:szCs w:val="20"/>
              </w:rPr>
            </w:pPr>
            <w:r w:rsidRPr="00EB140F">
              <w:rPr>
                <w:b/>
                <w:color w:val="000000" w:themeColor="text1"/>
                <w:sz w:val="20"/>
                <w:szCs w:val="20"/>
              </w:rPr>
              <w:t>Mean or Median </w:t>
            </w:r>
          </w:p>
        </w:tc>
        <w:tc>
          <w:tcPr>
            <w:tcW w:w="2868" w:type="dxa"/>
            <w:shd w:val="clear" w:color="auto" w:fill="BFBFBF" w:themeFill="background1" w:themeFillShade="BF"/>
            <w:tcMar>
              <w:top w:w="115" w:type="dxa"/>
              <w:left w:w="115" w:type="dxa"/>
              <w:bottom w:w="115" w:type="dxa"/>
              <w:right w:w="115" w:type="dxa"/>
            </w:tcMar>
            <w:hideMark/>
          </w:tcPr>
          <w:p w14:paraId="04FC4CD8" w14:textId="77777777" w:rsidR="00F4142D" w:rsidRDefault="00F4142D" w:rsidP="00C258BC">
            <w:pPr>
              <w:spacing w:after="0"/>
              <w:jc w:val="both"/>
              <w:rPr>
                <w:b/>
                <w:color w:val="000000" w:themeColor="text1"/>
                <w:sz w:val="20"/>
                <w:szCs w:val="20"/>
              </w:rPr>
            </w:pPr>
            <w:r>
              <w:rPr>
                <w:b/>
                <w:color w:val="000000" w:themeColor="text1"/>
                <w:sz w:val="20"/>
                <w:szCs w:val="20"/>
              </w:rPr>
              <w:t>Total Annual B</w:t>
            </w:r>
            <w:r w:rsidRPr="00EB140F">
              <w:rPr>
                <w:b/>
                <w:color w:val="000000" w:themeColor="text1"/>
                <w:sz w:val="20"/>
                <w:szCs w:val="20"/>
              </w:rPr>
              <w:t xml:space="preserve">iomass </w:t>
            </w:r>
          </w:p>
          <w:p w14:paraId="5E1CA46D" w14:textId="77777777" w:rsidR="00F4142D" w:rsidRPr="00EB140F" w:rsidRDefault="00F4142D" w:rsidP="00C258BC">
            <w:pPr>
              <w:spacing w:after="0"/>
              <w:jc w:val="both"/>
              <w:rPr>
                <w:b/>
                <w:color w:val="000000" w:themeColor="text1"/>
                <w:sz w:val="20"/>
                <w:szCs w:val="20"/>
              </w:rPr>
            </w:pPr>
            <w:r w:rsidRPr="00EB140F">
              <w:rPr>
                <w:b/>
                <w:color w:val="000000" w:themeColor="text1"/>
                <w:sz w:val="20"/>
                <w:szCs w:val="20"/>
              </w:rPr>
              <w:t>(million tonnes yr</w:t>
            </w:r>
            <w:r w:rsidRPr="00BE2A75">
              <w:rPr>
                <w:b/>
                <w:color w:val="000000" w:themeColor="text1"/>
                <w:sz w:val="20"/>
                <w:szCs w:val="20"/>
                <w:vertAlign w:val="superscript"/>
              </w:rPr>
              <w:t>-1</w:t>
            </w:r>
            <w:r w:rsidRPr="00EB140F">
              <w:rPr>
                <w:b/>
                <w:color w:val="000000" w:themeColor="text1"/>
                <w:sz w:val="20"/>
                <w:szCs w:val="20"/>
              </w:rPr>
              <w:t>) </w:t>
            </w:r>
          </w:p>
        </w:tc>
      </w:tr>
      <w:tr w:rsidR="00F4142D" w:rsidRPr="00EB140F" w14:paraId="02BA3152" w14:textId="77777777" w:rsidTr="00F4142D">
        <w:trPr>
          <w:trHeight w:val="197"/>
        </w:trPr>
        <w:tc>
          <w:tcPr>
            <w:tcW w:w="1759" w:type="dxa"/>
            <w:tcMar>
              <w:top w:w="115" w:type="dxa"/>
              <w:left w:w="115" w:type="dxa"/>
              <w:bottom w:w="115" w:type="dxa"/>
              <w:right w:w="115" w:type="dxa"/>
            </w:tcMar>
          </w:tcPr>
          <w:p w14:paraId="336441C5" w14:textId="5040C690" w:rsidR="00F4142D" w:rsidRPr="00EB140F" w:rsidRDefault="00AA5190" w:rsidP="00C258BC">
            <w:pPr>
              <w:spacing w:after="0"/>
              <w:jc w:val="both"/>
              <w:rPr>
                <w:color w:val="000000" w:themeColor="text1"/>
                <w:sz w:val="20"/>
                <w:szCs w:val="20"/>
              </w:rPr>
            </w:pPr>
            <w:r w:rsidRPr="00AA5190">
              <w:rPr>
                <w:color w:val="000000" w:themeColor="text1"/>
                <w:sz w:val="20"/>
                <w:szCs w:val="20"/>
              </w:rPr>
              <w:fldChar w:fldCharType="begin" w:fldLock="1"/>
            </w:r>
            <w:r>
              <w:rPr>
                <w:color w:val="000000" w:themeColor="text1"/>
                <w:sz w:val="20"/>
                <w:szCs w:val="20"/>
              </w:rPr>
              <w:instrText>ADDIN CSL_CITATION {"citationItems":[{"id":"ITEM-1","itemData":{"author":[{"dropping-particle":"","family":"Peres","given":"Carlos A","non-dropping-particle":"","parse-names":false,"suffix":""}],"container-title":"Conservation Biology","id":"ITEM-1","issue":"1","issued":{"date-parts":[["2000"]]},"page":"240-253","title":"Effects of subsistence hunting on vertebrate community structure in Amazonian forests","type":"article-journal","volume":"14"},"uris":["http://www.mendeley.com/documents/?uuid=40b276de-4384-47c0-838a-a0ff6e6cbfd1"]}],"mendeley":{"formattedCitation":"(Peres 2000b)","manualFormatting":"Peres 2000b","plainTextFormattedCitation":"(Peres 2000b)","previouslyFormattedCitation":"(Peres 2000b)"},"properties":{"noteIndex":0},"schema":"https://github.com/citation-style-language/schema/raw/master/csl-citation.json"}</w:instrText>
            </w:r>
            <w:r w:rsidRPr="00AA5190">
              <w:rPr>
                <w:color w:val="000000" w:themeColor="text1"/>
                <w:sz w:val="20"/>
                <w:szCs w:val="20"/>
              </w:rPr>
              <w:fldChar w:fldCharType="separate"/>
            </w:r>
            <w:r w:rsidRPr="00AA5190">
              <w:rPr>
                <w:noProof/>
                <w:color w:val="000000" w:themeColor="text1"/>
                <w:sz w:val="20"/>
                <w:szCs w:val="20"/>
              </w:rPr>
              <w:t>Peres 2000b</w:t>
            </w:r>
            <w:r w:rsidRPr="00AA5190">
              <w:rPr>
                <w:color w:val="000000" w:themeColor="text1"/>
                <w:sz w:val="20"/>
                <w:szCs w:val="20"/>
              </w:rPr>
              <w:fldChar w:fldCharType="end"/>
            </w:r>
          </w:p>
        </w:tc>
        <w:tc>
          <w:tcPr>
            <w:tcW w:w="1759" w:type="dxa"/>
            <w:tcMar>
              <w:top w:w="115" w:type="dxa"/>
              <w:left w:w="115" w:type="dxa"/>
              <w:bottom w:w="115" w:type="dxa"/>
              <w:right w:w="115" w:type="dxa"/>
            </w:tcMar>
          </w:tcPr>
          <w:p w14:paraId="283BE794" w14:textId="540EF8E4" w:rsidR="00F4142D" w:rsidRPr="00EB140F" w:rsidRDefault="00E96BE2" w:rsidP="00C258BC">
            <w:pPr>
              <w:spacing w:after="0"/>
              <w:jc w:val="both"/>
              <w:rPr>
                <w:color w:val="000000" w:themeColor="text1"/>
                <w:sz w:val="20"/>
                <w:szCs w:val="20"/>
              </w:rPr>
            </w:pPr>
            <w:r w:rsidRPr="00EB140F">
              <w:rPr>
                <w:color w:val="000000" w:themeColor="text1"/>
                <w:sz w:val="20"/>
                <w:szCs w:val="20"/>
              </w:rPr>
              <w:t>Brazilian</w:t>
            </w:r>
            <w:r w:rsidR="00F4142D" w:rsidRPr="00EB140F">
              <w:rPr>
                <w:color w:val="000000" w:themeColor="text1"/>
                <w:sz w:val="20"/>
                <w:szCs w:val="20"/>
              </w:rPr>
              <w:t xml:space="preserve"> Amazon</w:t>
            </w:r>
          </w:p>
        </w:tc>
        <w:tc>
          <w:tcPr>
            <w:tcW w:w="1114" w:type="dxa"/>
            <w:tcMar>
              <w:top w:w="115" w:type="dxa"/>
              <w:left w:w="115" w:type="dxa"/>
              <w:bottom w:w="115" w:type="dxa"/>
              <w:right w:w="115" w:type="dxa"/>
            </w:tcMar>
          </w:tcPr>
          <w:p w14:paraId="1D2FD768"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31</w:t>
            </w:r>
          </w:p>
        </w:tc>
        <w:tc>
          <w:tcPr>
            <w:tcW w:w="2404" w:type="dxa"/>
            <w:tcMar>
              <w:top w:w="115" w:type="dxa"/>
              <w:left w:w="115" w:type="dxa"/>
              <w:bottom w:w="115" w:type="dxa"/>
              <w:right w:w="115" w:type="dxa"/>
            </w:tcMar>
          </w:tcPr>
          <w:p w14:paraId="4F6784ED" w14:textId="79907103" w:rsidR="00F4142D" w:rsidRPr="00EB140F" w:rsidRDefault="00F4142D" w:rsidP="00BE2A75">
            <w:pPr>
              <w:spacing w:after="0"/>
              <w:rPr>
                <w:color w:val="000000" w:themeColor="text1"/>
                <w:sz w:val="20"/>
                <w:szCs w:val="20"/>
              </w:rPr>
            </w:pPr>
            <w:r>
              <w:rPr>
                <w:color w:val="000000" w:themeColor="text1"/>
                <w:sz w:val="20"/>
                <w:szCs w:val="20"/>
              </w:rPr>
              <w:t>Extrapolation by human population</w:t>
            </w:r>
          </w:p>
        </w:tc>
        <w:tc>
          <w:tcPr>
            <w:tcW w:w="1759" w:type="dxa"/>
            <w:tcMar>
              <w:top w:w="115" w:type="dxa"/>
              <w:left w:w="115" w:type="dxa"/>
              <w:bottom w:w="115" w:type="dxa"/>
              <w:right w:w="115" w:type="dxa"/>
            </w:tcMar>
          </w:tcPr>
          <w:p w14:paraId="51635143"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w:t>
            </w:r>
          </w:p>
        </w:tc>
        <w:tc>
          <w:tcPr>
            <w:tcW w:w="1014" w:type="dxa"/>
            <w:tcMar>
              <w:top w:w="115" w:type="dxa"/>
              <w:left w:w="115" w:type="dxa"/>
              <w:bottom w:w="115" w:type="dxa"/>
              <w:right w:w="115" w:type="dxa"/>
            </w:tcMar>
          </w:tcPr>
          <w:p w14:paraId="6A315705"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w:t>
            </w:r>
          </w:p>
        </w:tc>
        <w:tc>
          <w:tcPr>
            <w:tcW w:w="1398" w:type="dxa"/>
            <w:tcMar>
              <w:top w:w="115" w:type="dxa"/>
              <w:left w:w="115" w:type="dxa"/>
              <w:bottom w:w="115" w:type="dxa"/>
              <w:right w:w="115" w:type="dxa"/>
            </w:tcMar>
          </w:tcPr>
          <w:p w14:paraId="01E4594D"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w:t>
            </w:r>
          </w:p>
        </w:tc>
        <w:tc>
          <w:tcPr>
            <w:tcW w:w="2868" w:type="dxa"/>
            <w:tcMar>
              <w:top w:w="115" w:type="dxa"/>
              <w:left w:w="115" w:type="dxa"/>
              <w:bottom w:w="115" w:type="dxa"/>
              <w:right w:w="115" w:type="dxa"/>
            </w:tcMar>
          </w:tcPr>
          <w:p w14:paraId="30428377"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0.067 – 0.165</w:t>
            </w:r>
          </w:p>
        </w:tc>
      </w:tr>
      <w:tr w:rsidR="00611F53" w:rsidRPr="00EB140F" w14:paraId="429797E4" w14:textId="77777777" w:rsidTr="00F4142D">
        <w:trPr>
          <w:trHeight w:val="197"/>
        </w:trPr>
        <w:tc>
          <w:tcPr>
            <w:tcW w:w="1759" w:type="dxa"/>
            <w:tcMar>
              <w:top w:w="115" w:type="dxa"/>
              <w:left w:w="115" w:type="dxa"/>
              <w:bottom w:w="115" w:type="dxa"/>
              <w:right w:w="115" w:type="dxa"/>
            </w:tcMar>
          </w:tcPr>
          <w:p w14:paraId="0D49592F" w14:textId="6DF96C35" w:rsidR="00611F53" w:rsidRPr="00EB140F" w:rsidRDefault="00F8189C" w:rsidP="00C258BC">
            <w:pPr>
              <w:spacing w:after="0"/>
              <w:jc w:val="both"/>
              <w:rPr>
                <w:color w:val="000000" w:themeColor="text1"/>
                <w:sz w:val="20"/>
                <w:szCs w:val="20"/>
              </w:rPr>
            </w:pPr>
            <w:r>
              <w:rPr>
                <w:color w:val="000000" w:themeColor="text1"/>
                <w:sz w:val="20"/>
                <w:szCs w:val="20"/>
              </w:rPr>
              <w:fldChar w:fldCharType="begin" w:fldLock="1"/>
            </w:r>
            <w:r>
              <w:rPr>
                <w:color w:val="000000" w:themeColor="text1"/>
                <w:sz w:val="20"/>
                <w:szCs w:val="20"/>
              </w:rPr>
              <w:instrText>ADDIN CSL_CITATION {"citationItems":[{"id":"ITEM-1","itemData":{"author":[{"dropping-particle":"","family":"Nasi","given":"R","non-dropping-particle":"","parse-names":false,"suffix":""},{"dropping-particle":"","family":"Taber","given":"A","non-dropping-particle":"","parse-names":false,"suffix":""},{"dropping-particle":"","family":"Vliet","given":"N","non-dropping-particle":"van","parse-names":false,"suffix":""}],"container-title":"International Forestry Review","id":"ITEM-1","issue":"3","issued":{"date-parts":[["2011"]]},"page":"355-368","title":"Empty forests, empty stomachs? Bushmeat and livelihoods in the Congo and Amazon Basins","type":"article-journal","volume":"13"},"uris":["http://www.mendeley.com/documents/?uuid=975db7a7-3da0-44cf-9a13-3605f762558f"]}],"mendeley":{"formattedCitation":"(Nasi et al. 2011)","manualFormatting":"Nasi et al. 2011","plainTextFormattedCitation":"(Nasi et al. 2011)","previouslyFormattedCitation":"(Nasi et al. 2011)"},"properties":{"noteIndex":0},"schema":"https://github.com/citation-style-language/schema/raw/master/csl-citation.json"}</w:instrText>
            </w:r>
            <w:r>
              <w:rPr>
                <w:color w:val="000000" w:themeColor="text1"/>
                <w:sz w:val="20"/>
                <w:szCs w:val="20"/>
              </w:rPr>
              <w:fldChar w:fldCharType="separate"/>
            </w:r>
            <w:r w:rsidRPr="00F8189C">
              <w:rPr>
                <w:noProof/>
                <w:color w:val="000000" w:themeColor="text1"/>
                <w:sz w:val="20"/>
                <w:szCs w:val="20"/>
              </w:rPr>
              <w:t>Nasi et al. 2011</w:t>
            </w:r>
            <w:r>
              <w:rPr>
                <w:color w:val="000000" w:themeColor="text1"/>
                <w:sz w:val="20"/>
                <w:szCs w:val="20"/>
              </w:rPr>
              <w:fldChar w:fldCharType="end"/>
            </w:r>
          </w:p>
        </w:tc>
        <w:tc>
          <w:tcPr>
            <w:tcW w:w="1759" w:type="dxa"/>
            <w:tcMar>
              <w:top w:w="115" w:type="dxa"/>
              <w:left w:w="115" w:type="dxa"/>
              <w:bottom w:w="115" w:type="dxa"/>
              <w:right w:w="115" w:type="dxa"/>
            </w:tcMar>
          </w:tcPr>
          <w:p w14:paraId="51EF07EF" w14:textId="0A02056D" w:rsidR="00611F53" w:rsidRPr="00EB140F" w:rsidRDefault="00E96BE2" w:rsidP="00C258BC">
            <w:pPr>
              <w:spacing w:after="0"/>
              <w:jc w:val="both"/>
              <w:rPr>
                <w:color w:val="000000" w:themeColor="text1"/>
                <w:sz w:val="20"/>
                <w:szCs w:val="20"/>
              </w:rPr>
            </w:pPr>
            <w:r w:rsidRPr="00EB140F">
              <w:rPr>
                <w:color w:val="000000" w:themeColor="text1"/>
                <w:sz w:val="20"/>
                <w:szCs w:val="20"/>
              </w:rPr>
              <w:t>Brazilian</w:t>
            </w:r>
            <w:r w:rsidR="00611F53" w:rsidRPr="00EB140F">
              <w:rPr>
                <w:color w:val="000000" w:themeColor="text1"/>
                <w:sz w:val="20"/>
                <w:szCs w:val="20"/>
              </w:rPr>
              <w:t xml:space="preserve"> Amazon</w:t>
            </w:r>
          </w:p>
        </w:tc>
        <w:tc>
          <w:tcPr>
            <w:tcW w:w="1114" w:type="dxa"/>
            <w:tcMar>
              <w:top w:w="115" w:type="dxa"/>
              <w:left w:w="115" w:type="dxa"/>
              <w:bottom w:w="115" w:type="dxa"/>
              <w:right w:w="115" w:type="dxa"/>
            </w:tcMar>
          </w:tcPr>
          <w:p w14:paraId="5A104DF0" w14:textId="7B529BD6" w:rsidR="00611F53" w:rsidRPr="00EB140F" w:rsidRDefault="00611F53" w:rsidP="00C258BC">
            <w:pPr>
              <w:spacing w:after="0"/>
              <w:jc w:val="both"/>
              <w:rPr>
                <w:color w:val="000000" w:themeColor="text1"/>
                <w:sz w:val="20"/>
                <w:szCs w:val="20"/>
              </w:rPr>
            </w:pPr>
            <w:r w:rsidRPr="00EB140F">
              <w:rPr>
                <w:color w:val="000000" w:themeColor="text1"/>
                <w:sz w:val="20"/>
                <w:szCs w:val="20"/>
              </w:rPr>
              <w:t>14</w:t>
            </w:r>
          </w:p>
        </w:tc>
        <w:tc>
          <w:tcPr>
            <w:tcW w:w="2404" w:type="dxa"/>
            <w:tcMar>
              <w:top w:w="115" w:type="dxa"/>
              <w:left w:w="115" w:type="dxa"/>
              <w:bottom w:w="115" w:type="dxa"/>
              <w:right w:w="115" w:type="dxa"/>
            </w:tcMar>
          </w:tcPr>
          <w:p w14:paraId="3E8AE287" w14:textId="2B314E84" w:rsidR="00611F53" w:rsidRDefault="00611F53" w:rsidP="00BE2A75">
            <w:pPr>
              <w:spacing w:after="0"/>
              <w:rPr>
                <w:color w:val="000000" w:themeColor="text1"/>
                <w:sz w:val="20"/>
                <w:szCs w:val="20"/>
              </w:rPr>
            </w:pPr>
            <w:r>
              <w:rPr>
                <w:color w:val="000000" w:themeColor="text1"/>
                <w:sz w:val="20"/>
                <w:szCs w:val="20"/>
              </w:rPr>
              <w:t>Extrapolation of consumption rates per person</w:t>
            </w:r>
          </w:p>
        </w:tc>
        <w:tc>
          <w:tcPr>
            <w:tcW w:w="1759" w:type="dxa"/>
            <w:tcMar>
              <w:top w:w="115" w:type="dxa"/>
              <w:left w:w="115" w:type="dxa"/>
              <w:bottom w:w="115" w:type="dxa"/>
              <w:right w:w="115" w:type="dxa"/>
            </w:tcMar>
          </w:tcPr>
          <w:p w14:paraId="712135EC" w14:textId="1D9DD57A" w:rsidR="00611F53" w:rsidRPr="00EB140F" w:rsidRDefault="00611F53" w:rsidP="00C258BC">
            <w:pPr>
              <w:spacing w:after="0"/>
              <w:jc w:val="both"/>
              <w:rPr>
                <w:color w:val="000000" w:themeColor="text1"/>
                <w:sz w:val="20"/>
                <w:szCs w:val="20"/>
              </w:rPr>
            </w:pPr>
            <w:r w:rsidRPr="00EB140F">
              <w:rPr>
                <w:color w:val="000000" w:themeColor="text1"/>
                <w:sz w:val="20"/>
                <w:szCs w:val="20"/>
              </w:rPr>
              <w:t>-</w:t>
            </w:r>
          </w:p>
        </w:tc>
        <w:tc>
          <w:tcPr>
            <w:tcW w:w="1014" w:type="dxa"/>
            <w:tcMar>
              <w:top w:w="115" w:type="dxa"/>
              <w:left w:w="115" w:type="dxa"/>
              <w:bottom w:w="115" w:type="dxa"/>
              <w:right w:w="115" w:type="dxa"/>
            </w:tcMar>
          </w:tcPr>
          <w:p w14:paraId="221E999E" w14:textId="4B1373A6" w:rsidR="00611F53" w:rsidRDefault="00611F53" w:rsidP="00C258BC">
            <w:pPr>
              <w:spacing w:after="0"/>
              <w:jc w:val="both"/>
              <w:rPr>
                <w:color w:val="000000" w:themeColor="text1"/>
                <w:sz w:val="20"/>
                <w:szCs w:val="20"/>
              </w:rPr>
            </w:pPr>
            <w:r w:rsidRPr="00EB140F">
              <w:rPr>
                <w:color w:val="000000" w:themeColor="text1"/>
                <w:sz w:val="20"/>
                <w:szCs w:val="20"/>
              </w:rPr>
              <w:t>-</w:t>
            </w:r>
          </w:p>
        </w:tc>
        <w:tc>
          <w:tcPr>
            <w:tcW w:w="1398" w:type="dxa"/>
            <w:tcMar>
              <w:top w:w="115" w:type="dxa"/>
              <w:left w:w="115" w:type="dxa"/>
              <w:bottom w:w="115" w:type="dxa"/>
              <w:right w:w="115" w:type="dxa"/>
            </w:tcMar>
          </w:tcPr>
          <w:p w14:paraId="0AF8180C" w14:textId="44488856" w:rsidR="00611F53" w:rsidRPr="00EB140F" w:rsidRDefault="00611F53" w:rsidP="00C258BC">
            <w:pPr>
              <w:spacing w:after="0"/>
              <w:jc w:val="both"/>
              <w:rPr>
                <w:color w:val="000000" w:themeColor="text1"/>
                <w:sz w:val="20"/>
                <w:szCs w:val="20"/>
              </w:rPr>
            </w:pPr>
            <w:r w:rsidRPr="00EB140F">
              <w:rPr>
                <w:color w:val="000000" w:themeColor="text1"/>
                <w:sz w:val="20"/>
                <w:szCs w:val="20"/>
              </w:rPr>
              <w:t>-</w:t>
            </w:r>
          </w:p>
        </w:tc>
        <w:tc>
          <w:tcPr>
            <w:tcW w:w="2868" w:type="dxa"/>
            <w:tcMar>
              <w:top w:w="115" w:type="dxa"/>
              <w:left w:w="115" w:type="dxa"/>
              <w:bottom w:w="115" w:type="dxa"/>
              <w:right w:w="115" w:type="dxa"/>
            </w:tcMar>
          </w:tcPr>
          <w:p w14:paraId="6ABF2912" w14:textId="2DA32DB3" w:rsidR="00611F53" w:rsidRPr="00EB140F" w:rsidRDefault="00611F53" w:rsidP="00C258BC">
            <w:pPr>
              <w:spacing w:after="0"/>
              <w:jc w:val="both"/>
              <w:rPr>
                <w:color w:val="000000" w:themeColor="text1"/>
                <w:sz w:val="20"/>
                <w:szCs w:val="20"/>
              </w:rPr>
            </w:pPr>
            <w:r w:rsidRPr="00EB140F">
              <w:rPr>
                <w:color w:val="000000" w:themeColor="text1"/>
                <w:sz w:val="20"/>
                <w:szCs w:val="20"/>
              </w:rPr>
              <w:t>1.3</w:t>
            </w:r>
          </w:p>
        </w:tc>
      </w:tr>
      <w:tr w:rsidR="00F4142D" w:rsidRPr="00EB140F" w14:paraId="3368FF21" w14:textId="77777777" w:rsidTr="00F4142D">
        <w:trPr>
          <w:trHeight w:val="197"/>
        </w:trPr>
        <w:tc>
          <w:tcPr>
            <w:tcW w:w="1759" w:type="dxa"/>
            <w:tcMar>
              <w:top w:w="115" w:type="dxa"/>
              <w:left w:w="115" w:type="dxa"/>
              <w:bottom w:w="115" w:type="dxa"/>
              <w:right w:w="115" w:type="dxa"/>
            </w:tcMar>
          </w:tcPr>
          <w:p w14:paraId="3C02CD0A" w14:textId="4BDA8902" w:rsidR="00F4142D" w:rsidRPr="00EB140F" w:rsidRDefault="00F8189C" w:rsidP="00C258BC">
            <w:pPr>
              <w:spacing w:after="0"/>
              <w:jc w:val="both"/>
              <w:rPr>
                <w:color w:val="000000" w:themeColor="text1"/>
                <w:sz w:val="20"/>
                <w:szCs w:val="20"/>
              </w:rPr>
            </w:pPr>
            <w:r>
              <w:rPr>
                <w:color w:val="000000" w:themeColor="text1"/>
                <w:sz w:val="20"/>
                <w:szCs w:val="20"/>
              </w:rPr>
              <w:fldChar w:fldCharType="begin" w:fldLock="1"/>
            </w:r>
            <w:r>
              <w:rPr>
                <w:color w:val="000000" w:themeColor="text1"/>
                <w:sz w:val="20"/>
                <w:szCs w:val="20"/>
              </w:rPr>
              <w:instrText>ADDIN CSL_CITATION {"citationItems":[{"id":"ITEM-1","itemData":{"DOI":"10.1046/j.1523-1739.2002.00275.x","ISBN":"1523-1739","ISSN":"0888-8892","PMID":"10875522","abstract":"We calculated extraction and production rates of bushmeat species in two main tropical, moist-forest regions, the Amazon and Congo basins. Extraction was estimated from the average number of animals consumed per person per year from anthropological studies that reported animal kills brought into settlements in the regions. We calculated extraction rates ( kg / km 2/year) for 57 and 31 mammalian taxa in the Congo and Amazon, respectively. We then examined the sustainability of these extraction rates by basin and by taxa, using extraction-to-production ( E:P) mass-balance equations. Production (tonnes/year) was calculated as the product of rmax (the intrinsic rate of natural increase), mammal biomass, and total area of forest in each region. Species exploitation rates at specific body masses were significantly greater in the Congo than in the Amazon. The E :P ratio for the Congo was 2.4, 30 times the Amazon's ratio of 0.081. Thus, Congo Basin mammals must annually produce approximately 93% of their body mass to balance current extraction rates, whereas Amazonian mammals must produce only 4% of their body mass. We calculated sustainability levels derived from Robinson and Redford's harvest model for each taxa. On a basin-wide level, 60% and none of the mammal taxa in the Congo and Amazon basins, respectively, were exploited unsustainably. To evaluate the effect of error on the estimates of E :P, we conducted a sensitivity analysis, which suggests that the mass-balance was most sensitive to error in standing stock but that our results are robust. We estimated that over 5 million tons of wild mammal meat feed millions in Neotropical (0.15 million) and Afrotropical (4.9 million) forests annually. Our Congo basin estimates are four times higher than those calculated for the region by other workers, and we conclude that the current situation of bushmeat extraction in African rain forests is more precarious than previously thought. Calculamos las tasas de extracción y de producción de especies cinegéticas en dos importantes regiones tropicales de bosque húmedo: las cuencas del Amazonas y del Congo. Se estimó la extracción a partir del número promedio de animales consumidos por año en estudios antropológicos que registraron animales cazados y llevados a los poblados en las regiones. Calculamos tasas de extracción ( kg/km 2/año−1) para 57 y 31 taxa de mamíferos en el Congo y el Amazonas, respectivamente. Posteriormente examinamos la sustentabilidad de estas tasas …","author":[{"dropping-particle":"","family":"Fa","given":"John E","non-dropping-particle":"","parse-names":false,"suffix":""},{"dropping-particle":"","family":"Peres","given":"Carlos A","non-dropping-particle":"","parse-names":false,"suffix":""},{"dropping-particle":"","family":"Meeuwig","given":"Jessica","non-dropping-particle":"","parse-names":false,"suffix":""}],"container-title":"Conservation Biology","id":"ITEM-1","issue":"1","issued":{"date-parts":[["2002"]]},"page":"232-237","title":"Bushmeat exploitation in tropical forests: an intercontinental comparison","type":"article-journal","volume":"16"},"uris":["http://www.mendeley.com/documents/?uuid=e1b18c38-751b-40b4-a08a-c77816093199"]}],"mendeley":{"formattedCitation":"(Fa et al. 2002)","manualFormatting":"Fa et al. 2002","plainTextFormattedCitation":"(Fa et al. 2002)","previouslyFormattedCitation":"(Fa et al. 2002)"},"properties":{"noteIndex":0},"schema":"https://github.com/citation-style-language/schema/raw/master/csl-citation.json"}</w:instrText>
            </w:r>
            <w:r>
              <w:rPr>
                <w:color w:val="000000" w:themeColor="text1"/>
                <w:sz w:val="20"/>
                <w:szCs w:val="20"/>
              </w:rPr>
              <w:fldChar w:fldCharType="separate"/>
            </w:r>
            <w:r w:rsidRPr="00F8189C">
              <w:rPr>
                <w:noProof/>
                <w:color w:val="000000" w:themeColor="text1"/>
                <w:sz w:val="20"/>
                <w:szCs w:val="20"/>
              </w:rPr>
              <w:t>Fa et al. 2002</w:t>
            </w:r>
            <w:r>
              <w:rPr>
                <w:color w:val="000000" w:themeColor="text1"/>
                <w:sz w:val="20"/>
                <w:szCs w:val="20"/>
              </w:rPr>
              <w:fldChar w:fldCharType="end"/>
            </w:r>
          </w:p>
        </w:tc>
        <w:tc>
          <w:tcPr>
            <w:tcW w:w="1759" w:type="dxa"/>
            <w:tcMar>
              <w:top w:w="115" w:type="dxa"/>
              <w:left w:w="115" w:type="dxa"/>
              <w:bottom w:w="115" w:type="dxa"/>
              <w:right w:w="115" w:type="dxa"/>
            </w:tcMar>
          </w:tcPr>
          <w:p w14:paraId="5280BF97"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Congo Basin</w:t>
            </w:r>
          </w:p>
        </w:tc>
        <w:tc>
          <w:tcPr>
            <w:tcW w:w="1114" w:type="dxa"/>
            <w:tcMar>
              <w:top w:w="115" w:type="dxa"/>
              <w:left w:w="115" w:type="dxa"/>
              <w:bottom w:w="115" w:type="dxa"/>
              <w:right w:w="115" w:type="dxa"/>
            </w:tcMar>
          </w:tcPr>
          <w:p w14:paraId="3042F539"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14 </w:t>
            </w:r>
          </w:p>
        </w:tc>
        <w:tc>
          <w:tcPr>
            <w:tcW w:w="2404" w:type="dxa"/>
            <w:tcMar>
              <w:top w:w="115" w:type="dxa"/>
              <w:left w:w="115" w:type="dxa"/>
              <w:bottom w:w="115" w:type="dxa"/>
              <w:right w:w="115" w:type="dxa"/>
            </w:tcMar>
          </w:tcPr>
          <w:p w14:paraId="13C65EBB" w14:textId="77777777" w:rsidR="00F4142D" w:rsidRPr="00EB140F" w:rsidRDefault="00F4142D" w:rsidP="00BE2A75">
            <w:pPr>
              <w:spacing w:after="0"/>
              <w:rPr>
                <w:color w:val="000000" w:themeColor="text1"/>
                <w:sz w:val="20"/>
                <w:szCs w:val="20"/>
              </w:rPr>
            </w:pPr>
            <w:r>
              <w:rPr>
                <w:color w:val="000000" w:themeColor="text1"/>
                <w:sz w:val="20"/>
                <w:szCs w:val="20"/>
              </w:rPr>
              <w:t>Extrapolation by human population</w:t>
            </w:r>
          </w:p>
        </w:tc>
        <w:tc>
          <w:tcPr>
            <w:tcW w:w="1759" w:type="dxa"/>
            <w:tcMar>
              <w:top w:w="115" w:type="dxa"/>
              <w:left w:w="115" w:type="dxa"/>
              <w:bottom w:w="115" w:type="dxa"/>
              <w:right w:w="115" w:type="dxa"/>
            </w:tcMar>
            <w:hideMark/>
          </w:tcPr>
          <w:p w14:paraId="3C2CE94D"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213.1 </w:t>
            </w:r>
          </w:p>
        </w:tc>
        <w:tc>
          <w:tcPr>
            <w:tcW w:w="1014" w:type="dxa"/>
            <w:tcMar>
              <w:top w:w="115" w:type="dxa"/>
              <w:left w:w="115" w:type="dxa"/>
              <w:bottom w:w="115" w:type="dxa"/>
              <w:right w:w="115" w:type="dxa"/>
            </w:tcMar>
            <w:hideMark/>
          </w:tcPr>
          <w:p w14:paraId="21FEFFBF" w14:textId="16260100" w:rsidR="00F4142D" w:rsidRPr="00EB140F" w:rsidRDefault="00F4142D" w:rsidP="00C258BC">
            <w:pPr>
              <w:spacing w:after="0"/>
              <w:jc w:val="both"/>
              <w:rPr>
                <w:color w:val="000000" w:themeColor="text1"/>
                <w:sz w:val="20"/>
                <w:szCs w:val="20"/>
              </w:rPr>
            </w:pPr>
            <w:r>
              <w:rPr>
                <w:color w:val="000000" w:themeColor="text1"/>
                <w:sz w:val="20"/>
                <w:szCs w:val="20"/>
              </w:rPr>
              <w:t>K</w:t>
            </w:r>
            <w:r w:rsidRPr="00EB140F">
              <w:rPr>
                <w:color w:val="000000" w:themeColor="text1"/>
                <w:sz w:val="20"/>
                <w:szCs w:val="20"/>
              </w:rPr>
              <w:t>g </w:t>
            </w:r>
          </w:p>
        </w:tc>
        <w:tc>
          <w:tcPr>
            <w:tcW w:w="1398" w:type="dxa"/>
            <w:tcMar>
              <w:top w:w="115" w:type="dxa"/>
              <w:left w:w="115" w:type="dxa"/>
              <w:bottom w:w="115" w:type="dxa"/>
              <w:right w:w="115" w:type="dxa"/>
            </w:tcMar>
            <w:hideMark/>
          </w:tcPr>
          <w:p w14:paraId="4EA614E2"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 </w:t>
            </w:r>
          </w:p>
        </w:tc>
        <w:tc>
          <w:tcPr>
            <w:tcW w:w="2868" w:type="dxa"/>
            <w:tcMar>
              <w:top w:w="115" w:type="dxa"/>
              <w:left w:w="115" w:type="dxa"/>
              <w:bottom w:w="115" w:type="dxa"/>
              <w:right w:w="115" w:type="dxa"/>
            </w:tcMar>
            <w:hideMark/>
          </w:tcPr>
          <w:p w14:paraId="547BFB6A"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4.9 </w:t>
            </w:r>
          </w:p>
        </w:tc>
      </w:tr>
      <w:tr w:rsidR="00F4142D" w:rsidRPr="00EB140F" w14:paraId="7F53F4A3" w14:textId="77777777" w:rsidTr="00F4142D">
        <w:trPr>
          <w:trHeight w:val="197"/>
        </w:trPr>
        <w:tc>
          <w:tcPr>
            <w:tcW w:w="1759" w:type="dxa"/>
            <w:tcMar>
              <w:top w:w="115" w:type="dxa"/>
              <w:left w:w="115" w:type="dxa"/>
              <w:bottom w:w="115" w:type="dxa"/>
              <w:right w:w="115" w:type="dxa"/>
            </w:tcMar>
          </w:tcPr>
          <w:p w14:paraId="5E1064DC" w14:textId="61BB203E" w:rsidR="00F4142D" w:rsidRPr="00EB140F" w:rsidRDefault="00F8189C" w:rsidP="00C258BC">
            <w:pPr>
              <w:spacing w:after="0"/>
              <w:jc w:val="both"/>
              <w:rPr>
                <w:color w:val="000000" w:themeColor="text1"/>
                <w:sz w:val="20"/>
                <w:szCs w:val="20"/>
              </w:rPr>
            </w:pPr>
            <w:r>
              <w:rPr>
                <w:color w:val="000000" w:themeColor="text1"/>
                <w:sz w:val="20"/>
                <w:szCs w:val="20"/>
              </w:rPr>
              <w:fldChar w:fldCharType="begin" w:fldLock="1"/>
            </w:r>
            <w:r>
              <w:rPr>
                <w:color w:val="000000" w:themeColor="text1"/>
                <w:sz w:val="20"/>
                <w:szCs w:val="20"/>
              </w:rPr>
              <w:instrText>ADDIN CSL_CITATION {"citationItems":[{"id":"ITEM-1","itemData":{"DOI":"10.1371/journal.pone.0161703","author":[{"dropping-particle":"","family":"Fa","given":"John E","non-dropping-particle":"","parse-names":false,"suffix":""},{"dropping-particle":"","family":"Olivero","given":"Jesús","non-dropping-particle":"","parse-names":false,"suffix":""},{"dropping-particle":"","family":"Farfán","given":"Miguel Angel","non-dropping-particle":"","parse-names":false,"suffix":""},{"dropping-particle":"","family":"Lewis","given":"Jerome","non-dropping-particle":"","parse-names":false,"suffix":""},{"dropping-particle":"","family":"Yasuoka","given":"Hirokazu","non-dropping-particle":"","parse-names":false,"suffix":""},{"dropping-particle":"","family":"Noss","given":"Andrew","non-dropping-particle":"","parse-names":false,"suffix":""},{"dropping-particle":"","family":"Hattori","given":"Shiho","non-dropping-particle":"","parse-names":false,"suffix":""},{"dropping-particle":"","family":"Hirai","given":"Masaaki","non-dropping-particle":"","parse-names":false,"suffix":""},{"dropping-particle":"","family":"Kamgaing","given":"Towa O W","non-dropping-particle":"","parse-names":false,"suffix":""},{"dropping-particle":"","family":"Carpaneto","given":"Giuseppe M","non-dropping-particle":"","parse-names":false,"suffix":""},{"dropping-particle":"","family":"Germi","given":"Francesco","non-dropping-particle":"","parse-names":false,"suffix":""},{"dropping-particle":"","family":"Marquez","given":"Ana L.","non-dropping-particle":"","parse-names":false,"suffix":""},{"dropping-particle":"","family":"Duarte","given":"Jesús","non-dropping-particle":"","parse-names":false,"suffix":""},{"dropping-particle":"","family":"Duda","given":"Romain","non-dropping-particle":"","parse-names":false,"suffix":""},{"dropping-particle":"","family":"Gallois","given":"Sandrine","non-dropping-particle":"","parse-names":false,"suffix":""},{"dropping-particle":"","family":"Riddell","given":"Michael","non-dropping-particle":"","parse-names":false,"suffix":""},{"dropping-particle":"","family":"Nasi","given":"Robert","non-dropping-particle":"","parse-names":false,"suffix":""}],"container-title":"PLoS ONE","id":"ITEM-1","issue":"6","issued":{"date-parts":[["2016"]]},"page":"e0161703","title":"Differences between Pygmy and non-Pygmy hunting in Congo Basin forests","type":"article-journal","volume":"11"},"uris":["http://www.mendeley.com/documents/?uuid=b38eb8e1-c45c-4422-9fb1-6fffc740e705"]}],"mendeley":{"formattedCitation":"(Fa et al. 2016a)","manualFormatting":"Fa et al. 2016a","plainTextFormattedCitation":"(Fa et al. 2016a)","previouslyFormattedCitation":"(Fa et al. 2016a)"},"properties":{"noteIndex":0},"schema":"https://github.com/citation-style-language/schema/raw/master/csl-citation.json"}</w:instrText>
            </w:r>
            <w:r>
              <w:rPr>
                <w:color w:val="000000" w:themeColor="text1"/>
                <w:sz w:val="20"/>
                <w:szCs w:val="20"/>
              </w:rPr>
              <w:fldChar w:fldCharType="separate"/>
            </w:r>
            <w:r w:rsidRPr="00F8189C">
              <w:rPr>
                <w:noProof/>
                <w:color w:val="000000" w:themeColor="text1"/>
                <w:sz w:val="20"/>
                <w:szCs w:val="20"/>
              </w:rPr>
              <w:t>Fa et al. 2016a</w:t>
            </w:r>
            <w:r>
              <w:rPr>
                <w:color w:val="000000" w:themeColor="text1"/>
                <w:sz w:val="20"/>
                <w:szCs w:val="20"/>
              </w:rPr>
              <w:fldChar w:fldCharType="end"/>
            </w:r>
          </w:p>
        </w:tc>
        <w:tc>
          <w:tcPr>
            <w:tcW w:w="1759" w:type="dxa"/>
            <w:tcMar>
              <w:top w:w="115" w:type="dxa"/>
              <w:left w:w="115" w:type="dxa"/>
              <w:bottom w:w="115" w:type="dxa"/>
              <w:right w:w="115" w:type="dxa"/>
            </w:tcMar>
          </w:tcPr>
          <w:p w14:paraId="35FA3DE4"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Congo Basin</w:t>
            </w:r>
          </w:p>
        </w:tc>
        <w:tc>
          <w:tcPr>
            <w:tcW w:w="1114" w:type="dxa"/>
            <w:tcMar>
              <w:top w:w="115" w:type="dxa"/>
              <w:left w:w="115" w:type="dxa"/>
              <w:bottom w:w="115" w:type="dxa"/>
              <w:right w:w="115" w:type="dxa"/>
            </w:tcMar>
          </w:tcPr>
          <w:p w14:paraId="5C2511DE"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26 </w:t>
            </w:r>
          </w:p>
        </w:tc>
        <w:tc>
          <w:tcPr>
            <w:tcW w:w="2404" w:type="dxa"/>
            <w:tcMar>
              <w:top w:w="115" w:type="dxa"/>
              <w:left w:w="115" w:type="dxa"/>
              <w:bottom w:w="115" w:type="dxa"/>
              <w:right w:w="115" w:type="dxa"/>
            </w:tcMar>
          </w:tcPr>
          <w:p w14:paraId="152B5AC7" w14:textId="16B9F163" w:rsidR="00F4142D" w:rsidRPr="00EB140F" w:rsidRDefault="00F4142D" w:rsidP="00BE2A75">
            <w:pPr>
              <w:spacing w:after="0"/>
              <w:rPr>
                <w:color w:val="000000" w:themeColor="text1"/>
                <w:sz w:val="20"/>
                <w:szCs w:val="20"/>
              </w:rPr>
            </w:pPr>
            <w:r>
              <w:rPr>
                <w:color w:val="000000" w:themeColor="text1"/>
                <w:sz w:val="20"/>
                <w:szCs w:val="20"/>
              </w:rPr>
              <w:t>Extrapolated by human population, then mapped</w:t>
            </w:r>
          </w:p>
        </w:tc>
        <w:tc>
          <w:tcPr>
            <w:tcW w:w="1759" w:type="dxa"/>
            <w:tcMar>
              <w:top w:w="115" w:type="dxa"/>
              <w:left w:w="115" w:type="dxa"/>
              <w:bottom w:w="115" w:type="dxa"/>
              <w:right w:w="115" w:type="dxa"/>
            </w:tcMar>
            <w:hideMark/>
          </w:tcPr>
          <w:p w14:paraId="3B4631B3"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225.7 ± 187.5 </w:t>
            </w:r>
          </w:p>
        </w:tc>
        <w:tc>
          <w:tcPr>
            <w:tcW w:w="1014" w:type="dxa"/>
            <w:tcMar>
              <w:top w:w="115" w:type="dxa"/>
              <w:left w:w="115" w:type="dxa"/>
              <w:bottom w:w="115" w:type="dxa"/>
              <w:right w:w="115" w:type="dxa"/>
            </w:tcMar>
            <w:hideMark/>
          </w:tcPr>
          <w:p w14:paraId="0EED7CB8" w14:textId="15A30CDC" w:rsidR="00F4142D" w:rsidRPr="00EB140F" w:rsidRDefault="00F4142D" w:rsidP="00C258BC">
            <w:pPr>
              <w:spacing w:after="0"/>
              <w:jc w:val="both"/>
              <w:rPr>
                <w:color w:val="000000" w:themeColor="text1"/>
                <w:sz w:val="20"/>
                <w:szCs w:val="20"/>
              </w:rPr>
            </w:pPr>
            <w:r>
              <w:rPr>
                <w:color w:val="000000" w:themeColor="text1"/>
                <w:sz w:val="20"/>
                <w:szCs w:val="20"/>
              </w:rPr>
              <w:t>A</w:t>
            </w:r>
            <w:r w:rsidRPr="00EB140F">
              <w:rPr>
                <w:color w:val="000000" w:themeColor="text1"/>
                <w:sz w:val="20"/>
                <w:szCs w:val="20"/>
              </w:rPr>
              <w:t>nimals </w:t>
            </w:r>
          </w:p>
        </w:tc>
        <w:tc>
          <w:tcPr>
            <w:tcW w:w="1398" w:type="dxa"/>
            <w:tcMar>
              <w:top w:w="115" w:type="dxa"/>
              <w:left w:w="115" w:type="dxa"/>
              <w:bottom w:w="115" w:type="dxa"/>
              <w:right w:w="115" w:type="dxa"/>
            </w:tcMar>
            <w:hideMark/>
          </w:tcPr>
          <w:p w14:paraId="47D64668"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Mean </w:t>
            </w:r>
          </w:p>
        </w:tc>
        <w:tc>
          <w:tcPr>
            <w:tcW w:w="2868" w:type="dxa"/>
            <w:tcMar>
              <w:top w:w="115" w:type="dxa"/>
              <w:left w:w="115" w:type="dxa"/>
              <w:bottom w:w="115" w:type="dxa"/>
              <w:right w:w="115" w:type="dxa"/>
            </w:tcMar>
            <w:hideMark/>
          </w:tcPr>
          <w:p w14:paraId="0257DA07"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11.8 ± 7.0 </w:t>
            </w:r>
          </w:p>
        </w:tc>
      </w:tr>
      <w:tr w:rsidR="00611F53" w:rsidRPr="00EB140F" w14:paraId="1456EBED" w14:textId="77777777" w:rsidTr="00F4142D">
        <w:trPr>
          <w:trHeight w:val="51"/>
        </w:trPr>
        <w:tc>
          <w:tcPr>
            <w:tcW w:w="1759" w:type="dxa"/>
            <w:tcMar>
              <w:top w:w="115" w:type="dxa"/>
              <w:left w:w="115" w:type="dxa"/>
              <w:bottom w:w="115" w:type="dxa"/>
              <w:right w:w="115" w:type="dxa"/>
            </w:tcMar>
          </w:tcPr>
          <w:p w14:paraId="5A05A2B3" w14:textId="7FAF373A" w:rsidR="00611F53" w:rsidRPr="00EB140F" w:rsidRDefault="00F8189C" w:rsidP="00C258BC">
            <w:pPr>
              <w:spacing w:after="0"/>
              <w:jc w:val="both"/>
              <w:rPr>
                <w:color w:val="000000" w:themeColor="text1"/>
                <w:sz w:val="20"/>
                <w:szCs w:val="20"/>
              </w:rPr>
            </w:pPr>
            <w:r>
              <w:rPr>
                <w:color w:val="000000" w:themeColor="text1"/>
                <w:sz w:val="20"/>
                <w:szCs w:val="20"/>
              </w:rPr>
              <w:fldChar w:fldCharType="begin" w:fldLock="1"/>
            </w:r>
            <w:r>
              <w:rPr>
                <w:color w:val="000000" w:themeColor="text1"/>
                <w:sz w:val="20"/>
                <w:szCs w:val="20"/>
              </w:rPr>
              <w:instrText>ADDIN CSL_CITATION {"citationItems":[{"id":"ITEM-1","itemData":{"author":[{"dropping-particle":"","family":"Nasi","given":"R","non-dropping-particle":"","parse-names":false,"suffix":""},{"dropping-particle":"","family":"Taber","given":"A","non-dropping-particle":"","parse-names":false,"suffix":""},{"dropping-particle":"","family":"Vliet","given":"N","non-dropping-particle":"van","parse-names":false,"suffix":""}],"container-title":"International Forestry Review","id":"ITEM-1","issue":"3","issued":{"date-parts":[["2011"]]},"page":"355-368","title":"Empty forests, empty stomachs? Bushmeat and livelihoods in the Congo and Amazon Basins","type":"article-journal","volume":"13"},"uris":["http://www.mendeley.com/documents/?uuid=975db7a7-3da0-44cf-9a13-3605f762558f"]}],"mendeley":{"formattedCitation":"(Nasi et al. 2011)","manualFormatting":"Nasi et al. 2011","plainTextFormattedCitation":"(Nasi et al. 2011)","previouslyFormattedCitation":"(Nasi et al. 2011)"},"properties":{"noteIndex":0},"schema":"https://github.com/citation-style-language/schema/raw/master/csl-citation.json"}</w:instrText>
            </w:r>
            <w:r>
              <w:rPr>
                <w:color w:val="000000" w:themeColor="text1"/>
                <w:sz w:val="20"/>
                <w:szCs w:val="20"/>
              </w:rPr>
              <w:fldChar w:fldCharType="separate"/>
            </w:r>
            <w:r w:rsidRPr="00F8189C">
              <w:rPr>
                <w:noProof/>
                <w:color w:val="000000" w:themeColor="text1"/>
                <w:sz w:val="20"/>
                <w:szCs w:val="20"/>
              </w:rPr>
              <w:t>Nasi et al. 2011</w:t>
            </w:r>
            <w:r>
              <w:rPr>
                <w:color w:val="000000" w:themeColor="text1"/>
                <w:sz w:val="20"/>
                <w:szCs w:val="20"/>
              </w:rPr>
              <w:fldChar w:fldCharType="end"/>
            </w:r>
          </w:p>
        </w:tc>
        <w:tc>
          <w:tcPr>
            <w:tcW w:w="1759" w:type="dxa"/>
            <w:tcMar>
              <w:top w:w="115" w:type="dxa"/>
              <w:left w:w="115" w:type="dxa"/>
              <w:bottom w:w="115" w:type="dxa"/>
              <w:right w:w="115" w:type="dxa"/>
            </w:tcMar>
          </w:tcPr>
          <w:p w14:paraId="253F82AC" w14:textId="76ABF19E" w:rsidR="00611F53" w:rsidRPr="00EB140F" w:rsidRDefault="00611F53" w:rsidP="00C258BC">
            <w:pPr>
              <w:spacing w:after="0"/>
              <w:jc w:val="both"/>
              <w:rPr>
                <w:color w:val="000000" w:themeColor="text1"/>
                <w:sz w:val="20"/>
                <w:szCs w:val="20"/>
              </w:rPr>
            </w:pPr>
            <w:r w:rsidRPr="00EB140F">
              <w:rPr>
                <w:color w:val="000000" w:themeColor="text1"/>
                <w:sz w:val="20"/>
                <w:szCs w:val="20"/>
              </w:rPr>
              <w:t>Central Africa </w:t>
            </w:r>
          </w:p>
        </w:tc>
        <w:tc>
          <w:tcPr>
            <w:tcW w:w="1114" w:type="dxa"/>
            <w:tcMar>
              <w:top w:w="115" w:type="dxa"/>
              <w:left w:w="115" w:type="dxa"/>
              <w:bottom w:w="115" w:type="dxa"/>
              <w:right w:w="115" w:type="dxa"/>
            </w:tcMar>
          </w:tcPr>
          <w:p w14:paraId="1084CB91" w14:textId="3D6142D8" w:rsidR="00611F53" w:rsidRPr="00EB140F" w:rsidRDefault="00611F53" w:rsidP="00C258BC">
            <w:pPr>
              <w:spacing w:after="0"/>
              <w:jc w:val="both"/>
              <w:rPr>
                <w:color w:val="000000" w:themeColor="text1"/>
                <w:sz w:val="20"/>
                <w:szCs w:val="20"/>
              </w:rPr>
            </w:pPr>
            <w:r w:rsidRPr="00EB140F">
              <w:rPr>
                <w:color w:val="000000" w:themeColor="text1"/>
                <w:sz w:val="20"/>
                <w:szCs w:val="20"/>
              </w:rPr>
              <w:t>15</w:t>
            </w:r>
          </w:p>
        </w:tc>
        <w:tc>
          <w:tcPr>
            <w:tcW w:w="2404" w:type="dxa"/>
            <w:tcMar>
              <w:top w:w="115" w:type="dxa"/>
              <w:left w:w="115" w:type="dxa"/>
              <w:bottom w:w="115" w:type="dxa"/>
              <w:right w:w="115" w:type="dxa"/>
            </w:tcMar>
          </w:tcPr>
          <w:p w14:paraId="51822D4D" w14:textId="574E2977" w:rsidR="00611F53" w:rsidRDefault="00611F53" w:rsidP="00BE2A75">
            <w:pPr>
              <w:spacing w:after="0"/>
              <w:rPr>
                <w:color w:val="000000" w:themeColor="text1"/>
                <w:sz w:val="20"/>
                <w:szCs w:val="20"/>
              </w:rPr>
            </w:pPr>
            <w:r>
              <w:rPr>
                <w:color w:val="000000" w:themeColor="text1"/>
                <w:sz w:val="20"/>
                <w:szCs w:val="20"/>
              </w:rPr>
              <w:t>Extrapolation of consumption rates per person</w:t>
            </w:r>
          </w:p>
        </w:tc>
        <w:tc>
          <w:tcPr>
            <w:tcW w:w="1759" w:type="dxa"/>
            <w:tcMar>
              <w:top w:w="115" w:type="dxa"/>
              <w:left w:w="115" w:type="dxa"/>
              <w:bottom w:w="115" w:type="dxa"/>
              <w:right w:w="115" w:type="dxa"/>
            </w:tcMar>
          </w:tcPr>
          <w:p w14:paraId="0A10C296" w14:textId="6C99A1A1" w:rsidR="00611F53" w:rsidRPr="00EB140F" w:rsidRDefault="00611F53" w:rsidP="00C258BC">
            <w:pPr>
              <w:spacing w:after="0"/>
              <w:jc w:val="both"/>
              <w:rPr>
                <w:color w:val="000000" w:themeColor="text1"/>
                <w:sz w:val="20"/>
                <w:szCs w:val="20"/>
              </w:rPr>
            </w:pPr>
            <w:r w:rsidRPr="00EB140F">
              <w:rPr>
                <w:color w:val="000000" w:themeColor="text1"/>
                <w:sz w:val="20"/>
                <w:szCs w:val="20"/>
              </w:rPr>
              <w:t>-</w:t>
            </w:r>
          </w:p>
        </w:tc>
        <w:tc>
          <w:tcPr>
            <w:tcW w:w="1014" w:type="dxa"/>
            <w:tcMar>
              <w:top w:w="115" w:type="dxa"/>
              <w:left w:w="115" w:type="dxa"/>
              <w:bottom w:w="115" w:type="dxa"/>
              <w:right w:w="115" w:type="dxa"/>
            </w:tcMar>
          </w:tcPr>
          <w:p w14:paraId="40059F47" w14:textId="5CDA90CD" w:rsidR="00611F53" w:rsidRDefault="00611F53" w:rsidP="00C258BC">
            <w:pPr>
              <w:spacing w:after="0"/>
              <w:jc w:val="both"/>
              <w:rPr>
                <w:color w:val="000000" w:themeColor="text1"/>
                <w:sz w:val="20"/>
                <w:szCs w:val="20"/>
              </w:rPr>
            </w:pPr>
            <w:r w:rsidRPr="00EB140F">
              <w:rPr>
                <w:color w:val="000000" w:themeColor="text1"/>
                <w:sz w:val="20"/>
                <w:szCs w:val="20"/>
              </w:rPr>
              <w:t>-</w:t>
            </w:r>
          </w:p>
        </w:tc>
        <w:tc>
          <w:tcPr>
            <w:tcW w:w="1398" w:type="dxa"/>
            <w:tcMar>
              <w:top w:w="115" w:type="dxa"/>
              <w:left w:w="115" w:type="dxa"/>
              <w:bottom w:w="115" w:type="dxa"/>
              <w:right w:w="115" w:type="dxa"/>
            </w:tcMar>
          </w:tcPr>
          <w:p w14:paraId="32BC35C5" w14:textId="47F1F74B" w:rsidR="00611F53" w:rsidRPr="00EB140F" w:rsidRDefault="00611F53" w:rsidP="00C258BC">
            <w:pPr>
              <w:spacing w:after="0"/>
              <w:jc w:val="both"/>
              <w:rPr>
                <w:color w:val="000000" w:themeColor="text1"/>
                <w:sz w:val="20"/>
                <w:szCs w:val="20"/>
              </w:rPr>
            </w:pPr>
            <w:r w:rsidRPr="00EB140F">
              <w:rPr>
                <w:color w:val="000000" w:themeColor="text1"/>
                <w:sz w:val="20"/>
                <w:szCs w:val="20"/>
              </w:rPr>
              <w:t>-</w:t>
            </w:r>
          </w:p>
        </w:tc>
        <w:tc>
          <w:tcPr>
            <w:tcW w:w="2868" w:type="dxa"/>
            <w:tcMar>
              <w:top w:w="115" w:type="dxa"/>
              <w:left w:w="115" w:type="dxa"/>
              <w:bottom w:w="115" w:type="dxa"/>
              <w:right w:w="115" w:type="dxa"/>
            </w:tcMar>
          </w:tcPr>
          <w:p w14:paraId="79678B46" w14:textId="28A8C486" w:rsidR="00611F53" w:rsidRPr="00EB140F" w:rsidRDefault="00611F53" w:rsidP="00C258BC">
            <w:pPr>
              <w:spacing w:after="0"/>
              <w:jc w:val="both"/>
              <w:rPr>
                <w:color w:val="000000" w:themeColor="text1"/>
                <w:sz w:val="20"/>
                <w:szCs w:val="20"/>
              </w:rPr>
            </w:pPr>
            <w:r w:rsidRPr="00EB140F">
              <w:rPr>
                <w:color w:val="000000" w:themeColor="text1"/>
                <w:sz w:val="20"/>
                <w:szCs w:val="20"/>
              </w:rPr>
              <w:t>4.6</w:t>
            </w:r>
          </w:p>
        </w:tc>
      </w:tr>
      <w:tr w:rsidR="00F4142D" w:rsidRPr="00EB140F" w14:paraId="27114573" w14:textId="77777777" w:rsidTr="00F4142D">
        <w:trPr>
          <w:trHeight w:val="51"/>
        </w:trPr>
        <w:tc>
          <w:tcPr>
            <w:tcW w:w="1759" w:type="dxa"/>
            <w:tcMar>
              <w:top w:w="115" w:type="dxa"/>
              <w:left w:w="115" w:type="dxa"/>
              <w:bottom w:w="115" w:type="dxa"/>
              <w:right w:w="115" w:type="dxa"/>
            </w:tcMar>
          </w:tcPr>
          <w:p w14:paraId="52DD16F7" w14:textId="7F3D51D9" w:rsidR="00F4142D" w:rsidRPr="00EB140F" w:rsidRDefault="00F8189C" w:rsidP="00C258BC">
            <w:pPr>
              <w:spacing w:after="0"/>
              <w:jc w:val="both"/>
              <w:rPr>
                <w:color w:val="000000" w:themeColor="text1"/>
                <w:sz w:val="20"/>
                <w:szCs w:val="20"/>
              </w:rPr>
            </w:pPr>
            <w:r>
              <w:rPr>
                <w:color w:val="000000" w:themeColor="text1"/>
                <w:sz w:val="20"/>
                <w:szCs w:val="20"/>
              </w:rPr>
              <w:fldChar w:fldCharType="begin" w:fldLock="1"/>
            </w:r>
            <w:r>
              <w:rPr>
                <w:color w:val="000000" w:themeColor="text1"/>
                <w:sz w:val="20"/>
                <w:szCs w:val="20"/>
              </w:rPr>
              <w:instrText>ADDIN CSL_CITATION {"citationItems":[{"id":"ITEM-1","itemData":{"DOI":"10.1111/btp.12286","ISBN":"1744-7429","ISSN":"17447429","abstract":"Hunting and trade of wild animals for their meat (bushmeat), especially mammals, is commonplace in tropical forests worldwide. In West and Central Africa, bushmeat extraction has increased substantially during recent decades. Currently, such levels of hunting pose a major threat to native wildlife. In this paper, we compiled published data on hunting offtake of mammals, from a number of studies conducted between 1990 and 2007 in Cameroon, Central African Republic, Democratic Republic of Congo, Equatorial Guinea, Gabon and Republic of Congo. From these data sources, we estimated annual extraction rates of all hunted species and analyzed the relationship between environmental and anthropogenic variables surrounding each hunting rate and levels of bushmeat extraction. We defined hunting pressure as a function of bushmeat offtake and number of hunted species and confirm that hunting pressure is significantly correlated with road density, distance to protected areas and population density. These correlations are then used to map hunting pressure across the Congo Basin. We show that predicted risk areas show a patchy distribution throughout the study region and that many protected areas are located in high-risk areas. We suggest that such a map can be used to identify areas of greatest impact of hunting to guide large-scale conservation planning initiatives for central Africa","author":[{"dropping-particle":"","family":"Ziegler","given":"Stefan","non-dropping-particle":"","parse-names":false,"suffix":""},{"dropping-particle":"","family":"Fa","given":"John E.","non-dropping-particle":"","parse-names":false,"suffix":""},{"dropping-particle":"","family":"Wohlfart","given":"Christian","non-dropping-particle":"","parse-names":false,"suffix":""},{"dropping-particle":"","family":"Streit","given":"Bruno","non-dropping-particle":"","parse-names":false,"suffix":""},{"dropping-particle":"","family":"Jacob","given":"Stefanie","non-dropping-particle":"","parse-names":false,"suffix":""},{"dropping-particle":"","family":"Wegmann","given":"Martin","non-dropping-particle":"","parse-names":false,"suffix":""}],"container-title":"Biotropica","id":"ITEM-1","issue":"3","issued":{"date-parts":[["2016"]]},"page":"405-412","title":"Mapping bushmeat hunting pressure in Central Africa","type":"article-journal","volume":"48"},"uris":["http://www.mendeley.com/documents/?uuid=60d51836-28f9-4d2b-8547-1ed8d923a45c"]}],"mendeley":{"formattedCitation":"(Ziegler et al. 2016)","manualFormatting":"Ziegler et al. 2016","plainTextFormattedCitation":"(Ziegler et al. 2016)","previouslyFormattedCitation":"(Ziegler et al. 2016)"},"properties":{"noteIndex":0},"schema":"https://github.com/citation-style-language/schema/raw/master/csl-citation.json"}</w:instrText>
            </w:r>
            <w:r>
              <w:rPr>
                <w:color w:val="000000" w:themeColor="text1"/>
                <w:sz w:val="20"/>
                <w:szCs w:val="20"/>
              </w:rPr>
              <w:fldChar w:fldCharType="separate"/>
            </w:r>
            <w:r w:rsidRPr="00F8189C">
              <w:rPr>
                <w:noProof/>
                <w:color w:val="000000" w:themeColor="text1"/>
                <w:sz w:val="20"/>
                <w:szCs w:val="20"/>
              </w:rPr>
              <w:t>Ziegler et al. 2016</w:t>
            </w:r>
            <w:r>
              <w:rPr>
                <w:color w:val="000000" w:themeColor="text1"/>
                <w:sz w:val="20"/>
                <w:szCs w:val="20"/>
              </w:rPr>
              <w:fldChar w:fldCharType="end"/>
            </w:r>
          </w:p>
        </w:tc>
        <w:tc>
          <w:tcPr>
            <w:tcW w:w="1759" w:type="dxa"/>
            <w:tcMar>
              <w:top w:w="115" w:type="dxa"/>
              <w:left w:w="115" w:type="dxa"/>
              <w:bottom w:w="115" w:type="dxa"/>
              <w:right w:w="115" w:type="dxa"/>
            </w:tcMar>
          </w:tcPr>
          <w:p w14:paraId="06C6D4FB"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Central Africa</w:t>
            </w:r>
          </w:p>
        </w:tc>
        <w:tc>
          <w:tcPr>
            <w:tcW w:w="1114" w:type="dxa"/>
            <w:tcMar>
              <w:top w:w="115" w:type="dxa"/>
              <w:left w:w="115" w:type="dxa"/>
              <w:bottom w:w="115" w:type="dxa"/>
              <w:right w:w="115" w:type="dxa"/>
            </w:tcMar>
          </w:tcPr>
          <w:p w14:paraId="14E54D18"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26 </w:t>
            </w:r>
          </w:p>
        </w:tc>
        <w:tc>
          <w:tcPr>
            <w:tcW w:w="2404" w:type="dxa"/>
            <w:tcMar>
              <w:top w:w="115" w:type="dxa"/>
              <w:left w:w="115" w:type="dxa"/>
              <w:bottom w:w="115" w:type="dxa"/>
              <w:right w:w="115" w:type="dxa"/>
            </w:tcMar>
          </w:tcPr>
          <w:p w14:paraId="3BCB5621" w14:textId="77777777" w:rsidR="00F4142D" w:rsidRPr="00EB140F" w:rsidRDefault="00F4142D" w:rsidP="00BE2A75">
            <w:pPr>
              <w:spacing w:after="0"/>
              <w:rPr>
                <w:color w:val="000000" w:themeColor="text1"/>
                <w:sz w:val="20"/>
                <w:szCs w:val="20"/>
              </w:rPr>
            </w:pPr>
            <w:r>
              <w:rPr>
                <w:color w:val="000000" w:themeColor="text1"/>
                <w:sz w:val="20"/>
                <w:szCs w:val="20"/>
              </w:rPr>
              <w:t>Modelling and mapping</w:t>
            </w:r>
          </w:p>
        </w:tc>
        <w:tc>
          <w:tcPr>
            <w:tcW w:w="1759" w:type="dxa"/>
            <w:tcMar>
              <w:top w:w="115" w:type="dxa"/>
              <w:left w:w="115" w:type="dxa"/>
              <w:bottom w:w="115" w:type="dxa"/>
              <w:right w:w="115" w:type="dxa"/>
            </w:tcMar>
            <w:hideMark/>
          </w:tcPr>
          <w:p w14:paraId="02B4039D"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92 ± 78.9 </w:t>
            </w:r>
          </w:p>
        </w:tc>
        <w:tc>
          <w:tcPr>
            <w:tcW w:w="1014" w:type="dxa"/>
            <w:tcMar>
              <w:top w:w="115" w:type="dxa"/>
              <w:left w:w="115" w:type="dxa"/>
              <w:bottom w:w="115" w:type="dxa"/>
              <w:right w:w="115" w:type="dxa"/>
            </w:tcMar>
            <w:hideMark/>
          </w:tcPr>
          <w:p w14:paraId="4EFB466C" w14:textId="05A50A2F" w:rsidR="00F4142D" w:rsidRPr="00EB140F" w:rsidRDefault="00F4142D" w:rsidP="00C258BC">
            <w:pPr>
              <w:spacing w:after="0"/>
              <w:jc w:val="both"/>
              <w:rPr>
                <w:color w:val="000000" w:themeColor="text1"/>
                <w:sz w:val="20"/>
                <w:szCs w:val="20"/>
              </w:rPr>
            </w:pPr>
            <w:r>
              <w:rPr>
                <w:color w:val="000000" w:themeColor="text1"/>
                <w:sz w:val="20"/>
                <w:szCs w:val="20"/>
              </w:rPr>
              <w:t>K</w:t>
            </w:r>
            <w:r w:rsidRPr="00EB140F">
              <w:rPr>
                <w:color w:val="000000" w:themeColor="text1"/>
                <w:sz w:val="20"/>
                <w:szCs w:val="20"/>
              </w:rPr>
              <w:t>g </w:t>
            </w:r>
          </w:p>
        </w:tc>
        <w:tc>
          <w:tcPr>
            <w:tcW w:w="1398" w:type="dxa"/>
            <w:tcMar>
              <w:top w:w="115" w:type="dxa"/>
              <w:left w:w="115" w:type="dxa"/>
              <w:bottom w:w="115" w:type="dxa"/>
              <w:right w:w="115" w:type="dxa"/>
            </w:tcMar>
            <w:hideMark/>
          </w:tcPr>
          <w:p w14:paraId="145EDFBC" w14:textId="77777777" w:rsidR="00F4142D" w:rsidRDefault="00F4142D" w:rsidP="00C258BC">
            <w:pPr>
              <w:spacing w:after="0"/>
              <w:jc w:val="both"/>
              <w:rPr>
                <w:color w:val="000000" w:themeColor="text1"/>
                <w:sz w:val="20"/>
                <w:szCs w:val="20"/>
              </w:rPr>
            </w:pPr>
            <w:r w:rsidRPr="00EB140F">
              <w:rPr>
                <w:color w:val="000000" w:themeColor="text1"/>
                <w:sz w:val="20"/>
                <w:szCs w:val="20"/>
              </w:rPr>
              <w:t>Mean </w:t>
            </w:r>
          </w:p>
          <w:p w14:paraId="18C97368" w14:textId="77777777" w:rsidR="00F4142D" w:rsidRPr="00EB140F" w:rsidRDefault="00F4142D" w:rsidP="00C258BC">
            <w:pPr>
              <w:spacing w:after="0"/>
              <w:jc w:val="both"/>
              <w:rPr>
                <w:color w:val="000000" w:themeColor="text1"/>
                <w:sz w:val="20"/>
                <w:szCs w:val="20"/>
              </w:rPr>
            </w:pPr>
          </w:p>
        </w:tc>
        <w:tc>
          <w:tcPr>
            <w:tcW w:w="2868" w:type="dxa"/>
            <w:tcMar>
              <w:top w:w="115" w:type="dxa"/>
              <w:left w:w="115" w:type="dxa"/>
              <w:bottom w:w="115" w:type="dxa"/>
              <w:right w:w="115" w:type="dxa"/>
            </w:tcMar>
            <w:hideMark/>
          </w:tcPr>
          <w:p w14:paraId="035D22EB"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 </w:t>
            </w:r>
          </w:p>
        </w:tc>
      </w:tr>
      <w:tr w:rsidR="00F4142D" w:rsidRPr="00EB140F" w14:paraId="0A5F2E71" w14:textId="77777777" w:rsidTr="00F4142D">
        <w:trPr>
          <w:trHeight w:val="51"/>
        </w:trPr>
        <w:tc>
          <w:tcPr>
            <w:tcW w:w="1759" w:type="dxa"/>
            <w:tcMar>
              <w:top w:w="115" w:type="dxa"/>
              <w:left w:w="115" w:type="dxa"/>
              <w:bottom w:w="115" w:type="dxa"/>
              <w:right w:w="115" w:type="dxa"/>
            </w:tcMar>
          </w:tcPr>
          <w:p w14:paraId="5CA20978" w14:textId="1B28F958" w:rsidR="00F4142D" w:rsidRPr="00EB140F" w:rsidRDefault="00F8189C" w:rsidP="00C258BC">
            <w:pPr>
              <w:spacing w:after="0"/>
              <w:jc w:val="both"/>
              <w:rPr>
                <w:color w:val="000000" w:themeColor="text1"/>
                <w:sz w:val="20"/>
                <w:szCs w:val="20"/>
              </w:rPr>
            </w:pPr>
            <w:r>
              <w:rPr>
                <w:color w:val="000000" w:themeColor="text1"/>
                <w:sz w:val="20"/>
                <w:szCs w:val="20"/>
              </w:rPr>
              <w:fldChar w:fldCharType="begin" w:fldLock="1"/>
            </w:r>
            <w:r>
              <w:rPr>
                <w:color w:val="000000" w:themeColor="text1"/>
                <w:sz w:val="20"/>
                <w:szCs w:val="20"/>
              </w:rPr>
              <w:instrText>ADDIN CSL_CITATION {"citationItems":[{"id":"ITEM-1","itemData":{"DOI":"10.1111/btp.12286","ISBN":"1744-7429","ISSN":"17447429","abstract":"Hunting and trade of wild animals for their meat (bushmeat), especially mammals, is commonplace in tropical forests worldwide. In West and Central Africa, bushmeat extraction has increased substantially during recent decades. Currently, such levels of hunting pose a major threat to native wildlife. In this paper, we compiled published data on hunting offtake of mammals, from a number of studies conducted between 1990 and 2007 in Cameroon, Central African Republic, Democratic Republic of Congo, Equatorial Guinea, Gabon and Republic of Congo. From these data sources, we estimated annual extraction rates of all hunted species and analyzed the relationship between environmental and anthropogenic variables surrounding each hunting rate and levels of bushmeat extraction. We defined hunting pressure as a function of bushmeat offtake and number of hunted species and confirm that hunting pressure is significantly correlated with road density, distance to protected areas and population density. These correlations are then used to map hunting pressure across the Congo Basin. We show that predicted risk areas show a patchy distribution throughout the study region and that many protected areas are located in high-risk areas. We suggest that such a map can be used to identify areas of greatest impact of hunting to guide large-scale conservation planning initiatives for central Africa","author":[{"dropping-particle":"","family":"Ziegler","given":"Stefan","non-dropping-particle":"","parse-names":false,"suffix":""},{"dropping-particle":"","family":"Fa","given":"John E.","non-dropping-particle":"","parse-names":false,"suffix":""},{"dropping-particle":"","family":"Wohlfart","given":"Christian","non-dropping-particle":"","parse-names":false,"suffix":""},{"dropping-particle":"","family":"Streit","given":"Bruno","non-dropping-particle":"","parse-names":false,"suffix":""},{"dropping-particle":"","family":"Jacob","given":"Stefanie","non-dropping-particle":"","parse-names":false,"suffix":""},{"dropping-particle":"","family":"Wegmann","given":"Martin","non-dropping-particle":"","parse-names":false,"suffix":""}],"container-title":"Biotropica","id":"ITEM-1","issue":"3","issued":{"date-parts":[["2016"]]},"page":"405-412","title":"Mapping bushmeat hunting pressure in Central Africa","type":"article-journal","volume":"48"},"uris":["http://www.mendeley.com/documents/?uuid=60d51836-28f9-4d2b-8547-1ed8d923a45c"]}],"mendeley":{"formattedCitation":"(Ziegler et al. 2016)","manualFormatting":"Ziegler et al. 2016","plainTextFormattedCitation":"(Ziegler et al. 2016)","previouslyFormattedCitation":"(Ziegler et al. 2016)"},"properties":{"noteIndex":0},"schema":"https://github.com/citation-style-language/schema/raw/master/csl-citation.json"}</w:instrText>
            </w:r>
            <w:r>
              <w:rPr>
                <w:color w:val="000000" w:themeColor="text1"/>
                <w:sz w:val="20"/>
                <w:szCs w:val="20"/>
              </w:rPr>
              <w:fldChar w:fldCharType="separate"/>
            </w:r>
            <w:r w:rsidRPr="00F8189C">
              <w:rPr>
                <w:noProof/>
                <w:color w:val="000000" w:themeColor="text1"/>
                <w:sz w:val="20"/>
                <w:szCs w:val="20"/>
              </w:rPr>
              <w:t>Ziegler et al. 2016</w:t>
            </w:r>
            <w:r>
              <w:rPr>
                <w:color w:val="000000" w:themeColor="text1"/>
                <w:sz w:val="20"/>
                <w:szCs w:val="20"/>
              </w:rPr>
              <w:fldChar w:fldCharType="end"/>
            </w:r>
          </w:p>
        </w:tc>
        <w:tc>
          <w:tcPr>
            <w:tcW w:w="1759" w:type="dxa"/>
            <w:tcMar>
              <w:top w:w="115" w:type="dxa"/>
              <w:left w:w="115" w:type="dxa"/>
              <w:bottom w:w="115" w:type="dxa"/>
              <w:right w:w="115" w:type="dxa"/>
            </w:tcMar>
          </w:tcPr>
          <w:p w14:paraId="4F521F61"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Central Africa</w:t>
            </w:r>
          </w:p>
        </w:tc>
        <w:tc>
          <w:tcPr>
            <w:tcW w:w="1114" w:type="dxa"/>
            <w:tcMar>
              <w:top w:w="115" w:type="dxa"/>
              <w:left w:w="115" w:type="dxa"/>
              <w:bottom w:w="115" w:type="dxa"/>
              <w:right w:w="115" w:type="dxa"/>
            </w:tcMar>
          </w:tcPr>
          <w:p w14:paraId="1C8A9D77"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26 </w:t>
            </w:r>
          </w:p>
        </w:tc>
        <w:tc>
          <w:tcPr>
            <w:tcW w:w="2404" w:type="dxa"/>
            <w:tcMar>
              <w:top w:w="115" w:type="dxa"/>
              <w:left w:w="115" w:type="dxa"/>
              <w:bottom w:w="115" w:type="dxa"/>
              <w:right w:w="115" w:type="dxa"/>
            </w:tcMar>
          </w:tcPr>
          <w:p w14:paraId="0CC78DD0" w14:textId="77777777" w:rsidR="00F4142D" w:rsidRPr="00EB140F" w:rsidRDefault="00F4142D" w:rsidP="00BE2A75">
            <w:pPr>
              <w:spacing w:after="0"/>
              <w:rPr>
                <w:color w:val="000000" w:themeColor="text1"/>
                <w:sz w:val="20"/>
                <w:szCs w:val="20"/>
              </w:rPr>
            </w:pPr>
            <w:r>
              <w:rPr>
                <w:color w:val="000000" w:themeColor="text1"/>
                <w:sz w:val="20"/>
                <w:szCs w:val="20"/>
              </w:rPr>
              <w:t>Modelling and mapping</w:t>
            </w:r>
          </w:p>
        </w:tc>
        <w:tc>
          <w:tcPr>
            <w:tcW w:w="1759" w:type="dxa"/>
            <w:tcMar>
              <w:top w:w="115" w:type="dxa"/>
              <w:left w:w="115" w:type="dxa"/>
              <w:bottom w:w="115" w:type="dxa"/>
              <w:right w:w="115" w:type="dxa"/>
            </w:tcMar>
            <w:hideMark/>
          </w:tcPr>
          <w:p w14:paraId="5E982526"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156 </w:t>
            </w:r>
          </w:p>
        </w:tc>
        <w:tc>
          <w:tcPr>
            <w:tcW w:w="1014" w:type="dxa"/>
            <w:tcMar>
              <w:top w:w="115" w:type="dxa"/>
              <w:left w:w="115" w:type="dxa"/>
              <w:bottom w:w="115" w:type="dxa"/>
              <w:right w:w="115" w:type="dxa"/>
            </w:tcMar>
            <w:hideMark/>
          </w:tcPr>
          <w:p w14:paraId="0DD612AD" w14:textId="19F4EFDE" w:rsidR="00F4142D" w:rsidRPr="00EB140F" w:rsidRDefault="00F4142D" w:rsidP="00C258BC">
            <w:pPr>
              <w:spacing w:after="0"/>
              <w:jc w:val="both"/>
              <w:rPr>
                <w:color w:val="000000" w:themeColor="text1"/>
                <w:sz w:val="20"/>
                <w:szCs w:val="20"/>
              </w:rPr>
            </w:pPr>
            <w:r>
              <w:rPr>
                <w:color w:val="000000" w:themeColor="text1"/>
                <w:sz w:val="20"/>
                <w:szCs w:val="20"/>
              </w:rPr>
              <w:t>K</w:t>
            </w:r>
            <w:r w:rsidRPr="00EB140F">
              <w:rPr>
                <w:color w:val="000000" w:themeColor="text1"/>
                <w:sz w:val="20"/>
                <w:szCs w:val="20"/>
              </w:rPr>
              <w:t>g </w:t>
            </w:r>
          </w:p>
        </w:tc>
        <w:tc>
          <w:tcPr>
            <w:tcW w:w="1398" w:type="dxa"/>
            <w:tcMar>
              <w:top w:w="115" w:type="dxa"/>
              <w:left w:w="115" w:type="dxa"/>
              <w:bottom w:w="115" w:type="dxa"/>
              <w:right w:w="115" w:type="dxa"/>
            </w:tcMar>
            <w:hideMark/>
          </w:tcPr>
          <w:p w14:paraId="68973197"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Median </w:t>
            </w:r>
          </w:p>
        </w:tc>
        <w:tc>
          <w:tcPr>
            <w:tcW w:w="2868" w:type="dxa"/>
            <w:tcMar>
              <w:top w:w="115" w:type="dxa"/>
              <w:left w:w="115" w:type="dxa"/>
              <w:bottom w:w="115" w:type="dxa"/>
              <w:right w:w="115" w:type="dxa"/>
            </w:tcMar>
            <w:hideMark/>
          </w:tcPr>
          <w:p w14:paraId="0B565748" w14:textId="77777777" w:rsidR="00F4142D" w:rsidRPr="00EB140F" w:rsidRDefault="00F4142D" w:rsidP="00C258BC">
            <w:pPr>
              <w:spacing w:after="0"/>
              <w:jc w:val="both"/>
              <w:rPr>
                <w:color w:val="000000" w:themeColor="text1"/>
                <w:sz w:val="20"/>
                <w:szCs w:val="20"/>
              </w:rPr>
            </w:pPr>
            <w:r w:rsidRPr="00EB140F">
              <w:rPr>
                <w:color w:val="000000" w:themeColor="text1"/>
                <w:sz w:val="20"/>
                <w:szCs w:val="20"/>
              </w:rPr>
              <w:t>- </w:t>
            </w:r>
          </w:p>
        </w:tc>
      </w:tr>
      <w:tr w:rsidR="00611F53" w:rsidRPr="00EB140F" w14:paraId="5ACEDD5C" w14:textId="77777777" w:rsidTr="00F4142D">
        <w:trPr>
          <w:trHeight w:val="543"/>
        </w:trPr>
        <w:tc>
          <w:tcPr>
            <w:tcW w:w="1759" w:type="dxa"/>
            <w:tcMar>
              <w:top w:w="115" w:type="dxa"/>
              <w:left w:w="115" w:type="dxa"/>
              <w:bottom w:w="115" w:type="dxa"/>
              <w:right w:w="115" w:type="dxa"/>
            </w:tcMar>
          </w:tcPr>
          <w:p w14:paraId="5AA5D8CD" w14:textId="044B16DD" w:rsidR="00611F53" w:rsidRPr="00EB140F" w:rsidRDefault="00F8189C" w:rsidP="00C258BC">
            <w:pPr>
              <w:spacing w:after="0"/>
              <w:jc w:val="both"/>
              <w:rPr>
                <w:color w:val="000000" w:themeColor="text1"/>
                <w:sz w:val="20"/>
                <w:szCs w:val="20"/>
              </w:rPr>
            </w:pPr>
            <w:r>
              <w:rPr>
                <w:color w:val="000000" w:themeColor="text1"/>
                <w:sz w:val="20"/>
                <w:szCs w:val="20"/>
              </w:rPr>
              <w:fldChar w:fldCharType="begin" w:fldLock="1"/>
            </w:r>
            <w:r>
              <w:rPr>
                <w:color w:val="000000" w:themeColor="text1"/>
                <w:sz w:val="20"/>
                <w:szCs w:val="20"/>
              </w:rPr>
              <w:instrText>ADDIN CSL_CITATION {"citationItems":[{"id":"ITEM-1","itemData":{"author":[{"dropping-particle":"","family":"Ingram","given":"D J","non-dropping-particle":"","parse-names":false,"suffix":""}],"id":"ITEM-1","issued":{"date-parts":[["2018"]]},"publisher":"PhD Thesis, University of Sussex, UK","title":"Quantifying the exploitation of terrestrial wildlife in Africa","type":"book"},"uris":["http://www.mendeley.com/documents/?uuid=451f4b9c-bb2f-42f4-a869-55128eb90dad"]}],"mendeley":{"formattedCitation":"(Ingram 2018)","manualFormatting":"Ingram 2018","plainTextFormattedCitation":"(Ingram 2018)","previouslyFormattedCitation":"(Ingram 2018)"},"properties":{"noteIndex":0},"schema":"https://github.com/citation-style-language/schema/raw/master/csl-citation.json"}</w:instrText>
            </w:r>
            <w:r>
              <w:rPr>
                <w:color w:val="000000" w:themeColor="text1"/>
                <w:sz w:val="20"/>
                <w:szCs w:val="20"/>
              </w:rPr>
              <w:fldChar w:fldCharType="separate"/>
            </w:r>
            <w:r w:rsidRPr="00F8189C">
              <w:rPr>
                <w:noProof/>
                <w:color w:val="000000" w:themeColor="text1"/>
                <w:sz w:val="20"/>
                <w:szCs w:val="20"/>
              </w:rPr>
              <w:t>Ingram 2018</w:t>
            </w:r>
            <w:r>
              <w:rPr>
                <w:color w:val="000000" w:themeColor="text1"/>
                <w:sz w:val="20"/>
                <w:szCs w:val="20"/>
              </w:rPr>
              <w:fldChar w:fldCharType="end"/>
            </w:r>
          </w:p>
        </w:tc>
        <w:tc>
          <w:tcPr>
            <w:tcW w:w="1759" w:type="dxa"/>
            <w:tcMar>
              <w:top w:w="115" w:type="dxa"/>
              <w:left w:w="115" w:type="dxa"/>
              <w:bottom w:w="115" w:type="dxa"/>
              <w:right w:w="115" w:type="dxa"/>
            </w:tcMar>
          </w:tcPr>
          <w:p w14:paraId="277B224A" w14:textId="520302E8" w:rsidR="00611F53" w:rsidRPr="00EB140F" w:rsidRDefault="00611F53" w:rsidP="00C258BC">
            <w:pPr>
              <w:spacing w:after="0"/>
              <w:jc w:val="both"/>
              <w:rPr>
                <w:color w:val="000000" w:themeColor="text1"/>
                <w:sz w:val="20"/>
                <w:szCs w:val="20"/>
              </w:rPr>
            </w:pPr>
            <w:r w:rsidRPr="00EB140F">
              <w:rPr>
                <w:color w:val="000000" w:themeColor="text1"/>
                <w:sz w:val="20"/>
                <w:szCs w:val="20"/>
              </w:rPr>
              <w:t>Central Africa </w:t>
            </w:r>
          </w:p>
        </w:tc>
        <w:tc>
          <w:tcPr>
            <w:tcW w:w="1114" w:type="dxa"/>
            <w:tcMar>
              <w:top w:w="115" w:type="dxa"/>
              <w:left w:w="115" w:type="dxa"/>
              <w:bottom w:w="115" w:type="dxa"/>
              <w:right w:w="115" w:type="dxa"/>
            </w:tcMar>
          </w:tcPr>
          <w:p w14:paraId="39DF475A" w14:textId="286EC603" w:rsidR="00611F53" w:rsidRPr="00EB140F" w:rsidRDefault="00611F53" w:rsidP="00C258BC">
            <w:pPr>
              <w:spacing w:after="0"/>
              <w:jc w:val="both"/>
              <w:rPr>
                <w:color w:val="000000" w:themeColor="text1"/>
                <w:sz w:val="20"/>
                <w:szCs w:val="20"/>
              </w:rPr>
            </w:pPr>
            <w:r w:rsidRPr="00EB140F">
              <w:rPr>
                <w:color w:val="000000" w:themeColor="text1"/>
                <w:sz w:val="20"/>
                <w:szCs w:val="20"/>
              </w:rPr>
              <w:t>74</w:t>
            </w:r>
          </w:p>
        </w:tc>
        <w:tc>
          <w:tcPr>
            <w:tcW w:w="2404" w:type="dxa"/>
            <w:tcMar>
              <w:top w:w="115" w:type="dxa"/>
              <w:left w:w="115" w:type="dxa"/>
              <w:bottom w:w="115" w:type="dxa"/>
              <w:right w:w="115" w:type="dxa"/>
            </w:tcMar>
          </w:tcPr>
          <w:p w14:paraId="45C112B3" w14:textId="2704CA33" w:rsidR="00611F53" w:rsidRPr="00EB140F" w:rsidRDefault="00611F53" w:rsidP="00BE2A75">
            <w:pPr>
              <w:spacing w:after="0"/>
              <w:rPr>
                <w:color w:val="000000" w:themeColor="text1"/>
                <w:sz w:val="20"/>
                <w:szCs w:val="20"/>
              </w:rPr>
            </w:pPr>
            <w:r>
              <w:rPr>
                <w:color w:val="000000" w:themeColor="text1"/>
                <w:sz w:val="20"/>
                <w:szCs w:val="20"/>
              </w:rPr>
              <w:t>Modelling and mapping</w:t>
            </w:r>
          </w:p>
        </w:tc>
        <w:tc>
          <w:tcPr>
            <w:tcW w:w="1759" w:type="dxa"/>
            <w:tcMar>
              <w:top w:w="115" w:type="dxa"/>
              <w:left w:w="115" w:type="dxa"/>
              <w:bottom w:w="115" w:type="dxa"/>
              <w:right w:w="115" w:type="dxa"/>
            </w:tcMar>
          </w:tcPr>
          <w:p w14:paraId="1AF7300D" w14:textId="5A1D563F" w:rsidR="00611F53" w:rsidRPr="00EB140F" w:rsidRDefault="00611F53" w:rsidP="00C258BC">
            <w:pPr>
              <w:spacing w:after="0"/>
              <w:jc w:val="both"/>
              <w:rPr>
                <w:color w:val="000000" w:themeColor="text1"/>
                <w:sz w:val="20"/>
                <w:szCs w:val="20"/>
              </w:rPr>
            </w:pPr>
            <w:r w:rsidRPr="00EB140F">
              <w:rPr>
                <w:color w:val="000000" w:themeColor="text1"/>
                <w:sz w:val="20"/>
                <w:szCs w:val="20"/>
              </w:rPr>
              <w:t>248 (IQR138 – 665)</w:t>
            </w:r>
          </w:p>
        </w:tc>
        <w:tc>
          <w:tcPr>
            <w:tcW w:w="1014" w:type="dxa"/>
            <w:tcMar>
              <w:top w:w="115" w:type="dxa"/>
              <w:left w:w="115" w:type="dxa"/>
              <w:bottom w:w="115" w:type="dxa"/>
              <w:right w:w="115" w:type="dxa"/>
            </w:tcMar>
          </w:tcPr>
          <w:p w14:paraId="17FB2017" w14:textId="57F47483" w:rsidR="00611F53" w:rsidRPr="00EB140F" w:rsidRDefault="00611F53" w:rsidP="00C258BC">
            <w:pPr>
              <w:spacing w:after="0"/>
              <w:jc w:val="both"/>
              <w:rPr>
                <w:color w:val="000000" w:themeColor="text1"/>
                <w:sz w:val="20"/>
                <w:szCs w:val="20"/>
              </w:rPr>
            </w:pPr>
            <w:r>
              <w:rPr>
                <w:color w:val="000000" w:themeColor="text1"/>
                <w:sz w:val="20"/>
                <w:szCs w:val="20"/>
              </w:rPr>
              <w:t>K</w:t>
            </w:r>
            <w:r w:rsidRPr="00EB140F">
              <w:rPr>
                <w:color w:val="000000" w:themeColor="text1"/>
                <w:sz w:val="20"/>
                <w:szCs w:val="20"/>
              </w:rPr>
              <w:t>g</w:t>
            </w:r>
          </w:p>
        </w:tc>
        <w:tc>
          <w:tcPr>
            <w:tcW w:w="1398" w:type="dxa"/>
            <w:tcMar>
              <w:top w:w="115" w:type="dxa"/>
              <w:left w:w="115" w:type="dxa"/>
              <w:bottom w:w="115" w:type="dxa"/>
              <w:right w:w="115" w:type="dxa"/>
            </w:tcMar>
          </w:tcPr>
          <w:p w14:paraId="180AE322" w14:textId="5F8230D1" w:rsidR="00611F53" w:rsidRPr="00EB140F" w:rsidRDefault="00611F53" w:rsidP="00C258BC">
            <w:pPr>
              <w:spacing w:after="0"/>
              <w:jc w:val="both"/>
              <w:rPr>
                <w:color w:val="000000" w:themeColor="text1"/>
                <w:sz w:val="20"/>
                <w:szCs w:val="20"/>
              </w:rPr>
            </w:pPr>
            <w:r w:rsidRPr="00EB140F">
              <w:rPr>
                <w:color w:val="000000" w:themeColor="text1"/>
                <w:sz w:val="20"/>
                <w:szCs w:val="20"/>
              </w:rPr>
              <w:t>Median</w:t>
            </w:r>
          </w:p>
        </w:tc>
        <w:tc>
          <w:tcPr>
            <w:tcW w:w="2868" w:type="dxa"/>
            <w:tcMar>
              <w:top w:w="115" w:type="dxa"/>
              <w:left w:w="115" w:type="dxa"/>
              <w:bottom w:w="115" w:type="dxa"/>
              <w:right w:w="115" w:type="dxa"/>
            </w:tcMar>
          </w:tcPr>
          <w:p w14:paraId="767B5AA0" w14:textId="77777777" w:rsidR="00611F53" w:rsidRPr="00EB140F" w:rsidRDefault="00611F53" w:rsidP="00C258BC">
            <w:pPr>
              <w:spacing w:after="0"/>
              <w:jc w:val="both"/>
              <w:rPr>
                <w:color w:val="000000" w:themeColor="text1"/>
                <w:sz w:val="20"/>
                <w:szCs w:val="20"/>
              </w:rPr>
            </w:pPr>
            <w:r w:rsidRPr="00EB140F">
              <w:rPr>
                <w:color w:val="000000" w:themeColor="text1"/>
                <w:sz w:val="20"/>
                <w:szCs w:val="20"/>
              </w:rPr>
              <w:t>1.6 (modelled</w:t>
            </w:r>
            <w:r>
              <w:rPr>
                <w:color w:val="000000" w:themeColor="text1"/>
                <w:sz w:val="20"/>
                <w:szCs w:val="20"/>
              </w:rPr>
              <w:t>)</w:t>
            </w:r>
          </w:p>
          <w:p w14:paraId="74B83B7B" w14:textId="2097B159" w:rsidR="00611F53" w:rsidRPr="00EB140F" w:rsidRDefault="00611F53" w:rsidP="00C258BC">
            <w:pPr>
              <w:spacing w:after="0"/>
              <w:jc w:val="both"/>
              <w:rPr>
                <w:color w:val="000000" w:themeColor="text1"/>
                <w:sz w:val="20"/>
                <w:szCs w:val="20"/>
              </w:rPr>
            </w:pPr>
          </w:p>
        </w:tc>
      </w:tr>
    </w:tbl>
    <w:p w14:paraId="0A6DC8E4" w14:textId="77777777" w:rsidR="00260DF6" w:rsidRPr="0070404D" w:rsidRDefault="00260DF6" w:rsidP="00C258BC">
      <w:pPr>
        <w:jc w:val="both"/>
        <w:rPr>
          <w:color w:val="000000" w:themeColor="text1"/>
        </w:rPr>
        <w:sectPr w:rsidR="00260DF6" w:rsidRPr="0070404D" w:rsidSect="00260DF6">
          <w:pgSz w:w="16838" w:h="11906" w:orient="landscape"/>
          <w:pgMar w:top="1440" w:right="1440" w:bottom="1440" w:left="1440" w:header="708" w:footer="708" w:gutter="0"/>
          <w:cols w:space="708"/>
          <w:docGrid w:linePitch="360"/>
        </w:sectPr>
      </w:pPr>
    </w:p>
    <w:p w14:paraId="2BFB6FBC" w14:textId="54EB0683" w:rsidR="005F1487" w:rsidRPr="00785A38" w:rsidRDefault="00E96BE2" w:rsidP="00C258BC">
      <w:pPr>
        <w:pStyle w:val="Caption"/>
        <w:keepNext/>
        <w:jc w:val="both"/>
        <w:rPr>
          <w:lang w:val="en-GB"/>
        </w:rPr>
      </w:pPr>
      <w:bookmarkStart w:id="62" w:name="_Ref518910772"/>
      <w:bookmarkStart w:id="63" w:name="_Hlk529349400"/>
      <w:r w:rsidRPr="00785A38">
        <w:rPr>
          <w:lang w:val="en-GB"/>
        </w:rPr>
        <w:lastRenderedPageBreak/>
        <w:t xml:space="preserve">Table </w:t>
      </w:r>
      <w:r>
        <w:rPr>
          <w:lang w:val="en-GB"/>
        </w:rPr>
        <w:fldChar w:fldCharType="begin"/>
      </w:r>
      <w:r>
        <w:rPr>
          <w:lang w:val="en-GB"/>
        </w:rPr>
        <w:instrText xml:space="preserve"> SEQ Table \* ARABIC </w:instrText>
      </w:r>
      <w:r>
        <w:rPr>
          <w:lang w:val="en-GB"/>
        </w:rPr>
        <w:fldChar w:fldCharType="separate"/>
      </w:r>
      <w:r w:rsidR="004873F0">
        <w:rPr>
          <w:noProof/>
          <w:lang w:val="en-GB"/>
        </w:rPr>
        <w:t>2</w:t>
      </w:r>
      <w:r>
        <w:rPr>
          <w:lang w:val="en-GB"/>
        </w:rPr>
        <w:fldChar w:fldCharType="end"/>
      </w:r>
      <w:bookmarkEnd w:id="62"/>
      <w:r w:rsidRPr="00785A38">
        <w:rPr>
          <w:lang w:val="en-GB"/>
        </w:rPr>
        <w:t xml:space="preserve">: </w:t>
      </w:r>
      <w:r w:rsidRPr="00E64E1D">
        <w:rPr>
          <w:b w:val="0"/>
          <w:lang w:val="en-GB"/>
        </w:rPr>
        <w:t>The estimated sustainability and decline in population densities of mammals due to hunting</w:t>
      </w:r>
      <w:r w:rsidRPr="00E64E1D">
        <w:rPr>
          <w:b w:val="0"/>
          <w:color w:val="000000" w:themeColor="text1"/>
          <w:lang w:val="en-GB"/>
        </w:rPr>
        <w:t xml:space="preserve"> (reproduced from </w:t>
      </w:r>
      <w:r w:rsidR="00815E9A">
        <w:rPr>
          <w:b w:val="0"/>
          <w:color w:val="000000" w:themeColor="text1"/>
          <w:lang w:val="en-GB"/>
        </w:rPr>
        <w:fldChar w:fldCharType="begin" w:fldLock="1"/>
      </w:r>
      <w:r w:rsidR="00960EBB">
        <w:rPr>
          <w:b w:val="0"/>
          <w:color w:val="000000" w:themeColor="text1"/>
          <w:lang w:val="en-GB"/>
        </w:rPr>
        <w:instrText>ADDIN CSL_CITATION {"citationItems":[{"id":"ITEM-1","itemData":{"DOI":"10.1016/j.foodres.2015.03.025","ISBN":"0963-9969","ISSN":"09639969","abstract":"Wild meat or 'bushmeat' has long served as a principal source of protein and a key contributor to the food security of millions of people across the developing world, most notably in Africa, Latin America and Asia. More recently, however, growing human populations, technological elaborations and the emergence of a booming commercial bushmeat trade have culminated in unprecedented harvest rates and the consequent decline of numerous wildlife populations. Most research efforts aimed at tackling this problem to date have been rooted in the biological disciplines, focused on quantifying the trade and measuring its level of destruction on wildlife and ecosystems. Comparatively little effort, on the other hand, has been expended on illuminating the role of bushmeat in human livelihoods and in providing alternative sources of food and income, as well as the infrastructure to make these feasible. This paper aims to shift the focus to the human dimension, emphasising the true contributions of bushmeat to food security, nutrition and well-being, while balancing this perspective by considering the far-reaching impacts of overexploitation. What emerges from this synthesis is that bushmeat management will ultimately depend on understanding and working with people, with any approaches focused too narrowly on biodiversity preservation running the risk of failure in the long term. If wildlife is to survive and be utilised in the future, there is undoubtedly a need to relax adherence to unswerving biocentric or anthropocentric convictions, to appreciate the necessity for certain trade-offs and to develop integrated and flexible approaches that reconcile the requirements of both the animals and the people.","author":[{"dropping-particle":"","family":"Cawthorn","given":"Donna-Mareè","non-dropping-particle":"","parse-names":false,"suffix":""},{"dropping-particle":"","family":"Hoffman","given":"Louwrens C.","non-dropping-particle":"","parse-names":false,"suffix":""}],"container-title":"Food Research International","id":"ITEM-1","issued":{"date-parts":[["2015"]]},"page":"906-925","publisher":"Elsevier Ltd","title":"The bushmeat and food security nexus: a global account of the contributions, conundrums and ethical collisions","type":"article-journal","volume":"76"},"uris":["http://www.mendeley.com/documents/?uuid=c61d12b7-b7bb-44d8-854e-7bf9e14efad2"]}],"mendeley":{"formattedCitation":"(Cawthorn &amp; Hoffman 2015)","manualFormatting":"Cawthorn &amp; Hoffman 2015)","plainTextFormattedCitation":"(Cawthorn &amp; Hoffman 2015)","previouslyFormattedCitation":"(Cawthorn &amp; Hoffman 2015)"},"properties":{"noteIndex":0},"schema":"https://github.com/citation-style-language/schema/raw/master/csl-citation.json"}</w:instrText>
      </w:r>
      <w:r w:rsidR="00815E9A">
        <w:rPr>
          <w:b w:val="0"/>
          <w:color w:val="000000" w:themeColor="text1"/>
          <w:lang w:val="en-GB"/>
        </w:rPr>
        <w:fldChar w:fldCharType="separate"/>
      </w:r>
      <w:r w:rsidR="00815E9A" w:rsidRPr="00815E9A">
        <w:rPr>
          <w:b w:val="0"/>
          <w:noProof/>
          <w:color w:val="000000" w:themeColor="text1"/>
          <w:lang w:val="en-GB"/>
        </w:rPr>
        <w:t>Cawthorn &amp; Hoffman 2015)</w:t>
      </w:r>
      <w:r w:rsidR="00815E9A">
        <w:rPr>
          <w:b w:val="0"/>
          <w:color w:val="000000" w:themeColor="text1"/>
          <w:lang w:val="en-GB"/>
        </w:rPr>
        <w:fldChar w:fldCharType="end"/>
      </w:r>
      <w:r w:rsidR="00E64E1D">
        <w:rPr>
          <w:b w:val="0"/>
          <w:color w:val="000000" w:themeColor="text1"/>
          <w:lang w:val="en-GB"/>
        </w:rPr>
        <w:t>.</w:t>
      </w:r>
    </w:p>
    <w:bookmarkEnd w:id="63"/>
    <w:p w14:paraId="5BC5CED7" w14:textId="77777777" w:rsidR="00260DF6" w:rsidRDefault="00C45FED" w:rsidP="00C258BC">
      <w:pPr>
        <w:jc w:val="both"/>
        <w:rPr>
          <w:color w:val="000000" w:themeColor="text1"/>
        </w:rPr>
      </w:pPr>
      <w:r w:rsidRPr="006C56F2">
        <w:rPr>
          <w:noProof/>
          <w:color w:val="000000" w:themeColor="text1"/>
          <w:lang w:val="en-US"/>
        </w:rPr>
        <w:drawing>
          <wp:inline distT="0" distB="0" distL="0" distR="0" wp14:anchorId="60E86B61" wp14:editId="387B7C41">
            <wp:extent cx="8242765" cy="4403105"/>
            <wp:effectExtent l="0" t="0" r="12700" b="0"/>
            <wp:docPr id="12" name="Picture 12" descr="../../../../Screenshots/Screenshot%202018-05-10%2016.5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s/Screenshot%202018-05-10%2016.52.28.png"/>
                    <pic:cNvPicPr>
                      <a:picLocks noChangeAspect="1" noChangeArrowheads="1"/>
                    </pic:cNvPicPr>
                  </pic:nvPicPr>
                  <pic:blipFill rotWithShape="1">
                    <a:blip r:embed="rId36">
                      <a:extLst>
                        <a:ext uri="{28A0092B-C50C-407E-A947-70E740481C1C}">
                          <a14:useLocalDpi xmlns:a14="http://schemas.microsoft.com/office/drawing/2010/main" val="0"/>
                        </a:ext>
                      </a:extLst>
                    </a:blip>
                    <a:srcRect t="10193"/>
                    <a:stretch/>
                  </pic:blipFill>
                  <pic:spPr bwMode="auto">
                    <a:xfrm>
                      <a:off x="0" y="0"/>
                      <a:ext cx="8250359" cy="4407162"/>
                    </a:xfrm>
                    <a:prstGeom prst="rect">
                      <a:avLst/>
                    </a:prstGeom>
                    <a:noFill/>
                    <a:ln>
                      <a:noFill/>
                    </a:ln>
                    <a:extLst>
                      <a:ext uri="{53640926-AAD7-44D8-BBD7-CCE9431645EC}">
                        <a14:shadowObscured xmlns:a14="http://schemas.microsoft.com/office/drawing/2010/main"/>
                      </a:ext>
                    </a:extLst>
                  </pic:spPr>
                </pic:pic>
              </a:graphicData>
            </a:graphic>
          </wp:inline>
        </w:drawing>
      </w:r>
    </w:p>
    <w:p w14:paraId="77523FDD" w14:textId="77777777" w:rsidR="00AA5190" w:rsidRDefault="00AA5190" w:rsidP="00C258BC">
      <w:pPr>
        <w:jc w:val="both"/>
        <w:rPr>
          <w:color w:val="000000" w:themeColor="text1"/>
        </w:rPr>
      </w:pPr>
    </w:p>
    <w:p w14:paraId="25DE101B" w14:textId="1FE8556C" w:rsidR="00AA5190" w:rsidRDefault="00AA5190" w:rsidP="00AA5190">
      <w:r>
        <w:rPr>
          <w:color w:val="000000" w:themeColor="text1"/>
        </w:rPr>
        <w:t xml:space="preserve">(References for table:  </w:t>
      </w:r>
      <w:r>
        <w:rPr>
          <w:lang w:eastAsia="de-AT"/>
        </w:rPr>
        <w:fldChar w:fldCharType="begin" w:fldLock="1"/>
      </w:r>
      <w:r w:rsidR="00AB268B">
        <w:rPr>
          <w:lang w:eastAsia="de-AT"/>
        </w:rPr>
        <w:instrText>ADDIN CSL_CITATION {"citationItems":[{"id":"ITEM-1","itemData":{"DOI":"10.1046/j.1523-1739.2002.00275.x","ISBN":"1523-1739","ISSN":"0888-8892","PMID":"10875522","abstract":"We calculated extraction and production rates of bushmeat species in two main tropical, moist-forest regions, the Amazon and Congo basins. Extraction was estimated from the average number of animals consumed per person per year from anthropological studies that reported animal kills brought into settlements in the regions. We calculated extraction rates ( kg / km 2/year) for 57 and 31 mammalian taxa in the Congo and Amazon, respectively. We then examined the sustainability of these extraction rates by basin and by taxa, using extraction-to-production ( E:P) mass-balance equations. Production (tonnes/year) was calculated as the product of rmax (the intrinsic rate of natural increase), mammal biomass, and total area of forest in each region. Species exploitation rates at specific body masses were significantly greater in the Congo than in the Amazon. The E :P ratio for the Congo was 2.4, 30 times the Amazon's ratio of 0.081. Thus, Congo Basin mammals must annually produce approximately 93% of their body mass to balance current extraction rates, whereas Amazonian mammals must produce only 4% of their body mass. We calculated sustainability levels derived from Robinson and Redford's harvest model for each taxa. On a basin-wide level, 60% and none of the mammal taxa in the Congo and Amazon basins, respectively, were exploited unsustainably. To evaluate the effect of error on the estimates of E :P, we conducted a sensitivity analysis, which suggests that the mass-balance was most sensitive to error in standing stock but that our results are robust. We estimated that over 5 million tons of wild mammal meat feed millions in Neotropical (0.15 million) and Afrotropical (4.9 million) forests annually. Our Congo basin estimates are four times higher than those calculated for the region by other workers, and we conclude that the current situation of bushmeat extraction in African rain forests is more precarious than previously thought. Calculamos las tasas de extracción y de producción de especies cinegéticas en dos importantes regiones tropicales de bosque húmedo: las cuencas del Amazonas y del Congo. Se estimó la extracción a partir del número promedio de animales consumidos por año en estudios antropológicos que registraron animales cazados y llevados a los poblados en las regiones. Calculamos tasas de extracción ( kg/km 2/año−1) para 57 y 31 taxa de mamíferos en el Congo y el Amazonas, respectivamente. Posteriormente examinamos la sustentabilidad de estas tasas …","author":[{"dropping-particle":"","family":"Fa","given":"John E","non-dropping-particle":"","parse-names":false,"suffix":""},{"dropping-particle":"","family":"Peres","given":"Carlos A","non-dropping-particle":"","parse-names":false,"suffix":""},{"dropping-particle":"","family":"Meeuwig","given":"Jessica","non-dropping-particle":"","parse-names":false,"suffix":""}],"container-title":"Conservation Biology","id":"ITEM-1","issue":"1","issued":{"date-parts":[["2002"]]},"page":"232-237","title":"Bushmeat exploitation in tropical forests: an intercontinental comparison","type":"article-journal","volume":"16"},"uris":["http://www.mendeley.com/documents/?uuid=e1b18c38-751b-40b4-a08a-c77816093199"]},{"id":"ITEM-2","itemData":{"author":[{"dropping-particle":"","family":"Noss","given":"A J","non-dropping-particle":"","parse-names":false,"suffix":""}],"container-title":"Hunting for Sustainability in Tropical Forests","editor":[{"dropping-particle":"","family":"Robinson","given":"J G","non-dropping-particle":"","parse-names":false,"suffix":""},{"dropping-particle":"","family":"Bennett","given":"E L","non-dropping-particle":"","parse-names":false,"suffix":""}],"id":"ITEM-2","issued":{"date-parts":[["2000"]]},"page":"282-304","publisher":"Columbia University Press, New York, USA","title":"Cable snares and nets in the Central African Republic","type":"chapter"},"uris":["http://www.mendeley.com/documents/?uuid=61c63fab-aec6-49ad-9fac-2d1f73183e3d"]},{"id":"ITEM-3","itemData":{"author":[{"dropping-particle":"","family":"Fimbel","given":"C","non-dropping-particle":"","parse-names":false,"suffix":""},{"dropping-particle":"","family":"Curran","given":"B","non-dropping-particle":"","parse-names":false,"suffix":""},{"dropping-particle":"","family":"Usongo","given":"L","non-dropping-particle":"","parse-names":false,"suffix":""}],"container-title":"Hunting for Sustainability in Tropical Forests","editor":[{"dropping-particle":"","family":"Robinson","given":"J G","non-dropping-particle":"","parse-names":false,"suffix":""},{"dropping-particle":"","family":"Bennett","given":"E L","non-dropping-particle":"","parse-names":false,"suffix":""}],"id":"ITEM-3","issued":{"date-parts":[["2000"]]},"page":"356-374","publisher":"Columbia University Press, New York, USA","title":"Enhancing the sustainability of duiker hunting through community participation and controlled access in the Lobéké Region of South-eastern Cameroon","type":"chapter"},"uris":["http://www.mendeley.com/documents/?uuid=5de5f488-1aeb-4e7c-91b7-c9d9ed007c5b"]},{"id":"ITEM-4","itemData":{"author":[{"dropping-particle":"","family":"Delvingt","given":"W","non-dropping-particle":"","parse-names":false,"suffix":""},{"dropping-particle":"","family":"Dethier","given":"M","non-dropping-particle":"","parse-names":false,"suffix":""},{"dropping-particle":"","family":"Auzel","given":"P","non-dropping-particle":"","parse-names":false,"suffix":""},{"dropping-particle":"","family":"Jeanmart","given":"P","non-dropping-particle":"","parse-names":false,"suffix":""}],"container-title":"La Forêt des Hommes: Terroirs Villageois en Forêt Tropicale Africaine","editor":[{"dropping-particle":"","family":"Delvingt","given":"W","non-dropping-particle":"","parse-names":false,"suffix":""}],"id":"ITEM-4","issued":{"date-parts":[["2001"]]},"page":"65-92","publisher":"Les Presses Agronomiques de Gembloux, Gembloux, Belgium","title":"La chasse villageoise Badjoué, gestion coutumière durable ou pillage de la ressource gibier","type":"chapter"},"uris":["http://www.mendeley.com/documents/?uuid=16a174c4-4f6a-4c1d-8802-82c1cf46de06"]},{"id":"ITEM-5","itemData":{"author":[{"dropping-particle":"","family":"Hart","given":"John A","non-dropping-particle":"","parse-names":false,"suffix":""}],"chapter-number":"6","container-title":"Hunting for Sustainability in Tropical Forests","editor":[{"dropping-particle":"","family":"Bennett","given":"E L","non-dropping-particle":"","parse-names":false,"suffix":""},{"dropping-particle":"","family":"Robinson","given":"J G","non-dropping-particle":"","parse-names":false,"suffix":""}],"id":"ITEM-5","issued":{"date-parts":[["2000"]]},"page":"106-153","publisher":"Columbia University Press, New York, USA","title":"Impact and sustainability of indigenous hunting in the Ituri forest, Congo-Zaire: a comparison of unhunted and hunted duiker populations","type":"chapter"},"uris":["http://www.mendeley.com/documents/?uuid=1fdf3278-b69d-4637-b17f-cd648b75c5a9"]},{"id":"ITEM-6","itemData":{"author":[{"dropping-particle":"","family":"Lahm","given":"S.","non-dropping-particle":"","parse-names":false,"suffix":""}],"container-title":"African Rain Forest Ecology and Conservation: An Interdisciplinary Perspective","editor":[{"dropping-particle":"","family":"Weber","given":"W","non-dropping-particle":"","parse-names":false,"suffix":""},{"dropping-particle":"","family":"White","given":"L T J","non-dropping-particle":"","parse-names":false,"suffix":""},{"dropping-particle":"","family":"Vedder","given":"A","non-dropping-particle":"","parse-names":false,"suffix":""}],"id":"ITEM-6","issued":{"date-parts":[["2001"]]},"page":"344-354","publisher":"Yale University Press, New Haven, USA","title":"Hunting and wildlife in Northeastern Gabon. Why conservation should extend beyond protected areas.","type":"chapter"},"uris":["http://www.mendeley.com/documents/?uuid=930ffe00-4a2b-43f0-a1b0-eb2c92f4aa3a"]},{"id":"ITEM-7","itemData":{"author":[{"dropping-particle":"","family":"Fa","given":"J E","non-dropping-particle":"","parse-names":false,"suffix":""}],"container-title":"Hunting for Sustainability in Tropical Forests","editor":[{"dropping-particle":"","family":"Robinson","given":"J G","non-dropping-particle":"","parse-names":false,"suffix":""},{"dropping-particle":"","family":"Bennett","given":"E L","non-dropping-particle":"","parse-names":false,"suffix":""}],"id":"ITEM-7","issued":{"date-parts":[["2000"]]},"page":"168-198","publisher":"Columbia University Press, New York, USA","title":"Hunted animals in Bioko Island, West Africa: Sustainability and future","type":"chapter"},"uris":["http://www.mendeley.com/documents/?uuid=41891eea-d9cc-49ae-890a-ffdca87b26cb"]},{"id":"ITEM-8","itemData":{"author":[{"dropping-particle":"","family":"Fa","given":"J E","non-dropping-particle":"","parse-names":false,"suffix":""},{"dropping-particle":"","family":"Yuste","given":"J E García","non-dropping-particle":"","parse-names":false,"suffix":""}],"container-title":"Animal Biodiversity and Conservation","id":"ITEM-8","issue":"1","issued":{"date-parts":[["2001"]]},"page":"31-52","title":"Commercial bushmeat hunting in the Monte Mitra forests, Equatorial Guinea: extent and impact","type":"article-journal","volume":"24"},"uris":["http://www.mendeley.com/documents/?uuid=3d4b4d33-4819-4a57-8004-b87be765b1ca"]},{"id":"ITEM-9","itemData":{"abstract":"Bushmeat can be an important component of household food security and income in West and Central Africa. However, there is growing concern that current levels of bushmeat extraction are unsustainable and will lead to the loss of bushmeat as a natural resource and to the extinction of many threatened species. Policy development to mitigate this risk is impeded by a dearth of information on the structure of the bushmeat trade and its biological sustainability. In this study, we tackle these problems by exploring the structure and sustainability of a bushmeat commodity chain supplying the city of Takoradi in Ghana.","author":[{"dropping-particle":"","family":"Cowlishaw","given":"Guy","non-dropping-particle":"","parse-names":false,"suffix":""},{"dropping-particle":"","family":"Mendelson","given":"Samantha","non-dropping-particle":"","parse-names":false,"suffix":""},{"dropping-particle":"","family":"Rowcliffe","given":"J Marcus","non-dropping-particle":"","parse-names":false,"suffix":""}],"container-title":"Wildlife Policy","id":"ITEM-9","issue":"7","issued":{"date-parts":[["2004"]]},"page":"1-4","title":"The bushmeat commodity chain: patterns of trade and sustainability in a mature urban market in West Africa","type":"article-journal","volume":"7"},"uris":["http://www.mendeley.com/documents/?uuid=af071412-ab60-4521-9c8a-d19c3d263ad6"]},{"id":"ITEM-10","itemData":{"author":[{"dropping-particle":"","family":"Fa","given":"J E","non-dropping-particle":"","parse-names":false,"suffix":""},{"dropping-particle":"","family":"Juste","given":"J","non-dropping-particle":"","parse-names":false,"suffix":""},{"dropping-particle":"","family":"Perez del Val","given":"J","non-dropping-particle":"","parse-names":false,"suffix":""},{"dropping-particle":"","family":"Castroviejo","given":"J","non-dropping-particle":"","parse-names":false,"suffix":""}],"container-title":"Conservation Biology","id":"ITEM-10","issue":"5","issued":{"date-parts":[["1995"]]},"page":"1107-1115","title":"Impact of market hunting on mammal species in Equatorial Guinea","type":"article-journal","volume":"9"},"uris":["http://www.mendeley.com/documents/?uuid=92ce0676-38cd-4108-a4c5-cddd349bb6f2"]},{"id":"ITEM-11","itemData":{"author":[{"dropping-particle":"","family":"FitzGibbon","given":"C D","non-dropping-particle":"","parse-names":false,"suffix":""},{"dropping-particle":"","family":"Mogaka","given":"H","non-dropping-particle":"","parse-names":false,"suffix":""},{"dropping-particle":"","family":"Fanshawe","given":"J H","non-dropping-particle":"","parse-names":false,"suffix":""}],"container-title":"Hunting for Sustainability in Tropical Forests","editor":[{"dropping-particle":"","family":"Robinson","given":"J G","non-dropping-particle":"","parse-names":false,"suffix":""},{"dropping-particle":"","family":"Bennett","given":"E L","non-dropping-particle":"","parse-names":false,"suffix":""}],"id":"ITEM-11","issued":{"date-parts":[["2000"]]},"page":"154-167","publisher":"Columbia University Press, New York, USA","title":"Threatened mammals, subsistence harvesting and high human population densities: a recipe for disaster?","type":"chapter"},"uris":["http://www.mendeley.com/documents/?uuid=1ae613d6-c4e4-4d59-9849-ab311b01ce8f"]},{"id":"ITEM-12","itemData":{"DOI":"10.1111/j.1469-1795.2009.00330.x","ISBN":"1367-9430","ISSN":"13679430","abstract":"Over the last decades, native Amazonians have put increasing pressure on animal wildlife owing to growth in demand. Across societies, household monetary income and wealth shape food consumption; hence, so it is natural to ask what effect might these variables have on the demand for wildlife consumption among native Amazonians, particularly as they gain a stronger foothold in the market economy and increasing de jure stewardship over their territories. Prior estimates of the effects of household monetary income and household wealth on wildlife consumption among native Amazonians have relied on cross-sectional data and produced unclear results. The goal of this research was to improve the precision of previous estimates by drawing on a larger sample and on longitudinal data. The analysis draws on a dataset composed of five consecutive annual surveys (2002–2006, inclusive) from 324 households in a native Amazonian society of foragers and farmers in Bolivia (Tsimane'). Multiple regression analysis is used to estimate the association between wildlife consumption and monetary income and wealth. Wildlife consumption bore a positive association with the level of household wealth and no significant association with household monetary income. Among Tsimane', the main internal threat to wildlife conservation in the short run will likely arise from increases in wealth, probably from the enhanced capacity that selected physical assets (e.g. guns) have in the capture of animal wildlife.","author":[{"dropping-particle":"","family":"Godoy","given":"R.","non-dropping-particle":"","parse-names":false,"suffix":""},{"dropping-particle":"","family":"Undurraga","given":"E. A.","non-dropping-particle":"","parse-names":false,"suffix":""},{"dropping-particle":"","family":"Wilkie","given":"D.","non-dropping-particle":"","parse-names":false,"suffix":""},{"dropping-particle":"","family":"Reyes-Garc??a","given":"V.","non-dropping-particle":"","parse-names":false,"suffix":""},{"dropping-particle":"","family":"Huanca","given":"T.","non-dropping-particle":"","parse-names":false,"suffix":""},{"dropping-particle":"","family":"Leonard","given":"W. R.","non-dropping-particle":"","parse-names":false,"suffix":""},{"dropping-particle":"","family":"McDade","given":"T.","non-dropping-particle":"","parse-names":false,"suffix":""},{"dropping-particle":"","family":"Tanner","given":"S.","non-dropping-particle":"","parse-names":false,"suffix":""},{"dropping-particle":"","family":"Vadez","given":"V.","non-dropping-particle":"","parse-names":false,"suffix":""}],"container-title":"Animal Conservation","id":"ITEM-12","issue":"3","issued":{"date-parts":[["2010"]]},"page":"265-274","title":"The effect of wealth and real income on wildlife consumption among native Amazonians in Bolivia: estimates of annual trends with longitudinal household data (2002-2006)","type":"article-journal","volume":"13"},"uris":["http://www.mendeley.com/documents/?uuid=3c399487-e5c0-4e2a-ba53-0886526b4469"]},{"id":"ITEM-13","itemData":{"author":[{"dropping-particle":"","family":"Peres","given":"Carlos A","non-dropping-particle":"","parse-names":false,"suffix":""}],"container-title":"Conservation Biology","id":"ITEM-13","issue":"1","issued":{"date-parts":[["2000"]]},"page":"240-253","title":"Effects of subsistence hunting on vertebrate community structure in Amazonian forests","type":"article-journal","volume":"14"},"uris":["http://www.mendeley.com/documents/?uuid=40b276de-4384-47c0-838a-a0ff6e6cbfd1"]},{"id":"ITEM-14","itemData":{"DOI":"10.1016/S0006-3207(00)00011-2","ISBN":"0006-3207","ISSN":"00063207","PMID":"16007088","abstract":"This study evaluates the impact of hunting on mammalian and avian species in Atlantic forest fragments of the Mata de Planalto in the State of Sao Paulo, Brazil. Colonists who farm on the edge of fragments also hunt for subsistence within fragments. Hunters commonly take the two peccary species, tapir, bracket deer, armadillos and agoutis. Primates are rarely hunted in this region. Effects of hunting on species were measured by changes in relative abundance of species between four sites with similar sizes (approximately 2000 ha each), but different hunting pressures (two slightly hunted and two heavily hunted). In addition, one large protected area (35 000 ha) was also censused. Species abundances were measured during 18 months along 2287 km of line transects. Abundances of tapirs, bracket deer, white-lipped peccaries, armadillos and coatis decreased between slightly hunted and heavily hunted sites. Abundances of collared peccaries, agoutis, primates and guans did not show any trends with hunting pressure. Extirpations of tapirs and white-lipped peccaries at heavily hunted sites suggest that in forest remnants encroached by people, hunting exacerbates effects of fragmentation, such as genetics and demographics, and is probably the most important factor in emptying these forests of large species over the short-term. (C) 2000 Elsevier Science Ltd.","author":[{"dropping-particle":"","family":"Cullen Jr.","given":"Laury","non-dropping-particle":"","parse-names":false,"suffix":""},{"dropping-particle":"","family":"Bodmer","given":"Richard E.","non-dropping-particle":"","parse-names":false,"suffix":""},{"dropping-particle":"","family":"Valladares Pádua","given":"Claudio","non-dropping-particle":"","parse-names":false,"suffix":""}],"container-title":"Biological Conservation","id":"ITEM-14","issue":"1","issued":{"date-parts":[["2000"]]},"page":"49-56","title":"Effects of hunting in habitat fragments of the Atlantic forests, Brazil","type":"article-journal","volume":"95"},"uris":["http://www.mendeley.com/documents/?uuid=2953da0f-a8e4-4430-8a9d-b8884262a5ce"]},{"id":"ITEM-15","itemData":{"author":[{"dropping-particle":"","family":"Townsend","given":"W","non-dropping-particle":"","parse-names":false,"suffix":""}],"container-title":"Hunting for Sustainability in Tropical Forests","editor":[{"dropping-particle":"","family":"Robinson","given":"J G","non-dropping-particle":"","parse-names":false,"suffix":""},{"dropping-particle":"","family":"Bennett","given":"E L","non-dropping-particle":"","parse-names":false,"suffix":""}],"id":"ITEM-15","issued":{"date-parts":[["2000"]]},"page":"267-281","publisher":"Columbia University Press, New York, USA","title":"The sustainability of subsistence hunting by the Sirionó Indians of Bolivia","type":"chapter"},"uris":["http://www.mendeley.com/documents/?uuid=43385922-c086-4992-8452-4b6813ebcd19"]},{"id":"ITEM-16","itemData":{"author":[{"dropping-particle":"","family":"Mena","given":"V P","non-dropping-particle":"","parse-names":false,"suffix":""},{"dropping-particle":"","family":"Stallings","given":"J R","non-dropping-particle":"","parse-names":false,"suffix":""},{"dropping-particle":"","family":"Regalado","given":"J B","non-dropping-particle":"","parse-names":false,"suffix":""},{"dropping-particle":"","family":"Cueva","given":"R L","non-dropping-particle":"","parse-names":false,"suffix":""}],"container-title":"Hunting for Sustainability in Tropical Forests","editor":[{"dropping-particle":"","family":"Robinson","given":"J G","non-dropping-particle":"","parse-names":false,"suffix":""},{"dropping-particle":"","family":"Bennett","given":"E L","non-dropping-particle":"","parse-names":false,"suffix":""}],"id":"ITEM-16","issued":{"date-parts":[["2000"]]},"page":"57-78","publisher":"Columbia University Press, New York, USA","title":"The sustainability of current hunting practices by the Huaorani","type":"chapter"},"uris":["http://www.mendeley.com/documents/?uuid=81797c1e-7205-4e03-ab81-e7e770a00886"]},{"id":"ITEM-17","itemData":{"author":[{"dropping-particle":"","family":"Hill","given":"K","non-dropping-particle":"","parse-names":false,"suffix":""},{"dropping-particle":"","family":"Padwe","given":"J","non-dropping-particle":"","parse-names":false,"suffix":""}],"container-title":"Hunting for Sustainability in Tropical Forests","editor":[{"dropping-particle":"","family":"Robinson","given":"J G","non-dropping-particle":"","parse-names":false,"suffix":""},{"dropping-particle":"","family":"Bennett","given":"E L","non-dropping-particle":"","parse-names":false,"suffix":""}],"id":"ITEM-17","issued":{"date-parts":[["2000"]]},"page":"79-105","publisher":"Columbia University Press, New York, USA","title":"Sustainability of ache hunting in the Mbaracayu Reserve, Paraguay","type":"chapter"},"uris":["http://www.mendeley.com/documents/?uuid=27f7c9f2-f60a-4afc-a9e3-cc52d81b2080"]},{"id":"ITEM-18","itemData":{"DOI":"10.1046/j.1523-1739.2003.01135.x","ISBN":"0888-8892","ISSN":"08888892","abstract":"This longitudinal study examines the impact of native hunting on the populations of 10 important game species in the Mbaracayu Reserve, Paraguay. From July 1994 to July 2001, native Ache research assistants surveyed 7,535 km of diurnal random transects in the reserve. Analyses of data from these transects and harvest-rate data from 5,526 Ache hunter days suggest that the hunting return rate declined significantly for one species. Nonsignificant declines were observed for 6 of the other 9 species. Native harvest percentages of the stock population appear sustainable for 10 major prey species, but rates of harvest from nonindigenous poaching could not be determined. Crude encounter rates for all 10 species declined over time, but only 2 of these were statistically significant in a univariate model. Multivariate logistic regression controlling for habitat type and location in the reserve showed significant declines in encounter rates over time for 4 species, but the effect of interaction between time and hunting pressure failed to confirm that declines in encounter rates were steeper in more-hunted versus less-hunted areas of the reserve. This may mean that other factors unrelated to hunting pressure are responsible for some of the declines in game encounter rates.","author":[{"dropping-particle":"","family":"Hill","given":"Kim","non-dropping-particle":"","parse-names":false,"suffix":""},{"dropping-particle":"","family":"McMillan","given":"Garnett","non-dropping-particle":"","parse-names":false,"suffix":""},{"dropping-particle":"","family":"Fariña","given":"Rosalia","non-dropping-particle":"","parse-names":false,"suffix":""}],"container-title":"Conservation Biology","id":"ITEM-18","issue":"5","issued":{"date-parts":[["2003"]]},"page":"1312-1323","title":"Hunting-related changes in game encounter rates from 1994 to 2001 in the Mbaracayu Reserve, Paraguay","type":"article-journal","volume":"17"},"uris":["http://www.mendeley.com/documents/?uuid=8d2eaff7-1003-4451-b06a-89f4e7b706dc"]},{"id":"ITEM-19","itemData":{"DOI":"10.1111/j.1523-1739.2007.00759.x","ISBN":"1523-1739","ISSN":"08888892","PMID":"17883483","abstract":"The presence of indigenous people in tropical parks has fueled a debate over whether people in parks are conservation allies or direct threats to biodiversity. A well-known example is the Matsigenka (or Machiguenga) population residing in Manu National Park in Peruvian Amazonia. Because the exploitation of wild meat (or bushmeat), especially large vertebrates, represents the most significant internal threat to biodiversity in Manu, we analyzed 1 year of participatory monitoring of game offtake in two Matsigenka native communities within Manu Park (102,397 consumer days and 2,089 prey items). We used the Robinson and Redford (1991) index to identify five prey species hunted at or above maximum sustainable yield within the approximately 150-km(2) core hunting zones of the two communities: woolly monkey (Lagothrix lagotricha), spider monkey (Ateles chamek), white-lipped peccary (Tayassu pecari), Razor-billed Currasow (Mitu tuberosa), and Spix's Guan (Penelope jacquacu). There was little or no evidence that any of these five species has become depleted, other than locally, despite a near doubling of the human population since 1988. Hunter-prey profiles have not changed since 1988, and there has been little change in per capita consumption rates or mean prey weights. The current offtake by the Matsigenka appears to be sustainable, apparently due to source-sink dynamics. Source-sink dynamics imply that even with continued human population growth within a settlement, offtake for each hunted species will eventually reach an asymptote. Thus, stabilizing the Matsigenka population around existing settlements should be a primary policy goal for Manu Park.","author":[{"dropping-particle":"","family":"Ohl-Schacherer","given":"Julia","non-dropping-particle":"","parse-names":false,"suffix":""},{"dropping-particle":"","family":"Shepard","given":"Glenn H.","non-dropping-particle":"","parse-names":false,"suffix":""},{"dropping-particle":"","family":"Kaplan","given":"Hillard","non-dropping-particle":"","parse-names":false,"suffix":""},{"dropping-particle":"","family":"Peres","given":"Carlos A.","non-dropping-particle":"","parse-names":false,"suffix":""},{"dropping-particle":"","family":"Levi","given":"Taal","non-dropping-particle":"","parse-names":false,"suffix":""},{"dropping-particle":"","family":"Yu","given":"Douglas W.","non-dropping-particle":"","parse-names":false,"suffix":""}],"container-title":"Conservation Biology","id":"ITEM-19","issue":"5","issued":{"date-parts":[["2007"]]},"page":"1174-1185","title":"The sustainability of subsistence hunting by Matsigenka native communities in Manu National Park, Peru","type":"article-journal","volume":"21"},"uris":["http://www.mendeley.com/documents/?uuid=cb81af34-94f1-323b-bbbe-c2724367ef68"]},{"id":"ITEM-20","itemData":{"author":[{"dropping-particle":"","family":"O'Brien","given":"T G","non-dropping-particle":"","parse-names":false,"suffix":""},{"dropping-particle":"","family":"Kinnaird","given":"M F","non-dropping-particle":"","parse-names":false,"suffix":""}],"container-title":"Hunting for Sustainability in Tropical Forests","editor":[{"dropping-particle":"","family":"Robinson","given":"J G","non-dropping-particle":"","parse-names":false,"suffix":""},{"dropping-particle":"","family":"Bennett","given":"E L","non-dropping-particle":"","parse-names":false,"suffix":""}],"id":"ITEM-20","issued":{"date-parts":[["2000"]]},"page":"199-213","publisher":"Columbia University Press, New York, USA","title":"Differential vulnerability of large birds and mam- mals to hunting in North Sulawesi, Indonesia and the outlook for the future","type":"chapter"},"uris":["http://www.mendeley.com/documents/?uuid=08a8d56d-0358-486c-9b87-c524bd108d00"]},{"id":"ITEM-21","itemData":{"author":[{"dropping-particle":"","family":"Lee","given":"R J","non-dropping-particle":"","parse-names":false,"suffix":""}],"container-title":"Hunting for Sustainability in Tropical Forests","editor":[{"dropping-particle":"","family":"Robinson","given":"J G","non-dropping-particle":"","parse-names":false,"suffix":""},{"dropping-particle":"","family":"Bennett","given":"E L","non-dropping-particle":"","parse-names":false,"suffix":""}],"id":"ITEM-21","issued":{"date-parts":[["2000"]]},"page":"455-472","publisher":"Columbia University Press, New York, USA","publisher-place":"Columbia University Press, New York, USA","title":"Impact of subsistence hunting in North Sulawesi, Indonesia and conservation options","type":"chapter"},"uris":["http://www.mendeley.com/documents/?uuid=4d9f3602-da3d-4b98-9e7b-678088ac3249"]},{"id":"ITEM-22","itemData":{"author":[{"dropping-particle":"","family":"Madhusudan","given":"M D","non-dropping-particle":"","parse-names":false,"suffix":""},{"dropping-particle":"","family":"Karanth","given":"K U","non-dropping-particle":"","parse-names":false,"suffix":""}],"container-title":"Hunting for Sustainability in Tropical Forests","editor":[{"dropping-particle":"","family":"Robinson","given":"J G","non-dropping-particle":"","parse-names":false,"suffix":""},{"dropping-particle":"","family":"Bennett","given":"E L","non-dropping-particle":"","parse-names":false,"suffix":""}],"id":"ITEM-22","issued":{"date-parts":[["2000"]]},"page":"339-355","publisher":"Columbia University Press, New York, USA","title":"Hunting for an answer: Is local hunting com- patible with large mammal conservation in India?","type":"chapter"},"uris":["http://www.mendeley.com/documents/?uuid=111496c5-ba1e-485c-b3d5-1134340aeb8d"]}],"mendeley":{"formattedCitation":"(Fa et al. 1995, 2002; Cullen Jr. et al. 2000; Hart 2000; Hill &amp; Padwe 2000; Lee 2000; Madhusudan &amp; Karanth 2000; Mena et al. 2000; Noss 2000; O’Brien &amp; Kinnaird 2000; Peres 2000b; Townsend 2000; Fa 2000; Fimbel et al. 2000; FitzGibbon et al. 2000; Lahm 2001; Delvingt et al. 2001; Fa &amp; Yuste 2001; Hill et al. 2003; Cowlishaw et al. 2004; Ohl-Schacherer et al. 2007; Godoy et al. 2010)","plainTextFormattedCitation":"(Fa et al. 1995, 2002; Cullen Jr. et al. 2000; Hart 2000; Hill &amp; Padwe 2000; Lee 2000; Madhusudan &amp; Karanth 2000; Mena et al. 2000; Noss 2000; O’Brien &amp; Kinnaird 2000; Peres 2000b; Townsend 2000; Fa 2000; Fimbel et al. 2000; FitzGibbon et al. 2000; Lahm 2001; Delvingt et al. 2001; Fa &amp; Yuste 2001; Hill et al. 2003; Cowlishaw et al. 2004; Ohl-Schacherer et al. 2007; Godoy et al. 2010)","previouslyFormattedCitation":"(Fa et al. 1995, 2002; Cullen Jr. et al. 2000; Hart 2000; Hill &amp; Padwe 2000; Lee 2000; Madhusudan &amp; Karanth 2000; Mena et al. 2000; Noss 2000; O’Brien &amp; Kinnaird 2000; Peres 2000b; Townsend 2000; Fa 2000; Fimbel et al. 2000; FitzGibbon et al. 2000; Lahm 2001; Delvingt et al. 2001; Fa &amp; Yuste 2001; Hill et al. 2003; Cowlishaw et al. 2004; Ohl-Schacherer et al. 2007; Godoy et al. 2010)"},"properties":{"noteIndex":0},"schema":"https://github.com/citation-style-language/schema/raw/master/csl-citation.json"}</w:instrText>
      </w:r>
      <w:r>
        <w:rPr>
          <w:lang w:eastAsia="de-AT"/>
        </w:rPr>
        <w:fldChar w:fldCharType="separate"/>
      </w:r>
      <w:r w:rsidR="00496039" w:rsidRPr="00496039">
        <w:rPr>
          <w:noProof/>
          <w:lang w:eastAsia="de-AT"/>
        </w:rPr>
        <w:t>(Fa et al. 1995, 2002; Cullen Jr. et al. 2000; Hart 2000; Hill &amp; Padwe 2000; Lee 2000; Madhusudan &amp; Karanth 2000; Mena et al. 2000; Noss 2000; O’Brien &amp; Kinnaird 2000; Peres 2000b; Townsend 2000; Fa 2000; Fimbel et al. 2000; FitzGibbon et al. 2000; Lahm 2001; Delvingt et al. 2001; Fa &amp; Yuste 2001; Hill et al. 2003; Cowlishaw et al. 2004; Ohl-Schacherer et al. 2007; Godoy et al. 2010)</w:t>
      </w:r>
      <w:r>
        <w:rPr>
          <w:lang w:eastAsia="de-AT"/>
        </w:rPr>
        <w:fldChar w:fldCharType="end"/>
      </w:r>
    </w:p>
    <w:p w14:paraId="6715172D" w14:textId="4D839054" w:rsidR="00AA5190" w:rsidRPr="0070404D" w:rsidRDefault="00AA5190" w:rsidP="00C258BC">
      <w:pPr>
        <w:jc w:val="both"/>
        <w:rPr>
          <w:color w:val="000000" w:themeColor="text1"/>
        </w:rPr>
        <w:sectPr w:rsidR="00AA5190" w:rsidRPr="0070404D" w:rsidSect="00260DF6">
          <w:pgSz w:w="16838" w:h="11906" w:orient="landscape"/>
          <w:pgMar w:top="1440" w:right="1440" w:bottom="1440" w:left="1440" w:header="708" w:footer="708" w:gutter="0"/>
          <w:cols w:space="708"/>
          <w:docGrid w:linePitch="360"/>
        </w:sectPr>
      </w:pPr>
    </w:p>
    <w:p w14:paraId="6D22D947" w14:textId="30C094B1" w:rsidR="00C45FED" w:rsidRPr="0070404D" w:rsidRDefault="00C45FED" w:rsidP="00C258BC">
      <w:pPr>
        <w:jc w:val="both"/>
        <w:rPr>
          <w:color w:val="000000" w:themeColor="text1"/>
        </w:rPr>
      </w:pPr>
    </w:p>
    <w:p w14:paraId="67FA4EA5" w14:textId="1483F764" w:rsidR="005F1487" w:rsidRDefault="005F1487" w:rsidP="00DF57F3">
      <w:pPr>
        <w:pStyle w:val="Heading1"/>
      </w:pPr>
      <w:bookmarkStart w:id="64" w:name="_Toc517693739"/>
      <w:bookmarkStart w:id="65" w:name="_Ref518892969"/>
      <w:bookmarkStart w:id="66" w:name="_Toc519156084"/>
      <w:bookmarkStart w:id="67" w:name="_Toc529390340"/>
      <w:r w:rsidRPr="00785A38">
        <w:t>WILD MEAT CONSUMPTION AND TRADE</w:t>
      </w:r>
      <w:bookmarkEnd w:id="64"/>
      <w:bookmarkEnd w:id="65"/>
      <w:bookmarkEnd w:id="66"/>
      <w:bookmarkEnd w:id="67"/>
    </w:p>
    <w:p w14:paraId="25B67106" w14:textId="3438803C" w:rsidR="00F54F01" w:rsidRPr="00710CCC" w:rsidRDefault="00246677" w:rsidP="00C258BC">
      <w:pPr>
        <w:jc w:val="both"/>
      </w:pPr>
      <w:r>
        <w:rPr>
          <w:lang w:val="en-US"/>
        </w:rPr>
        <w:t>Wild</w:t>
      </w:r>
      <w:r w:rsidR="00F54F01">
        <w:rPr>
          <w:lang w:val="en-US"/>
        </w:rPr>
        <w:t xml:space="preserve"> meat is consume</w:t>
      </w:r>
      <w:r>
        <w:rPr>
          <w:lang w:val="en-US"/>
        </w:rPr>
        <w:t>d and traded across the tropics</w:t>
      </w:r>
      <w:r w:rsidR="00966B69">
        <w:rPr>
          <w:lang w:val="en-US"/>
        </w:rPr>
        <w:t xml:space="preserve"> and sub-tropics</w:t>
      </w:r>
      <w:r>
        <w:rPr>
          <w:lang w:val="en-US"/>
        </w:rPr>
        <w:t>;</w:t>
      </w:r>
      <w:r w:rsidR="00F54F01">
        <w:rPr>
          <w:lang w:val="en-US"/>
        </w:rPr>
        <w:t xml:space="preserve"> however, levels of wild meat consumption and trade vary between geographies and peoples, subject to a variety of drivers, and consumption and trade volumes have changed significantly in the past few decades. Here we summarise the use of wild meat for food and for income, the main characteristics of wild meat commodity chains, and how </w:t>
      </w:r>
      <w:r w:rsidR="00D06067">
        <w:rPr>
          <w:lang w:val="en-US"/>
        </w:rPr>
        <w:t xml:space="preserve">demand for </w:t>
      </w:r>
      <w:r w:rsidR="00F54F01">
        <w:rPr>
          <w:lang w:val="en-US"/>
        </w:rPr>
        <w:t xml:space="preserve">wild meat supply can be viewed through the lens of economic theory. </w:t>
      </w:r>
    </w:p>
    <w:p w14:paraId="08A7F77F" w14:textId="7F71450A" w:rsidR="005F1487" w:rsidRPr="0070404D" w:rsidRDefault="005F1487" w:rsidP="00DF57F3">
      <w:pPr>
        <w:pStyle w:val="Heading2"/>
      </w:pPr>
      <w:bookmarkStart w:id="68" w:name="_Toc517693740"/>
      <w:bookmarkStart w:id="69" w:name="_Toc519156085"/>
      <w:bookmarkStart w:id="70" w:name="_Toc529390341"/>
      <w:r w:rsidRPr="0070404D">
        <w:t>Consumption rates</w:t>
      </w:r>
      <w:bookmarkEnd w:id="68"/>
      <w:bookmarkEnd w:id="69"/>
      <w:bookmarkEnd w:id="70"/>
    </w:p>
    <w:p w14:paraId="35548A49" w14:textId="38C06A46" w:rsidR="003147F8" w:rsidRDefault="00C71A12" w:rsidP="002C0EF9">
      <w:pPr>
        <w:jc w:val="both"/>
        <w:rPr>
          <w:color w:val="000000" w:themeColor="text1"/>
        </w:rPr>
      </w:pPr>
      <w:bookmarkStart w:id="71" w:name="_Toc517693741"/>
      <w:bookmarkStart w:id="72" w:name="_Toc519156086"/>
      <w:r>
        <w:rPr>
          <w:color w:val="000000" w:themeColor="text1"/>
        </w:rPr>
        <w:t xml:space="preserve">Estimates of wild meat consumption rates (in terms of kg/day/person) are </w:t>
      </w:r>
      <w:r w:rsidR="003147F8">
        <w:rPr>
          <w:color w:val="000000" w:themeColor="text1"/>
        </w:rPr>
        <w:t>in short supply</w:t>
      </w:r>
      <w:r>
        <w:rPr>
          <w:color w:val="000000" w:themeColor="text1"/>
        </w:rPr>
        <w:t xml:space="preserve"> for all tropical re</w:t>
      </w:r>
      <w:r w:rsidR="00D96B47">
        <w:rPr>
          <w:color w:val="000000" w:themeColor="text1"/>
        </w:rPr>
        <w:t xml:space="preserve">gions, but especially for Asia </w:t>
      </w:r>
      <w:r w:rsidR="00D96B47">
        <w:rPr>
          <w:color w:val="000000" w:themeColor="text1"/>
        </w:rPr>
        <w:fldChar w:fldCharType="begin" w:fldLock="1"/>
      </w:r>
      <w:r w:rsidR="00B2630D">
        <w:rPr>
          <w:color w:val="000000" w:themeColor="text1"/>
        </w:rPr>
        <w:instrText>ADDIN CSL_CITATION {"citationItems":[{"id":"ITEM-1","itemData":{"author":[{"dropping-particle":"","family":"Bennett","given":"Elizabeth L.","non-dropping-particle":"","parse-names":false,"suffix":""}],"container-title":"Bushmeat and Livelihoods: Wildlife Management and Poverty Reduction","editor":[{"dropping-particle":"","family":"Davies","given":"G","non-dropping-particle":"","parse-names":false,"suffix":""},{"dropping-particle":"","family":"Brown","given":"D.","non-dropping-particle":"","parse-names":false,"suffix":""}],"id":"ITEM-1","issued":{"date-parts":[["2008"]]},"page":"241-249","publisher":"Blackwell","publisher-place":"London, UK.","title":"Hunting, Wildlife Trade and Wildlife Consumption Patterns in Asia","type":"chapter"},"uris":["http://www.mendeley.com/documents/?uuid=2a61ec0e-6e39-413c-996a-d9d0bf3ef386"]}],"mendeley":{"formattedCitation":"(Bennett 2008)","plainTextFormattedCitation":"(Bennett 2008)","previouslyFormattedCitation":"(Bennett 2008)"},"properties":{"noteIndex":0},"schema":"https://github.com/citation-style-language/schema/raw/master/csl-citation.json"}</w:instrText>
      </w:r>
      <w:r w:rsidR="00D96B47">
        <w:rPr>
          <w:color w:val="000000" w:themeColor="text1"/>
        </w:rPr>
        <w:fldChar w:fldCharType="separate"/>
      </w:r>
      <w:r w:rsidR="00D96B47" w:rsidRPr="00D96B47">
        <w:rPr>
          <w:noProof/>
          <w:color w:val="000000" w:themeColor="text1"/>
        </w:rPr>
        <w:t>(Bennett 2008)</w:t>
      </w:r>
      <w:r w:rsidR="00D96B47">
        <w:rPr>
          <w:color w:val="000000" w:themeColor="text1"/>
        </w:rPr>
        <w:fldChar w:fldCharType="end"/>
      </w:r>
      <w:r>
        <w:rPr>
          <w:color w:val="000000" w:themeColor="text1"/>
        </w:rPr>
        <w:t>. Analysing available data from 15 rural sites in the Congo Basin, and 14 sites in the Amazon Basin, Nasi et al</w:t>
      </w:r>
      <w:r w:rsidR="006C7887">
        <w:rPr>
          <w:color w:val="000000" w:themeColor="text1"/>
        </w:rPr>
        <w:t>.</w:t>
      </w:r>
      <w:r>
        <w:rPr>
          <w:color w:val="000000" w:themeColor="text1"/>
        </w:rPr>
        <w:t xml:space="preserve"> </w:t>
      </w:r>
      <w:r w:rsidR="00D96B47">
        <w:rPr>
          <w:color w:val="000000" w:themeColor="text1"/>
        </w:rPr>
        <w:fldChar w:fldCharType="begin" w:fldLock="1"/>
      </w:r>
      <w:r w:rsidR="00D96B47">
        <w:rPr>
          <w:color w:val="000000" w:themeColor="text1"/>
        </w:rPr>
        <w:instrText>ADDIN CSL_CITATION {"citationItems":[{"id":"ITEM-1","itemData":{"author":[{"dropping-particle":"","family":"Nasi","given":"R","non-dropping-particle":"","parse-names":false,"suffix":""},{"dropping-particle":"","family":"Taber","given":"A","non-dropping-particle":"","parse-names":false,"suffix":""},{"dropping-particle":"","family":"Vliet","given":"N","non-dropping-particle":"van","parse-names":false,"suffix":""}],"container-title":"International Forestry Review","id":"ITEM-1","issue":"3","issued":{"date-parts":[["2011"]]},"page":"355-368","title":"Empty forests, empty stomachs? Bushmeat and livelihoods in the Congo and Amazon Basins","type":"article-journal","volume":"13"},"uris":["http://www.mendeley.com/documents/?uuid=975db7a7-3da0-44cf-9a13-3605f762558f"]}],"mendeley":{"formattedCitation":"(Nasi et al. 2011)","manualFormatting":"(2011)","plainTextFormattedCitation":"(Nasi et al. 2011)","previouslyFormattedCitation":"(Nasi et al. 2011)"},"properties":{"noteIndex":0},"schema":"https://github.com/citation-style-language/schema/raw/master/csl-citation.json"}</w:instrText>
      </w:r>
      <w:r w:rsidR="00D96B47">
        <w:rPr>
          <w:color w:val="000000" w:themeColor="text1"/>
        </w:rPr>
        <w:fldChar w:fldCharType="separate"/>
      </w:r>
      <w:r w:rsidR="00D96B47">
        <w:rPr>
          <w:noProof/>
          <w:color w:val="000000" w:themeColor="text1"/>
        </w:rPr>
        <w:t>(</w:t>
      </w:r>
      <w:r w:rsidR="00D96B47" w:rsidRPr="00D96B47">
        <w:rPr>
          <w:noProof/>
          <w:color w:val="000000" w:themeColor="text1"/>
        </w:rPr>
        <w:t>2011)</w:t>
      </w:r>
      <w:r w:rsidR="00D96B47">
        <w:rPr>
          <w:color w:val="000000" w:themeColor="text1"/>
        </w:rPr>
        <w:fldChar w:fldCharType="end"/>
      </w:r>
      <w:r w:rsidR="00197DCD">
        <w:rPr>
          <w:color w:val="000000" w:themeColor="text1"/>
        </w:rPr>
        <w:t xml:space="preserve"> </w:t>
      </w:r>
      <w:r>
        <w:rPr>
          <w:color w:val="000000" w:themeColor="text1"/>
        </w:rPr>
        <w:t xml:space="preserve">estimated that wildmeat consumption rates could be in the region of 139 and 172g of wild meat/person/day respectively. </w:t>
      </w:r>
      <w:r w:rsidRPr="00C71A12">
        <w:rPr>
          <w:color w:val="000000" w:themeColor="text1"/>
        </w:rPr>
        <w:t xml:space="preserve">The recommended </w:t>
      </w:r>
      <w:r>
        <w:rPr>
          <w:color w:val="000000" w:themeColor="text1"/>
        </w:rPr>
        <w:t xml:space="preserve">daily </w:t>
      </w:r>
      <w:r w:rsidRPr="00C71A12">
        <w:rPr>
          <w:color w:val="000000" w:themeColor="text1"/>
        </w:rPr>
        <w:t xml:space="preserve">protein intake for an </w:t>
      </w:r>
      <w:r w:rsidR="00A479D2" w:rsidRPr="00C71A12">
        <w:rPr>
          <w:color w:val="000000" w:themeColor="text1"/>
        </w:rPr>
        <w:t>adult</w:t>
      </w:r>
      <w:r>
        <w:rPr>
          <w:color w:val="000000" w:themeColor="text1"/>
        </w:rPr>
        <w:t xml:space="preserve"> </w:t>
      </w:r>
      <w:r w:rsidRPr="00C71A12">
        <w:rPr>
          <w:color w:val="000000" w:themeColor="text1"/>
        </w:rPr>
        <w:t xml:space="preserve">is 0.75g/kg/day </w:t>
      </w:r>
      <w:r w:rsidR="00B8510F">
        <w:rPr>
          <w:color w:val="000000" w:themeColor="text1"/>
        </w:rPr>
        <w:fldChar w:fldCharType="begin" w:fldLock="1"/>
      </w:r>
      <w:r w:rsidR="00B8510F">
        <w:rPr>
          <w:color w:val="000000" w:themeColor="text1"/>
        </w:rPr>
        <w:instrText>ADDIN CSL_CITATION {"citationItems":[{"id":"ITEM-1","itemData":{"DOI":"ISBN 92 4 120935 6","ISBN":"9789241209359","ISSN":"0512-3054","PMID":"18330140","author":[{"dropping-particle":"","family":"WHO","given":"","non-dropping-particle":"","parse-names":false,"suffix":""},{"dropping-particle":"","family":"FAO","given":"","non-dropping-particle":"","parse-names":false,"suffix":""},{"dropping-particle":"","family":"UNU","given":"","non-dropping-particle":"","parse-names":false,"suffix":""}],"id":"ITEM-1","issued":{"date-parts":[["2002"]]},"publisher-place":"Geneva, Switzerland","title":"Protein and amino acid requirements in human nutrition","type":"report"},"uris":["http://www.mendeley.com/documents/?uuid=889cb522-0444-4796-a3e3-474e034057a3"]}],"mendeley":{"formattedCitation":"(WHO et al. 2002)","plainTextFormattedCitation":"(WHO et al. 2002)","previouslyFormattedCitation":"(WHO et al. 2002)"},"properties":{"noteIndex":0},"schema":"https://github.com/citation-style-language/schema/raw/master/csl-citation.json"}</w:instrText>
      </w:r>
      <w:r w:rsidR="00B8510F">
        <w:rPr>
          <w:color w:val="000000" w:themeColor="text1"/>
        </w:rPr>
        <w:fldChar w:fldCharType="separate"/>
      </w:r>
      <w:r w:rsidR="00B8510F" w:rsidRPr="00B8510F">
        <w:rPr>
          <w:noProof/>
          <w:color w:val="000000" w:themeColor="text1"/>
        </w:rPr>
        <w:t>(WHO et al. 2002)</w:t>
      </w:r>
      <w:r w:rsidR="00B8510F">
        <w:rPr>
          <w:color w:val="000000" w:themeColor="text1"/>
        </w:rPr>
        <w:fldChar w:fldCharType="end"/>
      </w:r>
      <w:r w:rsidRPr="00C71A12">
        <w:rPr>
          <w:color w:val="000000" w:themeColor="text1"/>
        </w:rPr>
        <w:t>, which equates to approximately 46g/day for adult women and 56g/day for adult men.</w:t>
      </w:r>
      <w:r>
        <w:rPr>
          <w:color w:val="000000" w:themeColor="text1"/>
        </w:rPr>
        <w:t xml:space="preserve"> Where the protein composition of wild meat has been measured (generally for rodents and ungulates), it is comprised of approximately 1/4 protein </w:t>
      </w:r>
      <w:r w:rsidR="00B8510F">
        <w:rPr>
          <w:color w:val="000000" w:themeColor="text1"/>
        </w:rPr>
        <w:fldChar w:fldCharType="begin" w:fldLock="1"/>
      </w:r>
      <w:r w:rsidR="00184775">
        <w:rPr>
          <w:color w:val="000000" w:themeColor="text1"/>
        </w:rPr>
        <w:instrText>ADDIN CSL_CITATION {"citationItems":[{"id":"ITEM-1","itemData":{"author":[{"dropping-particle":"","family":"Ntiamoa-Baidu","given":"Y","non-dropping-particle":"","parse-names":false,"suffix":""}],"id":"ITEM-1","issued":{"date-parts":[["1997"]]},"publisher-place":"Food and Agriculture Organization of the United Nations, Rome, Italy","title":"Wildlife and food security in Africa. FAO Conservation Guide 33.","type":"report"},"uris":["http://www.mendeley.com/documents/?uuid=d2366b1b-4470-49cc-b158-637aaa38f4a5"]}],"mendeley":{"formattedCitation":"(Ntiamoa-Baidu 1997)","plainTextFormattedCitation":"(Ntiamoa-Baidu 1997)","previouslyFormattedCitation":"(Ntiamoa-Baidu 1997)"},"properties":{"noteIndex":0},"schema":"https://github.com/citation-style-language/schema/raw/master/csl-citation.json"}</w:instrText>
      </w:r>
      <w:r w:rsidR="00B8510F">
        <w:rPr>
          <w:color w:val="000000" w:themeColor="text1"/>
        </w:rPr>
        <w:fldChar w:fldCharType="separate"/>
      </w:r>
      <w:r w:rsidR="00B8510F" w:rsidRPr="00B8510F">
        <w:rPr>
          <w:noProof/>
          <w:color w:val="000000" w:themeColor="text1"/>
        </w:rPr>
        <w:t>(Ntiamoa-Baidu 1997)</w:t>
      </w:r>
      <w:r w:rsidR="00B8510F">
        <w:rPr>
          <w:color w:val="000000" w:themeColor="text1"/>
        </w:rPr>
        <w:fldChar w:fldCharType="end"/>
      </w:r>
      <w:r>
        <w:rPr>
          <w:color w:val="000000" w:themeColor="text1"/>
        </w:rPr>
        <w:t xml:space="preserve">. The consumption estimates for the Amazon and </w:t>
      </w:r>
      <w:r w:rsidR="00A479D2">
        <w:rPr>
          <w:color w:val="000000" w:themeColor="text1"/>
        </w:rPr>
        <w:t>Congo</w:t>
      </w:r>
      <w:r>
        <w:rPr>
          <w:color w:val="000000" w:themeColor="text1"/>
        </w:rPr>
        <w:t xml:space="preserve"> Basins therefore suggest that wild meat consumption delivers, on average, between 60 - 80% of daily protein needs for the</w:t>
      </w:r>
      <w:r w:rsidR="003147F8">
        <w:rPr>
          <w:color w:val="000000" w:themeColor="text1"/>
        </w:rPr>
        <w:t>se</w:t>
      </w:r>
      <w:r>
        <w:rPr>
          <w:color w:val="000000" w:themeColor="text1"/>
        </w:rPr>
        <w:t xml:space="preserve"> surveyed communities. A</w:t>
      </w:r>
      <w:r w:rsidRPr="0070404D">
        <w:rPr>
          <w:color w:val="000000" w:themeColor="text1"/>
        </w:rPr>
        <w:t xml:space="preserve"> study by Fa et al. (</w:t>
      </w:r>
      <w:r w:rsidR="00726662">
        <w:rPr>
          <w:color w:val="000000" w:themeColor="text1"/>
        </w:rPr>
        <w:fldChar w:fldCharType="begin" w:fldLock="1"/>
      </w:r>
      <w:r w:rsidR="0083633A">
        <w:rPr>
          <w:color w:val="000000" w:themeColor="text1"/>
        </w:rPr>
        <w:instrText>ADDIN CSL_CITATION {"citationItems":[{"id":"ITEM-1","itemData":{"DOI":"10.1017/S0376892903000067","ISBN":"0376-8929","ISSN":"03768929","abstract":"Tropical moist forests in Africa are concentrated in the Congo Basin. A variety of animals in these forests, in particular mammals, are hunted for their meat, termed bushmeat. This paper investigates current and future trends of bushmeat protein, and non-bushmeat protein supply, for inhabitants of the main Congo Basin countries. Since most bushmeat is derived from forest mammals, published extraction (E) and produc- tion (P) estimates of mammal populations were used to calculate the per person protein supplied by these. Current bushmeat protein supply may range from 30g person?1 day?1 in the Democratic Republic of Congo, to 180 g person?1 day?1 in Gabon. Future bushmeat protein supplies were predicted for the next 50 years by employing current E:P ratios, and controlling for known deforestation and population growth rates. At current exploitation rates, bushmeat protein supply would drop 81% in all countries in less than 50 years; only three countries would be able to maintain a protein supply above the recommended daily require- ment of 52g person?1 day?1. However, if bushmeat harvests were reduced to a sustainable level, all coun- tries except Gabon would be dramatically affected by the loss of wild protein supply. The dependence on bushmeat protein is emphasized by the fact that four out of the five countries studied do not produce suffi- cient amounts of non-bushmeat protein to feed their populations. These findings imply that a significant number of forest mammals could become extinct rela- tively soon, and that protein malnutrition is likely to increase dramatically if food security in the region is not promptly resolved. Keywords:","author":[{"dropping-particle":"","family":"Fa","given":"John E.","non-dropping-particle":"","parse-names":false,"suffix":""},{"dropping-particle":"","family":"Currie","given":"Dominic","non-dropping-particle":"","parse-names":false,"suffix":""},{"dropping-particle":"","family":"Meeuwig","given":"Jessica","non-dropping-particle":"","parse-names":false,"suffix":""}],"container-title":"Environmental Conservation","id":"ITEM-1","issue":"1","issued":{"date-parts":[["2003"]]},"page":"71-78","title":"Bushmeat and food security in the Congo Basin: linkages between wildlife and people's future","type":"article-journal","volume":"30"},"uris":["http://www.mendeley.com/documents/?uuid=d2070e00-b28b-45a8-8927-286524eb9b10"]}],"mendeley":{"formattedCitation":"(Fa et al. 2003)","manualFormatting":"2003)","plainTextFormattedCitation":"(Fa et al. 2003)","previouslyFormattedCitation":"(Fa et al. 2003)"},"properties":{"noteIndex":0},"schema":"https://github.com/citation-style-language/schema/raw/master/csl-citation.json"}</w:instrText>
      </w:r>
      <w:r w:rsidR="00726662">
        <w:rPr>
          <w:color w:val="000000" w:themeColor="text1"/>
        </w:rPr>
        <w:fldChar w:fldCharType="separate"/>
      </w:r>
      <w:r w:rsidR="00726662" w:rsidRPr="00726662">
        <w:rPr>
          <w:noProof/>
          <w:color w:val="000000" w:themeColor="text1"/>
        </w:rPr>
        <w:t>2003)</w:t>
      </w:r>
      <w:r w:rsidR="00726662">
        <w:rPr>
          <w:color w:val="000000" w:themeColor="text1"/>
        </w:rPr>
        <w:fldChar w:fldCharType="end"/>
      </w:r>
      <w:r w:rsidRPr="0070404D">
        <w:rPr>
          <w:color w:val="000000" w:themeColor="text1"/>
        </w:rPr>
        <w:t xml:space="preserve"> fifteen years ago calculated that</w:t>
      </w:r>
      <w:r>
        <w:rPr>
          <w:color w:val="000000" w:themeColor="text1"/>
        </w:rPr>
        <w:t xml:space="preserve"> in Central Africa, meat supply from</w:t>
      </w:r>
      <w:r w:rsidRPr="0070404D">
        <w:rPr>
          <w:color w:val="000000" w:themeColor="text1"/>
        </w:rPr>
        <w:t xml:space="preserve"> wild meat </w:t>
      </w:r>
      <w:r>
        <w:rPr>
          <w:color w:val="000000" w:themeColor="text1"/>
        </w:rPr>
        <w:t xml:space="preserve">hunting </w:t>
      </w:r>
      <w:r w:rsidRPr="0070404D">
        <w:rPr>
          <w:color w:val="000000" w:themeColor="text1"/>
        </w:rPr>
        <w:t>might be higher (</w:t>
      </w:r>
      <w:r>
        <w:rPr>
          <w:color w:val="000000" w:themeColor="text1"/>
        </w:rPr>
        <w:t xml:space="preserve">at </w:t>
      </w:r>
      <w:r w:rsidRPr="0070404D">
        <w:rPr>
          <w:color w:val="000000" w:themeColor="text1"/>
        </w:rPr>
        <w:t xml:space="preserve">48g/person/day) than the non-wild meat supply </w:t>
      </w:r>
      <w:r>
        <w:rPr>
          <w:color w:val="000000" w:themeColor="text1"/>
        </w:rPr>
        <w:t xml:space="preserve">locally generated or imported </w:t>
      </w:r>
      <w:r w:rsidRPr="0070404D">
        <w:rPr>
          <w:color w:val="000000" w:themeColor="text1"/>
        </w:rPr>
        <w:t>(34g/person/day)</w:t>
      </w:r>
      <w:r>
        <w:rPr>
          <w:color w:val="000000" w:themeColor="text1"/>
        </w:rPr>
        <w:t>.</w:t>
      </w:r>
    </w:p>
    <w:p w14:paraId="1960B24D" w14:textId="77777777" w:rsidR="003147F8" w:rsidRDefault="00C71A12" w:rsidP="002C0EF9">
      <w:pPr>
        <w:jc w:val="both"/>
        <w:rPr>
          <w:color w:val="000000" w:themeColor="text1"/>
        </w:rPr>
      </w:pPr>
      <w:r>
        <w:rPr>
          <w:color w:val="000000" w:themeColor="text1"/>
        </w:rPr>
        <w:t>V</w:t>
      </w:r>
      <w:r w:rsidR="00DA4708" w:rsidRPr="00C71A12">
        <w:rPr>
          <w:color w:val="000000" w:themeColor="text1"/>
        </w:rPr>
        <w:t>ariation</w:t>
      </w:r>
      <w:r>
        <w:rPr>
          <w:color w:val="000000" w:themeColor="text1"/>
        </w:rPr>
        <w:t xml:space="preserve"> in wild meat consumption</w:t>
      </w:r>
      <w:r w:rsidR="00DA4708" w:rsidRPr="00C71A12">
        <w:rPr>
          <w:color w:val="000000" w:themeColor="text1"/>
        </w:rPr>
        <w:t xml:space="preserve"> is generally explained by a) the productivity and depletion levels of the landscape; b) the price and availability</w:t>
      </w:r>
      <w:r w:rsidR="00DA4708" w:rsidRPr="005512D2">
        <w:rPr>
          <w:color w:val="000000" w:themeColor="text1"/>
        </w:rPr>
        <w:t xml:space="preserve"> of alternatives; c) the wealth of the consumer and d) consumer preference for wild meat.</w:t>
      </w:r>
    </w:p>
    <w:p w14:paraId="66423054" w14:textId="0A1A4E44" w:rsidR="00DA4708" w:rsidRDefault="00DA4708" w:rsidP="00517ECC">
      <w:pPr>
        <w:jc w:val="both"/>
        <w:rPr>
          <w:color w:val="000000" w:themeColor="text1"/>
        </w:rPr>
      </w:pPr>
      <w:r w:rsidRPr="0070404D">
        <w:rPr>
          <w:color w:val="000000" w:themeColor="text1"/>
        </w:rPr>
        <w:t xml:space="preserve">Proximity to alternative wild protein resources (e.g. coastal or river fish resources) gives rise to regional variations in rural wild meat consumption rates </w:t>
      </w:r>
      <w:r w:rsidR="00726662">
        <w:rPr>
          <w:color w:val="000000" w:themeColor="text1"/>
        </w:rPr>
        <w:fldChar w:fldCharType="begin" w:fldLock="1"/>
      </w:r>
      <w:r w:rsidR="00AB268B">
        <w:rPr>
          <w:color w:val="000000" w:themeColor="text1"/>
        </w:rPr>
        <w:instrText>ADDIN CSL_CITATION {"citationItems":[{"id":"ITEM-1","itemData":{"DOI":"10.1073/pnas.1011526108","ISBN":"0027-8424","ISSN":"0027-8424","PMID":"21873180","abstract":"The harvest of wildlife for human consumption is valued at several billion dollars annually and provides an essential source of meat for hundreds of millions of rural people living in poverty. This harvest is also considered among the greatest threats to biodiversity throughout Africa, Asia, and Latin America. Economic development is often proposed as an essential first step to win-win solutions for poverty alleviation and biodiversity conservation by breaking rural reliance on wildlife. However, increases in wealth may accelerate consumption and extend the scale and efficiency of wildlife harvest. Our ability to assess the likelihood of these two contrasting outcomes and to design approaches that simultaneously consider poverty and biodiversity loss is impeded by a weak understanding of the direction and shape of their interaction. Here, we present results of economic and wildlife use surveys conducted in 2,000 households from 96 settlements in Ghana, Cameroon, Tanzania, and Madagascar. We examine the individual and interactive roles of wealth, relative food prices, market access, and opportunity costs of time spent hunting on household rates of wildlife consumption. Despite great differences in biogeographic, social, and economic aspects of our study sites, we found a consistent relationship between wealth and wildlife consumption. Wealthier households consume more bushmeat in settlements nearer urban areas, but the opposite pattern is observed in more isolated settlements. Wildlife hunting and consumption increase when alternative livelihoods collapse, but this safety net is an option only for those people living near harvestable wildlife.","author":[{"dropping-particle":"","family":"Brashares","given":"J. S.","non-dropping-particle":"","parse-names":false,"suffix":""},{"dropping-particle":"","family":"Golden","given":"C. D.","non-dropping-particle":"","parse-names":false,"suffix":""},{"dropping-particle":"","family":"Weinbaum","given":"K. Z.","non-dropping-particle":"","parse-names":false,"suffix":""},{"dropping-particle":"","family":"Barrett","given":"C. B.","non-dropping-particle":"","parse-names":false,"suffix":""},{"dropping-particle":"V.","family":"Okello","given":"G.","non-dropping-particle":"","parse-names":false,"suffix":""}],"container-title":"Proceedings of the National Academy of Sciences","id":"ITEM-1","issue":"34","issued":{"date-parts":[["2011"]]},"page":"13931-13936","title":"Economic and geographic drivers of wildlife consumption in rural Africa","type":"article-journal","volume":"108"},"uris":["http://www.mendeley.com/documents/?uuid=13ad7382-e303-3540-b09e-d11794ebd691"]}],"mendeley":{"formattedCitation":"(Brashares et al. 2011)","plainTextFormattedCitation":"(Brashares et al. 2011)","previouslyFormattedCitation":"(Brashares et al. 2011)"},"properties":{"noteIndex":0},"schema":"https://github.com/citation-style-language/schema/raw/master/csl-citation.json"}</w:instrText>
      </w:r>
      <w:r w:rsidR="00726662">
        <w:rPr>
          <w:color w:val="000000" w:themeColor="text1"/>
        </w:rPr>
        <w:fldChar w:fldCharType="separate"/>
      </w:r>
      <w:r w:rsidR="00726662" w:rsidRPr="007D42A4">
        <w:rPr>
          <w:noProof/>
          <w:color w:val="000000" w:themeColor="text1"/>
        </w:rPr>
        <w:t>(Brashares et al. 2011)</w:t>
      </w:r>
      <w:r w:rsidR="00726662">
        <w:rPr>
          <w:color w:val="000000" w:themeColor="text1"/>
        </w:rPr>
        <w:fldChar w:fldCharType="end"/>
      </w:r>
      <w:r w:rsidRPr="0070404D">
        <w:rPr>
          <w:color w:val="000000" w:themeColor="text1"/>
        </w:rPr>
        <w:t xml:space="preserve">. For example, along the Atlantic coast of Africa, the Yassa people eat sea fish and cassava, while for Kola pygmies in climax forest further inland, the main source of meat comes from wild animals </w:t>
      </w:r>
      <w:r w:rsidR="0083633A">
        <w:rPr>
          <w:color w:val="000000" w:themeColor="text1"/>
        </w:rPr>
        <w:fldChar w:fldCharType="begin" w:fldLock="1"/>
      </w:r>
      <w:r w:rsidR="00184775">
        <w:rPr>
          <w:color w:val="000000" w:themeColor="text1"/>
        </w:rPr>
        <w:instrText>ADDIN CSL_CITATION {"citationItems":[{"id":"ITEM-1","itemData":{"author":[{"dropping-particle":"","family":"Koppert","given":"Georgius J A","non-dropping-particle":"","parse-names":false,"suffix":""},{"dropping-particle":"","family":"Dounias","given":"Edmond","non-dropping-particle":"","parse-names":false,"suffix":""},{"dropping-particle":"","family":"Froment","given":"Alain","non-dropping-particle":"","parse-names":false,"suffix":""},{"dropping-particle":"","family":"Pasquet","given":"Patrick","non-dropping-particle":"","parse-names":false,"suffix":""}],"chapter-number":"24","container-title":"Tropical Forests, People and Food. Biocultural Interactions and Applications to Development. Man and the Biosphere Series, 13","editor":[{"dropping-particle":"","family":"Hladik","given":"C.M.","non-dropping-particle":"","parse-names":false,"suffix":""},{"dropping-particle":"","family":"Hladik","given":"A.","non-dropping-particle":"","parse-names":false,"suffix":""},{"dropping-particle":"","family":"Linares","given":"O.F","non-dropping-particle":"","parse-names":false,"suffix":""},{"dropping-particle":"","family":"Pagezy","given":"H.","non-dropping-particle":"","parse-names":false,"suffix":""},{"dropping-particle":"","family":"Semple","given":"A","non-dropping-particle":"","parse-names":false,"suffix":""},{"dropping-particle":"","family":"Hadley","given":"M","non-dropping-particle":"","parse-names":false,"suffix":""}],"id":"ITEM-1","issued":{"date-parts":[["1993"]]},"page":"295-310","publisher":"UNESCO et Carnforth: The Parthenon Publishing Group","publisher-place":"Paris, Franch","title":"Food consumption in three forest populations of the southern coastal area of Cameroon: Yassa - Mvae -Bakola","type":"chapter"},"uris":["http://www.mendeley.com/documents/?uuid=7a151b77-2029-4a3f-91a4-07f200968418"]}],"mendeley":{"formattedCitation":"(Koppert et al. 1993)","plainTextFormattedCitation":"(Koppert et al. 1993)","previouslyFormattedCitation":"(Koppert et al. 1993)"},"properties":{"noteIndex":0},"schema":"https://github.com/citation-style-language/schema/raw/master/csl-citation.json"}</w:instrText>
      </w:r>
      <w:r w:rsidR="0083633A">
        <w:rPr>
          <w:color w:val="000000" w:themeColor="text1"/>
        </w:rPr>
        <w:fldChar w:fldCharType="separate"/>
      </w:r>
      <w:r w:rsidR="0083633A" w:rsidRPr="007D42A4">
        <w:rPr>
          <w:noProof/>
          <w:color w:val="000000" w:themeColor="text1"/>
        </w:rPr>
        <w:t>(Koppert et al. 1993)</w:t>
      </w:r>
      <w:r w:rsidR="0083633A">
        <w:rPr>
          <w:color w:val="000000" w:themeColor="text1"/>
        </w:rPr>
        <w:fldChar w:fldCharType="end"/>
      </w:r>
      <w:r w:rsidRPr="0070404D">
        <w:rPr>
          <w:color w:val="000000" w:themeColor="text1"/>
        </w:rPr>
        <w:t xml:space="preserve">. </w:t>
      </w:r>
      <w:r w:rsidR="00C71A12" w:rsidRPr="00C71A12">
        <w:rPr>
          <w:color w:val="000000" w:themeColor="text1"/>
        </w:rPr>
        <w:t>The rates of wild meat consumption</w:t>
      </w:r>
      <w:r w:rsidR="00C71A12">
        <w:t xml:space="preserve"> in rural areas are</w:t>
      </w:r>
      <w:r w:rsidR="00C71A12" w:rsidRPr="0070404D">
        <w:rPr>
          <w:color w:val="000000" w:themeColor="text1"/>
        </w:rPr>
        <w:t xml:space="preserve"> </w:t>
      </w:r>
      <w:r w:rsidR="00C71A12">
        <w:rPr>
          <w:color w:val="000000" w:themeColor="text1"/>
        </w:rPr>
        <w:t xml:space="preserve">also </w:t>
      </w:r>
      <w:r w:rsidR="00C71A12" w:rsidRPr="0070404D">
        <w:rPr>
          <w:color w:val="000000" w:themeColor="text1"/>
        </w:rPr>
        <w:t>generally higher than urban consumption rates</w:t>
      </w:r>
      <w:r w:rsidR="00C71A12">
        <w:rPr>
          <w:color w:val="000000" w:themeColor="text1"/>
        </w:rPr>
        <w:t>. This is because</w:t>
      </w:r>
      <w:r w:rsidR="00C71A12" w:rsidRPr="0070404D">
        <w:rPr>
          <w:color w:val="000000" w:themeColor="text1"/>
        </w:rPr>
        <w:t xml:space="preserve"> wild meat is often much more affordable and available than dome</w:t>
      </w:r>
      <w:r w:rsidR="00BF7DDE">
        <w:rPr>
          <w:color w:val="000000" w:themeColor="text1"/>
        </w:rPr>
        <w:t>stic meats in rural areas (see S</w:t>
      </w:r>
      <w:r w:rsidR="00C71A12" w:rsidRPr="0070404D">
        <w:rPr>
          <w:color w:val="000000" w:themeColor="text1"/>
        </w:rPr>
        <w:t xml:space="preserve">ection </w:t>
      </w:r>
      <w:r w:rsidR="00C71A12" w:rsidRPr="004904D8">
        <w:rPr>
          <w:color w:val="000000" w:themeColor="text1"/>
        </w:rPr>
        <w:fldChar w:fldCharType="begin"/>
      </w:r>
      <w:r w:rsidR="00C71A12" w:rsidRPr="0070404D">
        <w:rPr>
          <w:color w:val="000000" w:themeColor="text1"/>
        </w:rPr>
        <w:instrText xml:space="preserve"> REF _Ref518923707 \r \h </w:instrText>
      </w:r>
      <w:r w:rsidR="00517ECC">
        <w:rPr>
          <w:color w:val="000000" w:themeColor="text1"/>
        </w:rPr>
        <w:instrText xml:space="preserve"> \* MERGEFORMAT </w:instrText>
      </w:r>
      <w:r w:rsidR="00C71A12" w:rsidRPr="004904D8">
        <w:rPr>
          <w:color w:val="000000" w:themeColor="text1"/>
        </w:rPr>
      </w:r>
      <w:r w:rsidR="00C71A12" w:rsidRPr="004904D8">
        <w:rPr>
          <w:color w:val="000000" w:themeColor="text1"/>
        </w:rPr>
        <w:fldChar w:fldCharType="separate"/>
      </w:r>
      <w:r w:rsidR="007034F1">
        <w:rPr>
          <w:color w:val="000000" w:themeColor="text1"/>
        </w:rPr>
        <w:t>3.4</w:t>
      </w:r>
      <w:r w:rsidR="00C71A12" w:rsidRPr="004904D8">
        <w:rPr>
          <w:color w:val="000000" w:themeColor="text1"/>
        </w:rPr>
        <w:fldChar w:fldCharType="end"/>
      </w:r>
      <w:r w:rsidR="00C71A12" w:rsidRPr="0070404D">
        <w:rPr>
          <w:color w:val="000000" w:themeColor="text1"/>
        </w:rPr>
        <w:t xml:space="preserve"> for further detail)</w:t>
      </w:r>
      <w:r w:rsidR="00C71A12" w:rsidRPr="004904D8">
        <w:rPr>
          <w:color w:val="000000" w:themeColor="text1"/>
        </w:rPr>
        <w:t xml:space="preserve">. </w:t>
      </w:r>
      <w:r w:rsidRPr="005512D2">
        <w:rPr>
          <w:color w:val="000000" w:themeColor="text1"/>
        </w:rPr>
        <w:t xml:space="preserve">In the Congo Basin, although per-capita urban consumption is an order of magnitude lower than rural </w:t>
      </w:r>
      <w:r w:rsidRPr="0064175F">
        <w:rPr>
          <w:color w:val="000000" w:themeColor="text1"/>
        </w:rPr>
        <w:t>consumption</w:t>
      </w:r>
      <w:r>
        <w:rPr>
          <w:color w:val="000000" w:themeColor="text1"/>
        </w:rPr>
        <w:t>,</w:t>
      </w:r>
      <w:r w:rsidRPr="0064175F">
        <w:rPr>
          <w:color w:val="000000" w:themeColor="text1"/>
        </w:rPr>
        <w:t xml:space="preserve"> </w:t>
      </w:r>
      <w:r w:rsidRPr="005512D2">
        <w:rPr>
          <w:color w:val="000000" w:themeColor="text1"/>
        </w:rPr>
        <w:t xml:space="preserve">rapid urbanisation means that aggregate urban consumption is </w:t>
      </w:r>
      <w:r>
        <w:rPr>
          <w:color w:val="000000" w:themeColor="text1"/>
        </w:rPr>
        <w:t>often equal or higher</w:t>
      </w:r>
      <w:r w:rsidRPr="00D916D9">
        <w:rPr>
          <w:color w:val="000000" w:themeColor="text1"/>
        </w:rPr>
        <w:t xml:space="preserve">, due to the size of </w:t>
      </w:r>
      <w:r w:rsidRPr="00C51889">
        <w:rPr>
          <w:color w:val="000000" w:themeColor="text1"/>
        </w:rPr>
        <w:t xml:space="preserve">the urban population in the region </w:t>
      </w:r>
      <w:r w:rsidR="0083633A" w:rsidRPr="00C51889">
        <w:rPr>
          <w:color w:val="000000" w:themeColor="text1"/>
        </w:rPr>
        <w:fldChar w:fldCharType="begin" w:fldLock="1"/>
      </w:r>
      <w:r w:rsidR="00763BF5" w:rsidRPr="00C51889">
        <w:rPr>
          <w:color w:val="000000" w:themeColor="text1"/>
        </w:rPr>
        <w:instrText>ADDIN CSL_CITATION {"citationItems":[{"id":"ITEM-1","itemData":{"DOI":"10.1111/j.1523-1739.2005.00372.x","ISBN":"0888-8892","ISSN":"08888892","abstract":"Unsustainable hunting of wildlife for food is often a more immediate and significant threat to the conservation of biological diversity in tropical forests than deforestation. Why people eat wildlife is debated. Some may eat bushmeat because they can afford it; othersmay eat it because it is familiar, traditional, confers prestige, tastes good, or adds variety. We completed a survey of 1208 rural and urban households in Gabon, Africa, in 2002–2003 to estimate the effect of wealth and prices on the consumption of wildlife and other sources of animal protein. Consumption of bushmeat, fish, chicken, and livestock increased with increasing household wealth, and as the price of these commodities rose, consumption declined. Although the prices of substitutes for bushmeat did not significantly, in statistical terms, influence bushmeat consumption, as the price of wildlife increased and its consumption fell, the consumption of fish rose, indicating that fish and bushmeat were dietary substitutes. Our results suggest that policy makers can use economic levers such as taxation or supply reduction through better law enforcement to change demand for wildlife. These measures will help to regulate unsustainable exploitation and reduce the risk of irreversible loss of large-bodied and slow-reproducing wildlife species. If policy makers focus solely on reducing the unsustainable consumption of wildlife, they may see adverse impacts on the exploitation of fish. Furthermore, policy makers must ensure that raising household wealth through development assistance does not result in undesirable impacts on the conservation status of wildlife and fish.","author":[{"dropping-particle":"","family":"Wilkie","given":"David S.","non-dropping-particle":"","parse-names":false,"suffix":""},{"dropping-particle":"","family":"Starkey","given":"Malcolm","non-dropping-particle":"","parse-names":false,"suffix":""},{"dropping-particle":"","family":"Abernethy","given":"Kate","non-dropping-particle":"","parse-names":false,"suffix":""},{"dropping-particle":"","family":"Effa","given":"Ernestine Nstame","non-dropping-particle":"","parse-names":false,"suffix":""},{"dropping-particle":"","family":"Telfer","given":"Paul","non-dropping-particle":"","parse-names":false,"suffix":""},{"dropping-particle":"","family":"Godoy","given":"Ricardo","non-dropping-particle":"","parse-names":false,"suffix":""}],"container-title":"Conservation Biology","id":"ITEM-1","issue":"1","issued":{"date-parts":[["2005"]]},"page":"268-274","title":"Role of prices and wealth in consumer demand for bushmeat in Gabon, Central Africa","type":"article-journal","volume":"19"},"uris":["http://www.mendeley.com/documents/?uuid=f47a699c-8e33-4ebf-812d-391d540a3466"]},{"id":"ITEM-2","itemData":{"author":[{"dropping-particle":"","family":"Nasi","given":"R","non-dropping-particle":"","parse-names":false,"suffix":""},{"dropping-particle":"","family":"Taber","given":"A","non-dropping-particle":"","parse-names":false,"suffix":""},{"dropping-particle":"","family":"Vliet","given":"N","non-dropping-particle":"van","parse-names":false,"suffix":""}],"container-title":"International Forestry Review","id":"ITEM-2","issue":"3","issued":{"date-parts":[["2011"]]},"page":"355-368","title":"Empty forests, empty stomachs? Bushmeat and livelihoods in the Congo and Amazon Basins","type":"article-journal","volume":"13"},"uris":["http://www.mendeley.com/documents/?uuid=975db7a7-3da0-44cf-9a13-3605f762558f"]}],"mendeley":{"formattedCitation":"(Wilkie et al. 2005; Nasi et al. 2011)","plainTextFormattedCitation":"(Wilkie et al. 2005; Nasi et al. 2011)","previouslyFormattedCitation":"(Wilkie et al. 2005; Nasi et al. 2011)"},"properties":{"noteIndex":0},"schema":"https://github.com/citation-style-language/schema/raw/master/csl-citation.json"}</w:instrText>
      </w:r>
      <w:r w:rsidR="0083633A" w:rsidRPr="00C51889">
        <w:rPr>
          <w:color w:val="000000" w:themeColor="text1"/>
        </w:rPr>
        <w:fldChar w:fldCharType="separate"/>
      </w:r>
      <w:r w:rsidR="00A11C8C" w:rsidRPr="00C51889">
        <w:rPr>
          <w:noProof/>
          <w:color w:val="000000" w:themeColor="text1"/>
        </w:rPr>
        <w:t>(Wilkie et al. 2005; Nasi et al. 2011)</w:t>
      </w:r>
      <w:r w:rsidR="0083633A" w:rsidRPr="00C51889">
        <w:rPr>
          <w:color w:val="000000" w:themeColor="text1"/>
        </w:rPr>
        <w:fldChar w:fldCharType="end"/>
      </w:r>
      <w:r w:rsidRPr="00C51889">
        <w:rPr>
          <w:color w:val="000000" w:themeColor="text1"/>
        </w:rPr>
        <w:t>. For example, in Gabon,</w:t>
      </w:r>
      <w:r w:rsidR="00C51889" w:rsidRPr="00C51889">
        <w:rPr>
          <w:color w:val="000000" w:themeColor="text1"/>
        </w:rPr>
        <w:t xml:space="preserve"> </w:t>
      </w:r>
      <w:r w:rsidR="00C51889" w:rsidRPr="00C51889">
        <w:rPr>
          <w:noProof/>
          <w:color w:val="000000" w:themeColor="text1"/>
        </w:rPr>
        <w:t>Starkey</w:t>
      </w:r>
      <w:r w:rsidRPr="00C51889">
        <w:rPr>
          <w:color w:val="000000" w:themeColor="text1"/>
        </w:rPr>
        <w:t xml:space="preserve"> </w:t>
      </w:r>
      <w:r w:rsidR="00C51889" w:rsidRPr="00C51889">
        <w:rPr>
          <w:color w:val="000000" w:themeColor="text1"/>
        </w:rPr>
        <w:fldChar w:fldCharType="begin" w:fldLock="1"/>
      </w:r>
      <w:r w:rsidR="00C51889">
        <w:rPr>
          <w:color w:val="000000" w:themeColor="text1"/>
        </w:rPr>
        <w:instrText>ADDIN CSL_CITATION {"citationItems":[{"id":"ITEM-1","itemData":{"abstract":"In this thesis I examine the role that the hunting, sale and consumption of bushmeat – wildlife hunted for food – plays in people’s livelihoods in Central Africa. This issue is central to current debates about how conservation and development can be reconciled in tropical forests, itself part of a wide debate about sustainable development. Three questions lie at the core of this debate: 1) Is urban consumption of bushmeat a key driver of exploitation of wildlife? 2) Why do contemporary Africans consume bushmeat? 3) How important is the consumption and sale of bushmeat for rural communities? I address these using quantitative and qualitative data collected in Gabon between October 2000 and September 2002. Using data from quantitative market and consumption surveys I show that in Gabon aggregate consumption of bushmeat is evenly divided between rural and urban areas. Urban consumption is concentrated in smaller towns in the interior of the country rather than in the large capital city. Most bushmeat consumed in urban areas does not pass through formal markets but more protected species are sold in formal markets. In rural areas of Gabon, people consume bushmeat because it is by far the cheapest available animal protein. Bushmeat is widely regarded as a desirable ‘organic’ meat that is preferable to lowquality imported frozen meat. It is therefore consumed even in urban areas where it is expensive compared to alternatives. However, bushmeat consumption is price sensitive and people consume less as it becomes more expensive. Using seven villages as a case study, I show that bushmeat is important to both household consumption and household income but is more important to income. It is also more important in poorer, more remote villages than in wealthier villages with easy market access. At any given site, from bushmeat is highly skewed; households that have both the male labour and financial capital to pursue both hunting and trapping simultaneously obtain most of the benefits from bushmeat. This thesis contributes to the wider debate about the role of forest resources in contribution to both development and conservation by illustrating the necessity for such debates to be based on empirical data collected at multiple scales of analysis.","author":[{"dropping-particle":"","family":"Starkey","given":"Malcolm","non-dropping-particle":"","parse-names":false,"suffix":""}],"id":"ITEM-1","issued":{"date-parts":[["2004"]]},"number-of-pages":"305","publisher":"PhD Thesis, University of Cambridge, UK","title":"Commerce and subsistence: the hunting, sale and consumption of bushmeat in Gabon","type":"book"},"uris":["http://www.mendeley.com/documents/?uuid=50e0e0eb-b3af-46eb-9916-3f5c20e90a00"]}],"mendeley":{"formattedCitation":"(Starkey 2004)","manualFormatting":"(2004)","plainTextFormattedCitation":"(Starkey 2004)","previouslyFormattedCitation":"(Starkey 2004)"},"properties":{"noteIndex":0},"schema":"https://github.com/citation-style-language/schema/raw/master/csl-citation.json"}</w:instrText>
      </w:r>
      <w:r w:rsidR="00C51889" w:rsidRPr="00C51889">
        <w:rPr>
          <w:color w:val="000000" w:themeColor="text1"/>
        </w:rPr>
        <w:fldChar w:fldCharType="separate"/>
      </w:r>
      <w:r w:rsidR="00C51889" w:rsidRPr="00C51889">
        <w:rPr>
          <w:noProof/>
          <w:color w:val="000000" w:themeColor="text1"/>
        </w:rPr>
        <w:t>(</w:t>
      </w:r>
      <w:r w:rsidR="00C51889">
        <w:rPr>
          <w:noProof/>
          <w:color w:val="000000" w:themeColor="text1"/>
        </w:rPr>
        <w:t>2004</w:t>
      </w:r>
      <w:r w:rsidR="00C51889" w:rsidRPr="00C51889">
        <w:rPr>
          <w:noProof/>
          <w:color w:val="000000" w:themeColor="text1"/>
        </w:rPr>
        <w:t>)</w:t>
      </w:r>
      <w:r w:rsidR="00C51889" w:rsidRPr="00C51889">
        <w:rPr>
          <w:color w:val="000000" w:themeColor="text1"/>
        </w:rPr>
        <w:fldChar w:fldCharType="end"/>
      </w:r>
      <w:r w:rsidR="00C51889" w:rsidRPr="00C51889">
        <w:rPr>
          <w:color w:val="000000" w:themeColor="text1"/>
        </w:rPr>
        <w:t xml:space="preserve">, </w:t>
      </w:r>
      <w:r w:rsidRPr="00C51889">
        <w:rPr>
          <w:color w:val="000000" w:themeColor="text1"/>
        </w:rPr>
        <w:t>calculated</w:t>
      </w:r>
      <w:r w:rsidRPr="00D916D9">
        <w:rPr>
          <w:color w:val="000000" w:themeColor="text1"/>
        </w:rPr>
        <w:t xml:space="preserve"> that consumption of wild meat in the capital, Libreville, </w:t>
      </w:r>
      <w:r>
        <w:rPr>
          <w:color w:val="000000" w:themeColor="text1"/>
        </w:rPr>
        <w:t>was</w:t>
      </w:r>
      <w:r w:rsidRPr="00D916D9">
        <w:rPr>
          <w:color w:val="000000" w:themeColor="text1"/>
        </w:rPr>
        <w:t xml:space="preserve"> as low as 0.02 kg</w:t>
      </w:r>
      <w:r w:rsidRPr="00517ECC">
        <w:rPr>
          <w:color w:val="000000" w:themeColor="text1"/>
          <w:shd w:val="clear" w:color="auto" w:fill="FFFFFF" w:themeFill="background1"/>
        </w:rPr>
        <w:t>/</w:t>
      </w:r>
      <w:r w:rsidR="006C7887">
        <w:rPr>
          <w:color w:val="000000" w:themeColor="text1"/>
          <w:shd w:val="clear" w:color="auto" w:fill="FFFFFF" w:themeFill="background1"/>
        </w:rPr>
        <w:t>Adult Male Equivalent (</w:t>
      </w:r>
      <w:r w:rsidR="00517ECC">
        <w:rPr>
          <w:color w:val="000000" w:themeColor="text1"/>
          <w:shd w:val="clear" w:color="auto" w:fill="FFFFFF" w:themeFill="background1"/>
        </w:rPr>
        <w:t>AME</w:t>
      </w:r>
      <w:r w:rsidR="006C7887">
        <w:rPr>
          <w:color w:val="000000" w:themeColor="text1"/>
          <w:shd w:val="clear" w:color="auto" w:fill="FFFFFF" w:themeFill="background1"/>
        </w:rPr>
        <w:t>)</w:t>
      </w:r>
      <w:r w:rsidRPr="00517ECC">
        <w:rPr>
          <w:color w:val="000000" w:themeColor="text1"/>
          <w:shd w:val="clear" w:color="auto" w:fill="FFFFFF" w:themeFill="background1"/>
        </w:rPr>
        <w:t>/day</w:t>
      </w:r>
      <w:r w:rsidRPr="00D916D9">
        <w:rPr>
          <w:color w:val="000000" w:themeColor="text1"/>
        </w:rPr>
        <w:t>, rising to 0.12 kg/AME/day</w:t>
      </w:r>
      <w:r>
        <w:rPr>
          <w:color w:val="000000" w:themeColor="text1"/>
        </w:rPr>
        <w:t xml:space="preserve"> in </w:t>
      </w:r>
      <w:r w:rsidRPr="00D916D9">
        <w:rPr>
          <w:color w:val="000000" w:themeColor="text1"/>
        </w:rPr>
        <w:t>market towns, and 0.26 kg/</w:t>
      </w:r>
      <w:r>
        <w:rPr>
          <w:color w:val="000000" w:themeColor="text1"/>
        </w:rPr>
        <w:t xml:space="preserve">AME/day in villages. Due to the distribution of the Gabonese population this equates to 49% of all wild meat being eaten in urban areas, and 51% in rural villages.  </w:t>
      </w:r>
    </w:p>
    <w:p w14:paraId="79552EC3" w14:textId="38CCD991" w:rsidR="00C71A12" w:rsidRPr="005512D2" w:rsidRDefault="00DA4708" w:rsidP="002C0EF9">
      <w:pPr>
        <w:jc w:val="both"/>
        <w:rPr>
          <w:color w:val="000000" w:themeColor="text1"/>
          <w:lang w:eastAsia="es-ES"/>
        </w:rPr>
      </w:pPr>
      <w:r w:rsidRPr="005512D2">
        <w:rPr>
          <w:color w:val="000000" w:themeColor="text1"/>
        </w:rPr>
        <w:t xml:space="preserve">In the Amazon, urban wild meat consumption was considered insignificant for many years </w:t>
      </w:r>
      <w:r w:rsidR="0083633A">
        <w:rPr>
          <w:color w:val="000000" w:themeColor="text1"/>
        </w:rPr>
        <w:fldChar w:fldCharType="begin" w:fldLock="1"/>
      </w:r>
      <w:r w:rsidR="0083633A">
        <w:rPr>
          <w:color w:val="000000" w:themeColor="text1"/>
        </w:rPr>
        <w:instrText>ADDIN CSL_CITATION {"citationItems":[{"id":"ITEM-1","itemData":{"ISBN":"1742 - 6022","abstract":"Between 5 to 8 million people in South America rely regularly on bushmeat as a source of protein in their diets. This represents only 1.4 to 2.2% of the total continental population, but these people are likely to be some of the poorest in the region. In terms of its contributions to the overall supply of meat in the region, bushmeat would appear to have very little importance. The future importance of bushmeat will depend on two factors: the economic growth of the South American economies and the ability of the livestock and fishery sectors to supply affordable protein. If both of these factors are positive over the next time period, it is suggested that bushmeat will further reduce in importance both in terms of the number of people who consume such meat and the total quantity of meat consumed. Improvement in people’s livelihoods in the Amazon region might well reduce bushmeat consumption and hence hunting pressures. However, the limitations in the data available on consumption patterns and changing preferences over time suggest a need for caution on the likely future scenarios.","author":[{"dropping-particle":"","family":"Rushton","given":"Jonathan","non-dropping-particle":"","parse-names":false,"suffix":""},{"dropping-particle":"","family":"Viscarra","given":"Rommy","non-dropping-particle":"","parse-names":false,"suffix":""},{"dropping-particle":"","family":"Viscarra","given":"Cecilia","non-dropping-particle":"","parse-names":false,"suffix":""},{"dropping-particle":"","family":"Basset","given":"Frederick","non-dropping-particle":"","parse-names":false,"suffix":""},{"dropping-particle":"","family":"Baptista","given":"Rene","non-dropping-particle":"","parse-names":false,"suffix":""},{"dropping-particle":"","family":"Brown","given":"David","non-dropping-particle":"","parse-names":false,"suffix":""}],"container-title":"Odi Wildlife Policy Briefing","id":"ITEM-1","issued":{"date-parts":[["2005"]]},"number-of-pages":"4","title":"How important is bushmeat consumption in South America: now and in the future?","type":"report"},"uris":["http://www.mendeley.com/documents/?uuid=eb49e35f-8fec-4a39-a0f5-3afc926cd878"]}],"mendeley":{"formattedCitation":"(Rushton et al. 2005)","plainTextFormattedCitation":"(Rushton et al. 2005)","previouslyFormattedCitation":"(Rushton et al. 2005)"},"properties":{"noteIndex":0},"schema":"https://github.com/citation-style-language/schema/raw/master/csl-citation.json"}</w:instrText>
      </w:r>
      <w:r w:rsidR="0083633A">
        <w:rPr>
          <w:color w:val="000000" w:themeColor="text1"/>
        </w:rPr>
        <w:fldChar w:fldCharType="separate"/>
      </w:r>
      <w:r w:rsidR="0083633A" w:rsidRPr="00A720DB">
        <w:rPr>
          <w:noProof/>
          <w:color w:val="000000" w:themeColor="text1"/>
        </w:rPr>
        <w:t>(Rushton et al. 2005)</w:t>
      </w:r>
      <w:r w:rsidR="0083633A">
        <w:rPr>
          <w:color w:val="000000" w:themeColor="text1"/>
        </w:rPr>
        <w:fldChar w:fldCharType="end"/>
      </w:r>
      <w:r>
        <w:rPr>
          <w:color w:val="000000" w:themeColor="text1"/>
        </w:rPr>
        <w:t xml:space="preserve">. However, </w:t>
      </w:r>
      <w:r w:rsidRPr="005512D2">
        <w:rPr>
          <w:color w:val="000000" w:themeColor="text1"/>
        </w:rPr>
        <w:t xml:space="preserve">recent studies </w:t>
      </w:r>
      <w:r w:rsidRPr="00785A38">
        <w:rPr>
          <w:color w:val="000000" w:themeColor="text1"/>
          <w:lang w:eastAsia="es-ES"/>
        </w:rPr>
        <w:t xml:space="preserve">demonstrate that urban consumption of wildlife is widespread in Amazonia’s towns </w:t>
      </w:r>
      <w:r w:rsidR="0083633A">
        <w:rPr>
          <w:color w:val="000000" w:themeColor="text1"/>
          <w:lang w:eastAsia="es-ES"/>
        </w:rPr>
        <w:fldChar w:fldCharType="begin" w:fldLock="1"/>
      </w:r>
      <w:r w:rsidR="0083633A">
        <w:rPr>
          <w:color w:val="000000" w:themeColor="text1"/>
          <w:lang w:eastAsia="es-ES"/>
        </w:rPr>
        <w:instrText>ADDIN CSL_CITATION {"citationItems":[{"id":"ITEM-1","itemData":{"DOI":"10.1111/conl.12151","ISBN":"1755-263X","ISSN":"1755263X","abstract":"Urbanization of forested wilderness could threaten biodiversity if expanding cities drive demand for wildlife as food. We examined the scale and drivers of urban wildlife consumption in the forested prefrontier of Brazilian Amazonia, defined as municipalities (n = 73) with over 90% of their original forest cover still intact. A representative survey of two prefrontier cities indicated that virtually all urban households consume wildlife, including fish (99%), bushmeat (mammals and birds; 79%), chelonians (48%) and caimans (28%)—alarming evidence of an underreported wild-meat crisis in the heart of Amazonia. We also report rapid growth of cities and inadequate resources to deter illegal consumption in this urbanized wilderness covering 1.86 million km2. We evaluate relevant policy levers and conclude that poverty-alleviation programs may accelerate a long-term transition from consumption of wildlife as an economical source of protein for the poor to luxury food for the wealthy. We argue that innovative environmental governance could limit wildlife consumption to only harvest-tolerant species. Researchers and policy-makers should engage with policies and ideas that promote poverty alleviation and supply poor citydwellers with affordable alternatives to eating wildlife.","author":[{"dropping-particle":"","family":"Parry","given":"Luke","non-dropping-particle":"","parse-names":false,"suffix":""},{"dropping-particle":"","family":"Barlow","given":"Jos","non-dropping-particle":"","parse-names":false,"suffix":""},{"dropping-particle":"","family":"Pereira","given":"Heloisa","non-dropping-particle":"","parse-names":false,"suffix":""}],"container-title":"Conservation Letters","id":"ITEM-1","issue":"6","issued":{"date-parts":[["2014"]]},"page":"565-574","title":"Wildlife harvest and consumption in Amazonia's urbanized wilderness","type":"article-journal","volume":"7"},"uris":["http://www.mendeley.com/documents/?uuid=7bbfad8d-9fa0-4d25-9412-8229fba9016b"]},{"id":"ITEM-2","itemData":{"DOI":"10.15451/ec2014-11-3.7-1-11","ISSN":"22384782","abstract":"ABSTRACT The Importance of bushmeat trade in Amazonian towns has been very little studied, either because it is thought to be insignificant or due to the context of illegality. Based on preliminary field work to identify the main stakeholders involved and the existing trade routes, our study aimed at describing the invisible bushmeat trade using a participatory monitoring protocol in Leticia and Puerto Nariño in Colombia, Tabatinga, Benjamin Constant and Atalaia do Norte in Brazil, and Santa Rosa and Caballococha in Peru. The monitoring system included two key levels of the market chain: hunters and market traders. With the support of our research team, the hunters and traders self monitored their activities during 60 days and 20 days respectively during two hydro-climatic periods. Our study shows that the most hunted species are paca, tericaya turtle and currassows while the most commercialized species are paca, tapir, collared peccary and the red brocket deer. We registered a total of 13 tons of bushmeat captured by hunters (from 29 species) and 6.7 tons of bushmeat sold by market sellers (from 19 species). We extrapolated this data to a year and to the total numbers of stakeholders involved in the trade and found that 473 tons of bushmeat are traded per year in market places from the main Tri frontier towns, which taken to the total urban population size of the area, equals to 3.2 kg/hab/year, a number that is comparable to those found in Central African urban settings","author":[{"dropping-particle":"","family":"Vliet","given":"Nathalie","non-dropping-particle":"Van","parse-names":false,"suffix":""},{"dropping-particle":"","family":"Quiceno-mesa","given":"Maria Paula","non-dropping-particle":"","parse-names":false,"suffix":""},{"dropping-particle":"","family":"Cruz-antia","given":"Daniel","non-dropping-particle":"","parse-names":false,"suffix":""},{"dropping-particle":"","family":"Jonhson","given":"Lindon","non-dropping-particle":"","parse-names":false,"suffix":""},{"dropping-particle":"De","family":"Aquino","given":"Neves","non-dropping-particle":"","parse-names":false,"suffix":""},{"dropping-particle":"","family":"Moreno","given":"Jessica","non-dropping-particle":"","parse-names":false,"suffix":""},{"dropping-particle":"","family":"Nasi","given":"Robert","non-dropping-particle":"","parse-names":false,"suffix":""}],"container-title":"Ethnobiology and Conservation","id":"ITEM-2","issue":"7","issued":{"date-parts":[["2014"]]},"page":"1-11","title":"The uncovered volumes of bushmeat commercialized in the Amazonian trifrontier between Colombia, Peru &amp; Brazil","type":"article-journal","volume":"3"},"uris":["http://www.mendeley.com/documents/?uuid=3290a443-71df-4dc3-ad77-fb560824e60d"]}],"mendeley":{"formattedCitation":"(Parry et al. 2014; Van Vliet et al. 2014)","plainTextFormattedCitation":"(Parry et al. 2014; Van Vliet et al. 2014)","previouslyFormattedCitation":"(Parry et al. 2014; Van Vliet et al. 2014)"},"properties":{"noteIndex":0},"schema":"https://github.com/citation-style-language/schema/raw/master/csl-citation.json"}</w:instrText>
      </w:r>
      <w:r w:rsidR="0083633A">
        <w:rPr>
          <w:color w:val="000000" w:themeColor="text1"/>
          <w:lang w:eastAsia="es-ES"/>
        </w:rPr>
        <w:fldChar w:fldCharType="separate"/>
      </w:r>
      <w:r w:rsidR="0083633A" w:rsidRPr="00F0548C">
        <w:rPr>
          <w:noProof/>
          <w:color w:val="000000" w:themeColor="text1"/>
          <w:lang w:eastAsia="es-ES"/>
        </w:rPr>
        <w:t>(Parry et al. 2014; Van Vliet et al. 2014)</w:t>
      </w:r>
      <w:r w:rsidR="0083633A">
        <w:rPr>
          <w:color w:val="000000" w:themeColor="text1"/>
          <w:lang w:eastAsia="es-ES"/>
        </w:rPr>
        <w:fldChar w:fldCharType="end"/>
      </w:r>
      <w:r w:rsidRPr="00AF1BAE">
        <w:rPr>
          <w:color w:val="000000" w:themeColor="text1"/>
          <w:lang w:eastAsia="es-ES"/>
        </w:rPr>
        <w:t xml:space="preserve"> </w:t>
      </w:r>
      <w:r>
        <w:rPr>
          <w:color w:val="000000" w:themeColor="text1"/>
          <w:lang w:eastAsia="es-ES"/>
        </w:rPr>
        <w:t xml:space="preserve">as well as on the Pacific coast of Colombia </w:t>
      </w:r>
      <w:r w:rsidR="0083633A">
        <w:rPr>
          <w:color w:val="000000" w:themeColor="text1"/>
          <w:lang w:eastAsia="es-ES"/>
        </w:rPr>
        <w:fldChar w:fldCharType="begin" w:fldLock="1"/>
      </w:r>
      <w:r w:rsidR="0083633A">
        <w:rPr>
          <w:color w:val="000000" w:themeColor="text1"/>
          <w:lang w:eastAsia="es-ES"/>
        </w:rPr>
        <w:instrText>ADDIN CSL_CITATION {"citationItems":[{"id":"ITEM-1","itemData":{"DOI":"10.15451/ec2018","author":[{"dropping-particle":"","family":"Vliet","given":"Nathalie","non-dropping-particle":"Van","parse-names":false,"suffix":""},{"dropping-particle":"","family":"Schulte-Herbruggen","given":"Björn","non-dropping-particle":"","parse-names":false,"suffix":""},{"dropping-particle":"","family":"Vanegas","given":"Liliana","non-dropping-particle":"","parse-names":false,"suffix":""},{"dropping-particle":"","family":"Yair-Cuesta","given":"Eric","non-dropping-particle":"","parse-names":false,"suffix":""},{"dropping-particle":"","family":"Sandrin","given":"Francois","non-dropping-particle":"","parse-names":false,"suffix":""},{"dropping-particle":"","family":"Nasi","given":"Robert","non-dropping-particle":"","parse-names":false,"suffix":""}],"container-title":"Ethnobiology and Conservation","id":"ITEM-1","issue":"2","issued":{"date-parts":[["2018"]]},"page":"1-15","title":"Wild animals (fish and wildmeat) contribute to dietary diversity among food insecure urban teenagers the case of Quibdó, Colombia","type":"article-journal","volume":"7"},"uris":["http://www.mendeley.com/documents/?uuid=71e2bbf4-9637-4afa-8d29-2cd96c34dc49"]}],"mendeley":{"formattedCitation":"(Van Vliet et al. 2018b)","plainTextFormattedCitation":"(Van Vliet et al. 2018b)","previouslyFormattedCitation":"(Van Vliet et al. 2018b)"},"properties":{"noteIndex":0},"schema":"https://github.com/citation-style-language/schema/raw/master/csl-citation.json"}</w:instrText>
      </w:r>
      <w:r w:rsidR="0083633A">
        <w:rPr>
          <w:color w:val="000000" w:themeColor="text1"/>
          <w:lang w:eastAsia="es-ES"/>
        </w:rPr>
        <w:fldChar w:fldCharType="separate"/>
      </w:r>
      <w:r w:rsidR="0083633A" w:rsidRPr="0083633A">
        <w:rPr>
          <w:noProof/>
          <w:color w:val="000000" w:themeColor="text1"/>
          <w:lang w:eastAsia="es-ES"/>
        </w:rPr>
        <w:t>(Van Vliet et al. 2018b)</w:t>
      </w:r>
      <w:r w:rsidR="0083633A">
        <w:rPr>
          <w:color w:val="000000" w:themeColor="text1"/>
          <w:lang w:eastAsia="es-ES"/>
        </w:rPr>
        <w:fldChar w:fldCharType="end"/>
      </w:r>
      <w:r>
        <w:rPr>
          <w:color w:val="000000" w:themeColor="text1"/>
          <w:lang w:eastAsia="es-ES"/>
        </w:rPr>
        <w:t xml:space="preserve"> and the Caribbean </w:t>
      </w:r>
      <w:r w:rsidR="0083633A">
        <w:rPr>
          <w:color w:val="000000" w:themeColor="text1"/>
          <w:lang w:eastAsia="es-ES"/>
        </w:rPr>
        <w:fldChar w:fldCharType="begin" w:fldLock="1"/>
      </w:r>
      <w:r w:rsidR="0083633A">
        <w:rPr>
          <w:color w:val="000000" w:themeColor="text1"/>
          <w:lang w:eastAsia="es-ES"/>
        </w:rPr>
        <w:instrText>ADDIN CSL_CITATION {"citationItems":[{"id":"ITEM-1","itemData":{"DOI":"10.2527/af.2014-0030","ISSN":"2160-6056","author":[{"dropping-particle":"","family":"Saadoun","given":"A","non-dropping-particle":"","parse-names":false,"suffix":""},{"dropping-particle":"","family":"Cabrera","given":"M. C.","non-dropping-particle":"","parse-names":false,"suffix":""},{"dropping-particle":"","family":"Terevinto","given":"A.","non-dropping-particle":"","parse-names":false,"suffix":""},{"dropping-particle":"","family":"Puerto","given":"M.","non-dropping-particle":"del","parse-names":false,"suffix":""}],"container-title":"Animal Frontiers","id":"ITEM-1","issue":"4","issued":{"date-parts":[["2014"]]},"page":"25-32","title":"Why not a piece of meat of rhea, nutria, yacare, or vicugna for dinner?","type":"article-journal","volume":"4"},"uris":["http://www.mendeley.com/documents/?uuid=04217762-ae46-44a8-8f66-27515084d67f"]},{"id":"ITEM-2","itemData":{"DOI":"10.1017/S003060531400060X","ISBN":"1365-3008","ISSN":"13653008","abstract":"Millions of people throughout the tropics consume wild meat. Overhunting reduces food security for people and large predators, yet little is known of the impact of hunting in systems where people and predators target the same prey species. We collate published data on predator diet in Belize with interview data about the consumption of wild and domestic meat by Belizeans, to compare the wild-meat diets of humans, jaguars Panthera onca and pumas Puma concolor and assess the sustainability of the combined offtake by humans and jaguars. Six wild mammal species (nine-banded armadillo Dasypus novemcinctus , paca Cuniculus paca , collared peccary Pecari tajacu , white-lipped peccary Tayassu pecari , red brocket deer Mazama americana and white-tailed deer Odocoileus virginianus ) comprised 7% of the animal-protein meals eaten by Belizeans. Overall, 80% of these meals were eaten by 20% of interviewees, suggesting a necessary role of wild meat for the minority. The same species were found in 69 and 86% of jaguar and puma scats, respectively. We estimate a national annual harvest of c. 4,000 tonnes of these six wild mammals by humans and jaguars, of which 78% is hunted by people. Sustainability is difficult to evaluate because prey population data are lacking in Belize. However, simple models suggest that a sustainable harvest at this rate would require higher prey population densities than averages recorded in hunted Neotropical forests. We emphasize the need for robust regional estimates of game species densities, to improve assessments of sustainability and inform hunting regulations. We recommend that the requirements of predators as well as those of people be considered when assessing wild meat harvests.","author":[{"dropping-particle":"","family":"Foster","given":"R. J.","non-dropping-particle":"","parse-names":false,"suffix":""},{"dropping-particle":"","family":"Harmsen","given":"B. J.","non-dropping-particle":"","parse-names":false,"suffix":""},{"dropping-particle":"","family":"Macdonald","given":"D. W.","non-dropping-particle":"","parse-names":false,"suffix":""},{"dropping-particle":"","family":"Collins","given":"J.","non-dropping-particle":"","parse-names":false,"suffix":""},{"dropping-particle":"","family":"Urbina","given":"Y.","non-dropping-particle":"","parse-names":false,"suffix":""},{"dropping-particle":"","family":"Garcia","given":"R.","non-dropping-particle":"","parse-names":false,"suffix":""},{"dropping-particle":"","family":"Doncaster","given":"C. P.","non-dropping-particle":"","parse-names":false,"suffix":""}],"container-title":"Oryx","id":"ITEM-2","issue":"1","issued":{"date-parts":[["2016"]]},"page":"63-75","title":"Wild meat: a shared resource amongst people and predators","type":"article-journal","volume":"50"},"uris":["http://www.mendeley.com/documents/?uuid=616b7846-54b3-4dec-a6a7-2c4083e6f8e4"]}],"mendeley":{"formattedCitation":"(Saadoun et al. 2014; Foster et al. 2016)","plainTextFormattedCitation":"(Saadoun et al. 2014; Foster et al. 2016)","previouslyFormattedCitation":"(Saadoun et al. 2014; Foster et al. 2016)"},"properties":{"noteIndex":0},"schema":"https://github.com/citation-style-language/schema/raw/master/csl-citation.json"}</w:instrText>
      </w:r>
      <w:r w:rsidR="0083633A">
        <w:rPr>
          <w:color w:val="000000" w:themeColor="text1"/>
          <w:lang w:eastAsia="es-ES"/>
        </w:rPr>
        <w:fldChar w:fldCharType="separate"/>
      </w:r>
      <w:r w:rsidR="0083633A" w:rsidRPr="00A720DB">
        <w:rPr>
          <w:noProof/>
          <w:color w:val="000000" w:themeColor="text1"/>
          <w:lang w:eastAsia="es-ES"/>
        </w:rPr>
        <w:t xml:space="preserve">(Saadoun et al. 2014; </w:t>
      </w:r>
      <w:r w:rsidR="0083633A" w:rsidRPr="00A720DB">
        <w:rPr>
          <w:noProof/>
          <w:color w:val="000000" w:themeColor="text1"/>
          <w:lang w:eastAsia="es-ES"/>
        </w:rPr>
        <w:lastRenderedPageBreak/>
        <w:t>Foster et al. 2016)</w:t>
      </w:r>
      <w:r w:rsidR="0083633A">
        <w:rPr>
          <w:color w:val="000000" w:themeColor="text1"/>
          <w:lang w:eastAsia="es-ES"/>
        </w:rPr>
        <w:fldChar w:fldCharType="end"/>
      </w:r>
      <w:r w:rsidRPr="00785A38">
        <w:rPr>
          <w:color w:val="000000" w:themeColor="text1"/>
          <w:lang w:eastAsia="es-ES"/>
        </w:rPr>
        <w:t xml:space="preserve">. </w:t>
      </w:r>
      <w:r w:rsidRPr="005512D2">
        <w:rPr>
          <w:color w:val="000000" w:themeColor="text1"/>
        </w:rPr>
        <w:t>T</w:t>
      </w:r>
      <w:r w:rsidRPr="0064175F">
        <w:rPr>
          <w:color w:val="000000" w:themeColor="text1"/>
        </w:rPr>
        <w:t xml:space="preserve">here are </w:t>
      </w:r>
      <w:r w:rsidRPr="005512D2">
        <w:rPr>
          <w:color w:val="000000" w:themeColor="text1"/>
        </w:rPr>
        <w:t xml:space="preserve">now a number of large well-known urban markets where wild animals are sold for human consumption, such as the Belen market in Peru, which supplies wild meat to Iquitos, the largest city in the Peruvian rainforest </w:t>
      </w:r>
      <w:r w:rsidR="0083633A">
        <w:rPr>
          <w:color w:val="000000" w:themeColor="text1"/>
        </w:rPr>
        <w:fldChar w:fldCharType="begin" w:fldLock="1"/>
      </w:r>
      <w:r w:rsidR="000A2503">
        <w:rPr>
          <w:color w:val="000000" w:themeColor="text1"/>
        </w:rPr>
        <w:instrText>ADDIN CSL_CITATION {"citationItems":[{"id":"ITEM-1","itemData":{"ISBN":"1742 - 6022","abstract":"Between 5 to 8 million people in South America rely regularly on bushmeat as a source of protein in their diets. This represents only 1.4 to 2.2% of the total continental population, but these people are likely to be some of the poorest in the region. In terms of its contributions to the overall supply of meat in the region, bushmeat would appear to have very little importance. The future importance of bushmeat will depend on two factors: the economic growth of the South American economies and the ability of the livestock and fishery sectors to supply affordable protein. If both of these factors are positive over the next time period, it is suggested that bushmeat will further reduce in importance both in terms of the number of people who consume such meat and the total quantity of meat consumed. Improvement in people’s livelihoods in the Amazon region might well reduce bushmeat consumption and hence hunting pressures. However, the limitations in the data available on consumption patterns and changing preferences over time suggest a need for caution on the likely future scenarios.","author":[{"dropping-particle":"","family":"Rushton","given":"Jonathan","non-dropping-particle":"","parse-names":false,"suffix":""},{"dropping-particle":"","family":"Viscarra","given":"Rommy","non-dropping-particle":"","parse-names":false,"suffix":""},{"dropping-particle":"","family":"Viscarra","given":"Cecilia","non-dropping-particle":"","parse-names":false,"suffix":""},{"dropping-particle":"","family":"Basset","given":"Frederick","non-dropping-particle":"","parse-names":false,"suffix":""},{"dropping-particle":"","family":"Baptista","given":"Rene","non-dropping-particle":"","parse-names":false,"suffix":""},{"dropping-particle":"","family":"Brown","given":"David","non-dropping-particle":"","parse-names":false,"suffix":""}],"container-title":"Odi Wildlife Policy Briefing","id":"ITEM-1","issued":{"date-parts":[["2005"]]},"number-of-pages":"4","title":"How important is bushmeat consumption in South America: now and in the future?","type":"report"},"uris":["http://www.mendeley.com/documents/?uuid=eb49e35f-8fec-4a39-a0f5-3afc926cd878"]}],"mendeley":{"formattedCitation":"(Rushton et al. 2005)","plainTextFormattedCitation":"(Rushton et al. 2005)","previouslyFormattedCitation":"(Rushton et al. 2005)"},"properties":{"noteIndex":0},"schema":"https://github.com/citation-style-language/schema/raw/master/csl-citation.json"}</w:instrText>
      </w:r>
      <w:r w:rsidR="0083633A">
        <w:rPr>
          <w:color w:val="000000" w:themeColor="text1"/>
        </w:rPr>
        <w:fldChar w:fldCharType="separate"/>
      </w:r>
      <w:r w:rsidR="0083633A" w:rsidRPr="0083633A">
        <w:rPr>
          <w:noProof/>
          <w:color w:val="000000" w:themeColor="text1"/>
        </w:rPr>
        <w:t>(Rushton et al. 2005)</w:t>
      </w:r>
      <w:r w:rsidR="0083633A">
        <w:rPr>
          <w:color w:val="000000" w:themeColor="text1"/>
        </w:rPr>
        <w:fldChar w:fldCharType="end"/>
      </w:r>
      <w:r w:rsidRPr="005512D2">
        <w:rPr>
          <w:color w:val="000000" w:themeColor="text1"/>
        </w:rPr>
        <w:t xml:space="preserve">, where large volumes of wild meat are sold regularly </w:t>
      </w:r>
      <w:r w:rsidR="0083633A">
        <w:rPr>
          <w:color w:val="000000" w:themeColor="text1"/>
        </w:rPr>
        <w:fldChar w:fldCharType="begin" w:fldLock="1"/>
      </w:r>
      <w:r w:rsidR="0083633A">
        <w:rPr>
          <w:color w:val="000000" w:themeColor="text1"/>
        </w:rPr>
        <w:instrText>ADDIN CSL_CITATION {"citationItems":[{"id":"ITEM-1","itemData":{"DOI":"10.1046/j.1523","ISBN":"0888-8892","ISSN":"08888892","abstract":"Tropical conservation has seen a convergence between conservation projects and rural develop- ment, with both approaches promoting participation of local people in sustainable resource use. But there is a discord between rural development and sustainable use of wildlife. Implementing more sustainable use of wildlife usually means decreased economic benefits for rural people, especially over the short term. In con- trast, rural-development projects are often mandated to generate income for rural people over the short term. We examined this dilemma through an integrated economic and harvest analysis of the costs associated with converting unsustainable hunting to more sustainable hunting in the Peruvian Amazon. Our analysis sug- gests that a change in hunting practice would hae significant economic costs for rural people and would re- sult in a 36% decrease in the economic benefits they derive from wildlife hunting. In contrast, converting un- sustainable hunting to more sustainable hunting would have little effect on meat markets in the urban center of Iquitos, Peru, with markets losing only 3.6% of their economic value. There would be no economic costs for the international pelt trade. If rural-development projects absorb the short-term economic costs, they can help people convert unsustainable wildlife use to more sustainable use and assist rural people in realiz- ing the long-term benefits of more sustainable hunting. But many rural-development projects would need to change their mandate for short-term income generation to incorporate the realities of sustainability.","author":[{"dropping-particle":"","family":"Bodmer","given":"Richard","non-dropping-particle":"","parse-names":false,"suffix":""},{"dropping-particle":"","family":"Lozano","given":"Etersit Pezo","non-dropping-particle":"","parse-names":false,"suffix":""}],"container-title":"Conservation Biology","id":"ITEM-1","issue":"4","issued":{"date-parts":[["2001"]]},"page":"1163-1170","title":"Rural development and sustainable wildlife use in Peru","type":"article-journal","volume":"15"},"uris":["http://www.mendeley.com/documents/?uuid=d4dbca3c-1761-420b-a281-f42a01070444"]},{"id":"ITEM-2","itemData":{"author":[{"dropping-particle":"","family":"Claggett","given":"P R","non-dropping-particle":"","parse-names":false,"suffix":""}],"id":"ITEM-2","issued":{"date-parts":[["1998"]]},"number-of-pages":"29","publisher-place":"Chicago, Illinois, USA","title":"The spatial extent and composition of wildlife harvests among three villages in the Peruvian Amazon. Prepared for delivery at the 1998 meeting of the Latin American Studies Association","type":"report"},"uris":["http://www.mendeley.com/documents/?uuid=ac9a27e8-9682-4b84-a696-b6e82035f24c"]}],"mendeley":{"formattedCitation":"(Claggett 1998; Bodmer &amp; Lozano 2001)","plainTextFormattedCitation":"(Claggett 1998; Bodmer &amp; Lozano 2001)","previouslyFormattedCitation":"(Claggett 1998; Bodmer &amp; Lozano 2001)"},"properties":{"noteIndex":0},"schema":"https://github.com/citation-style-language/schema/raw/master/csl-citation.json"}</w:instrText>
      </w:r>
      <w:r w:rsidR="0083633A">
        <w:rPr>
          <w:color w:val="000000" w:themeColor="text1"/>
        </w:rPr>
        <w:fldChar w:fldCharType="separate"/>
      </w:r>
      <w:r w:rsidR="0083633A" w:rsidRPr="007972DE">
        <w:rPr>
          <w:noProof/>
          <w:color w:val="000000" w:themeColor="text1"/>
        </w:rPr>
        <w:t>(Claggett 1998; Bodmer &amp; Lozano 2001)</w:t>
      </w:r>
      <w:r w:rsidR="0083633A">
        <w:rPr>
          <w:color w:val="000000" w:themeColor="text1"/>
        </w:rPr>
        <w:fldChar w:fldCharType="end"/>
      </w:r>
      <w:r w:rsidRPr="005512D2">
        <w:rPr>
          <w:color w:val="000000" w:themeColor="text1"/>
        </w:rPr>
        <w:t xml:space="preserve">. Other significant urban wild meat markets in the Amazon region include the towns of Pompeya, Ecuador </w:t>
      </w:r>
      <w:r w:rsidR="0083633A">
        <w:rPr>
          <w:color w:val="000000" w:themeColor="text1"/>
        </w:rPr>
        <w:fldChar w:fldCharType="begin" w:fldLock="1"/>
      </w:r>
      <w:r w:rsidR="0083633A">
        <w:rPr>
          <w:color w:val="000000" w:themeColor="text1"/>
        </w:rPr>
        <w:instrText>ADDIN CSL_CITATION {"citationItems":[{"id":"ITEM-1","itemData":{"author":[{"dropping-particle":"","family":"WCS","given":"","non-dropping-particle":"","parse-names":false,"suffix":""}],"id":"ITEM-1","issued":{"date-parts":[["2007"]]},"publisher-place":"WCS, Quito, Ecuador","title":"El tráfico de carne silvestre en el Parque Nacional Yasuní: caracterización de un mercado creciente en la Amazonía norte del Ecuador. Programa Ecuador Boletín No. 2.","type":"report"},"uris":["http://www.mendeley.com/documents/?uuid=2dea86f9-bd69-4ed7-a9d3-99f35a9b20fb"]}],"mendeley":{"formattedCitation":"(WCS 2007)","plainTextFormattedCitation":"(WCS 2007)","previouslyFormattedCitation":"(WCS 2007)"},"properties":{"noteIndex":0},"schema":"https://github.com/citation-style-language/schema/raw/master/csl-citation.json"}</w:instrText>
      </w:r>
      <w:r w:rsidR="0083633A">
        <w:rPr>
          <w:color w:val="000000" w:themeColor="text1"/>
        </w:rPr>
        <w:fldChar w:fldCharType="separate"/>
      </w:r>
      <w:r w:rsidR="0083633A" w:rsidRPr="00721B71">
        <w:rPr>
          <w:noProof/>
          <w:color w:val="000000" w:themeColor="text1"/>
        </w:rPr>
        <w:t>(WCS 2007)</w:t>
      </w:r>
      <w:r w:rsidR="0083633A">
        <w:rPr>
          <w:color w:val="000000" w:themeColor="text1"/>
        </w:rPr>
        <w:fldChar w:fldCharType="end"/>
      </w:r>
      <w:r w:rsidR="0083633A">
        <w:rPr>
          <w:color w:val="000000" w:themeColor="text1"/>
        </w:rPr>
        <w:t xml:space="preserve"> </w:t>
      </w:r>
      <w:r w:rsidRPr="005512D2">
        <w:rPr>
          <w:color w:val="000000" w:themeColor="text1"/>
        </w:rPr>
        <w:t xml:space="preserve">and Abaetetuba in Pará, Brazil, </w:t>
      </w:r>
      <w:r w:rsidR="0083633A">
        <w:rPr>
          <w:color w:val="000000" w:themeColor="text1"/>
        </w:rPr>
        <w:fldChar w:fldCharType="begin" w:fldLock="1"/>
      </w:r>
      <w:r w:rsidR="0083633A">
        <w:rPr>
          <w:color w:val="000000" w:themeColor="text1"/>
        </w:rPr>
        <w:instrText>ADDIN CSL_CITATION {"citationItems":[{"id":"ITEM-1","itemData":{"DOI":"10.15517/rbt.v58i2.5264","ISBN":"0034-7744","ISSN":"00347744","PMID":"20737856","abstract":"In tropical forests, wild game meat represents an option or the only protein source for some human populations. This study analyzed the wildlife meat trade destined to human consumption in an open market of the Amazon rainforest, Brazil. Wildlife meat trade was monitored during 2005 through interviews to vendors and consumers in order to evaluate the socioeconomic profile of the sellers, the main species and byproducts sold, their geographical origin, commercial value, frequency of sale and product demand. Data indicated that vendors were financially highly dependant of this activity, getting a monthly income up to US$271.49. During the survey, the amount of wildlife meat on sale added a total of 5 970kg, as follows: 63.2% capybara (Hydrochoerus hydrochaeris), 34.4% cayman (Melanosuchus niger and/or Caiman crocodilus crocodilus), 1.1% paca (Cuniculus paca); 0.6% armadillo (Dasypus novemcinctus), 0.5% deer (Mazama americana), 0.2% matamata (Chelus fimbriatus), and 0.1% opossum (Didelphis marsupialis). Most of the commercialized species were not slaughtered locally. The consumption of wildlife meat was admitted by 94% of the interviewed, consisting of 27 ethno-species: 19 mammals, 6 reptiles, and 2 birds. The same percentage of the interviewed (94%) already bought wildlife meat of 18 species: 12 mammals and 6 reptiles. The great amount of wildlife meat traded and the important demand for these products by the local population, point out the necessity to adopt policies for a sustainable management of cinegetic species, guaranteeing the conservation of the environment, the improvement of living standards, and the maintenance of the local culture.","author":[{"dropping-particle":"","family":"Baía Júnior","given":"Pedro Chaves","non-dropping-particle":"","parse-names":false,"suffix":""},{"dropping-particle":"","family":"Guimarães","given":"Diva Anelie","non-dropping-particle":"","parse-names":false,"suffix":""},{"dropping-particle":"","family":"Pendu","given":"Yvonnick","non-dropping-particle":"Le","parse-names":false,"suffix":""}],"container-title":"Revista de Biologia Tropical","id":"ITEM-1","issue":"3","issued":{"date-parts":[["2010"]]},"page":"1079-1088","title":"Non-legalized commerce in game meat in the Brazilian Amazon: a case study","type":"article-journal","volume":"58"},"uris":["http://www.mendeley.com/documents/?uuid=8a2ef980-96e5-46af-a737-6f733ee87317"]}],"mendeley":{"formattedCitation":"(Baía Júnior et al. 2010)","plainTextFormattedCitation":"(Baía Júnior et al. 2010)","previouslyFormattedCitation":"(Baía Júnior et al. 2010)"},"properties":{"noteIndex":0},"schema":"https://github.com/citation-style-language/schema/raw/master/csl-citation.json"}</w:instrText>
      </w:r>
      <w:r w:rsidR="0083633A">
        <w:rPr>
          <w:color w:val="000000" w:themeColor="text1"/>
        </w:rPr>
        <w:fldChar w:fldCharType="separate"/>
      </w:r>
      <w:r w:rsidR="0083633A" w:rsidRPr="006A6FDA">
        <w:rPr>
          <w:noProof/>
          <w:color w:val="000000" w:themeColor="text1"/>
        </w:rPr>
        <w:t>(Baía Júnior et al. 2010)</w:t>
      </w:r>
      <w:r w:rsidR="0083633A">
        <w:rPr>
          <w:color w:val="000000" w:themeColor="text1"/>
        </w:rPr>
        <w:fldChar w:fldCharType="end"/>
      </w:r>
      <w:r w:rsidR="0083633A">
        <w:rPr>
          <w:color w:val="000000" w:themeColor="text1"/>
        </w:rPr>
        <w:t xml:space="preserve"> </w:t>
      </w:r>
      <w:r w:rsidRPr="005512D2">
        <w:rPr>
          <w:color w:val="000000" w:themeColor="text1"/>
        </w:rPr>
        <w:t>and i</w:t>
      </w:r>
      <w:r w:rsidRPr="00785A38">
        <w:rPr>
          <w:color w:val="000000" w:themeColor="text1"/>
          <w:lang w:eastAsia="es-ES"/>
        </w:rPr>
        <w:t xml:space="preserve">n the Amazon trifrontier, </w:t>
      </w:r>
      <w:r w:rsidR="00FC2FE3">
        <w:rPr>
          <w:color w:val="000000" w:themeColor="text1"/>
          <w:lang w:eastAsia="es-ES"/>
        </w:rPr>
        <w:t xml:space="preserve">in </w:t>
      </w:r>
      <w:r w:rsidRPr="00785A38">
        <w:rPr>
          <w:color w:val="000000" w:themeColor="text1"/>
          <w:lang w:eastAsia="es-ES"/>
        </w:rPr>
        <w:t xml:space="preserve">the towns of Leticia, Tabatinga, Benjamin Constant and Caballococha </w:t>
      </w:r>
      <w:r w:rsidR="0083633A">
        <w:rPr>
          <w:color w:val="000000" w:themeColor="text1"/>
          <w:lang w:eastAsia="es-ES"/>
        </w:rPr>
        <w:fldChar w:fldCharType="begin" w:fldLock="1"/>
      </w:r>
      <w:r w:rsidR="0083633A">
        <w:rPr>
          <w:color w:val="000000" w:themeColor="text1"/>
          <w:lang w:eastAsia="es-ES"/>
        </w:rPr>
        <w:instrText>ADDIN CSL_CITATION {"citationItems":[{"id":"ITEM-1","itemData":{"DOI":"10.15451/ec2014-11-3.7-1-11","ISSN":"22384782","abstract":"ABSTRACT The Importance of bushmeat trade in Amazonian towns has been very little studied, either because it is thought to be insignificant or due to the context of illegality. Based on preliminary field work to identify the main stakeholders involved and the existing trade routes, our study aimed at describing the invisible bushmeat trade using a participatory monitoring protocol in Leticia and Puerto Nariño in Colombia, Tabatinga, Benjamin Constant and Atalaia do Norte in Brazil, and Santa Rosa and Caballococha in Peru. The monitoring system included two key levels of the market chain: hunters and market traders. With the support of our research team, the hunters and traders self monitored their activities during 60 days and 20 days respectively during two hydro-climatic periods. Our study shows that the most hunted species are paca, tericaya turtle and currassows while the most commercialized species are paca, tapir, collared peccary and the red brocket deer. We registered a total of 13 tons of bushmeat captured by hunters (from 29 species) and 6.7 tons of bushmeat sold by market sellers (from 19 species). We extrapolated this data to a year and to the total numbers of stakeholders involved in the trade and found that 473 tons of bushmeat are traded per year in market places from the main Tri frontier towns, which taken to the total urban population size of the area, equals to 3.2 kg/hab/year, a number that is comparable to those found in Central African urban settings","author":[{"dropping-particle":"","family":"Vliet","given":"Nathalie","non-dropping-particle":"Van","parse-names":false,"suffix":""},{"dropping-particle":"","family":"Quiceno-mesa","given":"Maria Paula","non-dropping-particle":"","parse-names":false,"suffix":""},{"dropping-particle":"","family":"Cruz-antia","given":"Daniel","non-dropping-particle":"","parse-names":false,"suffix":""},{"dropping-particle":"","family":"Jonhson","given":"Lindon","non-dropping-particle":"","parse-names":false,"suffix":""},{"dropping-particle":"De","family":"Aquino","given":"Neves","non-dropping-particle":"","parse-names":false,"suffix":""},{"dropping-particle":"","family":"Moreno","given":"Jessica","non-dropping-particle":"","parse-names":false,"suffix":""},{"dropping-particle":"","family":"Nasi","given":"Robert","non-dropping-particle":"","parse-names":false,"suffix":""}],"container-title":"Ethnobiology and Conservation","id":"ITEM-1","issue":"7","issued":{"date-parts":[["2014"]]},"page":"1-11","title":"The uncovered volumes of bushmeat commercialized in the Amazonian trifrontier between Colombia, Peru &amp; Brazil","type":"article-journal","volume":"3"},"uris":["http://www.mendeley.com/documents/?uuid=3290a443-71df-4dc3-ad77-fb560824e60d"]}],"mendeley":{"formattedCitation":"(Van Vliet et al. 2014)","plainTextFormattedCitation":"(Van Vliet et al. 2014)","previouslyFormattedCitation":"(Van Vliet et al. 2014)"},"properties":{"noteIndex":0},"schema":"https://github.com/citation-style-language/schema/raw/master/csl-citation.json"}</w:instrText>
      </w:r>
      <w:r w:rsidR="0083633A">
        <w:rPr>
          <w:color w:val="000000" w:themeColor="text1"/>
          <w:lang w:eastAsia="es-ES"/>
        </w:rPr>
        <w:fldChar w:fldCharType="separate"/>
      </w:r>
      <w:r w:rsidR="0083633A" w:rsidRPr="00F0548C">
        <w:rPr>
          <w:noProof/>
          <w:color w:val="000000" w:themeColor="text1"/>
          <w:lang w:eastAsia="es-ES"/>
        </w:rPr>
        <w:t>(Van Vliet et al. 2014)</w:t>
      </w:r>
      <w:r w:rsidR="0083633A">
        <w:rPr>
          <w:color w:val="000000" w:themeColor="text1"/>
          <w:lang w:eastAsia="es-ES"/>
        </w:rPr>
        <w:fldChar w:fldCharType="end"/>
      </w:r>
      <w:r w:rsidRPr="00785A38">
        <w:rPr>
          <w:color w:val="000000" w:themeColor="text1"/>
          <w:lang w:eastAsia="es-ES"/>
        </w:rPr>
        <w:t xml:space="preserve">. </w:t>
      </w:r>
    </w:p>
    <w:p w14:paraId="342E7466" w14:textId="2B05FED0" w:rsidR="00DA4708" w:rsidRPr="005512D2" w:rsidRDefault="00DA4708" w:rsidP="002C0EF9">
      <w:pPr>
        <w:jc w:val="both"/>
        <w:rPr>
          <w:color w:val="000000" w:themeColor="text1"/>
        </w:rPr>
      </w:pPr>
      <w:r w:rsidRPr="0070404D">
        <w:rPr>
          <w:color w:val="000000" w:themeColor="text1"/>
        </w:rPr>
        <w:t>In comparison with rural communities in the Amazon and the Congo Basin, most rural communities in Asia tend not to eat large quantities of wild meat</w:t>
      </w:r>
      <w:r w:rsidR="00C71A12">
        <w:rPr>
          <w:color w:val="000000" w:themeColor="text1"/>
        </w:rPr>
        <w:t xml:space="preserve">, although estimates of consumption/person/day are lacking, and wild meat consumption in more remote areas may still be significant. A rare consumption study from Sulawesi, Indonesia </w:t>
      </w:r>
      <w:r w:rsidR="000A2503">
        <w:rPr>
          <w:color w:val="000000" w:themeColor="text1"/>
        </w:rPr>
        <w:fldChar w:fldCharType="begin" w:fldLock="1"/>
      </w:r>
      <w:r w:rsidR="00E209FB">
        <w:rPr>
          <w:color w:val="000000" w:themeColor="text1"/>
        </w:rPr>
        <w:instrText>ADDIN CSL_CITATION {"citationItems":[{"id":"ITEM-1","itemData":{"DOI":"10.17730/humo.59.4.k75r633wv3l03537","ISBN":"0018-7259","ISSN":"0018-7259","PMID":"633","abstract":"Conflicts arise between subsistence hunters and those who wish to conserve the animals they hunt. Solutions require measures of sustainability. Data are presented on the sustainability for the Wana hunters living in the highlands of Central Sulawesi, Indonesia. Pigs (Sus celebensis) and dwarf buffalo (Bubalus spp.) account for 58 percent and 40 percent of the large game harvest by weight. Primates (Macaca tonkeana) are occasionally killed. Data suggest pig hunting is sustainable, primates may have been overhunted in the past, and that dwarf buffalo are vulnerable. Using GPS, the area encompassing all of fields, traps, and house locations for the sample of 153 Wana was measured to be only 18.1 km(2). To sustain their current harvest of pigs, however, the Wana need access to at least 290km(2) of catchment. Their harvest of 0.30 pigs per person per year can be sustained if the Wana population density is no greater than 0.53 persons per km(2). Pigs are the most sustainable of the Wana's prey options. Removing primates from the Wana's diet would have a negligible nutritional effect. Persuading Wana hunters not to pursue dwarf buffalo will be the most difficult challenge for Morowali's managers.","author":[{"dropping-particle":"","family":"Alvard","given":"Michael","non-dropping-particle":"","parse-names":false,"suffix":""}],"container-title":"Human Organization","id":"ITEM-1","issue":"4","issued":{"date-parts":[["2000"]]},"page":"428-440","title":"The Potential for Sustainable Harvests by Traditional Wana Hunters in Morowali Nature Reserve, Central Sulawesi, Indonesia","type":"article-journal","volume":"59"},"uris":["http://www.mendeley.com/documents/?uuid=76bd08c8-7a35-497a-a9d7-367b89a16886"]}],"mendeley":{"formattedCitation":"(Alvard 2000)","plainTextFormattedCitation":"(Alvard 2000)","previouslyFormattedCitation":"(Alvard 2000)"},"properties":{"noteIndex":0},"schema":"https://github.com/citation-style-language/schema/raw/master/csl-citation.json"}</w:instrText>
      </w:r>
      <w:r w:rsidR="000A2503">
        <w:rPr>
          <w:color w:val="000000" w:themeColor="text1"/>
        </w:rPr>
        <w:fldChar w:fldCharType="separate"/>
      </w:r>
      <w:r w:rsidR="000A2503" w:rsidRPr="000A2503">
        <w:rPr>
          <w:noProof/>
          <w:color w:val="000000" w:themeColor="text1"/>
        </w:rPr>
        <w:t>(Alvard 2000)</w:t>
      </w:r>
      <w:r w:rsidR="000A2503">
        <w:rPr>
          <w:color w:val="000000" w:themeColor="text1"/>
        </w:rPr>
        <w:fldChar w:fldCharType="end"/>
      </w:r>
      <w:r w:rsidR="00C71A12">
        <w:rPr>
          <w:color w:val="000000" w:themeColor="text1"/>
        </w:rPr>
        <w:t xml:space="preserve"> estimated consumption of wildmeat at 38g/person/day. Lower levels of wild meat consumption are thought </w:t>
      </w:r>
      <w:r w:rsidRPr="0070404D">
        <w:rPr>
          <w:color w:val="000000" w:themeColor="text1"/>
        </w:rPr>
        <w:t>mainly</w:t>
      </w:r>
      <w:r w:rsidR="00C71A12">
        <w:rPr>
          <w:color w:val="000000" w:themeColor="text1"/>
        </w:rPr>
        <w:t xml:space="preserve"> to be</w:t>
      </w:r>
      <w:r w:rsidRPr="0070404D">
        <w:rPr>
          <w:color w:val="000000" w:themeColor="text1"/>
        </w:rPr>
        <w:t xml:space="preserve"> due to the low availability of wild meat as a result of declines in wildlife populations, and the availability of cheap domestic meats such as pork, chicken and fish </w:t>
      </w:r>
      <w:r w:rsidR="00E209FB">
        <w:rPr>
          <w:color w:val="000000" w:themeColor="text1"/>
        </w:rPr>
        <w:fldChar w:fldCharType="begin" w:fldLock="1"/>
      </w:r>
      <w:r w:rsidR="004D71C6">
        <w:rPr>
          <w:color w:val="000000" w:themeColor="text1"/>
        </w:rPr>
        <w:instrText>ADDIN CSL_CITATION {"citationItems":[{"id":"ITEM-1","itemData":{"ISBN":"8188793167","author":[{"dropping-particle":"","family":"Sathyapalan","given":"Jyothis","non-dropping-particle":"","parse-names":false,"suffix":""},{"dropping-particle":"","family":"Reddy","given":"M Gopinath","non-dropping-particle":"","parse-names":false,"suffix":""}],"container-title":"Policy","id":"ITEM-1","issued":{"date-parts":[["2010"]]},"publisher-place":"Centre for Economic and Social Studies, Hyderabad, India","title":"Recognition of forest rights and livelihoods of tribal communities. A study of Western Ghats region, Kerala State","type":"report"},"uris":["http://www.mendeley.com/documents/?uuid=3cc07195-2554-49c1-a593-5c475ff4da10"]},{"id":"ITEM-2","itemData":{"DOI":"10.1111/cobi.12785","ISBN":"9788578110796","ISSN":"15231739","PMID":"25246403","abstract":"Although deforestation and forest degradation have long been considered the most significant threats to tropical biodiversity, across Southeast Asia (Northeast India, Indochina, Sundaland, Philippines) substantial areas of natural habitat have few wild animals (&gt;1 kg), bar a few hunting-tolerant species. To document hunting impacts on vertebrate populations regionally,we conducted an extensive literature review, including papers in local journals and reports of governmental and nongovernmental agencies. Evidence from multiple sites indicated animal populations declined precipitously across the region since approximately 1980, and many species are now extirpated from substantial portions of their former ranges. Hunting is by far the greatest immediate threat to the survival of most of the region’s endangered vertebrates. Causes of recent overhunting include improved access to forests and markets, improved hunting technology, and escalating demand for wildmeat, wildlife-derived medicinal products, and wild animals as pets. Although hunters often take common species, such as pigs or rats, for their own consumption, they take rarer species opportunistically and sell surplus meat and commercially valuable products. There is also widespread targeted hunting of high-value species. Consequently, as currently practiced, hunting cannot be considered sustainable anywhere in the region, and in most places enforcement of protected-area and protected-species legislation is weak. The international community’s focus on cross-border trade fails to address overexploitation of wildlife because hunting and the sale of wildmeat is largely a local issue and most of the harvest is consumed in villages, rural towns, and nearby cities. In addition to improved enforcement, efforts to engage hunters and manage wildlife populations through sustainable hunting practices are urgently needed. Unless there is a step change in efforts to reduce wildlife exploitation to sustainable levels, the region will likely lose most of its iconic species, and many others besides, within the next few years. Keywords:","author":[{"dropping-particle":"","family":"Harrison","given":"Rhett D.","non-dropping-particle":"","parse-names":false,"suffix":""},{"dropping-particle":"","family":"Sreekar","given":"Rachakonda","non-dropping-particle":"","parse-names":false,"suffix":""},{"dropping-particle":"","family":"Brodie","given":"Jedediah F.","non-dropping-particle":"","parse-names":false,"suffix":""},{"dropping-particle":"","family":"Brook","given":"Sarah","non-dropping-particle":"","parse-names":false,"suffix":""},{"dropping-particle":"","family":"Luskin","given":"Matthew","non-dropping-particle":"","parse-names":false,"suffix":""},{"dropping-particle":"","family":"O'Kelly","given":"Hannah","non-dropping-particle":"","parse-names":false,"suffix":""},{"dropping-particle":"","family":"Rao","given":"Madhu","non-dropping-particle":"","parse-names":false,"suffix":""},{"dropping-particle":"","family":"Scheffers","given":"Brett","non-dropping-particle":"","parse-names":false,"suffix":""},{"dropping-particle":"","family":"Velho","given":"Nandini","non-dropping-particle":"","parse-names":false,"suffix":""}],"container-title":"Conservation Biology","id":"ITEM-2","issue":"5","issued":{"date-parts":[["2016"]]},"page":"972-981","title":"Impacts of hunting on tropical forests in Southeast Asia","type":"article-journal","volume":"30"},"uris":["http://www.mendeley.com/documents/?uuid=9156a739-3962-4575-aeb8-3bbb3e13bd98"]},{"id":"ITEM-3","itemData":{"author":[{"dropping-particle":"","family":"Bennett","given":"E L","non-dropping-particle":"","parse-names":false,"suffix":""},{"dropping-particle":"","family":"Rao","given":"M","non-dropping-particle":"","parse-names":false,"suffix":""}],"chapter-number":"3","container-title":"Links between Biodiversity Conservation, Livelihoods and Food Security: The sustainable use of wild species for meat","editor":[{"dropping-particle":"","family":"Mainka","given":"S A","non-dropping-particle":"","parse-names":false,"suffix":""},{"dropping-particle":"","family":"Trivedi","given":"M","non-dropping-particle":"","parse-names":false,"suffix":""}],"id":"ITEM-3","issued":{"date-parts":[["2002"]]},"page":"39-44","publisher-place":"Gland, Switzerland and Cambridge, UK","title":"Wild meat consumption in Asian tropical forest countries: is this a glimpse of the future for Africa?","type":"chapter"},"uris":["http://www.mendeley.com/documents/?uuid=aa54f523-a4b3-408c-a98b-e9faae286b4a"]},{"id":"ITEM-4","itemData":{"author":[{"dropping-particle":"","family":"Rao","given":"Madhu","non-dropping-particle":"","parse-names":false,"suffix":""},{"dropping-particle":"","family":"McGowan","given":"Philip J K","non-dropping-particle":"","parse-names":false,"suffix":""}],"container-title":"Conservation Biology","id":"ITEM-4","issue":"3","issued":{"date-parts":[["2002"]]},"page":"580-583","title":"Wild-meat use, food security, livelihoods, and conservation","type":"article-journal","volume":"16"},"uris":["http://www.mendeley.com/documents/?uuid=e41f5616-c6d4-48b2-bfa5-c5e61efae21a"]}],"mendeley":{"formattedCitation":"(Bennett &amp; Rao 2002a; Rao &amp; McGowan 2002; Sathyapalan &amp; Reddy 2010; Harrison et al. 2016)","plainTextFormattedCitation":"(Bennett &amp; Rao 2002a; Rao &amp; McGowan 2002; Sathyapalan &amp; Reddy 2010; Harrison et al. 2016)","previouslyFormattedCitation":"(Bennett &amp; Rao 2002a; Rao &amp; McGowan 2002; Sathyapalan &amp; Reddy 2010; Harrison et al. 2016)"},"properties":{"noteIndex":0},"schema":"https://github.com/citation-style-language/schema/raw/master/csl-citation.json"}</w:instrText>
      </w:r>
      <w:r w:rsidR="00E209FB">
        <w:rPr>
          <w:color w:val="000000" w:themeColor="text1"/>
        </w:rPr>
        <w:fldChar w:fldCharType="separate"/>
      </w:r>
      <w:r w:rsidR="009A6ACD" w:rsidRPr="009A6ACD">
        <w:rPr>
          <w:noProof/>
          <w:color w:val="000000" w:themeColor="text1"/>
        </w:rPr>
        <w:t>(Bennett &amp; Rao 2002a; Rao &amp; McGowan 2002; Sathyapalan &amp; Reddy 2010; Harrison et al. 2016)</w:t>
      </w:r>
      <w:r w:rsidR="00E209FB">
        <w:rPr>
          <w:color w:val="000000" w:themeColor="text1"/>
        </w:rPr>
        <w:fldChar w:fldCharType="end"/>
      </w:r>
      <w:r w:rsidRPr="004904D8">
        <w:rPr>
          <w:color w:val="000000" w:themeColor="text1"/>
        </w:rPr>
        <w:t xml:space="preserve">. </w:t>
      </w:r>
      <w:r>
        <w:rPr>
          <w:color w:val="000000" w:themeColor="text1"/>
          <w:lang w:eastAsia="es-ES"/>
        </w:rPr>
        <w:t>U</w:t>
      </w:r>
      <w:r w:rsidRPr="00785A38">
        <w:rPr>
          <w:color w:val="000000" w:themeColor="text1"/>
          <w:lang w:eastAsia="es-ES"/>
        </w:rPr>
        <w:t xml:space="preserve">rban consumption of wild meat is reported to be growing amongst the emerging urban middle class in Asian cities, as wild meat consumption demonstrates a high social status </w:t>
      </w:r>
      <w:r w:rsidR="00E209FB">
        <w:rPr>
          <w:color w:val="000000" w:themeColor="text1"/>
          <w:lang w:eastAsia="es-ES"/>
        </w:rPr>
        <w:fldChar w:fldCharType="begin" w:fldLock="1"/>
      </w:r>
      <w:r w:rsidR="003511F6">
        <w:rPr>
          <w:color w:val="000000" w:themeColor="text1"/>
          <w:lang w:eastAsia="es-ES"/>
        </w:rPr>
        <w:instrText>ADDIN CSL_CITATION {"citationItems":[{"id":"ITEM-1","itemData":{"DOI":"10.1371/journal.pone.0134787","ISSN":"1932-6203","PMID":"26752642","abstract":"Vietnam is a significant consumer of wildlife, particularly wild meat, in urban restaurant settings. To meet this demand, poaching of wildlife is widespread, threatening regional and international biodiversity. Previous interventions to tackle illegal and potentially unsustainable consumption of wild meat in Vietnam have generally focused on limiting supply. While critical, they have been impeded by a lack of resources, the presence of increasingly organised criminal networks and corruption. Attention is, therefore, turning to the consumer, but a paucity of research investigating consumer demand for wild meat will impede the creation of effective consumer-centred interventions. Here we used a mixed-methods research approach comprising a hypothetical choice modelling survey and qualitative interviews to explore the drivers of wild meat consumption and consumer preferences among residents of Ho Chi Minh City, Vietnam. Our findings indicate that demand for wild meat is heterogeneous and highly context specific. Wild-sourced, rare, and expensive wild meat-types are eaten by those situated towards the top of the societal hierarchy to convey wealth and status and are commonly consumed in lucrative business contexts. Cheaper, legal and farmed substitutes for wild-sourced meats are also consumed, but typically in more casual consumption or social drinking settings. We explore the implications of our results for current conservation interventions in Vietnam that attempt to tackle illegal and potentially unsustainable trade in and consumption of wild meat and detail how our research informs future consumer-centric conservation actions.","author":[{"dropping-particle":"","family":"Shairp","given":"Rachel","non-dropping-particle":"","parse-names":false,"suffix":""},{"dropping-particle":"","family":"Veríssimo","given":"Diogo","non-dropping-particle":"","parse-names":false,"suffix":""},{"dropping-particle":"","family":"Fraser","given":"Iain","non-dropping-particle":"","parse-names":false,"suffix":""},{"dropping-particle":"","family":"Challender","given":"Daniel","non-dropping-particle":"","parse-names":false,"suffix":""},{"dropping-particle":"","family":"MacMillan","given":"Douglas","non-dropping-particle":"","parse-names":false,"suffix":""}],"container-title":"PloS one","id":"ITEM-1","issue":"1","issued":{"date-parts":[["2016","1"]]},"page":"e0134787","title":"Understanding urban demand for wild meat in Vietnam: implications for conservation actions","type":"article-journal","volume":"11"},"uris":["http://www.mendeley.com/documents/?uuid=16f60f29-219d-4b47-9cb9-2bab352ca360"]},{"id":"ITEM-2","itemData":{"DOI":"10.1007/s11417-012-9154-y","author":[{"dropping-particle":"","family":"Ngoc","given":"Anh Cao","non-dropping-particle":"","parse-names":false,"suffix":""},{"dropping-particle":"","family":"Wyatt","given":"Tanya","non-dropping-particle":"","parse-names":false,"suffix":""}],"container-title":"Asian Criminology","id":"ITEM-2","issued":{"date-parts":[["2013"]]},"page":"129-142","title":"A green criminological exploration of illegal wildlife trade in Vietnam","type":"article-journal","volume":"8"},"uris":["http://www.mendeley.com/documents/?uuid=2be7bdd4-1239-4afd-a86a-c27354a1e690"]},{"id":"ITEM-3","itemData":{"DOI":"10.1007/s10531-009-9758-4","ISBN":"0960-3115","ISSN":"09603115","abstract":"Wildlife trade is the very heart of biodiversity conservation and sustainable development providing an income for some of the least economically affluent people and it generates considerable revenue nationally. In Asia the unsustainable trade in wildlife has been identified as one of the main conservation challenges. Internationally, wildlife trade is regulated through the Convention on International Trade in Endangered Species of wild fauna and flora (CITES) to which all Southeast Asian nations are signatory. I obtained data on international trade in CITES-listed animals in the period 1998-2007. In all &gt; 35 million animals (0.3 million butterflies; 16.0 million seahorses; 0.1 million other fish; 17.4 million reptiles; 0.4 million mammals; 1.0 million birds) were exported in this period, 30 million (similar to 300 species) of them being wild-caught. In addition 18 million pieces and 2 million kg of live corals were exported. Malaysia, Vietnam, Indonesia and China are the major exporters of wild-caught animals and the European Union and Japan are the most significant importers. Over this period exports in birds significantly decreased, trade in the other taxa either increased or remained stable. For all taxa but butterflies the vast majority of individuals represent wild-caught individuals. Records of illegal or undeclared international trade are scant but can be significantly larger than levels of official exports. It is concluded that there is an urgent need for better assessments of what levels of exploitation are sustainable (including exploring appropriate proxies for Non Detriment Findings), for initiatives to make regulatory mechanisms more effective (including the introduction of minimum mandatory standards and monitoring selected wildlife trade hubs), and for better licensing and registration. Funding for at least some of these initiatives can be obtained by imposing small levies on exports of CITES-listed wildlife.","author":[{"dropping-particle":"","family":"Nijman","given":"Vincent","non-dropping-particle":"","parse-names":false,"suffix":""}],"container-title":"Biodiversity and Conservation","id":"ITEM-3","issue":"4","issued":{"date-parts":[["2010"]]},"page":"1101-1114","title":"An overview of international wildlife trade from Southeast Asia","type":"article-journal","volume":"19"},"uris":["http://www.mendeley.com/documents/?uuid=65ed3862-1f46-46e4-8997-6fc130a7d558"]}],"mendeley":{"formattedCitation":"(Nijman 2010; Ngoc &amp; Wyatt 2013; Shairp et al. 2016)","plainTextFormattedCitation":"(Nijman 2010; Ngoc &amp; Wyatt 2013; Shairp et al. 2016)","previouslyFormattedCitation":"(Nijman 2010; Ngoc &amp; Wyatt 2013; Shairp et al. 2016)"},"properties":{"noteIndex":0},"schema":"https://github.com/citation-style-language/schema/raw/master/csl-citation.json"}</w:instrText>
      </w:r>
      <w:r w:rsidR="00E209FB">
        <w:rPr>
          <w:color w:val="000000" w:themeColor="text1"/>
          <w:lang w:eastAsia="es-ES"/>
        </w:rPr>
        <w:fldChar w:fldCharType="separate"/>
      </w:r>
      <w:r w:rsidR="003511F6" w:rsidRPr="003511F6">
        <w:rPr>
          <w:noProof/>
          <w:color w:val="000000" w:themeColor="text1"/>
          <w:lang w:eastAsia="es-ES"/>
        </w:rPr>
        <w:t>(Nijman 2010; Ngoc &amp; Wyatt 2013; Shairp et al. 2016)</w:t>
      </w:r>
      <w:r w:rsidR="00E209FB">
        <w:rPr>
          <w:color w:val="000000" w:themeColor="text1"/>
          <w:lang w:eastAsia="es-ES"/>
        </w:rPr>
        <w:fldChar w:fldCharType="end"/>
      </w:r>
      <w:r w:rsidRPr="00785A38">
        <w:rPr>
          <w:color w:val="000000" w:themeColor="text1"/>
          <w:lang w:eastAsia="es-ES"/>
        </w:rPr>
        <w:t>, and</w:t>
      </w:r>
      <w:r>
        <w:rPr>
          <w:color w:val="000000" w:themeColor="text1"/>
          <w:lang w:eastAsia="es-ES"/>
        </w:rPr>
        <w:t>, as for Africa,</w:t>
      </w:r>
      <w:r w:rsidRPr="00785A38">
        <w:rPr>
          <w:color w:val="000000" w:themeColor="text1"/>
          <w:lang w:eastAsia="es-ES"/>
        </w:rPr>
        <w:t xml:space="preserve"> urban wealth is now thought to be a greater driver of hunting in SE Asia than rural poverty </w:t>
      </w:r>
      <w:r w:rsidR="003511F6">
        <w:rPr>
          <w:color w:val="000000" w:themeColor="text1"/>
          <w:lang w:eastAsia="es-ES"/>
        </w:rPr>
        <w:fldChar w:fldCharType="begin" w:fldLock="1"/>
      </w:r>
      <w:r w:rsidR="00022F58">
        <w:rPr>
          <w:color w:val="000000" w:themeColor="text1"/>
          <w:lang w:eastAsia="es-ES"/>
        </w:rPr>
        <w:instrText>ADDIN CSL_CITATION {"citationItems":[{"id":"ITEM-1","itemData":{"author":[{"dropping-particle":"","family":"TRAFFIC","given":"","non-dropping-particle":"","parse-names":false,"suffix":""}],"id":"ITEM-1","issued":{"date-parts":[["2008"]]},"publisher-place":"The World Bank, Washington","title":"What's driving the wildlife trade?","type":"report"},"uris":["http://www.mendeley.com/documents/?uuid=63b0c165-988f-4243-bb35-18e2718bb412"]}],"mendeley":{"formattedCitation":"(TRAFFIC 2008)","plainTextFormattedCitation":"(TRAFFIC 2008)","previouslyFormattedCitation":"(TRAFFIC 2008)"},"properties":{"noteIndex":0},"schema":"https://github.com/citation-style-language/schema/raw/master/csl-citation.json"}</w:instrText>
      </w:r>
      <w:r w:rsidR="003511F6">
        <w:rPr>
          <w:color w:val="000000" w:themeColor="text1"/>
          <w:lang w:eastAsia="es-ES"/>
        </w:rPr>
        <w:fldChar w:fldCharType="separate"/>
      </w:r>
      <w:r w:rsidR="003511F6" w:rsidRPr="003511F6">
        <w:rPr>
          <w:noProof/>
          <w:color w:val="000000" w:themeColor="text1"/>
          <w:lang w:eastAsia="es-ES"/>
        </w:rPr>
        <w:t>(TRAFFIC 2008)</w:t>
      </w:r>
      <w:r w:rsidR="003511F6">
        <w:rPr>
          <w:color w:val="000000" w:themeColor="text1"/>
          <w:lang w:eastAsia="es-ES"/>
        </w:rPr>
        <w:fldChar w:fldCharType="end"/>
      </w:r>
      <w:r w:rsidRPr="00785A38">
        <w:rPr>
          <w:color w:val="000000" w:themeColor="text1"/>
          <w:lang w:eastAsia="es-ES"/>
        </w:rPr>
        <w:t>.</w:t>
      </w:r>
    </w:p>
    <w:p w14:paraId="1F88170B" w14:textId="65F0FCAA" w:rsidR="005F1487" w:rsidRPr="00785A38" w:rsidRDefault="00E27A01" w:rsidP="00DF57F3">
      <w:pPr>
        <w:pStyle w:val="Heading2"/>
      </w:pPr>
      <w:bookmarkStart w:id="73" w:name="_Toc529390342"/>
      <w:r w:rsidRPr="004904D8">
        <w:t>Food for hunter families</w:t>
      </w:r>
      <w:bookmarkEnd w:id="71"/>
      <w:bookmarkEnd w:id="72"/>
      <w:bookmarkEnd w:id="73"/>
    </w:p>
    <w:p w14:paraId="338FE049" w14:textId="78A14CCA" w:rsidR="005C2F20" w:rsidRDefault="005C2F20" w:rsidP="001C1D6E">
      <w:pPr>
        <w:pStyle w:val="Heading3"/>
      </w:pPr>
      <w:r>
        <w:t>The importance of wild meat for remote rural communities</w:t>
      </w:r>
    </w:p>
    <w:p w14:paraId="3D3DEE1B" w14:textId="05D5F883" w:rsidR="00C71A12" w:rsidRDefault="00DA4708" w:rsidP="002C0EF9">
      <w:pPr>
        <w:jc w:val="both"/>
      </w:pPr>
      <w:bookmarkStart w:id="74" w:name="_Toc517693742"/>
      <w:bookmarkStart w:id="75" w:name="_Toc519156087"/>
      <w:r w:rsidRPr="004904D8">
        <w:t xml:space="preserve">Although starchy </w:t>
      </w:r>
      <w:r>
        <w:t xml:space="preserve">root </w:t>
      </w:r>
      <w:r w:rsidRPr="004904D8">
        <w:t>vegetables</w:t>
      </w:r>
      <w:r>
        <w:t xml:space="preserve"> and grains</w:t>
      </w:r>
      <w:r w:rsidRPr="004904D8">
        <w:t xml:space="preserve">, such as </w:t>
      </w:r>
      <w:r>
        <w:t>cassava and rice</w:t>
      </w:r>
      <w:r>
        <w:softHyphen/>
      </w:r>
      <w:r>
        <w:softHyphen/>
        <w:t xml:space="preserve">, </w:t>
      </w:r>
      <w:r w:rsidRPr="004904D8">
        <w:t xml:space="preserve">provide most of the calories consumed by </w:t>
      </w:r>
      <w:r w:rsidRPr="005512D2">
        <w:t xml:space="preserve">most tropical forest inhabitants, wild meat or wild fish represent the main sources of protein, fat and micronutrients for many rural people </w:t>
      </w:r>
      <w:r w:rsidR="00022F58">
        <w:fldChar w:fldCharType="begin" w:fldLock="1"/>
      </w:r>
      <w:r w:rsidR="00AB268B">
        <w:instrText>ADDIN CSL_CITATION {"citationItems":[{"id":"ITEM-1","itemData":{"author":[{"dropping-particle":"","family":"Fa","given":"J.E.","non-dropping-particle":"","parse-names":false,"suffix":""},{"dropping-particle":"","family":"Vliet","given":"N","non-dropping-particle":"Van","parse-names":false,"suffix":""},{"dropping-particle":"","family":"Nasi","given":"R.","non-dropping-particle":"","parse-names":false,"suffix":""}],"container-title":"Tropical Conservation: Perspectives on Local and Global Priorities","editor":[{"dropping-particle":"","family":"Aguirre","given":"A.A.","non-dropping-particle":"","parse-names":false,"suffix":""},{"dropping-particle":"","family":"Sukumar","given":"R.","non-dropping-particle":"","parse-names":false,"suffix":""}],"id":"ITEM-1","issued":{"date-parts":[["2016"]]},"publisher":"Oxford University","publisher-place":"Oxford, UK.","title":"Chapter 20: Bushmeat, food security, and conservation in African rainforests","type":"chapter"},"uris":["http://www.mendeley.com/documents/?uuid=90d09160-9d5b-4933-878c-4106e0221a30"]}],"mendeley":{"formattedCitation":"(Fa et al. 2016b)","plainTextFormattedCitation":"(Fa et al. 2016b)","previouslyFormattedCitation":"(Fa et al. 2016b)"},"properties":{"noteIndex":0},"schema":"https://github.com/citation-style-language/schema/raw/master/csl-citation.json"}</w:instrText>
      </w:r>
      <w:r w:rsidR="00022F58">
        <w:fldChar w:fldCharType="separate"/>
      </w:r>
      <w:r w:rsidR="00022F58" w:rsidRPr="00022F58">
        <w:rPr>
          <w:noProof/>
        </w:rPr>
        <w:t>(Fa et al. 2016b)</w:t>
      </w:r>
      <w:r w:rsidR="00022F58">
        <w:fldChar w:fldCharType="end"/>
      </w:r>
      <w:r w:rsidRPr="005512D2">
        <w:t xml:space="preserve">. This situation potentially applies to millions of rural and forest people who hunt </w:t>
      </w:r>
      <w:r w:rsidRPr="0064175F">
        <w:t>across t</w:t>
      </w:r>
      <w:r w:rsidRPr="0070404D">
        <w:t>he tropics</w:t>
      </w:r>
      <w:r>
        <w:t xml:space="preserve"> and sub-tropics</w:t>
      </w:r>
      <w:r w:rsidRPr="0070404D">
        <w:t xml:space="preserve">. In a survey of almost 8000 rural households in 24 countries across Africa, Latin America and Asia, Nielsen et al. </w:t>
      </w:r>
      <w:r w:rsidR="00022F58">
        <w:fldChar w:fldCharType="begin" w:fldLock="1"/>
      </w:r>
      <w:r w:rsidR="00D740E6">
        <w:instrText>ADDIN CSL_CITATION {"citationItems":[{"id":"ITEM-1","itemData":{"DOI":"10.1016/j.ecolecon.2017.12.018","ISSN":"09218009","abstract":"Information on the economic importance of wild meat to rural people is mainly based on small case studies conducted in limited geographical areas with high hunting intensities, which impede generalization of results. Through a one-year quarterly income survey of 7978 households in 24 countries across Latin America, Asia, and Africa, we show that 39% of the sampled households, by extrapolation representing ~ 150 million households in the Global South, ‘harvest’ wild meat. On average, wild meat makes up 2% of households’ income of which own consumption accounts for 89%. Reliance on wild meat is highest among the poorest households and inversely related to their reliance on domestic animal income. Seasonally, reliance on wild meat is inversely related to other incomes, suggesting a gap filling function. The fact that hunting is of low economic importance but widespread and mostly for subsistence suggests that wild meat is important in rural households’ diets. Through an approximated yield-effort curve estimation, we show that hunting appears economically sustainable in 78% of the observed communities although in most cases this might represent post-depletion sustainability. Our results imply that the effectiveness of wildlife conservation efforts is likely to be enhanced if rural food security is simultaneously improved.","author":[{"dropping-particle":"","family":"Nielsen","given":"Martin R.","non-dropping-particle":"","parse-names":false,"suffix":""},{"dropping-particle":"","family":"Meilby","given":"Henrik","non-dropping-particle":"","parse-names":false,"suffix":""},{"dropping-particle":"","family":"Smith-Hall","given":"Carsten","non-dropping-particle":"","parse-names":false,"suffix":""},{"dropping-particle":"","family":"Pouliot","given":"Mariève","non-dropping-particle":"","parse-names":false,"suffix":""},{"dropping-particle":"","family":"Treue","given":"Thorsten","non-dropping-particle":"","parse-names":false,"suffix":""}],"container-title":"Ecological Economics","id":"ITEM-1","issue":"December 2017","issued":{"date-parts":[["2018"]]},"page":"696-705","publisher":"Elsevier","title":"The Importance of Wild Meat in the Global South","type":"article-journal","volume":"146"},"uris":["http://www.mendeley.com/documents/?uuid=c8fd57c0-1ccd-4645-a417-25c1761a9fa4"]}],"mendeley":{"formattedCitation":"(Nielsen et al. 2018)","manualFormatting":"(2018)","plainTextFormattedCitation":"(Nielsen et al. 2018)","previouslyFormattedCitation":"(Nielsen et al. 2018)"},"properties":{"noteIndex":0},"schema":"https://github.com/citation-style-language/schema/raw/master/csl-citation.json"}</w:instrText>
      </w:r>
      <w:r w:rsidR="00022F58">
        <w:fldChar w:fldCharType="separate"/>
      </w:r>
      <w:r w:rsidR="00022F58" w:rsidRPr="00022F58">
        <w:rPr>
          <w:noProof/>
        </w:rPr>
        <w:t>(2018)</w:t>
      </w:r>
      <w:r w:rsidR="00022F58">
        <w:fldChar w:fldCharType="end"/>
      </w:r>
      <w:r w:rsidR="00022F58">
        <w:t xml:space="preserve"> </w:t>
      </w:r>
      <w:r w:rsidRPr="0070404D">
        <w:t>found that 39% of households harvested wild meat, and almost all households consumed it; dependence was highest among the poorest households.</w:t>
      </w:r>
    </w:p>
    <w:p w14:paraId="6167E877" w14:textId="7BE5C35E" w:rsidR="0060585B" w:rsidRPr="00DF57F3" w:rsidRDefault="00DA4708" w:rsidP="002C0EF9">
      <w:pPr>
        <w:jc w:val="both"/>
        <w:rPr>
          <w:lang w:val="fr-FR"/>
        </w:rPr>
      </w:pPr>
      <w:r w:rsidRPr="0070404D">
        <w:t>While an important dietary item for many</w:t>
      </w:r>
      <w:r>
        <w:t xml:space="preserve"> throughout their lives</w:t>
      </w:r>
      <w:r w:rsidRPr="0070404D">
        <w:t xml:space="preserve">, wild meat </w:t>
      </w:r>
      <w:r>
        <w:t xml:space="preserve">also </w:t>
      </w:r>
      <w:r w:rsidRPr="0070404D">
        <w:t xml:space="preserve">makes </w:t>
      </w:r>
      <w:r>
        <w:t>a crucial</w:t>
      </w:r>
      <w:r w:rsidRPr="0070404D">
        <w:t xml:space="preserve"> contribution to food security in places and at times when </w:t>
      </w:r>
      <w:r>
        <w:t xml:space="preserve">other food supply chains </w:t>
      </w:r>
      <w:r w:rsidR="00A479D2">
        <w:t>fail,</w:t>
      </w:r>
      <w:r>
        <w:t xml:space="preserve"> and wild meat </w:t>
      </w:r>
      <w:r w:rsidRPr="0070404D">
        <w:t>represents the sole or primary source of pro</w:t>
      </w:r>
      <w:r w:rsidRPr="004904D8">
        <w:t>tein available</w:t>
      </w:r>
      <w:r>
        <w:t>. For example, it can</w:t>
      </w:r>
      <w:r w:rsidRPr="0070404D">
        <w:t xml:space="preserve"> become a vital ‘safety net’ in times of economic hardship, </w:t>
      </w:r>
      <w:r>
        <w:t xml:space="preserve">civil unrest, drought, or </w:t>
      </w:r>
      <w:r w:rsidRPr="0070404D">
        <w:t>disruption in the supply of alternatives</w:t>
      </w:r>
      <w:r>
        <w:t>. Wild meat is</w:t>
      </w:r>
      <w:r w:rsidRPr="004904D8">
        <w:t xml:space="preserve"> not easily withdrawn or replaced </w:t>
      </w:r>
      <w:r>
        <w:t xml:space="preserve">in this role. </w:t>
      </w:r>
      <w:r w:rsidR="00D740E6">
        <w:fldChar w:fldCharType="begin" w:fldLock="1"/>
      </w:r>
      <w:r w:rsidR="002F6BDE">
        <w:instrText>ADDIN CSL_CITATION {"citationItems":[{"id":"ITEM-1","itemData":{"author":[{"dropping-particle":"","family":"Williamson","given":"D.","non-dropping-particle":"","parse-names":false,"suffix":""}],"container-title":"Links between Biodiversity, Conservation, Livelihoods and Food Security: The sustainable use of wild species for meat","editor":[{"dropping-particle":"","family":"Mainka","given":"S.","non-dropping-particle":"","parse-names":false,"suffix":""},{"dropping-particle":"","family":"Travedi","given":"M.","non-dropping-particle":"","parse-names":false,"suffix":""}],"id":"ITEM-1","issued":{"date-parts":[["2002"]]},"page":"19-22","publisher":"IUCN, Gland, Switzerland","title":"Wild meat, food security and forest conservation","type":"chapter"},"uris":["http://www.mendeley.com/documents/?uuid=c99864e0-50f1-4aed-8459-d0dc0c674699"]},{"id":"ITEM-2","itemData":{"DOI":"10.15451/ec2018","author":[{"dropping-particle":"","family":"Vliet","given":"Nathalie","non-dropping-particle":"Van","parse-names":false,"suffix":""},{"dropping-particle":"","family":"Schulte-Herbruggen","given":"Björn","non-dropping-particle":"","parse-names":false,"suffix":""},{"dropping-particle":"","family":"Vanegas","given":"Liliana","non-dropping-particle":"","parse-names":false,"suffix":""},{"dropping-particle":"","family":"Yair-Cuesta","given":"Eric","non-dropping-particle":"","parse-names":false,"suffix":""},{"dropping-particle":"","family":"Sandrin","given":"Francois","non-dropping-particle":"","parse-names":false,"suffix":""},{"dropping-particle":"","family":"Nasi","given":"Robert","non-dropping-particle":"","parse-names":false,"suffix":""}],"container-title":"Ethnobiology and Conservation","id":"ITEM-2","issue":"2","issued":{"date-parts":[["2018"]]},"page":"1-15","title":"Wild animals (fish and wildmeat) contribute to dietary diversity among food insecure urban teenagers the case of Quibdó, Colombia","type":"article-journal","volume":"7"},"uris":["http://www.mendeley.com/documents/?uuid=71e2bbf4-9637-4afa-8d29-2cd96c34dc49"]},{"id":"ITEM-3","itemData":{"DOI":"10.15451/ec2017-04-6.3-1-45","ISBN":"2238-4782","ISSN":"22384782","author":[{"dropping-particle":"","family":"Vliet","given":"Nathalie","non-dropping-particle":"Van","parse-names":false,"suffix":""},{"dropping-particle":"","family":"Moreno","given":"Jessica","non-dropping-particle":"","parse-names":false,"suffix":""},{"dropping-particle":"","family":"Gómez","given":"Juanita","non-dropping-particle":"","parse-names":false,"suffix":""},{"dropping-particle":"","family":"Zhou","given":"Wen","non-dropping-particle":"","parse-names":false,"suffix":""},{"dropping-particle":"","family":"Fa","given":"John Emmanuel","non-dropping-particle":"","parse-names":false,"suffix":""},{"dropping-particle":"","family":"Golden","given":"Christopher","non-dropping-particle":"","parse-names":false,"suffix":""},{"dropping-particle":"","family":"Alves","given":"Rômulo Romeu Nóbrega","non-dropping-particle":"","parse-names":false,"suffix":""},{"dropping-particle":"","family":"Nasi","given":"Robert","non-dropping-particle":"","parse-names":false,"suffix":""}],"container-title":"Ethnobiology and Conservation","id":"ITEM-3","issue":"3","issued":{"date-parts":[["2017"]]},"title":"Bushmeat and human health: assessing the evidence in tropical and sub-tropical forests","type":"article-journal","volume":"6"},"uris":["http://www.mendeley.com/documents/?uuid=78b2f884-8356-462d-9517-8da95ee1fd46"]},{"id":"ITEM-4","itemData":{"DOI":"10.1371/journal.pone.0188109","ISBN":"1932-6203","ISSN":"19326203","abstract":"Introduction Wildlife is an important source of protein for many people in developing countries. Yet wildlife depletion due to overexploitation is common throughout the humid tropics and its effect on protein security, especially for vulnerable households, is poorly understood. This is problematic for both sustainable rural development and conservation management. Methods This study investigates a key dimension of protein security in a cash-crop farming community living in a wildlife-depleted farm-forest landscape in SW Ghana, a region where protein-energy malnutrition persists. Specifically, we monitored protein sufficiency, defined as whether consumption met daily requirements, as benchmarked by recommended daily allowance (RDA). We focus on whether more vulnerable households were less likely to be able to meet their protein needs, where vulnerability was defined by wealth, agricultural season and gender of the household head. Our central hypothesis was: (a) vulnerable households are less likely to consume sufficient protein. In the context that most plant proteins were home-produced, so likely relatively accessible to all households, while most animal proteins were purchased, so likely less accessible to vulnerable households, we tested two further hypotheses: (b) vulnerable households depend more on plant protein to cover their protein needs; and (c) vulnerable households are less likely to earn sufficient cash income to meet their protein needs through purchased animal sources. Results Between 14% and 60% of households (depending on plant protein content assumptions) consumed less than the RDA for protein, but neither protein consumption nor protein sufficiency co-varied with household vulnerability. Fish, livestock and food crops comprised 85% of total protein intake and strongly affected protein sufficiency. However, bushmeat remained an important protein source (15% of total consumption), especially during the post-harvest season when it averaged 26% of total protein consumption. Across the year, 89% of households experienced at least one occasion when they had insufficient income to cover their protein needs through animal protein purchases. The extent of this income shortage was highest during the lean season and among poorer households. Conclusions These findings indicate that despite wildlife depletion, bushmeat continues to make a substantial contribution to protein consumption, especially during the agricultural lean season. Income shortag…","author":[{"dropping-particle":"","family":"Schulte-Herbrüggen","given":"Bjorn","non-dropping-particle":"","parse-names":false,"suffix":""},{"dropping-particle":"","family":"Cowlishaw","given":"Guy","non-dropping-particle":"","parse-names":false,"suffix":""},{"dropping-particle":"","family":"Homewood","given":"Katherine","non-dropping-particle":"","parse-names":false,"suffix":""},{"dropping-particle":"","family":"Rowcliffe","given":"J. Marcus","non-dropping-particle":"","parse-names":false,"suffix":""}],"container-title":"PLoS ONE","id":"ITEM-4","issue":"12","issued":{"date-parts":[["2017"]]},"page":"e0188109","title":"Rural protein insufficiency in a wildlifedepleted West African farm-forest landscape","type":"article-journal","volume":"12"},"uris":["http://www.mendeley.com/documents/?uuid=0d39aad0-f124-4c4b-8867-de4c5ae4fcf7"]},{"id":"ITEM-5","itemData":{"DOI":"10.1371/journal.pone.0072807","author":[{"dropping-particle":"","family":"Schulte-Herbrüggen","given":"Björn","non-dropping-particle":"","parse-names":false,"suffix":""},{"dropping-particle":"","family":"Cowlishaw","given":"Guy","non-dropping-particle":"","parse-names":false,"suffix":""},{"dropping-particle":"","family":"Homewood","given":"Katherine","non-dropping-particle":"","parse-names":false,"suffix":""},{"dropping-particle":"","family":"Rowcliffe","given":"J Marcus","non-dropping-particle":"","parse-names":false,"suffix":""}],"container-title":"PLoS ONE","id":"ITEM-5","issue":"8","issued":{"date-parts":[["2013"]]},"page":"e72807","title":"The importance of bushmeat in the livelihoods of West African cash-crop farmers living in a faunally-depleted landscape","type":"article-journal","volume":"8"},"uris":["http://www.mendeley.com/documents/?uuid=ae2032d7-1b3b-4287-8673-e7d0ae355117"]},{"id":"ITEM-6","itemData":{"DOI":"10.1017/S0376892914000198","ISBN":"0376-8929","ISSN":"14694387","abstract":"SUMMARY Bushmeat hunting in the savannah biomes of East Africa is often considered to be subsistence oriented and undertaken as a gap-filler in the lean agricultural season. The price of bushmeat is furthermore often thought uniform regardless of species, but if hunting is commercially oriented and price premiums are paid for particular species this needs to be considered. This paper investigates these issues in the Kilombero Valley of Tanzania, based on one year of market data and interviews with 80 hunters, 169 traders and 67 retailers. Motivations were overwhelmingly commercial and the bushmeat trade constituted a year-round income generating activity. Monte Carlo simulations based on the deterrence model revealed average cost-benefit ratios of 0.15–0.43 for hunters, 0.56–0.62 for traders and 0.88 for retailers, and a 12–401 fold increase in likelihood of apprehension may be required to render the trade unprofitable. Willingness-to-pay data showed that elephant, buffalo, hippopotamus, puku, bushpig and warthog meat were preferred. Enhanced enforcement may thus drive prices for these species higher, encouraging hunters to seek ways around constraints. Community-based wildlife management and improved firearms control may be the most pragmatic ways to regulate the trade.","author":[{"dropping-particle":"","family":"Nielsen","given":"Martin Reinhardt","non-dropping-particle":"","parse-names":false,"suffix":""},{"dropping-particle":"","family":"Meilby","given":"Henrik","non-dropping-particle":"","parse-names":false,"suffix":""}],"container-title":"Environmental Conservation","id":"ITEM-6","issue":"1","issued":{"date-parts":[["2015"]]},"page":"61-72","title":"Hunting and trading bushmeat in the Kilombero Valley, Tanzania: motivations, cost-benefit ratios and meat prices","type":"article-journal","volume":"42"},"uris":["http://www.mendeley.com/documents/?uuid=6bffb591-2b2f-4d70-bc01-e25c91ca0056"]},{"id":"ITEM-7","itemData":{"author":[{"dropping-particle":"","family":"Jambiya","given":"J","non-dropping-particle":"","parse-names":false,"suffix":""},{"dropping-particle":"","family":"Milledge","given":"S","non-dropping-particle":"","parse-names":false,"suffix":""},{"dropping-particle":"","family":"Mtango","given":"N","non-dropping-particle":"","parse-names":false,"suffix":""}],"id":"ITEM-7","issued":{"date-parts":[["2007"]]},"publisher-place":"TRAFFIC East-southern Africa, Dar Es Salaam, Tanzania","title":"Night time spinach: conservation and livelihood implications of wild meat use in refugee situations in north-western Tanzania","type":"report"},"uris":["http://www.mendeley.com/documents/?uuid=534e5a34-23d1-4af2-9326-bd6a499dd194"]},{"id":"ITEM-8","itemData":{"DOI":"10.1038/srep08168","ISBN":"doi:10.1038/srep08168","ISSN":"2045-2322","PMID":"25639588","abstract":"We studied links between human malnutrition and wild meat availability within the Rainforest Biotic Zone in central Africa. We distinguished two distinct hunted mammalian diversity distributions, one in the rainforest areas (Deep Rainforest Diversity, DRD) containing taxa of lower hunting sustainability, the other in the northern rainforest-savanna mosaic, with species of greater hunting potential (Marginal Rainforest Diversity, MRD). Wild meat availability, assessed by standing crop mammalian biomass, was greater in MRD than in DRD areas. Predicted bushmeat extraction was also higher in MRD areas. Despite this, stunting of children, a measure of human malnutrition, was greater in MRD areas. Structural equation modeling identified that, in MRD areas, mammal diversity fell away from urban areas, but proximity to these positively influenced higher stunting incidence. In DRD areas, remoteness and distance from dense human settlements and infrastructures explained lower stunting levels. Moreover, stunting was higher away from protected areas. Our results suggest that in MRD areas, forest wildlife rational use for better human nutrition is possible. By contrast, the relatively low human populations in DRD areas currently offer abundant opportunities for the continued protection of more vulnerable mammals and allow dietary needs of local populations to be met.","author":[{"dropping-particle":"","family":"Fa","given":"John E","non-dropping-particle":"","parse-names":false,"suffix":""},{"dropping-particle":"","family":"Olivero","given":"Jesús","non-dropping-particle":"","parse-names":false,"suffix":""},{"dropping-particle":"","family":"Real","given":"Raimundo","non-dropping-particle":"","parse-names":false,"suffix":""},{"dropping-particle":"","family":"Farfán","given":"Miguel A","non-dropping-particle":"","parse-names":false,"suffix":""},{"dropping-particle":"","family":"Márquez","given":"Ana L","non-dropping-particle":"","parse-names":false,"suffix":""},{"dropping-particle":"","family":"Vargas","given":"J Mario","non-dropping-particle":"","parse-names":false,"suffix":""},{"dropping-particle":"","family":"Ziegler","given":"Stefan","non-dropping-particle":"","parse-names":false,"suffix":""},{"dropping-particle":"","family":"Wegmann","given":"Martin","non-dropping-particle":"","parse-names":false,"suffix":""},{"dropping-particle":"","family":"Brown","given":"David","non-dropping-particle":"","parse-names":false,"suffix":""},{"dropping-particle":"","family":"Margetts","given":"Barrie","non-dropping-particle":"","parse-names":false,"suffix":""},{"dropping-particle":"","family":"Nasi","given":"Robert","non-dropping-particle":"","parse-names":false,"suffix":""}],"container-title":"Scientific reports","id":"ITEM-8","issue":"8168","issued":{"date-parts":[["2015"]]},"title":"Disentangling the relative effects of bushmeat availability on human nutrition in Central Africa","type":"article-journal","volume":"5"},"uris":["http://www.mendeley.com/documents/?uuid=a94c51be-6517-4bd8-86e7-7cf505b8823b"]},{"id":"ITEM-9","itemData":{"author":[{"dropping-particle":"","family":"Elliott","given":"J","non-dropping-particle":"","parse-names":false,"suffix":""},{"dropping-particle":"","family":"Grahn","given":"R","non-dropping-particle":"","parse-names":false,"suffix":""},{"dropping-particle":"","family":"Sriskanthan","given":"G","non-dropping-particle":"","parse-names":false,"suffix":""},{"dropping-particle":"","family":"Arnold","given":"C","non-dropping-particle":"","parse-names":false,"suffix":""}],"id":"ITEM-9","issued":{"date-parts":[["2002"]]},"number-of-pages":"80","publisher-place":"DFID Rural Livelihoods Department, London, UK","title":"Wildlife and poverty study","type":"report"},"uris":["http://www.mendeley.com/documents/?uuid=effe22d1-75e2-44da-9dcd-1ef3d0c19c59"]},{"id":"ITEM-10","itemData":{"DOI":"10.1016/j.biocon.2003.10.005","ISBN":"0006-3207","ISSN":"00063207","abstract":"We examine the relationship between poverty and the use of wild foods, namely bushmeat, fish and wild plants, within a Congolese agricultural community. A sample of 121 households were monitored over a 16-month period, using a combination of participatory and quantitative survey techniques, to assess their wealth and their production, consumption and market sales of wild foods. Households varied in wealth but all could be considered subject to extreme poverty (income below US$1 per capita per day). Our analyses indicate that wild foods play a small role in household consumption but a major role in household income. Hence, over 90% of both bushmeat and fish production is sold at market. In addition, the value of wild foods increases in the \"lean season\" when agricultural production is low. We also find that the poorest households in this community are unable to capitalise on the most valuable wild foods, bushmeat and fish, as a source of food or cash income. We use an entitlements framework to explain the factors that determine such wealth-related variation between households, indicating that household use of wild foods is determined more by social and economic constraints than by resource abundance in this community. Nevertheless, our findings show that overall the small-scale commercialisation of wild foods provides a vital source of income for rural households living in extreme poverty. © 2004 Elsevier Ltd. All rights reserved.","author":[{"dropping-particle":"","family":"Merode","given":"Emmanuel","non-dropping-particle":"De","parse-names":false,"suffix":""},{"dropping-particle":"","family":"Homewood","given":"Katherine","non-dropping-particle":"","parse-names":false,"suffix":""},{"dropping-particle":"","family":"Cowlishaw","given":"Guy","non-dropping-particle":"","parse-names":false,"suffix":""}],"container-title":"Biological Conservation","id":"ITEM-10","issue":"5","issued":{"date-parts":[["2004"]]},"page":"573-581","title":"The value of bushmeat and other wild foods to rural households living in extreme poverty in Democratic Republic of Congo","type":"article-journal","volume":"118"},"uris":["http://www.mendeley.com/documents/?uuid=02bda19c-68d1-41d8-b870-377986c985b9"]},{"id":"ITEM-11","itemData":{"DOI":"10.1016/j.foodres.2015.03.025","ISBN":"0963-9969","ISSN":"09639969","abstract":"Wild meat or 'bushmeat' has long served as a principal source of protein and a key contributor to the food security of millions of people across the developing world, most notably in Africa, Latin America and Asia. More recently, however, growing human populations, technological elaborations and the emergence of a booming commercial bushmeat trade have culminated in unprecedented harvest rates and the consequent decline of numerous wildlife populations. Most research efforts aimed at tackling this problem to date have been rooted in the biological disciplines, focused on quantifying the trade and measuring its level of destruction on wildlife and ecosystems. Comparatively little effort, on the other hand, has been expended on illuminating the role of bushmeat in human livelihoods and in providing alternative sources of food and income, as well as the infrastructure to make these feasible. This paper aims to shift the focus to the human dimension, emphasising the true contributions of bushmeat to food security, nutrition and well-being, while balancing this perspective by considering the far-reaching impacts of overexploitation. What emerges from this synthesis is that bushmeat management will ultimately depend on understanding and working with people, with any approaches focused too narrowly on biodiversity preservation running the risk of failure in the long term. If wildlife is to survive and be utilised in the future, there is undoubtedly a need to relax adherence to unswerving biocentric or anthropocentric convictions, to appreciate the necessity for certain trade-offs and to develop integrated and flexible approaches that reconcile the requirements of both the animals and the people.","author":[{"dropping-particle":"","family":"Cawthorn","given":"Donna-Mareè","non-dropping-particle":"","parse-names":false,"suffix":""},{"dropping-particle":"","family":"Hoffman","given":"Louwrens C.","non-dropping-particle":"","parse-names":false,"suffix":""}],"container-title":"Food Research International","id":"ITEM-11","issued":{"date-parts":[["2015"]]},"page":"906-925","publisher":"Elsevier Ltd","title":"The bushmeat and food security nexus: a global account of the contributions, conundrums and ethical collisions","type":"article-journal","volume":"76"},"uris":["http://www.mendeley.com/documents/?uuid=c61d12b7-b7bb-44d8-854e-7bf9e14efad2"]},{"id":"ITEM-12","itemData":{"DOI":"10.1126/science.1102425","author":[{"dropping-particle":"","family":"Brashares","given":"Justin S","non-dropping-particle":"","parse-names":false,"suffix":""},{"dropping-particle":"","family":"Arcese","given":"Peter","non-dropping-particle":"","parse-names":false,"suffix":""},{"dropping-particle":"","family":"Sam","given":"Moses K","non-dropping-particle":"","parse-names":false,"suffix":""},{"dropping-particle":"","family":"Coppolillo","given":"Peter B","non-dropping-particle":"","parse-names":false,"suffix":""},{"dropping-particle":"","family":"Sinclair","given":"A R E","non-dropping-particle":"","parse-names":false,"suffix":""},{"dropping-particle":"","family":"Balmford","given":"Andrew","non-dropping-particle":"","parse-names":false,"suffix":""}],"container-title":"Science","id":"ITEM-12","issued":{"date-parts":[["2004"]]},"page":"1180-1183","title":"Bushmeat hunting, wildlife declines, and fish supply in West Africa","type":"article-journal","volume":"306"},"uris":["http://www.mendeley.com/documents/?uuid=5b2bf7ba-1433-467b-994c-502805ed7285"]},{"id":"ITEM-13","itemData":{"author":[{"dropping-particle":"","family":"Bennett","given":"E L","non-dropping-particle":"","parse-names":false,"suffix":""},{"dropping-particle":"","family":"Rao","given":"M","non-dropping-particle":"","parse-names":false,"suffix":""}],"chapter-number":"3","container-title":"Links between Biodiversity Conservation, Livelihoods and Food Security: The sustainable use of wild species for meat","editor":[{"dropping-particle":"","family":"Mainka","given":"S A","non-dropping-particle":"","parse-names":false,"suffix":""},{"dropping-particle":"","family":"Trivedi","given":"M","non-dropping-particle":"","parse-names":false,"suffix":""}],"id":"ITEM-13","issued":{"date-parts":[["2002"]]},"page":"39-44","publisher-place":"Gland, Switzerland and Cambridge, UK","title":"Wild meat consumption in Asian tropical forest countries: is this a glimpse of the future for Africa?","type":"chapter"},"uris":["http://www.mendeley.com/documents/?uuid=aa54f523-a4b3-408c-a98b-e9faae286b4a"]},{"id":"ITEM-14","itemData":{"author":[{"dropping-particle":"","family":"Wood","given":"S.","non-dropping-particle":"","parse-names":false,"suffix":""},{"dropping-particle":"","family":"Ehui","given":"S.","non-dropping-particle":"","parse-names":false,"suffix":""},{"dropping-particle":"","family":"Alder","given":"J.","non-dropping-particle":"","parse-names":false,"suffix":""},{"dropping-particle":"","family":"Benin","given":"S.","non-dropping-particle":"","parse-names":false,"suffix":""},{"dropping-particle":"","family":"Cassman","given":"K. G.","non-dropping-particle":"","parse-names":false,"suffix":""},{"dropping-particle":"","family":"Cooper","given":"H. D.","non-dropping-particle":"","parse-names":false,"suffix":""},{"dropping-particle":"","family":"Johns","given":"T.","non-dropping-particle":"","parse-names":false,"suffix":""},{"dropping-particle":"","family":"Gaskell","given":"J.","non-dropping-particle":"","parse-names":false,"suffix":""},{"dropping-particle":"","family":"Grainger","given":"R.","non-dropping-particle":"","parse-names":false,"suffix":""},{"dropping-particle":"","family":"Kadungure","given":"S.","non-dropping-particle":"","parse-names":false,"suffix":""},{"dropping-particle":"","family":"Otte","given":"J.","non-dropping-particle":"","parse-names":false,"suffix":""},{"dropping-particle":"","family":"Rola","given":"A.","non-dropping-particle":"","parse-names":false,"suffix":""},{"dropping-particle":"","family":"Watson","given":"R.","non-dropping-particle":"","parse-names":false,"suffix":""},{"dropping-particle":"","family":"Wijkstrom","given":"U.","non-dropping-particle":"","parse-names":false,"suffix":""},{"dropping-particle":"","family":"Devendra","given":"C.","non-dropping-particle":"","parse-names":false,"suffix":""}],</w:instrText>
      </w:r>
      <w:r w:rsidR="002F6BDE" w:rsidRPr="00DF57F3">
        <w:rPr>
          <w:lang w:val="fr-FR"/>
        </w:rPr>
        <w:instrText>"container-title":"Millennium Ecosystem Assessment. Ecosystems and human well-being: current state and trends.","id":"ITEM-14","issued":{"date-parts":[["2005"]]},"page":"209 - 241","publisher":"Island Press, Washington DC, USA","title":"Food ecosystem services","type":"chapter"},"uris":["http://www.mendeley.com/documents/?uuid=fe0bdbf3-5a5d-49ac-b95a-3bc444c284d5"]}],"mendeley":{"formattedCitation":"(Bennett &amp; Rao 2002a; Elliott et al. 2002; Williamson 2002; Brashares et al. 2004; De Merode et al. 2004; Wood et al. 2005; Jambiya et al. 2007; Schulte-Herbrüggen et al. 2013; Cawthorn &amp; Hoffman 2015; Fa et al. 2015; Nielsen &amp; Meilby 2015; Schulte-Herbrüggen et al. 2017; Van Vliet et al. 2017a, 2018b)","plainTextFormattedCitation":"(Bennett &amp; Rao 2002a; Elliott et al. 2002; Williamson 2002; Brashares et al. 2004; De Merode et al. 2004; Wood et al. 2005; Jambiya et al. 2007; Schulte-Herbrüggen et al. 2013; Cawthorn &amp; Hoffman 2015; Fa et al. 2015; Nielsen &amp; Meilby 2015; Schulte-Herbrüggen et al. 2017; Van Vliet et al. 2017a, 2018b)","previouslyFormattedCitation":"(Bennett &amp; Rao 2002a; Elliott et al. 2002; Williamson 2002; Brashares et al. 2004; De Merode et al. 2004; Wood et al. 2005; Jambiya et al. 2007; Schulte-Herbrüggen et al. 2013; Cawthorn &amp; Hoffman 2015; Fa et al. 2015; Nielsen &amp; Meilby 2015; Schulte-Herbrüggen et al. 2017; Van Vliet et al. 2017a, 2018b)"},"properties":{"noteIndex":0},"schema":"https://github.com/citation-style-language/schema/raw/master/csl-citation.json"}</w:instrText>
      </w:r>
      <w:r w:rsidR="00D740E6">
        <w:fldChar w:fldCharType="separate"/>
      </w:r>
      <w:r w:rsidR="00566AAF" w:rsidRPr="00DF57F3">
        <w:rPr>
          <w:noProof/>
          <w:lang w:val="fr-FR"/>
        </w:rPr>
        <w:t>(Bennett &amp; Rao 2002a; Elliott et al. 2002; Williamson 2002; Brashares et al. 2004; De Merode et al. 2004; Wood et al. 2005; Jambiya et al. 2007; Schulte-Herbrüggen et al. 2013; Cawthorn &amp; Hoffman 2015; Fa et al. 2015; Nielsen &amp; Meilby 2015; Schulte-Herbrüggen et al. 2017; Van Vliet et al. 2017a, 2018b)</w:t>
      </w:r>
      <w:r w:rsidR="00D740E6">
        <w:fldChar w:fldCharType="end"/>
      </w:r>
      <w:r w:rsidRPr="00DF57F3">
        <w:rPr>
          <w:lang w:val="fr-FR"/>
        </w:rPr>
        <w:t xml:space="preserve">.  </w:t>
      </w:r>
    </w:p>
    <w:p w14:paraId="4F6A986A" w14:textId="51B53DFF" w:rsidR="0060585B" w:rsidRDefault="00DA4708" w:rsidP="002C0EF9">
      <w:pPr>
        <w:jc w:val="both"/>
      </w:pPr>
      <w:r w:rsidRPr="0070404D">
        <w:t xml:space="preserve">In terms of dietary protein, </w:t>
      </w:r>
      <w:r w:rsidR="00430E45">
        <w:t>in more remote communities wild meat can account for 6</w:t>
      </w:r>
      <w:r w:rsidRPr="0070404D">
        <w:t xml:space="preserve">0% to 80% of dietary protein, and up to 100% of meat protein </w:t>
      </w:r>
      <w:r w:rsidR="00F8189C">
        <w:fldChar w:fldCharType="begin" w:fldLock="1"/>
      </w:r>
      <w:r w:rsidR="00B2630D">
        <w:instrText>ADDIN CSL_CITATION {"citationItems":[{"id":"ITEM-1","itemData":{"DOI":"10.1016/j.foodres.2015.03.025","ISBN":"0963-9969","ISSN":"09639969","abstract":"Wild meat or 'bushmeat' has long served as a principal source of protein and a key contributor to the food security of millions of people across the developing world, most notably in Africa, Latin America and Asia. More recently, however, growing human populations, technological elaborations and the emergence of a booming commercial bushmeat trade have culminated in unprecedented harvest rates and the consequent decline of numerous wildlife populations. Most research efforts aimed at tackling this problem to date have been rooted in the biological disciplines, focused on quantifying the trade and measuring its level of destruction on wildlife and ecosystems. Comparatively little effort, on the other hand, has been expended on illuminating the role of bushmeat in human livelihoods and in providing alternative sources of food and income, as well as the infrastructure to make these feasible. This paper aims to shift the focus to the human dimension, emphasising the true contributions of bushmeat to food security, nutrition and well-being, while balancing this perspective by considering the far-reaching impacts of overexploitation. What emerges from this synthesis is that bushmeat management will ultimately depend on understanding and working with people, with any approaches focused too narrowly on biodiversity preservation running the risk of failure in the long term. If wildlife is to survive and be utilised in the future, there is undoubtedly a need to relax adherence to unswerving biocentric or anthropocentric convictions, to appreciate the necessity for certain trade-offs and to develop integrated and flexible approaches that reconcile the requirements of both the animals and the people.","author":[{"dropping-particle":"","family":"Cawthorn","given":"Donna-Mareè","non-dropping-particle":"","parse-names":false,"suffix":""},{"dropping-particle":"","family":"Hoffman","given":"Louwrens C.","non-dropping-particle":"","parse-names":false,"suffix":""}],"container-title":"Food Research International","id":"ITEM-1","issued":{"date-parts":[["2015"]]},"page":"906-925","publisher":"Elsevier Ltd","title":"The bushmeat and food security nexus: a global account of the contributions, conundrums and ethical collisions","type":"article-journal","volume":"76"},"uris":["http://www.mendeley.com/documents/?uuid=c61d12b7-b7bb-44d8-854e-7bf9e14efad2"]},{"id":"ITEM-2","itemData":{"DOI":"ISBN 92-9225-083-3","ISBN":"9292250833","abstract":"2008. Conservation and use of wildlife-based resources: The bushmeat crisis. Technical series No. 33. Montreal: Secretariat of the Convention on Biological Diversity; and Bogor, Indonesia: Centre on International Forestry Research.","author":[{"dropping-particle":"","family":"Nasi","given":"R","non-dropping-particle":"","parse-names":false,"suffix":""},{"dropping-particle":"","family":"Brown","given":"D","non-dropping-particle":"","parse-names":false,"suffix":""},{"dropping-particle":"","family":"Wilkie","given":"D","non-dropping-particle":"","parse-names":false,"suffix":""},{"dropping-particle":"","family":"Bennett","given":"E","non-dropping-particle":"","parse-names":false,"suffix":""},{"dropping-particle":"","family":"Tutin","given":"C","non-dropping-particle":"","parse-names":false,"suffix":""},{"dropping-particle":"","family":"Tol","given":"G","non-dropping-particle":"Van","parse-names":false,"suffix":""},{"dropping-particle":"","family":"Christophersen","given":"T","non-dropping-particle":"","parse-names":false,"suffix":""}],"id":"ITEM-2","issued":{"date-parts":[["2008"]]},"number-of-pages":"50","publisher-place":"Secretariat of the Convention on Biological Diversity, Montreal, Canada, and Centre for International Forestry Research (CIFOR), Bogor, Indonesia.","title":"Conservation and use of wildlife-based resources: the bushmeat crisis. CBD Technical Series No. 33","type":"report"},"uris":["http://www.mendeley.com/documents/?uuid=820bb019-82b3-449a-b6b2-fbc4d35d17d6"]}],"mendeley":{"formattedCitation":"(Nasi et al. 2008; Cawthorn &amp; Hoffman 2015)","plainTextFormattedCitation":"(Nasi et al. 2008; Cawthorn &amp; Hoffman 2015)","previouslyFormattedCitation":"(Nasi et al. 2008; Cawthorn &amp; Hoffman 2015)"},"properties":{"noteIndex":0},"schema":"https://github.com/citation-style-language/schema/raw/master/csl-citation.json"}</w:instrText>
      </w:r>
      <w:r w:rsidR="00F8189C">
        <w:fldChar w:fldCharType="separate"/>
      </w:r>
      <w:r w:rsidR="00F8189C" w:rsidRPr="00F8189C">
        <w:rPr>
          <w:noProof/>
        </w:rPr>
        <w:t>(Nasi et al. 2008; Cawthorn &amp; Hoffman 2015)</w:t>
      </w:r>
      <w:r w:rsidR="00F8189C">
        <w:fldChar w:fldCharType="end"/>
      </w:r>
      <w:r w:rsidRPr="0070404D">
        <w:t xml:space="preserve">. Aside from protein, wild meat also provides an important source of fat and calories </w:t>
      </w:r>
      <w:r w:rsidR="00695FED">
        <w:fldChar w:fldCharType="begin" w:fldLock="1"/>
      </w:r>
      <w:r w:rsidR="00560F5A">
        <w:instrText>ADDIN CSL_CITATION {"citationItems":[{"id":"ITEM-1","itemData":{"DOI":"10.1080/03670244.1993.9991347","ISBN":"0021-8901","ISSN":"15435237","abstract":"1. The atmospheric deposition of sulphur and nitrogen compounds in the Netherlands has been responsible for decreasing plant species diversity in heathland. To unravel the relative importance of nitrogen compounds on soil acidification and eutrophication, and hence on the vegetation, we carried out a factorial addition experiment and a germination experiment in heathland on nutrient-poor sandy soil. 2. We changed nutrient availability and acidity independently in eight different treatments that, respectively, added nutrients or carbon in various combinations (N, P, glucose) or added acidifying or neutralizing compounds. One treatment also involved adding Al. Additions occurred five times per year during 5 years, in an area from which sods had been removed before the experiment began. The same design was used for the germination experiment, but the treatments were applied for 2 years. 3. Our results showed that acidification was the most important factor in reducing species diversity. In addition, the germination of several heathland species was significantly reduced in plots with a pH below 5, and germination was very poor in plots where Al had been added. 4. The number of plant species declined particularly with increasing Al in the upper soil horizons. We conclude that this relationship is responsible for the influence of acidification on plant species richness in heathland. 5. The influence of nutrient availability on species composition in heathland was subsidiary to acidity, but nutrient availability influenced species composition in an independent way. The growth of the three dominant species (Molinia caerulea, Calluna vulgaris and Erica tetralix) was limited by different nutrients. Erica tetralix was limited by N, Calluna vulgaris by P and Molinia caerulea by both N and P. We argue that increased N availability will change the relative availability of N and P, which can decrease species diversity. 6. Together these results show how factorial experiments can elucidate the complex ecological effects arising from sulphur and nitrogen deposition, revealing different mechanisms that change species richness and community composition.","author":[{"dropping-particle":"","family":"Smith","given":"Tom","non-dropping-particle":"","parse-names":false,"suffix":""},{"dropping-particle":"","family":"Earland","given":"Jane","non-dropping-particle":"","parse-names":false,"suffix":""},{"dropping-particle":"","family":"Bhatia","given":"Kuldeep","non-dropping-particle":"","parse-names":false,"suffix":""},{"dropping-particle":"","family":"Peter","given":"Heywood","non-dropping-particle":"","parse-names":false,"suffix":""},{"dropping-particle":"","family":"Singleton","given":"Nicola","non-dropping-particle":"","parse-names":false,"suffix":""}],"container-title":"Ecology of Food and Nutrition","id":"ITEM-1","issued":{"date-parts":[["1993"]]},"page":"1-25","title":"Linear growth of children in papua new guinea in relation to dietary, environmental and genetic factors","type":"article-journal","volume":"31"},"uris":["http://www.mendeley.com/documents/?uuid=d1110f19-0449-4053-b667-21ad291168be"]},{"id":"ITEM-2","itemData":{"author":[{"dropping-particle":"","family":"Sirén","given":"Anders","non-dropping-particle":"","parse-names":false,"suffix":""},{"dropping-particle":"","family":"Machoa","given":"José","non-dropping-particle":"","parse-names":false,"suffix":""}],"container-title":"Interciencia","id":"ITEM-2","issued":{"date-parts":[["2008"]]},"page":"186-193","title":"Fish, wildlife, and human nutrition in tropical forests: a fat gap?","type":"article-journal","volume":"33"},"uris":["http://www.mendeley.com/documents/?uuid=e6d6ab6b-4b5e-49dd-8c39-5082e76ae62d"]},{"id":"ITEM-3","itemData":{"DOI":"10.15451/ec2018","author":[{"dropping-particle":"","family":"Vliet","given":"Nathalie","non-dropping-particle":"Van","parse-names":false,"suffix":""},{"dropping-particle":"","family":"Schulte-Herbruggen","given":"Björn","non-dropping-particle":"","parse-names":false,"suffix":""},{"dropping-particle":"","family":"Vanegas","given":"Liliana","non-dropping-particle":"","parse-names":false,"suffix":""},{"dropping-particle":"","family":"Yair-Cuesta","given":"Eric","non-dropping-particle":"","parse-names":false,"suffix":""},{"dropping-particle":"","family":"Sandrin","given":"Francois","non-dropping-particle":"","parse-names":false,"suffix":""},{"dropping-particle":"","family":"Nasi","given":"Robert","non-dropping-particle":"","parse-names":false,"suffix":""}],"container-title":"Ethnobiology and Conservation","id":"ITEM-3","issue":"2","issued":{"date-parts":[["2018"]]},"page":"1-15","title":"Wild animals (fish and wildmeat) contribute to dietary diversity among food insecure urban teenagers the case of Quibdó, Colombia","type":"article-journal","volume":"7"},"uris":["http://www.mendeley.com/documents/?uuid=71e2bbf4-9637-4afa-8d29-2cd96c34dc49"]}],"mendeley":{"formattedCitation":"(Smith et al. 1993; Sirén &amp; Machoa 2008; Van Vliet et al. 2018b)","plainTextFormattedCitation":"(Smith et al. 1993; Sirén &amp; Machoa 2008; Van Vliet et al. 2018b)","previouslyFormattedCitation":"(Smith et al. 1993; Sirén &amp; Machoa 2008; Van Vliet et al. 2018b)"},"properties":{"noteIndex":0},"schema":"https://github.com/citation-style-language/schema/raw/master/csl-citation.json"}</w:instrText>
      </w:r>
      <w:r w:rsidR="00695FED">
        <w:fldChar w:fldCharType="separate"/>
      </w:r>
      <w:r w:rsidR="00695FED" w:rsidRPr="00695FED">
        <w:rPr>
          <w:noProof/>
        </w:rPr>
        <w:t>(Smith et al. 1993; Sirén &amp; Machoa 2008; Van Vliet et al. 2018b)</w:t>
      </w:r>
      <w:r w:rsidR="00695FED">
        <w:fldChar w:fldCharType="end"/>
      </w:r>
      <w:r w:rsidRPr="0070404D">
        <w:t xml:space="preserve">, and contributes to nutritional diversity </w:t>
      </w:r>
      <w:r w:rsidR="00560F5A">
        <w:fldChar w:fldCharType="begin" w:fldLock="1"/>
      </w:r>
      <w:r w:rsidR="00763BF5">
        <w:instrText>ADDIN CSL_CITATION {"citationItems":[{"id":"ITEM-1","itemData":{"author":[{"dropping-particle":"","family":"Sarti","given":"Flavia M","non-dropping-particle":"","parse-names":false,"suffix":""},{"dropping-particle":"","family":"Adams","given":"Cristina","non-dropping-particle":"","parse-names":false,"suffix":""},{"dropping-particle":"","family":"Morsello","given":"Carla","non-dropping-particle":"","parse-names":false,"suffix":""},{"dropping-particle":"","family":"Vliet","given":"Nathalie","non-dropping-particle":"van","parse-names":false,"suffix":""},{"dropping-particle":"","family":"Schor","given":"Tatiana","non-dropping-particle":"","parse-names":false,"suffix":""},{"dropping-particle":"","family":"Yagüe","given":"Blanca","non-dropping-particle":"","parse-names":false,"suffix":""},{"dropping-particle":"","family":"Tellez","given":"Leady","non-dropping-particle":"","parse-names":false,"suffix":""}],"container-title":"Ecology and Society","id":"ITEM-1","issue":"4","issued":{"date-parts":[["2015"]]},"page":"22","title":"Beyond protein intake: bushmeat as source of micronutrients in the Amazon","type":"article-journal","volume":"20"},"uris":["http://www.mendeley.com/documents/?uuid=2e82fab9-d980-4d4c-b7cc-ad9523645550"]},{"id":"ITEM-2","itemData":{"DOI":"10.15451/ec2015-7-4.6-1-12","author":[{"dropping-particle":"","family":"Vliet","given":"Nathalie","non-dropping-particle":"Van","parse-names":false,"suffix":""},{"dropping-particle":"","family":"Quiceno-mesa","given":"Maria Paula","non-dropping-particle":"","parse-names":false,"suffix":""},{"dropping-particle":"","family":"Cruz-antia","given":"Daniel","non-dropping-particle":"","parse-names":false,"suffix":""},{"dropping-particle":"","family":"Tellez","given":"Leady","non-dropping-particle":"","parse-names":false,"suffix":""},{"dropping-particle":"","family":"Martins","given":"Cristian","non-dropping-particle":"","parse-names":false,"suffix":""},{"dropping-particle":"","family":"Haiden","given":"Enio","non-dropping-particle":"","parse-names":false,"suffix":""},{"dropping-particle":"De","family":"Oliveira","given":"Ribeiro","non-dropping-particle":"","parse-names":false,"suffix":""},{"dropping-particle":"","family":"Adams","given":"Cristina","non-dropping-particle":"","parse-names":false,"suffix":""},{"dropping-particle":"","family":"Morsello","given":"Carla","non-dropping-particle":"","parse-names":false,"suffix":""},{"dropping-particle":"","family":"Valencia","given":"Lorena","non-dropping-particle":"","parse-names":false,"suffix":""},{"dropping-particle":"","family":"Bonilla","given":"Tamara","non-dropping-particle":"","parse-names":false,"suffix":""},{"dropping-particle":"","family":"Yagüe","given":"Blanca","non-dropping-particle":"","parse-names":false,"suffix":""},{"dropping-particle":"","family":"Nasi","given":"Robert","non-dropping-particle":"","parse-names":false,"suffix":""}],"container-title":"Ethnobiology and Conservation","id":"ITEM-2","issue":"6","issued":{"date-parts":[["2015"]]},"title":"From fish and bushmeat to chicken nuggets : the nutrition transition in a continuum from rural to urban settings in the Colombian Amazon region","type":"article-journal","volume":"4"},"uris":["http://www.mendeley.com/documents/?uuid=27be472b-8d02-42e2-af04-e6ef82972f66"]}],"mendeley":{"formattedCitation":"(Sarti et al. 2015; Van Vliet et al. 2015d)","plainTextFormattedCitation":"(Sarti et al. 2015; Van Vliet et al. 2015d)","previouslyFormattedCitation":"(Sarti et al. 2015; Van Vliet et al. 2015d)"},"properties":{"noteIndex":0},"schema":"https://github.com/citation-style-language/schema/raw/master/csl-citation.json"}</w:instrText>
      </w:r>
      <w:r w:rsidR="00560F5A">
        <w:fldChar w:fldCharType="separate"/>
      </w:r>
      <w:r w:rsidR="00763BF5" w:rsidRPr="00763BF5">
        <w:rPr>
          <w:noProof/>
        </w:rPr>
        <w:t>(Sarti et al. 2015; Van Vliet et al. 2015d)</w:t>
      </w:r>
      <w:r w:rsidR="00560F5A">
        <w:fldChar w:fldCharType="end"/>
      </w:r>
      <w:r w:rsidRPr="0070404D">
        <w:t>. Meat also provides various important micronutrients (vitamins and minerals), which are vital for health and developmental functions</w:t>
      </w:r>
      <w:r>
        <w:t>. These micronutrients</w:t>
      </w:r>
      <w:r w:rsidRPr="0070404D">
        <w:t xml:space="preserve"> are typically in higher quantities and with higher bioavailability in meat </w:t>
      </w:r>
      <w:r w:rsidRPr="0070404D">
        <w:lastRenderedPageBreak/>
        <w:t xml:space="preserve">than in plant-based foods </w:t>
      </w:r>
      <w:r w:rsidR="00560F5A">
        <w:fldChar w:fldCharType="begin" w:fldLock="1"/>
      </w:r>
      <w:r w:rsidR="00566AAF">
        <w:instrText>ADDIN CSL_CITATION {"citationItems":[{"id":"ITEM-1","itemData":{"DOI":"10.3390/su5114797","ISBN":"3906611841","ISSN":"20711050","PMID":"25246403","abstract":"Growing population demands make it unclear how our current global food system will meet future food needs. This paper examines the contribution of forests and trees to sustainable diets, covering among others, nutritional, cultural, environmental and provisioning aspects. The paper makes recommendations to enhance the contribution of forest foods to sustainable diets through increased awareness and better integration of information and knowledge on nutritious forest foods.","author":[{"dropping-particle":"","family":"Vinceti","given":"Barbara","non-dropping-particle":"","parse-names":false,"suffix":""},{"dropping-particle":"","family":"Termote","given":"Céline","non-dropping-particle":"","parse-names":false,"suffix":""},{"dropping-particle":"","family":"Ickowitz","given":"Amy","non-dropping-particle":"","parse-names":false,"suffix":""},{"dropping-particle":"","family":"Powell","given":"Bronwen","non-dropping-particle":"","parse-names":false,"suffix":""},{"dropping-particle":"","family":"Kehlenbeck","given":"Katja","non-dropping-particle":"","parse-names":false,"suffix":""},{"dropping-particle":"","family":"Hunter","given":"Danny","non-dropping-particle":"","parse-names":false,"suffix":""}],"container-title":"Sustainability","id":"ITEM-1","issue":"11","issued":{"date-parts":[["2013"]]},"page":"4797-4824","title":"The contribution of forests and trees to sustainable diets","type":"article-journal","volume":"5"},"uris":["http://www.mendeley.com/documents/?uuid=24b56875-db59-4295-a2cf-9f284165fd00"]},{"id":"ITEM-2","itemData":{"DOI":"10.1038/srep08168","ISBN":"doi:10.1038/srep08168","ISSN":"2045-2322","PMID":"25639588","abstract":"We studied links between human malnutrition and wild meat availability within the Rainforest Biotic Zone in central Africa. We distinguished two distinct hunted mammalian diversity distributions, one in the rainforest areas (Deep Rainforest Diversity, DRD) containing taxa of lower hunting sustainability, the other in the northern rainforest-savanna mosaic, with species of greater hunting potential (Marginal Rainforest Diversity, MRD). Wild meat availability, assessed by standing crop mammalian biomass, was greater in MRD than in DRD areas. Predicted bushmeat extraction was also higher in MRD areas. Despite this, stunting of children, a measure of human malnutrition, was greater in MRD areas. Structural equation modeling identified that, in MRD areas, mammal diversity fell away from urban areas, but proximity to these positively influenced higher stunting incidence. In DRD areas, remoteness and distance from dense human settlements and infrastructures explained lower stunting levels. Moreover, stunting was higher away from protected areas. Our results suggest that in MRD areas, forest wildlife rational use for better human nutrition is possible. By contrast, the relatively low human populations in DRD areas currently offer abundant opportunities for the continued protection of more vulnerable mammals and allow dietary needs of local populations to be met.","author":[{"dropping-particle":"","family":"Fa","given":"John E","non-dropping-particle":"","parse-names":false,"suffix":""},{"dropping-particle":"","family":"Olivero","given":"Jesús","non-dropping-particle":"","parse-names":false,"suffix":""},{"dropping-particle":"","family":"Real","given":"Raimundo","non-dropping-particle":"","parse-names":false,"suffix":""},{"dropping-particle":"","family":"Farfán","given":"Miguel A","non-dropping-particle":"","parse-names":false,"suffix":""},{"dropping-particle":"","family":"Márquez","given":"Ana L","non-dropping-particle":"","parse-names":false,"suffix":""},{"dropping-particle":"","family":"Vargas","given":"J Mario","non-dropping-particle":"","parse-names":false,"suffix":""},{"dropping-particle":"","family":"Ziegler","given":"Stefan","non-dropping-particle":"","parse-names":false,"suffix":""},{"dropping-particle":"","family":"Wegmann","given":"Martin","non-dropping-particle":"","parse-names":false,"suffix":""},{"dropping-particle":"","family":"Brown","given":"David","non-dropping-particle":"","parse-names":false,"suffix":""},{"dropping-particle":"","family":"Margetts","given":"Barrie","non-dropping-particle":"","parse-names":false,"suffix":""},{"dropping-particle":"","family":"Nasi","given":"Robert","non-dropping-particle":"","parse-names":false,"suffix":""}],"container-title":"Scientific reports","id":"ITEM-2","issue":"8168","issued":{"date-parts":[["2015"]]},"title":"Disentangling the relative effects of bushmeat availability on human nutrition in Central Africa","type":"article-journal","volume":"5"},"uris":["http://www.mendeley.com/documents/?uuid=a94c51be-6517-4bd8-86e7-7cf505b8823b"]},{"id":"ITEM-3","itemData":{"DOI":"10.1073/pnas.1112586108","author":[{"dropping-particle":"","family":"Golden","given":"Christopher D","non-dropping-particle":"","parse-names":false,"suffix":""},{"dropping-particle":"","family":"Fernald","given":"Lia C H","non-dropping-particle":"","parse-names":false,"suffix":""},{"dropping-particle":"","family":"Brashares","given":"Justin S","non-dropping-particle":"","parse-names":false,"suffix":""},{"dropping-particle":"","family":"Rasolofoniaina","given":"B J Rodolph","non-dropping-particle":"","parse-names":false,"suffix":""},{"dropping-particle":"","family":"Kremen","given":"Claire","non-dropping-particle":"","parse-names":false,"suffix":""}],"container-title":"Proceedings of the National Academy of Sciences","id":"ITEM-3","issue":"49","issued":{"date-parts":[["2011"]]},"page":"19653-19656","title":"Benefits of wildlife consumption to child nutrition in a biodiversity hotspot","type":"article-journal","volume":"108"},"uris":["http://www.mendeley.com/documents/?uuid=8069b74c-1791-4990-9cce-781b9f0af967"]},{"id":"ITEM-4","itemData":{"author":[{"dropping-particle":"","family":"Sarti","given":"Flavia M","non-dropping-particle":"","parse-names":false,"suffix":""},{"dropping-particle":"","family":"Adams","given":"Cristina","non-dropping-particle":"","parse-names":false,"suffix":""},{"dropping-particle":"","family":"Morsello","given":"Carla","non-dropping-particle":"","parse-names":false,"suffix":""},{"dropping-particle":"","family":"Vliet","given":"Nathalie","non-dropping-particle":"van","parse-names":false,"suffix":""},{"dropping-particle":"","family":"Schor","given":"Tatiana","non-dropping-particle":"","parse-names":false,"suffix":""},{"dropping-particle":"","family":"Yagüe","given":"Blanca","non-dropping-particle":"","parse-names":false,"suffix":""},{"dropping-particle":"","family":"Tellez","given":"Leady","non-dropping-particle":"","parse-names":false,"suffix":""}],"container-title":"Ecology and Society","id":"ITEM-4","issue":"4","issued":{"date-parts":[["2015"]]},"page":"22","title":"Beyond protein intake: bushmeat as source of micronutrients in the Amazon","type":"article-journal","volume":"20"},"uris":["http://www.mendeley.com/documents/?uuid=2e82fab9-d980-4d4c-b7cc-ad9523645550"]},{"id":"ITEM-5","itemData":{"author":[{"dropping-particle":"","family":"Sirén","given":"Anders","non-dropping-particle":"","parse-names":false,"suffix":""},{"dropping-particle":"","family":"Machoa","given":"José","non-dropping-particle":"","parse-names":false,"suffix":""}],"container-title":"Interciencia","id":"ITEM-5","issued":{"date-parts":[["2008"]]},"page":"186-193","title":"Fish, wildlife, and human nutrition in tropical forests: a fat gap?","type":"article-journal","volume":"33"},"uris":["http://www.mendeley.com/documents/?uuid=e6d6ab6b-4b5e-49dd-8c39-5082e76ae62d"]},{"id":"ITEM-6","itemData":{"DOI":"10.15451/ec2017-04-6.3-1-45","ISBN":"2238-4782","ISSN":"22384782","author":[{"dropping-particle":"","family":"Vliet","given":"Nathalie","non-dropping-particle":"Van","parse-names":false,"suffix":""},{"dropping-particle":"","family":"Moreno","given":"Jessica","non-dropping-particle":"","parse-names":false,"suffix":""},{"dropping-particle":"","family":"Gómez","given":"Juanita","non-dropping-particle":"","parse-names":false,"suffix":""},{"dropping-particle":"","family</w:instrText>
      </w:r>
      <w:r w:rsidR="00566AAF" w:rsidRPr="00DF57F3">
        <w:rPr>
          <w:lang w:val="fr-FR"/>
        </w:rPr>
        <w:instrText>":"Zhou","given":"Wen","non-dropping-particle":"","parse-names":false,"suffix":""},{"dropping-particle":"","family":"Fa","given":"John Emmanuel","non-dropping-particle":"","parse-names":false,"suffix":""},{"dropping-particle":"","family":"Golden","given":"Christopher","non-dropping-particle":"","parse-names":false,"suffix":""},{"dropping-particle":"","family":"Alves","given":"Rômulo Romeu Nóbrega","non-dropping-particle":"","parse-names":false,"suffix":""},{"dropping-particle":"","family":"Nasi","given":"Robert","non-dropping-particle":"","parse-names":false,"suffix":""}],"container-title":"Ethnobiology and Conservation","id":"ITEM-6","issue":"3","issued":{"date-parts":[["2017"]]},"title":"Bushmeat and human health: assessing the evidence in tropical and sub-tropical forests","type":"article-journal","volume":"6"},"uris":["http://www.mendeley.com/documents/?uuid=78b2f884-8356-462d-9517-8da95ee1fd46"]}],"mendeley":{"formattedCitation":"(Sirén &amp; Machoa 2008; Golden et al. 2011; Vinceti et al. 2013; Fa et al. 2015; Sarti et al. 2015; Van Vliet et al. 2017a)","plainTextFormattedCitation":"(Sirén &amp; Machoa 2008; Golden et al. 2011; Vinceti et al. 2013; Fa et al. 2015; Sarti et al. 2015; Van Vliet et al. 2017a)","previouslyFormattedCitation":"(Sirén &amp; Machoa 2008; Golden et al. 2011; Vinceti et al. 2013; Fa et al. 2015; Sarti et al. 2015; Van Vliet et al. 2017a)"},"properties":{"noteIndex":0},"schema":"https://github.com/citation-style-language/schema/raw/master/csl-citation.json"}</w:instrText>
      </w:r>
      <w:r w:rsidR="00560F5A">
        <w:fldChar w:fldCharType="separate"/>
      </w:r>
      <w:r w:rsidR="00560F5A" w:rsidRPr="00DF57F3">
        <w:rPr>
          <w:noProof/>
          <w:lang w:val="fr-FR"/>
        </w:rPr>
        <w:t>(Sirén &amp; Machoa 2008; Golden et al. 2011; Vinceti et al. 2013; Fa et al. 2015; Sarti et al. 2015; Van Vliet et al. 2017a)</w:t>
      </w:r>
      <w:r w:rsidR="00560F5A">
        <w:fldChar w:fldCharType="end"/>
      </w:r>
      <w:r w:rsidRPr="00DF57F3">
        <w:rPr>
          <w:lang w:val="fr-FR"/>
        </w:rPr>
        <w:t xml:space="preserve">. </w:t>
      </w:r>
      <w:r w:rsidRPr="0070404D">
        <w:t xml:space="preserve">The contribution of these micronutrients becomes even more critical for those afflicted with disease or for their dependents, such as in </w:t>
      </w:r>
      <w:r w:rsidR="00C0256D">
        <w:t>HIV/AIDS</w:t>
      </w:r>
      <w:r w:rsidRPr="00C0256D">
        <w:t>-</w:t>
      </w:r>
      <w:r w:rsidRPr="0070404D">
        <w:t xml:space="preserve">afflicted </w:t>
      </w:r>
      <w:r w:rsidR="00560F5A">
        <w:fldChar w:fldCharType="begin" w:fldLock="1"/>
      </w:r>
      <w:r w:rsidR="00B2630D">
        <w:instrText>ADDIN CSL_CITATION {"citationItems":[{"id":"ITEM-1","itemData":{"DOI":"10.13140/RG.2.2.17748.40320","author":[{"dropping-particle":"","family":"Abu-Basutu","given":"K N","non-dropping-particle":"","parse-names":false,"suffix":""}],"id":"ITEM-1","issued":{"date-parts":[["2013"]]},"number-of-pages":"146","publisher":"MSc Thesis, Rhodes University, South Africa","title":"Relative contribution of wild foods to individual and household food security in the context of increasing vulnerability due to HIV/AIDS and climate variability","type":"book"},"uris":["http://www.mendeley.com/documents/?uuid=11ca9a89-b962-4a9d-85da-ef20ddd588e1"]},{"id":"ITEM-2","itemData":{"author":[{"dropping-particle":"","family":"Kaschula","given":"S A","non-dropping-particle":"","parse-names":false,"suffix":""}],"container-title":"Population and Environment","id":"ITEM-2","issued":{"date-parts":[["2008"]]},"page":"162-185","title":"Wild foods and household food security responses to AIDS: evidence from South Africa","type":"article-journal","volume":"29"},"uris":["http://www.mendeley.com/documents/?uuid=21c5f2ae-c4af-4263-a88c-6336bbf04d49"]},{"id":"ITEM-3","itemData":{"ISBN":"978-92-95069-05-3","author":[{"dropping-particle":"","family":"McGarry","given":"Dylan","non-dropping-particle":"","parse-names":false,"suffix":""}],"id":"ITEM-3","issued":{"date-parts":[["2008"]]},"number-of-pages":"129","publisher":"MSc Thesis, Rhodes University, South Africa","publisher-place":"MSc Thesis, Rhodes University, South Africa","title":"The impact of HIV/AIDS on rural children’s reliance on natural resources within the Eastern Cape, South Africa","type":"book"},"uris":["http://www.mendeley.com/documents/?uuid=c6069572-3d9f-4fcf-8d83-a47809d4fcb2"]}],"mendeley":{"formattedCitation":"(Kaschula 2008; McGarry 2008; Abu-Basutu 2013)","plainTextFormattedCitation":"(Kaschula 2008; McGarry 2008; Abu-Basutu 2013)","previouslyFormattedCitation":"(Kaschula 2008; McGarry 2008; Abu-Basutu 2013)"},"properties":{"noteIndex":0},"schema":"https://github.com/citation-style-language/schema/raw/master/csl-citation.json"}</w:instrText>
      </w:r>
      <w:r w:rsidR="00560F5A">
        <w:fldChar w:fldCharType="separate"/>
      </w:r>
      <w:r w:rsidR="00560F5A" w:rsidRPr="00560F5A">
        <w:rPr>
          <w:noProof/>
        </w:rPr>
        <w:t>(Kaschula 2008; McGarry 2008; Abu-Basutu 2013)</w:t>
      </w:r>
      <w:r w:rsidR="00560F5A">
        <w:fldChar w:fldCharType="end"/>
      </w:r>
      <w:r w:rsidRPr="0070404D">
        <w:t xml:space="preserve">. </w:t>
      </w:r>
    </w:p>
    <w:p w14:paraId="2BECA599" w14:textId="6ABA5F00" w:rsidR="00DA4708" w:rsidRPr="007C54B0" w:rsidRDefault="00DA4708" w:rsidP="002C0EF9">
      <w:pPr>
        <w:jc w:val="both"/>
      </w:pPr>
      <w:r>
        <w:t>In South America</w:t>
      </w:r>
      <w:r w:rsidRPr="00CC5E3D">
        <w:rPr>
          <w:rFonts w:eastAsiaTheme="minorHAnsi"/>
          <w:lang w:eastAsia="en-GB"/>
        </w:rPr>
        <w:t xml:space="preserve">, </w:t>
      </w:r>
      <w:r>
        <w:t>wild</w:t>
      </w:r>
      <w:r w:rsidRPr="00CC5E3D">
        <w:rPr>
          <w:rFonts w:eastAsiaTheme="minorHAnsi"/>
          <w:lang w:eastAsia="en-GB"/>
        </w:rPr>
        <w:t xml:space="preserve"> meat in rural communities remains an important component of household food security, not necessarily in terms of quantit</w:t>
      </w:r>
      <w:r>
        <w:rPr>
          <w:rFonts w:eastAsiaTheme="minorHAnsi"/>
          <w:lang w:eastAsia="en-GB"/>
        </w:rPr>
        <w:t>y</w:t>
      </w:r>
      <w:r w:rsidRPr="00CC5E3D">
        <w:rPr>
          <w:rFonts w:eastAsiaTheme="minorHAnsi"/>
          <w:lang w:eastAsia="en-GB"/>
        </w:rPr>
        <w:t xml:space="preserve">, but as a key element in diet, income diversification, and </w:t>
      </w:r>
      <w:r>
        <w:t xml:space="preserve">socially and </w:t>
      </w:r>
      <w:r w:rsidR="00A479D2">
        <w:t>culturally</w:t>
      </w:r>
      <w:r w:rsidRPr="00CC5E3D">
        <w:rPr>
          <w:rFonts w:eastAsiaTheme="minorHAnsi"/>
          <w:lang w:eastAsia="en-GB"/>
        </w:rPr>
        <w:t xml:space="preserve">. </w:t>
      </w:r>
      <w:r w:rsidRPr="0070404D">
        <w:t>Presently available estimates indicate that 5–8 million people in South America (</w:t>
      </w:r>
      <w:r w:rsidRPr="0070404D">
        <w:rPr>
          <w:i/>
        </w:rPr>
        <w:t>ca</w:t>
      </w:r>
      <w:r w:rsidRPr="0070404D">
        <w:t xml:space="preserve">. 1.4–2.2% of the total population) regularly rely on wild meat as a protein source, with many being amongst the poorest of the </w:t>
      </w:r>
      <w:r w:rsidR="00560F5A">
        <w:fldChar w:fldCharType="begin" w:fldLock="1"/>
      </w:r>
      <w:r w:rsidR="00C42E76">
        <w:instrText>ADDIN CSL_CITATION {"citationItems":[{"id":"ITEM-1","itemData":{"ISBN":"1742 - 6022","abstract":"Between 5 to 8 million people in South America rely regularly on bushmeat as a source of protein in their diets. This represents only 1.4 to 2.2% of the total continental population, but these people are likely to be some of the poorest in the region. In terms of its contributions to the overall supply of meat in the region, bushmeat would appear to have very little importance. The future importance of bushmeat will depend on two factors: the economic growth of the South American economies and the ability of the livestock and fishery sectors to supply affordable protein. If both of these factors are positive over the next time period, it is suggested that bushmeat will further reduce in importance both in terms of the number of people who consume such meat and the total quantity of meat consumed. Improvement in people’s livelihoods in the Amazon region might well reduce bushmeat consumption and hence hunting pressures. However, the limitations in the data available on consumption patterns and changing preferences over time suggest a need for caution on the likely future scenarios.","author":[{"dropping-particle":"","family":"Rushton","given":"Jonathan","non-dropping-particle":"","parse-names":false,"suffix":""},{"dropping-particle":"","family":"Viscarra","given":"Rommy","non-dropping-particle":"","parse-names":false,"suffix":""},{"dropping-particle":"","family":"Viscarra","given":"Cecilia","non-dropping-particle":"","parse-names":false,"suffix":""},{"dropping-particle":"","family":"Basset","given":"Frederick","non-dropping-particle":"","parse-names":false,"suffix":""},{"dropping-particle":"","family":"Baptista","given":"Rene","non-dropping-particle":"","parse-names":false,"suffix":""},{"dropping-particle":"","family":"Brown","given":"David","non-dropping-particle":"","parse-names":false,"suffix":""}],"container-title":"Odi Wildlife Policy Briefing","id":"ITEM-1","issued":{"date-parts":[["2005"]]},"number-of-pages":"4","title":"How important is bushmeat consumption in South America: now and in the future?","type":"report"},"uris":["http://www.mendeley.com/documents/?uuid=eb49e35f-8fec-4a39-a0f5-3afc926cd878"]}],"mendeley":{"formattedCitation":"(Rushton et al. 2005)","plainTextFormattedCitation":"(Rushton et al. 2005)","previouslyFormattedCitation":"(Rushton et al. 2005)"},"properties":{"noteIndex":0},"schema":"https://github.com/citation-style-language/schema/raw/master/csl-citation.json"}</w:instrText>
      </w:r>
      <w:r w:rsidR="00560F5A">
        <w:fldChar w:fldCharType="separate"/>
      </w:r>
      <w:r w:rsidR="00560F5A" w:rsidRPr="00560F5A">
        <w:rPr>
          <w:noProof/>
        </w:rPr>
        <w:t>(Rushton et al. 2005)</w:t>
      </w:r>
      <w:r w:rsidR="00560F5A">
        <w:fldChar w:fldCharType="end"/>
      </w:r>
      <w:r w:rsidRPr="0070404D">
        <w:t xml:space="preserve">. </w:t>
      </w:r>
      <w:r>
        <w:t>Among the caiçaras people in the Atlantic forest of Brazil,</w:t>
      </w:r>
      <w:r w:rsidRPr="00CC5E3D">
        <w:t xml:space="preserve"> </w:t>
      </w:r>
      <w:r>
        <w:t>the</w:t>
      </w:r>
      <w:r w:rsidRPr="00CC5E3D">
        <w:rPr>
          <w:rFonts w:eastAsiaTheme="minorHAnsi"/>
          <w:lang w:eastAsia="en-GB"/>
        </w:rPr>
        <w:t xml:space="preserve"> dependency on </w:t>
      </w:r>
      <w:r>
        <w:t>wild meat is not constant along the year, but</w:t>
      </w:r>
      <w:r w:rsidRPr="00CC5E3D">
        <w:rPr>
          <w:rFonts w:eastAsiaTheme="minorHAnsi"/>
          <w:lang w:eastAsia="en-GB"/>
        </w:rPr>
        <w:t xml:space="preserve"> occasional hunting represents a complimentary source of animal protein</w:t>
      </w:r>
      <w:r>
        <w:rPr>
          <w:rFonts w:eastAsiaTheme="minorHAnsi"/>
          <w:lang w:eastAsia="en-GB"/>
        </w:rPr>
        <w:t xml:space="preserve"> </w:t>
      </w:r>
      <w:r>
        <w:rPr>
          <w:rFonts w:eastAsiaTheme="minorHAnsi"/>
          <w:lang w:eastAsia="en-GB"/>
        </w:rPr>
        <w:fldChar w:fldCharType="begin" w:fldLock="1"/>
      </w:r>
      <w:r w:rsidR="00D72B40">
        <w:rPr>
          <w:rFonts w:eastAsiaTheme="minorHAnsi"/>
          <w:lang w:eastAsia="en-GB"/>
        </w:rPr>
        <w:instrText>ADDIN CSL_CITATION {"citationItems":[{"id":"ITEM-1","itemData":{"DOI":"10.1186/1746-4269-5-36","author":[{"dropping-particle":"","family":"Hanazaki","given":"Natalia","non-dropping-particle":"","parse-names":false,"suffix":""},{"dropping-particle":"","family":"Alves","given":"Rômulo R N","non-dropping-particle":"","parse-names":false,"suffix":""},{"dropping-particle":"","family":"Begossi","given":"Alpina","non-dropping-particle":"","parse-names":false,"suffix":""}],"container-title":"Journal of Ethnobiology and Ethnomedicine","id":"ITEM-1","issue":"36","issued":{"date-parts":[["2009"]]},"title":"Hunting and use of terrestrial fauna used by Caiçaras from the Atlantic Forest coast (Brazil)","type":"article-journal","volume":"5"},"uris":["http://www.mendeley.com/documents/?uuid=5130c323-0a4e-43e2-9724-fff78c40d46c"]}],"mendeley":{"formattedCitation":"(Hanazaki et al. 2009)","manualFormatting":"(Hanazaki et al., 2009)","plainTextFormattedCitation":"(Hanazaki et al. 2009)","previouslyFormattedCitation":"(Hanazaki et al. 2009)"},"properties":{"noteIndex":0},"schema":"https://github.com/citation-style-language/schema/raw/master/csl-citation.json"}</w:instrText>
      </w:r>
      <w:r>
        <w:rPr>
          <w:rFonts w:eastAsiaTheme="minorHAnsi"/>
          <w:lang w:eastAsia="en-GB"/>
        </w:rPr>
        <w:fldChar w:fldCharType="separate"/>
      </w:r>
      <w:r w:rsidRPr="00566ACC">
        <w:rPr>
          <w:rFonts w:eastAsiaTheme="minorHAnsi"/>
          <w:noProof/>
          <w:lang w:eastAsia="en-GB"/>
        </w:rPr>
        <w:t xml:space="preserve">(Hanazaki </w:t>
      </w:r>
      <w:r>
        <w:rPr>
          <w:rFonts w:eastAsiaTheme="minorHAnsi"/>
          <w:noProof/>
          <w:lang w:eastAsia="en-GB"/>
        </w:rPr>
        <w:t xml:space="preserve">et al., </w:t>
      </w:r>
      <w:r w:rsidRPr="00566ACC">
        <w:rPr>
          <w:rFonts w:eastAsiaTheme="minorHAnsi"/>
          <w:noProof/>
          <w:lang w:eastAsia="en-GB"/>
        </w:rPr>
        <w:t>2009)</w:t>
      </w:r>
      <w:r>
        <w:rPr>
          <w:rFonts w:eastAsiaTheme="minorHAnsi"/>
          <w:lang w:eastAsia="en-GB"/>
        </w:rPr>
        <w:fldChar w:fldCharType="end"/>
      </w:r>
      <w:r w:rsidRPr="00CC5E3D">
        <w:rPr>
          <w:rFonts w:eastAsiaTheme="minorHAnsi"/>
          <w:lang w:eastAsia="en-GB"/>
        </w:rPr>
        <w:t>.</w:t>
      </w:r>
      <w:r>
        <w:rPr>
          <w:rFonts w:eastAsiaTheme="minorHAnsi"/>
          <w:lang w:eastAsia="en-GB"/>
        </w:rPr>
        <w:t xml:space="preserve"> </w:t>
      </w:r>
      <w:r w:rsidRPr="00514687">
        <w:t xml:space="preserve">In Venezuela, </w:t>
      </w:r>
      <w:r>
        <w:t xml:space="preserve">a study from </w:t>
      </w:r>
      <w:r>
        <w:fldChar w:fldCharType="begin" w:fldLock="1"/>
      </w:r>
      <w:r w:rsidR="00D72B40">
        <w:instrText>ADDIN CSL_CITATION {"citationItems":[{"id":"ITEM-1","itemData":{"ISBN":"9789588343785","author":[{"dropping-particle":"","family":"Señaris","given":"J C","non-dropping-particle":"","parse-names":false,"suffix":""},{"dropping-particle":"","family":"Ferrer","given":"A","non-dropping-particle":"","parse-names":false,"suffix":""}],"container-title":"Carne de monte y consumo de fauna silvestre en la Orinoquia y Amazonis (Colombia y Venezuela) Memorias del Taller Regional Inirida, Guainia (Colombia)","id":"ITEM-1","issued":{"date-parts":[["2012"]]},"publisher":"Instituto de Investigaciones de Recursos Biológicos Alexander von Humboldt, Universidad Nacional de Colombia, Sede Orinoquia, Instituto de Estudios de la Orinoquia y Corporación para el Desarrollo Sostenible del Norte y el Oriente Amazónico","title":"Síntesis preliminar del uso de la fauna en la Guayana venezolana","type":"chapter"},"uris":["http://www.mendeley.com/documents/?uuid=aa133a7d-797e-4343-9875-d68528825b7e"]}],"mendeley":{"formattedCitation":"(Señaris &amp; Ferrer 2012)","manualFormatting":"Señaris and Ferrer (2012)","plainTextFormattedCitation":"(Señaris &amp; Ferrer 2012)","previouslyFormattedCitation":"(Señaris &amp; Ferrer 2012)"},"properties":{"noteIndex":0},"schema":"https://github.com/citation-style-language/schema/raw/master/csl-citation.json"}</w:instrText>
      </w:r>
      <w:r>
        <w:fldChar w:fldCharType="separate"/>
      </w:r>
      <w:r w:rsidRPr="00E21AF4">
        <w:rPr>
          <w:noProof/>
        </w:rPr>
        <w:t xml:space="preserve">Señaris </w:t>
      </w:r>
      <w:r>
        <w:rPr>
          <w:noProof/>
        </w:rPr>
        <w:t xml:space="preserve">and </w:t>
      </w:r>
      <w:r w:rsidRPr="00E21AF4">
        <w:rPr>
          <w:noProof/>
        </w:rPr>
        <w:t xml:space="preserve">Ferrer </w:t>
      </w:r>
      <w:r>
        <w:rPr>
          <w:noProof/>
        </w:rPr>
        <w:t>(</w:t>
      </w:r>
      <w:r w:rsidRPr="00E21AF4">
        <w:rPr>
          <w:noProof/>
        </w:rPr>
        <w:t>2012)</w:t>
      </w:r>
      <w:r>
        <w:fldChar w:fldCharType="end"/>
      </w:r>
      <w:r>
        <w:t xml:space="preserve"> found that hunting fulfilled mainly subsistence purposes in indigenous communities and contributed between 40% to 100% of the meat consumed, whereas in mestizo (mixed heritage) communities, wild meat contributed to 10-30% of meat intake. </w:t>
      </w:r>
      <w:r w:rsidRPr="00637221">
        <w:rPr>
          <w:lang w:val="en-US"/>
        </w:rPr>
        <w:t xml:space="preserve">In semiarid regions, such as the Brazilian Caatinga, wild mammal meat can be a vital source of animal protein for human communities because the availability of fish is limited. In this ecoregion, wild meat can be especially critical during the early drought periods, when crops are scarce and domestic animals may die because of starvation and dehydration </w:t>
      </w:r>
      <w:r w:rsidR="00C42E76">
        <w:rPr>
          <w:lang w:val="en-US"/>
        </w:rPr>
        <w:fldChar w:fldCharType="begin" w:fldLock="1"/>
      </w:r>
      <w:r w:rsidR="00B2630D">
        <w:rPr>
          <w:lang w:val="en-US"/>
        </w:rPr>
        <w:instrText>ADDIN CSL_CITATION {"citationItems":[{"id":"ITEM-1","itemData":{"DOI":"10.1186/1746-4269-5-12","ISBN":"1746-4269 (Electronic)\\r1746-4269 (Linking)","ISSN":"17464269","PMID":"19386121","abstract":"Hunting for wild animals is stimulated by the many different human uses of faunal resources, and these animals constitute important subsistence items in local communities in the Caatinga region. In order to gain access to these resources, hunters have developed a series of techniques and strategies that are described in the present work. The principal hunting techniques encountered were: waiting, especially directed towards hunting diurnal birds; calling (\"arremedo\"), a technique in which the hunters imitate the animal's call to attract it to close range; hunting with dogs, a technique mostly used for capturing mammals; tracking, a technique used by only a few hunters who can recognize and follow animal tracks; and \"facheado\", in which the hunters go out at night with lanterns to catch birds in their nests. Additionally, many animal species are captured using mechanical traps. The types of traps used by the interviewees were: dead-fall traps (\"quixó\"), iron-jaw snap traps (\"arataca\"), wooden cages with bait (\"arapuca\"), iron-cage traps (\"gaiola'), \"visgo\", multi-compartment bird cages (\"alçapão\"), buried ground traps with pivoted tops (\"fojo\"), and nooses and cages for carnivorous. The choice of which technique to use depends on the habits of the species being hunted, indicating that the hunters possess a wide knowledge of the biology of these animals. From a conservation perspective, active hunting techniques (waiting, imitation, hunting with dogs, and \"facheado\") have the greatest impact on the local fauna. The use of firearm and dogs brought greater efficiency to hunting activities. Additional studies concerning these hunting activities will be useful to contribute to proposals for management plans regulating hunting in the region – with the objective of attaining sustainable use of faunal resources of great importance to the local human communities.","author":[{"dropping-particle":"","family":"Alves","given":"Rômulo R.N.","non-dropping-particle":"","parse-names":false,"suffix":""},{"dropping-particle":"","family":"Mendonça","given":"Lívia E.T.","non-dropping-particle":"","parse-names":false,"suffix":""},{"dropping-particle":"","family":"Confessor","given":"Maine V.A.","non-dropping-particle":"","parse-names":false,"suffix":""},{"dropping-particle":"","family":"Vieira","given":"Washington L.S.","non-dropping-particle":"","parse-names":false,"suffix":""},{"dropping-particle":"","family":"Lopez","given":"Luiz C.S.","non-dropping-particle":"","parse-names":false,"suffix":""}],"container-title":"Journal of Ethnobiology and Ethnomedicine","id":"ITEM-1","issued":{"date-parts":[["2009"]]},"page":"1-16","title":"Hunting strategies used in the semi-arid region of northeastern Brazil","type":"article-journal","volume":"5"},"uris":["http://www.mendeley.com/documents/?uuid=456e7e59-8eb2-4d10-93bc-d929823e8f51"]},{"id":"ITEM-2","itemData":{"DOI":"http://dx.doi.org/10.5751/ES-08358-210202","ISBN":"1708-3087","ISSN":"17083087","abstract":"Although the use of wild mammals as a source of food has been better studied in tropical forest environments, their importance as a source of protein for human communities in semiarid environments is little known. In the latter, the availability of wild animal meat is limited in comparison to other environments. In the semiarid regions of northeastern Brazil, hunting wild mammals for their meat is traditional, playing a crucial role in the livelihoods and food security of various rural and urban communities, especially during the annual drought seasons. In this study, we investigated the role of wild mammals as bushmeat in 10 communities within the Caatinga biome in northeast Brazil. We used key-informant interviews, household surveys, and questionnaires to determine the species hunted and consumed. We found that about 30 species were used for bushmeat, with communities clustering into two main groups. We showed that in almost all municipalities visited, all mammals hunted were reported after interview days. A total of 46.9% of hunters consumed bushmeat at least once a week. However, preference for bushmeat over livestock was perceived to be more a matter of taste (61.50% of respondents) than a real need for protein supplementation from the wild. The ease of entering environmental areas where wild mammals can be found has disadvantages for wildlife in terms of pressure and overexploitation, especially where it concerns endangered species. The key to understanding the socioeconomic, cultural, and ecological contexts in which there are traditional uses is to develop conservationist strategies suitable for the socioeconomic reality of human populations.","author":[{"dropping-particle":"","family":"Barboza","given":"Raynner Rilke","non-dropping-particle":"","parse-names":false,"suffix":""},{"dropping-particle":"","family":"Lopes","given":"Sérgio F.","non-dropping-particle":"","parse-names":false,"suffix":""},{"dropping-particle":"","family":"Souto","given":"Wedson M.S.","non-dropping-particle":"","parse-names":false,"suffix":""},{"dropping-particle":"","family":"Fernandes-Ferreira","given":"Hugo","non-dropping-particle":"","parse-names":false,"suffix":""},{"dropping-particle":"","family":"Alves","given":"Rômulo R.N.","non-dropping-particle":"","parse-names":false,"suffix":""}],"container-title":"Ecology and Society","id":"ITEM-2","issue":"2","issued":{"date-parts":[["2016"]]},"page":"2","title":"The role of game mammals as bushmeat in the Caatinga, northeast Brazil","type":"article-journal","volume":"21"},"uris":["http://www.mendeley.com/documents/?uuid=3189e176-bec9-4e34-b717-1c6033395159"]},{"id":"ITEM-3","itemData":{"DOI":"10.1007/s10531-011-0179-9","ISBN":"0960-3115","ISSN":"09603115","abstract":"Brazil has one of the highest avifauna diversities in the world, and many species are used by human populations in many different ways. Capturing wild birds for food, or to raise as pets, or for commercial purposes, together with the loss of habitat, have been the principal causes of population reductions among many species. The present work provides new information about the diversity of wild bird species used in Ceara State (Northeast Brazil) and the techniques used for capturing them, as well as the forces motivating this hunting, the commercial relationships involved, the maintenance of captive species, and the legal and conservation implications of the use of the regional avifauna. A total of 92 wild bird species belonging to 26 families were found to be used as food (39 spp.), for medicinal (3 spp.) and magic-religious (1 spp.) purposes, for commercial ends (46 spp.), or raised as pets (44 spp.), or killed to control their predation on domestic animals (5 spp.). Raising or selling birds is motivated by their singing and/or their natural beauty, with Thraupidae, Icteridae and Emberizidae being the principal families sought after for those purposes. The Family Columbidae has the greatest importance as a food source. Eleven traditional capture techniques (both active and passive) were identified. The commercial value of the birds varied depending on both intra- and inter-specific factors, and the trade in these animals involved both dealers who sold large numbers of individuals at low prices and specialists (\"passarinheiros\") who sold just a few domesticated individuals of greater value. Our evaluations of transactions taking place in public markets indicated the probable over-exploitation of a number of species, and these were often imported from other states and countries. In addition to being illegal, the capture of wild birds can cause serious environmental problems that can only be addressed through public policies directed towards education, monitoring and control, alternative sources of income, wildlife management, and ecosystem conservation.","author":[{"dropping-particle":"","family":"Fernandes-Ferreira","given":"Hugo","non-dropping-particle":"","parse-names":false,"suffix":""},{"dropping-particle":"","family":"Mendonça","given":"Sanjay Veiga","non-dropping-particle":"","parse-names":false,"suffix":""},{"dropping-particle":"","family":"Albano","given":"Ciro","non-dropping-particle":"","parse-names":false,"suffix":""},{"dropping-particle":"","family":"Ferreira","given":"Felipe Silva","non-dropping-particle":"","parse-names":false,"suffix":""},{"dropping-particle":"","family":"Alves","given":"Rômulo Romeu Nóbrega","non-dropping-particle":"","parse-names":false,"suffix":""}],"container-title":"Biodiversity and Conservation","id":"ITEM-3","issued":{"date-parts":[["2012"]]},"page":"221-244","title":"Hunting, use and conservation of birds in Northeast Brazil","type":"article-journal","volume":"21"},"uris":["http://www.mendeley.com/documents/?uuid=22253a10-14ef-4902-a672-f126601167ee"]},{"id":"ITEM-4","itemData":{"author":[{"dropping-particle":"","family":"Miranda","given":"C L","non-dropping-particle":"","parse-names":false,"suffix":""},{"dropping-particle":"","family":"Alencar","given":"G S","non-dropping-particle":"","parse-names":false,"suffix":""}],"container-title":"Natureza &amp; Conservacao","id":"IT</w:instrText>
      </w:r>
      <w:r w:rsidR="00B2630D" w:rsidRPr="00814265">
        <w:rPr>
          <w:lang w:val="pt-BR"/>
        </w:rPr>
        <w:instrText>EM-4","issued":{"date-parts":[["2007"]]},"page":"115-121","title":"Aspects of hunting activity in Serra de Capivara National Park, in the state of Piaui, Brazil","type":"article-journal","volume":"5"},"uris":["http://www.mendeley.com/documents/?uuid=dd18e3f1-fa96-43a6-9ef7-78b8bef48087"]},{"id":"ITEM-5","itemData":{"author":[{"dropping-particle":"","family":"Pereira","given":"J P R","non-dropping-particle":"","parse-names":false,"suffix":""},{"dropping-particle":"","family":"Schiavetti","given":"A","non-dropping-particle":"","parse-names":false,"suffix":""}],"container-title":"Biota Neotropica2","id":"ITEM-5","issued":{"date-parts":[["2010"]]},"page":"175-183","title":"Conhecimentos e usos da fauna cinegética pelos caçadores indígenas \"Tupinambá de Olivença\" (Bahia)","type":"article-journal","volume":"10"},"uris":["http://www.mendeley.com/documents/?uuid=0d27809c-1f42-405a-9094-b2cf76615dc0"]}],"mendeley":{"formattedCitation":"(Miranda &amp; Alencar 2007; Alves et al. 2009; Pereira &amp; Schiavetti 2010; Fernandes-Ferreira et al. 2012; Barboza et al. 2016)","plainTextFormattedCitation":"(Miranda &amp; Alencar 2007; Alves et al. 2009; Pereira &amp; Schiavetti 2010; Fernandes-Ferreira et al. 2012; Barboza et al. 2016)","previouslyFormattedCitation":"(Miranda &amp; Alencar 2007; Alves et al. 2009; Pereira &amp; Schiavetti 2010; Fernandes-Ferreira et al. 2012; Barboza et al. 2016)"},"properties":{"noteIndex":0},"schema":"https://github.com/citation-style-language/schema/raw/master/csl-citation.json"}</w:instrText>
      </w:r>
      <w:r w:rsidR="00C42E76">
        <w:rPr>
          <w:lang w:val="en-US"/>
        </w:rPr>
        <w:fldChar w:fldCharType="separate"/>
      </w:r>
      <w:r w:rsidR="00C42E76" w:rsidRPr="00814265">
        <w:rPr>
          <w:noProof/>
          <w:lang w:val="pt-BR"/>
        </w:rPr>
        <w:t>(Miranda &amp; Alencar 2007; Alves et al. 2009; Pereira &amp; Schiavetti 2010; Fernandes-Ferreira et al. 2012; Barboza et al. 2016)</w:t>
      </w:r>
      <w:r w:rsidR="00C42E76">
        <w:rPr>
          <w:lang w:val="en-US"/>
        </w:rPr>
        <w:fldChar w:fldCharType="end"/>
      </w:r>
      <w:r w:rsidRPr="00814265">
        <w:rPr>
          <w:rFonts w:eastAsiaTheme="minorHAnsi"/>
          <w:lang w:val="pt-BR" w:eastAsia="en-GB"/>
        </w:rPr>
        <w:t xml:space="preserve">.  </w:t>
      </w:r>
      <w:r w:rsidRPr="00CC5E3D">
        <w:rPr>
          <w:rFonts w:eastAsiaTheme="minorHAnsi"/>
          <w:lang w:eastAsia="en-GB"/>
        </w:rPr>
        <w:t xml:space="preserve">In the Yucatan peninsula, </w:t>
      </w:r>
      <w:r w:rsidRPr="00CC5E3D">
        <w:t xml:space="preserve">wildlife remains an important food resource for the subsistence of many rural people, particularly those living in small, isolated and </w:t>
      </w:r>
      <w:r>
        <w:t>poor</w:t>
      </w:r>
      <w:r w:rsidRPr="00CC5E3D">
        <w:t xml:space="preserve"> villages near</w:t>
      </w:r>
      <w:r>
        <w:t xml:space="preserve"> to</w:t>
      </w:r>
      <w:r w:rsidRPr="00CC5E3D">
        <w:t xml:space="preserve"> extensive forested </w:t>
      </w:r>
      <w:r w:rsidR="00D019F1" w:rsidRPr="00CC5E3D">
        <w:t>patches</w:t>
      </w:r>
      <w:r w:rsidR="00D019F1">
        <w:t xml:space="preserve"> </w:t>
      </w:r>
      <w:r w:rsidR="00C42E76">
        <w:fldChar w:fldCharType="begin" w:fldLock="1"/>
      </w:r>
      <w:r w:rsidR="00C42E76">
        <w:instrText>ADDIN CSL_CITATION {"citationItems":[{"id":"ITEM-1","itemData":{"DOI":"10.1186/1746-4269-8-38","ISBN":"1746-4269 (Electronic)\\r1746-4269 (Linking)","ISSN":"17464269","PMID":"23031274","abstract":"BACKGROUND: Subsistence hunting is a traditional practice providing food and many other goods for households in the Yucatan Peninsula, southeast Mexico. Economic, demographic, and cultural change in this region drive wildlife habitat loss and local extinctions. Improving our understanding about current practices of wildlife use may support better management strategies for conserving game species and their habitat. We aimed to evaluate if wildlife use remained relevant for the subsistence of rural residents of the Yucatan Peninsula, as well as if local hunting practices were related to environmental, geographical, and cultural factors.\\n\\nMETHODS: Fieldwork was done between March 2010 and March 2011. Information was obtained through conversations, interviews, and participant observation. Record forms allowed recording animals hunted, biomass extracted, distance intervals to hunting sites, habitat types and seasonality of wildlife harvests. Data were analyzed using one-way Analysis of Variance, and Generalized Linear Models.\\n\\nRESULTS: Forty-six terrestrial vertebrate species were used for obtaining food, medicine, tools, adornments, pets, ritual objects, and for sale and mitigating damage. We recorded 968 animals taken in 664 successful hunting events. The Great Curassow, Ocellated Turkey, paca, white-tailed deer, and collared peccary were the top harvested species, providing 80.7% of biomass (10,190 kg). The numbers of animals hunted and biomass extracted declined as hunting distances increased from villages. Average per capita consumption was 4.65 ± 2.7 kg/person/year. Hunting frequencies were similar in forested and agricultural areas.\\n\\nDISCUSSION: Wildlife use, hunting patterns, and technologies observed in our study sites were similar to those recorded in previous studies for rural Mayan and mestizo communities in the Yucatan Peninsula and other Neotropical sites. The most heavily hunted species were those providing more products and by-products for residents. Large birds such as the Great Curassow and the Ocellated Turkey were extremely important for local hunters, representing around 40% of total prey taken.\\n\\nFINAL CONSIDERATIONS: Our results suggest that hunting is frequent in our study areas. Low human densities allow low hunting pressure on most game species and favor conservation of the tropical forest. We suggest that co-management may help regulating hunting, prioritizing cultural practices of sustainable use and conservation for benefi…","author":[{"dropping-particle":"","family":"Santos-Fita","given":"Dídac","non-dropping-particle":"","parse-names":false,"suffix":""},{"dropping-particle":"","family":"Naranjo","given":"Eduardo J.","non-dropping-particle":"","parse-names":false,"suffix":""},{"dropping-particle":"","family":"Rangel-Salazar","given":"José L.","non-dropping-particle":"","parse-names":false,"suffix":""}],"container-title":"Journal of Ethnobiology and Ethnomedicine","id":"ITEM-1","issued":{"date-parts":[["2012"]]},"page":"1-17","title":"Wildlife uses and hunting patterns in rural communities of the Yucatan Peninsula, Mexico","type":"article-journal","volume":"8"},"uris":["http://www.mendeley.com/documents/?uuid=24436bd2-bb43-4627-b62e-1a67e4592e0d"]}],"mendeley":{"formattedCitation":"(Santos-Fita et al. 2012)","plainTextFormattedCitation":"(Santos-Fita et al. 2012)","previouslyFormattedCitation":"(Santos-Fita et al. 2012)"},"properties":{"noteIndex":0},"schema":"https://github.com/citation-style-language/schema/raw/master/csl-citation.json"}</w:instrText>
      </w:r>
      <w:r w:rsidR="00C42E76">
        <w:fldChar w:fldCharType="separate"/>
      </w:r>
      <w:r w:rsidR="00C42E76" w:rsidRPr="00C42E76">
        <w:rPr>
          <w:noProof/>
        </w:rPr>
        <w:t>(Santos-Fita et al. 2012)</w:t>
      </w:r>
      <w:r w:rsidR="00C42E76">
        <w:fldChar w:fldCharType="end"/>
      </w:r>
      <w:r w:rsidRPr="00CC5E3D">
        <w:t xml:space="preserve">. </w:t>
      </w:r>
      <w:r>
        <w:t>H</w:t>
      </w:r>
      <w:r w:rsidRPr="00CC5E3D">
        <w:t>unting</w:t>
      </w:r>
      <w:r w:rsidR="00D019F1">
        <w:t xml:space="preserve"> in the Yucatan</w:t>
      </w:r>
      <w:r w:rsidRPr="00CC5E3D">
        <w:t xml:space="preserve"> is </w:t>
      </w:r>
      <w:r>
        <w:t xml:space="preserve">also </w:t>
      </w:r>
      <w:r w:rsidRPr="00CC5E3D">
        <w:t xml:space="preserve">practiced to prevent or mitigate crop damage </w:t>
      </w:r>
      <w:r>
        <w:t>by wildlife</w:t>
      </w:r>
      <w:r w:rsidR="00D019F1">
        <w:t>, and therefore</w:t>
      </w:r>
      <w:r w:rsidRPr="00CC5E3D">
        <w:t xml:space="preserve"> a high proportion of hunting is focused on abundant and generalist species</w:t>
      </w:r>
      <w:r>
        <w:t>, such as</w:t>
      </w:r>
      <w:r w:rsidRPr="00CC5E3D">
        <w:t xml:space="preserve"> doves, armadillos, coatis, collared pe</w:t>
      </w:r>
      <w:r>
        <w:t xml:space="preserve">ccaries, and white-tailed deer, </w:t>
      </w:r>
      <w:r w:rsidRPr="00CC5E3D">
        <w:t>in agricultural areas, surrounding fallows, gardens, and forest patches</w:t>
      </w:r>
      <w:r>
        <w:t xml:space="preserve"> </w:t>
      </w:r>
      <w:r w:rsidR="00C42E76">
        <w:fldChar w:fldCharType="begin" w:fldLock="1"/>
      </w:r>
      <w:r w:rsidR="00C42E76">
        <w:instrText>ADDIN CSL_CITATION {"citationItems":[{"id":"ITEM-1","itemData":{"DOI":"10.1186/1746-4269-8-38","ISBN":"1746-4269 (Electronic)\\r1746-4269 (Linking)","ISSN":"17464269","PMID":"23031274","abstract":"BACKGROUND: Subsistence hunting is a traditional practice providing food and many other goods for households in the Yucatan Peninsula, southeast Mexico. Economic, demographic, and cultural change in this region drive wildlife habitat loss and local extinctions. Improving our understanding about current practices of wildlife use may support better management strategies for conserving game species and their habitat. We aimed to evaluate if wildlife use remained relevant for the subsistence of rural residents of the Yucatan Peninsula, as well as if local hunting practices were related to environmental, geographical, and cultural factors.\\n\\nMETHODS: Fieldwork was done between March 2010 and March 2011. Information was obtained through conversations, interviews, and participant observation. Record forms allowed recording animals hunted, biomass extracted, distance intervals to hunting sites, habitat types and seasonality of wildlife harvests. Data were analyzed using one-way Analysis of Variance, and Generalized Linear Models.\\n\\nRESULTS: Forty-six terrestrial vertebrate species were used for obtaining food, medicine, tools, adornments, pets, ritual objects, and for sale and mitigating damage. We recorded 968 animals taken in 664 successful hunting events. The Great Curassow, Ocellated Turkey, paca, white-tailed deer, and collared peccary were the top harvested species, providing 80.7% of biomass (10,190 kg). The numbers of animals hunted and biomass extracted declined as hunting distances increased from villages. Average per capita consumption was 4.65 ± 2.7 kg/person/year. Hunting frequencies were similar in forested and agricultural areas.\\n\\nDISCUSSION: Wildlife use, hunting patterns, and technologies observed in our study sites were similar to those recorded in previous studies for rural Mayan and mestizo communities in the Yucatan Peninsula and other Neotropical sites. The most heavily hunted species were those providing more products and by-products for residents. Large birds such as the Great Curassow and the Ocellated Turkey were extremely important for local hunters, representing around 40% of total prey taken.\\n\\nFINAL CONSIDERATIONS: Our results suggest that hunting is frequent in our study areas. Low human densities allow low hunting pressure on most game species and favor conservation of the tropical forest. We suggest that co-management may help regulating hunting, prioritizing cultural practices of sustainable use and conservation for benefi…","author":[{"dropping-particle":"","family":"Santos-Fita","given":"Dídac","non-dropping-particle":"","parse-names":false,"suffix":""},{"dropping-particle":"","family":"Naranjo","given":"Eduardo J.","non-dropping-particle":"","parse-names":false,"suffix":""},{"dropping-particle":"","family":"Rangel-Salazar","given":"José L.","non-dropping-particle":"","parse-names":false,"suffix":""}],"container-title":"Journal of Ethnobiology and Ethnomedicine","id":"ITEM-1","issued":{"date-parts":[["2012"]]},"page":"1-17","title":"Wildlife uses and hunting patterns in rural communities of the Yucatan Peninsula, Mexico","type":"article-journal","volume":"8"},"uris":["http://www.mendeley.com/documents/?uuid=24436bd2-bb43-4627-b62e-1a67e4592e0d"]}],"mendeley":{"formattedCitation":"(Santos-Fita et al. 2012)","plainTextFormattedCitation":"(Santos-Fita et al. 2012)","previouslyFormattedCitation":"(Santos-Fita et al. 2012)"},"properties":{"noteIndex":0},"schema":"https://github.com/citation-style-language/schema/raw/master/csl-citation.json"}</w:instrText>
      </w:r>
      <w:r w:rsidR="00C42E76">
        <w:fldChar w:fldCharType="separate"/>
      </w:r>
      <w:r w:rsidR="00C42E76" w:rsidRPr="00C42E76">
        <w:rPr>
          <w:noProof/>
        </w:rPr>
        <w:t>(Santos-Fita et al. 2012)</w:t>
      </w:r>
      <w:r w:rsidR="00C42E76">
        <w:fldChar w:fldCharType="end"/>
      </w:r>
      <w:r w:rsidRPr="00CC5E3D">
        <w:t>.</w:t>
      </w:r>
      <w:r>
        <w:rPr>
          <w:lang w:val="en-US"/>
        </w:rPr>
        <w:t xml:space="preserve"> </w:t>
      </w:r>
      <w:r w:rsidRPr="00314B69">
        <w:t>Several studies have shown that wild meat from the most commonly hunted Neotropical species contributes to healthy diets</w:t>
      </w:r>
      <w:r w:rsidR="00C42E76">
        <w:t xml:space="preserve"> </w:t>
      </w:r>
      <w:r w:rsidRPr="00314B69">
        <w:t>and that the nutritional content of wild meat is difficult to replace by most affordable sources of meat from domestic and industrial origin</w:t>
      </w:r>
      <w:r w:rsidR="00D02618">
        <w:t xml:space="preserve"> </w:t>
      </w:r>
      <w:r w:rsidR="00D02618">
        <w:fldChar w:fldCharType="begin" w:fldLock="1"/>
      </w:r>
      <w:r w:rsidR="00D02618">
        <w:instrText>ADDIN CSL_CITATION {"citationItems":[{"id":"ITEM-1","itemData":{"DOI":"10.15451/ec2017-04-6.3-1-45","ISBN":"2238-4782","ISSN":"22384782","author":[{"dropping-particle":"","family":"Vliet","given":"Nathalie","non-dropping-particle":"Van","parse-names":false,"suffix":""},{"dropping-particle":"","family":"Moreno","given":"Jessica","non-dropping-particle":"","parse-names":false,"suffix":""},{"dropping-particle":"","family":"Gómez","given":"Juanita","non-dropping-particle":"","parse-names":false,"suffix":""},{"dropping-particle":"","family":"Zhou","given":"Wen","non-dropping-particle":"","parse-names":false,"suffix":""},{"dropping-particle":"","family":"Fa","given":"John Emmanuel","non-dropping-particle":"","parse-names":false,"suffix":""},{"dropping-particle":"","family":"Golden","given":"Christopher","non-dropping-particle":"","parse-names":false,"suffix":""},{"dropping-particle":"","family":"Alves","given":"Rômulo Romeu Nóbrega","non-dropping-particle":"","parse-names":false,"suffix":""},{"dropping-particle":"","family":"Nasi","given":"Robert","non-dropping-particle":"","parse-names":false,"suffix":""}],"container-title":"Ethnobiology and Conservation","id":"ITEM-1","issue":"3","issued":{"date-parts":[["2017"]]},"title":"Bushmeat and human health: assessing the evidence in tropical and sub-tropical forests","type":"article-journal","volume":"6"},"uris":["http://www.mendeley.com/documents/?uuid=78b2f884-8356-462d-9517-8da95ee1fd46"]}],"mendeley":{"formattedCitation":"(Van Vliet et al. 2017a)","manualFormatting":"(see Van Vliet et al. 2017a for a review)","plainTextFormattedCitation":"(Van Vliet et al. 2017a)","previouslyFormattedCitation":"(Van Vliet et al. 2017a)"},"properties":{"noteIndex":0},"schema":"https://github.com/citation-style-language/schema/raw/master/csl-citation.json"}</w:instrText>
      </w:r>
      <w:r w:rsidR="00D02618">
        <w:fldChar w:fldCharType="separate"/>
      </w:r>
      <w:r w:rsidR="00D02618" w:rsidRPr="00C42E76">
        <w:rPr>
          <w:noProof/>
        </w:rPr>
        <w:t>(</w:t>
      </w:r>
      <w:r w:rsidR="00D02618">
        <w:rPr>
          <w:noProof/>
        </w:rPr>
        <w:t xml:space="preserve">see </w:t>
      </w:r>
      <w:r w:rsidR="00D02618" w:rsidRPr="00C42E76">
        <w:rPr>
          <w:noProof/>
        </w:rPr>
        <w:t>Van Vliet et al. 2017a</w:t>
      </w:r>
      <w:r w:rsidR="00D02618">
        <w:rPr>
          <w:noProof/>
        </w:rPr>
        <w:t xml:space="preserve"> for a review</w:t>
      </w:r>
      <w:r w:rsidR="00D02618" w:rsidRPr="00C42E76">
        <w:rPr>
          <w:noProof/>
        </w:rPr>
        <w:t>)</w:t>
      </w:r>
      <w:r w:rsidR="00D02618">
        <w:fldChar w:fldCharType="end"/>
      </w:r>
      <w:r w:rsidR="00D02618">
        <w:t>.</w:t>
      </w:r>
      <w:r w:rsidRPr="00314B69">
        <w:t xml:space="preserve"> </w:t>
      </w:r>
      <w:r>
        <w:t xml:space="preserve">In addition, </w:t>
      </w:r>
      <w:r w:rsidRPr="00CC5E3D">
        <w:rPr>
          <w:rFonts w:eastAsiaTheme="minorHAnsi"/>
          <w:lang w:eastAsia="en-GB"/>
        </w:rPr>
        <w:t>wild meat constitutes what could be called a festival food</w:t>
      </w:r>
      <w:r>
        <w:t xml:space="preserve"> </w:t>
      </w:r>
      <w:r w:rsidR="00256C6E">
        <w:fldChar w:fldCharType="begin" w:fldLock="1"/>
      </w:r>
      <w:r w:rsidR="00B2630D">
        <w:instrText>ADDIN CSL_CITATION {"citationItems":[{"id":"ITEM-1","itemData":{"DOI":"10.1007/s10745-007-9139-0","ISBN":"0300-7839","ISSN":"03007839","PMID":"12658535","abstract":"Overexploitation of Neotropical ecosystems for wild meat constitutes a threat to biodiversity and might seriously affect local people who depend on wild animals as a primary food resource. To assess this problem at the local level, social use of wild animals was evaluated in a Mayan community of the Yucatan Peninsula. Over 8 months, peasant-hunters carried out a total of 175 hunting trips, gathering 253 animals of 12 species (mammals, birds and reptiles). Most preys (95%) were taken in 4 months (January‚ÄìApril) during the dry season and the main target species were white-tailed deer and iguana (jointly representing 59% of preys). During an 11-week period, total per capita wild meat consumption (182 kg; n = 14 families) was three times greater in nuclear than in extended families. The observed wild fauna use is a reflection of traditional knowledge and represents an important subsistence strategy for the local people.","author":[{"dropping-particle":"","family":"León","given":"Perla","non-dropping-particle":"","parse-names":false,"suffix":""},{"dropping-particle":"","family":"Montiel","given":"Salvador","non-dropping-particle":"","parse-names":false,"suffix":""}],"container-title":"Human Ecology","id":"ITEM-1","issue":"2","issued":{"date-parts":[["2008"]]},"page":"249-257","title":"Wild meat use and traditional hunting practices in a rural Mayan community of the yucatan Peninsula, Mexico","type":"article-journal","volume":"36"},"uris":["http://www.mendeley.com/documents/?uuid=59704341-a748-476b-ad4a-df888925f4a7"]},{"id":"ITEM-2","itemData":{"DOI":"10.2993/0278-0771-32.1.30","ISBN":"0278-0771","ISSN":"0278-0771","abstract":"The hista, a festival that blends indigenous and Catholic traditions, is\\nan important component of the culture of the Kichwa people of the\\nEcuadorian Amazon, and hunting is a key part of festival preparations.\\nIn the community of Sarayaku the biomass hunted during festival hunting,\\ncalculated based on hunters reporting their catch, constitutes less than\\n4% of the total long-term harvest rate. However, certain species are\\nparticularly targeted during festival hunting, some of which are\\nthreatened. Particularly for woolly monkeys (Lagothrix spp.) and\\nSalvin's Curassow (Mitu salvini), festival hunting constitutes a large\\nproportion of total offtake. The tradition of celebrating the hista can\\nsurvive into the future only if wildlife populations are conserved. This\\nis a challenge and an interest shared by local indigenous communities\\nand conservationists alike.","author":[{"dropping-particle":"","family":"Sirén","given":"Anders","non-dropping-particle":"","parse-names":false,"suffix":""}],"container-title":"Journal of Ethnobiology","id":"ITEM-2","issue":"1","issued":{"date-parts":[["2012"]]},"page":"30-50","title":"Festival hunting by the Kichwa people in the Ecuadorian Amazon","type":"article-journal","volume":"32"},"uris":["http://www.mendeley.com/documents/?uuid=e84c35fa-1c74-4793-ba0b-f1a647fca096"]},{"id":"ITEM-3","itemData":{"DOI":"10.15451/ec2015-7-4.6-1-12","author":[{"dropping-particle":"","family":"Vliet","given":"Nathalie","non-dropping-particle":"Van","parse-names":false,"suffix":""},{"dropping-particle":"","family":"Quiceno-mesa","given":"Maria Paula","non-dropping-particle":"","parse-names":false,"suffix":""},{"dropping-particle":"","family":"Cruz-antia","given":"Daniel","non-dropping-particle":"","parse-names":false,"suffix":""},{"dropping-particle":"","family":"Tellez","given":"Leady","non-dropping-particle":"","parse-names":false,"suffix":""},{"dropping-particle":"","family":"Martins","given":"Cristian","non-dropping-particle":"","parse-names":false,"suffix":""},{"dropping-particle":"","family":"Haiden","given":"Enio","non-dropping-particle":"","parse-names":false,"suffix":""},{"dropping-particle":"De","family":"Oliveira","given":"Ribeiro","non-dropping-particle":"","parse-names":false,"suffix":""},{"dropping-particle":"","family":"Adams","given":"Cristina","non-dropping-particle":"","parse-names":false,"suffix":""},{"dropping-particle":"","family":"Morsello","given":"Carla","non-dropping-particle":"","parse-names":false,"suffix":""},{"dropping-particle":"","family":"Valencia","given":"Lorena","non-dropping-particle":"","parse-names":false,"suffix":""},{"dropping-particle":"","family":"Bonilla","given":"Tamara","non-dropping-particle":"","parse-names":false,"suffix":""},{"dropping-particle":"","family":"Yagüe","given":"Blanca","non-dropping-particle":"","parse-names":false,"suffix":""},{"dropping-particle":"","family":"Nasi","given":"Robert","non-dropping-particle":"","parse-names":false,"suffix":""}],"container-title":"Ethnobiology and Conservation","id":"ITEM-3","issue":"6","issued":{"date-parts":[["2015"]]},"title":"From fish and bushmeat to chicken nuggets : the nutrition transition in a continuum from rural to urban settings in the Colombian Amazon region","type":"article-journal","volume":"4"},"uris":["http://www.mendeley.com/documents/?uuid=27be472b-8d02-42e2-af04-e6ef82972f66"]}],"mendeley":{"formattedCitation":"(León &amp; Montiel 2008; Sirén 2012; Van Vliet et al. 2015d)","plainTextFormattedCitation":"(León &amp; Montiel 2008; Sirén 2012; Van Vliet et al. 2015d)","previouslyFormattedCitation":"(León &amp; Montiel 2008; Sirén 2012; Van Vliet et al. 2015d)"},"properties":{"noteIndex":0},"schema":"https://github.com/citation-style-language/schema/raw/master/csl-citation.json"}</w:instrText>
      </w:r>
      <w:r w:rsidR="00256C6E">
        <w:fldChar w:fldCharType="separate"/>
      </w:r>
      <w:r w:rsidR="00763BF5" w:rsidRPr="00763BF5">
        <w:rPr>
          <w:noProof/>
        </w:rPr>
        <w:t>(León &amp; Montiel 2008; Sirén 2012; Van Vliet et al. 2015d)</w:t>
      </w:r>
      <w:r w:rsidR="00256C6E">
        <w:fldChar w:fldCharType="end"/>
      </w:r>
      <w:r w:rsidRPr="00CC5E3D">
        <w:rPr>
          <w:rFonts w:eastAsiaTheme="minorHAnsi"/>
          <w:lang w:eastAsia="en-GB"/>
        </w:rPr>
        <w:t>, understood as a food choice that may be related to identifyin</w:t>
      </w:r>
      <w:r w:rsidR="00256C6E">
        <w:rPr>
          <w:rFonts w:eastAsiaTheme="minorHAnsi"/>
          <w:lang w:eastAsia="en-GB"/>
        </w:rPr>
        <w:t xml:space="preserve">g with their ethnic background </w:t>
      </w:r>
      <w:r w:rsidR="0011263D">
        <w:rPr>
          <w:rFonts w:eastAsiaTheme="minorHAnsi"/>
          <w:lang w:eastAsia="en-GB"/>
        </w:rPr>
        <w:fldChar w:fldCharType="begin" w:fldLock="1"/>
      </w:r>
      <w:r w:rsidR="00AC1710">
        <w:rPr>
          <w:rFonts w:eastAsiaTheme="minorHAnsi"/>
          <w:lang w:eastAsia="en-GB"/>
        </w:rPr>
        <w:instrText>ADDIN CSL_CITATION {"citationItems":[{"id":"ITEM-1","itemData":{"author":[{"dropping-particle":"","family":"Chapman","given":"G E","non-dropping-particle":"","parse-names":false,"suffix":""},{"dropping-particle":"","family":"Ristovski-Slijepcevic","given":"S.","non-dropping-particle":"","parse-names":false,"suffix":""},{"dropping-particle":"","family":"Beagan","given":"B L","non-dropping-particle":"","parse-names":false,"suffix":""}],"container-title":"Health Education Journal","id":"ITEM-1","issue":"1","issued":{"date-parts":[["2011"]]},"page":"102 - 112","title":"Meanings of food, eating an health in Punjabi families living in Vancouver, Canada","type":"article-journal","volume":"70"},"uris":["http://www.mendeley.com/documents/?uuid=d50b5eb8-d829-4c76-b039-d96cc4976bf0"]}],"mendeley":{"formattedCitation":"(Chapman et al. 2011)","plainTextFormattedCitation":"(Chapman et al. 2011)","previouslyFormattedCitation":"(Chapman et al. 2011)"},"properties":{"noteIndex":0},"schema":"https://github.com/citation-style-language/schema/raw/master/csl-citation.json"}</w:instrText>
      </w:r>
      <w:r w:rsidR="0011263D">
        <w:rPr>
          <w:rFonts w:eastAsiaTheme="minorHAnsi"/>
          <w:lang w:eastAsia="en-GB"/>
        </w:rPr>
        <w:fldChar w:fldCharType="separate"/>
      </w:r>
      <w:r w:rsidR="0011263D" w:rsidRPr="0011263D">
        <w:rPr>
          <w:rFonts w:eastAsiaTheme="minorHAnsi"/>
          <w:noProof/>
          <w:lang w:eastAsia="en-GB"/>
        </w:rPr>
        <w:t>(Chapman et al. 2011)</w:t>
      </w:r>
      <w:r w:rsidR="0011263D">
        <w:rPr>
          <w:rFonts w:eastAsiaTheme="minorHAnsi"/>
          <w:lang w:eastAsia="en-GB"/>
        </w:rPr>
        <w:fldChar w:fldCharType="end"/>
      </w:r>
      <w:r w:rsidR="0011263D">
        <w:rPr>
          <w:rFonts w:eastAsiaTheme="minorHAnsi"/>
          <w:lang w:eastAsia="en-GB"/>
        </w:rPr>
        <w:t xml:space="preserve"> </w:t>
      </w:r>
      <w:r w:rsidRPr="00CC5E3D">
        <w:rPr>
          <w:rFonts w:eastAsiaTheme="minorHAnsi"/>
          <w:lang w:eastAsia="en-GB"/>
        </w:rPr>
        <w:t>or as a comfort food consumed in positive social contexts resulting in a positive association between the food and emotional well-being</w:t>
      </w:r>
      <w:r>
        <w:t>.</w:t>
      </w:r>
    </w:p>
    <w:p w14:paraId="3099A697" w14:textId="2E9F9ABA" w:rsidR="00DA4708" w:rsidRPr="004904D8" w:rsidRDefault="00DA4708" w:rsidP="002C0EF9">
      <w:pPr>
        <w:jc w:val="both"/>
      </w:pPr>
      <w:r w:rsidRPr="004904D8">
        <w:t>Notwithstanding its positive nutritional contributions, there are also some serious health concerns</w:t>
      </w:r>
      <w:r w:rsidRPr="0070404D">
        <w:t xml:space="preserve"> associated with wild meat consumpti</w:t>
      </w:r>
      <w:r w:rsidR="000F760D">
        <w:t xml:space="preserve">on. Emerging Infectious Diseases </w:t>
      </w:r>
      <w:r w:rsidRPr="0070404D">
        <w:t xml:space="preserve">(EIDs) are </w:t>
      </w:r>
      <w:r w:rsidR="000F760D">
        <w:t>increasing</w:t>
      </w:r>
      <w:r w:rsidRPr="0070404D">
        <w:t xml:space="preserve"> over </w:t>
      </w:r>
      <w:r w:rsidR="00A479D2" w:rsidRPr="0070404D">
        <w:t>time and</w:t>
      </w:r>
      <w:r w:rsidRPr="0070404D">
        <w:t xml:space="preserve"> are dominated by zoonoses (60% of EIDs), of which the ma</w:t>
      </w:r>
      <w:r w:rsidRPr="004904D8">
        <w:t xml:space="preserve">jority (72%) originate in wildlife </w:t>
      </w:r>
      <w:r w:rsidR="00256C6E">
        <w:fldChar w:fldCharType="begin" w:fldLock="1"/>
      </w:r>
      <w:r w:rsidR="004D71C6">
        <w:instrText>ADDIN CSL_CITATION {"citationItems":[{"id":"ITEM-1","itemData":{"DOI":"10.1038/nature06536.Global","author":[{"dropping-particle":"","family":"Jones","given":"Kate E","non-dropping-particle":"","parse-names":false,"suffix":""},{"dropping-particle":"","family":"Patel","given":"Nikkita G","non-dropping-particle":"","parse-names":false,"suffix":""},{"dropping-particle":"","family":"Levy","given":"Marc A","non-dropping-particle":"","parse-names":false,"suffix":""},{"dropping-particle":"","family":"Storeygard","given":"Adam","non-dropping-particle":"","parse-names":false,"suffix":""},{"dropping-particle":"","family":"Balk","given":"Deborah","non-dropping-particle":"","parse-names":false,"suffix":""},{"dropping-particle":"","family":"Gittleman","given":"John L","non-dropping-particle":"","parse-names":false,"suffix":""},{"dropping-particle":"","family":"Daszak","given":"Peter","non-dropping-particle":"","parse-names":false,"suffix":""},{"dropping-particle":"","family":"Park","given":"Regents","non-dropping-particle":"","parse-names":false,"suffix":""},{"dropping-particle":"","family":"Trust","given":"Wildlife","non-dropping-particle":"","parse-names":false,"suffix":""}],"container-title":"Nature","id":"ITEM-1","issue":"7181","issued":{"date-parts":[["2008"]]},"page":"990-993","title":"Global trends in emerging infectious diseases","type":"article-journal","volume":"451"},"uris":["http://www.mendeley.com/documents/?uuid=48d2be4e-d312-426d-9659-317a11165e82"]}],"mendeley":{"formattedCitation":"(Jones et al. 2008b)","plainTextFormattedCitation":"(Jones et al. 2008b)","previouslyFormattedCitation":"(Jones et al. 2008b)"},"properties":{"noteIndex":0},"schema":"https://github.com/citation-style-language/schema/raw/master/csl-citation.json"}</w:instrText>
      </w:r>
      <w:r w:rsidR="00256C6E">
        <w:fldChar w:fldCharType="separate"/>
      </w:r>
      <w:r w:rsidR="004D71C6" w:rsidRPr="004D71C6">
        <w:rPr>
          <w:noProof/>
        </w:rPr>
        <w:t>(Jones et al. 2008b)</w:t>
      </w:r>
      <w:r w:rsidR="00256C6E">
        <w:fldChar w:fldCharType="end"/>
      </w:r>
      <w:r w:rsidR="00256C6E">
        <w:t xml:space="preserve">. </w:t>
      </w:r>
      <w:r w:rsidRPr="0070404D">
        <w:t>Hunting, butchering and consumption of wild meat, particularly primates, have been implicated in the transmission of various zoonotic pathogens to humans, including Ebola, monkeypox, simian immunode</w:t>
      </w:r>
      <w:r w:rsidRPr="004904D8">
        <w:t>ficiency virus (SIV, zoonotic form of HIV), severe acut</w:t>
      </w:r>
      <w:r w:rsidR="00F41068">
        <w:t>e respiratory syndrome (SARS), s</w:t>
      </w:r>
      <w:r w:rsidRPr="004904D8">
        <w:t>imian T-lymphotropic v</w:t>
      </w:r>
      <w:r w:rsidR="00F41068">
        <w:t>irus and s</w:t>
      </w:r>
      <w:r w:rsidRPr="004904D8">
        <w:t xml:space="preserve">imian foamy virus </w:t>
      </w:r>
      <w:r w:rsidR="00256C6E">
        <w:fldChar w:fldCharType="begin" w:fldLock="1"/>
      </w:r>
      <w:r w:rsidR="00256C6E">
        <w:instrText>ADDIN CSL_CITATION {"citationItems":[{"id":"ITEM-1","itemData":{"DOI":"10.1371/journal.pone.0029505","ISBN":"1932-6203 (Electronic)\\r1932-6203 (Linking)","ISSN":"19326203","PMID":"22253731","abstract":"The global trade in wildlife has historically contributed to the emergence and spread of infectious diseases. The United States is the world’s largest importer of wildlife and wildlife products, yet minimal pathogen surveillance has precluded assessment of the health risks posed by this practice. This report details the findings of a pilot project to establish surveillance methodology for zoonotic agents in confiscated wildlife products. Initial findings from samples collected at several international airports identified parts originating from nonhuman primate (NHP) and rodent species, including baboon, chimpanzee, mangabey, guenon, green monkey, cane rat and rat. Pathogen screening identified retroviruses (simian foamy virus) and/or herpesviruses (cytomegalovirus and lymphocryptovirus) in the NHP samples. These results are the first demonstration that illegal bushmeat importation into the United States could act as a conduit for pathogen spread, and suggest that implementation of disease surveillance of the wildlife trade will help facilitate prevention of disease emergence.","author":[{"dropping-particle":"","family":"Smith","given":"Kristine M.","non-dropping-particle":"","parse-names":false,"suffix":""},{"dropping-particle":"","family":"Anthony","given":"Simon J.","non-dropping-particle":"","parse-names":false,"suffix":""},{"dropping-particle":"","family":"Switzer","given":"William M.","non-dropping-particle":"","parse-names":false,"suffix":""},{"dropping-particle":"","family":"Epstein","given":"Jonathan H.","non-dropping-particle":"","parse-names":false,"suffix":""},{"dropping-particle":"","family":"Seimon","given":"Tracie","non-dropping-particle":"","parse-names":false,"suffix":""},{"dropping-particle":"","family":"Jia","given":"Hongwei","non-dropping-particle":"","parse-names":false,"suffix":""},{"dropping-particle":"","family":"Sanchez","given":"Maria D.","non-dropping-particle":"","parse-names":false,"suffix":""},{"dropping-particle":"","family":"Huynh","given":"Thanh Thao","non-dropping-particle":"","parse-names":false,"suffix":""},{"dropping-particle":"","family":"Galland","given":"G. Gale","non-dropping-particle":"","parse-names":false,"suffix":""},{"dropping-particle":"","family":"Shapiro","given":"Sheryl E.","non-dropping-particle":"","parse-names":false,"suffix":""},{"dropping-particle":"","family":"Sleeman","given":"Jonathan M.","non-dropping-particle":"","parse-names":false,"suffix":""},{"dropping-particle":"","family":"McAloose","given":"Denise","non-dropping-particle":"","parse-names":false,"suffix":""},{"dropping-particle":"","family":"Stuchin","given":"Margot","non-dropping-particle":"","parse-names":false,"suffix":""},{"dropping-particle":"","family":"Amato","given":"George","non-dropping-particle":"","parse-names":false,"suffix":""},{"dropping-particle":"","family":"Kolokotronis","given":"Sergios Orestis","non-dropping-particle":"","parse-names":false,"suffix":""},{"dropping-particle":"","family":"Lipkin","given":"W. Ian","non-dropping-particle":"","parse-names":false,"suffix":""},{"dropping-particle":"","family":"Karesh","given":"William B.","non-dropping-particle":"","parse-names":false,"suffix":""},{"dropping-particle":"","family":"Daszak","given":"Peter","non-dropping-particle":"","parse-names":false,"suffix":""},{"dropping-particle":"","family":"Marano","given":"Nina","non-dropping-particle":"","parse-names":false,"suffix":""}],"container-title":"PLoS ONE","id":"ITEM-1","issue":"1","issued":{"date-parts":[["2012"]]},"page":"e29505","title":"Zoonotic viruses associated with illegally imported wildlife products","type":"article-journal","volume":"7"},"uris":["http://www.mendeley.com/documents/?uuid=b45f010d-3976-4445-9575-1dd77ed82f0f"]}],"mendeley":{"formattedCitation":"(Smith et al. 2012)","plainTextFormattedCitation":"(Smith et al. 2012)","previouslyFormattedCitation":"(Smith et al. 2012)"},"properties":{"noteIndex":0},"schema":"https://github.com/citation-style-language/schema/raw/master/csl-citation.json"}</w:instrText>
      </w:r>
      <w:r w:rsidR="00256C6E">
        <w:fldChar w:fldCharType="separate"/>
      </w:r>
      <w:r w:rsidR="00256C6E" w:rsidRPr="00256C6E">
        <w:rPr>
          <w:noProof/>
        </w:rPr>
        <w:t>(Smith et al. 2012)</w:t>
      </w:r>
      <w:r w:rsidR="00256C6E">
        <w:fldChar w:fldCharType="end"/>
      </w:r>
      <w:r w:rsidR="00256C6E">
        <w:t xml:space="preserve">. </w:t>
      </w:r>
      <w:r w:rsidRPr="004904D8">
        <w:t xml:space="preserve">A recent review for Malaysia found that </w:t>
      </w:r>
      <w:r w:rsidRPr="004904D8">
        <w:rPr>
          <w:color w:val="000000"/>
          <w:shd w:val="clear" w:color="auto" w:fill="FFFFFF"/>
        </w:rPr>
        <w:t>51 zoonotic pathogens (16 viruses, 19 bacteria and 16 parasites) are potentially hosted by wildlife</w:t>
      </w:r>
      <w:r w:rsidRPr="005512D2">
        <w:rPr>
          <w:color w:val="000000"/>
          <w:shd w:val="clear" w:color="auto" w:fill="FFFFFF"/>
        </w:rPr>
        <w:t xml:space="preserve"> sold in local Ma</w:t>
      </w:r>
      <w:r>
        <w:rPr>
          <w:color w:val="000000"/>
          <w:shd w:val="clear" w:color="auto" w:fill="FFFFFF"/>
        </w:rPr>
        <w:t>lay</w:t>
      </w:r>
      <w:r w:rsidRPr="005512D2">
        <w:rPr>
          <w:color w:val="000000"/>
          <w:shd w:val="clear" w:color="auto" w:fill="FFFFFF"/>
        </w:rPr>
        <w:t xml:space="preserve">sian markets, with the main risks to those butchering and processing the meat </w:t>
      </w:r>
      <w:r w:rsidR="00256C6E">
        <w:rPr>
          <w:color w:val="000000"/>
          <w:shd w:val="clear" w:color="auto" w:fill="FFFFFF"/>
        </w:rPr>
        <w:fldChar w:fldCharType="begin" w:fldLock="1"/>
      </w:r>
      <w:r w:rsidR="00256C6E">
        <w:rPr>
          <w:color w:val="000000"/>
          <w:shd w:val="clear" w:color="auto" w:fill="FFFFFF"/>
        </w:rPr>
        <w:instrText>ADDIN CSL_CITATION {"citationItems":[{"id":"ITEM-1","itemData":{"DOI":"10.1007/s10393-017-1229-x","ISSN":"1612-9202","author":[{"dropping-particle":"","family":"Cantlay","given":"Jennifer Caroline","non-dropping-particle":"","parse-names":false,"suffix":""},{"dropping-particle":"","family":"Ingram","given":"Daniel J.","non-dropping-particle":"","parse-names":false,"suffix":""},{"dropping-particle":"","family":"Meredith","given":"Anna L.","non-dropping-particle":"","parse-names":false,"suffix":""}],"container-title":"EcoHealth","id":"ITEM-1","issue":"2","issued":{"date-parts":[["2017"]]},"page":"361-388","publisher":"Springer US","title":"A review of zoonotic infection risks associated with the wild meat trade in Malaysia","type":"article-journal","volume":"14"},"uris":["http://www.mendeley.com/documents/?uuid=e3402590-ba16-4dae-94a0-b02d0abc8d02"]}],"mendeley":{"formattedCitation":"(Cantlay et al. 2017)","plainTextFormattedCitation":"(Cantlay et al. 2017)","previouslyFormattedCitation":"(Cantlay et al. 2017)"},"properties":{"noteIndex":0},"schema":"https://github.com/citation-style-language/schema/raw/master/csl-citation.json"}</w:instrText>
      </w:r>
      <w:r w:rsidR="00256C6E">
        <w:rPr>
          <w:color w:val="000000"/>
          <w:shd w:val="clear" w:color="auto" w:fill="FFFFFF"/>
        </w:rPr>
        <w:fldChar w:fldCharType="separate"/>
      </w:r>
      <w:r w:rsidR="00256C6E" w:rsidRPr="00256C6E">
        <w:rPr>
          <w:noProof/>
          <w:color w:val="000000"/>
          <w:shd w:val="clear" w:color="auto" w:fill="FFFFFF"/>
        </w:rPr>
        <w:t>(Cantlay et al. 2017)</w:t>
      </w:r>
      <w:r w:rsidR="00256C6E">
        <w:rPr>
          <w:color w:val="000000"/>
          <w:shd w:val="clear" w:color="auto" w:fill="FFFFFF"/>
        </w:rPr>
        <w:fldChar w:fldCharType="end"/>
      </w:r>
      <w:r w:rsidRPr="0070404D">
        <w:rPr>
          <w:color w:val="000000"/>
          <w:shd w:val="clear" w:color="auto" w:fill="FFFFFF"/>
        </w:rPr>
        <w:t xml:space="preserve">. In South America, </w:t>
      </w:r>
      <w:r>
        <w:rPr>
          <w:color w:val="000000"/>
          <w:shd w:val="clear" w:color="auto" w:fill="FFFFFF"/>
        </w:rPr>
        <w:t>hunted</w:t>
      </w:r>
      <w:r w:rsidRPr="0070404D">
        <w:rPr>
          <w:color w:val="000000"/>
          <w:shd w:val="clear" w:color="auto" w:fill="FFFFFF"/>
        </w:rPr>
        <w:t xml:space="preserve"> mammals are the reservoirs of several pathogens of concern for </w:t>
      </w:r>
      <w:r w:rsidRPr="004904D8">
        <w:rPr>
          <w:color w:val="000000"/>
          <w:shd w:val="clear" w:color="auto" w:fill="FFFFFF"/>
        </w:rPr>
        <w:t xml:space="preserve">human health, such as </w:t>
      </w:r>
      <w:r w:rsidRPr="004904D8">
        <w:rPr>
          <w:i/>
          <w:color w:val="000000"/>
          <w:shd w:val="clear" w:color="auto" w:fill="FFFFFF"/>
        </w:rPr>
        <w:t>Trypanossoma cruzi</w:t>
      </w:r>
      <w:r w:rsidRPr="005512D2">
        <w:rPr>
          <w:color w:val="000000"/>
          <w:shd w:val="clear" w:color="auto" w:fill="FFFFFF"/>
        </w:rPr>
        <w:t xml:space="preserve"> (Chagas disease) (</w:t>
      </w:r>
      <w:r w:rsidRPr="005512D2">
        <w:t>Morales et al.</w:t>
      </w:r>
      <w:r>
        <w:t>,</w:t>
      </w:r>
      <w:r w:rsidRPr="005512D2">
        <w:t xml:space="preserve"> 2017)</w:t>
      </w:r>
      <w:r w:rsidRPr="003E3238">
        <w:rPr>
          <w:color w:val="000000"/>
          <w:shd w:val="clear" w:color="auto" w:fill="FFFFFF"/>
        </w:rPr>
        <w:t xml:space="preserve">, </w:t>
      </w:r>
      <w:r w:rsidRPr="0064175F">
        <w:rPr>
          <w:i/>
          <w:color w:val="000000"/>
          <w:shd w:val="clear" w:color="auto" w:fill="FFFFFF"/>
        </w:rPr>
        <w:t>Toxoplasma gondii</w:t>
      </w:r>
      <w:r w:rsidR="00256C6E">
        <w:rPr>
          <w:color w:val="000000"/>
          <w:shd w:val="clear" w:color="auto" w:fill="FFFFFF"/>
        </w:rPr>
        <w:t xml:space="preserve"> (toxoplasmosis) </w:t>
      </w:r>
      <w:r w:rsidR="00256C6E">
        <w:fldChar w:fldCharType="begin" w:fldLock="1"/>
      </w:r>
      <w:r w:rsidR="00256C6E">
        <w:instrText>ADDIN CSL_CITATION {"citationItems":[{"id":"ITEM-1","itemData":{"DOI":"10.1016/j.ijppaw.2013.12.001","ISBN":"2213-2244 (Electronic)\\r2213-2244 (Linking)","ISSN":"22132244","PMID":"24918073","abstract":"Toxoplasmosis is a zoonosis caused by the protozoan Toxoplasma gondii, and it is found worldwide. To determine whether ungulates are reservoirs of T. gondii in an isolated and remote region of the northeastern Peruvian Amazon, antibodies to T. gondii were determined in 5 species of ungulates by the modified agglutination test (MAT). These animals were hunted by subsistence hunters along the Yavarí-Mirín River, in the northeastern Peruvian Amazon. Blood samples were collected by hunters on filter papers. For determination of T. gondii antibodies, blood was eluted from filter papers, and a titer of 1:25 was considered indicative of exposure to T. gondii. Antibodies to T. gondii were found in 26 (31.0%) peccaries (Pecari tajacu, Tayassu pecari), six (17.1%) brocket deer (Mazama americana, Mazama gouazoubira), and four (40.0%) lowland tapir (Tapirus terrestris). We also introduced a modification to the MAT protocol that allows the extraction of fluid samples from several types of laboratory-grade filter paper, thus enabling researchers to easily adapt their approaches to the materials presented to them. © 2013 .","author":[{"dropping-particle":"","family":"Aston","given":"Emily J.","non-dropping-particle":"</w:instrText>
      </w:r>
      <w:r w:rsidR="00256C6E" w:rsidRPr="00DF57F3">
        <w:rPr>
          <w:lang w:val="fr-FR"/>
        </w:rPr>
        <w:instrText>","parse-names":false,"suffix":""},{"dropping-particle":"","family":"Mayor","given":"Pedro","non-dropping-particle":"","parse-names":false,"suffix":""},{"dropping-particle":"","family":"Bowman","given":"Dwight D.","non-dropping-particle":"","parse-names":false,"suffix":""},{"dropping-particle":"","family":"Mohammed","given":"Hussni O.","non-dropping-particle":"","parse-names":false,"suffix":""},{"dropping-particle":"","family":"Liotta","given":"Janice L.","non-dropping-particle":"","parse-names":false,"suffix":""},{"dropping-particle":"","family":"Kwok","given":"Oliver","non-dropping-particle":"","parse-names":false,"suffix":""},{"dropping-particle":"","family":"Dubey","given":"J. P.","non-dropping-particle":"","parse-names":false,"suffix":""}],"container-title":"International Journal for Parasitology: Parasites and Wildlife","id":"ITEM-1","issue":"1","issued":{"date-parts":[["2014"]]},"page":"15-19","publisher":"Australian Society for Parasitology","title":"Use of filter papers to determine seroprevalence of Toxoplasma gondii among hunted ungulates in remote Peruvian Amazon","type":"article-journal","volume":"3"},"uris":["http://www.mendeley.com/documents/?uuid=96ce1399-133d-4728-aff9-a9f59c280b83"]}],"mendeley":{"formattedCitation":"(Aston et al. 2014)","plainTextFormattedCitation":"(Aston et al. 2014)","previouslyFormattedCitation":"(Aston et al. 2014)"},"properties":{"noteIndex":0},"schema":"https://github.com/citation-style-language/schema/raw/master/csl-citation.json"}</w:instrText>
      </w:r>
      <w:r w:rsidR="00256C6E">
        <w:fldChar w:fldCharType="separate"/>
      </w:r>
      <w:r w:rsidR="00256C6E" w:rsidRPr="00DF57F3">
        <w:rPr>
          <w:noProof/>
          <w:lang w:val="fr-FR"/>
        </w:rPr>
        <w:t>(Aston et al. 2014)</w:t>
      </w:r>
      <w:r w:rsidR="00256C6E">
        <w:fldChar w:fldCharType="end"/>
      </w:r>
      <w:r w:rsidRPr="00DF57F3">
        <w:rPr>
          <w:lang w:val="fr-FR"/>
        </w:rPr>
        <w:t xml:space="preserve"> </w:t>
      </w:r>
      <w:r w:rsidRPr="00DF57F3">
        <w:rPr>
          <w:color w:val="000000"/>
          <w:shd w:val="clear" w:color="auto" w:fill="FFFFFF"/>
          <w:lang w:val="fr-FR"/>
        </w:rPr>
        <w:t xml:space="preserve">and </w:t>
      </w:r>
      <w:r w:rsidRPr="00DF57F3">
        <w:rPr>
          <w:i/>
          <w:color w:val="000000"/>
          <w:shd w:val="clear" w:color="auto" w:fill="FFFFFF"/>
          <w:lang w:val="fr-FR"/>
        </w:rPr>
        <w:t>Echinococcus vogeli</w:t>
      </w:r>
      <w:r w:rsidRPr="00DF57F3">
        <w:rPr>
          <w:color w:val="000000"/>
          <w:shd w:val="clear" w:color="auto" w:fill="FFFFFF"/>
          <w:lang w:val="fr-FR"/>
        </w:rPr>
        <w:t xml:space="preserve"> (polycystic echinococcosis) </w:t>
      </w:r>
      <w:r w:rsidR="00256C6E">
        <w:rPr>
          <w:color w:val="000000"/>
          <w:shd w:val="clear" w:color="auto" w:fill="FFFFFF"/>
        </w:rPr>
        <w:fldChar w:fldCharType="begin" w:fldLock="1"/>
      </w:r>
      <w:r w:rsidR="0068765F" w:rsidRPr="00DF57F3">
        <w:rPr>
          <w:color w:val="000000"/>
          <w:shd w:val="clear" w:color="auto" w:fill="FFFFFF"/>
          <w:lang w:val="fr-FR"/>
        </w:rPr>
        <w:instrText>ADDIN CSL_CITATION {"citationItems":[{"id":"ITEM-1","itemData":{"DOI":"10.3201/eid2103.141197","ISBN":"1080-6040","ISSN":"10806059","PMID":"25695937","abstract":"In the Peruvian Amazon, paca meat is consumed by humans. To determine human risk for polycystic echinococcosis, we examined wild pacas from 2 villages; 15 (11.7%) of 128 were infected with Echinococcus vogeli tapeworms. High E. vogeli prevalence among pacas indicates potential risk for humans living in E. vogeli-contaminated areas.","author":[{"dropping-particle":"","family":"Mayor","given":"Pedro","non-dropping-particle":"","parse-names":false,"suffix":""},{"dropping-particle":"","family":"Baquedano","given":"Laura E.","non-dropping-particle":"","parse-names":false,"suffix":""},{"dropping-particle":"","family":"Sanchez","given":"Elisabeth","non-dropping-particle":"","parse-names":false,"suffix":""},{"dropping-particle":"","family":"Aramburu","given":"Javier","non-dropping-particle":"","parse-names":false,"suffix":""},{"dropping-particle":"","family":"Gomez-Puerta","given":"Luis A.","non-dropping-particle":"","parse-names":false,"suffix":""},{"dropping-particle":"","family":"Mamani","given":"Victor J.","non-dropping-particle":"","parse-names":false,"suffix":""},{"dropping-particle":"","family":"Gavidia","given":"Cesar M.","non-dropping-particle":"","parse-names":false,"suffix":""}],"container-title":"Emerging Infectious Diseases","id":"ITEM-1","issue":"3","issued":{"date-parts":[["2015"]]},"page":"456-459","title":"Polycystic echinococcosis in pacas, amazon region, Peru","type":"article-journal","volume":"21"},"uris":["http://www.mendeley.com/documents/?uuid=89ae3632-af27-4f62-b3bc-896e72738576"]}],"mendeley":{"formattedCitation":"(Mayor et al. 2015)","plainTextFormattedCitation":"(Mayor et al. 2015)","previouslyFormattedCitation":"(Mayor et al. 2015)"},"properties":{"noteIndex":0},"schema":"https://github.com/citation-style-language/schema/raw/master/csl-citation.json"}</w:instrText>
      </w:r>
      <w:r w:rsidR="00256C6E">
        <w:rPr>
          <w:color w:val="000000"/>
          <w:shd w:val="clear" w:color="auto" w:fill="FFFFFF"/>
        </w:rPr>
        <w:fldChar w:fldCharType="separate"/>
      </w:r>
      <w:r w:rsidR="00256C6E" w:rsidRPr="00DF57F3">
        <w:rPr>
          <w:noProof/>
          <w:color w:val="000000"/>
          <w:shd w:val="clear" w:color="auto" w:fill="FFFFFF"/>
          <w:lang w:val="fr-FR"/>
        </w:rPr>
        <w:t>(Mayor et al. 2015)</w:t>
      </w:r>
      <w:r w:rsidR="00256C6E">
        <w:rPr>
          <w:color w:val="000000"/>
          <w:shd w:val="clear" w:color="auto" w:fill="FFFFFF"/>
        </w:rPr>
        <w:fldChar w:fldCharType="end"/>
      </w:r>
      <w:r w:rsidR="00256C6E" w:rsidRPr="00DF57F3">
        <w:rPr>
          <w:color w:val="000000"/>
          <w:shd w:val="clear" w:color="auto" w:fill="FFFFFF"/>
          <w:lang w:val="fr-FR"/>
        </w:rPr>
        <w:t xml:space="preserve">. </w:t>
      </w:r>
      <w:r w:rsidRPr="004904D8">
        <w:t xml:space="preserve">Outbreaks of zoonotic diseases can cause </w:t>
      </w:r>
      <w:r w:rsidRPr="004904D8">
        <w:lastRenderedPageBreak/>
        <w:t xml:space="preserve">hundreds of billions of dollars of economic damage, as well as human, livestock and wildlife deaths </w:t>
      </w:r>
      <w:r w:rsidR="0068765F">
        <w:fldChar w:fldCharType="begin" w:fldLock="1"/>
      </w:r>
      <w:r w:rsidR="00566AAF">
        <w:instrText>ADDIN CSL_CITATION {"citationItems":[{"id":"ITEM-1","itemData":{"DOI":"10.1002/jat.1392","ISBN":"50833","ISSN":"0096-1523, 1939-1277","abstract":"This report examines the One Health concept as a framework for fostering more effective control across sectors. It also identifies a number of barriers to making the concept operational, including governance and institutional issues at local, national, and international levels, and considers ways to overcome them. Finally, it examines funding needs and prospective funding mechanisms for the control of emerging infectious diseases of animal origin.","author":[{"dropping-particle":"","family":"World Bank","given":"","non-dropping-particle":"","parse-names":false,"suffix":""}],"id":"ITEM-1","issued":{"date-parts":[["2010"]]},"number-of-pages":"74","publisher-place":"World Bank, Washington DC, US","title":"People, pathogens and our planet, Volume 1: Towards a One Health approach for controlling zoonotic diseases","type":"report"},"uris":["http://www.mendeley.com/documents/?uuid=15747c61-e31c-45ad-b76e-ffaf0eebb1ac"]}],"mendeley":{"formattedCitation":"(World Bank 2010)","plainTextFormattedCitation":"(World Bank 2010)","previouslyFormattedCitation":"(World Bank 2010)"},"properties":{"noteIndex":0},"schema":"https://github.com/citation-style-language/schema/raw/master/csl-citation.json"}</w:instrText>
      </w:r>
      <w:r w:rsidR="0068765F">
        <w:fldChar w:fldCharType="separate"/>
      </w:r>
      <w:r w:rsidR="0068765F" w:rsidRPr="0068765F">
        <w:rPr>
          <w:noProof/>
        </w:rPr>
        <w:t>(World Bank 2010)</w:t>
      </w:r>
      <w:r w:rsidR="0068765F">
        <w:fldChar w:fldCharType="end"/>
      </w:r>
      <w:r w:rsidRPr="0070404D">
        <w:t xml:space="preserve">. Despite this, rural and urban wild meat consumers often perceive wild meat as a healthier (fresh and nutritious) alternative to domestic meats </w:t>
      </w:r>
      <w:r w:rsidR="0068765F">
        <w:fldChar w:fldCharType="begin" w:fldLock="1"/>
      </w:r>
      <w:r w:rsidR="00566AAF">
        <w:instrText>ADDIN CSL_CITATION {"citationItems":[{"id":"ITEM-1","itemData":{"DOI":"10.1007/s10393-014-0977-0","ISBN":"1612-9202","ISSN":"16129210","PMID":"25266774","abstract":"Emerging zoonotic pathogens from wildlife pose increasing public health threats globally. Bats, in particular, host an array of zoonotic pathogens, yet there is little research on how bats and humans interact, how people perceive bats and their accompanying disease risk, or who is most at risk. Eidolon helvum, the largest and most abundant African fruit bat species, is widely hunted and eaten in Ghana and also carries potentially zoonotic pathogens. This combination raises concerns, as hunting and butchering bushmeat are common sources of zoonotic transmission. Through a combination of interviews with 577 Ghanaians across southern Ghana, we identified the characteristics of people involved in the bat-bushmeat trade and we explored their perceptions of risk. Bat hunting, selling and consumption are widely distributed across regional and ethnic lines, with hotspots in certain localities, while butchering is predominantly done by women and active hunters. Interviewees held little belief of disease risk from bats, saw no ecological value in fruit bats and associated the consumption of bats with specific tribes. These data can be used to inform disease and conservation management plans, drawing on social contexts and ensuring that local voices are heard within the larger global effort to study and mitigate outbreaks.","author":[{"dropping-particle":"","family":"Kamins","given":"Alexandra O.","non-dropping-particle":"","parse-names":false,"suffix":""},{"dropping-particle":"","family":"Rowcliffe","given":"J. Marcus","non-dropping-particle":"","parse-names":false,"suffix":""},{"dropping-particle":"","family":"Ntiamoa-Baidu","given":"Yaa","non-dropping-particle":"","parse-names":false,"suffix":""},{"dropping-particle":"","family":"Cunningham","given":"Andrew A.","non-dropping-particle":"","parse-names":false,"suffix":""},{"dropping-particle":"","family":"Wood","given":"James L.N.","non-dropping-particle":"","parse-names":false,"suffix":""},{"dropping-particle":"","family":"Restif","given":"Olivier","non-dropping-particle":"","parse-names":false,"suffix":""}],"container-title":"EcoHealth","id":"ITEM-1","issue":"1","issued":{"date-parts":[["2015"]]},"page":"104-120","publisher":"Springer US","title":"Characteristics and Risk Perceptions of Ghanaians Potentially Exposed to Bat-Borne Zoonoses through Bushmeat","type":"article-journal","volume":"12"},"uris":["http://www.mendeley.com/documents/?uuid=6a4f5874-3cbd-4ef2-b066-2528be09acda"]},{"id":"ITEM-2","itemData":{"DOI":"10.1111/j.1469-1795.2006.00030.x","ISBN":"1367-9430","ISSN":"13679430","abstract":"There is a great need to determine the factors that influence the hunting, butchering and eating of bushmeat to better manage the important social, public health and conservation consequences of these activities. In particular, the hunting and butchering of wild animals can lead to the transmission of diseases that have potentially serious consequences for exposed people and their communities. Comprehension of these risks may lead to decreased levels of these activities. To investigate these issues, 3971 questionnaires were completed to examine the determinants of the hunting, butchering and eating of wild animals and perceptions of disease risk in 17 rural central African villages. A high proportion of individuals reported perceiving a risk of disease infection with bushmeat contact. Individuals who perceived risk were significantly less likely to butcher wild animals than those who perceived no risk. However, perception of risk was not associated with hunting and eating bushmeat (activities that, compared with butchering, involve less contact with raw blood and body fluids). This suggests that some individuals may act on perceived risk to avoid higher risk activity. These findings reinforce the notion that conservation programs in rural villages in central Africa should include health-risk education. This has the potential to reduce the levels of use of wild animals, particularly of certain endangered species (e.g. many non-human primates) that pose a particular risk to human health. However, as the use of wild game is likely to continue, people should be encouraged to undertake hunting and butchering more safely for their own and their community's health.","author":[{"dropping-particle":"","family":"LeBreton","given":"Matthew","non-dropping-particle":"","parse-names":false,"suffix":""},{"dropping-particle":"","family":"Prosser","given":"A. T.","non-dropping-particle":"","parse-names":false,"suffix":""},{"dropping-particle":"","family":"Tamoufe","given":"U.","non-dropping-particle":"","parse-names":false,"suffix":""},{"dropping-particle":"","family":"Sateren","given":"W.","non-dropping-particle":"","parse-names":false,"suffix":""},{"dropping-particle":"","family":"Mpoudi-Ngole","given":"E.","non-dropping-particle":"","parse-names":false,"suffix":""},{"dropping-particle":"","family":"Diffo","given":"J. L.D.","non-dropping-particle":"","parse-names":false,"suffix":""},{"dropping-particle":"","family":"Burke","given":"D. S.","non-dropping-particle":"","parse-names":false,"suffix":""},{"dropping-particle":"","family":"Wolfe","given":"N. D.","non-dropping-particle":"","parse-names":false,"suffix":""}],"container-title":"Animal Conservation","id":"ITEM-2","issue":"4","issued":{"date-parts":[["2006"]]},"page":"357-363","title":"Patterns of bushmeat hunting and perceptions of disease risk among Central African communities","type":"article-journal","volume":"9"},"uris":["http://www.mendeley.com/documents/?uuid=7769029c-715d-49e9-a9fc-a4ea772b5e6d"]},{"id":"ITEM-3","itemData":{"DOI":"10.1007/s10393-012-0807-1","ISBN":"1612-9202","ISSN":"16129202","PMID":"23408099","abstract":"The bushmeat industry has been a topic of increasing importance among both conservationists and public health officials for its influence on zoonotic disease transmission and animal conservation. While the association between infectious diseases and the bushmeat trade is well established in the research community, risk perception among bushmeat hunters and traders has not been well characterized. I conducted surveys of 123 bushmeat hunters and traders in rural Sierra Leone to investigate hunting practices and awareness of zoonotic disease risk associated with the bushmeat trade. Twenty-four percent of bushmeat hunters and traders reported knowledge of disease transmission from animals to humans. Formal education did not significantly affect awareness of zoonotic disease transmission. Individuals who engaged exclusively in preparation and trading of bushmeat were more likely to accidentally cut themselves compared to those who primarily engaged in bushmeat hunting (P &lt; 0.001). In addition, women involved in the bushmeat trade were at greater risk of exposing themselves to potential zoonotic pathogens through accidental self-cutting compared to men (P &lt; 0.01). This study collected preliminary information on risk perception among bushmeat hunters that could guide the creation of a future public health-based education program to minimize zoonotic disease transmission risk among vulnerable communities.","author":[{"dropping-particle":"","family":"Subramanian","given":"Melanie","non-dropping-particle":"","parse-names":false,"suffix":""}],"container-title":"EcoHealth","id":"ITEM-3","issue":"4","issued":{"date-parts":[["2012"]]},"page":"471-482","title":"Zoonotic disease risk and the bushmeat trade: Assessing awareness among hunters and traders in Sierra Leone","type":"article-journal","volume":"9"},"uris":["http://www.mendeley.com/documents/?uuid=79937d1e-69dc-42c7-b8a4-0b63559c4131"]}],"mendeley":{"formattedCitation":"(LeBreton et al. 2006; Subramanian 2012; Kamins et al. 2015)","plainTextFormattedCitation":"(LeBreton et al. 2006; Subramanian 2012; Kamins et al. 2015)","previouslyFormattedCitation":"(LeBreton et al. 2006; Subramanian 2012; Kamins et al. 2015)"},"properties":{"noteIndex":0},"schema":"https://github.com/citation-style-language/schema/raw/master/csl-citation.json"}</w:instrText>
      </w:r>
      <w:r w:rsidR="0068765F">
        <w:fldChar w:fldCharType="separate"/>
      </w:r>
      <w:r w:rsidR="0068765F" w:rsidRPr="0068765F">
        <w:rPr>
          <w:noProof/>
        </w:rPr>
        <w:t>(LeBreton et al. 2006; Subramanian 2012; Kamins et al. 2015)</w:t>
      </w:r>
      <w:r w:rsidR="0068765F">
        <w:fldChar w:fldCharType="end"/>
      </w:r>
      <w:r w:rsidRPr="004904D8">
        <w:t>.</w:t>
      </w:r>
    </w:p>
    <w:p w14:paraId="6DD53CDD" w14:textId="442FFC60" w:rsidR="00354600" w:rsidRPr="005512D2" w:rsidRDefault="009E77FF" w:rsidP="00DF57F3">
      <w:pPr>
        <w:pStyle w:val="Heading2"/>
      </w:pPr>
      <w:bookmarkStart w:id="76" w:name="_Toc529390343"/>
      <w:r w:rsidRPr="004904D8">
        <w:t>Hunting for income</w:t>
      </w:r>
      <w:bookmarkEnd w:id="74"/>
      <w:bookmarkEnd w:id="75"/>
      <w:bookmarkEnd w:id="76"/>
      <w:r w:rsidR="008E1D26" w:rsidRPr="004904D8">
        <w:t xml:space="preserve"> </w:t>
      </w:r>
    </w:p>
    <w:p w14:paraId="524D90EC" w14:textId="5B749EF4" w:rsidR="003B6FE0" w:rsidRPr="00444AF5" w:rsidRDefault="00A2634C" w:rsidP="00CB3EE6">
      <w:r w:rsidRPr="005512D2">
        <w:t xml:space="preserve">The few studies that have assessed the relative and absolute contribution of wild meat to household economies </w:t>
      </w:r>
      <w:r w:rsidR="00AE4B1C">
        <w:t xml:space="preserve">in the tropics </w:t>
      </w:r>
      <w:r w:rsidRPr="005512D2">
        <w:t xml:space="preserve">point to a thriving and financially-large informal sector, </w:t>
      </w:r>
      <w:r w:rsidR="00AE4B1C">
        <w:t>perhaps</w:t>
      </w:r>
      <w:r w:rsidRPr="005512D2">
        <w:t xml:space="preserve"> of the sa</w:t>
      </w:r>
      <w:r w:rsidR="00CF6CBA">
        <w:t xml:space="preserve">me order of magnitude, </w:t>
      </w:r>
      <w:r w:rsidRPr="0064175F">
        <w:t>in terms of</w:t>
      </w:r>
      <w:r w:rsidR="00CF6CBA" w:rsidRPr="00CF6CBA">
        <w:t xml:space="preserve"> </w:t>
      </w:r>
      <w:r w:rsidR="00CF6CBA" w:rsidRPr="00D52BC7">
        <w:t>Gross Domestic Product</w:t>
      </w:r>
      <w:r w:rsidR="00CF6CBA">
        <w:t xml:space="preserve"> (</w:t>
      </w:r>
      <w:r w:rsidRPr="0064175F">
        <w:t>GDP)</w:t>
      </w:r>
      <w:r w:rsidR="00CF6CBA">
        <w:t>,</w:t>
      </w:r>
      <w:r w:rsidRPr="0064175F">
        <w:t xml:space="preserve"> as formal sectors like timber exploitation or agriculture </w:t>
      </w:r>
      <w:r w:rsidR="00635D35">
        <w:fldChar w:fldCharType="begin" w:fldLock="1"/>
      </w:r>
      <w:r w:rsidR="00635D35">
        <w:instrText>ADDIN CSL_CITATION {"citationItems":[{"id":"ITEM-1","itemData":{"DOI":"10.1505/146554816819683726","ISBN":"1465-5489","ISSN":"1465-5489","abstract":"Traditional wildlife hunting has been described mainly from studies of local practices and from the monitoring of urban bushmeat markets. However, the overall value chain connecting hunters to end consumers remains largely unknown, thus preventing any estimate of the actual socio-economic importance of the bushmeat sector. On the basis of existing literature, this paper provides an order of magnitude for the financial and economic benefits of the bushmeat commodity chain in Cameroon. The following conservative conclusions were arrived at: (1) The annual turnover of the bushmeat sector in the country is likely to be close to €97 million, i.e. 36% more than the official assessment derived from public accounts. (2) The bushmeat sector may contribute 0.17% to Cameroon’s GDP (non-oil), as much as the mining sector. (3) Self-consumption of bushmeat in rural areas may amount to gross annual economic benefit of more than €142 million. However, bushmeat in a country like Cameroon needs to be managed so as to guarantee the food security of urban and rural populations, as well as maintain a substantial source of revenue for communities, all of this without depleting the resource. Achieving this goal requires policy makers to disassociate wildlife harvesting from ‘poaching’ and the extirpation of species. It is crucial to go beyond the dominant narrative of a (real but over simplified) notion of a conservation crisis, to address its important livelihood and welfare dimensions. Contributions financières et économiques de la viande de brousse aux conditions de vie rurales et urbaines au Cameroun: Eléments pour le développement d’une politique publique G. LESCUYER et R. NASI La chasse traditionnelle a été décrite surtout sur la base d’études des pratiques locales et de suivis des marchés urbains de gibier. Toutefois, la chaîne de valeur globale qui relie les chasseurs aux consommateurs finaux demeure largement inconnue, ce qui empêche toute estimation de l’importance socio-économique réelle de ce secteur. Sur la base de la littérature existante, cet article fournit un ordre de grandeur des avantages financiers et économiques de la filière de la viande de brousse au Cameroun. Plusieurs estimations conservatrices sont fournies pour ce secteur: (1) Le chiffre d’affaires annuel de cette filière au Cameroun est probablement proche de 97 million d’Euros, soit 36% de plus que l’estimation officielle de la comptabilité nationale. (2) La filière de la viande de brousse peut co…","author":[{"dropping-particle":"","family":"Lescuyer","given":"G.","non-dropping-particle":"","parse-names":false,"suffix":""},{"dropping-particle":"","family":"Nasi","given":"R.","non-dropping-particle":"","parse-names":false,"suffix":""}],"container-title":"International Forestry Review","id":"ITEM-1","issue":"1","issued":{"date-parts":[["2016"]]},"page":"93-107","title":"Financial and economic values of bushmeat in rural and urban livelihoods in Cameroon: Inputs to the development of public policy","type":"article-journal","volume":"18"},"uris":["http://www.mendeley.com/documents/?uuid=4be8554e-df37-4b5e-8c11-9f8afbc816df"]}],"mendeley":{"formattedCitation":"(Lescuyer &amp; Nasi 2016)","plainTextFormattedCitation":"(Lescuyer &amp; Nasi 2016)","previouslyFormattedCitation":"(Lescuyer &amp; Nasi 2016)"},"properties":{"noteIndex":0},"schema":"https://github.com/citation-style-language/schema/raw/master/csl-citation.json"}</w:instrText>
      </w:r>
      <w:r w:rsidR="00635D35">
        <w:fldChar w:fldCharType="separate"/>
      </w:r>
      <w:r w:rsidR="00635D35" w:rsidRPr="00635D35">
        <w:rPr>
          <w:noProof/>
        </w:rPr>
        <w:t>(Lescuyer &amp; Nasi 2016)</w:t>
      </w:r>
      <w:r w:rsidR="00635D35">
        <w:fldChar w:fldCharType="end"/>
      </w:r>
      <w:r w:rsidRPr="0064175F">
        <w:t>. Wild meat harvest and trade are o</w:t>
      </w:r>
      <w:r w:rsidRPr="0070404D">
        <w:t>ften excluded from official</w:t>
      </w:r>
      <w:r w:rsidR="007B5353">
        <w:t xml:space="preserve"> national</w:t>
      </w:r>
      <w:r w:rsidRPr="0070404D">
        <w:t xml:space="preserve"> </w:t>
      </w:r>
      <w:r w:rsidR="00AF77DD">
        <w:t xml:space="preserve">trade </w:t>
      </w:r>
      <w:r w:rsidRPr="0070404D">
        <w:t xml:space="preserve">statistics </w:t>
      </w:r>
      <w:r w:rsidR="00635D35">
        <w:fldChar w:fldCharType="begin" w:fldLock="1"/>
      </w:r>
      <w:r w:rsidR="00B2630D">
        <w:instrText>ADDIN CSL_CITATION {"citationItems":[{"id":"ITEM-1","itemData":{"author":[{"dropping-particle":"","family":"Wood","given":"S.","non-dropping-particle":"","parse-names":false,"suffix":""},{"dropping-particle":"","family":"Ehui","given":"S.","non-dropping-particle":"","parse-names":false,"suffix":""},{"dropping-particle":"","family":"Alder","given":"J.","non-dropping-particle":"","parse-names":false,"suffix":""},{"dropping-particle":"","family":"Benin","given":"S.","non-dropping-particle":"","parse-names":false,"suffix":""},{"dropping-particle":"","family":"Cassman","given":"K. G.","non-dropping-particle":"","parse-names":false,"suffix":""},{"dropping-particle":"","family":"Cooper","given":"H. D.","non-dropping-particle":"","parse-names":false,"suffix":""},{"dropping-particle":"","family":"Johns","given":"T.","non-dropping-particle":"","parse-names":false,"suffix":""},{"dropping-particle":"","family":"Gaskell","given":"J.","non-dropping-particle":"","parse-names":false,"suffix":""},{"dropping-particle":"","family":"Grainger","given":"R.","non-dropping-particle":"","parse-names":false,"suffix":""},{"dropping-particle":"","family":"Kadungure","given":"S.","non-dropping-particle":"","parse-names":false,"suffix":""},{"dropping-particle":"","family":"Otte","given":"J.","non-dropping-particle":"","parse-names":false,"suffix":""},{"dropping-particle":"","family":"Rola","given":"A.","non-dropping-particle":"","parse-names":false,"suffix":""},{"dropping-particle":"","family":"Watson","given":"R.","non-dropping-particle":"","parse-names":false,"suffix":""},{"dropping-particle":"","family":"Wijkstrom","given":"U.","non-dropping-particle":"","parse-names":false,"suffix":""},{"dropping-particle":"","family":"Devendra","given":"C.","non-dropping-particle":"","parse-names":false,"suffix":""}],"container-title":"Millennium Ecosystem Assessment. Ecosystems and human well-being: current state and trends.","id":"ITEM-1","issued":{"date-parts":[["2005"]]},"page":"209 - 241","publisher":"Island Press, Washington DC, USA","title":"Food ecosystem services","type":"chapter"},"uris":["http://www.mendeley.com/documents/?uuid=fe0bdbf3-5a5d-49ac-b95a-3bc444c284d5"]}],"mendeley":{"formattedCitation":"(Wood et al. 2005)","plainTextFormattedCitation":"(Wood et al. 2005)","previouslyFormattedCitation":"(Wood et al. 2005)"},"properties":{"noteIndex":0},"schema":"https://github.com/citation-style-language/schema/raw/master/csl-citation.json"}</w:instrText>
      </w:r>
      <w:r w:rsidR="00635D35">
        <w:fldChar w:fldCharType="separate"/>
      </w:r>
      <w:r w:rsidR="00635D35" w:rsidRPr="00635D35">
        <w:rPr>
          <w:noProof/>
        </w:rPr>
        <w:t>(Wood et al. 2005)</w:t>
      </w:r>
      <w:r w:rsidR="00635D35">
        <w:fldChar w:fldCharType="end"/>
      </w:r>
      <w:r w:rsidR="00AF77DD">
        <w:t>.</w:t>
      </w:r>
      <w:r w:rsidRPr="0070404D">
        <w:t xml:space="preserve"> </w:t>
      </w:r>
      <w:r w:rsidR="002E1C39" w:rsidRPr="0070404D">
        <w:t xml:space="preserve">While studies of village-level hunting </w:t>
      </w:r>
      <w:r w:rsidR="00246677">
        <w:t xml:space="preserve">can </w:t>
      </w:r>
      <w:r w:rsidR="002E1C39" w:rsidRPr="0070404D">
        <w:t xml:space="preserve">provide us with estimates of household hunting incomes, there is almost no data on the profits made by external commercial hunters, due to the difficulties and dangers of collecting such data. </w:t>
      </w:r>
      <w:r w:rsidR="00AF77DD">
        <w:t>Nonetheless,</w:t>
      </w:r>
      <w:r w:rsidRPr="0070404D">
        <w:t xml:space="preserve"> </w:t>
      </w:r>
      <w:r w:rsidR="00885AF2" w:rsidRPr="0070404D">
        <w:t xml:space="preserve">the value of the total harvest of wildlife across the world </w:t>
      </w:r>
      <w:r w:rsidR="00AF77DD">
        <w:t>has been</w:t>
      </w:r>
      <w:r w:rsidR="00885AF2" w:rsidRPr="0070404D">
        <w:t xml:space="preserve"> estimated at US$400 billion</w:t>
      </w:r>
      <w:r w:rsidR="008F3F5B" w:rsidRPr="0070404D">
        <w:t xml:space="preserve"> annually</w:t>
      </w:r>
      <w:r w:rsidR="00885AF2" w:rsidRPr="0070404D">
        <w:t xml:space="preserve"> </w:t>
      </w:r>
      <w:r w:rsidR="00635D35">
        <w:fldChar w:fldCharType="begin" w:fldLock="1"/>
      </w:r>
      <w:r w:rsidR="00635D35">
        <w:instrText>ADDIN CSL_CITATION {"citationItems":[{"id":"ITEM-1","itemData":{"author":[{"dropping-particle":"","family":"Brashares","given":"By Justin S","non-dropping-particle":"","parse-names":false,"suffix":""},{"dropping-particle":"","family":"Abrahms","given":"Briana","non-dropping-particle":"","parse-names":false,"suffix":""},{"dropping-particle":"","family":"Fiorella","given":"Kathryn J","non-dropping-particle":"","parse-names":false,"suffix":""},{"dropping-particle":"","family":"Christopher","given":"D","non-dropping-particle":"","parse-names":false,"suffix":""},{"dropping-particle":"","family":"Hojnowski","given":"Cheryl E","non-dropping-particle":"","parse-names":false,"suffix":""},{"dropping-particle":"","family":"Marsh","given":"Ryan a","non-dropping-particle":"","parse-names":false,"suffix":""},{"dropping-particle":"","family":"Mccauley","given":"Douglas J","non-dropping-particle":"","parse-names":false,"suffix":""},{"dropping-particle":"","family":"Nuñez","given":"Tristan a","non-dropping-particle":"","parse-names":false,"suffix":""},{"dropping-particle":"","family":"Seto","given":"Katherine","non-dropping-particle":"","parse-names":false,"suffix":""},{"dropping-particle":"","family":"Withey","given":"Lauren","non-dropping-particle":"","parse-names":false,"suffix":""}],"container-title":"Science","id":"ITEM-1","issue":"6195","issued":{"date-parts":[["2014"]]},"page":"376-378","title":"Wildife decline and social conflict","type":"article-journal","volume":"345"},"uris":["http://www.mendeley.com/documents/?uuid=e6bfbfdc-454d-4a23-a41b-033c8cbf1940"]}],"mendeley":{"formattedCitation":"(Brashares et al. 2014)","plainTextFormattedCitation":"(Brashares et al. 2014)","previouslyFormattedCitation":"(Brashares et al. 2014)"},"properties":{"noteIndex":0},"schema":"https://github.com/citation-style-language/schema/raw/master/csl-citation.json"}</w:instrText>
      </w:r>
      <w:r w:rsidR="00635D35">
        <w:fldChar w:fldCharType="separate"/>
      </w:r>
      <w:r w:rsidR="00635D35" w:rsidRPr="00635D35">
        <w:rPr>
          <w:noProof/>
        </w:rPr>
        <w:t>(Brashares et al. 2014)</w:t>
      </w:r>
      <w:r w:rsidR="00635D35">
        <w:fldChar w:fldCharType="end"/>
      </w:r>
      <w:r w:rsidR="00885AF2" w:rsidRPr="0070404D">
        <w:t>. Regional and national estimates</w:t>
      </w:r>
      <w:r w:rsidR="00A35EE8">
        <w:t xml:space="preserve"> (most</w:t>
      </w:r>
      <w:r w:rsidR="0041267C" w:rsidRPr="0070404D">
        <w:t xml:space="preserve"> </w:t>
      </w:r>
      <w:r w:rsidR="00A35EE8">
        <w:t>10 - 20</w:t>
      </w:r>
      <w:r w:rsidR="0041267C" w:rsidRPr="0070404D">
        <w:t xml:space="preserve"> years out of date)</w:t>
      </w:r>
      <w:r w:rsidR="00885AF2" w:rsidRPr="0070404D">
        <w:t xml:space="preserve"> include </w:t>
      </w:r>
      <w:r w:rsidRPr="0070404D">
        <w:t>US$175 million for the Amazon Basin</w:t>
      </w:r>
      <w:r w:rsidR="008F3F5B" w:rsidRPr="0070404D">
        <w:t xml:space="preserve"> </w:t>
      </w:r>
      <w:r w:rsidR="00635D35">
        <w:fldChar w:fldCharType="begin" w:fldLock="1"/>
      </w:r>
      <w:r w:rsidR="00635D35">
        <w:instrText>ADDIN CSL_CITATION {"citationItems":[{"id":"ITEM-1","itemData":{"author":[{"dropping-particle":"","family":"Tratado de Cooperacion Amazonìca","given":"","non-dropping-particle":"","parse-names":false,"suffix":""}],"id":"ITEM-1","issued":{"date-parts":[["1995"]]},"publisher-place":"Lima, Peru","title":"Uso y conservacion de la fauna silvestre en la Amazonia.","type":"report"},"uris":["http://www.mendeley.com/documents/?uuid=eb69032c-d0f5-406e-b6e4-bd530a0230c2"]}],"mendeley":{"formattedCitation":"(Tratado de Cooperacion Amazonìca 1995)","plainTextFormattedCitation":"(Tratado de Cooperacion Amazonìca 1995)","previouslyFormattedCitation":"(Tratado de Cooperacion Amazonìca 1995)"},"properties":{"noteIndex":0},"schema":"https://github.com/citation-style-language/schema/raw/master/csl-citation.json"}</w:instrText>
      </w:r>
      <w:r w:rsidR="00635D35">
        <w:fldChar w:fldCharType="separate"/>
      </w:r>
      <w:r w:rsidR="00635D35" w:rsidRPr="00635D35">
        <w:rPr>
          <w:noProof/>
        </w:rPr>
        <w:t>(Tratado de Cooperacion Amazonìca 1995)</w:t>
      </w:r>
      <w:r w:rsidR="00635D35">
        <w:fldChar w:fldCharType="end"/>
      </w:r>
      <w:r w:rsidR="00635D35">
        <w:t xml:space="preserve">, </w:t>
      </w:r>
      <w:r w:rsidRPr="00444AF5">
        <w:t xml:space="preserve">US$200 million for Côte d’Ivoire </w:t>
      </w:r>
      <w:r w:rsidR="00635D35">
        <w:fldChar w:fldCharType="begin" w:fldLock="1"/>
      </w:r>
      <w:r w:rsidR="00B2630D">
        <w:instrText>ADDIN CSL_CITATION {"citationItems":[{"id":"ITEM-1","itemData":{"author":[{"dropping-particle":"","family":"Lamarque","given":"F.A.","non-dropping-particle":"","parse-names":false,"suffix":""}],"container-title":"Integrating People and Wildlife for a Sustainable Future","editor":[{"dropping-particle":"","family":"Bissonette","given":"A.","non-dropping-particle":"","parse-names":false,"suffix":""},{"dropping-particle":"","family":"Krausman","given":"P.R.","non-dropping-particle":"","parse-names":false,"suffix":""}],"id":"ITEM-1","issued":{"date-parts":[["1995"]]},"page":"267 - 270","publisher":"Wildlife Society","publisher-place":"Bethseda, Maryland, UK","title":"The French co‐operation's strategy in the field of African wildlife","type":"chapter"},"uris":["http://www.mendeley.com/documents/?uuid=1c597059-b873-411d-9fef-ad2d7f221301"]}],"mendeley":{"formattedCitation":"(Lamarque 1995)","plainTextFormattedCitation":"(Lamarque 1995)","previouslyFormattedCitation":"(Lamarque 1995)"},"properties":{"noteIndex":0},"schema":"https://github.com/citation-style-language/schema/raw/master/csl-citation.json"}</w:instrText>
      </w:r>
      <w:r w:rsidR="00635D35">
        <w:fldChar w:fldCharType="separate"/>
      </w:r>
      <w:r w:rsidR="00635D35" w:rsidRPr="00635D35">
        <w:rPr>
          <w:noProof/>
        </w:rPr>
        <w:t>(Lamarque 1995)</w:t>
      </w:r>
      <w:r w:rsidR="00635D35">
        <w:fldChar w:fldCharType="end"/>
      </w:r>
      <w:r w:rsidR="00635D35">
        <w:t xml:space="preserve">, </w:t>
      </w:r>
      <w:r w:rsidR="008F3F5B" w:rsidRPr="00444AF5">
        <w:t>US$67 million for Vietnam</w:t>
      </w:r>
      <w:r w:rsidR="00246677" w:rsidRPr="00444AF5">
        <w:t xml:space="preserve">, with half of this representing domestic consumption and half </w:t>
      </w:r>
      <w:r w:rsidR="007B5353" w:rsidRPr="00444AF5">
        <w:t>international trade</w:t>
      </w:r>
      <w:r w:rsidR="00842835" w:rsidRPr="00444AF5">
        <w:t xml:space="preserve"> </w:t>
      </w:r>
      <w:r w:rsidR="00AD2548" w:rsidRPr="00444AF5">
        <w:fldChar w:fldCharType="begin" w:fldLock="1"/>
      </w:r>
      <w:r w:rsidR="00D72B40">
        <w:instrText>ADDIN CSL_CITATION {"citationItems":[{"id":"ITEM-1","itemData":{"author":[{"dropping-particle":"","family":"Song","given":"Nguyen","non-dropping-particle":"Van","parse-names":false,"suffix":""}],"container-title":"The Journal of Environment &amp; Development","id":"ITEM-1","issue":"2","issued":{"date-parts":[["2008"]]},"page":"145-165","title":"Wildlife trading in Vietnam. Situation, causes, and solutions","type":"article-journal","volume":"17"},"uris":["http://www.mendeley.com/documents/?uuid=ba13aeca-3951-4680-b319-a2497dd0d495"]}],"mendeley":{"formattedCitation":"(Van Song 2008)","manualFormatting":"(Van Song, 2008)","plainTextFormattedCitation":"(Van Song 2008)","previouslyFormattedCitation":"(Van Song 2008)"},"properties":{"noteIndex":0},"schema":"https://github.com/citation-style-language/schema/raw/master/csl-citation.json"}</w:instrText>
      </w:r>
      <w:r w:rsidR="00AD2548" w:rsidRPr="00444AF5">
        <w:fldChar w:fldCharType="separate"/>
      </w:r>
      <w:r w:rsidR="008806AC" w:rsidRPr="00444AF5">
        <w:rPr>
          <w:noProof/>
        </w:rPr>
        <w:t>(V</w:t>
      </w:r>
      <w:r w:rsidR="0071189A" w:rsidRPr="00444AF5">
        <w:rPr>
          <w:noProof/>
        </w:rPr>
        <w:t>an Song</w:t>
      </w:r>
      <w:r w:rsidR="008806AC" w:rsidRPr="00444AF5">
        <w:rPr>
          <w:noProof/>
        </w:rPr>
        <w:t>,</w:t>
      </w:r>
      <w:r w:rsidR="0071189A" w:rsidRPr="00444AF5">
        <w:rPr>
          <w:noProof/>
        </w:rPr>
        <w:t xml:space="preserve"> 2008)</w:t>
      </w:r>
      <w:r w:rsidR="00AD2548" w:rsidRPr="00444AF5">
        <w:fldChar w:fldCharType="end"/>
      </w:r>
      <w:r w:rsidR="008F3F5B" w:rsidRPr="00444AF5">
        <w:t xml:space="preserve">, </w:t>
      </w:r>
      <w:r w:rsidR="00992250" w:rsidRPr="00444AF5">
        <w:t xml:space="preserve">and </w:t>
      </w:r>
      <w:r w:rsidR="00444AF5" w:rsidRPr="00444AF5">
        <w:t>US$</w:t>
      </w:r>
      <w:r w:rsidR="00FA62C1" w:rsidRPr="00444AF5">
        <w:t>112</w:t>
      </w:r>
      <w:r w:rsidRPr="00444AF5">
        <w:t xml:space="preserve"> million</w:t>
      </w:r>
      <w:r w:rsidR="00992250" w:rsidRPr="00444AF5">
        <w:t xml:space="preserve"> for Cameroon</w:t>
      </w:r>
      <w:r w:rsidR="00635D35">
        <w:t xml:space="preserve"> </w:t>
      </w:r>
      <w:r w:rsidR="00635D35">
        <w:fldChar w:fldCharType="begin" w:fldLock="1"/>
      </w:r>
      <w:r w:rsidR="00B9173F">
        <w:instrText>ADDIN CSL_CITATION {"citationItems":[{"id":"ITEM-1","itemData":{"DOI":"10.1505/146554816819683726","ISBN":"1465-5489","ISSN":"1465-5489","abstract":"Traditional wildlife hunting has been described mainly from studies of local practices and from the monitoring of urban bushmeat markets. However, the overall value chain connecting hunters to end consumers remains largely unknown, thus preventing any estimate of the actual socio-economic importance of the bushmeat sector. On the basis of existing literature, this paper provides an order of magnitude for the financial and economic benefits of the bushmeat commodity chain in Cameroon. The following conservative conclusions were arrived at: (1) The annual turnover of the bushmeat sector in the country is likely to be close to €97 million, i.e. 36% more than the official assessment derived from public accounts. (2) The bushmeat sector may contribute 0.17% to Cameroon’s GDP (non-oil), as much as the mining sector. (3) Self-consumption of bushmeat in rural areas may amount to gross annual economic benefit of more than €142 million. However, bushmeat in a country like Cameroon needs to be managed so as to guarantee the food security of urban and rural populations, as well as maintain a substantial source of revenue for communities, all of this without depleting the resource. Achieving this goal requires policy makers to disassociate wildlife harvesting from ‘poaching’ and the extirpation of species. It is crucial to go beyond the dominant narrative of a (real but over simplified) notion of a conservation crisis, to address its important livelihood and welfare dimensions. Contributions financières et économiques de la viande de brousse aux conditions de vie rurales et urbaines au Cameroun: Eléments pour le développement d’une politique publique G. LESCUYER et R. NASI La chasse traditionnelle a été décrite surtout sur la base d’études des pratiques locales et de suivis des marchés urbains de gibier. Toutefois, la chaîne de valeur globale qui relie les chasseurs aux consommateurs finaux demeure largement inconnue, ce qui empêche toute estimation de l’importance socio-économique réelle de ce secteur. Sur la base de la littérature existante, cet article fournit un ordre de grandeur des avantages financiers et économiques de la filière de la viande de brousse au Cameroun. Plusieurs estimations conservatrices sont fournies pour ce secteur: (1) Le chiffre d’affaires annuel de cette filière au Cameroun est probablement proche de 97 million d’Euros, soit 36% de plus que l’estimation officielle de la comptabilité nationale. (2) La filière de la viande de brousse peut co…","author":[{"dropping-particle":"","family":"Lescuyer","given":"G.","non-dropping-particle":"","parse-names":false,"suffix":""},{"dropping-particle":"","family":"Nasi","given":"R.","non-dropping-particle":"","parse-names":false,"suffix":""}],"container-title":"International Forestry Review","id":"ITEM-1","issue":"1","issued":{"date-parts":[["2016"]]},"page":"93-107","title":"Financial and economic values of bushmeat in rural and urban livelihoods in Cameroon: Inputs to the development of public policy","type":"article-journal","volume":"18"},"uris":["http://www.mendeley.com/documents/?uuid=4be8554e-df37-4b5e-8c11-9f8afbc816df"]}],"mendeley":{"formattedCitation":"(Lescuyer &amp; Nasi 2016)","plainTextFormattedCitation":"(Lescuyer &amp; Nasi 2016)","previouslyFormattedCitation":"(Lescuyer &amp; Nasi 2016)"},"properties":{"noteIndex":0},"schema":"https://github.com/citation-style-language/schema/raw/master/csl-citation.json"}</w:instrText>
      </w:r>
      <w:r w:rsidR="00635D35">
        <w:fldChar w:fldCharType="separate"/>
      </w:r>
      <w:r w:rsidR="00635D35" w:rsidRPr="00635D35">
        <w:rPr>
          <w:noProof/>
        </w:rPr>
        <w:t>(Lescuyer &amp; Nasi 2016)</w:t>
      </w:r>
      <w:r w:rsidR="00635D35">
        <w:fldChar w:fldCharType="end"/>
      </w:r>
      <w:r w:rsidRPr="00444AF5">
        <w:t>.</w:t>
      </w:r>
      <w:r w:rsidR="002E1C39" w:rsidRPr="00444AF5">
        <w:t xml:space="preserve"> </w:t>
      </w:r>
    </w:p>
    <w:p w14:paraId="79F4F6CF" w14:textId="63FE62C5" w:rsidR="003B6FE0" w:rsidRPr="0070404D" w:rsidRDefault="008F3F5B" w:rsidP="00CB3EE6">
      <w:r w:rsidRPr="00444AF5">
        <w:t>For hunting communities, the</w:t>
      </w:r>
      <w:r w:rsidR="007744DE" w:rsidRPr="00444AF5">
        <w:t xml:space="preserve"> </w:t>
      </w:r>
      <w:r w:rsidR="00FB6534" w:rsidRPr="00444AF5">
        <w:t xml:space="preserve">amount and </w:t>
      </w:r>
      <w:r w:rsidR="007744DE" w:rsidRPr="00444AF5">
        <w:t>proportion of hunting</w:t>
      </w:r>
      <w:r w:rsidR="00D2185B" w:rsidRPr="00444AF5">
        <w:t xml:space="preserve"> </w:t>
      </w:r>
      <w:r w:rsidR="00D2185B">
        <w:t>offtakes that are sold</w:t>
      </w:r>
      <w:r w:rsidR="007744DE" w:rsidRPr="005512D2">
        <w:t xml:space="preserve"> can be significant</w:t>
      </w:r>
      <w:r w:rsidR="001D0CFE" w:rsidRPr="005512D2">
        <w:t xml:space="preserve"> (</w:t>
      </w:r>
      <w:r w:rsidR="00785009" w:rsidRPr="004904D8">
        <w:fldChar w:fldCharType="begin"/>
      </w:r>
      <w:r w:rsidR="00785009" w:rsidRPr="0070404D">
        <w:instrText xml:space="preserve"> REF _Ref518914218 \h </w:instrText>
      </w:r>
      <w:r w:rsidR="00CB3EE6">
        <w:instrText xml:space="preserve"> \* MERGEFORMAT </w:instrText>
      </w:r>
      <w:r w:rsidR="00785009" w:rsidRPr="004904D8">
        <w:fldChar w:fldCharType="separate"/>
      </w:r>
      <w:r w:rsidR="007034F1" w:rsidRPr="00E64E1D">
        <w:t xml:space="preserve">Table </w:t>
      </w:r>
      <w:r w:rsidR="007034F1">
        <w:rPr>
          <w:noProof/>
        </w:rPr>
        <w:t>3</w:t>
      </w:r>
      <w:r w:rsidR="00785009" w:rsidRPr="004904D8">
        <w:fldChar w:fldCharType="end"/>
      </w:r>
      <w:r w:rsidR="001D0CFE" w:rsidRPr="0070404D">
        <w:t>)</w:t>
      </w:r>
      <w:r w:rsidR="007B5353">
        <w:t>. F</w:t>
      </w:r>
      <w:r w:rsidR="00216C74">
        <w:t>or example, i</w:t>
      </w:r>
      <w:r w:rsidR="00216C74" w:rsidRPr="00357A4B">
        <w:t>n indigenous communities from the Rupununi savannas in Guyana,</w:t>
      </w:r>
      <w:r w:rsidR="00216C74" w:rsidRPr="00514687">
        <w:t xml:space="preserve"> hunting income</w:t>
      </w:r>
      <w:r w:rsidR="00915916">
        <w:t>s</w:t>
      </w:r>
      <w:r w:rsidR="00216C74" w:rsidRPr="00514687">
        <w:t xml:space="preserve"> can be as much as ten times higher than the revenues from tourism (</w:t>
      </w:r>
      <w:r w:rsidR="00035315" w:rsidRPr="00915916">
        <w:fldChar w:fldCharType="begin" w:fldLock="1"/>
      </w:r>
      <w:r w:rsidR="00B2630D">
        <w:instrText>ADDIN CSL_CITATION {"citationItems":[{"id":"ITEM-1","itemData":{"author":[{"dropping-particle":"","family":"Conservation International Guayana","given":"","non-dropping-particle":"","parse-names":false,"suffix":""},{"dropping-particle":"","family":"IDB-Multilateral Investment","given":"","non-dropping-particle":"","parse-names":false,"suffix":""}],"id":"ITEM-1","issued":{"date-parts":[["2015"]]},"number-of-pages":"103","publisher-place":"Conservation International Guyana &amp; IDB-Multilateral Investment Fund, Food and Agriculture Organization of the United Nations (FAO), Rome, Italy","title":"The state of food &amp; agriculture in the Rupununi, Guyana","type":"report"},"uris":["http://www.mendeley.com/documents/?uuid=711bc9a3-bc86-4ffa-a04d-f70751f988f4"]}],"mendeley":{"formattedCitation":"(Conservation International Guayana &amp; IDB-Multilateral Investment 2015)","manualFormatting":"Guyana and IDB-Multilateral Investment Fund, 2015)","plainTextFormattedCitation":"(Conservation International Guayana &amp; IDB-Multilateral Investment 2015)","previouslyFormattedCitation":"(Conservation International Guayana &amp; IDB-Multilateral Investment 2015)"},"properties":{"noteIndex":0},"schema":"https://github.com/citation-style-language/schema/raw/master/csl-citation.json"}</w:instrText>
      </w:r>
      <w:r w:rsidR="00035315" w:rsidRPr="00915916">
        <w:fldChar w:fldCharType="separate"/>
      </w:r>
      <w:r w:rsidR="00035315" w:rsidRPr="00915916">
        <w:rPr>
          <w:noProof/>
        </w:rPr>
        <w:t xml:space="preserve">Guyana </w:t>
      </w:r>
      <w:r w:rsidR="00037F04" w:rsidRPr="00915916">
        <w:rPr>
          <w:noProof/>
        </w:rPr>
        <w:t xml:space="preserve">and </w:t>
      </w:r>
      <w:r w:rsidR="00035315" w:rsidRPr="00915916">
        <w:rPr>
          <w:noProof/>
        </w:rPr>
        <w:t>IDB-Multilateral Investment Fund</w:t>
      </w:r>
      <w:r w:rsidR="008806AC" w:rsidRPr="00915916">
        <w:rPr>
          <w:noProof/>
        </w:rPr>
        <w:t>,</w:t>
      </w:r>
      <w:r w:rsidR="00035315" w:rsidRPr="00915916">
        <w:rPr>
          <w:noProof/>
        </w:rPr>
        <w:t xml:space="preserve"> 2015)</w:t>
      </w:r>
      <w:r w:rsidR="00035315" w:rsidRPr="00915916">
        <w:fldChar w:fldCharType="end"/>
      </w:r>
      <w:r w:rsidR="00216C74" w:rsidRPr="008806AC">
        <w:t>.</w:t>
      </w:r>
      <w:r w:rsidR="00216C74" w:rsidRPr="00514687">
        <w:t xml:space="preserve"> </w:t>
      </w:r>
      <w:r w:rsidR="00216C74">
        <w:t>Incomes</w:t>
      </w:r>
      <w:r w:rsidR="00C7409F">
        <w:t xml:space="preserve"> range widely amo</w:t>
      </w:r>
      <w:r w:rsidR="00D2185B">
        <w:t xml:space="preserve">ng communities, </w:t>
      </w:r>
      <w:r w:rsidR="00FB6534" w:rsidRPr="004904D8">
        <w:t>generally</w:t>
      </w:r>
      <w:r w:rsidR="00D2185B">
        <w:t xml:space="preserve"> being</w:t>
      </w:r>
      <w:r w:rsidR="00FB6534" w:rsidRPr="004904D8">
        <w:t xml:space="preserve"> </w:t>
      </w:r>
      <w:r w:rsidR="001D0CFE" w:rsidRPr="004904D8">
        <w:t>highest</w:t>
      </w:r>
      <w:r w:rsidR="007744DE" w:rsidRPr="004904D8">
        <w:t xml:space="preserve"> in settlements with good market access, where urban demand </w:t>
      </w:r>
      <w:r w:rsidR="00842835" w:rsidRPr="005512D2">
        <w:t>is</w:t>
      </w:r>
      <w:r w:rsidR="007744DE" w:rsidRPr="005512D2">
        <w:t xml:space="preserve"> an important driver</w:t>
      </w:r>
      <w:r w:rsidR="00A20500" w:rsidRPr="0064175F">
        <w:t xml:space="preserve"> of hunting and sales</w:t>
      </w:r>
      <w:r w:rsidR="00C51889">
        <w:t xml:space="preserve"> </w:t>
      </w:r>
      <w:r w:rsidR="00C51889">
        <w:fldChar w:fldCharType="begin" w:fldLock="1"/>
      </w:r>
      <w:r w:rsidR="00C51889">
        <w:instrText>ADDIN CSL_CITATION {"citationItems":[{"id":"ITEM-1","itemData":{"abstract":"In this thesis I examine the role that the hunting, sale and consumption of bushmeat – wildlife hunted for food – plays in people’s livelihoods in Central Africa. This issue is central to current debates about how conservation and development can be reconciled in tropical forests, itself part of a wide debate about sustainable development. Three questions lie at the core of this debate: 1) Is urban consumption of bushmeat a key driver of exploitation of wildlife? 2) Why do contemporary Africans consume bushmeat? 3) How important is the consumption and sale of bushmeat for rural communities? I address these using quantitative and qualitative data collected in Gabon between October 2000 and September 2002. Using data from quantitative market and consumption surveys I show that in Gabon aggregate consumption of bushmeat is evenly divided between rural and urban areas. Urban consumption is concentrated in smaller towns in the interior of the country rather than in the large capital city. Most bushmeat consumed in urban areas does not pass through formal markets but more protected species are sold in formal markets. In rural areas of Gabon, people consume bushmeat because it is by far the cheapest available animal protein. Bushmeat is widely regarded as a desirable ‘organic’ meat that is preferable to lowquality imported frozen meat. It is therefore consumed even in urban areas where it is expensive compared to alternatives. However, bushmeat consumption is price sensitive and people consume less as it becomes more expensive. Using seven villages as a case study, I show that bushmeat is important to both household consumption and household income but is more important to income. It is also more important in poorer, more remote villages than in wealthier villages with easy market access. At any given site, from bushmeat is highly skewed; households that have both the male labour and financial capital to pursue both hunting and trapping simultaneously obtain most of the benefits from bushmeat. This thesis contributes to the wider debate about the role of forest resources in contribution to both development and conservation by illustrating the necessity for such debates to be based on empirical data collected at multiple scales of analysis.","author":[{"dropping-particle":"","family":"Starkey","given":"Malcolm","non-dropping-particle":"","parse-names":false,"suffix":""}],"id":"ITEM-1","issued":{"date-parts":[["2004"]]},"number-of-pages":"305","publisher":"PhD Thesis, University of Cambridge, UK","title":"Commerce and subsistence: the hunting, sale and consumption of bushmeat in Gabon","type":"book"},"uris":["http://www.mendeley.com/documents/?uuid=50e0e0eb-b3af-46eb-9916-3f5c20e90a00"]},{"id":"ITEM-2","itemData":{"abstract":"Bushmeat hunting is thought to be becoming increasingly unsustainable in west and central Africa, but true assessment of sustainability, and consequently appropriate management, is constrained by poor understanding of cause and effect. This cross-disciplinary study considers the complex and dynamic interactions between market, hunter and prey along an entire bushmeat chain in continental Equatorial Guinea, thus enabling evaluation of the sustainability of the system under different policy scenarios. Fieldwork was undertaken over a period of 18 months from 2002-2004. Market surveys and consumer interviews in Bata, the regional capital, were used to evaluate the determinants of urban bushmeat consumption: people preferred fresh meat and fish, including bushmeat, but tended to consume cheaper frozen foods more often. Bushmeat consumption increased with income. 1607 household and 72 hunter interviews were conducted in the village of Sendje, gateway to the forested Monte Alén National Park and major source of bushmeat to Bata. Men hunt for income because there are few other livelihood options. A village offtake survey estimated over 10,000 animals hunted per year (90% by trapping), hunted using a long-term rotation of camps up to 30 km from the village. Hunter behaviour, prey choice and animal encounter rates were recorded during 77 trapper and 48 gun-hunter follows. Trapping is currently preferred to gunhunting due to lower costs and relatively high returns. However, as the availability and affordability of guns and cartridges increases, and trapping success decreases, hunters are switching to shooting arboreal prey. Population densities of key primate prey species were estimated in two sites with differing gun-hunting histories, using 408 km of line transects. Whereas some of the guenon monkey species were still numerous in the heavily hunted village site, the absence of Colobus satanus suggests they are more vulnerable to hunting pressure. Extremely high densities of Colobus satanus were found inside the park, suggesting it should be an urgent conservation priority. The current oil boom in Equatorial Guinea is increasing urban wealth and subsequent demand for bushmeat. In the absence of alternative foods and rural livelihoods, and proper enforcement of protected areas, people will continue to hunt for the commercial bushmeat trade until many vulnerable species become at least locally extinct.","author":[{"dropping-particle":"","family":"Kümpel","given":"Noëlle Francesca","non-dropping-particle":"","parse-names":false,"suffix":""}],"id":"ITEM-2","issued":{"date-parts":[["2006"]]},"number-of-pages":"247","publisher":"PhD Thesis, Imperial College London, UK","publisher-place":"PhD Thesis, Imperial College London, UK","title":"Incentives for sustainable hunting of bushmeat in Río Muni, Equatorial Guinea","type":"book"},"uris":["http://www.mendeley.com/documents/?uuid=788befdd-0bff-48ba-8bc7-4515dc3b1e67"]},{"id":"ITEM-3","itemData":{"DOI":"10.1073/pnas.1011526108","ISBN":"0027-8424","ISSN":"0027-8424","PMID":"21873180","abstract":"The harvest of wildlife for human consumption is valued at several billion dollars annually and provides an essential source of meat for hundreds of millions of rural people living in poverty. This harvest is also considered among the greatest threats to biodiversity throughout Africa, Asia, and Latin America. Economic development is often proposed as an essential first step to win-win solutions for poverty alleviation and biodiversity conservation by breaking rural reliance on wildlife. However, increases in wealth may accelerate consumption and extend the scale and efficiency of wildlife harvest. Our ability to assess the likelihood of these two contrasting outcomes and to design approaches that simultaneously consider poverty and biodiversity loss is impeded by a weak understanding of the direction and shape of their interaction. Here, we present results of economic and wildlife use surveys conducted in 2,000 households from 96 settlements in Ghana, Cameroon, Tanzania, and Madagascar. We examine the individual and interactive roles of wealth, relative food prices, market access, and opportunity costs of time spent hunting on household rates of wildlife consumption. Despite great differences in biogeographic, social, and economic aspects of our study sites, we found a consistent relationship between wealth and wildlife consumption. Wealthier households consume more bushmeat in settlements nearer urban areas, but the opposite pattern is observed in more isolated settlements. Wildlife hunting and consumption increase when alternative livelihoods collapse, but this safety net is an option only for those people living near harvestable wildlife.","author":[{"dropping-particle":"","family":"Brashares","given":"J. S.","non-dropping-particle":"","parse-names":false,"suffix":""},{"dropping-particle":"","family":"Golden","given":"C. D.","non-dropping-particle":"","parse-names":false,"suffix":""},{"dropping-particle":"","family":"Weinbaum","given":"K. Z.","non-dropping-particle":"","parse-names":false,"suffix":""},{"dropping-particle":"","family":"Barrett","given":"C. B.","non-dropping-particle":"","parse-names":false,"suffix":""},{"dropping-particle":"V.","family":"Okello","given":"G.","non-dropping-particle":"","parse-names":false,"suffix":""}],"container-title":"Proceedings of the National Academy of Sciences","id":"ITEM-3","issue":"34","issued":{"date-parts":[["2011"]]},"page":"13931-13936","title":"Economic and geographic drivers of wildlife consumption in rural Africa","type":"article-journal","volume":"108"},"uris":["http://www.mendeley.com/documents/?uuid=ebd5568e-523f-4295-a35c-c8e194c4443a"]}],"mendeley":{"formattedCitation":"(Starkey 2004; Kümpel 2006; Brashares et al. 2011)","plainTextFormattedCitation":"(Starkey 2004; Kümpel 2006; Brashares et al. 2011)","previouslyFormattedCitation":"(Starkey 2004; Kümpel 2006; Brashares et al. 2011)"},"properties":{"noteIndex":0},"schema":"https://github.com/citation-style-language/schema/raw/master/csl-citation.json"}</w:instrText>
      </w:r>
      <w:r w:rsidR="00C51889">
        <w:fldChar w:fldCharType="separate"/>
      </w:r>
      <w:r w:rsidR="00C51889" w:rsidRPr="00C51889">
        <w:rPr>
          <w:noProof/>
        </w:rPr>
        <w:t>(Starkey 2004; Kümpel 2006; Brashares et al. 2011)</w:t>
      </w:r>
      <w:r w:rsidR="00C51889">
        <w:fldChar w:fldCharType="end"/>
      </w:r>
      <w:r w:rsidR="00CF08F2" w:rsidRPr="0070404D">
        <w:t>.</w:t>
      </w:r>
      <w:r w:rsidR="00163503" w:rsidRPr="0070404D">
        <w:t xml:space="preserve"> </w:t>
      </w:r>
      <w:r w:rsidR="00A20500" w:rsidRPr="0070404D">
        <w:t xml:space="preserve">Incomes derived from wild meat are not only generated by the hunters themselves; </w:t>
      </w:r>
      <w:r w:rsidR="0076423B">
        <w:t>multiple</w:t>
      </w:r>
      <w:r w:rsidR="00A20500" w:rsidRPr="0070404D">
        <w:t xml:space="preserve"> actors along the </w:t>
      </w:r>
      <w:r w:rsidR="00AC11E4" w:rsidRPr="0070404D">
        <w:t>site</w:t>
      </w:r>
      <w:r w:rsidR="008A13D9" w:rsidRPr="0070404D">
        <w:t>,</w:t>
      </w:r>
      <w:r w:rsidR="00AC11E4" w:rsidRPr="0070404D">
        <w:t xml:space="preserve"> species</w:t>
      </w:r>
      <w:r w:rsidR="008A13D9" w:rsidRPr="0070404D">
        <w:t xml:space="preserve"> and </w:t>
      </w:r>
      <w:r w:rsidR="001B2132" w:rsidRPr="0070404D">
        <w:t>demand</w:t>
      </w:r>
      <w:r w:rsidR="0097573D" w:rsidRPr="0070404D">
        <w:t>.</w:t>
      </w:r>
      <w:r w:rsidR="00AC11E4" w:rsidRPr="0070404D">
        <w:t xml:space="preserve"> </w:t>
      </w:r>
      <w:r w:rsidR="00A20500" w:rsidRPr="0070404D">
        <w:t xml:space="preserve">For </w:t>
      </w:r>
      <w:r w:rsidR="00A479D2" w:rsidRPr="0070404D">
        <w:t>example,</w:t>
      </w:r>
      <w:r w:rsidR="00A20500" w:rsidRPr="0070404D">
        <w:t xml:space="preserve"> in Ghana, commercial or farmer hunters can supply wildlife directly to wholesalers, </w:t>
      </w:r>
      <w:r w:rsidR="003E1067" w:rsidRPr="0070404D">
        <w:t>restaurants</w:t>
      </w:r>
      <w:r w:rsidR="00A20500" w:rsidRPr="0070404D">
        <w:t xml:space="preserve">, or market traders, who in turn supply meat to the customers, with the price of wildlife increasing at each step </w:t>
      </w:r>
      <w:r w:rsidR="00E31F70">
        <w:fldChar w:fldCharType="begin" w:fldLock="1"/>
      </w:r>
      <w:r w:rsidR="00EF6EFF">
        <w:instrText>ADDIN CSL_CITATION {"citationItems":[{"id":"ITEM-1","itemData":{"abstract":"Bushmeat can be an important component of household food security and income in West and Central Africa. However, there is growing concern that current levels of bushmeat extraction are unsustainable and will lead to the loss of bushmeat as a natural resource and to the extinction of many threatened species. Policy development to mitigate this risk is impeded by a dearth of information on the structure of the bushmeat trade and its biological sustainability. In this study, we tackle these problems by exploring the structure and sustainability of a bushmeat commodity chain supplying the city of Takoradi in Ghana.","author":[{"dropping-particle":"","family":"Cowlishaw","given":"Guy","non-dropping-particle":"","parse-names":false,"suffix":""},{"dropping-particle":"","family":"Mendelson","given":"Samantha","non-dropping-particle":"","parse-names":false,"suffix":""},{"dropping-particle":"","family":"Rowcliffe","given":"J Marcus","non-dropping-particle":"","parse-names":false,"suffix":""}],"container-title":"Wildlife Policy","id":"ITEM-1","issue":"7","issued":{"date-parts":[["2004"]]},"page":"1-4","title":"The bushmeat commodity chain: patterns of trade and sustainability in a mature urban market in West Africa","type":"article-journal","volume":"7"},"uris":["http://www.mendeley.com/documents/?uuid=af071412-ab60-4521-9c8a-d19c3d263ad6"]}],"mendeley":{"formattedCitation":"(Cowlishaw et al. 2004)","plainTextFormattedCitation":"(Cowlishaw et al. 2004)","previouslyFormattedCitation":"(Cowlishaw et al. 2004)"},"properties":{"noteIndex":0},"schema":"https://github.com/citation-style-language/schema/raw/master/csl-citation.json"}</w:instrText>
      </w:r>
      <w:r w:rsidR="00E31F70">
        <w:fldChar w:fldCharType="separate"/>
      </w:r>
      <w:r w:rsidR="00EF6EFF" w:rsidRPr="00EF6EFF">
        <w:rPr>
          <w:noProof/>
        </w:rPr>
        <w:t>(Cowlishaw et al. 2004)</w:t>
      </w:r>
      <w:r w:rsidR="00E31F70">
        <w:fldChar w:fldCharType="end"/>
      </w:r>
      <w:r w:rsidR="00A20500" w:rsidRPr="0070404D">
        <w:t xml:space="preserve">. </w:t>
      </w:r>
      <w:r w:rsidR="00413751" w:rsidRPr="0070404D">
        <w:t>The same has been observed for the trade of tortoise meat in Amazonia, where intermediaries between hunters and urban vendors are benefited and obtain high profits in the mark</w:t>
      </w:r>
      <w:r w:rsidR="00E45806" w:rsidRPr="0070404D">
        <w:t xml:space="preserve">et chain </w:t>
      </w:r>
      <w:r w:rsidR="009376F7">
        <w:fldChar w:fldCharType="begin" w:fldLock="1"/>
      </w:r>
      <w:r w:rsidR="00B2630D">
        <w:instrText>ADDIN CSL_CITATION {"citationItems":[{"id":"ITEM-1","itemData":{"DOI":"10.5751/ES-07701-200303","ISBN":"1708-3087","ISSN":"17083087","abstract":"Chelonians constitute an important source of food and income for the inhabitants of tropical forests. We assessed the social, biological, and environmental factors affecting the hunting and trade of the endangered yellow-footed tortoise (Chelonoidis denticulata) in rural and urban areas in the Amazon and estimated the sustainability of tortoise use. We also discuss possible conservation alternatives that are compatible with the needs of local inhabitants. We monitored tortoise hunting and trade for 12 years in 10 traditional communities that exploit different habitat types in the Brazilian Amazon and collected data on the tortoise trade in two urban markets for six years. In upland forests, tortoise hunting mainly occurred during the dry season; in whitewater flooded forests, hunting mainly occurred during the flood season. The tortoise trade was carried out nearly entirely by whitewater flooded forest users and was intimately related to fishing, the main economic activity in these communities. Furthermore, the tortoise trade was encouraged in whitewater flooded forests because this environment yielded significantly heavier tortoises than upland forests, and we observed a strong relationship between trade probability and tortoise size. The tortoise trade was found to primarily supply nearby urban centers, generating high monetary gain. Female tortoises suffered greater hunting pressure and were more valued in the bushmeat market. The productivity of tortoise hunting in the monitored communities severely decreased with time. In addition, the price per kilogram of tortoise greatly increased in the urban market. Given this unsustainable scenario, policies regulating tortoise hunting in the Amazon are needed. These policies must be adapted to the different patterns of tortoise use by rural communities while maintaining the culture and food sovereignty of the local inhabitants.","author":[{"dropping-particle":"","family":"Morcatty","given":"Thaís Q.","non-dropping-particle":"","parse-names":false,"suffix":""},{"dropping-particle":"","family":"Valsecchi","given":"João","non-dropping-particle":"","parse-names":false,"suffix":""}],"container-title":"Ecology and Society","id":"ITEM-1","issue":"3","issued":{"date-parts":[["2015"]]},"page":"3","title":"Social, biological, and environmental drivers of the hunting and trade of the endangered yellow-footed tortoise in the Amazon","type":"article-journal","volume":"20"},"uris":["http://www.mendeley.com/documents/?uuid=8ae0a2ac-4a10-489b-92d5-1076ff8211fc"]}],"mendeley":{"formattedCitation":"(Morcatty &amp; Valsecchi 2015)","plainTextFormattedCitation":"(Morcatty &amp; Valsecchi 2015)","previouslyFormattedCitation":"(Morcatty &amp; Valsecchi 2015)"},"properties":{"noteIndex":0},"schema":"https://github.com/citation-style-language/schema/raw/master/csl-citation.json"}</w:instrText>
      </w:r>
      <w:r w:rsidR="009376F7">
        <w:fldChar w:fldCharType="separate"/>
      </w:r>
      <w:r w:rsidR="009376F7" w:rsidRPr="009376F7">
        <w:rPr>
          <w:noProof/>
        </w:rPr>
        <w:t>(Morcatty &amp; Valsecchi 2015)</w:t>
      </w:r>
      <w:r w:rsidR="009376F7">
        <w:fldChar w:fldCharType="end"/>
      </w:r>
      <w:r w:rsidR="007B5353">
        <w:t>.</w:t>
      </w:r>
      <w:r w:rsidR="00E45806" w:rsidRPr="0070404D">
        <w:t xml:space="preserve"> </w:t>
      </w:r>
      <w:r w:rsidR="00E45806" w:rsidRPr="004904D8">
        <w:fldChar w:fldCharType="begin"/>
      </w:r>
      <w:r w:rsidR="00E45806" w:rsidRPr="0070404D">
        <w:instrText xml:space="preserve"> REF _Ref518914194 \h </w:instrText>
      </w:r>
      <w:r w:rsidR="00E45806" w:rsidRPr="004904D8">
        <w:fldChar w:fldCharType="separate"/>
      </w:r>
      <w:r w:rsidR="007034F1" w:rsidRPr="00946D97">
        <w:t xml:space="preserve">Figure </w:t>
      </w:r>
      <w:r w:rsidR="007034F1">
        <w:rPr>
          <w:noProof/>
        </w:rPr>
        <w:t>3</w:t>
      </w:r>
      <w:r w:rsidR="00E45806" w:rsidRPr="004904D8">
        <w:fldChar w:fldCharType="end"/>
      </w:r>
      <w:r w:rsidR="00E45806" w:rsidRPr="0070404D">
        <w:t xml:space="preserve"> shows the many different suppliers, middle-men, traders and buyers involved the trade in tortoises and freshwater turtle meat and live animals in Cambodia and </w:t>
      </w:r>
      <w:r w:rsidR="00A479D2" w:rsidRPr="0070404D">
        <w:t xml:space="preserve">Vietnam </w:t>
      </w:r>
      <w:r w:rsidR="009376F7">
        <w:fldChar w:fldCharType="begin" w:fldLock="1"/>
      </w:r>
      <w:r w:rsidR="009376F7">
        <w:instrText>ADDIN CSL_CITATION {"citationItems":[{"id":"ITEM-1","itemData":{"author":[{"dropping-particle":"","family":"TRAFFIC","given":"","non-dropping-particle":"","parse-names":false,"suffix":""}],"id":"ITEM-1","issued":{"date-parts":[["2008"]]},"publisher-place":"The World Bank, Washington","title":"What's driving the wildlife trade?","type":"report"},"uris":["http://www.mendeley.com/documents/?uuid=63b0c165-988f-4243-bb35-18e2718bb412"]}],"mendeley":{"formattedCitation":"(TRAFFIC 2008)","plainTextFormattedCitation":"(TRAFFIC 2008)","previouslyFormattedCitation":"(TRAFFIC 2008)"},"properties":{"noteIndex":0},"schema":"https://github.com/citation-style-language/schema/raw/master/csl-citation.json"}</w:instrText>
      </w:r>
      <w:r w:rsidR="009376F7">
        <w:fldChar w:fldCharType="separate"/>
      </w:r>
      <w:r w:rsidR="009376F7" w:rsidRPr="009376F7">
        <w:rPr>
          <w:noProof/>
        </w:rPr>
        <w:t>(TRAFFIC 2008)</w:t>
      </w:r>
      <w:r w:rsidR="009376F7">
        <w:fldChar w:fldCharType="end"/>
      </w:r>
      <w:r w:rsidR="00E45806" w:rsidRPr="0070404D">
        <w:t xml:space="preserve">. </w:t>
      </w:r>
      <w:r w:rsidR="00AC11E4" w:rsidRPr="004904D8">
        <w:t>However, hunters</w:t>
      </w:r>
      <w:r w:rsidR="00A20500" w:rsidRPr="004904D8">
        <w:t xml:space="preserve"> in Gabon have </w:t>
      </w:r>
      <w:r w:rsidR="00AC11E4" w:rsidRPr="004904D8">
        <w:t xml:space="preserve">also </w:t>
      </w:r>
      <w:r w:rsidR="00A20500" w:rsidRPr="005512D2">
        <w:t xml:space="preserve">been recorded supplying wildlife (particularly pangolins) directly to Asian industry workers </w:t>
      </w:r>
      <w:r w:rsidR="009376F7">
        <w:fldChar w:fldCharType="begin" w:fldLock="1"/>
      </w:r>
      <w:r w:rsidR="00AB268B">
        <w:instrText>ADDIN CSL_CITATION {"citationItems":[{"id":"ITEM-1","itemData":{"DOI":"10.1111/aje.12507","ISSN":"13652028","abstract":"Recent seizures of illegally held wildlife indicate a mounting global trade in pangolins involving all eight species. Seizures of illegally traded African pangolins are increasing as wild populations of Asian species decline. We investigated trade in pangolins and law enforcement efforts in Gabon; a country likely to have intact wild populations of three of the four species of African pangolin. We compared village sales and trade chains between 2002-2003 and 2014. Hunters reported pangolins to be the most frequently requested species in 2014, and the value of pangolins had increased at every point along their trade chain. In Libreville, giant pangolin prices increased 211% and arboreal pangolin prices 73% whilst inflation rose only 4.6% over the same period. We documented a low rate of interception of illegally traded pangolins despite increased law enforcement. Surveys of potential export routes detected exports across forest borders, in conjunction with ivory, but not through public transport routes. We conclude that whilst there is clear potential and likelihood that a wild pangolin export trade is emerging from Gabon, traditional bushmeat trade chains may not be the primary supply route. We recommend adjusting conservation policies and actions to impede further development of illegal trade within and from Gabon.","author":[{"dropping-particle":"","family":"Mambeya","given":"Meine M.","non-dropping-particle":"","parse-names":false,"suffix":""},{"dropping-particle":"","family":"Baker","given":"Francesca","non-dropping-particle":"","parse-names":false,"suffix":""},{"dropping-particle":"","family":"Momboua","given":"Brice R.","non-dropping-particle":"","parse-names":false,"suffix":""},{"dropping-particle":"","family":"Koumba Pambo","given":"Aurélie Flore","non-dropping-particle":"","parse</w:instrText>
      </w:r>
      <w:r w:rsidR="00AB268B" w:rsidRPr="00DF57F3">
        <w:rPr>
          <w:lang w:val="fr-FR"/>
        </w:rPr>
        <w:instrText>-names":false,"suffix":""},{"dropping-particle":"","family":"Hega","given":"Martin","non-dropping-particle":"","parse-names":false,"suffix":""},{"dropping-particle":"","family":"Okouyi Okouyi","given":"Vivien Joseph","non-dropping-particle":"","parse-names":false,"suffix":""},{"dropping-particle":"","family":"Onanga","given":"Martial","non-dropping-particle":"","parse-names":false,"suffix":""},{"dropping-particle":"","family":"Challender","given":"Daniel W.S.","non-dropping-particle":"","parse-names":false,"suffix":""},{"dropping-particle":"","family":"Ingram","given":"Daniel J.","non-dropping-particle":"","parse-names":false,"suffix":""},{"dropping-particle":"","family":"Wang","given":"Hongyan","non-dropping-particle":"","parse-names":false,"suffix":""},{"dropping-particle":"","family":"Abernethy","given":"Katharine","non-dropping-particle":"","parse-names":false,"suffix":""}],"container-title":"African Journal of Ecology","id":"ITEM-1","issue":"3","issued":{"date-parts":[["2018"]]},"page":"601-609","title":"The emergence of a commercial trade in pangolins from Gabon","type":"article-journal","volume":"56"},"uris":["http://www.mendeley.com/documents/?uuid=ef42c09b-b27d-47fc-b658-e277a92d0c4d"]}],"mendeley":{"formattedCitation":"(Mambeya et al. 2018)","plainTextFormattedCitation":"(Mambeya et al. 2018)","previouslyFormattedCitation":"(Mambeya et al. 2018)"},"properties":{"noteIndex":0},"schema":"https://github.com/citation-style-language/schema/raw/master/csl-citation.json"}</w:instrText>
      </w:r>
      <w:r w:rsidR="009376F7">
        <w:fldChar w:fldCharType="separate"/>
      </w:r>
      <w:r w:rsidR="009376F7" w:rsidRPr="00DF57F3">
        <w:rPr>
          <w:noProof/>
          <w:lang w:val="fr-FR"/>
        </w:rPr>
        <w:t>(Mambeya et al. 2018)</w:t>
      </w:r>
      <w:r w:rsidR="009376F7">
        <w:fldChar w:fldCharType="end"/>
      </w:r>
      <w:r w:rsidR="00A20500" w:rsidRPr="00DF57F3">
        <w:rPr>
          <w:lang w:val="fr-FR"/>
        </w:rPr>
        <w:t xml:space="preserve">, and Suárez </w:t>
      </w:r>
      <w:r w:rsidR="00475918" w:rsidRPr="00DF57F3">
        <w:rPr>
          <w:lang w:val="fr-FR"/>
        </w:rPr>
        <w:t xml:space="preserve">et al., </w:t>
      </w:r>
      <w:r w:rsidR="009376F7">
        <w:fldChar w:fldCharType="begin" w:fldLock="1"/>
      </w:r>
      <w:r w:rsidR="00247EE8" w:rsidRPr="00DF57F3">
        <w:rPr>
          <w:lang w:val="fr-FR"/>
        </w:rPr>
        <w:instrText>ADDIN CSL_CITATION {"citationItems":[{"id":"ITEM-1","itemData":{"DOI":"10.1111/j.1469-1795.2009.00262.x","author":[{"dropping-particle":"","family":"Suárez","given":"E","non-dropping-particle":"","parse-names":false,"suffix":""},{"dropping-particle":"","family":"Morales","given":"M","non-dropping-particle":"","parse-names":false,"suffix":""},{"dropping-particle":"","family":"Cueva","given":"R","non-dropping-particle":"","parse-names":false,"suffix":""},{"dropping-particle":"","family":"Bucheli","given":"V Utreras","non-dropping-particle":"","parse-names":false,"suffix":""},{"dropping-particle":"","family":"Toral","given":"E","non-dropping-particle":"","parse-names":false,"suffix":""},{"dropping-particle":"","family":"Torres","given":"J","non-dropping-particle":"","parse-names":false,"suffix":""},{"dropping-particle":"","family":"Prado","given":"W","non-dropping-particle":"","parse-names":false,"suffix":""},{"dropping-particle":"","family":"Olalla","given":"J Vargas","non-dropping-particle":"","parse-names":false,"suffix":""}],"container-title":"Animal Conservation","id":"ITEM-1","issued":{"date-parts":[["2009"]]},"page":"364-373","title":"Oil industry, wild meat trade and roads: indirect effects of oil extraction activities in a protected area in north-east Ecuador","type":"article-journal","volume":"12"},"uris":["http://www.mendeley.com/documents/?uuid=576e3ebf-103c-46b2-b91d-2734e10c2911"]}],"mendeley":{"formattedCitation":"(Suárez et al. 2009)","manualFormatting":"(2009)","plainTextFormattedCitation":"(Suárez et al. 2009)","previouslyFormattedCitation":"(Suárez et al. 2009)"},"properties":{"noteIndex":0},"schema":"https://github.com/citation-style-language/schema/raw/master/csl-citation.json"}</w:instrText>
      </w:r>
      <w:r w:rsidR="009376F7">
        <w:fldChar w:fldCharType="separate"/>
      </w:r>
      <w:r w:rsidR="009376F7" w:rsidRPr="00DF57F3">
        <w:rPr>
          <w:noProof/>
          <w:lang w:val="fr-FR"/>
        </w:rPr>
        <w:t>(2009)</w:t>
      </w:r>
      <w:r w:rsidR="009376F7">
        <w:fldChar w:fldCharType="end"/>
      </w:r>
      <w:r w:rsidR="00A20500" w:rsidRPr="00DF57F3">
        <w:rPr>
          <w:lang w:val="fr-FR"/>
        </w:rPr>
        <w:t xml:space="preserve"> show how indigenous hunters sell wildlife directly to vendors at wild meat markets in Ecuador.</w:t>
      </w:r>
      <w:r w:rsidR="00AC11E4" w:rsidRPr="00DF57F3">
        <w:rPr>
          <w:lang w:val="fr-FR"/>
        </w:rPr>
        <w:t xml:space="preserve"> </w:t>
      </w:r>
      <w:r w:rsidR="00B00912" w:rsidRPr="0070404D">
        <w:t>In Africa, w</w:t>
      </w:r>
      <w:r w:rsidR="00413751" w:rsidRPr="0070404D">
        <w:t xml:space="preserve">hereas hunters are mostly men, wild meat ‘middlemen’ and vendors are predominantly women </w:t>
      </w:r>
      <w:r w:rsidR="00247EE8">
        <w:fldChar w:fldCharType="begin" w:fldLock="1"/>
      </w:r>
      <w:r w:rsidR="00B2630D">
        <w:instrText>ADDIN CSL_CITATION {"citationItems":[{"id":"ITEM-1","itemData":{"DOI":"10.1017/S0030605311000202","ISBN":"0030-6053","ISSN":"00306053","PMID":"18453769","abstract":"Given the important contribution of urban consumption in bushmeat trade, information on bushmeat sales in urban markets can provide valuable insights for understanding the dynamics of this trade and its implications for conservation and food security. We monitored bushmeat traded in the market of Kisangani (the provincial capital of the Province Orientale in the Democratic Republic of Congo) and compared data collected in surveys in 2002 and 2008–2009. In both periods more than two-thirds of the carcasses sold were of rodents and ungulates. From 2002 to 2008–2009 the number of carcasses increased by 44% but the equivalent biomass by only 16% because of a significant decrease in medium-sized species (10–50 kg) and an increase in small species (&lt;10 kg). The number of carcasses of large species increased between the two periods and those of diurnal monkeys increased fourfold. In both periods smoked bushmeat was one of the cheapest sources of protein available year-round, together with caterpillars, which were only available during the rainy season, and pork. Prices of other domestic meat were significantly higher. This study identified an increase in the market of highly threatened species such as okapi Okapia johnstoni and small diurnal monkeys and the continued presence of protected species, and also highlights the food security role that bushmeat plays for poor urban people who cannot afford alternative sources of protein.","author":[{"dropping-particle":"","family":"Vliet","given":"Nathalie","non-dropping-particle":"Van","parse-names":false,"suffix":""},{"dropping-particle":"","family":"Nebesse","given":"Casimir","non-dropping-particle":"","parse-names":false,"suffix":""},{"dropping-particle":"","family":"Gambalemoke","given":"Sylvestre","non-dropping-particle":"","parse-names":false,"suffix":""},{"dropping-particle":"","family":"Akaibe","given":"Dudu","non-dropping-particle":"","parse-names":false,"suffix":""},{"dropping-particle":"","family":"Nasi","given":"Robert","non-dropping-particle":"","parse-names":false,"suffix":""}],"container-title":"Oryx","id":"ITEM-1","issue":"2","issued":{"date-parts":[["2012"]]},"page":"196-203","title":"The bushmeat market in Kisangani, Democratic Republic of Congo: Implications for conservation and food security","type":"article-journal","volume":"46"},"uris":["http://www.mendeley.com/documents/?uuid=5d102dc5-0340-4d10-bc43-36a57be81228"]},{"id":"ITEM-2","itemData":{"DOI":"10.1017/S0030605306001256","ISBN":"0030-6053","ISSN":"00306053","abstract":"Bushmeat is a major food and economic resource in sub-Saharan Africa, and with increasing urbanization bushmeat consumption has spread from villages to cities. To facilitate long-term monitoring of the bushmeat market in Yaounde, Cameroon, we carried out a baseline survey of the transportation routes of bushmeat into the city and of urban bushmeat sales. We inventoried all bushmeat sales points, and located 15 markets and 145 restaurants and cafeterias selling an estimated total of 1, 052 bushmeat dishes per day. This trade provides an occupation for 249 people, of whom 84.3% are women. Trains from Ngaoundere in the north and minibuses from the east supply more than 70% of the sales points in the Elig-Edzoa market, located next to the railway, and the Nkoldongo bus station. From these two places bushmeat is redistributed to other commercial sites within the city. The routes into Yaounde transport bushmeat from a vast area of the country and in particular from the savannah and central provinces, which are rich in wildlife and contain National Parks and safari hunting areas. However, overall, bushmeat consumption at commercial outlets in the city is low relative to the number of inhabitants.","author":[{"dropping-particle":"","family":"Edderai","given":"David","non-dropping-particle":"","parse-names":false,"suffix":""},{"dropping-particle":"","family":"Dame","given":"Mireille","non-dropping-particle":"","parse-names":false,"suffix":""}],"container-title":"Oryx","id":"ITEM-2","issue":"4","issued":{"date-parts":[["2006"]]},"page":"472-475","title":"A census of the commercial bushmeat market in Yaound??, Cameroon","type":"article-journal","volume":"40"},"uris":["http://www.mendeley.com/documents/?uuid=cd9cbf15-2fda-4795-a337-a6756b4852c2"]},{"id":"ITEM-3","itemData":{"author":[{"dropping-particle":"","family":"Castroviejo","given":"J.","non-dropping-particle":"","parse-names":false,"suffix":""}],"id":"ITEM-3","issued":{"date-parts":[["1995"]]},"publisher-place":"Amigos de Doñana, Seville, Spain","title":"Estudio sobre la zonificación y uso multiple de las Areas Protegidas de la Isla de Bioco.","type":"report"},"uris":["http://www.mendeley.com/documents/?uuid=637f4046-056a-43bc-b7d0-a33d86732f6d"]}],"mendeley":{"formattedCitation":"(Castroviejo 1995; Edderai &amp; Dame 2006; Van Vliet et al. 2012)","plainTextFormattedCitation":"(Castroviejo 1995; Edderai &amp; Dame 2006; Van Vliet et al. 2012)","previouslyFormattedCitation":"(Castroviejo 1995; Edderai &amp; Dame 2006; Van Vliet et al. 2012)"},"properties":{"noteIndex":0},"schema":"https://github.com/citation-style-language/schema/raw/master/csl-citation.json"}</w:instrText>
      </w:r>
      <w:r w:rsidR="00247EE8">
        <w:fldChar w:fldCharType="separate"/>
      </w:r>
      <w:r w:rsidR="00247EE8" w:rsidRPr="00247EE8">
        <w:rPr>
          <w:noProof/>
        </w:rPr>
        <w:t>(Castroviejo 1995; Edderai &amp; Dame 2006; Van Vliet et al. 2012)</w:t>
      </w:r>
      <w:r w:rsidR="00247EE8">
        <w:fldChar w:fldCharType="end"/>
      </w:r>
      <w:r w:rsidR="00413751" w:rsidRPr="0070404D">
        <w:t xml:space="preserve">. </w:t>
      </w:r>
    </w:p>
    <w:p w14:paraId="5A248018" w14:textId="0E7C9185" w:rsidR="003B6FE0" w:rsidRPr="00DC486C" w:rsidRDefault="008044DE" w:rsidP="00C258BC">
      <w:pPr>
        <w:jc w:val="both"/>
        <w:rPr>
          <w:color w:val="000000" w:themeColor="text1"/>
        </w:rPr>
      </w:pPr>
      <w:r w:rsidRPr="004904D8">
        <w:rPr>
          <w:color w:val="000000" w:themeColor="text1"/>
        </w:rPr>
        <w:t xml:space="preserve">Wild meat incomes contribute to </w:t>
      </w:r>
      <w:r w:rsidR="007B5353">
        <w:rPr>
          <w:color w:val="000000" w:themeColor="text1"/>
        </w:rPr>
        <w:t xml:space="preserve">the </w:t>
      </w:r>
      <w:r w:rsidRPr="004904D8">
        <w:rPr>
          <w:color w:val="000000" w:themeColor="text1"/>
        </w:rPr>
        <w:t xml:space="preserve">food security </w:t>
      </w:r>
      <w:r w:rsidR="007B5353">
        <w:rPr>
          <w:color w:val="000000" w:themeColor="text1"/>
        </w:rPr>
        <w:t xml:space="preserve">of </w:t>
      </w:r>
      <w:r w:rsidR="007E04B0" w:rsidRPr="004904D8">
        <w:rPr>
          <w:color w:val="000000" w:themeColor="text1"/>
        </w:rPr>
        <w:t>rural</w:t>
      </w:r>
      <w:r w:rsidRPr="004904D8">
        <w:rPr>
          <w:color w:val="000000" w:themeColor="text1"/>
        </w:rPr>
        <w:t xml:space="preserve"> families, when used to purcha</w:t>
      </w:r>
      <w:r w:rsidR="00247EE8">
        <w:rPr>
          <w:color w:val="000000" w:themeColor="text1"/>
        </w:rPr>
        <w:t xml:space="preserve">se other crucial food supplies </w:t>
      </w:r>
      <w:r w:rsidR="00247EE8">
        <w:rPr>
          <w:color w:val="000000" w:themeColor="text1"/>
        </w:rPr>
        <w:fldChar w:fldCharType="begin" w:fldLock="1"/>
      </w:r>
      <w:r w:rsidR="00960EBB">
        <w:rPr>
          <w:color w:val="000000" w:themeColor="text1"/>
        </w:rPr>
        <w:instrText>ADDIN CSL_CITATION {"citationItems":[{"id":"ITEM-1","itemData":{"DOI":"10.1017/S0030605310001274","ISBN":"0030-6053\\r1365-3008","ISSN":"0030-6053","abstract":"The prevalence and impacts of the illegal trade in bushmeat are under appreciated in Southern Africa, de- spite indications that it constitutes a serious conservation threat in parts of the region. Bushmeat trade has emerged as a severe threat to wildlife conservation and the viability of wildlife-based land uses in Zimbabwe during a period of political instability and severe economic decline. We conducted a study around Save ´ Valley Conservancy in the South-East Lowveld of Zimbabwe to investigate the dynamics and underlying causes of the bushmeat trade, with the objective of developing solutions. We found that bushmeat hunting is conducted mainly by unemployed young men to generate cash income, used mostly to purchase food. Bushmeat is mainly sold to people with cash incomes in adjacent communal lands and population centres and is popular by virtue of its affordability and availability. Key drivers of the bushmeat trade in the South-East Lowveld include: poverty, unemployment and food shortages, settlement of wildlife areas by impover- ished communities that provided open access to wildlife resources, failure to provide stakes for communities in wildlife-based land uses, absence of affordable protein sources other than illegally sourced bushmeat, inadequate investment in anti-poaching in areas remaining under wildlife management, and weak penal systems that do not provide sufficient deterrents to illegal bushmeat hunt- ers. Each of these underlying causes needs to be addressed for the bushmeat trade to be tackled effectively. However, in the absence of political and economic stability, control- ling illegal bushmeat hunting will remain extremely diffi- cult and the future of wildlife-based land uses will remain bleak. P.","author":[{"dropping-particle":"","family":"Lindsey","given":"P. A.","non-dropping-particle":"","parse-names":false,"suffix":""},{"dropping-particle":"","family":"Romañach","given":"S.S.","non-dropping-particle":"","parse-names":false,"suffix":""},{"dropping-particle":"","family":"Matema","given":"S.","non-dropping-particle":"","parse-names":false,"suffix":""},{"dropping-particle":"","family":"Matema","given":"C.","non-dropping-particle":"","parse-names":false,"suffix":""},{"dropping-particle":"","family":"Mupamhadzi","given":"I.","non-dropping-particle":"","parse-names":false,"suffix":""},{"dropping-particle":"","family":"Muvengwi","given":"J.","non-dropping-particle":"","parse-names":false,"suffix":""}],"container-title":"Oryx","id":"ITEM-1","issue":"01","issued":{"date-parts":[["2011"]]},"page":"84-95","title":"Dynamics and underlying causes of illegal bushmeat trade in Zimbabwe","type":"article-journal","volume":"45"},"uris":["http://www.mendeley.com/documents/?uuid=dae9e01b-08b9-434b-85ba-f54dd0b3c141"]}],"mendeley":{"formattedCitation":"(Lindsey et al. 2011a)","plainTextFormattedCitation":"(Lindsey et al. 2011a)","previouslyFormattedCitation":"(Lindsey et al. 2011a)"},"properties":{"noteIndex":0},"schema":"https://github.com/citation-style-language/schema/raw/master/csl-citation.json"}</w:instrText>
      </w:r>
      <w:r w:rsidR="00247EE8">
        <w:rPr>
          <w:color w:val="000000" w:themeColor="text1"/>
        </w:rPr>
        <w:fldChar w:fldCharType="separate"/>
      </w:r>
      <w:r w:rsidR="00960EBB" w:rsidRPr="00960EBB">
        <w:rPr>
          <w:noProof/>
          <w:color w:val="000000" w:themeColor="text1"/>
        </w:rPr>
        <w:t>(Lindsey et al. 2011a)</w:t>
      </w:r>
      <w:r w:rsidR="00247EE8">
        <w:rPr>
          <w:color w:val="000000" w:themeColor="text1"/>
        </w:rPr>
        <w:fldChar w:fldCharType="end"/>
      </w:r>
      <w:r w:rsidRPr="00915916">
        <w:rPr>
          <w:color w:val="000000" w:themeColor="text1"/>
        </w:rPr>
        <w:t xml:space="preserve">. </w:t>
      </w:r>
      <w:r w:rsidR="00A35EE8">
        <w:rPr>
          <w:color w:val="000000" w:themeColor="text1"/>
        </w:rPr>
        <w:fldChar w:fldCharType="begin"/>
      </w:r>
      <w:r w:rsidR="00A35EE8">
        <w:rPr>
          <w:color w:val="000000" w:themeColor="text1"/>
        </w:rPr>
        <w:instrText xml:space="preserve"> REF _Ref520205156 \h </w:instrText>
      </w:r>
      <w:r w:rsidR="00A35EE8">
        <w:rPr>
          <w:color w:val="000000" w:themeColor="text1"/>
        </w:rPr>
      </w:r>
      <w:r w:rsidR="00A35EE8">
        <w:rPr>
          <w:color w:val="000000" w:themeColor="text1"/>
        </w:rPr>
        <w:fldChar w:fldCharType="separate"/>
      </w:r>
      <w:r w:rsidR="007034F1">
        <w:t xml:space="preserve">Table </w:t>
      </w:r>
      <w:r w:rsidR="007034F1">
        <w:rPr>
          <w:noProof/>
        </w:rPr>
        <w:t>4</w:t>
      </w:r>
      <w:r w:rsidR="00A35EE8">
        <w:rPr>
          <w:color w:val="000000" w:themeColor="text1"/>
        </w:rPr>
        <w:fldChar w:fldCharType="end"/>
      </w:r>
      <w:r w:rsidR="00A35EE8">
        <w:rPr>
          <w:color w:val="000000" w:themeColor="text1"/>
        </w:rPr>
        <w:t xml:space="preserve"> provides a summary of the percentage of household incomes derived from wild meat sales, </w:t>
      </w:r>
      <w:r w:rsidR="00E01CA8">
        <w:rPr>
          <w:color w:val="000000" w:themeColor="text1"/>
        </w:rPr>
        <w:t xml:space="preserve">from a range of studies </w:t>
      </w:r>
      <w:r w:rsidR="00A35EE8">
        <w:rPr>
          <w:color w:val="000000" w:themeColor="text1"/>
        </w:rPr>
        <w:t xml:space="preserve">in tropical and sub-tropical </w:t>
      </w:r>
      <w:r w:rsidR="008806AC">
        <w:rPr>
          <w:color w:val="000000" w:themeColor="text1"/>
        </w:rPr>
        <w:t>sites.</w:t>
      </w:r>
      <w:r w:rsidR="008806AC" w:rsidRPr="005512D2">
        <w:rPr>
          <w:color w:val="000000" w:themeColor="text1"/>
        </w:rPr>
        <w:t xml:space="preserve"> While</w:t>
      </w:r>
      <w:r w:rsidR="007023BB" w:rsidRPr="005512D2">
        <w:rPr>
          <w:color w:val="000000" w:themeColor="text1"/>
        </w:rPr>
        <w:t xml:space="preserve"> agriculture is </w:t>
      </w:r>
      <w:r w:rsidR="00E01CA8">
        <w:rPr>
          <w:color w:val="000000" w:themeColor="text1"/>
        </w:rPr>
        <w:t xml:space="preserve">most </w:t>
      </w:r>
      <w:r w:rsidR="007023BB" w:rsidRPr="005512D2">
        <w:rPr>
          <w:color w:val="000000" w:themeColor="text1"/>
        </w:rPr>
        <w:t xml:space="preserve">often the predominant source of </w:t>
      </w:r>
      <w:r w:rsidR="00915916">
        <w:rPr>
          <w:color w:val="000000" w:themeColor="text1"/>
        </w:rPr>
        <w:t xml:space="preserve">cash </w:t>
      </w:r>
      <w:r w:rsidR="007023BB" w:rsidRPr="005512D2">
        <w:rPr>
          <w:color w:val="000000" w:themeColor="text1"/>
        </w:rPr>
        <w:t xml:space="preserve">income </w:t>
      </w:r>
      <w:r w:rsidR="00915916">
        <w:rPr>
          <w:color w:val="000000" w:themeColor="text1"/>
        </w:rPr>
        <w:t>for</w:t>
      </w:r>
      <w:r w:rsidR="007023BB" w:rsidRPr="005512D2">
        <w:rPr>
          <w:color w:val="000000" w:themeColor="text1"/>
        </w:rPr>
        <w:t xml:space="preserve"> rural </w:t>
      </w:r>
      <w:r w:rsidR="00915916">
        <w:rPr>
          <w:color w:val="000000" w:themeColor="text1"/>
        </w:rPr>
        <w:t>households</w:t>
      </w:r>
      <w:r w:rsidR="007023BB" w:rsidRPr="005512D2">
        <w:rPr>
          <w:color w:val="000000" w:themeColor="text1"/>
        </w:rPr>
        <w:t xml:space="preserve">, </w:t>
      </w:r>
      <w:r w:rsidR="00F4467D" w:rsidRPr="005512D2">
        <w:rPr>
          <w:color w:val="000000" w:themeColor="text1"/>
        </w:rPr>
        <w:t>there are instances where</w:t>
      </w:r>
      <w:r w:rsidR="00550007" w:rsidRPr="0064175F">
        <w:rPr>
          <w:color w:val="000000" w:themeColor="text1"/>
        </w:rPr>
        <w:t xml:space="preserve"> wild meat </w:t>
      </w:r>
      <w:r w:rsidR="007023BB" w:rsidRPr="0070404D">
        <w:rPr>
          <w:color w:val="000000" w:themeColor="text1"/>
        </w:rPr>
        <w:t>can represent</w:t>
      </w:r>
      <w:r w:rsidR="00550007" w:rsidRPr="0070404D">
        <w:rPr>
          <w:color w:val="000000" w:themeColor="text1"/>
        </w:rPr>
        <w:t xml:space="preserve"> the only source of </w:t>
      </w:r>
      <w:r w:rsidR="00915916">
        <w:rPr>
          <w:color w:val="000000" w:themeColor="text1"/>
        </w:rPr>
        <w:t xml:space="preserve">cash </w:t>
      </w:r>
      <w:r w:rsidR="00550007" w:rsidRPr="0070404D">
        <w:rPr>
          <w:color w:val="000000" w:themeColor="text1"/>
        </w:rPr>
        <w:t>income</w:t>
      </w:r>
      <w:r w:rsidR="00E01CA8">
        <w:rPr>
          <w:color w:val="000000" w:themeColor="text1"/>
        </w:rPr>
        <w:t xml:space="preserve"> for individuals</w:t>
      </w:r>
      <w:r w:rsidR="007B5353">
        <w:rPr>
          <w:color w:val="000000" w:themeColor="text1"/>
        </w:rPr>
        <w:t>. F</w:t>
      </w:r>
      <w:r w:rsidR="00550007" w:rsidRPr="0070404D">
        <w:rPr>
          <w:color w:val="000000" w:themeColor="text1"/>
        </w:rPr>
        <w:t xml:space="preserve">or example, </w:t>
      </w:r>
      <w:r w:rsidR="00164BF9" w:rsidRPr="0070404D">
        <w:rPr>
          <w:color w:val="333333"/>
          <w:shd w:val="clear" w:color="auto" w:fill="FFFFFF"/>
        </w:rPr>
        <w:t>in Sendje</w:t>
      </w:r>
      <w:r w:rsidR="00FB6534" w:rsidRPr="0070404D">
        <w:rPr>
          <w:color w:val="333333"/>
          <w:shd w:val="clear" w:color="auto" w:fill="FFFFFF"/>
        </w:rPr>
        <w:t xml:space="preserve"> village</w:t>
      </w:r>
      <w:r w:rsidR="00164BF9" w:rsidRPr="0070404D">
        <w:rPr>
          <w:color w:val="333333"/>
          <w:shd w:val="clear" w:color="auto" w:fill="FFFFFF"/>
        </w:rPr>
        <w:t>,</w:t>
      </w:r>
      <w:r w:rsidR="00FB6534" w:rsidRPr="0070404D">
        <w:rPr>
          <w:color w:val="333333"/>
          <w:shd w:val="clear" w:color="auto" w:fill="FFFFFF"/>
        </w:rPr>
        <w:t xml:space="preserve"> Equatorial Guinea,</w:t>
      </w:r>
      <w:r w:rsidR="00550007" w:rsidRPr="0070404D">
        <w:rPr>
          <w:color w:val="333333"/>
          <w:shd w:val="clear" w:color="auto" w:fill="FFFFFF"/>
        </w:rPr>
        <w:t xml:space="preserve"> bushmeat </w:t>
      </w:r>
      <w:r w:rsidR="009B102E" w:rsidRPr="0070404D">
        <w:rPr>
          <w:color w:val="333333"/>
          <w:shd w:val="clear" w:color="auto" w:fill="FFFFFF"/>
        </w:rPr>
        <w:t>was</w:t>
      </w:r>
      <w:r w:rsidR="00550007" w:rsidRPr="0070404D">
        <w:rPr>
          <w:color w:val="333333"/>
          <w:shd w:val="clear" w:color="auto" w:fill="FFFFFF"/>
        </w:rPr>
        <w:t xml:space="preserve"> the only source of cash income for 59% of men </w:t>
      </w:r>
      <w:r w:rsidR="00300AE4">
        <w:rPr>
          <w:color w:val="333333"/>
          <w:shd w:val="clear" w:color="auto" w:fill="FFFFFF"/>
        </w:rPr>
        <w:fldChar w:fldCharType="begin" w:fldLock="1"/>
      </w:r>
      <w:r w:rsidR="00300AE4">
        <w:rPr>
          <w:color w:val="333333"/>
          <w:shd w:val="clear" w:color="auto" w:fill="FFFFFF"/>
        </w:rPr>
        <w:instrText>ADDIN CSL_CITATION {"citationItems":[{"id":"ITEM-1","itemData":{"DOI":"10.1111/j.1523-1739.2010.01505.x","ISSN":"1523-1739","PMID":"20455910","abstract":"Results of many studies show unsustainable levels of bushmeat hunting across West/Central Africa. Nevertheless, these results are usually derived from snapshot sustainability indices in which critical parameters are often taken from the literature. Simple, more informative tools for assessing sustainability are needed. We evaluated the impact of bushmeat hunting across a range of temporal, spatial, and taxonomic scales in a comparison of different measures of sustainability. Over 15 months in 2002-2004 in and around a village close to Equatorial Guinea's Monte Alén National Park, we collected data via a village offtake survey, hunter-camp bushmeat-consumption diaries, hunter interviews, and following hunters during hunts. We compared 2003 data with a previous offtake survey (1998-1999) and interview reports back to 1990. In the past 14 years, average distance from the village at which hunters operated remained constant, with hunters switching back and forth between long-established camps, although trapping effort increased. In the past 5 years, overall offtake and number of active hunters did not change substantially, although catch per unit effort (CPUE) decreased slightly. Although the proportion of the two most commonly trapped species (Cephalophus monticola and Atherurus africanus) and gun-hunted primates increased in the offtake, species presumably less robust to trapping decreased slightly. Apparent sustainability in economic terms may be masking gradual local extirpation of more vulnerable species before and during this study. Our results suggest that changes in prey profiles and CPUE may be the most accurate indicators of actual sustainability; these indices can be monitored with simple village-based offtake surveys and hunter interviews to improve community management of bushmeat hunting.","author":[{"dropping-particle":"","family":"Kümpel","given":"Noëlle F","non-dropping-particle":"","parse-names":false,"suffix":""},{"dropping-particle":"","family":"Milner-Gulland","given":"E J","non-dropping-particle":"","parse-names":false,"suffix":""},{"dropping-particle":"","family":"Cowlishaw","given":"Guy","non-dropping-particle":"","parse-names":false,"suffix":""},{"dropping-particle":"","family":"Rowcliffe","given":"J Marcus","non-dropping-particle":"","parse-names":false,"suffix":""}],"container-title":"Conservation Biology","id":"ITEM-1","issue":"3","issued":{"date-parts":[["2010","6"]]},"page":"861-871","title":"Assessing sustainability at multiple scales in a rotational bushmeat hunting system.","type":"article-journal","volume":"24"},"uris":["http://www.mendeley.com/documents/?uuid=174d35aa-a5a2-48d4-a0a1-8f4545fe3282"]}],"mendeley":{"formattedCitation":"(Kümpel et al. 2010)","plainTextFormattedCitation":"(Kümpel et al. 2010)","previouslyFormattedCitation":"(Kümpel et al. 2010)"},"properties":{"noteIndex":0},"schema":"https://github.com/citation-style-language/schema/raw/master/csl-citation.json"}</w:instrText>
      </w:r>
      <w:r w:rsidR="00300AE4">
        <w:rPr>
          <w:color w:val="333333"/>
          <w:shd w:val="clear" w:color="auto" w:fill="FFFFFF"/>
        </w:rPr>
        <w:fldChar w:fldCharType="separate"/>
      </w:r>
      <w:r w:rsidR="00300AE4" w:rsidRPr="00300AE4">
        <w:rPr>
          <w:noProof/>
          <w:color w:val="333333"/>
          <w:shd w:val="clear" w:color="auto" w:fill="FFFFFF"/>
        </w:rPr>
        <w:t>(Kümpel et al. 2010)</w:t>
      </w:r>
      <w:r w:rsidR="00300AE4">
        <w:rPr>
          <w:color w:val="333333"/>
          <w:shd w:val="clear" w:color="auto" w:fill="FFFFFF"/>
        </w:rPr>
        <w:fldChar w:fldCharType="end"/>
      </w:r>
      <w:r w:rsidR="007023BB" w:rsidRPr="0070404D">
        <w:rPr>
          <w:color w:val="333333"/>
          <w:shd w:val="clear" w:color="auto" w:fill="FFFFFF"/>
        </w:rPr>
        <w:t>.</w:t>
      </w:r>
      <w:r w:rsidR="007023BB" w:rsidRPr="0070404D">
        <w:rPr>
          <w:color w:val="000000" w:themeColor="text1"/>
        </w:rPr>
        <w:t xml:space="preserve"> </w:t>
      </w:r>
      <w:r w:rsidR="00B52B02" w:rsidRPr="0070404D">
        <w:rPr>
          <w:color w:val="000000" w:themeColor="text1"/>
        </w:rPr>
        <w:t xml:space="preserve">In addition, several studies have found that, although rich households tend to have higher hunting incomes, </w:t>
      </w:r>
      <w:r w:rsidR="00F4467D" w:rsidRPr="0070404D">
        <w:rPr>
          <w:color w:val="000000" w:themeColor="text1"/>
        </w:rPr>
        <w:t xml:space="preserve">these </w:t>
      </w:r>
      <w:r w:rsidR="00F4467D" w:rsidRPr="0070404D">
        <w:rPr>
          <w:color w:val="000000" w:themeColor="text1"/>
        </w:rPr>
        <w:lastRenderedPageBreak/>
        <w:t>incomes</w:t>
      </w:r>
      <w:r w:rsidR="00B52B02" w:rsidRPr="0070404D">
        <w:rPr>
          <w:color w:val="000000" w:themeColor="text1"/>
        </w:rPr>
        <w:t xml:space="preserve"> represent a higher proportion of total household income for poorer households</w:t>
      </w:r>
      <w:r w:rsidR="00DC486C">
        <w:rPr>
          <w:color w:val="000000" w:themeColor="text1"/>
        </w:rPr>
        <w:t>, and for communities further from urban centres</w:t>
      </w:r>
      <w:r w:rsidR="00B52B02" w:rsidRPr="0070404D">
        <w:rPr>
          <w:color w:val="000000" w:themeColor="text1"/>
        </w:rPr>
        <w:t xml:space="preserve"> </w:t>
      </w:r>
      <w:r w:rsidR="00300AE4">
        <w:rPr>
          <w:color w:val="000000" w:themeColor="text1"/>
        </w:rPr>
        <w:fldChar w:fldCharType="begin" w:fldLock="1"/>
      </w:r>
      <w:r w:rsidR="00C51889">
        <w:rPr>
          <w:color w:val="000000" w:themeColor="text1"/>
        </w:rPr>
        <w:instrText>ADDIN CSL_CITATION {"citationItems":[{"id":"ITEM-1","itemData":{"DOI":"10.1505/IFOR.5.2.106.17420","ISBN":"1465-5489","ISSN":"1465-5489","abstract":"Many claims have been made concerning the use of NTFPs as part of development and conservation strategies. Important amongst these is that because NTFPs play an important part in household incomes they can be used to raise the perceived value of forests and thus provide incentives for more sustainable use of the forest estate. However, migrant communities living around forest margins have often been perceived as groups of people most likely to take advantage of the free goods provided by forests in a way that degrades the forest environment as short term benefits are maximised over long-term sustainability. Empirical evidence from the forest zone of south-west Cameroon suggests that for many migrant communities NTFPs are not a significant part (no more than 6%) of household total income and that poorer groups seek diverse livelihood strategies that are not predicated on natural resource use. Whilst richer groups may continue to rely on sources of income from the forest and NTFPs may make up to 15% of household income, for rich and poor alike the value derived from NTFPs is generated by secondary forest and forest fallow rather than less disturbed forest that has been the focus of conservation interest. The view is put forward that forest managers and international donors interested in conservation and development need to reassess the potential contribution of NTFPs in poverty alleviation strategies, and acknowledge that forest conservation priorities of local communities require policies and management systems focused on `sustainable systems for production of livelihood benefits' rather than protectionist approaches to areas traditionally defined as valuable forest.","author":[{"dropping-particle":"","family":"Ambrose-Oji","given":"B.","non-dropping-particle":"","parse-names":false,"suffix":""}],"container-title":"International Forestry Review","id":"ITEM-1","issue":"2","issued":{"date-parts":[["2003"]]},"page":"106-117","title":"The contribution of NTFPs to the livelihoods of the 'forest poor': evidence from the tropical forest zone of south-west Cameroon","type":"article-journal","volume":"5"},"uris":["http://www.mendeley.com/documents/?uuid=40d616e7-4f84-4b2a-81c8-4e1c26213075"]},{"id":"ITEM-2","itemData":{"DOI":"10.1016/j.ecolecon.2004.04.004","ISBN":"0921-8009","ISSN":"09218009","abstract":"An important barrier to successful implementation of conservation- development initiatives by nongovernmental organizations (NGOs) is the problem of effective targeting (i.e., \"with whom specifically should we work and why?\"). In this paper, we demonstrate how two concepts-resource draw and economic reliance-provide the analytical means to improve targeting in tropical rain forests where protected areas often cover large, remote areas of forest with high biological diversity, and local populations are typically poor and settlements dispersed. Combining an \"asset-based\" conceptual approach to rural livelihoods and data from surveys conducted with forest peasant in the Pacaya-Samiria National Reserve area of Peru (n=263 households, eight villages), this study examines the empirical relations between the volume of extraction (draw) and the share of income (reliance) contributed by fishing, hunting, and resource extraction, as well as critical biological resources (moriche palm fruit, Mauritia flexuosa; paiche, Arapaima gigas; aquarium fish). Results indicate that resource draw can be highly concentrated among just a few households in selected villages, that economic reliance may or may not be associated with resource draw, and that the predictors of resource draw and reliance, such as land poverty, labour access, household lifecycle, or past experience, vary markedly across resource use activities. As such, our findings explicate heterogeneity in peasant forest resource use-pointing to the critical importance of differential household asset holdings-and challenge the prevailing assumption that asset poor households are the primary extractors of critical biological resources. Attention to differential patterns of resource use is crucial in the design of the next generation of conservation-development initiatives for tropical forests and rapid rural appraisal instruments can be readily refined to provide much needed information on resource draw and economic reliance. © 2004 Elsevier B.V. All rights reserved.","author":[{"dropping-particle":"","family":"Coomes","given":"Oliver T.","non-dropping-particle":"","parse-names":false,"suffix":""},{"dropping-particle":"","family":"Barham","given":"Bradford L.","non-dropping-particle":"","parse-names":false,"suffix":""},{"dropping-particle":"","family":"Takasaki","given":"Yoshito","non-dropping-particle":"","parse-names":false,"suffix":""}],"container-title":"Ecological Economics","id":"ITEM-2","issue":"1-2","issued":{"date-parts":[["2004"]]},"page":"47-64","title":"Targeting conservation-development initiatives in tropical forests: insights from analyses of rain forest use and economic reliance among Amazonian peasants","type":"article-journal","volume":"51"},"uris":["http://www.mendeley.com/documents/?uuid=7b77c70e-2376-4cea-a882-c489b76eed33"]},{"id":"ITEM-3","itemData":{"DOI":"10.1111/j.1523-1739.2011.01802.x","ISBN":"0888-8892","ISSN":"08888892","PMID":"22182047","abstract":"Hunted wild animals (i.e., bushmeat) are a main source of protein for many rural populations in the tropics, and the unsustainable harvest of these animals puts both human food security and ecosystem functioning at risk. To understand the correlates of bushmeat consumption, we surveyed 1219 households in 121 rural villages near three newly established national parks in Gabon. Through the surveys we gathered information on bushmeat consumption, income, and material assests. In addition, we quantified land cover in a 5-km radius around the village center and distance of the village center to the nearest park boundary. Bushmeat was not a source of income for most households, but it was the primary animal protein consumed. Ninety-seven percent of households consumed bushmeat at least once during a survey period of 12 days. Income or wealth, land cover, distance of village to the nearest park boundary, and level of education of the head of the household were among the factors that significantly related to the likelihood of consuming any of the 10 most commonly consumed species of bushmeat. Household size was the predictor most strongly associated with quantities of bushmeat consumed and was negatively related to consumption. Total bushmeat consumption per adult male equivalent increased as household wealth increased and decreased as distance of villages to park boundaries increased. Bushmeat consumption at the household level was not related to unit values (i.e., price estimates for a good that typically does not have a market value; estimates derived from willingness to sell or trade the good for items of known price) of bushmeat or the price of chicken and fish as potential substitutes. The median consumption of bushmeat at the village level, however, was negatively related to village mean unit values of bushmeat across all species. Our results suggest that a lack of alternative protein sources motivated even the wealthiest among surveyed households to consume bushmeat. Providing affordable, alternative protein sources to all households would likely reduce unsustainable levels of bushmeat consumption in rural Gabon.","author":[{"dropping-particle":"","family":"Foerster","given":"Steffen","non-dropping-particle":"","parse-names":false,"suffix":""},{"dropping-particle":"","family":"Wilkie","given":"David S.","non-dropping-particle":"","parse-names":false,"suffix":""},{"dropping-particle":"","family":"Morelli","given":"Gilda A.","non-dropping-particle":"","parse-names":false,"suffix":""},{"dropping-particle":"","family":"Demmer","given":"Josefien","non-dropping-particle":"","parse-names":false,"suffix":""},{"dropping-particle":"","family":"Starkey","given":"Malcolm","non-dropping-particle":"","parse-names":false,"suffix":""},{"dropping-particle":"","family":"Telfer","given":"Paul","non-dropping-particle":"","parse-names":false,"suffix":""},{"dropping-particle":"","family":"Steil","given":"Matthew","non-dropping-particle":"","parse-names":false,"suffix":""},{"dropping-particle":"","family":"Lewbel","given":"Arthur","non-dropping-particle":"","parse-names":false,"suffix":""}],"container-title":"Conservation Biology","id":"ITEM-3","issue":"2","issued":{"date-parts":[["2012"]]},"page":"335-344","title":"Correlates of bushmeat hunting among remote rural households in Gabon, Central Africa","type":"article-journal","volume":"26"},"uris":["http://www.mendeley.com/documents/?uuid=8aa3d1bc-bdcd-38b6-a785-1239ac36a6e2"]},{"id":"ITEM-4","itemData":{"DOI":"10.1111/j.1523-1739.2010.01505.x","ISSN":"1523-1739","PMID":"20455910","abstract":"Results of many studies show unsustainable levels of bushmeat hunting across West/Central Africa. Nevertheless, these results are usually derived from snapshot sustainability indices in which critical parameters are often taken from the literature. Simple, more informative tools for assessing sustainability are needed. We evaluated the impact of bushmeat hunting across a range of temporal, spatial, and taxonomic scales in a comparison of different measures of sustainability. Over 15 months in 2002-2004 in and around a village close to Equatorial Guinea's Monte Alén National Park, we collected data via a village offtake survey, hunter-camp bushmeat-consumption diaries, hunter interviews, and following hunters during hunts. We compared 2003 data with a previous offtake survey (1998-1999) and interview reports back to 1990. In the past 14 years, average distance from the village at which hunters operated remained constant, with hunters switching back and forth between long-established camps, although trapping effort increased. In the past 5 years, overall offtake and number of active hunters did not change substantially, although catch per unit effort (CPUE) decreased slightly. Although the proportion of the two most commonly trapped species (Cephalophus monticola and Atherurus africanus) and gun-hunted primates increased in the offtake, species presumably less robust to trapping decreased slightly. Apparent sustainability in economic terms may be masking gradual local extirpation of more vulnerable species before and during this study. Our results suggest that changes in prey profiles and CPUE may be the most accurate indicators of actual sustainability; these indices can be monitored with simple village-based offtake surveys and hunter interviews to improve community management of bushmeat hunting.","author":[{"dropping-particle":"","family":"Kümpel","given":"Noëlle F","non-dropping-particle":"","parse-names":false,"suffix":""},{"dropping-particle":"","family":"Milner-Gulland","given":"E J","non-dropping-particle":"","parse-names":false,"suffix":""},{"dropping-particle":"","family":"Cowlishaw","given":"Guy","non-dropping-particle":"","parse-names":false,"suffix":""},{"dropping-particle":"","family":"Rowcliffe","given":"J Marcus","non-dropping-particle":"","parse-names":false,"suffix":""}],"container-title":"Conservation Biology","id":"ITEM-4","issue":"3","issued":{"date-parts":[["2010","6"]]},"page":"861-871","title":"Assessing sustainability at multiple scales in a rotational bushmeat hunting system.","type":"article-journal","volume":"24"},"uris":["http://www.mendeley.com/documents/?uuid=174d35aa-a5a2-48d4-a0a1-8f4545fe3282"]},{"id":"ITEM-5","itemData":{"abstract":"In this thesis I examine the role that the hunting, sale and consumption of bushmeat – wildlife hunted for food – plays in people’s livelihoods in Central Africa. This issue is central to current debates about how conservation and development can be reconciled in tropical forests, itself part of a wide debate about sustainable development. Three questions lie at the core of this debate: 1) Is urban consumption of bushmeat a key driver of exploitation of wildlife? 2) Why do contemporary Africans consume bushmeat? 3) How important is the consumption and sale of bushmeat for rural communities? I address these using quantitative and qualitative data collected in Gabon between October 2000 and September 2002. Using data from quantitative market and consumption surveys I show that in Gabon aggregate consumption of bushmeat is evenly divided between rural and urban areas. Urban consumption is concentrated in smaller towns in the interior of the country rather than in the large capital city. Most bushmeat consumed in urban areas does not pass through formal markets but more protected species are sold in formal markets. In rural areas of Gabon, people consume bushmeat because it is by far the cheapest available animal protein. Bushmeat is widely regarded as a desirable ‘organic’ meat that is preferable to lowquality imported frozen meat. It is therefore consumed even in urban areas where it is expensive compared to alternatives. However, bushmeat consumption is price sensitive and people consume less as it becomes more expensive. Using seven villages as a case study, I show that bushmeat is important to both household consumption and household income but is more important to income. It is also more important in poorer, more remote villages than in wealthier villages with easy market access. At any given site, from bushmeat is highly skewed; households that have both the male labour and financial capital to pursue both hunting and trapping simultaneously obtain most of the benefits from bushmeat. This thesis contributes to the wider debate about the role of forest resources in contribution to both development and conservation by illustrating the necessity for such debates to be based on empirical data collected at multiple scales of analysis.","author":[{"dropping-particle":"","family":"Starkey","given":"Malcolm","non-dropping-particle":"","parse-names":false,"suffix":""}],"id":"ITEM-5","issued":{"date-parts":[["2004"]]},"number-of-pages":"305","publisher":"PhD Thesis, University of Cambridge, UK","title":"Commerce and subsistence: the hunting, sale and consumption of bushmeat in Gabon","type":"book"},"uris":["http://www.mendeley.com/documents/?uuid=50e0e0eb-b3af-46eb-9916-3f5c20e90a00"]}],"mendeley":{"formattedCitation":"(Ambrose-Oji 2003; Coomes et al. 2004; Starkey 2004; Kümpel et al. 2010; Foerster et al. 2012)","plainTextFormattedCitation":"(Ambrose-Oji 2003; Coomes et al. 2004; Starkey 2004; Kümpel et al. 2010; Foerster et al. 2012)","previouslyFormattedCitation":"(Ambrose-Oji 2003; Coomes et al. 2004; Starkey 2004; Kümpel et al. 2010; Foerster et al. 2012)"},"properties":{"noteIndex":0},"schema":"https://github.com/citation-style-language/schema/raw/master/csl-citation.json"}</w:instrText>
      </w:r>
      <w:r w:rsidR="00300AE4">
        <w:rPr>
          <w:color w:val="000000" w:themeColor="text1"/>
        </w:rPr>
        <w:fldChar w:fldCharType="separate"/>
      </w:r>
      <w:r w:rsidR="00C51889" w:rsidRPr="00C51889">
        <w:rPr>
          <w:noProof/>
          <w:color w:val="000000" w:themeColor="text1"/>
        </w:rPr>
        <w:t>(Ambrose-Oji 2003; Coomes et al. 2004; Starkey 2004; Kümpel et al. 2010; Foerster et al. 2012)</w:t>
      </w:r>
      <w:r w:rsidR="00300AE4">
        <w:rPr>
          <w:color w:val="000000" w:themeColor="text1"/>
        </w:rPr>
        <w:fldChar w:fldCharType="end"/>
      </w:r>
      <w:r w:rsidR="00DC486C">
        <w:rPr>
          <w:color w:val="000000" w:themeColor="text1"/>
        </w:rPr>
        <w:t>, and this has been found more generally for the contribution of</w:t>
      </w:r>
      <w:r w:rsidR="003463C4" w:rsidRPr="003463C4">
        <w:rPr>
          <w:bCs/>
        </w:rPr>
        <w:t xml:space="preserve"> </w:t>
      </w:r>
      <w:r w:rsidR="003463C4">
        <w:rPr>
          <w:bCs/>
        </w:rPr>
        <w:t>Non-Timber Forest Products (</w:t>
      </w:r>
      <w:r w:rsidR="00DC486C">
        <w:rPr>
          <w:color w:val="000000" w:themeColor="text1"/>
        </w:rPr>
        <w:t>NTFPs</w:t>
      </w:r>
      <w:r w:rsidR="003463C4">
        <w:rPr>
          <w:color w:val="000000" w:themeColor="text1"/>
        </w:rPr>
        <w:t>)</w:t>
      </w:r>
      <w:r w:rsidR="00DC486C">
        <w:rPr>
          <w:color w:val="000000" w:themeColor="text1"/>
        </w:rPr>
        <w:t xml:space="preserve"> to household incomes </w:t>
      </w:r>
      <w:r w:rsidR="00300AE4">
        <w:rPr>
          <w:color w:val="000000" w:themeColor="text1"/>
        </w:rPr>
        <w:fldChar w:fldCharType="begin" w:fldLock="1"/>
      </w:r>
      <w:r w:rsidR="00AB268B">
        <w:rPr>
          <w:color w:val="000000" w:themeColor="text1"/>
        </w:rPr>
        <w:instrText>ADDIN CSL_CITATION {"citationItems":[{"id":"ITEM-1","itemData":{"author":[{"dropping-particle":"","family":"Rosales","given":"Rina Maria P","non-dropping-particle":"","parse-names":false,"suffix":""},{"dropping-particle":"","family":"Kallesoe","given":"Mikkel F","non-dropping-particle":"","parse-names":false,"suffix":""},{"dropping-particle":"","family":"Gerrard","given":"Pauline","non-dropping-particle":"","parse-names":false,"suffix":""},{"dropping-particle":"","family":"Muangchanh","given":"Phokhin","non-dropping-particle":"","parse-names":false,"suffix":""},{"dropping-particle":"","family":"Phomtavong","given":"Sombounmy","non-dropping-particle":"","parse-names":false,"suffix":""},{"dropping-particle":"","family":"Khamsomphou","given":"Somphao","non-dropping-particle":"","parse-names":false,"suffix":""}],"id":"ITEM-1","issued":{"date-parts":[["2003"]]},"number-of-pages":"92","publisher-place":"Lower Mekong Ecoregions Technical Paper Series 1","title":"The economic returns from conserving natural forests in Sekong, Lao PDR","type":"report"},"uris":["http://www.mendeley.com/documents/?uuid=33a82c24-dd98-3a7c-a8e4-42f92c4c047c"]}],"mendeley":{"formattedCitation":"(Rosales et al. 2003)","plainTextFormattedCitation":"(Rosales et al. 2003)","previouslyFormattedCitation":"(Rosales et al. 2003)"},"properties":{"noteIndex":0},"schema":"https://github.com/citation-style-language/schema/raw/master/csl-citation.json"}</w:instrText>
      </w:r>
      <w:r w:rsidR="00300AE4">
        <w:rPr>
          <w:color w:val="000000" w:themeColor="text1"/>
        </w:rPr>
        <w:fldChar w:fldCharType="separate"/>
      </w:r>
      <w:r w:rsidR="00300AE4" w:rsidRPr="00300AE4">
        <w:rPr>
          <w:noProof/>
          <w:color w:val="000000" w:themeColor="text1"/>
        </w:rPr>
        <w:t>(Rosales et al. 2003)</w:t>
      </w:r>
      <w:r w:rsidR="00300AE4">
        <w:rPr>
          <w:color w:val="000000" w:themeColor="text1"/>
        </w:rPr>
        <w:fldChar w:fldCharType="end"/>
      </w:r>
      <w:r w:rsidR="00915916">
        <w:rPr>
          <w:color w:val="000000" w:themeColor="text1"/>
        </w:rPr>
        <w:t xml:space="preserve">. Even where incomes from hunting are low, and in the same way as wild meat can act as a ‘safety net’ source of food, </w:t>
      </w:r>
      <w:r w:rsidRPr="0070404D">
        <w:rPr>
          <w:color w:val="000000" w:themeColor="text1"/>
        </w:rPr>
        <w:t xml:space="preserve">households may </w:t>
      </w:r>
      <w:r w:rsidRPr="0070404D">
        <w:rPr>
          <w:color w:val="333333"/>
          <w:shd w:val="clear" w:color="auto" w:fill="FFFFFF"/>
        </w:rPr>
        <w:t>depend on wild</w:t>
      </w:r>
      <w:r w:rsidR="00915916">
        <w:rPr>
          <w:color w:val="333333"/>
          <w:shd w:val="clear" w:color="auto" w:fill="FFFFFF"/>
        </w:rPr>
        <w:t xml:space="preserve"> meat incomes</w:t>
      </w:r>
      <w:r w:rsidRPr="0070404D">
        <w:rPr>
          <w:color w:val="333333"/>
          <w:shd w:val="clear" w:color="auto" w:fill="FFFFFF"/>
        </w:rPr>
        <w:t xml:space="preserve"> to alleviate periods of economic </w:t>
      </w:r>
      <w:r w:rsidR="00915916">
        <w:rPr>
          <w:color w:val="333333"/>
          <w:shd w:val="clear" w:color="auto" w:fill="FFFFFF"/>
        </w:rPr>
        <w:t>hardship. This may be</w:t>
      </w:r>
      <w:r w:rsidR="00EE6D2A" w:rsidRPr="0070404D">
        <w:rPr>
          <w:color w:val="333333"/>
          <w:shd w:val="clear" w:color="auto" w:fill="FFFFFF"/>
        </w:rPr>
        <w:t xml:space="preserve"> at times when other livelihoods are temporarily unavailable or fail because of stochastic events </w:t>
      </w:r>
      <w:r w:rsidR="00300AE4">
        <w:rPr>
          <w:color w:val="333333"/>
          <w:shd w:val="clear" w:color="auto" w:fill="FFFFFF"/>
        </w:rPr>
        <w:fldChar w:fldCharType="begin" w:fldLock="1"/>
      </w:r>
      <w:r w:rsidR="00B2630D">
        <w:rPr>
          <w:color w:val="333333"/>
          <w:shd w:val="clear" w:color="auto" w:fill="FFFFFF"/>
        </w:rPr>
        <w:instrText>ADDIN CSL_CITATION {"citationItems":[{"id":"ITEM-1","itemData":{"DOI":"10.1371/journal.pone.0188109","ISBN":"1932-6203","ISSN":"19326203","abstract":"Introduction Wildlife is an important source of protein for many people in developing countries. Yet wildlife depletion due to overexploitation is common throughout the humid tropics and its effect on protein security, especially for vulnerable households, is poorly understood. This is problematic for both sustainable rural development and conservation management. Methods This study investigates a key dimension of protein security in a cash-crop farming community living in a wildlife-depleted farm-forest landscape in SW Ghana, a region where protein-energy malnutrition persists. Specifically, we monitored protein sufficiency, defined as whether consumption met daily requirements, as benchmarked by recommended daily allowance (RDA). We focus on whether more vulnerable households were less likely to be able to meet their protein needs, where vulnerability was defined by wealth, agricultural season and gender of the household head. Our central hypothesis was: (a) vulnerable households are less likely to consume sufficient protein. In the context that most plant proteins were home-produced, so likely relatively accessible to all households, while most animal proteins were purchased, so likely less accessible to vulnerable households, we tested two further hypotheses: (b) vulnerable households depend more on plant protein to cover their protein needs; and (c) vulnerable households are less likely to earn sufficient cash income to meet their protein needs through purchased animal sources. Results Between 14% and 60% of households (depending on plant protein content assumptions) consumed less than the RDA for protein, but neither protein consumption nor protein sufficiency co-varied with household vulnerability. Fish, livestock and food crops comprised 85% of total protein intake and strongly affected protein sufficiency. However, bushmeat remained an important protein source (15% of total consumption), especially during the post-harvest season when it averaged 26% of total protein consumption. Across the year, 89% of households experienced at least one occasion when they had insufficient income to cover their protein needs through animal protein purchases. The extent of this income shortage was highest during the lean season and among poorer households. Conclusions These findings indicate that despite wildlife depletion, bushmeat continues to make a substantial contribution to protein consumption, especially during the agricultural lean season. Income shortag…","author":[{"dropping-particle":"","family":"Schulte-Herbrüggen","given":"Bjorn","non-dropping-particle":"","parse-names":false,"suffix":""},{"dropping-particle":"","family":"Cowlishaw","given":"Guy","non-dropping-particle":"","parse-names":false,"suffix":""},{"dropping-particle":"","family":"Homewood","given":"Katherine","non-dropping-particle":"","parse-names":false,"suffix":""},{"dropping-particle":"","family":"Rowcliffe","given":"J. Marcus","non-dropping-particle":"","parse-names":false,"suffix":""}],"container-title":"PLoS ONE","id":"ITEM-1","issue":"12","issued":{"date-parts":[["2017"]]},"page":"e0188109","title":"Rural protein insufficiency in a wildlifedepleted West African farm-forest landscape","type":"article-journal","volume":"12"},"uris":["http://www.mendeley.com/documents/?uuid=0d39aad0-f124-4c4b-8867-de4c5ae4fcf7"]},{"id":"ITEM-2","itemData":{"DOI":"10.1371/journal.pntd.0005450","ISBN":"1111111111","ISSN":"19352735","PMID":"28282378","abstract":"Bushmeat represents an important source of animal protein for humans in tropical Africa. Unsustainable bushmeat hunting is a major threat to wildlife and its consumption is associated with an increased risk of acquiring zoonotic diseases, such as Ebola virus disease (EVD). During the recent EVD outbreak in West Africa, it is likely that human dietary behavior and local attitudes toward bushmeat consumption changed in response to the crisis, and that the rate of change depended on prevailing socio-economic conditions, including wealth and education. In this study, we therefore investigated the effects of income, education, and literacy on changes in bushmeat consumption during the crisis, as well as complementary changes in daily meal frequency, food diversity and bushmeat preference. More specifically, we tested whether wealthier households with more educated household heads decreased their consumption of bushmeat during the EVD crisis, and whether their daily meal frequency and food diversity remained constant. We used Generalized Linear Mixed Models to analyze interview data from two nationwide household surveys across Liberia. We found an overall decrease in bushmeat consumption during the crisis across all income levels. However, the rate of bushmeat consumption in high-income households decreased less than in low-income households. Daily meal frequency decreased during the crisis, and the diversity of food items and preferences for bushmeat species remained constant. Our multidisciplinary approach to study the impact of EVD can be applied to assess how other disasters affect social-ecological systems and improve our understanding and the management of future crises.","author":[{"dropping-particle":"","family":"Ordaz-Németh","given":"Isabel","non-dropping-particle":"","parse-names":false,"suffix":""},{"dropping-particle":"","family":"Arandjelovic","given":"Mimi","non-dropping-particle":"","parse-names":false,"suffix":""},{"dropping-particle":"","family":"Boesch","given":"Lukas","non-dropping-particle":"","parse-names":false,"suffix":""},{"dropping-particle":"","family":"Gatiso","given":"Tsegaye","non-dropping-particle":"","parse-names":false,"suffix":""},{"dropping-particle":"","family":"Grimes","given":"Trokon","non-dropping-particle":"","parse-names":false,"suffix":""},{"dropping-particle":"","family":"Kuehl","given":"Hjalmar S.","non-dropping-particle":"","parse-names":false,"suffix":""},{"dropping-particle":"","family":"Lormie","given":"Menladi","non-dropping-particle":"","parse-names":false,"suffix":""},{"dropping-particle":"","family":"Stephens","given":"Colleen","non-dropping-particle":"","parse-names":false,"suffix":""},{"dropping-particle":"","family":"Tweh","given":"Clement","non-dropping-particle":"","parse-names":false,"suffix":""},{"dropping-particle":"","family":"Junker","given":"Jessica","non-dropping-particle":"","parse-names":false,"suffix":""}],"container-title":"PLoS Neglected Tropical Diseases","id":"ITEM-2","issue":"3","issued":{"date-parts":[["2017"]]},"page":"e0005450","title":"The socio-economic drivers of bushmeat consumption during the West African Ebola crisis","type":"article-journal","volume":"11"},"uris":["http://www.mendeley.com/documents/?uuid=7b90e1f8-9ae2-4eb4-86a5-2aeb9daa42f9"]}],"mendeley":{"formattedCitation":"(Ordaz-Németh et al. 2017; Schulte-Herbrüggen et al. 2017)","plainTextFormattedCitation":"(Ordaz-Németh et al. 2017; Schulte-Herbrüggen et al. 2017)","previouslyFormattedCitation":"(Ordaz-Németh et al. 2017; Schulte-Herbrüggen et al. 2017)"},"properties":{"noteIndex":0},"schema":"https://github.com/citation-style-language/schema/raw/master/csl-citation.json"}</w:instrText>
      </w:r>
      <w:r w:rsidR="00300AE4">
        <w:rPr>
          <w:color w:val="333333"/>
          <w:shd w:val="clear" w:color="auto" w:fill="FFFFFF"/>
        </w:rPr>
        <w:fldChar w:fldCharType="separate"/>
      </w:r>
      <w:r w:rsidR="00300AE4" w:rsidRPr="00300AE4">
        <w:rPr>
          <w:noProof/>
          <w:color w:val="333333"/>
          <w:shd w:val="clear" w:color="auto" w:fill="FFFFFF"/>
        </w:rPr>
        <w:t>(Ordaz-Németh et al. 2017; Schulte-Herbrüggen et al. 2017)</w:t>
      </w:r>
      <w:r w:rsidR="00300AE4">
        <w:rPr>
          <w:color w:val="333333"/>
          <w:shd w:val="clear" w:color="auto" w:fill="FFFFFF"/>
        </w:rPr>
        <w:fldChar w:fldCharType="end"/>
      </w:r>
      <w:r w:rsidR="003B6FE0">
        <w:rPr>
          <w:color w:val="333333"/>
          <w:shd w:val="clear" w:color="auto" w:fill="FFFFFF"/>
        </w:rPr>
        <w:t>.</w:t>
      </w:r>
    </w:p>
    <w:p w14:paraId="5D6AD8AF" w14:textId="300321F1" w:rsidR="000C4D92" w:rsidRDefault="007B5353" w:rsidP="00C258BC">
      <w:pPr>
        <w:jc w:val="both"/>
        <w:rPr>
          <w:color w:val="333333"/>
          <w:shd w:val="clear" w:color="auto" w:fill="FFFFFF"/>
        </w:rPr>
      </w:pPr>
      <w:r>
        <w:rPr>
          <w:color w:val="333333"/>
          <w:shd w:val="clear" w:color="auto" w:fill="FFFFFF"/>
        </w:rPr>
        <w:t>W</w:t>
      </w:r>
      <w:r w:rsidR="00EE6D2A" w:rsidRPr="0070404D">
        <w:rPr>
          <w:color w:val="333333"/>
          <w:shd w:val="clear" w:color="auto" w:fill="FFFFFF"/>
        </w:rPr>
        <w:t xml:space="preserve">hile </w:t>
      </w:r>
      <w:r w:rsidR="008806AC" w:rsidRPr="0070404D">
        <w:rPr>
          <w:color w:val="333333"/>
          <w:shd w:val="clear" w:color="auto" w:fill="FFFFFF"/>
        </w:rPr>
        <w:t>wild meat</w:t>
      </w:r>
      <w:r w:rsidR="00EE6D2A" w:rsidRPr="0070404D">
        <w:rPr>
          <w:color w:val="333333"/>
          <w:shd w:val="clear" w:color="auto" w:fill="FFFFFF"/>
        </w:rPr>
        <w:t xml:space="preserve"> incomes are indisputably important for rural households, </w:t>
      </w:r>
      <w:r w:rsidR="00A73E71" w:rsidRPr="004904D8">
        <w:rPr>
          <w:color w:val="333333"/>
          <w:shd w:val="clear" w:color="auto" w:fill="FFFFFF"/>
        </w:rPr>
        <w:t>there is some evidence that women’s incomes (generally from agriculture) may be more directly associated with household well-being than men’s</w:t>
      </w:r>
      <w:r w:rsidR="004821B4">
        <w:rPr>
          <w:color w:val="333333"/>
          <w:shd w:val="clear" w:color="auto" w:fill="FFFFFF"/>
        </w:rPr>
        <w:t xml:space="preserve"> </w:t>
      </w:r>
      <w:r w:rsidR="004821B4">
        <w:rPr>
          <w:color w:val="333333"/>
          <w:shd w:val="clear" w:color="auto" w:fill="FFFFFF"/>
        </w:rPr>
        <w:fldChar w:fldCharType="begin" w:fldLock="1"/>
      </w:r>
      <w:r w:rsidR="00C51889">
        <w:rPr>
          <w:color w:val="333333"/>
          <w:shd w:val="clear" w:color="auto" w:fill="FFFFFF"/>
        </w:rPr>
        <w:instrText>ADDIN CSL_CITATION {"citationItems":[{"id":"ITEM-1","itemData":{"author":[{"dropping-particle":"","family":"Kümpel","given":"N. F.","non-dropping-particle":"","parse-names":false,"suffix":""},{"dropping-particle":"","family":"East","given":"T.","non-dropping-particle":"","parse-names":false,"suffix":""},{"dropping-particle":"","family":"Keylock","given":"N.","non-dropping-particle":"","parse-names":false,"suffix":""},{"dropping-particle":"","family":"Rowcliffe","given":"J. M.","non-dropping-particle":"","parse-names":false,"suffix":""},{"dropping-particle":"","family":"Cowlishaw","given":"G.","non-dropping-particle":"","parse-names":false,"suffix":""},{"dropping-particle":"","family":"Milner‐Gulland","given":"E. J.","non-dropping-particle":"","parse-names":false,"suffix":""}],"container-title":"Bushmeat and Livelihoods: Wildlife Management and Poverty Reduction","editor":[{"dropping-particle":"","family":"Davies","given":"G.","non-dropping-particle":"","parse-names":false,"suffix":""},{"dropping-particle":"","family":"Brown","given":"D","non-dropping-particle":"","parse-names":false,"suffix":""}],"id":"ITEM-1","issued":{"date-parts":[["2007"]]},"page":"74-91","publisher":"Blackwell Publishers, Oxford, UK","title":"Determinants of bushmeat consumption and trade in continental Equatorial Guinea: an urban–rural comparison","type":"chapter"},"uris":["http://www.mendeley.com/documents/?uuid=354e6179-ee14-4ada-95dc-e2c7f0795ec8"]},{"id":"ITEM-2","itemData":{"DOI":"10.1111/j.1523-1739.2010.01525.x","author":[{"dropping-particle":"","family":"Coad","given":"L.","non-dropping-particle":"","parse-names":false,"suffix":""},{"dropping-particle":"","family":"Abernethy","given":"K.A.","non-dropping-particle":"","parse-names":false,"suffix":""},{"dropping-particle":"","family":"Balmford","given":"A.","non-dropping-particle":"","parse-names":false,"suffix":""},{"dropping-particle":"","family":"Manica","given":"A.","non-dropping-particle":"","parse-names":false,"suffix":""},{"dropping-particle":"","family":"Airey","given":"L.","non-dropping-particle":"","parse-names":false,"suffix":""},{"dropping-particle":"","family":"Milner-Gulland","given":"E.J.","non-dropping-particle":"","parse-names":false,"suffix":""}],"container-title":"Conservation Biology","id":"ITEM-2","issued":{"date-parts":[["2010"]]},"page":"1510-1518","title":"Distribution and use of income from bushmeat in a rural village, Central Gabon","type":"article-journal","volume":"24"},"uris":["http://www.mendeley.com/documents/?uuid=1613662d-7cac-4308-b879-4bfff838b077"]},{"id":"ITEM-3","itemData":{"author":[{"dropping-particle":"","family":"Nigenda","given":"G.","non-dropping-particle":"","parse-names":false,"suffix":""},{"dropping-particle":"","family":"Gonzalez-Robledo.","given":"L. M.","non-dropping-particle":"","parse-names":false,"suffix":""}],"id":"ITEM-3","issued":{"date-parts":[["2005"]]},"publisher-place":"UK Department for International Development's (DFID's) Health Systems Resource Centre (HSRC), London, UK","title":"Lessons offered by Latin American Cash transfer programs, Mexico's Oppotunidades and Nicaragua's SPN. Implications for African countries.","type":"report"},"uris":["http://www.mendeley.com/documents/?uuid=c96df390-cfb5-4673-adb6-cfd195391d79"]},{"id":"ITEM-4","itemData":{"ISBN":"1742 - 6022","abstract":"The sale of bushmeat has been referred to as both a safety net and stepping stone to greater prosperity for households at the lowest end of the income scale. This paper proposes a closer look at the local bushmeat economy in order to understand how livelihood strategies vary between those involved. Integrated Conservation and Development Projects (ICDPs) tend to focus on the suppression of commercial bushmeat hunting whilst encouraging alternative incomes for hunters. Based on anthropological research undertaken in the Dja Reserve, Cameroon, the paper looks at the economic behaviour of different local hunter types as well as the role played by the local non-hunter bushmeat traders, proposing a more targeted approach to conservation and development activities relating to the bushmeat economy.","author":[{"dropping-particle":"","family":"Solly","given":"Hilary","non-dropping-particle":"","parse-names":false,"suffix":""}],"container-title":"Wildlife Policy Briefing ODI","id":"ITEM-4","issued":{"date-parts":[["2004"]]},"title":"Bushmeat hunters and secondary traders: making the distinction for livelihood improvement","type":"article-journal","volume":"8"},"uris":["http://www.mendeley.com/documents/?uuid=661da172-e7a9-467a-9707-8b2501c2237d"]}],"mendeley":{"formattedCitation":"(Solly 2004; Nigenda &amp; Gonzalez-Robledo. 2005; Kümpel et al. 2007; Coad et al. 2010)","plainTextFormattedCitation":"(Solly 2004; Nigenda &amp; Gonzalez-Robledo. 2005; Kümpel et al. 2007; Coad et al. 2010)","previouslyFormattedCitation":"(Solly 2004; Nigenda &amp; Gonzalez-Robledo. 2005; Kümpel et al. 2007; Coad et al. 2010)"},"properties":{"noteIndex":0},"schema":"https://github.com/citation-style-language/schema/raw/master/csl-citation.json"}</w:instrText>
      </w:r>
      <w:r w:rsidR="004821B4">
        <w:rPr>
          <w:color w:val="333333"/>
          <w:shd w:val="clear" w:color="auto" w:fill="FFFFFF"/>
        </w:rPr>
        <w:fldChar w:fldCharType="separate"/>
      </w:r>
      <w:r w:rsidR="004821B4" w:rsidRPr="004821B4">
        <w:rPr>
          <w:noProof/>
          <w:color w:val="333333"/>
          <w:shd w:val="clear" w:color="auto" w:fill="FFFFFF"/>
        </w:rPr>
        <w:t>(Solly 2004; Nigenda &amp; Gonzalez-Robledo. 2005; Kümpel et al. 2007; Coad et al. 2010)</w:t>
      </w:r>
      <w:r w:rsidR="004821B4">
        <w:rPr>
          <w:color w:val="333333"/>
          <w:shd w:val="clear" w:color="auto" w:fill="FFFFFF"/>
        </w:rPr>
        <w:fldChar w:fldCharType="end"/>
      </w:r>
      <w:r w:rsidR="00A73E71" w:rsidRPr="005512D2">
        <w:rPr>
          <w:color w:val="333333"/>
          <w:shd w:val="clear" w:color="auto" w:fill="FFFFFF"/>
        </w:rPr>
        <w:t xml:space="preserve">. This could </w:t>
      </w:r>
      <w:r w:rsidR="002E1C39" w:rsidRPr="003E3238">
        <w:rPr>
          <w:color w:val="333333"/>
          <w:shd w:val="clear" w:color="auto" w:fill="FFFFFF"/>
        </w:rPr>
        <w:t xml:space="preserve">in part </w:t>
      </w:r>
      <w:r w:rsidR="00A73E71" w:rsidRPr="0064175F">
        <w:rPr>
          <w:color w:val="333333"/>
          <w:shd w:val="clear" w:color="auto" w:fill="FFFFFF"/>
        </w:rPr>
        <w:t xml:space="preserve">be because hunting incomes are often intermittent and </w:t>
      </w:r>
      <w:r w:rsidR="00A479D2" w:rsidRPr="0064175F">
        <w:rPr>
          <w:color w:val="333333"/>
          <w:shd w:val="clear" w:color="auto" w:fill="FFFFFF"/>
        </w:rPr>
        <w:t>unpredictable and</w:t>
      </w:r>
      <w:r w:rsidR="00A73E71" w:rsidRPr="0064175F">
        <w:rPr>
          <w:color w:val="333333"/>
          <w:shd w:val="clear" w:color="auto" w:fill="FFFFFF"/>
        </w:rPr>
        <w:t xml:space="preserve"> are therefore </w:t>
      </w:r>
      <w:r w:rsidR="008806AC" w:rsidRPr="0064175F">
        <w:rPr>
          <w:color w:val="333333"/>
          <w:shd w:val="clear" w:color="auto" w:fill="FFFFFF"/>
        </w:rPr>
        <w:t>perceived</w:t>
      </w:r>
      <w:r w:rsidR="00A73E71" w:rsidRPr="0064175F">
        <w:rPr>
          <w:color w:val="333333"/>
          <w:shd w:val="clear" w:color="auto" w:fill="FFFFFF"/>
        </w:rPr>
        <w:t xml:space="preserve"> less as the backbone of the household economy</w:t>
      </w:r>
      <w:r w:rsidR="0011131B" w:rsidRPr="0070404D">
        <w:rPr>
          <w:color w:val="333333"/>
          <w:shd w:val="clear" w:color="auto" w:fill="FFFFFF"/>
        </w:rPr>
        <w:t xml:space="preserve"> </w:t>
      </w:r>
      <w:r w:rsidR="00C65782">
        <w:rPr>
          <w:color w:val="333333"/>
          <w:shd w:val="clear" w:color="auto" w:fill="FFFFFF"/>
        </w:rPr>
        <w:fldChar w:fldCharType="begin" w:fldLock="1"/>
      </w:r>
      <w:r w:rsidR="00B2630D">
        <w:rPr>
          <w:color w:val="333333"/>
          <w:shd w:val="clear" w:color="auto" w:fill="FFFFFF"/>
        </w:rPr>
        <w:instrText>ADDIN CSL_CITATION {"citationItems":[{"id":"ITEM-1","itemData":{"ISBN":"1742 - 6022","abstract":"The sale of bushmeat has been referred to as both a safety net and stepping stone to greater prosperity for households at the lowest end of the income scale. This paper proposes a closer look at the local bushmeat economy in order to understand how livelihood strategies vary between those involved. Integrated Conservation and Development Projects (ICDPs) tend to focus on the suppression of commercial bushmeat hunting whilst encouraging alternative incomes for hunters. Based on anthropological research undertaken in the Dja Reserve, Cameroon, the paper looks at the economic behaviour of different local hunter types as well as the role played by the local non-hunter bushmeat traders, proposing a more targeted approach to conservation and development activities relating to the bushmeat economy.","author":[{"dropping-particle":"","family":"Solly","given":"Hilary","non-dropping-particle":"","parse-names":false,"suffix":""}],"container-title":"Wildlife Policy Briefing ODI","id":"ITEM-1","issued":{"date-parts":[["2004"]]},"title":"Bushmeat hunters and secondary traders: making the distinction for livelihood improvement","type":"article-journal","volume":"8"},"uris":["http://www.mendeley.com/documents/?uuid=661da172-e7a9-467a-9707-8b2501c2237d"]},{"id":"ITEM-2","itemData":{"abstract":"Bushmeat hunting is thought to be becoming increasingly unsustainable in west and central Africa, but true assessment of sustainability, and consequently appropriate management, is constrained by poor understanding of cause and effect. This cross-disciplinary study considers the complex and dynamic interactions between market, hunter and prey along an entire bushmeat chain in continental Equatorial Guinea, thus enabling evaluation of the sustainability of the system under different policy scenarios. Fieldwork was undertaken over a period of 18 months from 2002-2004. Market surveys and consumer interviews in Bata, the regional capital, were used to evaluate the determinants of urban bushmeat consumption: people preferred fresh meat and fish, including bushmeat, but tended to consume cheaper frozen foods more often. Bushmeat consumption increased with income. 1607 household and 72 hunter interviews were conducted in the village of Sendje, gateway to the forested Monte Alén National Park and major source of bushmeat to Bata. Men hunt for income because there are few other livelihood options. A village offtake survey estimated over 10,000 animals hunted per year (90% by trapping), hunted using a long-term rotation of camps up to 30 km from the village. Hunter behaviour, prey choice and animal encounter rates were recorded during 77 trapper and 48 gun-hunter follows. Trapping is currently preferred to gunhunting due to lower costs and relatively high returns. However, as the availability and affordability of guns and cartridges increases, and trapping success decreases, hunters are switching to shooting arboreal prey. Population densities of key primate prey species were estimated in two sites with differing gun-hunting histories, using 408 km of line transects. Whereas some of the guenon monkey species were still numerous in the heavily hunted village site, the absence of Colobus satanus suggests they are more vulnerable to hunting pressure. Extremely high densities of Colobus satanus were found inside the park, suggesting it should be an urgent conservation priority. The current oil boom in Equatorial Guinea is increasing urban wealth and subsequent demand for bushmeat. In the absence of alternative foods and rural livelihoods, and proper enforcement of protected areas, people will continue to hunt for the commercial bushmeat trade until many vulnerable species become at least locally extinct.","author":[{"dropping-particle":"","family":"Kümpel","given":"Noëlle Francesca","non-dropping-particle":"","parse-names":false,"suffix":""}],"id":"ITEM-2","issued":{"date-parts":[["2006"]]},"number-of-pages":"247","publisher":"PhD Thesis, Imperial College London, UK","publisher-place":"PhD Thesis, Imperial College London, UK","title":"Incentives for sustainable hunting of bushmeat in Río Muni, Equatorial Guinea","type":"book"},"uris":["http://www.mendeley.com/documents/?uuid=788befdd-0bff-48ba-8bc7-4515dc3b1e67"]}],"mendeley":{"formattedCitation":"(Solly 2004; Kümpel 2006)","plainTextFormattedCitation":"(Solly 2004; Kümpel 2006)","previouslyFormattedCitation":"(Solly 2004; Kümpel 2006)"},"properties":{"noteIndex":0},"schema":"https://github.com/citation-style-language/schema/raw/master/csl-citation.json"}</w:instrText>
      </w:r>
      <w:r w:rsidR="00C65782">
        <w:rPr>
          <w:color w:val="333333"/>
          <w:shd w:val="clear" w:color="auto" w:fill="FFFFFF"/>
        </w:rPr>
        <w:fldChar w:fldCharType="separate"/>
      </w:r>
      <w:r w:rsidR="00A11C8C" w:rsidRPr="00A11C8C">
        <w:rPr>
          <w:noProof/>
          <w:color w:val="333333"/>
          <w:shd w:val="clear" w:color="auto" w:fill="FFFFFF"/>
        </w:rPr>
        <w:t>(Solly 2004; Kümpel 2006)</w:t>
      </w:r>
      <w:r w:rsidR="00C65782">
        <w:rPr>
          <w:color w:val="333333"/>
          <w:shd w:val="clear" w:color="auto" w:fill="FFFFFF"/>
        </w:rPr>
        <w:fldChar w:fldCharType="end"/>
      </w:r>
      <w:r w:rsidR="00A73E71" w:rsidRPr="0070404D">
        <w:rPr>
          <w:color w:val="333333"/>
          <w:shd w:val="clear" w:color="auto" w:fill="FFFFFF"/>
        </w:rPr>
        <w:t xml:space="preserve">. </w:t>
      </w:r>
      <w:r w:rsidR="00740F97">
        <w:rPr>
          <w:color w:val="000000" w:themeColor="text1"/>
        </w:rPr>
        <w:t xml:space="preserve">In addition, </w:t>
      </w:r>
      <w:r w:rsidR="00721026">
        <w:rPr>
          <w:color w:val="000000" w:themeColor="text1"/>
        </w:rPr>
        <w:t>the</w:t>
      </w:r>
      <w:r w:rsidR="00740F97">
        <w:rPr>
          <w:color w:val="000000" w:themeColor="text1"/>
        </w:rPr>
        <w:t xml:space="preserve"> majority of hunting incomes </w:t>
      </w:r>
      <w:r w:rsidR="00721026">
        <w:rPr>
          <w:color w:val="000000" w:themeColor="text1"/>
        </w:rPr>
        <w:t>may be captured</w:t>
      </w:r>
      <w:r w:rsidR="00740F97">
        <w:rPr>
          <w:color w:val="000000" w:themeColor="text1"/>
        </w:rPr>
        <w:t xml:space="preserve"> by just a few commercially-minded hunters in each community </w:t>
      </w:r>
      <w:r w:rsidR="00AB268B">
        <w:rPr>
          <w:color w:val="000000" w:themeColor="text1"/>
        </w:rPr>
        <w:fldChar w:fldCharType="begin" w:fldLock="1"/>
      </w:r>
      <w:r w:rsidR="00C51889">
        <w:rPr>
          <w:color w:val="000000" w:themeColor="text1"/>
        </w:rPr>
        <w:instrText>ADDIN CSL_CITATION {"citationItems":[{"id":"ITEM-1","itemData":{"DOI":"10.1111/j.1523-1739.2010.01525.x","author":[{"dropping-particle":"","family":"Coad","given":"L.","non-dropping-particle":"","parse-names":false,"suffix":""},{"dropping-particle":"","family":"Abernethy","given":"K.A.","non-dropping-particle":"","parse-names":false,"suffix":""},{"dropping-particle":"","family":"Balmford","given":"A.","non-dropping-particle":"","parse-names":false,"suffix":""},{"dropping-particle":"","family":"Manica","given":"A.","non-dropping-particle":"","parse-names":false,"suffix":""},{"dropping-particle":"","family":"Airey","given":"L.","non-dropping-particle":"","parse-names":false,"suffix":""},{"dropping-particle":"","family":"Milner-Gulland","given":"E.J.","non-dropping-particle":"","parse-names":false,"suffix":""}],"container-title":"Conservation Biology","id":"ITEM-1","issued":{"date-parts":[["2010"]]},"page":"1510-1518","title":"Distribution and use of income from bushmeat in a rural village, Central Gabon","type":"article-journal","volume":"24"},"uris":["http://www.mendeley.com/documents/?uuid=1613662d-7cac-4308-b879-4bfff838b077"]},{"id":"ITEM-2","itemData":{"DOI":"10.1007/s10745-013-9629-1","ISBN":"0300-7839","ISSN":"03007839","abstract":"Ensuring the sustainability of bushmeat consumption is critical for both biodiversity conservation and poverty alleviation in tropical developing countries, yet we know little about the role of hunting and bushmeat consumption in the daily lives of rural communities. We provide the first detailed, qualitative examination of bushmeat hunting activities conducted by a rural community within one of Madagascar's new, multiple-use protected areas, in order to inform appropriate management strategies. Results suggest that most species are eaten, but that few are favoured above domestic meat. Hunting is generally a secondary pursuit, carried out opportunistically during the course of other activities, although its importance does increase in times of food stress. Management focused on increasing domestic meat availability and directing hunting effort away from sensitive species may improve the sustainability of hunting, but development interventions to reduce forest dependence may be required to promote conservation and poverty alleviation simultaneously.[PUBLICATION ABSTRACT]","author":[{"dropping-particle":"","family":"Gardner","given":"Charlie J.","non-dropping-particle":"","parse-names":false,"suffix":""},{"dropping-particle":"","family":"Davies","given":"Zoe G.","non-dropping-particle":"","parse-names":false,"suffix":""}],"container-title":"Human Ecology","id":"ITEM-2","issue":"1","issued":{"date-parts":[["2014"]]},"page":"21-34","title":"Rural bushmeat consumption within multiple-use protected areas: qualitative evidence from southwest Madagascar","type":"article-journal","volume":"42"},"uris":["http://www.mendeley.com/documents/?uuid=d966cfeb-24cc-4bdf-8bd9-77eddcc1b51d"]},{"id":"ITEM-3","itemData":{"DOI":"10.1111/cobi.12174.Economic","author":[{"dropping-particle":"","family":"Golden","given":"C D","non-dropping-particle":"","parse-names":false,"suffix":""},{"dropping-particle":"","family":"Bonds","given":"M H","non-dropping-particle":"","parse-names":false,"suffix":""},{"dropping-particle":"","family":"Brashares","given":"J S","non-dropping-particle":"","parse-names":false,"suffix":""},{"dropping-particle":"","family":"Rasolofoniaina","given":"B J R","non-dropping-particle":"","parse-names":false,"suffix":""},{"dropping-particle":"","family":"Kremen","given":"C","non-dropping-particle":"","parse-names":false,"suffix":""}],"container-title":"Conservation Biology","id":"ITEM-3","issue":"1","issued":{"date-parts":[["2014"]]},"page":"234-243","title":"Economic valuation of subsistence harvest of wildlife in Madagascar","type":"article-journal","volume":"28"},"uris":["http://www.mendeley.com/documents/?uuid=cce4700e-dfa6-41a3-a7c9-fb4966558ad5"]}],"mendeley":{"formattedCitation":"(Coad et al. 2010; Gardner &amp; Davies 2014; Golden et al. 2014)","plainTextFormattedCitation":"(Coad et al. 2010; Gardner &amp; Davies 2014; Golden et al. 2014)","previouslyFormattedCitation":"(Coad et al. 2010; Gardner &amp; Davies 2014; Golden et al. 2014)"},"properties":{"noteIndex":0},"schema":"https://github.com/citation-style-language/schema/raw/master/csl-citation.json"}</w:instrText>
      </w:r>
      <w:r w:rsidR="00AB268B">
        <w:rPr>
          <w:color w:val="000000" w:themeColor="text1"/>
        </w:rPr>
        <w:fldChar w:fldCharType="separate"/>
      </w:r>
      <w:r w:rsidR="004821B4" w:rsidRPr="004821B4">
        <w:rPr>
          <w:noProof/>
          <w:color w:val="000000" w:themeColor="text1"/>
        </w:rPr>
        <w:t>(Coad et al. 2010; Gardner &amp; Davies 2014; Golden et al. 2014)</w:t>
      </w:r>
      <w:r w:rsidR="00AB268B">
        <w:rPr>
          <w:color w:val="000000" w:themeColor="text1"/>
        </w:rPr>
        <w:fldChar w:fldCharType="end"/>
      </w:r>
      <w:r w:rsidR="00AB268B">
        <w:rPr>
          <w:color w:val="000000" w:themeColor="text1"/>
        </w:rPr>
        <w:t>.</w:t>
      </w:r>
      <w:r w:rsidR="00740F97">
        <w:rPr>
          <w:color w:val="000000" w:themeColor="text1"/>
        </w:rPr>
        <w:t xml:space="preserve"> </w:t>
      </w:r>
      <w:r w:rsidR="00D0670D" w:rsidRPr="0070404D">
        <w:rPr>
          <w:color w:val="333333"/>
          <w:shd w:val="clear" w:color="auto" w:fill="FFFFFF"/>
        </w:rPr>
        <w:t>Increased commercial hunting activity may also, for better or worse, shift households towards more mark</w:t>
      </w:r>
      <w:r>
        <w:rPr>
          <w:color w:val="333333"/>
          <w:shd w:val="clear" w:color="auto" w:fill="FFFFFF"/>
        </w:rPr>
        <w:t>et-based consumption patterns. A</w:t>
      </w:r>
      <w:r w:rsidR="00D0670D" w:rsidRPr="0070404D">
        <w:rPr>
          <w:color w:val="333333"/>
          <w:shd w:val="clear" w:color="auto" w:fill="FFFFFF"/>
        </w:rPr>
        <w:t xml:space="preserve"> study of hunting communities around Malabo, the capital of Equatorial Guinea, found that </w:t>
      </w:r>
      <w:r w:rsidR="002E1C39" w:rsidRPr="0070404D">
        <w:rPr>
          <w:color w:val="333333"/>
          <w:shd w:val="clear" w:color="auto" w:fill="FFFFFF"/>
        </w:rPr>
        <w:t xml:space="preserve">families selling </w:t>
      </w:r>
      <w:r w:rsidR="002E1C39" w:rsidRPr="0070404D">
        <w:rPr>
          <w:color w:val="000000" w:themeColor="text1"/>
        </w:rPr>
        <w:t>more</w:t>
      </w:r>
      <w:r w:rsidR="00D0670D" w:rsidRPr="0070404D">
        <w:rPr>
          <w:color w:val="000000" w:themeColor="text1"/>
        </w:rPr>
        <w:t xml:space="preserve"> wild meat </w:t>
      </w:r>
      <w:r w:rsidR="00830E6F" w:rsidRPr="0070404D">
        <w:rPr>
          <w:color w:val="000000" w:themeColor="text1"/>
        </w:rPr>
        <w:t>to Malabo</w:t>
      </w:r>
      <w:r w:rsidR="00D0670D" w:rsidRPr="0070404D">
        <w:rPr>
          <w:color w:val="000000" w:themeColor="text1"/>
        </w:rPr>
        <w:t xml:space="preserve"> generated more income, spent more money on non-essential goods, and bought more products they did not grow </w:t>
      </w:r>
      <w:r w:rsidR="00170070">
        <w:rPr>
          <w:color w:val="000000" w:themeColor="text1"/>
        </w:rPr>
        <w:fldChar w:fldCharType="begin" w:fldLock="1"/>
      </w:r>
      <w:r w:rsidR="00B2630D">
        <w:rPr>
          <w:color w:val="000000" w:themeColor="text1"/>
        </w:rPr>
        <w:instrText>ADDIN CSL_CITATION {"citationItems":[{"id":"ITEM-1","itemData":{"DOI":"10.1371/journal.pone.0134464","ISBN":"1932-6203","ISSN":"19326203","PMID":"26230504","abstract":"Bushmeat hunting is extensive in west and central Africa as both a means for subsistence and for commercial gain. Commercial hunting represents one of the primary threats to wildlife in the region, and confounding factors have made it challenging to examine how external factors influence the commercial bushmeat trade. Bioko Island, Equatorial Guinea is a small island with large tracts of intact forest that support sizeable populations of commercially valuable vertebrates, especially endemic primates. The island also has a low human population and has experienced dramatic economic growth and rapid development since the mid-1990’s. From October 1997 – September 2010, we monitored the largest bushmeat market on Bioko in Malabo, recording over 197,000 carcasses for sale. We used these data to analyze the dynamics of the market in relation to political events, environmental legislation, and rapid economic growth. Our findings suggest that bushmeat hunting and availability increased in parallel with the growth of Equatorial Guinea’s GDP and disposable income of its citizens. During this 13-year study, the predominant mode of capture shifted from trapping to shotguns. Consequently, carcass volume and rates of taxa typically captured with shotguns increased significantly, most notably including intensified hunting of Bioko's unique and endangered monkey fauna. Attempts to limit bushmeat sales, including a 2007 ban on primate hunting and trade, were only transiently effective. The hunting ban was not enforced, and was quickly followed by a marked increase in bushmeat hunting compared to hunting rates prior to the ban. Our results emphasize the negative impact that rapid development and unenforced legislation have had on Bioko’s wildlife, and demonstrate the need for strong governmental support if conservation strategies are to be successful at preventing extinctions of tropical wildlife.","author":[{"dropping-particle":"","family":"Cronin","given":"Drew T.","non-dropping-particle":"","parse-names":false,"suffix":""},{"dropping-particle":"","family":"Woloszynek","given":"Stephen","non-dropping-particle":"","parse-names":false,"suffix":""},{"dropping-particle":"","family":"Morra","given":"Wayne A.","non-dropping-particle":"","parse-names":false,"suffix":""},{"dropping-particle":"","family":"Honarvar","given":"Shaya","non-dropping-particle":"","parse-names":false,"suffix":""},{"dropping-particle":"","family":"Linder","given":"Joshua M.","non-dropping-particle":"","parse-names":false,"suffix":""},{"dropping-particle":"","family":"Gonder","given":"Mary Katherine","non-dropping-particle":"","parse-names":false,"suffix":""},{"dropping-particle":"","family":"O'Connor","given":"Michael P.","non-dropping-particle":"","parse-names":false,"suffix":""},{"dropping-particle":"","family":"Hearn","given":"Gail W.","non-dropping-particle":"","parse-names":false,"suffix":""}],"container-title":"PLoS ONE","id":"ITEM-1","issue":"7","issued":{"date-parts":[["2015"]]},"page":"e0134464","title":"Long-term urban market dynamics reveal increased bushmeat carcass volume despite economic growth and proactive environmental legislation on Bioko Island, Equatorial Guinea","type":"article-journal","volume":"10"},"uris":["http://www.mendeley.com/documents/?uuid=986cc03f-8dcc-457d-859c-5bc40e906b96"]}],"mendeley":{"formattedCitation":"(Cronin et al. 2015)","plainTextFormattedCitation":"(Cronin et al. 2015)","previouslyFormattedCitation":"(Cronin et al. 2015)"},"properties":{"noteIndex":0},"schema":"https://github.com/citation-style-language/schema/raw/master/csl-citation.json"}</w:instrText>
      </w:r>
      <w:r w:rsidR="00170070">
        <w:rPr>
          <w:color w:val="000000" w:themeColor="text1"/>
        </w:rPr>
        <w:fldChar w:fldCharType="separate"/>
      </w:r>
      <w:r w:rsidR="00170070" w:rsidRPr="00170070">
        <w:rPr>
          <w:noProof/>
          <w:color w:val="000000" w:themeColor="text1"/>
        </w:rPr>
        <w:t>(Cronin et al. 2015)</w:t>
      </w:r>
      <w:r w:rsidR="00170070">
        <w:rPr>
          <w:color w:val="000000" w:themeColor="text1"/>
        </w:rPr>
        <w:fldChar w:fldCharType="end"/>
      </w:r>
      <w:r w:rsidR="00D0670D" w:rsidRPr="0070404D">
        <w:rPr>
          <w:color w:val="000000" w:themeColor="text1"/>
        </w:rPr>
        <w:t xml:space="preserve">. </w:t>
      </w:r>
      <w:r w:rsidR="00A73E71" w:rsidRPr="0070404D">
        <w:rPr>
          <w:color w:val="333333"/>
          <w:shd w:val="clear" w:color="auto" w:fill="FFFFFF"/>
        </w:rPr>
        <w:t>These complexities of the use of rural incomes</w:t>
      </w:r>
      <w:r w:rsidR="002E1C39" w:rsidRPr="0070404D">
        <w:rPr>
          <w:color w:val="333333"/>
          <w:shd w:val="clear" w:color="auto" w:fill="FFFFFF"/>
        </w:rPr>
        <w:t xml:space="preserve"> and their interaction with market</w:t>
      </w:r>
      <w:r>
        <w:rPr>
          <w:color w:val="333333"/>
          <w:shd w:val="clear" w:color="auto" w:fill="FFFFFF"/>
        </w:rPr>
        <w:t xml:space="preserve"> access</w:t>
      </w:r>
      <w:r w:rsidR="00A73E71" w:rsidRPr="0070404D">
        <w:rPr>
          <w:color w:val="333333"/>
          <w:shd w:val="clear" w:color="auto" w:fill="FFFFFF"/>
        </w:rPr>
        <w:t xml:space="preserve"> highlight the importance of developing </w:t>
      </w:r>
      <w:r w:rsidR="00F4467D" w:rsidRPr="0070404D">
        <w:rPr>
          <w:color w:val="333333"/>
          <w:shd w:val="clear" w:color="auto" w:fill="FFFFFF"/>
        </w:rPr>
        <w:t xml:space="preserve">policies based on a broad understanding of </w:t>
      </w:r>
      <w:r w:rsidR="00B039C1" w:rsidRPr="0070404D">
        <w:rPr>
          <w:color w:val="333333"/>
          <w:shd w:val="clear" w:color="auto" w:fill="FFFFFF"/>
        </w:rPr>
        <w:t xml:space="preserve">individual, household and community </w:t>
      </w:r>
      <w:r w:rsidR="00F4467D" w:rsidRPr="0070404D">
        <w:rPr>
          <w:color w:val="333333"/>
          <w:shd w:val="clear" w:color="auto" w:fill="FFFFFF"/>
        </w:rPr>
        <w:t>livelihood dynamics.</w:t>
      </w:r>
    </w:p>
    <w:p w14:paraId="55421E09" w14:textId="67079873" w:rsidR="00785009" w:rsidRPr="00740F97" w:rsidRDefault="00F4467D" w:rsidP="00C258BC">
      <w:pPr>
        <w:jc w:val="both"/>
        <w:rPr>
          <w:color w:val="000000" w:themeColor="text1"/>
        </w:rPr>
        <w:sectPr w:rsidR="00785009" w:rsidRPr="00740F97">
          <w:pgSz w:w="11906" w:h="16838"/>
          <w:pgMar w:top="1440" w:right="1440" w:bottom="1440" w:left="1440" w:header="708" w:footer="708" w:gutter="0"/>
          <w:cols w:space="708"/>
          <w:docGrid w:linePitch="360"/>
        </w:sectPr>
      </w:pPr>
      <w:r w:rsidRPr="0070404D">
        <w:rPr>
          <w:color w:val="333333"/>
          <w:shd w:val="clear" w:color="auto" w:fill="FFFFFF"/>
        </w:rPr>
        <w:t xml:space="preserve"> </w:t>
      </w:r>
      <w:r w:rsidR="00A73E71" w:rsidRPr="0070404D">
        <w:rPr>
          <w:color w:val="333333"/>
          <w:shd w:val="clear" w:color="auto" w:fill="FFFFFF"/>
        </w:rPr>
        <w:t xml:space="preserve">  </w:t>
      </w:r>
    </w:p>
    <w:p w14:paraId="322596D3" w14:textId="0B568FE6" w:rsidR="007744DE" w:rsidRPr="00E64E1D" w:rsidRDefault="00785009" w:rsidP="00C258BC">
      <w:pPr>
        <w:pStyle w:val="Caption"/>
        <w:keepNext/>
        <w:jc w:val="both"/>
        <w:rPr>
          <w:b w:val="0"/>
          <w:lang w:val="en-GB"/>
        </w:rPr>
      </w:pPr>
      <w:bookmarkStart w:id="77" w:name="_Ref518914218"/>
      <w:r w:rsidRPr="00E64E1D">
        <w:rPr>
          <w:lang w:val="en-GB"/>
        </w:rPr>
        <w:lastRenderedPageBreak/>
        <w:t xml:space="preserve">Table </w:t>
      </w:r>
      <w:r w:rsidR="00DE31EF" w:rsidRPr="00E64E1D">
        <w:rPr>
          <w:lang w:val="en-GB"/>
        </w:rPr>
        <w:fldChar w:fldCharType="begin"/>
      </w:r>
      <w:r w:rsidR="00DE31EF" w:rsidRPr="00E64E1D">
        <w:rPr>
          <w:lang w:val="en-GB"/>
        </w:rPr>
        <w:instrText xml:space="preserve"> SEQ Table \* ARABIC </w:instrText>
      </w:r>
      <w:r w:rsidR="00DE31EF" w:rsidRPr="00E64E1D">
        <w:rPr>
          <w:lang w:val="en-GB"/>
        </w:rPr>
        <w:fldChar w:fldCharType="separate"/>
      </w:r>
      <w:r w:rsidR="004873F0">
        <w:rPr>
          <w:noProof/>
          <w:lang w:val="en-GB"/>
        </w:rPr>
        <w:t>3</w:t>
      </w:r>
      <w:r w:rsidR="00DE31EF" w:rsidRPr="00E64E1D">
        <w:rPr>
          <w:lang w:val="en-GB"/>
        </w:rPr>
        <w:fldChar w:fldCharType="end"/>
      </w:r>
      <w:bookmarkEnd w:id="77"/>
      <w:r w:rsidR="007744DE" w:rsidRPr="00E64E1D">
        <w:rPr>
          <w:color w:val="000000" w:themeColor="text1"/>
          <w:lang w:val="en-GB"/>
        </w:rPr>
        <w:t xml:space="preserve">: </w:t>
      </w:r>
      <w:r w:rsidR="007744DE" w:rsidRPr="00E64E1D">
        <w:rPr>
          <w:b w:val="0"/>
          <w:color w:val="000000" w:themeColor="text1"/>
          <w:lang w:val="en-GB"/>
        </w:rPr>
        <w:t xml:space="preserve">The </w:t>
      </w:r>
      <w:r w:rsidR="00DE31EF" w:rsidRPr="00E64E1D">
        <w:rPr>
          <w:b w:val="0"/>
          <w:color w:val="000000" w:themeColor="text1"/>
          <w:lang w:val="en-GB"/>
        </w:rPr>
        <w:t xml:space="preserve">percentage </w:t>
      </w:r>
      <w:r w:rsidR="007744DE" w:rsidRPr="00E64E1D">
        <w:rPr>
          <w:b w:val="0"/>
          <w:color w:val="000000" w:themeColor="text1"/>
          <w:lang w:val="en-GB"/>
        </w:rPr>
        <w:t xml:space="preserve">of </w:t>
      </w:r>
      <w:r w:rsidR="008806AC" w:rsidRPr="00E64E1D">
        <w:rPr>
          <w:b w:val="0"/>
          <w:color w:val="000000" w:themeColor="text1"/>
          <w:lang w:val="en-GB"/>
        </w:rPr>
        <w:t>wild meat</w:t>
      </w:r>
      <w:r w:rsidR="007744DE" w:rsidRPr="00E64E1D">
        <w:rPr>
          <w:b w:val="0"/>
          <w:color w:val="000000" w:themeColor="text1"/>
          <w:lang w:val="en-GB"/>
        </w:rPr>
        <w:t xml:space="preserve"> sold for income, and the proportion of hous</w:t>
      </w:r>
      <w:r w:rsidR="00A20500" w:rsidRPr="00E64E1D">
        <w:rPr>
          <w:b w:val="0"/>
          <w:color w:val="000000" w:themeColor="text1"/>
          <w:lang w:val="en-GB"/>
        </w:rPr>
        <w:t>ehold incomes this represents</w:t>
      </w:r>
      <w:r w:rsidR="00DE31EF" w:rsidRPr="00E64E1D">
        <w:rPr>
          <w:b w:val="0"/>
          <w:color w:val="000000" w:themeColor="text1"/>
          <w:lang w:val="en-GB"/>
        </w:rPr>
        <w:t xml:space="preserve">, for sites </w:t>
      </w:r>
      <w:r w:rsidR="00E25348" w:rsidRPr="00E64E1D">
        <w:rPr>
          <w:b w:val="0"/>
          <w:color w:val="000000" w:themeColor="text1"/>
          <w:lang w:val="en-GB"/>
        </w:rPr>
        <w:t xml:space="preserve">studied </w:t>
      </w:r>
      <w:r w:rsidR="00DE31EF" w:rsidRPr="00E64E1D">
        <w:rPr>
          <w:b w:val="0"/>
          <w:color w:val="000000" w:themeColor="text1"/>
          <w:lang w:val="en-GB"/>
        </w:rPr>
        <w:t>in</w:t>
      </w:r>
      <w:r w:rsidR="007744DE" w:rsidRPr="00E64E1D">
        <w:rPr>
          <w:b w:val="0"/>
          <w:color w:val="000000" w:themeColor="text1"/>
          <w:lang w:val="en-GB"/>
        </w:rPr>
        <w:t xml:space="preserve"> Africa, South Americ</w:t>
      </w:r>
      <w:r w:rsidR="00A20500" w:rsidRPr="00E64E1D">
        <w:rPr>
          <w:b w:val="0"/>
          <w:color w:val="000000" w:themeColor="text1"/>
          <w:lang w:val="en-GB"/>
        </w:rPr>
        <w:t>a</w:t>
      </w:r>
      <w:r w:rsidR="007744DE" w:rsidRPr="00E64E1D">
        <w:rPr>
          <w:b w:val="0"/>
          <w:color w:val="000000" w:themeColor="text1"/>
          <w:lang w:val="en-GB"/>
        </w:rPr>
        <w:t xml:space="preserve"> and Asia</w:t>
      </w:r>
      <w:r w:rsidR="00174FAC" w:rsidRPr="00E64E1D">
        <w:rPr>
          <w:b w:val="0"/>
          <w:color w:val="000000" w:themeColor="text1"/>
          <w:lang w:val="en-GB"/>
        </w:rPr>
        <w:t>.</w:t>
      </w:r>
    </w:p>
    <w:tbl>
      <w:tblPr>
        <w:tblStyle w:val="TableGrid"/>
        <w:tblW w:w="9510" w:type="dxa"/>
        <w:tblCellMar>
          <w:left w:w="115" w:type="dxa"/>
          <w:right w:w="115" w:type="dxa"/>
        </w:tblCellMar>
        <w:tblLook w:val="04A0" w:firstRow="1" w:lastRow="0" w:firstColumn="1" w:lastColumn="0" w:noHBand="0" w:noVBand="1"/>
      </w:tblPr>
      <w:tblGrid>
        <w:gridCol w:w="2263"/>
        <w:gridCol w:w="2775"/>
        <w:gridCol w:w="946"/>
        <w:gridCol w:w="3526"/>
      </w:tblGrid>
      <w:tr w:rsidR="00FA72F7" w:rsidRPr="00197738" w14:paraId="5D93C141" w14:textId="77777777" w:rsidTr="00FA72F7">
        <w:trPr>
          <w:trHeight w:val="464"/>
        </w:trPr>
        <w:tc>
          <w:tcPr>
            <w:tcW w:w="2263" w:type="dxa"/>
            <w:shd w:val="clear" w:color="auto" w:fill="D9D9D9" w:themeFill="background1" w:themeFillShade="D9"/>
          </w:tcPr>
          <w:p w14:paraId="606D12FD" w14:textId="77777777" w:rsidR="009B49BE" w:rsidRPr="00197738" w:rsidRDefault="009B49BE" w:rsidP="00F41068">
            <w:pPr>
              <w:pStyle w:val="Table"/>
            </w:pPr>
            <w:r w:rsidRPr="00197738">
              <w:t>Reference</w:t>
            </w:r>
          </w:p>
        </w:tc>
        <w:tc>
          <w:tcPr>
            <w:tcW w:w="2775" w:type="dxa"/>
            <w:shd w:val="clear" w:color="auto" w:fill="D9D9D9" w:themeFill="background1" w:themeFillShade="D9"/>
          </w:tcPr>
          <w:p w14:paraId="537E6BA5" w14:textId="77777777" w:rsidR="009B49BE" w:rsidRPr="00197738" w:rsidRDefault="009B49BE" w:rsidP="00C258BC">
            <w:pPr>
              <w:pStyle w:val="Table"/>
              <w:jc w:val="both"/>
            </w:pPr>
            <w:r w:rsidRPr="00197738">
              <w:t>Site/s</w:t>
            </w:r>
          </w:p>
        </w:tc>
        <w:tc>
          <w:tcPr>
            <w:tcW w:w="946" w:type="dxa"/>
            <w:shd w:val="clear" w:color="auto" w:fill="D9D9D9" w:themeFill="background1" w:themeFillShade="D9"/>
          </w:tcPr>
          <w:p w14:paraId="33F47CD2" w14:textId="363DEEB4" w:rsidR="009B49BE" w:rsidRPr="00197738" w:rsidRDefault="00E31C2D" w:rsidP="00C258BC">
            <w:pPr>
              <w:pStyle w:val="Table"/>
              <w:jc w:val="both"/>
            </w:pPr>
            <w:r w:rsidRPr="00197738">
              <w:t>%</w:t>
            </w:r>
            <w:r w:rsidR="009B49BE" w:rsidRPr="00197738">
              <w:t xml:space="preserve"> hunting offtake sold </w:t>
            </w:r>
          </w:p>
        </w:tc>
        <w:tc>
          <w:tcPr>
            <w:tcW w:w="3526" w:type="dxa"/>
            <w:shd w:val="clear" w:color="auto" w:fill="D9D9D9" w:themeFill="background1" w:themeFillShade="D9"/>
          </w:tcPr>
          <w:p w14:paraId="45656300" w14:textId="77777777" w:rsidR="009B49BE" w:rsidRPr="00197738" w:rsidRDefault="009B49BE" w:rsidP="00C258BC">
            <w:pPr>
              <w:pStyle w:val="Table"/>
              <w:jc w:val="both"/>
            </w:pPr>
            <w:r w:rsidRPr="00197738">
              <w:t>Observations</w:t>
            </w:r>
          </w:p>
        </w:tc>
      </w:tr>
      <w:tr w:rsidR="009B49BE" w:rsidRPr="00197738" w14:paraId="1CDE52E9" w14:textId="77777777" w:rsidTr="00187531">
        <w:trPr>
          <w:trHeight w:val="170"/>
        </w:trPr>
        <w:tc>
          <w:tcPr>
            <w:tcW w:w="0" w:type="auto"/>
            <w:gridSpan w:val="4"/>
          </w:tcPr>
          <w:p w14:paraId="483D4F0D" w14:textId="77777777" w:rsidR="007525C0" w:rsidRDefault="007525C0" w:rsidP="00F41068">
            <w:pPr>
              <w:pStyle w:val="Table"/>
            </w:pPr>
          </w:p>
          <w:p w14:paraId="0B7B865D" w14:textId="7795C897" w:rsidR="00054762" w:rsidRPr="007525C0" w:rsidRDefault="009B49BE" w:rsidP="00F41068">
            <w:pPr>
              <w:pStyle w:val="Table"/>
            </w:pPr>
            <w:r w:rsidRPr="007525C0">
              <w:t>Sub-Saharan Africa</w:t>
            </w:r>
          </w:p>
        </w:tc>
      </w:tr>
      <w:tr w:rsidR="00FA72F7" w:rsidRPr="00197738" w14:paraId="429DD382" w14:textId="77777777" w:rsidTr="00FA72F7">
        <w:trPr>
          <w:trHeight w:val="170"/>
        </w:trPr>
        <w:tc>
          <w:tcPr>
            <w:tcW w:w="2263" w:type="dxa"/>
          </w:tcPr>
          <w:p w14:paraId="0869B4AE" w14:textId="40DD5A98" w:rsidR="009B49BE" w:rsidRPr="00197738" w:rsidRDefault="00FA72F7" w:rsidP="00F41068">
            <w:pPr>
              <w:pStyle w:val="Table"/>
              <w:rPr>
                <w:b w:val="0"/>
              </w:rPr>
            </w:pPr>
            <w:r>
              <w:rPr>
                <w:b w:val="0"/>
              </w:rPr>
              <w:fldChar w:fldCharType="begin" w:fldLock="1"/>
            </w:r>
            <w:r>
              <w:rPr>
                <w:b w:val="0"/>
              </w:rPr>
              <w:instrText>ADDIN CSL_CITATION {"citationItems":[{"id":"ITEM-1","itemData":{"DOI":"10.1371/journal.pone.0161703","author":[{"dropping-particle":"","family":"Fa","given":"John E","non-dropping-particle":"","parse-names":false,"suffix":""},{"dropping-particle":"","family":"Olivero","given":"Jesús","non-dropping-particle":"","parse-names":false,"suffix":""},{"dropping-particle":"","family":"Farfán","given":"Miguel Angel","non-dropping-particle":"","parse-names":false,"suffix":""},{"dropping-particle":"","family":"Lewis","given":"Jerome","non-dropping-particle":"","parse-names":false,"suffix":""},{"dropping-particle":"","family":"Yasuoka","given":"Hirokazu","non-dropping-particle":"","parse-names":false,"suffix":""},{"dropping-particle":"","family":"Noss","given":"Andrew","non-dropping-particle":"","parse-names":false,"suffix":""},{"dropping-particle":"","family":"Hattori","given":"Shiho","non-dropping-particle":"","parse-names":false,"suffix":""},{"dropping-particle":"","family":"Hirai","given":"Masaaki","non-dropping-particle":"","parse-names":false,"suffix":""},{"dropping-particle":"","family":"Kamgaing","given":"Towa O W","non-dropping-particle":"","parse-names":false,"suffix":""},{"dropping-particle":"","family":"Carpaneto","given":"Giuseppe M","non-dropping-particle":"","parse-names":false,"suffix":""},{"dropping-particle":"","family":"Germi","given":"Francesco","non-dropping-particle":"","parse-names":false,"suffix":""},{"dropping-particle":"","family":"Marquez","given":"Ana L.","non-dropping-particle":"","parse-names":false,"suffix":""},{"dropping-particle":"","family":"Duarte","given":"Jesús","non-dropping-particle":"","parse-names":false,"suffix":""},{"dropping-particle":"","family":"Duda","given":"Romain","non-dropping-particle":"","parse-names":false,"suffix":""},{"dropping-particle":"","family":"Gallois","given":"Sandrine","non-dropping-particle":"","parse-names":false,"suffix":""},{"dropping-particle":"","family":"Riddell","given":"Michael","non-dropping-particle":"","parse-names":false,"suffix":""},{"dropping-particle":"","family":"Nasi","given":"Robert","non-dropping-particle":"","parse-names":false,"suffix":""}],"container-title":"PLoS ONE","id":"ITEM-1","issue":"6","issued":{"date-parts":[["2016"]]},"page":"e0161703","title":"Differences between Pygmy and non-Pygmy hunting in Congo Basin forests","type":"article-journal","volume":"11"},"uris":["http://www.mendeley.com/documents/?uuid=b38eb8e1-c45c-4422-9fb1-6fffc740e705"]}],"mendeley":{"formattedCitation":"(Fa et al. 2016a)","manualFormatting":"Fa et al. 2016a","plainTextFormattedCitation":"(Fa et al. 2016a)","previouslyFormattedCitation":"(Fa et al. 2016a)"},"properties":{"noteIndex":0},"schema":"https://github.com/citation-style-language/schema/raw/master/csl-citation.json"}</w:instrText>
            </w:r>
            <w:r>
              <w:rPr>
                <w:b w:val="0"/>
              </w:rPr>
              <w:fldChar w:fldCharType="separate"/>
            </w:r>
            <w:r w:rsidRPr="00FA72F7">
              <w:rPr>
                <w:b w:val="0"/>
                <w:noProof/>
              </w:rPr>
              <w:t>Fa et al. 2016a</w:t>
            </w:r>
            <w:r>
              <w:rPr>
                <w:b w:val="0"/>
              </w:rPr>
              <w:fldChar w:fldCharType="end"/>
            </w:r>
          </w:p>
        </w:tc>
        <w:tc>
          <w:tcPr>
            <w:tcW w:w="2775" w:type="dxa"/>
          </w:tcPr>
          <w:p w14:paraId="5A45376C" w14:textId="1FDFF8A8" w:rsidR="009B49BE" w:rsidRPr="00197738" w:rsidRDefault="009B49BE" w:rsidP="00C258BC">
            <w:pPr>
              <w:pStyle w:val="Table"/>
              <w:jc w:val="both"/>
              <w:rPr>
                <w:b w:val="0"/>
              </w:rPr>
            </w:pPr>
            <w:r w:rsidRPr="00197738">
              <w:rPr>
                <w:b w:val="0"/>
              </w:rPr>
              <w:t>Pygmy villages, Central Africa</w:t>
            </w:r>
          </w:p>
        </w:tc>
        <w:tc>
          <w:tcPr>
            <w:tcW w:w="946" w:type="dxa"/>
          </w:tcPr>
          <w:p w14:paraId="2C6C1DA0" w14:textId="6E53126E" w:rsidR="009B49BE" w:rsidRPr="007525C0" w:rsidRDefault="009B49BE" w:rsidP="00C258BC">
            <w:pPr>
              <w:pStyle w:val="Table"/>
              <w:jc w:val="both"/>
              <w:rPr>
                <w:b w:val="0"/>
              </w:rPr>
            </w:pPr>
            <w:r w:rsidRPr="007525C0">
              <w:rPr>
                <w:b w:val="0"/>
              </w:rPr>
              <w:t>35</w:t>
            </w:r>
          </w:p>
        </w:tc>
        <w:tc>
          <w:tcPr>
            <w:tcW w:w="3526" w:type="dxa"/>
          </w:tcPr>
          <w:p w14:paraId="4AB95279" w14:textId="1AB4313E" w:rsidR="009B49BE" w:rsidRPr="007525C0" w:rsidRDefault="009B49BE" w:rsidP="00C258BC">
            <w:pPr>
              <w:pStyle w:val="Table"/>
              <w:jc w:val="both"/>
              <w:rPr>
                <w:b w:val="0"/>
              </w:rPr>
            </w:pPr>
          </w:p>
        </w:tc>
      </w:tr>
      <w:tr w:rsidR="00FA72F7" w:rsidRPr="00197738" w14:paraId="646FCDBE" w14:textId="77777777" w:rsidTr="00FA72F7">
        <w:trPr>
          <w:trHeight w:val="170"/>
        </w:trPr>
        <w:tc>
          <w:tcPr>
            <w:tcW w:w="2263" w:type="dxa"/>
          </w:tcPr>
          <w:p w14:paraId="3BC7FD1D" w14:textId="3C90E805" w:rsidR="009B49BE" w:rsidRPr="00197738" w:rsidRDefault="00FA72F7" w:rsidP="00F41068">
            <w:pPr>
              <w:pStyle w:val="Table"/>
              <w:rPr>
                <w:b w:val="0"/>
              </w:rPr>
            </w:pPr>
            <w:r>
              <w:rPr>
                <w:b w:val="0"/>
              </w:rPr>
              <w:fldChar w:fldCharType="begin" w:fldLock="1"/>
            </w:r>
            <w:r>
              <w:rPr>
                <w:b w:val="0"/>
              </w:rPr>
              <w:instrText>ADDIN CSL_CITATION {"citationItems":[{"id":"ITEM-1","itemData":{"DOI":"10.1371/journal.pone.0161703","author":[{"dropping-particle":"","family":"Fa","given":"John E","non-dropping-particle":"","parse-names":false,"suffix":""},{"dropping-particle":"","family":"Olivero","given":"Jesús","non-dropping-particle":"","parse-names":false,"suffix":""},{"dropping-particle":"","family":"Farfán","given":"Miguel Angel","non-dropping-particle":"","parse-names":false,"suffix":""},{"dropping-particle":"","family":"Lewis","given":"Jerome","non-dropping-particle":"","parse-names":false,"suffix":""},{"dropping-particle":"","family":"Yasuoka","given":"Hirokazu","non-dropping-particle":"","parse-names":false,"suffix":""},{"dropping-particle":"","family":"Noss","given":"Andrew","non-dropping-particle":"","parse-names":false,"suffix":""},{"dropping-particle":"","family":"Hattori","given":"Shiho","non-dropping-particle":"","parse-names":false,"suffix":""},{"dropping-particle":"","family":"Hirai","given":"Masaaki","non-dropping-particle":"","parse-names":false,"suffix":""},{"dropping-particle":"","family":"Kamgaing","given":"Towa O W","non-dropping-particle":"","parse-names":false,"suffix":""},{"dropping-particle":"","family":"Carpaneto","given":"Giuseppe M","non-dropping-particle":"","parse-names":false,"suffix":""},{"dropping-particle":"","family":"Germi","given":"Francesco","non-dropping-particle":"","parse-names":false,"suffix":""},{"dropping-particle":"","family":"Marquez","given":"Ana L.","non-dropping-particle":"","parse-names":false,"suffix":""},{"dropping-particle":"","family":"Duarte","given":"Jesús","non-dropping-particle":"","parse-names":false,"suffix":""},{"dropping-particle":"","family":"Duda","given":"Romain","non-dropping-particle":"","parse-names":false,"suffix":""},{"dropping-particle":"","family":"Gallois","given":"Sandrine","non-dropping-particle":"","parse-names":false,"suffix":""},{"dropping-particle":"","family":"Riddell","given":"Michael","non-dropping-particle":"","parse-names":false,"suffix":""},{"dropping-particle":"","family":"Nasi","given":"Robert","non-dropping-particle":"","parse-names":false,"suffix":""}],"container-title":"PLoS ONE","id":"ITEM-1","issue":"6","issued":{"date-parts":[["2016"]]},"page":"e0161703","title":"Differences between Pygmy and non-Pygmy hunting in Congo Basin forests","type":"article-journal","volume":"11"},"uris":["http://www.mendeley.com/documents/?uuid=b38eb8e1-c45c-4422-9fb1-6fffc740e705"]}],"mendeley":{"formattedCitation":"(Fa et al. 2016a)","manualFormatting":"Fa et al. 2016a","plainTextFormattedCitation":"(Fa et al. 2016a)","previouslyFormattedCitation":"(Fa et al. 2016a)"},"properties":{"noteIndex":0},"schema":"https://github.com/citation-style-language/schema/raw/master/csl-citation.json"}</w:instrText>
            </w:r>
            <w:r>
              <w:rPr>
                <w:b w:val="0"/>
              </w:rPr>
              <w:fldChar w:fldCharType="separate"/>
            </w:r>
            <w:r w:rsidRPr="00FA72F7">
              <w:rPr>
                <w:b w:val="0"/>
                <w:noProof/>
              </w:rPr>
              <w:t>Fa et al. 2016a</w:t>
            </w:r>
            <w:r>
              <w:rPr>
                <w:b w:val="0"/>
              </w:rPr>
              <w:fldChar w:fldCharType="end"/>
            </w:r>
          </w:p>
        </w:tc>
        <w:tc>
          <w:tcPr>
            <w:tcW w:w="2775" w:type="dxa"/>
          </w:tcPr>
          <w:p w14:paraId="0246280B" w14:textId="56A03E13" w:rsidR="009B49BE" w:rsidRPr="00DF57F3" w:rsidRDefault="009B49BE" w:rsidP="00C258BC">
            <w:pPr>
              <w:pStyle w:val="Table"/>
              <w:jc w:val="both"/>
              <w:rPr>
                <w:b w:val="0"/>
                <w:lang w:val="fr-FR"/>
              </w:rPr>
            </w:pPr>
            <w:r w:rsidRPr="00DF57F3">
              <w:rPr>
                <w:b w:val="0"/>
                <w:lang w:val="fr-FR"/>
              </w:rPr>
              <w:t>N</w:t>
            </w:r>
            <w:r w:rsidR="000C4D92" w:rsidRPr="00DF57F3">
              <w:rPr>
                <w:b w:val="0"/>
                <w:lang w:val="fr-FR"/>
              </w:rPr>
              <w:t>on-P</w:t>
            </w:r>
            <w:r w:rsidRPr="00DF57F3">
              <w:rPr>
                <w:b w:val="0"/>
                <w:lang w:val="fr-FR"/>
              </w:rPr>
              <w:t>ygmy villages, Central Africa</w:t>
            </w:r>
          </w:p>
        </w:tc>
        <w:tc>
          <w:tcPr>
            <w:tcW w:w="946" w:type="dxa"/>
          </w:tcPr>
          <w:p w14:paraId="587ACDB1" w14:textId="696CA261" w:rsidR="009B49BE" w:rsidRPr="007525C0" w:rsidRDefault="009B49BE" w:rsidP="00C258BC">
            <w:pPr>
              <w:pStyle w:val="Table"/>
              <w:jc w:val="both"/>
              <w:rPr>
                <w:b w:val="0"/>
              </w:rPr>
            </w:pPr>
            <w:r w:rsidRPr="007525C0">
              <w:rPr>
                <w:b w:val="0"/>
              </w:rPr>
              <w:t>65</w:t>
            </w:r>
          </w:p>
        </w:tc>
        <w:tc>
          <w:tcPr>
            <w:tcW w:w="3526" w:type="dxa"/>
          </w:tcPr>
          <w:p w14:paraId="7A31D2C5" w14:textId="77777777" w:rsidR="009B49BE" w:rsidRPr="007525C0" w:rsidRDefault="009B49BE" w:rsidP="00C258BC">
            <w:pPr>
              <w:pStyle w:val="Table"/>
              <w:jc w:val="both"/>
              <w:rPr>
                <w:b w:val="0"/>
              </w:rPr>
            </w:pPr>
          </w:p>
        </w:tc>
      </w:tr>
      <w:tr w:rsidR="00FA72F7" w:rsidRPr="00197738" w14:paraId="0F93CBC9" w14:textId="77777777" w:rsidTr="00FA72F7">
        <w:trPr>
          <w:trHeight w:val="170"/>
        </w:trPr>
        <w:tc>
          <w:tcPr>
            <w:tcW w:w="2263" w:type="dxa"/>
          </w:tcPr>
          <w:p w14:paraId="3034EDBB" w14:textId="49F19CC5" w:rsidR="009B49BE" w:rsidRPr="00197738" w:rsidRDefault="00FA72F7" w:rsidP="00F41068">
            <w:pPr>
              <w:pStyle w:val="Table"/>
              <w:rPr>
                <w:b w:val="0"/>
              </w:rPr>
            </w:pPr>
            <w:r>
              <w:rPr>
                <w:b w:val="0"/>
              </w:rPr>
              <w:fldChar w:fldCharType="begin" w:fldLock="1"/>
            </w:r>
            <w:r w:rsidR="00AB268B">
              <w:rPr>
                <w:b w:val="0"/>
              </w:rPr>
              <w:instrText>ADDIN CSL_CITATION {"citationItems":[{"id":"ITEM-1","itemData":{"DOI":"10.1073/pnas.1011526108","ISBN":"0027-8424","ISSN":"0027-8424","PMID":"21873180","abstract":"The harvest of wildlife for human consumption is valued at several billion dollars annually and provides an essential source of meat for hundreds of millions of rural people living in poverty. This harvest is also considered among the greatest threats to biodiversity throughout Africa, Asia, and Latin America. Economic development is often proposed as an essential first step to win-win solutions for poverty alleviation and biodiversity conservation by breaking rural reliance on wildlife. However, increases in wealth may accelerate consumption and extend the scale and efficiency of wildlife harvest. Our ability to assess the likelihood of these two contrasting outcomes and to design approaches that simultaneously consider poverty and biodiversity loss is impeded by a weak understanding of the direction and shape of their interaction. Here, we present results of economic and wildlife use surveys conducted in 2,000 households from 96 settlements in Ghana, Cameroon, Tanzania, and Madagascar. We examine the individual and interactive roles of wealth, relative food prices, market access, and opportunity costs of time spent hunting on household rates of wildlife consumption. Despite great differences in biogeographic, social, and economic aspects of our study sites, we found a consistent relationship between wealth and wildlife consumption. Wealthier households consume more bushmeat in settlements nearer urban areas, but the opposite pattern is observed in more isolated settlements. Wildlife hunting and consumption increase when alternative livelihoods collapse, but this safety net is an option only for those people living near harvestable wildlife.","author":[{"dropping-particle":"","family":"Brashares","given":"J. S.","non-dropping-particle":"","parse-names":false,"suffix":""},{"dropping-particle":"","family":"Golden","given":"C. D.","non-dropping-particle":"","parse-names":false,"suffix":""},{"dropping-particle":"","family":"Weinbaum","given":"K. Z.","non-dropping-particle":"","parse-names":false,"suffix":""},{"dropping-particle":"","family":"Barrett","given":"C. B.","non-dropping-particle":"","parse-names":false,"suffix":""},{"dropping-particle":"V.","family":"Okello","given":"G.","non-dropping-particle":"","parse-names":false,"suffix":""}],"container-title":"Proceedings of the National Academy of Sciences","id":"ITEM-1","issue":"34","issued":{"date-parts":[["2011"]]},"page":"13931-13936","title":"Economic and geographic drivers of wildlife consumption in rural Africa","type":"article-journal","volume":"108"},"uris":["http://www.mendeley.com/documents/?uuid=13ad7382-e303-3540-b09e-d11794ebd691"]}],"mendeley":{"formattedCitation":"(Brashares et al. 2011)","manualFormatting":"Brashares et al. 2011","plainTextFormattedCitation":"(Brashares et al. 2011)","previouslyFormattedCitation":"(Brashares et al. 2011)"},"properties":{"noteIndex":0},"schema":"https://github.com/citation-style-language/schema/raw/master/csl-citation.json"}</w:instrText>
            </w:r>
            <w:r>
              <w:rPr>
                <w:b w:val="0"/>
              </w:rPr>
              <w:fldChar w:fldCharType="separate"/>
            </w:r>
            <w:r w:rsidRPr="00FA72F7">
              <w:rPr>
                <w:b w:val="0"/>
                <w:noProof/>
              </w:rPr>
              <w:t>Brashares et al. 2011</w:t>
            </w:r>
            <w:r>
              <w:rPr>
                <w:b w:val="0"/>
              </w:rPr>
              <w:fldChar w:fldCharType="end"/>
            </w:r>
          </w:p>
        </w:tc>
        <w:tc>
          <w:tcPr>
            <w:tcW w:w="2775" w:type="dxa"/>
          </w:tcPr>
          <w:p w14:paraId="7990F480" w14:textId="5524EA48" w:rsidR="009B49BE" w:rsidRPr="00197738" w:rsidRDefault="009B49BE" w:rsidP="00C258BC">
            <w:pPr>
              <w:pStyle w:val="Table"/>
              <w:jc w:val="both"/>
              <w:rPr>
                <w:b w:val="0"/>
              </w:rPr>
            </w:pPr>
            <w:r w:rsidRPr="00197738">
              <w:rPr>
                <w:b w:val="0"/>
              </w:rPr>
              <w:t>Within 10km of urban market</w:t>
            </w:r>
          </w:p>
        </w:tc>
        <w:tc>
          <w:tcPr>
            <w:tcW w:w="946" w:type="dxa"/>
          </w:tcPr>
          <w:p w14:paraId="4900BCF9" w14:textId="269C0F18" w:rsidR="009B49BE" w:rsidRPr="007525C0" w:rsidRDefault="009B49BE" w:rsidP="00C258BC">
            <w:pPr>
              <w:pStyle w:val="Table"/>
              <w:jc w:val="both"/>
              <w:rPr>
                <w:b w:val="0"/>
              </w:rPr>
            </w:pPr>
            <w:r w:rsidRPr="007525C0">
              <w:rPr>
                <w:b w:val="0"/>
              </w:rPr>
              <w:t>80</w:t>
            </w:r>
          </w:p>
        </w:tc>
        <w:tc>
          <w:tcPr>
            <w:tcW w:w="3526" w:type="dxa"/>
          </w:tcPr>
          <w:p w14:paraId="3C5E7AA4" w14:textId="77777777" w:rsidR="009B49BE" w:rsidRPr="007525C0" w:rsidRDefault="009B49BE" w:rsidP="00C258BC">
            <w:pPr>
              <w:pStyle w:val="Table"/>
              <w:jc w:val="both"/>
              <w:rPr>
                <w:b w:val="0"/>
              </w:rPr>
            </w:pPr>
          </w:p>
        </w:tc>
      </w:tr>
      <w:tr w:rsidR="00FA72F7" w:rsidRPr="00197738" w14:paraId="3959DEA0" w14:textId="77777777" w:rsidTr="00FA72F7">
        <w:trPr>
          <w:trHeight w:val="170"/>
        </w:trPr>
        <w:tc>
          <w:tcPr>
            <w:tcW w:w="2263" w:type="dxa"/>
          </w:tcPr>
          <w:p w14:paraId="33FD8835" w14:textId="3DD80835" w:rsidR="009B49BE" w:rsidRPr="00197738" w:rsidRDefault="00FA72F7" w:rsidP="00F41068">
            <w:pPr>
              <w:pStyle w:val="Table"/>
              <w:rPr>
                <w:b w:val="0"/>
              </w:rPr>
            </w:pPr>
            <w:r>
              <w:rPr>
                <w:b w:val="0"/>
              </w:rPr>
              <w:fldChar w:fldCharType="begin" w:fldLock="1"/>
            </w:r>
            <w:r w:rsidR="00AB268B">
              <w:rPr>
                <w:b w:val="0"/>
              </w:rPr>
              <w:instrText>ADDIN CSL_CITATION {"citationItems":[{"id":"ITEM-1","itemData":{"DOI":"10.1073/pnas.1011526108","ISBN":"0027-8424","ISSN":"0027-8424","PMID":"21873180","abstract":"The harvest of wildlife for human consumption is valued at several billion dollars annually and provides an essential source of meat for hundreds of millions of rural people living in poverty. This harvest is also considered among the greatest threats to biodiversity throughout Africa, Asia, and Latin America. Economic development is often proposed as an essential first step to win-win solutions for poverty alleviation and biodiversity conservation by breaking rural reliance on wildlife. However, increases in wealth may accelerate consumption and extend the scale and efficiency of wildlife harvest. Our ability to assess the likelihood of these two contrasting outcomes and to design approaches that simultaneously consider poverty and biodiversity loss is impeded by a weak understanding of the direction and shape of their interaction. Here, we present results of economic and wildlife use surveys conducted in 2,000 households from 96 settlements in Ghana, Cameroon, Tanzania, and Madagascar. We examine the individual and interactive roles of wealth, relative food prices, market access, and opportunity costs of time spent hunting on household rates of wildlife consumption. Despite great differences in biogeographic, social, and economic aspects of our study sites, we found a consistent relationship between wealth and wildlife consumption. Wealthier households consume more bushmeat in settlements nearer urban areas, but the opposite pattern is observed in more isolated settlements. Wildlife hunting and consumption increase when alternative livelihoods collapse, but this safety net is an option only for those people living near harvestable wildlife.","author":[{"dropping-particle":"","family":"Brashares","given":"J. S.","non-dropping-particle":"","parse-names":false,"suffix":""},{"dropping-particle":"","family":"Golden","given":"C. D.","non-dropping-particle":"","parse-names":false,"suffix":""},{"dropping-particle":"","family":"Weinbaum","given":"K. Z.","non-dropping-particle":"","parse-names":false,"suffix":""},{"dropping-particle":"","family":"Barrett","given":"C. B.","non-dropping-particle":"","parse-names":false,"suffix":""},{"dropping-particle":"V.","family":"Okello","given":"G.","non-dropping-particle":"","parse-names":false,"suffix":""}],"container-title":"Proceedings of the National Academy of Sciences","id":"ITEM-1","issue":"34","issued":{"date-parts":[["2011"]]},"page":"13931-13936","title":"Economic and geographic drivers of wildlife consumption in rural Africa","type":"article-journal","volume":"108"},"uris":["http://www.mendeley.com/documents/?uuid=13ad7382-e303-3540-b09e-d11794ebd691"]}],"mendeley":{"formattedCitation":"(Brashares et al. 2011)","manualFormatting":"Brashares et al. 2011","plainTextFormattedCitation":"(Brashares et al. 2011)","previouslyFormattedCitation":"(Brashares et al. 2011)"},"properties":{"noteIndex":0},"schema":"https://github.com/citation-style-language/schema/raw/master/csl-citation.json"}</w:instrText>
            </w:r>
            <w:r>
              <w:rPr>
                <w:b w:val="0"/>
              </w:rPr>
              <w:fldChar w:fldCharType="separate"/>
            </w:r>
            <w:r w:rsidRPr="00FA72F7">
              <w:rPr>
                <w:b w:val="0"/>
                <w:noProof/>
              </w:rPr>
              <w:t>Brashares et al. 2011</w:t>
            </w:r>
            <w:r>
              <w:rPr>
                <w:b w:val="0"/>
              </w:rPr>
              <w:fldChar w:fldCharType="end"/>
            </w:r>
          </w:p>
        </w:tc>
        <w:tc>
          <w:tcPr>
            <w:tcW w:w="2775" w:type="dxa"/>
          </w:tcPr>
          <w:p w14:paraId="205F16D9" w14:textId="3D498BB0" w:rsidR="009B49BE" w:rsidRPr="00197738" w:rsidRDefault="009B49BE" w:rsidP="00C258BC">
            <w:pPr>
              <w:pStyle w:val="Table"/>
              <w:jc w:val="both"/>
              <w:rPr>
                <w:b w:val="0"/>
              </w:rPr>
            </w:pPr>
            <w:r w:rsidRPr="00197738">
              <w:rPr>
                <w:b w:val="0"/>
              </w:rPr>
              <w:t>Isolated from urban markets</w:t>
            </w:r>
          </w:p>
        </w:tc>
        <w:tc>
          <w:tcPr>
            <w:tcW w:w="946" w:type="dxa"/>
          </w:tcPr>
          <w:p w14:paraId="7AFC4225" w14:textId="6A79D93F" w:rsidR="009B49BE" w:rsidRPr="007525C0" w:rsidRDefault="009B49BE" w:rsidP="00C258BC">
            <w:pPr>
              <w:pStyle w:val="Table"/>
              <w:jc w:val="both"/>
              <w:rPr>
                <w:b w:val="0"/>
              </w:rPr>
            </w:pPr>
            <w:r w:rsidRPr="007525C0">
              <w:rPr>
                <w:b w:val="0"/>
              </w:rPr>
              <w:t>5-25</w:t>
            </w:r>
          </w:p>
        </w:tc>
        <w:tc>
          <w:tcPr>
            <w:tcW w:w="3526" w:type="dxa"/>
          </w:tcPr>
          <w:p w14:paraId="3A8271F0" w14:textId="77777777" w:rsidR="009B49BE" w:rsidRPr="007525C0" w:rsidRDefault="009B49BE" w:rsidP="00C258BC">
            <w:pPr>
              <w:pStyle w:val="Table"/>
              <w:jc w:val="both"/>
              <w:rPr>
                <w:b w:val="0"/>
              </w:rPr>
            </w:pPr>
          </w:p>
        </w:tc>
      </w:tr>
      <w:tr w:rsidR="00FA72F7" w:rsidRPr="00197738" w14:paraId="678FBCBC" w14:textId="77777777" w:rsidTr="00FA72F7">
        <w:trPr>
          <w:trHeight w:val="601"/>
        </w:trPr>
        <w:tc>
          <w:tcPr>
            <w:tcW w:w="2263" w:type="dxa"/>
          </w:tcPr>
          <w:p w14:paraId="47BE832E" w14:textId="1CC567C0" w:rsidR="009B49BE" w:rsidRPr="00197738" w:rsidRDefault="00FA72F7" w:rsidP="00F41068">
            <w:pPr>
              <w:pStyle w:val="Table"/>
              <w:rPr>
                <w:b w:val="0"/>
              </w:rPr>
            </w:pPr>
            <w:r>
              <w:rPr>
                <w:b w:val="0"/>
              </w:rPr>
              <w:fldChar w:fldCharType="begin" w:fldLock="1"/>
            </w:r>
            <w:r>
              <w:rPr>
                <w:b w:val="0"/>
              </w:rPr>
              <w:instrText>ADDIN CSL_CITATION {"citationItems":[{"id":"ITEM-1","itemData":{"DOI":"10.1111/j.1523-1739.2010.01505.x","ISSN":"1523-1739","PMID":"20455910","abstract":"Results of many studies show unsustainable levels of bushmeat hunting across West/Central Africa. Nevertheless, these results are usually derived from snapshot sustainability indices in which critical parameters are often taken from the literature. Simple, more informative tools for assessing sustainability are needed. We evaluated the impact of bushmeat hunting across a range of temporal, spatial, and taxonomic scales in a comparison of different measures of sustainability. Over 15 months in 2002-2004 in and around a village close to Equatorial Guinea's Monte Alén National Park, we collected data via a village offtake survey, hunter-camp bushmeat-consumption diaries, hunter interviews, and following hunters during hunts. We compared 2003 data with a previous offtake survey (1998-1999) and interview reports back to 1990. In the past 14 years, average distance from the village at which hunters operated remained constant, with hunters switching back and forth between long-established camps, although trapping effort increased. In the past 5 years, overall offtake and number of active hunters did not change substantially, although catch per unit effort (CPUE) decreased slightly. Although the proportion of the two most commonly trapped species (Cephalophus monticola and Atherurus africanus) and gun-hunted primates increased in the offtake, species presumably less robust to trapping decreased slightly. Apparent sustainability in economic terms may be masking gradual local extirpation of more vulnerable species before and during this study. Our results suggest that changes in prey profiles and CPUE may be the most accurate indicators of actual sustainability; these indices can be monitored with simple village-based offtake surveys and hunter interviews to improve community management of bushmeat hunting.","author":[{"dropping-particle":"","family":"Kümpel","given":"Noëlle F","non-dropping-particle":"","parse-names":false,"suffix":""},{"dropping-particle":"","family":"Milner-Gulland","given":"E J","non-dropping-particle":"","parse-names":false,"suffix":""},{"dropping-particle":"","family":"Cowlishaw","given":"Guy","non-dropping-particle":"","parse-names":false,"suffix":""},{"dropping-particle":"","family":"Rowcliffe","given":"J Marcus","non-dropping-particle":"","parse-names":false,"suffix":""}],"container-title":"Conservation Biology","id":"ITEM-1","issue":"3","issued":{"date-parts":[["2010","6"]]},"page":"861-871","title":"Assessing sustainability at multiple scales in a rotational bushmeat hunting system.","type":"article-journal","volume":"24"},"uris":["http://www.mendeley.com/documents/?uuid=174d35aa-a5a2-48d4-a0a1-8f4545fe3282"]}],"mendeley":{"formattedCitation":"(Kümpel et al. 2010)","manualFormatting":"Kümpel et al. 2010","plainTextFormattedCitation":"(Kümpel et al. 2010)","previouslyFormattedCitation":"(Kümpel et al. 2010)"},"properties":{"noteIndex":0},"schema":"https://github.com/citation-style-language/schema/raw/master/csl-citation.json"}</w:instrText>
            </w:r>
            <w:r>
              <w:rPr>
                <w:b w:val="0"/>
              </w:rPr>
              <w:fldChar w:fldCharType="separate"/>
            </w:r>
            <w:r w:rsidRPr="00FA72F7">
              <w:rPr>
                <w:b w:val="0"/>
                <w:noProof/>
              </w:rPr>
              <w:t>Kümpel et al. 2010</w:t>
            </w:r>
            <w:r>
              <w:rPr>
                <w:b w:val="0"/>
              </w:rPr>
              <w:fldChar w:fldCharType="end"/>
            </w:r>
          </w:p>
        </w:tc>
        <w:tc>
          <w:tcPr>
            <w:tcW w:w="2775" w:type="dxa"/>
          </w:tcPr>
          <w:p w14:paraId="72BB5A7E" w14:textId="7FDEA644" w:rsidR="009B49BE" w:rsidRPr="00197738" w:rsidRDefault="009B49BE" w:rsidP="00C258BC">
            <w:pPr>
              <w:pStyle w:val="Table"/>
              <w:jc w:val="both"/>
              <w:rPr>
                <w:b w:val="0"/>
              </w:rPr>
            </w:pPr>
            <w:r w:rsidRPr="00197738">
              <w:rPr>
                <w:b w:val="0"/>
              </w:rPr>
              <w:t>Sendje Village, Equatorial Guinea</w:t>
            </w:r>
          </w:p>
        </w:tc>
        <w:tc>
          <w:tcPr>
            <w:tcW w:w="946" w:type="dxa"/>
          </w:tcPr>
          <w:p w14:paraId="188B8B5D" w14:textId="054DEE45" w:rsidR="009B49BE" w:rsidRPr="007525C0" w:rsidRDefault="009B49BE" w:rsidP="00C258BC">
            <w:pPr>
              <w:pStyle w:val="Table"/>
              <w:jc w:val="both"/>
              <w:rPr>
                <w:b w:val="0"/>
              </w:rPr>
            </w:pPr>
            <w:r w:rsidRPr="007525C0">
              <w:rPr>
                <w:b w:val="0"/>
              </w:rPr>
              <w:t>89</w:t>
            </w:r>
          </w:p>
        </w:tc>
        <w:tc>
          <w:tcPr>
            <w:tcW w:w="3526" w:type="dxa"/>
          </w:tcPr>
          <w:p w14:paraId="3C6E1E5D" w14:textId="19BA7B13" w:rsidR="009B49BE" w:rsidRPr="007525C0" w:rsidRDefault="009B49BE" w:rsidP="00C258BC">
            <w:pPr>
              <w:pStyle w:val="Table"/>
              <w:jc w:val="both"/>
              <w:rPr>
                <w:b w:val="0"/>
              </w:rPr>
            </w:pPr>
            <w:r w:rsidRPr="007525C0">
              <w:rPr>
                <w:b w:val="0"/>
              </w:rPr>
              <w:t>The greater a household’s wild meat offtake, the higher the proportion of wild meat they sold</w:t>
            </w:r>
          </w:p>
        </w:tc>
      </w:tr>
      <w:tr w:rsidR="00FA72F7" w:rsidRPr="00197738" w14:paraId="600CD7B7" w14:textId="77777777" w:rsidTr="00FA72F7">
        <w:trPr>
          <w:trHeight w:val="170"/>
        </w:trPr>
        <w:tc>
          <w:tcPr>
            <w:tcW w:w="2263" w:type="dxa"/>
          </w:tcPr>
          <w:p w14:paraId="1D96309B" w14:textId="4B8B6DA5" w:rsidR="000F4BF7" w:rsidRPr="00197738" w:rsidRDefault="00FA72F7" w:rsidP="00F41068">
            <w:pPr>
              <w:pStyle w:val="Table"/>
              <w:rPr>
                <w:b w:val="0"/>
                <w:noProof/>
              </w:rPr>
            </w:pPr>
            <w:r>
              <w:rPr>
                <w:b w:val="0"/>
              </w:rPr>
              <w:fldChar w:fldCharType="begin" w:fldLock="1"/>
            </w:r>
            <w:r>
              <w:rPr>
                <w:b w:val="0"/>
              </w:rPr>
              <w:instrText>ADDIN CSL_CITATION {"citationItems":[{"id":"ITEM-1","itemData":{"author":[{"dropping-particle":"","family":"Olupot","given":"William","non-dropping-particle":"","parse-names":false,"suffix":""},{"dropping-particle":"","family":"Mcneilage","given":"Alastair J","non-dropping-particle":"","parse-names":false,"suffix":""},{"dropping-particle":"","family":"Plumptre","given":"Andrew J","non-dropping-particle":"","parse-names":false,"suffix":""}],"id":"ITEM-1","issue":"38","issued":{"date-parts":[["2009"]]},"publisher-place":"Working Paper 38, Wildlife Conservation Society (WCS), Kampala, Uganda","title":"An analysis of socioeconomics of bushmeat hunting at major hunting sites in uganda","type":"report"},"uris":["http://www.mendeley.com/documents/?uuid=bee355fc-b807-42b7-91e9-a300fd31ac74"]}],"mendeley":{"formattedCitation":"(Olupot et al. 2009)","manualFormatting":"Olupot et al. 2009","plainTextFormattedCitation":"(Olupot et al. 2009)","previouslyFormattedCitation":"(Olupot et al. 2009)"},"properties":{"noteIndex":0},"schema":"https://github.com/citation-style-language/schema/raw/master/csl-citation.json"}</w:instrText>
            </w:r>
            <w:r>
              <w:rPr>
                <w:b w:val="0"/>
              </w:rPr>
              <w:fldChar w:fldCharType="separate"/>
            </w:r>
            <w:r w:rsidRPr="00FA72F7">
              <w:rPr>
                <w:b w:val="0"/>
                <w:noProof/>
              </w:rPr>
              <w:t>Olupot et al. 2009</w:t>
            </w:r>
            <w:r>
              <w:rPr>
                <w:b w:val="0"/>
              </w:rPr>
              <w:fldChar w:fldCharType="end"/>
            </w:r>
          </w:p>
        </w:tc>
        <w:tc>
          <w:tcPr>
            <w:tcW w:w="2775" w:type="dxa"/>
          </w:tcPr>
          <w:p w14:paraId="25D35D7D" w14:textId="77777777" w:rsidR="000F4BF7" w:rsidRPr="00197738" w:rsidRDefault="000F4BF7" w:rsidP="00C258BC">
            <w:pPr>
              <w:pStyle w:val="Table"/>
              <w:jc w:val="both"/>
              <w:rPr>
                <w:b w:val="0"/>
              </w:rPr>
            </w:pPr>
          </w:p>
        </w:tc>
        <w:tc>
          <w:tcPr>
            <w:tcW w:w="946" w:type="dxa"/>
          </w:tcPr>
          <w:p w14:paraId="38B63A36" w14:textId="77777777" w:rsidR="000F4BF7" w:rsidRPr="007525C0" w:rsidRDefault="000F4BF7" w:rsidP="00C258BC">
            <w:pPr>
              <w:pStyle w:val="Table"/>
              <w:jc w:val="both"/>
              <w:rPr>
                <w:b w:val="0"/>
              </w:rPr>
            </w:pPr>
          </w:p>
        </w:tc>
        <w:tc>
          <w:tcPr>
            <w:tcW w:w="3526" w:type="dxa"/>
          </w:tcPr>
          <w:p w14:paraId="41E3ED21" w14:textId="77777777" w:rsidR="000F4BF7" w:rsidRPr="007525C0" w:rsidRDefault="000F4BF7" w:rsidP="00C258BC">
            <w:pPr>
              <w:pStyle w:val="Table"/>
              <w:jc w:val="both"/>
              <w:rPr>
                <w:b w:val="0"/>
              </w:rPr>
            </w:pPr>
          </w:p>
        </w:tc>
      </w:tr>
      <w:tr w:rsidR="00FA72F7" w:rsidRPr="00197738" w14:paraId="3F02C8C2" w14:textId="77777777" w:rsidTr="00FA72F7">
        <w:trPr>
          <w:trHeight w:val="170"/>
        </w:trPr>
        <w:tc>
          <w:tcPr>
            <w:tcW w:w="2263" w:type="dxa"/>
          </w:tcPr>
          <w:p w14:paraId="1048682B" w14:textId="735E2DF2" w:rsidR="003D1781" w:rsidRPr="00197738" w:rsidRDefault="00FA72F7" w:rsidP="00F41068">
            <w:pPr>
              <w:pStyle w:val="Table"/>
              <w:rPr>
                <w:b w:val="0"/>
              </w:rPr>
            </w:pPr>
            <w:r>
              <w:rPr>
                <w:b w:val="0"/>
              </w:rPr>
              <w:fldChar w:fldCharType="begin" w:fldLock="1"/>
            </w:r>
            <w:r>
              <w:rPr>
                <w:b w:val="0"/>
              </w:rPr>
              <w:instrText>ADDIN CSL_CITATION {"citationItems":[{"id":"ITEM-1","itemData":{"author":[{"dropping-particle":"","family":"Vliet","given":"Nathalie","non-dropping-particle":"van","parse-names":false,"suffix":""},{"dropping-particle":"","family":"Nasi","given":"Robert","non-dropping-particle":"","parse-names":false,"suffix":""}],"container-title":"Ecology and Society","id":"ITEM-1","issue":"2","issued":{"date-parts":[["2008"]]},"page":"33","title":"Hunting for livelihood in northeast Gabon: patterns, evolution, and sustainability","type":"article-journal","volume":"13"},"uris":["http://www.mendeley.com/documents/?uuid=f9cd8c35-350e-47e3-8ee4-ee9bbc9ffd28"]}],"mendeley":{"formattedCitation":"(van Vliet &amp; Nasi 2008)","manualFormatting":"van Vliet &amp; Nasi 2008","plainTextFormattedCitation":"(van Vliet &amp; Nasi 2008)","previouslyFormattedCitation":"(van Vliet &amp; Nasi 2008)"},"properties":{"noteIndex":0},"schema":"https://github.com/citation-style-language/schema/raw/master/csl-citation.json"}</w:instrText>
            </w:r>
            <w:r>
              <w:rPr>
                <w:b w:val="0"/>
              </w:rPr>
              <w:fldChar w:fldCharType="separate"/>
            </w:r>
            <w:r w:rsidRPr="00FA72F7">
              <w:rPr>
                <w:b w:val="0"/>
                <w:noProof/>
              </w:rPr>
              <w:t>van Vliet &amp; Nasi 2008</w:t>
            </w:r>
            <w:r>
              <w:rPr>
                <w:b w:val="0"/>
              </w:rPr>
              <w:fldChar w:fldCharType="end"/>
            </w:r>
          </w:p>
        </w:tc>
        <w:tc>
          <w:tcPr>
            <w:tcW w:w="2775" w:type="dxa"/>
          </w:tcPr>
          <w:p w14:paraId="44D0F45D" w14:textId="75CFD9EB" w:rsidR="003D1781" w:rsidRPr="00197738" w:rsidRDefault="003D1781" w:rsidP="00C258BC">
            <w:pPr>
              <w:pStyle w:val="Table"/>
              <w:jc w:val="both"/>
              <w:rPr>
                <w:b w:val="0"/>
              </w:rPr>
            </w:pPr>
            <w:r w:rsidRPr="00197738">
              <w:rPr>
                <w:b w:val="0"/>
              </w:rPr>
              <w:t>Ntsieté, Gabon</w:t>
            </w:r>
          </w:p>
        </w:tc>
        <w:tc>
          <w:tcPr>
            <w:tcW w:w="946" w:type="dxa"/>
          </w:tcPr>
          <w:p w14:paraId="1F3B7D36" w14:textId="41E81065" w:rsidR="003D1781" w:rsidRPr="007525C0" w:rsidRDefault="003D1781" w:rsidP="00C258BC">
            <w:pPr>
              <w:pStyle w:val="Table"/>
              <w:jc w:val="both"/>
              <w:rPr>
                <w:b w:val="0"/>
              </w:rPr>
            </w:pPr>
            <w:r w:rsidRPr="007525C0">
              <w:rPr>
                <w:b w:val="0"/>
              </w:rPr>
              <w:t>40</w:t>
            </w:r>
          </w:p>
        </w:tc>
        <w:tc>
          <w:tcPr>
            <w:tcW w:w="3526" w:type="dxa"/>
          </w:tcPr>
          <w:p w14:paraId="483F49E6" w14:textId="24EF4E6C" w:rsidR="003D1781" w:rsidRPr="007525C0" w:rsidRDefault="003D1781" w:rsidP="00C258BC">
            <w:pPr>
              <w:pStyle w:val="Table"/>
              <w:jc w:val="both"/>
              <w:rPr>
                <w:b w:val="0"/>
              </w:rPr>
            </w:pPr>
          </w:p>
        </w:tc>
      </w:tr>
      <w:tr w:rsidR="00FA72F7" w:rsidRPr="00197738" w14:paraId="2D66CB47" w14:textId="77777777" w:rsidTr="00FA72F7">
        <w:trPr>
          <w:trHeight w:val="227"/>
        </w:trPr>
        <w:tc>
          <w:tcPr>
            <w:tcW w:w="2263" w:type="dxa"/>
          </w:tcPr>
          <w:p w14:paraId="68DC89E6" w14:textId="3752CD54" w:rsidR="003D1781" w:rsidRPr="00197738" w:rsidRDefault="00FA72F7" w:rsidP="00F41068">
            <w:pPr>
              <w:pStyle w:val="Table"/>
              <w:rPr>
                <w:b w:val="0"/>
              </w:rPr>
            </w:pPr>
            <w:r>
              <w:rPr>
                <w:b w:val="0"/>
              </w:rPr>
              <w:fldChar w:fldCharType="begin" w:fldLock="1"/>
            </w:r>
            <w:r>
              <w:rPr>
                <w:b w:val="0"/>
              </w:rPr>
              <w:instrText>ADDIN CSL_CITATION {"citationItems":[{"id":"ITEM-1","itemData":{"author":[{"dropping-particle":"","family":"Carpaneto","given":"Giuseppe M","non-dropping-particle":"","parse-names":false,"suffix":""},{"dropping-particle":"","family":"Fusari","given":"Alessandro","non-dropping-particle":"","parse-names":false,"suffix":""},{"dropping-particle":"","family":"Okongo","given":"Hilaire","non-dropping-particle":"","parse-names":false,"suffix":""}],"container-title":"Journal of Anthropological Sciences","id":"ITEM-1","issued":{"date-parts":[["2007"]]},"page":"183-193","title":"Subsistence hunting and exploitation of mammals in the Haut-Ogooué province , south-eastern Gabon","type":"article-journal","volume":"85"},"uris":["http://www.mendeley.com/documents/?uuid=2e1f7076-9b15-48cf-9822-51a900bf9bc3"]}],"mendeley":{"formattedCitation":"(Carpaneto et al. 2007)","manualFormatting":"Carpaneto et al. 2007","plainTextFormattedCitation":"(Carpaneto et al. 2007)","previouslyFormattedCitation":"(Carpaneto et al. 2007)"},"properties":{"noteIndex":0},"schema":"https://github.com/citation-style-language/schema/raw/master/csl-citation.json"}</w:instrText>
            </w:r>
            <w:r>
              <w:rPr>
                <w:b w:val="0"/>
              </w:rPr>
              <w:fldChar w:fldCharType="separate"/>
            </w:r>
            <w:r w:rsidRPr="00FA72F7">
              <w:rPr>
                <w:b w:val="0"/>
                <w:noProof/>
              </w:rPr>
              <w:t>Carpaneto et al. 2007</w:t>
            </w:r>
            <w:r>
              <w:rPr>
                <w:b w:val="0"/>
              </w:rPr>
              <w:fldChar w:fldCharType="end"/>
            </w:r>
          </w:p>
        </w:tc>
        <w:tc>
          <w:tcPr>
            <w:tcW w:w="2775" w:type="dxa"/>
          </w:tcPr>
          <w:p w14:paraId="6FA32B12" w14:textId="50C6428B" w:rsidR="003D1781" w:rsidRPr="00197738" w:rsidRDefault="003D1781" w:rsidP="00C258BC">
            <w:pPr>
              <w:pStyle w:val="Table"/>
              <w:jc w:val="both"/>
              <w:rPr>
                <w:b w:val="0"/>
              </w:rPr>
            </w:pPr>
            <w:r w:rsidRPr="00197738">
              <w:rPr>
                <w:b w:val="0"/>
              </w:rPr>
              <w:t>7 villages, Gabon</w:t>
            </w:r>
          </w:p>
        </w:tc>
        <w:tc>
          <w:tcPr>
            <w:tcW w:w="946" w:type="dxa"/>
          </w:tcPr>
          <w:p w14:paraId="61B84EAB" w14:textId="60F3A8B5" w:rsidR="003D1781" w:rsidRPr="007525C0" w:rsidRDefault="003D1781" w:rsidP="00C258BC">
            <w:pPr>
              <w:pStyle w:val="Table"/>
              <w:jc w:val="both"/>
              <w:rPr>
                <w:b w:val="0"/>
              </w:rPr>
            </w:pPr>
            <w:r w:rsidRPr="007525C0">
              <w:rPr>
                <w:b w:val="0"/>
              </w:rPr>
              <w:t>44</w:t>
            </w:r>
          </w:p>
        </w:tc>
        <w:tc>
          <w:tcPr>
            <w:tcW w:w="3526" w:type="dxa"/>
          </w:tcPr>
          <w:p w14:paraId="76AEDD25" w14:textId="4CDD10EE" w:rsidR="003D1781" w:rsidRPr="007525C0" w:rsidRDefault="00E25348" w:rsidP="00C258BC">
            <w:pPr>
              <w:pStyle w:val="Table"/>
              <w:jc w:val="both"/>
              <w:rPr>
                <w:b w:val="0"/>
              </w:rPr>
            </w:pPr>
            <w:r>
              <w:rPr>
                <w:b w:val="0"/>
              </w:rPr>
              <w:t>Haut Ogooue province, 1980’s</w:t>
            </w:r>
          </w:p>
        </w:tc>
      </w:tr>
      <w:tr w:rsidR="00FA72F7" w:rsidRPr="00197738" w14:paraId="0A33E111" w14:textId="77777777" w:rsidTr="00FA72F7">
        <w:trPr>
          <w:trHeight w:val="212"/>
        </w:trPr>
        <w:tc>
          <w:tcPr>
            <w:tcW w:w="2263" w:type="dxa"/>
          </w:tcPr>
          <w:p w14:paraId="5B913FED" w14:textId="6B89E84E" w:rsidR="003D1781" w:rsidRPr="00197738" w:rsidRDefault="00FA72F7" w:rsidP="00F41068">
            <w:pPr>
              <w:pStyle w:val="Table"/>
              <w:rPr>
                <w:b w:val="0"/>
              </w:rPr>
            </w:pPr>
            <w:r>
              <w:rPr>
                <w:b w:val="0"/>
              </w:rPr>
              <w:fldChar w:fldCharType="begin" w:fldLock="1"/>
            </w:r>
            <w:r>
              <w:rPr>
                <w:b w:val="0"/>
              </w:rPr>
              <w:instrText>ADDIN CSL_CITATION {"citationItems":[{"id":"ITEM-1","itemData":{"DOI":"10.1016/j.biocon.2003.10.005","ISBN":"0006-3207","ISSN":"00063207","abstract":"We examine the relationship between poverty and the use of wild foods, namely bushmeat, fish and wild plants, within a Congolese agricultural community. A sample of 121 households were monitored over a 16-month period, using a combination of participatory and quantitative survey techniques, to assess their wealth and their production, consumption and market sales of wild foods. Households varied in wealth but all could be considered subject to extreme poverty (income below US$1 per capita per day). Our analyses indicate that wild foods play a small role in household consumption but a major role in household income. Hence, over 90% of both bushmeat and fish production is sold at market. In addition, the value of wild foods increases in the \"lean season\" when agricultural production is low. We also find that the poorest households in this community are unable to capitalise on the most valuable wild foods, bushmeat and fish, as a source of food or cash income. We use an entitlements framework to explain the factors that determine such wealth-related variation between households, indicating that household use of wild foods is determined more by social and economic constraints than by resource abundance in this community. Nevertheless, our findings show that overall the small-scale commercialisation of wild foods provides a vital source of income for rural households living in extreme poverty. © 2004 Elsevier Ltd. All rights reserved.","author":[{"dropping-particle":"","family":"Merode","given":"Emmanuel","non-dropping-particle":"De","parse-names":false,"suffix":""},{"dropping-particle":"","family":"Homewood","given":"Katherine","non-dropping-particle":"","parse-names":false,"suffix":""},{"dropping-particle":"","family":"Cowlishaw","given":"Guy","non-dropping-particle":"","parse-names":false,"suffix":""}],"container-title":"Biological Conservation","id":"ITEM-1","issue":"5","issued":{"date-parts":[["2004"]]},"page":"573-581","title":"The value of bushmeat and other wild foods to rural households living in extreme poverty in Democratic Republic of Congo","type":"article-journal","volume":"118"},"uris":["http://www.mendeley.com/documents/?uuid=02bda19c-68d1-41d8-b870-377986c985b9"]}],"mendeley":{"formattedCitation":"(De Merode et al. 2004)","manualFormatting":"De Merode et al. 2004","plainTextFormattedCitation":"(De Merode et al. 2004)","previouslyFormattedCitation":"(De Merode et al. 2004)"},"properties":{"noteIndex":0},"schema":"https://github.com/citation-style-language/schema/raw/master/csl-citation.json"}</w:instrText>
            </w:r>
            <w:r>
              <w:rPr>
                <w:b w:val="0"/>
              </w:rPr>
              <w:fldChar w:fldCharType="separate"/>
            </w:r>
            <w:r w:rsidRPr="00FA72F7">
              <w:rPr>
                <w:b w:val="0"/>
                <w:noProof/>
              </w:rPr>
              <w:t>De Merode et al. 2004</w:t>
            </w:r>
            <w:r>
              <w:rPr>
                <w:b w:val="0"/>
              </w:rPr>
              <w:fldChar w:fldCharType="end"/>
            </w:r>
          </w:p>
        </w:tc>
        <w:tc>
          <w:tcPr>
            <w:tcW w:w="2775" w:type="dxa"/>
          </w:tcPr>
          <w:p w14:paraId="6E4E5ED5" w14:textId="40817CE6" w:rsidR="003D1781" w:rsidRPr="00197738" w:rsidRDefault="003D1781" w:rsidP="00C258BC">
            <w:pPr>
              <w:pStyle w:val="Table"/>
              <w:jc w:val="both"/>
              <w:rPr>
                <w:b w:val="0"/>
              </w:rPr>
            </w:pPr>
            <w:r w:rsidRPr="00197738">
              <w:rPr>
                <w:b w:val="0"/>
              </w:rPr>
              <w:t>Kiliwa, DRC</w:t>
            </w:r>
          </w:p>
        </w:tc>
        <w:tc>
          <w:tcPr>
            <w:tcW w:w="946" w:type="dxa"/>
          </w:tcPr>
          <w:p w14:paraId="4F98F542" w14:textId="42A15BBF" w:rsidR="003D1781" w:rsidRPr="007525C0" w:rsidRDefault="003D1781" w:rsidP="00C258BC">
            <w:pPr>
              <w:pStyle w:val="Table"/>
              <w:jc w:val="both"/>
              <w:rPr>
                <w:b w:val="0"/>
              </w:rPr>
            </w:pPr>
            <w:r w:rsidRPr="007525C0">
              <w:rPr>
                <w:b w:val="0"/>
              </w:rPr>
              <w:t>90</w:t>
            </w:r>
          </w:p>
        </w:tc>
        <w:tc>
          <w:tcPr>
            <w:tcW w:w="3526" w:type="dxa"/>
          </w:tcPr>
          <w:p w14:paraId="3A05C3C3" w14:textId="7EAD57A5" w:rsidR="003D1781" w:rsidRPr="007525C0" w:rsidRDefault="003D1781" w:rsidP="00C258BC">
            <w:pPr>
              <w:pStyle w:val="Table"/>
              <w:jc w:val="both"/>
              <w:rPr>
                <w:b w:val="0"/>
              </w:rPr>
            </w:pPr>
          </w:p>
        </w:tc>
      </w:tr>
      <w:tr w:rsidR="00FA72F7" w:rsidRPr="00197738" w14:paraId="6ECD7D25" w14:textId="77777777" w:rsidTr="00FA72F7">
        <w:trPr>
          <w:trHeight w:val="170"/>
        </w:trPr>
        <w:tc>
          <w:tcPr>
            <w:tcW w:w="2263" w:type="dxa"/>
          </w:tcPr>
          <w:p w14:paraId="034DF8C2" w14:textId="14C40E5B" w:rsidR="003D1781" w:rsidRPr="00197738" w:rsidRDefault="00FA72F7" w:rsidP="00F41068">
            <w:pPr>
              <w:pStyle w:val="Table"/>
              <w:rPr>
                <w:b w:val="0"/>
              </w:rPr>
            </w:pPr>
            <w:r>
              <w:rPr>
                <w:b w:val="0"/>
              </w:rPr>
              <w:fldChar w:fldCharType="begin" w:fldLock="1"/>
            </w:r>
            <w:r w:rsidR="00C51889">
              <w:rPr>
                <w:b w:val="0"/>
              </w:rPr>
              <w:instrText>ADDIN CSL_CITATION {"citationItems":[{"id":"ITEM-1","itemData":{"abstract":"In this thesis I examine the role that the hunting, sale and consumption of bushmeat – wildlife hunted for food – plays in people’s livelihoods in Central Africa. This issue is central to current debates about how conservation and development can be reconciled in tropical forests, itself part of a wide debate about sustainable development. Three questions lie at the core of this debate: 1) Is urban consumption of bushmeat a key driver of exploitation of wildlife? 2) Why do contemporary Africans consume bushmeat? 3) How important is the consumption and sale of bushmeat for rural communities? I address these using quantitative and qualitative data collected in Gabon between October 2000 and September 2002. Using data from quantitative market and consumption surveys I show that in Gabon aggregate consumption of bushmeat is evenly divided between rural and urban areas. Urban consumption is concentrated in smaller towns in the interior of the country rather than in the large capital city. Most bushmeat consumed in urban areas does not pass through formal markets but more protected species are sold in formal markets. In rural areas of Gabon, people consume bushmeat because it is by far the cheapest available animal protein. Bushmeat is widely regarded as a desirable ‘organic’ meat that is preferable to lowquality imported frozen meat. It is therefore consumed even in urban areas where it is expensive compared to alternatives. However, bushmeat consumption is price sensitive and people consume less as it becomes more expensive. Using seven villages as a case study, I show that bushmeat is important to both household consumption and household income but is more important to income. It is also more important in poorer, more remote villages than in wealthier villages with easy market access. At any given site, from bushmeat is highly skewed; households that have both the male labour and financial capital to pursue both hunting and trapping simultaneously obtain most of the benefits from bushmeat. This thesis contributes to the wider debate about the role of forest resources in contribution to both development and conservation by illustrating the necessity for such debates to be based on empirical data collected at multiple scales of analysis.","author":[{"dropping-particle":"","family":"Starkey","given":"Malcolm","non-dropping-particle":"","parse-names":false,"suffix":""}],"id":"ITEM-1","issued":{"date-parts":[["2004"]]},"number-of-pages":"305","publisher":"PhD Thesis, University of Cambridge, UK","title":"Commerce and subsistence: the hunting, sale and consumption of bushmeat in Gabon","type":"book"},"uris":["http://www.mendeley.com/documents/?uuid=50e0e0eb-b3af-46eb-9916-3f5c20e90a00"]}],"mendeley":{"formattedCitation":"(Starkey 2004)","manualFormatting":"Starkey 2004","plainTextFormattedCitation":"(Starkey 2004)","previouslyFormattedCitation":"(Starkey 2004)"},"properties":{"noteIndex":0},"schema":"https://github.com/citation-style-language/schema/raw/master/csl-citation.json"}</w:instrText>
            </w:r>
            <w:r>
              <w:rPr>
                <w:b w:val="0"/>
              </w:rPr>
              <w:fldChar w:fldCharType="separate"/>
            </w:r>
            <w:r w:rsidRPr="00FA72F7">
              <w:rPr>
                <w:b w:val="0"/>
                <w:noProof/>
              </w:rPr>
              <w:t>Stark</w:t>
            </w:r>
            <w:r w:rsidRPr="00B82BFD">
              <w:rPr>
                <w:b w:val="0"/>
                <w:noProof/>
              </w:rPr>
              <w:t>ey 2004</w:t>
            </w:r>
            <w:r>
              <w:rPr>
                <w:b w:val="0"/>
              </w:rPr>
              <w:fldChar w:fldCharType="end"/>
            </w:r>
          </w:p>
        </w:tc>
        <w:tc>
          <w:tcPr>
            <w:tcW w:w="2775" w:type="dxa"/>
          </w:tcPr>
          <w:p w14:paraId="614CEB10" w14:textId="347C3D0E" w:rsidR="003D1781" w:rsidRPr="00197738" w:rsidRDefault="003D1781" w:rsidP="00C258BC">
            <w:pPr>
              <w:pStyle w:val="Table"/>
              <w:jc w:val="both"/>
              <w:rPr>
                <w:b w:val="0"/>
              </w:rPr>
            </w:pPr>
            <w:r w:rsidRPr="00197738">
              <w:rPr>
                <w:b w:val="0"/>
              </w:rPr>
              <w:t>Ogooué-Lolo province, Gabon</w:t>
            </w:r>
          </w:p>
        </w:tc>
        <w:tc>
          <w:tcPr>
            <w:tcW w:w="946" w:type="dxa"/>
          </w:tcPr>
          <w:p w14:paraId="5EE2B4AE" w14:textId="1D3F1BDA" w:rsidR="003D1781" w:rsidRPr="007525C0" w:rsidRDefault="003D1781" w:rsidP="00C258BC">
            <w:pPr>
              <w:pStyle w:val="Table"/>
              <w:jc w:val="both"/>
              <w:rPr>
                <w:b w:val="0"/>
              </w:rPr>
            </w:pPr>
            <w:r w:rsidRPr="007525C0">
              <w:rPr>
                <w:b w:val="0"/>
              </w:rPr>
              <w:t>59</w:t>
            </w:r>
          </w:p>
        </w:tc>
        <w:tc>
          <w:tcPr>
            <w:tcW w:w="3526" w:type="dxa"/>
          </w:tcPr>
          <w:p w14:paraId="3A3A6F52" w14:textId="191C44E7" w:rsidR="003D1781" w:rsidRPr="007525C0" w:rsidRDefault="003D1781" w:rsidP="00C258BC">
            <w:pPr>
              <w:pStyle w:val="Table"/>
              <w:jc w:val="both"/>
              <w:rPr>
                <w:b w:val="0"/>
              </w:rPr>
            </w:pPr>
            <w:r w:rsidRPr="007525C0">
              <w:rPr>
                <w:b w:val="0"/>
              </w:rPr>
              <w:t>Most sales were to external resellers</w:t>
            </w:r>
            <w:r w:rsidR="00E25348">
              <w:rPr>
                <w:b w:val="0"/>
              </w:rPr>
              <w:t>.</w:t>
            </w:r>
            <w:r w:rsidR="00E25348" w:rsidRPr="007525C0">
              <w:rPr>
                <w:b w:val="0"/>
              </w:rPr>
              <w:t xml:space="preserve"> The greater a household’s wild meat offtake, the higher the proportion of wild meat they sold</w:t>
            </w:r>
          </w:p>
        </w:tc>
      </w:tr>
      <w:tr w:rsidR="00FA72F7" w:rsidRPr="00197738" w14:paraId="752C1131" w14:textId="77777777" w:rsidTr="00FA72F7">
        <w:trPr>
          <w:trHeight w:val="170"/>
        </w:trPr>
        <w:tc>
          <w:tcPr>
            <w:tcW w:w="2263" w:type="dxa"/>
          </w:tcPr>
          <w:p w14:paraId="5C46E4E8" w14:textId="02B39A7A" w:rsidR="003D1781" w:rsidRPr="00197738" w:rsidRDefault="00FA72F7" w:rsidP="00F41068">
            <w:pPr>
              <w:pStyle w:val="Table"/>
              <w:rPr>
                <w:b w:val="0"/>
              </w:rPr>
            </w:pPr>
            <w:r>
              <w:rPr>
                <w:b w:val="0"/>
              </w:rPr>
              <w:fldChar w:fldCharType="begin" w:fldLock="1"/>
            </w:r>
            <w:r>
              <w:rPr>
                <w:b w:val="0"/>
              </w:rPr>
              <w:instrText>ADDIN CSL_CITATION {"citationItems":[{"id":"ITEM-1","itemData":{"ISBN":"1742 - 6022","abstract":"The sale of bushmeat has been referred to as both a safety net and stepping stone to greater prosperity for households at the lowest end of the income scale. This paper proposes a closer look at the local bushmeat economy in order to understand how livelihood strategies vary between those involved. Integrated Conservation and Development Projects (ICDPs) tend to focus on the suppression of commercial bushmeat hunting whilst encouraging alternative incomes for hunters. Based on anthropological research undertaken in the Dja Reserve, Cameroon, the paper looks at the economic behaviour of different local hunter types as well as the role played by the local non-hunter bushmeat traders, proposing a more targeted approach to conservation and development activities relating to the bushmeat economy.","author":[{"dropping-particle":"","family":"Solly","given":"Hilary","non-dropping-particle":"","parse-names":false,"suffix":""}],"container-title":"Wildlife Policy Briefing ODI","id":"ITEM-1","issued":{"date-parts":[["2004"]]},"title":"Bushmeat hunters and secondary traders: making the distinction for livelihood improvement","type":"article-journal","volume":"8"},"uris":["http://www.mendeley.com/documents/?uuid=661da172-e7a9-467a-9707-8b2501c2237d"]}],"mendeley":{"formattedCitation":"(Solly 2004)","manualFormatting":"Solly 2004","plainTextFormattedCitation":"(Solly 2004)","previouslyFormattedCitation":"(Solly 2004)"},"properties":{"noteIndex":0},"schema":"https://github.com/citation-style-language/schema/raw/master/csl-citation.json"}</w:instrText>
            </w:r>
            <w:r>
              <w:rPr>
                <w:b w:val="0"/>
              </w:rPr>
              <w:fldChar w:fldCharType="separate"/>
            </w:r>
            <w:r w:rsidRPr="00FA72F7">
              <w:rPr>
                <w:b w:val="0"/>
                <w:noProof/>
              </w:rPr>
              <w:t>Solly 2004</w:t>
            </w:r>
            <w:r>
              <w:rPr>
                <w:b w:val="0"/>
              </w:rPr>
              <w:fldChar w:fldCharType="end"/>
            </w:r>
          </w:p>
        </w:tc>
        <w:tc>
          <w:tcPr>
            <w:tcW w:w="2775" w:type="dxa"/>
          </w:tcPr>
          <w:p w14:paraId="26C88AD9" w14:textId="1588EBB6" w:rsidR="003D1781" w:rsidRPr="00197738" w:rsidRDefault="003D1781" w:rsidP="00C258BC">
            <w:pPr>
              <w:pStyle w:val="Table"/>
              <w:jc w:val="both"/>
              <w:rPr>
                <w:b w:val="0"/>
              </w:rPr>
            </w:pPr>
            <w:r w:rsidRPr="00197738">
              <w:rPr>
                <w:b w:val="0"/>
              </w:rPr>
              <w:t>Mekas, Cameroon</w:t>
            </w:r>
          </w:p>
        </w:tc>
        <w:tc>
          <w:tcPr>
            <w:tcW w:w="946" w:type="dxa"/>
          </w:tcPr>
          <w:p w14:paraId="76837641" w14:textId="40C763FB" w:rsidR="003D1781" w:rsidRPr="007525C0" w:rsidRDefault="003D1781" w:rsidP="00C258BC">
            <w:pPr>
              <w:pStyle w:val="Table"/>
              <w:jc w:val="both"/>
              <w:rPr>
                <w:b w:val="0"/>
              </w:rPr>
            </w:pPr>
            <w:r w:rsidRPr="007525C0">
              <w:rPr>
                <w:b w:val="0"/>
              </w:rPr>
              <w:t>56</w:t>
            </w:r>
          </w:p>
        </w:tc>
        <w:tc>
          <w:tcPr>
            <w:tcW w:w="3526" w:type="dxa"/>
          </w:tcPr>
          <w:p w14:paraId="2C5C8A22" w14:textId="3C537D3C" w:rsidR="003D1781" w:rsidRPr="007525C0" w:rsidRDefault="003D1781" w:rsidP="00C258BC">
            <w:pPr>
              <w:pStyle w:val="Table"/>
              <w:jc w:val="both"/>
              <w:rPr>
                <w:b w:val="0"/>
              </w:rPr>
            </w:pPr>
            <w:r w:rsidRPr="007525C0">
              <w:rPr>
                <w:b w:val="0"/>
              </w:rPr>
              <w:t>Of which, 90% was sold in the village</w:t>
            </w:r>
          </w:p>
        </w:tc>
      </w:tr>
      <w:tr w:rsidR="00FA72F7" w:rsidRPr="00197738" w14:paraId="72535FC1" w14:textId="77777777" w:rsidTr="00FA72F7">
        <w:trPr>
          <w:trHeight w:val="170"/>
        </w:trPr>
        <w:tc>
          <w:tcPr>
            <w:tcW w:w="2263" w:type="dxa"/>
          </w:tcPr>
          <w:p w14:paraId="086DB4BA" w14:textId="67093554" w:rsidR="00133BA5" w:rsidRPr="00197738" w:rsidRDefault="00FA72F7" w:rsidP="00F41068">
            <w:pPr>
              <w:pStyle w:val="Table"/>
              <w:rPr>
                <w:b w:val="0"/>
              </w:rPr>
            </w:pPr>
            <w:r>
              <w:rPr>
                <w:b w:val="0"/>
              </w:rPr>
              <w:fldChar w:fldCharType="begin" w:fldLock="1"/>
            </w:r>
            <w:r>
              <w:rPr>
                <w:b w:val="0"/>
              </w:rPr>
              <w:instrText>ADDIN CSL_CITATION {"citationItems":[{"id":"ITEM-1","itemData":{"author":[{"dropping-particle":"","family":"Waal","given":"M","non-dropping-particle":"van de","parse-names":false,"suffix":""},{"dropping-particle":"","family":"Djoh","given":"E.","non-dropping-particle":"","parse-names":false,"suffix":""}],"id":"ITEM-1","issued":{"date-parts":[["2001"]]},"publisher-place":"London, UK","title":"Community Hunting Zones: First Steps in the Decentralisation of Wildlife Management. Observations from the Village of Djaposten, Cameroon","type":"report"},"uris":["http://www.mendeley.com/documents/?uuid=8fe7fe73-70c2-48fc-a4be-e2ccf86c2095"]}],"mendeley":{"formattedCitation":"(van de Waal &amp; Djoh 2001)","manualFormatting":"van de Waal &amp; Djoh 2001","plainTextFormattedCitation":"(van de Waal &amp; Djoh 2001)","previouslyFormattedCitation":"(van de Waal &amp; Djoh 2001)"},"properties":{"noteIndex":0},"schema":"https://github.com/citation-style-language/schema/raw/master/csl-citation.json"}</w:instrText>
            </w:r>
            <w:r>
              <w:rPr>
                <w:b w:val="0"/>
              </w:rPr>
              <w:fldChar w:fldCharType="separate"/>
            </w:r>
            <w:r w:rsidRPr="00FA72F7">
              <w:rPr>
                <w:b w:val="0"/>
                <w:noProof/>
              </w:rPr>
              <w:t>van de Waal &amp; Djoh 2001</w:t>
            </w:r>
            <w:r>
              <w:rPr>
                <w:b w:val="0"/>
              </w:rPr>
              <w:fldChar w:fldCharType="end"/>
            </w:r>
          </w:p>
        </w:tc>
        <w:tc>
          <w:tcPr>
            <w:tcW w:w="2775" w:type="dxa"/>
          </w:tcPr>
          <w:p w14:paraId="73BB0342" w14:textId="73EC170E" w:rsidR="00133BA5" w:rsidRPr="00197738" w:rsidRDefault="00133BA5" w:rsidP="00C258BC">
            <w:pPr>
              <w:pStyle w:val="Table"/>
              <w:jc w:val="both"/>
              <w:rPr>
                <w:b w:val="0"/>
              </w:rPr>
            </w:pPr>
            <w:r w:rsidRPr="00197738">
              <w:rPr>
                <w:b w:val="0"/>
              </w:rPr>
              <w:t>Djapotsen, Cameroon</w:t>
            </w:r>
          </w:p>
        </w:tc>
        <w:tc>
          <w:tcPr>
            <w:tcW w:w="946" w:type="dxa"/>
          </w:tcPr>
          <w:p w14:paraId="6878E3F3" w14:textId="617070AE" w:rsidR="00133BA5" w:rsidRPr="007525C0" w:rsidRDefault="00133BA5" w:rsidP="00C258BC">
            <w:pPr>
              <w:pStyle w:val="Table"/>
              <w:jc w:val="both"/>
              <w:rPr>
                <w:b w:val="0"/>
              </w:rPr>
            </w:pPr>
            <w:r w:rsidRPr="007525C0">
              <w:rPr>
                <w:b w:val="0"/>
              </w:rPr>
              <w:t>72</w:t>
            </w:r>
          </w:p>
        </w:tc>
        <w:tc>
          <w:tcPr>
            <w:tcW w:w="3526" w:type="dxa"/>
          </w:tcPr>
          <w:p w14:paraId="00CDCD8E" w14:textId="5379ABEE" w:rsidR="00133BA5" w:rsidRPr="007525C0" w:rsidRDefault="008806AC" w:rsidP="00C258BC">
            <w:pPr>
              <w:pStyle w:val="Table"/>
              <w:jc w:val="both"/>
              <w:rPr>
                <w:b w:val="0"/>
              </w:rPr>
            </w:pPr>
            <w:r>
              <w:rPr>
                <w:b w:val="0"/>
              </w:rPr>
              <w:t>Community</w:t>
            </w:r>
            <w:r w:rsidR="00133BA5" w:rsidRPr="007525C0">
              <w:rPr>
                <w:b w:val="0"/>
              </w:rPr>
              <w:t xml:space="preserve"> next to the Dja reserve</w:t>
            </w:r>
          </w:p>
        </w:tc>
      </w:tr>
      <w:tr w:rsidR="00FA72F7" w:rsidRPr="00197738" w14:paraId="16EACE98" w14:textId="77777777" w:rsidTr="00FA72F7">
        <w:trPr>
          <w:trHeight w:val="170"/>
        </w:trPr>
        <w:tc>
          <w:tcPr>
            <w:tcW w:w="2263" w:type="dxa"/>
          </w:tcPr>
          <w:p w14:paraId="369C72A6" w14:textId="339105E0" w:rsidR="003D1781" w:rsidRPr="00197738" w:rsidRDefault="00FA72F7" w:rsidP="00F41068">
            <w:pPr>
              <w:pStyle w:val="Table"/>
              <w:rPr>
                <w:b w:val="0"/>
              </w:rPr>
            </w:pPr>
            <w:r>
              <w:rPr>
                <w:b w:val="0"/>
              </w:rPr>
              <w:fldChar w:fldCharType="begin" w:fldLock="1"/>
            </w:r>
            <w:r>
              <w:rPr>
                <w:b w:val="0"/>
              </w:rPr>
              <w:instrText>ADDIN CSL_CITATION {"citationItems":[{"id":"ITEM-1","itemData":{"author":[{"dropping-particle":"","family":"Takforyan","given":"A","non-dropping-particle":"","parse-names":false,"suffix":""}],"id":"ITEM-1","issued":{"date-parts":[["2001"]]},"publisher":"PhD Thesis, l'EHESS, Paris, France","title":"Chasse villageoise et gestion locale de la faune sauvage en Afrique ‐ Une étude de cas dans une forêt de l’Est‐Cameroun","type":"thesis"},"uris":["http://www.mendeley.com/documents/?uuid=036aa6fa-46f9-4fb0-8f32-cd2259d60e5d"]}],"mendeley":{"formattedCitation":"(Takforyan 2001)","manualFormatting":"Takforyan 2001","plainTextFormattedCitation":"(Takforyan 2001)","previouslyFormattedCitation":"(Takforyan 2001)"},"properties":{"noteIndex":0},"schema":"https://github.com/citation-style-language/schema/raw/master/csl-citation.json"}</w:instrText>
            </w:r>
            <w:r>
              <w:rPr>
                <w:b w:val="0"/>
              </w:rPr>
              <w:fldChar w:fldCharType="separate"/>
            </w:r>
            <w:r w:rsidRPr="00FA72F7">
              <w:rPr>
                <w:b w:val="0"/>
                <w:noProof/>
              </w:rPr>
              <w:t>Takforyan 2001</w:t>
            </w:r>
            <w:r>
              <w:rPr>
                <w:b w:val="0"/>
              </w:rPr>
              <w:fldChar w:fldCharType="end"/>
            </w:r>
          </w:p>
        </w:tc>
        <w:tc>
          <w:tcPr>
            <w:tcW w:w="2775" w:type="dxa"/>
          </w:tcPr>
          <w:p w14:paraId="2AE708DF" w14:textId="6935ED64" w:rsidR="003D1781" w:rsidRPr="00197738" w:rsidRDefault="003D1781" w:rsidP="00C258BC">
            <w:pPr>
              <w:pStyle w:val="Table"/>
              <w:jc w:val="both"/>
              <w:rPr>
                <w:b w:val="0"/>
              </w:rPr>
            </w:pPr>
            <w:r w:rsidRPr="00197738">
              <w:rPr>
                <w:b w:val="0"/>
              </w:rPr>
              <w:t>Cameroon</w:t>
            </w:r>
          </w:p>
        </w:tc>
        <w:tc>
          <w:tcPr>
            <w:tcW w:w="946" w:type="dxa"/>
          </w:tcPr>
          <w:p w14:paraId="7C4C202F" w14:textId="54E11681" w:rsidR="003D1781" w:rsidRPr="007525C0" w:rsidRDefault="003D1781" w:rsidP="00C258BC">
            <w:pPr>
              <w:pStyle w:val="Table"/>
              <w:jc w:val="both"/>
              <w:rPr>
                <w:b w:val="0"/>
              </w:rPr>
            </w:pPr>
            <w:r w:rsidRPr="007525C0">
              <w:rPr>
                <w:b w:val="0"/>
              </w:rPr>
              <w:t>15-28</w:t>
            </w:r>
          </w:p>
        </w:tc>
        <w:tc>
          <w:tcPr>
            <w:tcW w:w="3526" w:type="dxa"/>
          </w:tcPr>
          <w:p w14:paraId="0F7BAEBA" w14:textId="0C334A9C" w:rsidR="003D1781" w:rsidRPr="007525C0" w:rsidRDefault="003D1781" w:rsidP="00C258BC">
            <w:pPr>
              <w:pStyle w:val="Table"/>
              <w:jc w:val="both"/>
              <w:rPr>
                <w:b w:val="0"/>
              </w:rPr>
            </w:pPr>
          </w:p>
        </w:tc>
      </w:tr>
      <w:tr w:rsidR="00FA72F7" w:rsidRPr="00197738" w14:paraId="20143C45" w14:textId="77777777" w:rsidTr="00FA72F7">
        <w:trPr>
          <w:trHeight w:val="170"/>
        </w:trPr>
        <w:tc>
          <w:tcPr>
            <w:tcW w:w="2263" w:type="dxa"/>
          </w:tcPr>
          <w:p w14:paraId="49045976" w14:textId="3960E27B" w:rsidR="003D1781" w:rsidRPr="00197738" w:rsidRDefault="00FA72F7" w:rsidP="00F41068">
            <w:pPr>
              <w:pStyle w:val="Table"/>
              <w:rPr>
                <w:b w:val="0"/>
              </w:rPr>
            </w:pPr>
            <w:r>
              <w:rPr>
                <w:b w:val="0"/>
              </w:rPr>
              <w:fldChar w:fldCharType="begin" w:fldLock="1"/>
            </w:r>
            <w:r>
              <w:rPr>
                <w:b w:val="0"/>
              </w:rPr>
              <w:instrText>ADDIN CSL_CITATION {"citationItems":[{"id":"ITEM-1","itemData":{"author":[{"dropping-particle":"","family":"Fa","given":"J E","non-dropping-particle":"","parse-names":false,"suffix":""},{"dropping-particle":"","family":"Yuste","given":"J E García","non-dropping-particle":"","parse-names":false,"suffix":""}],"container-title":"Animal Biodiversity and Conservation","id":"ITEM-1","issue":"1","issued":{"date-parts":[["2001"]]},"page":"31-52","title":"Commercial bushmeat hunting in the Monte Mitra forests, Equatorial Guinea: extent and impact","type":"article-journal","volume":"24"},"uris":["http://www.mendeley.com/documents/?uuid=3d4b4d33-4819-4a57-8004-b87be765b1ca"]}],"mendeley":{"formattedCitation":"(Fa &amp; Yuste 2001)","manualFormatting":"Fa &amp; Yuste 2001","plainTextFormattedCitation":"(Fa &amp; Yuste 2001)","previouslyFormattedCitation":"(Fa &amp; Yuste 2001)"},"properties":{"noteIndex":0},"schema":"https://github.com/citation-style-language/schema/raw/master/csl-citation.json"}</w:instrText>
            </w:r>
            <w:r>
              <w:rPr>
                <w:b w:val="0"/>
              </w:rPr>
              <w:fldChar w:fldCharType="separate"/>
            </w:r>
            <w:r w:rsidRPr="00FA72F7">
              <w:rPr>
                <w:b w:val="0"/>
                <w:noProof/>
              </w:rPr>
              <w:t>Fa &amp; Yuste 2001</w:t>
            </w:r>
            <w:r>
              <w:rPr>
                <w:b w:val="0"/>
              </w:rPr>
              <w:fldChar w:fldCharType="end"/>
            </w:r>
          </w:p>
        </w:tc>
        <w:tc>
          <w:tcPr>
            <w:tcW w:w="2775" w:type="dxa"/>
          </w:tcPr>
          <w:p w14:paraId="46E8DF34" w14:textId="7870B3C4" w:rsidR="003D1781" w:rsidRPr="00197738" w:rsidRDefault="003D1781" w:rsidP="00C258BC">
            <w:pPr>
              <w:pStyle w:val="Table"/>
              <w:jc w:val="both"/>
              <w:rPr>
                <w:b w:val="0"/>
              </w:rPr>
            </w:pPr>
            <w:r w:rsidRPr="00197738">
              <w:rPr>
                <w:b w:val="0"/>
              </w:rPr>
              <w:t>Equatorial Guinea</w:t>
            </w:r>
          </w:p>
        </w:tc>
        <w:tc>
          <w:tcPr>
            <w:tcW w:w="946" w:type="dxa"/>
          </w:tcPr>
          <w:p w14:paraId="6EC7B7D6" w14:textId="16AD5912" w:rsidR="003D1781" w:rsidRPr="007525C0" w:rsidRDefault="003D1781" w:rsidP="00C258BC">
            <w:pPr>
              <w:pStyle w:val="Table"/>
              <w:jc w:val="both"/>
              <w:rPr>
                <w:b w:val="0"/>
              </w:rPr>
            </w:pPr>
            <w:r w:rsidRPr="007525C0">
              <w:rPr>
                <w:b w:val="0"/>
              </w:rPr>
              <w:t>34</w:t>
            </w:r>
          </w:p>
        </w:tc>
        <w:tc>
          <w:tcPr>
            <w:tcW w:w="3526" w:type="dxa"/>
          </w:tcPr>
          <w:p w14:paraId="7EE486CC" w14:textId="50505592" w:rsidR="003D1781" w:rsidRPr="007525C0" w:rsidRDefault="003D1781" w:rsidP="00C258BC">
            <w:pPr>
              <w:pStyle w:val="Table"/>
              <w:jc w:val="both"/>
              <w:rPr>
                <w:b w:val="0"/>
              </w:rPr>
            </w:pPr>
          </w:p>
        </w:tc>
      </w:tr>
      <w:tr w:rsidR="00FA72F7" w:rsidRPr="00197738" w14:paraId="36C4F97D" w14:textId="77777777" w:rsidTr="00FA72F7">
        <w:trPr>
          <w:trHeight w:val="170"/>
        </w:trPr>
        <w:tc>
          <w:tcPr>
            <w:tcW w:w="2263" w:type="dxa"/>
          </w:tcPr>
          <w:p w14:paraId="4358D5CB" w14:textId="2135FF9B" w:rsidR="003D1781" w:rsidRPr="00197738" w:rsidRDefault="00FA72F7" w:rsidP="00F41068">
            <w:pPr>
              <w:pStyle w:val="Table"/>
              <w:rPr>
                <w:b w:val="0"/>
              </w:rPr>
            </w:pPr>
            <w:r>
              <w:rPr>
                <w:b w:val="0"/>
              </w:rPr>
              <w:fldChar w:fldCharType="begin" w:fldLock="1"/>
            </w:r>
            <w:r w:rsidR="00B2630D">
              <w:rPr>
                <w:b w:val="0"/>
              </w:rPr>
              <w:instrText>ADDIN CSL_CITATION {"citationItems":[{"id":"ITEM-1","itemData":{"author":[{"dropping-particle":"","family":"Dounias","given":"Edmond","non-dropping-particle":"","parse-names":false,"suffix":""}],"container-title":"L’homme et la Forêt Tropicale","id":"ITEM-1","issued":{"date-parts":[["1999"]]},"publisher":"Travaux Société Ecologie Humaine, Paris.","title":"Le câble pris au piège de la conservation. Technologie du piégeage et production cynégétique chez les Mvae du sud Cameroun forestier","type":"chapter"},"uris":["http://www.mendeley.com/documents/?uuid=ea098640-c5aa-41fa-ac3e-2533e798861f"]}],"mendeley":{"formattedCitation":"(Dounias 1999)","manualFormatting":"Dounias 1999","plainTextFormattedCitation":"(Dounias 1999)","previouslyFormattedCitation":"(Dounias 1999)"},"properties":{"noteIndex":0},"schema":"https://github.com/citation-style-language/schema/raw/master/csl-citation.json"}</w:instrText>
            </w:r>
            <w:r>
              <w:rPr>
                <w:b w:val="0"/>
              </w:rPr>
              <w:fldChar w:fldCharType="separate"/>
            </w:r>
            <w:r w:rsidRPr="00FA72F7">
              <w:rPr>
                <w:b w:val="0"/>
                <w:noProof/>
              </w:rPr>
              <w:t>Dounias 1999</w:t>
            </w:r>
            <w:r>
              <w:rPr>
                <w:b w:val="0"/>
              </w:rPr>
              <w:fldChar w:fldCharType="end"/>
            </w:r>
          </w:p>
        </w:tc>
        <w:tc>
          <w:tcPr>
            <w:tcW w:w="2775" w:type="dxa"/>
          </w:tcPr>
          <w:p w14:paraId="420EA576" w14:textId="6BC7A770" w:rsidR="003D1781" w:rsidRPr="00197738" w:rsidRDefault="003D1781" w:rsidP="00C258BC">
            <w:pPr>
              <w:pStyle w:val="Table"/>
              <w:jc w:val="both"/>
              <w:rPr>
                <w:b w:val="0"/>
              </w:rPr>
            </w:pPr>
            <w:r w:rsidRPr="00197738">
              <w:rPr>
                <w:b w:val="0"/>
              </w:rPr>
              <w:t>Cameroon</w:t>
            </w:r>
          </w:p>
        </w:tc>
        <w:tc>
          <w:tcPr>
            <w:tcW w:w="946" w:type="dxa"/>
          </w:tcPr>
          <w:p w14:paraId="46EE7C1B" w14:textId="656F7430" w:rsidR="003D1781" w:rsidRPr="007525C0" w:rsidRDefault="003D1781" w:rsidP="00C258BC">
            <w:pPr>
              <w:pStyle w:val="Table"/>
              <w:jc w:val="both"/>
              <w:rPr>
                <w:b w:val="0"/>
              </w:rPr>
            </w:pPr>
            <w:r w:rsidRPr="007525C0">
              <w:rPr>
                <w:b w:val="0"/>
              </w:rPr>
              <w:t>14</w:t>
            </w:r>
          </w:p>
        </w:tc>
        <w:tc>
          <w:tcPr>
            <w:tcW w:w="3526" w:type="dxa"/>
          </w:tcPr>
          <w:p w14:paraId="461BE24A" w14:textId="77777777" w:rsidR="003D1781" w:rsidRPr="007525C0" w:rsidRDefault="003D1781" w:rsidP="00C258BC">
            <w:pPr>
              <w:pStyle w:val="Table"/>
              <w:jc w:val="both"/>
              <w:rPr>
                <w:b w:val="0"/>
              </w:rPr>
            </w:pPr>
          </w:p>
        </w:tc>
      </w:tr>
      <w:tr w:rsidR="00FA72F7" w:rsidRPr="00197738" w14:paraId="7C84A1CA" w14:textId="77777777" w:rsidTr="00FA72F7">
        <w:trPr>
          <w:trHeight w:val="227"/>
        </w:trPr>
        <w:tc>
          <w:tcPr>
            <w:tcW w:w="2263" w:type="dxa"/>
          </w:tcPr>
          <w:p w14:paraId="3DA40AA0" w14:textId="05A293AD" w:rsidR="003D1781" w:rsidRPr="00197738" w:rsidRDefault="00FA72F7" w:rsidP="00F41068">
            <w:pPr>
              <w:pStyle w:val="Table"/>
              <w:rPr>
                <w:b w:val="0"/>
              </w:rPr>
            </w:pPr>
            <w:r>
              <w:rPr>
                <w:b w:val="0"/>
              </w:rPr>
              <w:fldChar w:fldCharType="begin" w:fldLock="1"/>
            </w:r>
            <w:r>
              <w:rPr>
                <w:b w:val="0"/>
              </w:rPr>
              <w:instrText>ADDIN CSL_CITATION {"citationItems":[{"id":"ITEM-1","itemData":{"author":[{"dropping-particle":"","family":"Delvingt","given":"W","non-dropping-particle":"","parse-names":false,"suffix":""}],"id":"ITEM-1","issued":{"date-parts":[["1997"]]},"publisher-place":"ECOFAC/AGRECO-CTFT, Brussels, Belgium","title":"La chasse villageoise synthèse régionale des études réalisées durant la première phase du programme ECOFAC au Cameroun, au Congo et en République Centrafricaine","type":"report"},"uris":["http://www.mendeley.com/documents/?uuid=bbcc0eb2-d0e1-46cf-b92a-d5251cc4e333"]}],"mendeley":{"formattedCitation":"(Delvingt 1997)","manualFormatting":"Delvingt 1997","plainTextFormattedCitation":"(Delvingt 1997)","previouslyFormattedCitation":"(Delvingt 1997)"},"properties":{"noteIndex":0},"schema":"https://github.com/citation-style-language/schema/raw/master/csl-citation.json"}</w:instrText>
            </w:r>
            <w:r>
              <w:rPr>
                <w:b w:val="0"/>
              </w:rPr>
              <w:fldChar w:fldCharType="separate"/>
            </w:r>
            <w:r w:rsidRPr="00FA72F7">
              <w:rPr>
                <w:b w:val="0"/>
                <w:noProof/>
              </w:rPr>
              <w:t>Delvingt 1997</w:t>
            </w:r>
            <w:r>
              <w:rPr>
                <w:b w:val="0"/>
              </w:rPr>
              <w:fldChar w:fldCharType="end"/>
            </w:r>
          </w:p>
        </w:tc>
        <w:tc>
          <w:tcPr>
            <w:tcW w:w="2775" w:type="dxa"/>
          </w:tcPr>
          <w:p w14:paraId="59386A46" w14:textId="2256CB64" w:rsidR="003D1781" w:rsidRPr="00197738" w:rsidRDefault="003D1781" w:rsidP="00C258BC">
            <w:pPr>
              <w:pStyle w:val="Table"/>
              <w:jc w:val="both"/>
              <w:rPr>
                <w:b w:val="0"/>
              </w:rPr>
            </w:pPr>
            <w:r w:rsidRPr="00197738">
              <w:rPr>
                <w:b w:val="0"/>
              </w:rPr>
              <w:t>Central African Republic</w:t>
            </w:r>
          </w:p>
        </w:tc>
        <w:tc>
          <w:tcPr>
            <w:tcW w:w="946" w:type="dxa"/>
          </w:tcPr>
          <w:p w14:paraId="6451EA93" w14:textId="76C57B50" w:rsidR="003D1781" w:rsidRPr="007525C0" w:rsidRDefault="003D1781" w:rsidP="00C258BC">
            <w:pPr>
              <w:pStyle w:val="Table"/>
              <w:jc w:val="both"/>
              <w:rPr>
                <w:b w:val="0"/>
              </w:rPr>
            </w:pPr>
            <w:r w:rsidRPr="007525C0">
              <w:rPr>
                <w:b w:val="0"/>
              </w:rPr>
              <w:t>35</w:t>
            </w:r>
          </w:p>
        </w:tc>
        <w:tc>
          <w:tcPr>
            <w:tcW w:w="3526" w:type="dxa"/>
          </w:tcPr>
          <w:p w14:paraId="35A0FFDD" w14:textId="68F43E0B" w:rsidR="003D1781" w:rsidRPr="007525C0" w:rsidRDefault="003D1781" w:rsidP="00C258BC">
            <w:pPr>
              <w:pStyle w:val="Table"/>
              <w:jc w:val="both"/>
              <w:rPr>
                <w:b w:val="0"/>
              </w:rPr>
            </w:pPr>
          </w:p>
        </w:tc>
      </w:tr>
      <w:tr w:rsidR="00FA72F7" w:rsidRPr="00197738" w14:paraId="44A4A481" w14:textId="77777777" w:rsidTr="00FA72F7">
        <w:trPr>
          <w:trHeight w:val="170"/>
        </w:trPr>
        <w:tc>
          <w:tcPr>
            <w:tcW w:w="2263" w:type="dxa"/>
          </w:tcPr>
          <w:p w14:paraId="073FC0CA" w14:textId="7E456EDA" w:rsidR="003D1781" w:rsidRPr="00197738" w:rsidRDefault="00FA72F7" w:rsidP="00F41068">
            <w:pPr>
              <w:pStyle w:val="Table"/>
              <w:rPr>
                <w:b w:val="0"/>
              </w:rPr>
            </w:pPr>
            <w:r>
              <w:rPr>
                <w:b w:val="0"/>
              </w:rPr>
              <w:fldChar w:fldCharType="begin" w:fldLock="1"/>
            </w:r>
            <w:r>
              <w:rPr>
                <w:b w:val="0"/>
              </w:rPr>
              <w:instrText>ADDIN CSL_CITATION {"citationItems":[{"id":"ITEM-1","itemData":{"author":[{"dropping-particle":"","family":"Delvingt","given":"W","non-dropping-particle":"","parse-names":false,"suffix":""}],"id":"ITEM-1","issued":{"date-parts":[["1997"]]},"publisher-place":"ECOFAC/AGRECO-CTFT, Brussels, Belgium","title":"La chasse villageoise synthèse régionale des études réalisées durant la première phase du programme ECOFAC au Cameroun, au Congo et en République Centrafricaine","type":"report"},"uris":["http://www.mendeley.com/documents/?uuid=bbcc0eb2-d0e1-46cf-b92a-d5251cc4e333"]}],"mendeley":{"formattedCitation":"(Delvingt 1997)","manualFormatting":"Delvingt 1997","plainTextFormattedCitation":"(Delvingt 1997)","previouslyFormattedCitation":"(Delvingt 1997)"},"properties":{"noteIndex":0},"schema":"https://github.com/citation-style-language/schema/raw/master/csl-citation.json"}</w:instrText>
            </w:r>
            <w:r>
              <w:rPr>
                <w:b w:val="0"/>
              </w:rPr>
              <w:fldChar w:fldCharType="separate"/>
            </w:r>
            <w:r w:rsidRPr="00FA72F7">
              <w:rPr>
                <w:b w:val="0"/>
                <w:noProof/>
              </w:rPr>
              <w:t>Delvingt 1997</w:t>
            </w:r>
            <w:r>
              <w:rPr>
                <w:b w:val="0"/>
              </w:rPr>
              <w:fldChar w:fldCharType="end"/>
            </w:r>
          </w:p>
        </w:tc>
        <w:tc>
          <w:tcPr>
            <w:tcW w:w="2775" w:type="dxa"/>
          </w:tcPr>
          <w:p w14:paraId="33D3C958" w14:textId="120D0719" w:rsidR="003D1781" w:rsidRPr="00197738" w:rsidRDefault="003D1781" w:rsidP="00C258BC">
            <w:pPr>
              <w:pStyle w:val="Table"/>
              <w:jc w:val="both"/>
              <w:rPr>
                <w:b w:val="0"/>
              </w:rPr>
            </w:pPr>
            <w:r w:rsidRPr="00197738">
              <w:rPr>
                <w:b w:val="0"/>
              </w:rPr>
              <w:t>Cameroon</w:t>
            </w:r>
          </w:p>
        </w:tc>
        <w:tc>
          <w:tcPr>
            <w:tcW w:w="946" w:type="dxa"/>
          </w:tcPr>
          <w:p w14:paraId="5EE00524" w14:textId="67ABE33E" w:rsidR="003D1781" w:rsidRPr="007525C0" w:rsidRDefault="003D1781" w:rsidP="00C258BC">
            <w:pPr>
              <w:pStyle w:val="Table"/>
              <w:jc w:val="both"/>
              <w:rPr>
                <w:b w:val="0"/>
              </w:rPr>
            </w:pPr>
            <w:r w:rsidRPr="007525C0">
              <w:rPr>
                <w:b w:val="0"/>
              </w:rPr>
              <w:t>40</w:t>
            </w:r>
          </w:p>
        </w:tc>
        <w:tc>
          <w:tcPr>
            <w:tcW w:w="3526" w:type="dxa"/>
          </w:tcPr>
          <w:p w14:paraId="53321D8E" w14:textId="4839BF8D" w:rsidR="003D1781" w:rsidRPr="007525C0" w:rsidRDefault="003D1781" w:rsidP="00C258BC">
            <w:pPr>
              <w:pStyle w:val="Table"/>
              <w:jc w:val="both"/>
              <w:rPr>
                <w:b w:val="0"/>
              </w:rPr>
            </w:pPr>
          </w:p>
        </w:tc>
      </w:tr>
      <w:tr w:rsidR="00FA72F7" w:rsidRPr="00197738" w14:paraId="5F09F616" w14:textId="77777777" w:rsidTr="00FA72F7">
        <w:trPr>
          <w:trHeight w:val="204"/>
        </w:trPr>
        <w:tc>
          <w:tcPr>
            <w:tcW w:w="2263" w:type="dxa"/>
          </w:tcPr>
          <w:p w14:paraId="7B47D37C" w14:textId="21978C10" w:rsidR="003D1781" w:rsidRPr="00197738" w:rsidRDefault="00FA72F7" w:rsidP="00F41068">
            <w:pPr>
              <w:pStyle w:val="Table"/>
              <w:rPr>
                <w:b w:val="0"/>
              </w:rPr>
            </w:pPr>
            <w:r>
              <w:rPr>
                <w:b w:val="0"/>
              </w:rPr>
              <w:fldChar w:fldCharType="begin" w:fldLock="1"/>
            </w:r>
            <w:r>
              <w:rPr>
                <w:b w:val="0"/>
              </w:rPr>
              <w:instrText>ADDIN CSL_CITATION {"citationItems":[{"id":"ITEM-1","itemData":{"author":[{"dropping-particle":"","family":"Delvingt","given":"W","non-dropping-particle":"","parse-names":false,"suffix":""}],"id":"ITEM-1","issued":{"date-parts":[["1997"]]},"publisher-place":"ECOFAC/AGRECO-CTFT, Brussels, Belgium","title":"La chasse villageoise synthèse régionale des études réalisées durant la première phase du programme ECOFAC au Cameroun, au Congo et en République Centrafricaine","type":"report"},"uris":["http://www.mendeley.com/documents/?uuid=bbcc0eb2-d0e1-46cf-b92a-d5251cc4e333"]}],"mendeley":{"formattedCitation":"(Delvingt 1997)","manualFormatting":"Delvingt 1997","plainTextFormattedCitation":"(Delvingt 1997)","previouslyFormattedCitation":"(Delvingt 1997)"},"properties":{"noteIndex":0},"schema":"https://github.com/citation-style-language/schema/raw/master/csl-citation.json"}</w:instrText>
            </w:r>
            <w:r>
              <w:rPr>
                <w:b w:val="0"/>
              </w:rPr>
              <w:fldChar w:fldCharType="separate"/>
            </w:r>
            <w:r w:rsidRPr="00FA72F7">
              <w:rPr>
                <w:b w:val="0"/>
                <w:noProof/>
              </w:rPr>
              <w:t>Delvingt 1997</w:t>
            </w:r>
            <w:r>
              <w:rPr>
                <w:b w:val="0"/>
              </w:rPr>
              <w:fldChar w:fldCharType="end"/>
            </w:r>
          </w:p>
        </w:tc>
        <w:tc>
          <w:tcPr>
            <w:tcW w:w="2775" w:type="dxa"/>
          </w:tcPr>
          <w:p w14:paraId="0D892819" w14:textId="7FA58472" w:rsidR="003D1781" w:rsidRPr="00197738" w:rsidRDefault="003D1781" w:rsidP="00C258BC">
            <w:pPr>
              <w:pStyle w:val="Table"/>
              <w:jc w:val="both"/>
              <w:rPr>
                <w:b w:val="0"/>
              </w:rPr>
            </w:pPr>
            <w:r w:rsidRPr="00197738">
              <w:rPr>
                <w:b w:val="0"/>
              </w:rPr>
              <w:t>ROC</w:t>
            </w:r>
          </w:p>
        </w:tc>
        <w:tc>
          <w:tcPr>
            <w:tcW w:w="946" w:type="dxa"/>
          </w:tcPr>
          <w:p w14:paraId="61D3F7DC" w14:textId="0BD6FC48" w:rsidR="003D1781" w:rsidRPr="007525C0" w:rsidRDefault="003D1781" w:rsidP="00C258BC">
            <w:pPr>
              <w:pStyle w:val="Table"/>
              <w:jc w:val="both"/>
              <w:rPr>
                <w:b w:val="0"/>
              </w:rPr>
            </w:pPr>
            <w:r w:rsidRPr="007525C0">
              <w:rPr>
                <w:b w:val="0"/>
              </w:rPr>
              <w:t>35-68</w:t>
            </w:r>
          </w:p>
        </w:tc>
        <w:tc>
          <w:tcPr>
            <w:tcW w:w="3526" w:type="dxa"/>
          </w:tcPr>
          <w:p w14:paraId="1BD89648" w14:textId="77777777" w:rsidR="003D1781" w:rsidRPr="007525C0" w:rsidRDefault="003D1781" w:rsidP="00C258BC">
            <w:pPr>
              <w:pStyle w:val="Table"/>
              <w:jc w:val="both"/>
              <w:rPr>
                <w:b w:val="0"/>
              </w:rPr>
            </w:pPr>
          </w:p>
        </w:tc>
      </w:tr>
      <w:tr w:rsidR="00FA72F7" w:rsidRPr="00197738" w14:paraId="6AF18AE7" w14:textId="77777777" w:rsidTr="00FA72F7">
        <w:trPr>
          <w:trHeight w:val="170"/>
        </w:trPr>
        <w:tc>
          <w:tcPr>
            <w:tcW w:w="2263" w:type="dxa"/>
          </w:tcPr>
          <w:p w14:paraId="1C329119" w14:textId="5F2F37E4" w:rsidR="003D1781" w:rsidRPr="00197738" w:rsidRDefault="00FA72F7" w:rsidP="00F41068">
            <w:pPr>
              <w:pStyle w:val="Table"/>
              <w:rPr>
                <w:b w:val="0"/>
              </w:rPr>
            </w:pPr>
            <w:r>
              <w:rPr>
                <w:b w:val="0"/>
              </w:rPr>
              <w:fldChar w:fldCharType="begin" w:fldLock="1"/>
            </w:r>
            <w:r w:rsidR="00566AAF">
              <w:rPr>
                <w:b w:val="0"/>
              </w:rPr>
              <w:instrText>ADDIN CSL_CITATION {"citationItems":[{"id":"ITEM-1","itemData":{"author":[{"dropping-particle":"","family":"Noss","given":"A","non-dropping-particle":"","parse-names":false,"suffix":""}],"id":"ITEM-1","issued":{"date-parts":[["1995"]]},"publisher":"PhD Thesis, University of Florida, Gainesville, Florida, USA","title":"Duikers, cables, and nets: a cultural ecology of hunting in a Central African forest","type":"book"},"uris":["http://www.mendeley.com/documents/?uuid=fba7a9ae-a14b-4e6f-ae9b-108a83c616b8"]}],"mendeley":{"formattedCitation":"(Noss 1995)","manualFormatting":"Noss 1995","plainTextFormattedCitation":"(Noss 1995)","previouslyFormattedCitation":"(Noss 1995)"},"properties":{"noteIndex":0},"schema":"https://github.com/citation-style-language/schema/raw/master/csl-citation.json"}</w:instrText>
            </w:r>
            <w:r>
              <w:rPr>
                <w:b w:val="0"/>
              </w:rPr>
              <w:fldChar w:fldCharType="separate"/>
            </w:r>
            <w:r w:rsidRPr="00FA72F7">
              <w:rPr>
                <w:b w:val="0"/>
                <w:noProof/>
              </w:rPr>
              <w:t>Noss 1995</w:t>
            </w:r>
            <w:r>
              <w:rPr>
                <w:b w:val="0"/>
              </w:rPr>
              <w:fldChar w:fldCharType="end"/>
            </w:r>
          </w:p>
        </w:tc>
        <w:tc>
          <w:tcPr>
            <w:tcW w:w="2775" w:type="dxa"/>
          </w:tcPr>
          <w:p w14:paraId="5AF51D29" w14:textId="79B3FF42" w:rsidR="003D1781" w:rsidRPr="00197738" w:rsidRDefault="003D1781" w:rsidP="00C258BC">
            <w:pPr>
              <w:pStyle w:val="Table"/>
              <w:jc w:val="both"/>
              <w:rPr>
                <w:b w:val="0"/>
              </w:rPr>
            </w:pPr>
            <w:r w:rsidRPr="00197738">
              <w:rPr>
                <w:b w:val="0"/>
              </w:rPr>
              <w:t>Mossapoula, CAR</w:t>
            </w:r>
          </w:p>
        </w:tc>
        <w:tc>
          <w:tcPr>
            <w:tcW w:w="946" w:type="dxa"/>
          </w:tcPr>
          <w:p w14:paraId="086C86C3" w14:textId="0954817D" w:rsidR="003D1781" w:rsidRPr="007525C0" w:rsidRDefault="003D1781" w:rsidP="00C258BC">
            <w:pPr>
              <w:pStyle w:val="Table"/>
              <w:jc w:val="both"/>
              <w:rPr>
                <w:b w:val="0"/>
              </w:rPr>
            </w:pPr>
            <w:r w:rsidRPr="007525C0">
              <w:rPr>
                <w:b w:val="0"/>
              </w:rPr>
              <w:t>20</w:t>
            </w:r>
          </w:p>
        </w:tc>
        <w:tc>
          <w:tcPr>
            <w:tcW w:w="3526" w:type="dxa"/>
          </w:tcPr>
          <w:p w14:paraId="467AAAA6" w14:textId="09F84B4A" w:rsidR="003D1781" w:rsidRPr="007525C0" w:rsidRDefault="003D1781" w:rsidP="00C258BC">
            <w:pPr>
              <w:pStyle w:val="Table"/>
              <w:jc w:val="both"/>
              <w:rPr>
                <w:b w:val="0"/>
              </w:rPr>
            </w:pPr>
            <w:r w:rsidRPr="007525C0">
              <w:rPr>
                <w:b w:val="0"/>
              </w:rPr>
              <w:t>Day hunting meat</w:t>
            </w:r>
          </w:p>
        </w:tc>
      </w:tr>
      <w:tr w:rsidR="00FA72F7" w:rsidRPr="00197738" w14:paraId="363ADC08" w14:textId="77777777" w:rsidTr="00FA72F7">
        <w:trPr>
          <w:trHeight w:val="170"/>
        </w:trPr>
        <w:tc>
          <w:tcPr>
            <w:tcW w:w="2263" w:type="dxa"/>
          </w:tcPr>
          <w:p w14:paraId="4F6AAFA3" w14:textId="4150D70B" w:rsidR="003D1781" w:rsidRPr="00197738" w:rsidRDefault="00FA72F7" w:rsidP="00F41068">
            <w:pPr>
              <w:pStyle w:val="Table"/>
              <w:rPr>
                <w:b w:val="0"/>
              </w:rPr>
            </w:pPr>
            <w:r>
              <w:rPr>
                <w:b w:val="0"/>
              </w:rPr>
              <w:fldChar w:fldCharType="begin" w:fldLock="1"/>
            </w:r>
            <w:r w:rsidR="00566AAF">
              <w:rPr>
                <w:b w:val="0"/>
              </w:rPr>
              <w:instrText>ADDIN CSL_CITATION {"citationItems":[{"id":"ITEM-1","itemData":{"author":[{"dropping-particle":"","family":"Noss","given":"A","non-dropping-particle":"","parse-names":false,"suffix":""}],"id":"ITEM-1","issued":{"date-parts":[["1995"]]},"publisher":"PhD Thesis, University of Florida, Gainesville, Florida, USA","title":"Duikers, cables, and nets: a cultural ecology of hunting in a Central African forest","type":"book"},"uris":["http://www.mendeley.com/documents/?uuid=fba7a9ae-a14b-4e6f-ae9b-108a83c616b8"]}],"mendeley":{"formattedCitation":"(Noss 1995)","manualFormatting":"Noss 1995","plainTextFormattedCitation":"(Noss 1995)","previouslyFormattedCitation":"(Noss 1995)"},"properties":{"noteIndex":0},"schema":"https://github.com/citation-style-language/schema/raw/master/csl-citation.json"}</w:instrText>
            </w:r>
            <w:r>
              <w:rPr>
                <w:b w:val="0"/>
              </w:rPr>
              <w:fldChar w:fldCharType="separate"/>
            </w:r>
            <w:r w:rsidRPr="00FA72F7">
              <w:rPr>
                <w:b w:val="0"/>
                <w:noProof/>
              </w:rPr>
              <w:t>Noss 1995</w:t>
            </w:r>
            <w:r>
              <w:rPr>
                <w:b w:val="0"/>
              </w:rPr>
              <w:fldChar w:fldCharType="end"/>
            </w:r>
          </w:p>
        </w:tc>
        <w:tc>
          <w:tcPr>
            <w:tcW w:w="2775" w:type="dxa"/>
          </w:tcPr>
          <w:p w14:paraId="4AE0D376" w14:textId="32B33D2A" w:rsidR="003D1781" w:rsidRPr="00197738" w:rsidRDefault="00133BA5" w:rsidP="00C258BC">
            <w:pPr>
              <w:pStyle w:val="Table"/>
              <w:jc w:val="both"/>
              <w:rPr>
                <w:b w:val="0"/>
              </w:rPr>
            </w:pPr>
            <w:r w:rsidRPr="00197738">
              <w:rPr>
                <w:b w:val="0"/>
              </w:rPr>
              <w:t>Mossapoula h</w:t>
            </w:r>
            <w:r w:rsidR="003D1781" w:rsidRPr="00197738">
              <w:rPr>
                <w:b w:val="0"/>
              </w:rPr>
              <w:t>unting camp, CAR</w:t>
            </w:r>
          </w:p>
        </w:tc>
        <w:tc>
          <w:tcPr>
            <w:tcW w:w="946" w:type="dxa"/>
          </w:tcPr>
          <w:p w14:paraId="2E1D2824" w14:textId="19068D6A" w:rsidR="003D1781" w:rsidRPr="007525C0" w:rsidRDefault="003D1781" w:rsidP="00C258BC">
            <w:pPr>
              <w:pStyle w:val="Table"/>
              <w:jc w:val="both"/>
              <w:rPr>
                <w:b w:val="0"/>
              </w:rPr>
            </w:pPr>
            <w:r w:rsidRPr="007525C0">
              <w:rPr>
                <w:b w:val="0"/>
              </w:rPr>
              <w:t>75</w:t>
            </w:r>
          </w:p>
        </w:tc>
        <w:tc>
          <w:tcPr>
            <w:tcW w:w="3526" w:type="dxa"/>
          </w:tcPr>
          <w:p w14:paraId="2F99B17D" w14:textId="2B6BDD12" w:rsidR="003D1781" w:rsidRPr="007525C0" w:rsidRDefault="003D1781" w:rsidP="00C258BC">
            <w:pPr>
              <w:pStyle w:val="Table"/>
              <w:jc w:val="both"/>
              <w:rPr>
                <w:b w:val="0"/>
              </w:rPr>
            </w:pPr>
            <w:r w:rsidRPr="007525C0">
              <w:rPr>
                <w:b w:val="0"/>
              </w:rPr>
              <w:t>Hunting camp meat</w:t>
            </w:r>
          </w:p>
        </w:tc>
      </w:tr>
      <w:tr w:rsidR="003D1781" w:rsidRPr="00197738" w14:paraId="7E5F7712" w14:textId="77777777" w:rsidTr="00187531">
        <w:trPr>
          <w:trHeight w:val="254"/>
        </w:trPr>
        <w:tc>
          <w:tcPr>
            <w:tcW w:w="0" w:type="auto"/>
            <w:gridSpan w:val="4"/>
          </w:tcPr>
          <w:p w14:paraId="00C65DDC" w14:textId="77777777" w:rsidR="007525C0" w:rsidRDefault="007525C0" w:rsidP="00F41068">
            <w:pPr>
              <w:pStyle w:val="Table"/>
              <w:rPr>
                <w:b w:val="0"/>
              </w:rPr>
            </w:pPr>
          </w:p>
          <w:p w14:paraId="56E3DB43" w14:textId="1FB1BDAD" w:rsidR="003D1781" w:rsidRPr="007525C0" w:rsidRDefault="003D1781" w:rsidP="00F41068">
            <w:pPr>
              <w:pStyle w:val="Table"/>
            </w:pPr>
            <w:r w:rsidRPr="007525C0">
              <w:t>Latin America</w:t>
            </w:r>
          </w:p>
        </w:tc>
      </w:tr>
      <w:tr w:rsidR="00FA72F7" w:rsidRPr="00197738" w14:paraId="56ADDA1D" w14:textId="77777777" w:rsidTr="00FA72F7">
        <w:trPr>
          <w:trHeight w:val="170"/>
        </w:trPr>
        <w:tc>
          <w:tcPr>
            <w:tcW w:w="2263" w:type="dxa"/>
          </w:tcPr>
          <w:p w14:paraId="29EE0FFE" w14:textId="02593F42" w:rsidR="00AD7405" w:rsidRDefault="00FA72F7" w:rsidP="00F41068">
            <w:pPr>
              <w:pStyle w:val="Table"/>
              <w:rPr>
                <w:b w:val="0"/>
                <w:noProof/>
              </w:rPr>
            </w:pPr>
            <w:r>
              <w:rPr>
                <w:b w:val="0"/>
              </w:rPr>
              <w:fldChar w:fldCharType="begin" w:fldLock="1"/>
            </w:r>
            <w:r w:rsidR="00AD7405">
              <w:rPr>
                <w:b w:val="0"/>
              </w:rPr>
              <w:instrText>ADDIN CSL_CITATION {"citationItems":[{"id":"ITEM-1","itemData":{"author":[{"dropping-particle":"","family":"Morcatty","given":"T.Q.","non-dropping-particle":"","parse-names":false,"suffix":""},{"dropping-particle":"","family":"Figueiredo","given":"FOG","non-dropping-particle":"","parse-names":false,"suffix":""},{"dropping-particle":"","family":"Valsecchi","given":"J.","non-dropping-particle":"","parse-names":false,"suffix":""},{"dropping-particle":"","family":"Werneck","given":"F.P.","non-dropping-particle":"","parse-names":false,"suffix":""}],"container-title":"Conservation Biology, In review","id":"ITEM-1","issued":{"date-parts":[["0"]]},"title":"Fourteen years of community-based monitoring of chelonian hunting and trade reveals sustainable use and population recovery of endangered freshwater turtles in Amazonia.","type":"article-journal"},"uris":["http://www.mendeley.com/documents/?uuid=475da644-b5dc-49aa-8e26-f60fa18c9560"]}],"mendeley":{"formattedCitation":"(Morcatty et al. n.d.)","manualFormatting":"Morcatty et al. in press\r","plainTextFormattedCitation":"(Morcatty et al. n.d.)","previouslyFormattedCitation":"(Morcatty et al. n.d.)"},"properties":{"noteIndex":0},"schema":"https://github.com/citation-style-language/schema/raw/master/csl-citation.json"}</w:instrText>
            </w:r>
            <w:r>
              <w:rPr>
                <w:b w:val="0"/>
              </w:rPr>
              <w:fldChar w:fldCharType="separate"/>
            </w:r>
            <w:r w:rsidRPr="00FA72F7">
              <w:rPr>
                <w:b w:val="0"/>
                <w:noProof/>
              </w:rPr>
              <w:t xml:space="preserve">Morcatty et al. </w:t>
            </w:r>
            <w:r w:rsidR="00AD7405">
              <w:rPr>
                <w:b w:val="0"/>
                <w:noProof/>
              </w:rPr>
              <w:t>in press</w:t>
            </w:r>
          </w:p>
          <w:p w14:paraId="27DB312F" w14:textId="0DF92430" w:rsidR="005931E3" w:rsidRDefault="00FA72F7" w:rsidP="00F41068">
            <w:pPr>
              <w:pStyle w:val="Table"/>
              <w:rPr>
                <w:b w:val="0"/>
              </w:rPr>
            </w:pPr>
            <w:r>
              <w:rPr>
                <w:b w:val="0"/>
              </w:rPr>
              <w:fldChar w:fldCharType="end"/>
            </w:r>
          </w:p>
          <w:p w14:paraId="1052CE46" w14:textId="639009F7" w:rsidR="00AD7405" w:rsidRDefault="00AD7405" w:rsidP="00F41068">
            <w:pPr>
              <w:pStyle w:val="Table"/>
              <w:rPr>
                <w:b w:val="0"/>
              </w:rPr>
            </w:pPr>
          </w:p>
        </w:tc>
        <w:tc>
          <w:tcPr>
            <w:tcW w:w="2775" w:type="dxa"/>
          </w:tcPr>
          <w:p w14:paraId="53C0113F" w14:textId="11559187" w:rsidR="005931E3" w:rsidRDefault="005931E3" w:rsidP="00C258BC">
            <w:pPr>
              <w:pStyle w:val="Table"/>
              <w:jc w:val="both"/>
              <w:rPr>
                <w:b w:val="0"/>
              </w:rPr>
            </w:pPr>
            <w:r>
              <w:rPr>
                <w:b w:val="0"/>
              </w:rPr>
              <w:t xml:space="preserve">10 communities around the </w:t>
            </w:r>
            <w:r w:rsidRPr="005D7A66">
              <w:rPr>
                <w:b w:val="0"/>
                <w:lang w:val="en-US"/>
              </w:rPr>
              <w:t>Amanã</w:t>
            </w:r>
            <w:r>
              <w:rPr>
                <w:b w:val="0"/>
                <w:lang w:val="en-US"/>
              </w:rPr>
              <w:t xml:space="preserve"> and </w:t>
            </w:r>
            <w:r w:rsidRPr="005931E3">
              <w:rPr>
                <w:b w:val="0"/>
                <w:lang w:val="en-US"/>
              </w:rPr>
              <w:t>Mamirau.</w:t>
            </w:r>
            <w:r w:rsidRPr="005D7A66">
              <w:rPr>
                <w:b w:val="0"/>
                <w:lang w:val="en-US"/>
              </w:rPr>
              <w:t xml:space="preserve"> Sustainable Development Reserve</w:t>
            </w:r>
            <w:r>
              <w:rPr>
                <w:b w:val="0"/>
                <w:lang w:val="en-US"/>
              </w:rPr>
              <w:t>s, Brazil (turtles only)</w:t>
            </w:r>
          </w:p>
        </w:tc>
        <w:tc>
          <w:tcPr>
            <w:tcW w:w="946" w:type="dxa"/>
          </w:tcPr>
          <w:p w14:paraId="0A62721C" w14:textId="69B8453A" w:rsidR="005931E3" w:rsidRDefault="00D47B28" w:rsidP="00C258BC">
            <w:pPr>
              <w:pStyle w:val="Table"/>
              <w:jc w:val="both"/>
              <w:rPr>
                <w:b w:val="0"/>
              </w:rPr>
            </w:pPr>
            <w:r>
              <w:rPr>
                <w:b w:val="0"/>
              </w:rPr>
              <w:t>41</w:t>
            </w:r>
          </w:p>
        </w:tc>
        <w:tc>
          <w:tcPr>
            <w:tcW w:w="3526" w:type="dxa"/>
          </w:tcPr>
          <w:p w14:paraId="7DC055F0" w14:textId="3E318B9D" w:rsidR="005931E3" w:rsidRDefault="005931E3" w:rsidP="00C258BC">
            <w:pPr>
              <w:pStyle w:val="Table"/>
              <w:jc w:val="both"/>
              <w:rPr>
                <w:b w:val="0"/>
              </w:rPr>
            </w:pPr>
            <w:r>
              <w:rPr>
                <w:b w:val="0"/>
              </w:rPr>
              <w:t xml:space="preserve">59% sold to urban markets, </w:t>
            </w:r>
            <w:r w:rsidR="00D47B28">
              <w:rPr>
                <w:b w:val="0"/>
              </w:rPr>
              <w:t>41% sold to rural communities</w:t>
            </w:r>
          </w:p>
        </w:tc>
      </w:tr>
      <w:tr w:rsidR="00FA72F7" w:rsidRPr="00197738" w14:paraId="36BA4CBC" w14:textId="77777777" w:rsidTr="00FA72F7">
        <w:trPr>
          <w:trHeight w:val="170"/>
        </w:trPr>
        <w:tc>
          <w:tcPr>
            <w:tcW w:w="2263" w:type="dxa"/>
          </w:tcPr>
          <w:p w14:paraId="2EE61F29" w14:textId="5BA5B645" w:rsidR="00E45BE5" w:rsidRDefault="003C5D24" w:rsidP="00F41068">
            <w:pPr>
              <w:pStyle w:val="Table"/>
              <w:rPr>
                <w:b w:val="0"/>
              </w:rPr>
            </w:pPr>
            <w:r>
              <w:rPr>
                <w:b w:val="0"/>
              </w:rPr>
              <w:fldChar w:fldCharType="begin" w:fldLock="1"/>
            </w:r>
            <w:r w:rsidR="00AD7405">
              <w:rPr>
                <w:b w:val="0"/>
              </w:rPr>
              <w:instrText>ADDIN CSL_CITATION {"citationItems":[{"id":"ITEM-1","itemData":{"DOI":"10.1016/j.biocon.2014.12.022","ISSN":"0006-3207","author":[{"dropping-particle":"","family":"Gray","given":"Clark L","non-dropping-particle":"","parse-names":false,"suffix":""},{"dropping-particle":"","family":"Bozigar","given":"Matthew","non-dropping-particle":"","parse-names":false,"suffix":""},{"dropping-particle":"","family":"Bilsborrow","given":"Richard E","non-dropping-particle":"","parse-names":false,"suffix":""}],"container-title":"Biological Conservation","id":"ITEM-1","issued":{"date-parts":[["2015"]]},"page":"270-277","publisher":"Elsevier Ltd","title":"Declining use of wild resources by indigenous peoples of the Ecuadorian Amazon","type":"article-journal","volume":"182"},"uris":["http://www.mendeley.com/documents/?uuid=92538e10-38a3-4cd4-b84a-20b376e882c9"]}],"mendeley":{"formattedCitation":"(Gray et al. 2015)","manualFormatting":"Gray et al. 2015","plainTextFormattedCitation":"(Gray et al. 2015)","previouslyFormattedCitation":"(Gray et al. 2015)"},"properties":{"noteIndex":0},"schema":"https://github.com/citation-style-language/schema/raw/master/csl-citation.json"}</w:instrText>
            </w:r>
            <w:r>
              <w:rPr>
                <w:b w:val="0"/>
              </w:rPr>
              <w:fldChar w:fldCharType="separate"/>
            </w:r>
            <w:r w:rsidRPr="003C5D24">
              <w:rPr>
                <w:b w:val="0"/>
                <w:noProof/>
              </w:rPr>
              <w:t>Gray et al. 2015</w:t>
            </w:r>
            <w:r>
              <w:rPr>
                <w:b w:val="0"/>
              </w:rPr>
              <w:fldChar w:fldCharType="end"/>
            </w:r>
          </w:p>
        </w:tc>
        <w:tc>
          <w:tcPr>
            <w:tcW w:w="2775" w:type="dxa"/>
          </w:tcPr>
          <w:p w14:paraId="4D46331F" w14:textId="3845FE6C" w:rsidR="00E45BE5" w:rsidRPr="00E45BE5" w:rsidRDefault="00E45BE5" w:rsidP="00C258BC">
            <w:pPr>
              <w:pStyle w:val="Table"/>
              <w:jc w:val="both"/>
            </w:pPr>
            <w:r>
              <w:rPr>
                <w:b w:val="0"/>
              </w:rPr>
              <w:t xml:space="preserve">32 indigenous communities in the </w:t>
            </w:r>
            <w:r w:rsidRPr="00E45BE5">
              <w:rPr>
                <w:b w:val="0"/>
              </w:rPr>
              <w:t>Northern Ecuadorian Amazon</w:t>
            </w:r>
          </w:p>
        </w:tc>
        <w:tc>
          <w:tcPr>
            <w:tcW w:w="946" w:type="dxa"/>
          </w:tcPr>
          <w:p w14:paraId="19241431" w14:textId="2E69800B" w:rsidR="00E45BE5" w:rsidRDefault="00E45BE5" w:rsidP="00C258BC">
            <w:pPr>
              <w:pStyle w:val="Table"/>
              <w:jc w:val="both"/>
              <w:rPr>
                <w:b w:val="0"/>
              </w:rPr>
            </w:pPr>
            <w:r>
              <w:rPr>
                <w:b w:val="0"/>
              </w:rPr>
              <w:t>0 - 7</w:t>
            </w:r>
          </w:p>
        </w:tc>
        <w:tc>
          <w:tcPr>
            <w:tcW w:w="3526" w:type="dxa"/>
          </w:tcPr>
          <w:p w14:paraId="18274CCF" w14:textId="2375C307" w:rsidR="00E45BE5" w:rsidRDefault="00E45BE5" w:rsidP="00C258BC">
            <w:pPr>
              <w:pStyle w:val="Table"/>
              <w:jc w:val="both"/>
              <w:rPr>
                <w:b w:val="0"/>
              </w:rPr>
            </w:pPr>
            <w:r>
              <w:rPr>
                <w:b w:val="0"/>
              </w:rPr>
              <w:t>All communities are spatially and economically isolated from urban economies</w:t>
            </w:r>
          </w:p>
        </w:tc>
      </w:tr>
      <w:tr w:rsidR="00FA72F7" w:rsidRPr="00197738" w14:paraId="7660DD0A" w14:textId="77777777" w:rsidTr="00FA72F7">
        <w:trPr>
          <w:trHeight w:val="170"/>
        </w:trPr>
        <w:tc>
          <w:tcPr>
            <w:tcW w:w="2263" w:type="dxa"/>
          </w:tcPr>
          <w:p w14:paraId="49DB7412" w14:textId="47FF9D75" w:rsidR="005D7A66" w:rsidRDefault="003C5D24" w:rsidP="00F41068">
            <w:pPr>
              <w:pStyle w:val="Table"/>
              <w:rPr>
                <w:b w:val="0"/>
              </w:rPr>
            </w:pPr>
            <w:r>
              <w:rPr>
                <w:b w:val="0"/>
              </w:rPr>
              <w:fldChar w:fldCharType="begin" w:fldLock="1"/>
            </w:r>
            <w:r w:rsidR="00B2630D">
              <w:rPr>
                <w:b w:val="0"/>
              </w:rPr>
              <w:instrText>ADDIN CSL_CITATION {"citationItems":[{"id":"ITEM-1","itemData":{"DOI":"10.5751/ES-07701-200303","ISBN":"1708-3087","ISSN":"17083087","abstract":"Chelonians constitute an important source of food and income for the inhabitants of tropical forests. We assessed the social, biological, and environmental factors affecting the hunting and trade of the endangered yellow-footed tortoise (Chelonoidis denticulata) in rural and urban areas in the Amazon and estimated the sustainability of tortoise use. We also discuss possible conservation alternatives that are compatible with the needs of local inhabitants. We monitored tortoise hunting and trade for 12 years in 10 traditional communities that exploit different habitat types in the Brazilian Amazon and collected data on the tortoise trade in two urban markets for six years. In upland forests, tortoise hunting mainly occurred during the dry season; in whitewater flooded forests, hunting mainly occurred during the flood season. The tortoise trade was carried out nearly entirely by whitewater flooded forest users and was intimately related to fishing, the main economic activity in these communities. Furthermore, the tortoise trade was encouraged in whitewater flooded forests because this environment yielded significantly heavier tortoises than upland forests, and we observed a strong relationship between trade probability and tortoise size. The tortoise trade was found to primarily supply nearby urban centers, generating high monetary gain. Female tortoises suffered greater hunting pressure and were more valued in the bushmeat market. The productivity of tortoise hunting in the monitored communities severely decreased with time. In addition, the price per kilogram of tortoise greatly increased in the urban market. Given this unsustainable scenario, policies regulating tortoise hunting in the Amazon are needed. These policies must be adapted to the different patterns of tortoise use by rural communities while maintaining the culture and food sovereignty of the local inhabitants.","author":[{"dropping-particle":"","family":"Morcatty","given":"Thaís Q.","non-dropping-particle":"","parse-names":false,"suffix":""},{"dropping-particle":"","family":"Valsecchi","given":"João","non-dropping-particle":"","parse-names":false,"suffix":""}],"container-title":"Ecology and Society","id":"ITEM-1","issue":"3","issued":{"date-parts":[["2015"]]},"page":"3","title":"Social, biological, and environmental drivers of the hunting and trade of the endangered yellow-footed tortoise in the Amazon","type":"article-journal","volume":"20"},"uris":["http://www.mendeley.com/documents/?uuid=8ae0a2ac-4a10-489b-92d5-1076ff8211fc"]}],"mendeley":{"formattedCitation":"(Morcatty &amp; Valsecchi 2015)","manualFormatting":"Morcatty &amp; Valsecchi 2015","plainTextFormattedCitation":"(Morcatty &amp; Valsecchi 2015)","previouslyFormattedCitation":"(Morcatty &amp; Valsecchi 2015)"},"properties":{"noteIndex":0},"schema":"https://github.com/citation-style-language/schema/raw/master/csl-citation.json"}</w:instrText>
            </w:r>
            <w:r>
              <w:rPr>
                <w:b w:val="0"/>
              </w:rPr>
              <w:fldChar w:fldCharType="separate"/>
            </w:r>
            <w:r w:rsidRPr="003C5D24">
              <w:rPr>
                <w:b w:val="0"/>
                <w:noProof/>
              </w:rPr>
              <w:t>Morcatty &amp; Valsecchi 2015</w:t>
            </w:r>
            <w:r>
              <w:rPr>
                <w:b w:val="0"/>
              </w:rPr>
              <w:fldChar w:fldCharType="end"/>
            </w:r>
          </w:p>
          <w:p w14:paraId="7340F777" w14:textId="7E381DC8" w:rsidR="00AD7405" w:rsidRPr="00197738" w:rsidRDefault="00AD7405" w:rsidP="00F41068">
            <w:pPr>
              <w:pStyle w:val="Table"/>
              <w:rPr>
                <w:b w:val="0"/>
              </w:rPr>
            </w:pPr>
          </w:p>
        </w:tc>
        <w:tc>
          <w:tcPr>
            <w:tcW w:w="2775" w:type="dxa"/>
          </w:tcPr>
          <w:p w14:paraId="1E629561" w14:textId="2784163B" w:rsidR="005D7A66" w:rsidRPr="00197738" w:rsidRDefault="005D7A66" w:rsidP="00C258BC">
            <w:pPr>
              <w:pStyle w:val="Table"/>
              <w:jc w:val="both"/>
              <w:rPr>
                <w:b w:val="0"/>
              </w:rPr>
            </w:pPr>
            <w:r>
              <w:rPr>
                <w:b w:val="0"/>
              </w:rPr>
              <w:t xml:space="preserve">10 communities around the </w:t>
            </w:r>
            <w:r w:rsidRPr="005D7A66">
              <w:rPr>
                <w:b w:val="0"/>
                <w:lang w:val="en-US"/>
              </w:rPr>
              <w:t>Amanã Sustainable Development Reserve</w:t>
            </w:r>
            <w:r w:rsidR="005931E3">
              <w:rPr>
                <w:b w:val="0"/>
                <w:lang w:val="en-US"/>
              </w:rPr>
              <w:t>, Brazil</w:t>
            </w:r>
            <w:r>
              <w:rPr>
                <w:b w:val="0"/>
                <w:lang w:val="en-US"/>
              </w:rPr>
              <w:t xml:space="preserve"> (tortoise hunting only)</w:t>
            </w:r>
          </w:p>
        </w:tc>
        <w:tc>
          <w:tcPr>
            <w:tcW w:w="946" w:type="dxa"/>
          </w:tcPr>
          <w:p w14:paraId="47097B89" w14:textId="56EA115F" w:rsidR="005D7A66" w:rsidRPr="007525C0" w:rsidRDefault="005D7A66" w:rsidP="00C258BC">
            <w:pPr>
              <w:pStyle w:val="Table"/>
              <w:jc w:val="both"/>
              <w:rPr>
                <w:b w:val="0"/>
              </w:rPr>
            </w:pPr>
            <w:r>
              <w:rPr>
                <w:b w:val="0"/>
              </w:rPr>
              <w:t>59</w:t>
            </w:r>
          </w:p>
        </w:tc>
        <w:tc>
          <w:tcPr>
            <w:tcW w:w="3526" w:type="dxa"/>
          </w:tcPr>
          <w:p w14:paraId="51D513AE" w14:textId="6CA93EB4" w:rsidR="005D7A66" w:rsidRPr="007525C0" w:rsidRDefault="005D7A66" w:rsidP="00C258BC">
            <w:pPr>
              <w:pStyle w:val="Table"/>
              <w:jc w:val="both"/>
              <w:rPr>
                <w:b w:val="0"/>
              </w:rPr>
            </w:pPr>
            <w:r>
              <w:rPr>
                <w:b w:val="0"/>
              </w:rPr>
              <w:t>Upland forest users consumed ~95%, whereas whitewater flooded forest users sold ~ 85%. 70% sold to urban markets.</w:t>
            </w:r>
          </w:p>
        </w:tc>
      </w:tr>
      <w:tr w:rsidR="00FA72F7" w:rsidRPr="00197738" w14:paraId="3A05479E" w14:textId="77777777" w:rsidTr="00FA72F7">
        <w:trPr>
          <w:trHeight w:val="170"/>
        </w:trPr>
        <w:tc>
          <w:tcPr>
            <w:tcW w:w="2263" w:type="dxa"/>
          </w:tcPr>
          <w:p w14:paraId="01828A1C" w14:textId="220758F1" w:rsidR="003D1781" w:rsidRPr="00DF57F3" w:rsidRDefault="003C5D24" w:rsidP="00F41068">
            <w:pPr>
              <w:pStyle w:val="Table"/>
              <w:rPr>
                <w:b w:val="0"/>
                <w:lang w:val="fr-FR"/>
              </w:rPr>
            </w:pPr>
            <w:r>
              <w:rPr>
                <w:b w:val="0"/>
              </w:rPr>
              <w:fldChar w:fldCharType="begin" w:fldLock="1"/>
            </w:r>
            <w:r w:rsidR="00AD7405" w:rsidRPr="00DF57F3">
              <w:rPr>
                <w:b w:val="0"/>
                <w:lang w:val="fr-FR"/>
              </w:rPr>
              <w:instrText>ADDIN CSL_CITATION {"citationItems":[{"id":"ITEM-1","itemData":{"author":[{"dropping-particle":"","family":"Vliet","given":"Nathalie","non-dropping-particle":"Van","parse-names":false,"suffix":""},{"dropping-particle":"","family":"Quiceno","given":"Maria Paula","non-dropping-particle":"","parse-names":false,"suffix":""},{"dropping-particle":"","family":"Cruz","given":"Daniel","non-dropping-particle":"","parse-names":false,"suffix":""},{"dropping-particle":"","family":"Jonhson","given":"Lindon","non-dropping-particle":"","parse-names":false,"suffix":""},{"dropping-particle":"","family":"Aquino","given":"Neves","non-dropping-particle":"de","parse-names":false,"suffix":""},{"dropping-particle":"","family":"Yagüe","given":"Blanca","non-dropping-particle":"","parse-names":false,"suffix":""},{"dropping-particle":"","family":"Schor","given":"Tatiana","non-dropping-particle":"","parse-names":false,"suffix":""}],"container-title":"Ecology and Society","id":"ITEM-1","issue":"3","issued":{"date-parts":[["2015"]]},"page":"21","title":"Bushmeat networks link the forest to urban areas in the trifrontier region between Brazil, Colombia, and Peru","type":"article-journal","volume":"20"},"uris":["http://www.mendeley.com/documents/?uuid=c363af56-1774-4b0f-bfd2-53765b13cabe"]}],"mendeley":{"formattedCitation":"(Van Vliet et al. 2015e)","manualFormatting":"Van Vliet et al. 2015e","plainTextFormattedCitation":"(Van Vliet et al. 2015e)","previouslyFormattedCitation":"(Van Vliet et al. 2015e)"},"properties":{"noteIndex":0},"schema":"https://github.com/citation-style-language/schema/raw/master/csl-citation.json"}</w:instrText>
            </w:r>
            <w:r>
              <w:rPr>
                <w:b w:val="0"/>
              </w:rPr>
              <w:fldChar w:fldCharType="separate"/>
            </w:r>
            <w:r w:rsidRPr="00DF57F3">
              <w:rPr>
                <w:b w:val="0"/>
                <w:noProof/>
                <w:lang w:val="fr-FR"/>
              </w:rPr>
              <w:t>Van Vliet et al. 2015e</w:t>
            </w:r>
            <w:r>
              <w:rPr>
                <w:b w:val="0"/>
              </w:rPr>
              <w:fldChar w:fldCharType="end"/>
            </w:r>
          </w:p>
        </w:tc>
        <w:tc>
          <w:tcPr>
            <w:tcW w:w="2775" w:type="dxa"/>
          </w:tcPr>
          <w:p w14:paraId="07F90541" w14:textId="21789112" w:rsidR="003D1781" w:rsidRPr="00197738" w:rsidRDefault="003D1781" w:rsidP="00C258BC">
            <w:pPr>
              <w:pStyle w:val="Table"/>
              <w:jc w:val="both"/>
              <w:rPr>
                <w:b w:val="0"/>
              </w:rPr>
            </w:pPr>
            <w:r w:rsidRPr="00197738">
              <w:rPr>
                <w:b w:val="0"/>
              </w:rPr>
              <w:t>8 localities in Colombia, Peru and Brazil</w:t>
            </w:r>
            <w:r w:rsidR="009D7924" w:rsidRPr="00197738">
              <w:rPr>
                <w:b w:val="0"/>
              </w:rPr>
              <w:t xml:space="preserve"> trifrontier area</w:t>
            </w:r>
          </w:p>
        </w:tc>
        <w:tc>
          <w:tcPr>
            <w:tcW w:w="946" w:type="dxa"/>
          </w:tcPr>
          <w:p w14:paraId="774B411D" w14:textId="6DC80F8E" w:rsidR="003D1781" w:rsidRPr="007525C0" w:rsidRDefault="003D1781" w:rsidP="00C258BC">
            <w:pPr>
              <w:pStyle w:val="Table"/>
              <w:jc w:val="both"/>
              <w:rPr>
                <w:b w:val="0"/>
              </w:rPr>
            </w:pPr>
            <w:r w:rsidRPr="007525C0">
              <w:rPr>
                <w:b w:val="0"/>
              </w:rPr>
              <w:t>90</w:t>
            </w:r>
          </w:p>
        </w:tc>
        <w:tc>
          <w:tcPr>
            <w:tcW w:w="3526" w:type="dxa"/>
          </w:tcPr>
          <w:p w14:paraId="1D0DEB36" w14:textId="3942462F" w:rsidR="003D1781" w:rsidRPr="007525C0" w:rsidRDefault="003D1781" w:rsidP="00C258BC">
            <w:pPr>
              <w:pStyle w:val="Table"/>
              <w:jc w:val="both"/>
              <w:rPr>
                <w:b w:val="0"/>
              </w:rPr>
            </w:pPr>
            <w:r w:rsidRPr="007525C0">
              <w:rPr>
                <w:b w:val="0"/>
              </w:rPr>
              <w:t>Specialist hunters</w:t>
            </w:r>
            <w:r w:rsidR="004346A5" w:rsidRPr="007525C0">
              <w:rPr>
                <w:b w:val="0"/>
              </w:rPr>
              <w:t xml:space="preserve"> (approx. 25% of interviewed hunters)</w:t>
            </w:r>
          </w:p>
        </w:tc>
      </w:tr>
      <w:tr w:rsidR="00FA72F7" w:rsidRPr="00197738" w14:paraId="77E62F19" w14:textId="77777777" w:rsidTr="00FA72F7">
        <w:trPr>
          <w:trHeight w:val="170"/>
        </w:trPr>
        <w:tc>
          <w:tcPr>
            <w:tcW w:w="2263" w:type="dxa"/>
          </w:tcPr>
          <w:p w14:paraId="128CC6B7" w14:textId="18CFA422" w:rsidR="003D1781" w:rsidRPr="00DF57F3" w:rsidRDefault="003C5D24" w:rsidP="00F41068">
            <w:pPr>
              <w:pStyle w:val="Table"/>
              <w:rPr>
                <w:b w:val="0"/>
                <w:lang w:val="fr-FR"/>
              </w:rPr>
            </w:pPr>
            <w:r>
              <w:rPr>
                <w:b w:val="0"/>
              </w:rPr>
              <w:fldChar w:fldCharType="begin" w:fldLock="1"/>
            </w:r>
            <w:r w:rsidR="00AD7405" w:rsidRPr="00DF57F3">
              <w:rPr>
                <w:b w:val="0"/>
                <w:lang w:val="fr-FR"/>
              </w:rPr>
              <w:instrText>ADDIN CSL_CITATION {"citationItems":[{"id":"ITEM-1","itemData":{"author":[{"dropping-particle":"","family":"Vliet","given":"Nathalie","non-dropping-particle":"Van","parse-names":false,"suffix":""},{"dropping-particle":"","family":"Quiceno","given":"Maria Paula","non-dropping-particle":"","parse-names":false,"suffix":""},{"dropping-particle":"","family":"Cruz","given":"Daniel","non-dropping-particle":"","parse-names":false,"suffix":""},{"dropping-particle":"","family":"Jonhson","given":"Lindon","non-dropping-particle":"","parse-names":false,"suffix":""},{"dropping-particle":"","family":"Aquino","given":"Neves","non-dropping-particle":"de","parse-names":false,"suffix":""},{"dropping-particle":"","family":"Yagüe","given":"Blanca","non-dropping-particle":"","parse-names":false,"suffix":""},{"dropping-particle":"","family":"Schor","given":"Tatiana","non-dropping-particle":"","parse-names":false,"suffix":""}],"container-title":"Ecology and Society","id":"ITEM-1","issue":"3","issued":{"date-parts":[["2015"]]},"page":"21","title":"Bushmeat networks link the forest to urban areas in the trifrontier region between Brazil, Colombia, and Peru","type":"article-journal","volume":"20"},"uris":["http://www.mendeley.com/documents/?uuid=c363af56-1774-4b0f-bfd2-53765b13cabe"]}],"mendeley":{"formattedCitation":"(Van Vliet et al. 2015e)","manualFormatting":"Van Vliet et al. 2015e","plainTextFormattedCitation":"(Van Vliet et al. 2015e)","previouslyFormattedCitation":"(Van Vliet et al. 2015e)"},"properties":{"noteIndex":0},"schema":"https://github.com/citation-style-language/schema/raw/master/csl-citation.json"}</w:instrText>
            </w:r>
            <w:r>
              <w:rPr>
                <w:b w:val="0"/>
              </w:rPr>
              <w:fldChar w:fldCharType="separate"/>
            </w:r>
            <w:r w:rsidRPr="00DF57F3">
              <w:rPr>
                <w:b w:val="0"/>
                <w:noProof/>
                <w:lang w:val="fr-FR"/>
              </w:rPr>
              <w:t>Van Vliet et al. 2015e</w:t>
            </w:r>
            <w:r>
              <w:rPr>
                <w:b w:val="0"/>
              </w:rPr>
              <w:fldChar w:fldCharType="end"/>
            </w:r>
          </w:p>
        </w:tc>
        <w:tc>
          <w:tcPr>
            <w:tcW w:w="2775" w:type="dxa"/>
          </w:tcPr>
          <w:p w14:paraId="3DB01BE5" w14:textId="29622DB1" w:rsidR="003D1781" w:rsidRPr="00197738" w:rsidRDefault="003D1781" w:rsidP="00C258BC">
            <w:pPr>
              <w:pStyle w:val="Table"/>
              <w:jc w:val="both"/>
              <w:rPr>
                <w:b w:val="0"/>
              </w:rPr>
            </w:pPr>
            <w:r w:rsidRPr="00197738">
              <w:rPr>
                <w:b w:val="0"/>
              </w:rPr>
              <w:t>8 localities in Colombia, Peru and Brazil</w:t>
            </w:r>
            <w:r w:rsidR="009D7924" w:rsidRPr="00197738">
              <w:rPr>
                <w:b w:val="0"/>
              </w:rPr>
              <w:t xml:space="preserve"> trifrontier area</w:t>
            </w:r>
          </w:p>
        </w:tc>
        <w:tc>
          <w:tcPr>
            <w:tcW w:w="946" w:type="dxa"/>
          </w:tcPr>
          <w:p w14:paraId="282AE99F" w14:textId="04226927" w:rsidR="003D1781" w:rsidRPr="007525C0" w:rsidRDefault="003D1781" w:rsidP="00C258BC">
            <w:pPr>
              <w:pStyle w:val="Table"/>
              <w:jc w:val="both"/>
              <w:rPr>
                <w:b w:val="0"/>
              </w:rPr>
            </w:pPr>
            <w:r w:rsidRPr="007525C0">
              <w:rPr>
                <w:b w:val="0"/>
              </w:rPr>
              <w:t>35</w:t>
            </w:r>
          </w:p>
        </w:tc>
        <w:tc>
          <w:tcPr>
            <w:tcW w:w="3526" w:type="dxa"/>
          </w:tcPr>
          <w:p w14:paraId="115152E7" w14:textId="7E0C87CF" w:rsidR="003D1781" w:rsidRPr="007525C0" w:rsidRDefault="003D1781" w:rsidP="00C258BC">
            <w:pPr>
              <w:pStyle w:val="Table"/>
              <w:jc w:val="both"/>
              <w:rPr>
                <w:b w:val="0"/>
              </w:rPr>
            </w:pPr>
            <w:r w:rsidRPr="007525C0">
              <w:rPr>
                <w:b w:val="0"/>
              </w:rPr>
              <w:t>Diversified hunters</w:t>
            </w:r>
            <w:r w:rsidR="004346A5" w:rsidRPr="007525C0">
              <w:rPr>
                <w:b w:val="0"/>
              </w:rPr>
              <w:t xml:space="preserve"> (approx. 75% of interviewed hunters)</w:t>
            </w:r>
          </w:p>
        </w:tc>
      </w:tr>
      <w:tr w:rsidR="00FA72F7" w:rsidRPr="00197738" w14:paraId="5E5EB905" w14:textId="77777777" w:rsidTr="00FA72F7">
        <w:trPr>
          <w:trHeight w:val="170"/>
        </w:trPr>
        <w:tc>
          <w:tcPr>
            <w:tcW w:w="2263" w:type="dxa"/>
          </w:tcPr>
          <w:p w14:paraId="0B17EDA9" w14:textId="36269E40" w:rsidR="003D1781" w:rsidRPr="00197738" w:rsidRDefault="003C5D24" w:rsidP="00F41068">
            <w:pPr>
              <w:pStyle w:val="Table"/>
              <w:rPr>
                <w:b w:val="0"/>
              </w:rPr>
            </w:pPr>
            <w:r>
              <w:rPr>
                <w:b w:val="0"/>
              </w:rPr>
              <w:fldChar w:fldCharType="begin" w:fldLock="1"/>
            </w:r>
            <w:r w:rsidR="00AD7405">
              <w:rPr>
                <w:b w:val="0"/>
              </w:rPr>
              <w:instrText>ADDIN CSL_CITATION {"citationItems":[{"id":"ITEM-1","itemData":{"DOI":"10.1111/j.1523-1739.2009.01224.x","author":[{"dropping-particle":"","family":"Parry","given":"Luke","non-dropping-particle":"","parse-names":false,"suffix":""},{"dropping-particle":"","family":"Barlow","given":"J O S","non-dropping-particle":"","parse-names":false,"suffix":""},{"dropping-particle":"","family":"Peres","given":"Carlos A","non-dropping-particle":"","parse-names":false,"suffix":""}],"container-title":"Conservation Biology","id":"ITEM-1","issue":"5","issued":{"date-parts":[["2009"]]},"page":"1270-1280","title":"Hunting for sustainability in tropical secondary forests","type":"article-journal","volume":"23"},"uris":["http://www.mendeley.com/documents/?uuid=19211f74-eab3-43ed-9aaf-33d0f399ea79"]}],"mendeley":{"formattedCitation":"(Parry et al. 2009)","manualFormatting":"Parry et al. 2009","plainTextFormattedCitation":"(Parry et al. 2009)","previouslyFormattedCitation":"(Parry et al. 2009)"},"properties":{"noteIndex":0},"schema":"https://github.com/citation-style-language/schema/raw/master/csl-citation.json"}</w:instrText>
            </w:r>
            <w:r>
              <w:rPr>
                <w:b w:val="0"/>
              </w:rPr>
              <w:fldChar w:fldCharType="separate"/>
            </w:r>
            <w:r w:rsidRPr="003C5D24">
              <w:rPr>
                <w:b w:val="0"/>
                <w:noProof/>
              </w:rPr>
              <w:t>Parry et al. 2009</w:t>
            </w:r>
            <w:r>
              <w:rPr>
                <w:b w:val="0"/>
              </w:rPr>
              <w:fldChar w:fldCharType="end"/>
            </w:r>
          </w:p>
        </w:tc>
        <w:tc>
          <w:tcPr>
            <w:tcW w:w="2775" w:type="dxa"/>
          </w:tcPr>
          <w:p w14:paraId="30051C33" w14:textId="7FB134E3" w:rsidR="003D1781" w:rsidRPr="00197738" w:rsidRDefault="003D1781" w:rsidP="00C258BC">
            <w:pPr>
              <w:pStyle w:val="Table"/>
              <w:jc w:val="both"/>
              <w:rPr>
                <w:b w:val="0"/>
              </w:rPr>
            </w:pPr>
            <w:r w:rsidRPr="00197738">
              <w:rPr>
                <w:b w:val="0"/>
              </w:rPr>
              <w:t>3 communities, Brazil</w:t>
            </w:r>
          </w:p>
        </w:tc>
        <w:tc>
          <w:tcPr>
            <w:tcW w:w="946" w:type="dxa"/>
          </w:tcPr>
          <w:p w14:paraId="4F17A605" w14:textId="4C46DB7B" w:rsidR="003D1781" w:rsidRPr="007525C0" w:rsidRDefault="003D1781" w:rsidP="00C258BC">
            <w:pPr>
              <w:pStyle w:val="Table"/>
              <w:jc w:val="both"/>
              <w:rPr>
                <w:b w:val="0"/>
              </w:rPr>
            </w:pPr>
            <w:r w:rsidRPr="007525C0">
              <w:rPr>
                <w:b w:val="0"/>
              </w:rPr>
              <w:t>0</w:t>
            </w:r>
          </w:p>
        </w:tc>
        <w:tc>
          <w:tcPr>
            <w:tcW w:w="3526" w:type="dxa"/>
          </w:tcPr>
          <w:p w14:paraId="5948F152" w14:textId="365E42DD" w:rsidR="003D1781" w:rsidRPr="007525C0" w:rsidRDefault="003D1781" w:rsidP="00C258BC">
            <w:pPr>
              <w:pStyle w:val="Table"/>
              <w:jc w:val="both"/>
              <w:rPr>
                <w:b w:val="0"/>
              </w:rPr>
            </w:pPr>
            <w:r w:rsidRPr="007525C0">
              <w:rPr>
                <w:b w:val="0"/>
              </w:rPr>
              <w:t>Hunting for subsistence use</w:t>
            </w:r>
            <w:r w:rsidR="009D7924" w:rsidRPr="007525C0">
              <w:rPr>
                <w:b w:val="0"/>
              </w:rPr>
              <w:t>, no sales</w:t>
            </w:r>
          </w:p>
        </w:tc>
      </w:tr>
      <w:tr w:rsidR="00FA72F7" w:rsidRPr="00197738" w14:paraId="21934B6B" w14:textId="77777777" w:rsidTr="00FA72F7">
        <w:trPr>
          <w:trHeight w:val="170"/>
        </w:trPr>
        <w:tc>
          <w:tcPr>
            <w:tcW w:w="2263" w:type="dxa"/>
          </w:tcPr>
          <w:p w14:paraId="11D3BDDC" w14:textId="47D6E6FF" w:rsidR="00D47B28" w:rsidRPr="00197738" w:rsidRDefault="003C5D24" w:rsidP="00F41068">
            <w:pPr>
              <w:pStyle w:val="Table"/>
              <w:rPr>
                <w:b w:val="0"/>
              </w:rPr>
            </w:pPr>
            <w:r>
              <w:rPr>
                <w:b w:val="0"/>
              </w:rPr>
              <w:fldChar w:fldCharType="begin" w:fldLock="1"/>
            </w:r>
            <w:r w:rsidR="00AD7405">
              <w:rPr>
                <w:b w:val="0"/>
              </w:rPr>
              <w:instrText>ADDIN CSL_CITATION {"citationItems":[{"id":"ITEM-1","itemData":{"DOI":"10.1046/j.1523","ISBN":"0888-8892","ISSN":"08888892","abstract":"Tropical conservation has seen a convergence between conservation projects and rural develop- ment, with both approaches promoting participation of local people in sustainable resource use. But there is a discord between rural development and sustainable use of wildlife. Implementing more sustainable use of wildlife usually means decreased economic benefits for rural people, especially over the short term. In con- trast, rural-development projects are often mandated to generate income for rural people over the short term. We examined this dilemma through an integrated economic and harvest analysis of the costs associated with converting unsustainable hunting to more sustainable hunting in the Peruvian Amazon. Our analysis sug- gests that a change in hunting practice would hae significant economic costs for rural people and would re- sult in a 36% decrease in the economic benefits they derive from wildlife hunting. In contrast, converting un- sustainable hunting to more sustainable hunting would have little effect on meat markets in the urban center of Iquitos, Peru, with markets losing only 3.6% of their economic value. There would be no economic costs for the international pelt trade. If rural-development projects absorb the short-term economic costs, they can help people convert unsustainable wildlife use to more sustainable use and assist rural people in realiz- ing the long-term benefits of more sustainable hunting. But many rural-development projects would need to change their mandate for short-term income generation to incorporate the realities of sustainability.","author":[{"dropping-particle":"","family":"Bodmer","given":"Richard","non-dropping-particle":"","parse-names":false,"suffix":""},{"dropping-particle":"","family":"Lozano","given":"Etersit Pezo","non-dropping-particle":"","parse-names":false,"suffix":""}],"container-title":"Conservation Biology","id":"ITEM-1","issue":"4","issued":{"date-parts":[["2001"]]},"page":"1163-1170","title":"Rural development and sustainable wildlife use in Peru","type":"article-journal","volume":"15"},"uris":["http://www.mendeley.com/documents/?uuid=d4dbca3c-1761-420b-a281-f42a01070444"]}],"mendeley":{"formattedCitation":"(Bodmer &amp; Lozano 2001)","manualFormatting":"Bodmer &amp; Lozano 2001","plainTextFormattedCitation":"(Bodmer &amp; Lozano 2001)","previouslyFormattedCitation":"(Bodmer &amp; Lozano 2001)"},"properties":{"noteIndex":0},"schema":"https://github.com/citation-style-language/schema/raw/master/csl-citation.json"}</w:instrText>
            </w:r>
            <w:r>
              <w:rPr>
                <w:b w:val="0"/>
              </w:rPr>
              <w:fldChar w:fldCharType="separate"/>
            </w:r>
            <w:r w:rsidRPr="003C5D24">
              <w:rPr>
                <w:b w:val="0"/>
                <w:noProof/>
              </w:rPr>
              <w:t>Bodmer &amp; Lozano 2001</w:t>
            </w:r>
            <w:r>
              <w:rPr>
                <w:b w:val="0"/>
              </w:rPr>
              <w:fldChar w:fldCharType="end"/>
            </w:r>
          </w:p>
        </w:tc>
        <w:tc>
          <w:tcPr>
            <w:tcW w:w="2775" w:type="dxa"/>
          </w:tcPr>
          <w:p w14:paraId="03274F88" w14:textId="5C8DA994" w:rsidR="00D47B28" w:rsidRPr="00197738" w:rsidRDefault="00D47B28" w:rsidP="00C258BC">
            <w:pPr>
              <w:pStyle w:val="Table"/>
              <w:jc w:val="both"/>
              <w:rPr>
                <w:b w:val="0"/>
              </w:rPr>
            </w:pPr>
            <w:r>
              <w:rPr>
                <w:b w:val="0"/>
              </w:rPr>
              <w:t>4 sites in NE Peruvian Amazon</w:t>
            </w:r>
          </w:p>
        </w:tc>
        <w:tc>
          <w:tcPr>
            <w:tcW w:w="946" w:type="dxa"/>
          </w:tcPr>
          <w:p w14:paraId="1622C723" w14:textId="690FA56B" w:rsidR="00D47B28" w:rsidRPr="007525C0" w:rsidRDefault="00D47B28" w:rsidP="00C258BC">
            <w:pPr>
              <w:pStyle w:val="Table"/>
              <w:jc w:val="both"/>
              <w:rPr>
                <w:b w:val="0"/>
              </w:rPr>
            </w:pPr>
            <w:r>
              <w:rPr>
                <w:b w:val="0"/>
              </w:rPr>
              <w:t>6.5</w:t>
            </w:r>
          </w:p>
        </w:tc>
        <w:tc>
          <w:tcPr>
            <w:tcW w:w="3526" w:type="dxa"/>
          </w:tcPr>
          <w:p w14:paraId="4F3E3C12" w14:textId="22477B67" w:rsidR="00D47B28" w:rsidRPr="007525C0" w:rsidRDefault="00D47B28" w:rsidP="00C258BC">
            <w:pPr>
              <w:pStyle w:val="Table"/>
              <w:jc w:val="both"/>
              <w:rPr>
                <w:b w:val="0"/>
              </w:rPr>
            </w:pPr>
            <w:r>
              <w:rPr>
                <w:b w:val="0"/>
              </w:rPr>
              <w:t>2 sites had more hunting due to direct access to markets of Iquitos via daily riverboat</w:t>
            </w:r>
          </w:p>
        </w:tc>
      </w:tr>
      <w:tr w:rsidR="00FA72F7" w:rsidRPr="00197738" w14:paraId="4E2D7C78" w14:textId="77777777" w:rsidTr="00FA72F7">
        <w:trPr>
          <w:trHeight w:val="170"/>
        </w:trPr>
        <w:tc>
          <w:tcPr>
            <w:tcW w:w="2263" w:type="dxa"/>
          </w:tcPr>
          <w:p w14:paraId="72ECD3AC" w14:textId="3ABB6425" w:rsidR="003D1781" w:rsidRPr="00197738" w:rsidRDefault="003C5D24" w:rsidP="00F41068">
            <w:pPr>
              <w:pStyle w:val="Table"/>
              <w:rPr>
                <w:b w:val="0"/>
              </w:rPr>
            </w:pPr>
            <w:r>
              <w:rPr>
                <w:b w:val="0"/>
              </w:rPr>
              <w:fldChar w:fldCharType="begin" w:fldLock="1"/>
            </w:r>
            <w:r w:rsidR="00AD7405">
              <w:rPr>
                <w:b w:val="0"/>
              </w:rPr>
              <w:instrText>ADDIN CSL_CITATION {"citationItems":[{"id":"ITEM-1","itemData":{"author":[{"dropping-particle":"","family":"Claggett","given":"P R","non-dropping-particle":"","parse-names":false,"suffix":""}],"id":"ITEM-1","issued":{"date-parts":[["1998"]]},"number-of-pages":"29","publisher-place":"Chicago, Illinois, USA","title":"The spatial extent and composition of wildlife harvests among three villages in the Peruvian Amazon. Prepared for delivery at the 1998 meeting of the Latin American Studies Association","type":"report"},"uris":["http://www.mendeley.com/documents/?uuid=ac9a27e8-9682-4b84-a696-b6e82035f24c"]}],"mendeley":{"formattedCitation":"(Claggett 1998)","manualFormatting":"Claggett 1998","plainTextFormattedCitation":"(Claggett 1998)","previouslyFormattedCitation":"(Claggett 1998)"},"properties":{"noteIndex":0},"schema":"https://github.com/citation-style-language/schema/raw/master/csl-citation.json"}</w:instrText>
            </w:r>
            <w:r>
              <w:rPr>
                <w:b w:val="0"/>
              </w:rPr>
              <w:fldChar w:fldCharType="separate"/>
            </w:r>
            <w:r w:rsidRPr="003C5D24">
              <w:rPr>
                <w:b w:val="0"/>
                <w:noProof/>
              </w:rPr>
              <w:t>Claggett 1998</w:t>
            </w:r>
            <w:r>
              <w:rPr>
                <w:b w:val="0"/>
              </w:rPr>
              <w:fldChar w:fldCharType="end"/>
            </w:r>
          </w:p>
        </w:tc>
        <w:tc>
          <w:tcPr>
            <w:tcW w:w="2775" w:type="dxa"/>
          </w:tcPr>
          <w:p w14:paraId="02816C0B" w14:textId="2C15A525" w:rsidR="003D1781" w:rsidRPr="00197738" w:rsidRDefault="003D1781" w:rsidP="00C258BC">
            <w:pPr>
              <w:pStyle w:val="Table"/>
              <w:jc w:val="both"/>
              <w:rPr>
                <w:b w:val="0"/>
              </w:rPr>
            </w:pPr>
            <w:r w:rsidRPr="00197738">
              <w:rPr>
                <w:b w:val="0"/>
              </w:rPr>
              <w:t>4 communities, Peru</w:t>
            </w:r>
          </w:p>
        </w:tc>
        <w:tc>
          <w:tcPr>
            <w:tcW w:w="946" w:type="dxa"/>
          </w:tcPr>
          <w:p w14:paraId="3A1A8D88" w14:textId="556D4E90" w:rsidR="003D1781" w:rsidRPr="007525C0" w:rsidRDefault="003D1781" w:rsidP="00C258BC">
            <w:pPr>
              <w:pStyle w:val="Table"/>
              <w:jc w:val="both"/>
              <w:rPr>
                <w:b w:val="0"/>
              </w:rPr>
            </w:pPr>
            <w:r w:rsidRPr="007525C0">
              <w:rPr>
                <w:b w:val="0"/>
              </w:rPr>
              <w:t>41-58</w:t>
            </w:r>
          </w:p>
        </w:tc>
        <w:tc>
          <w:tcPr>
            <w:tcW w:w="3526" w:type="dxa"/>
          </w:tcPr>
          <w:p w14:paraId="27B46257" w14:textId="16CE0BA8" w:rsidR="003D1781" w:rsidRPr="007525C0" w:rsidRDefault="003D1781" w:rsidP="00C258BC">
            <w:pPr>
              <w:pStyle w:val="Table"/>
              <w:jc w:val="both"/>
              <w:rPr>
                <w:b w:val="0"/>
              </w:rPr>
            </w:pPr>
          </w:p>
        </w:tc>
      </w:tr>
      <w:tr w:rsidR="003D1781" w:rsidRPr="00197738" w14:paraId="4653DF8E" w14:textId="77777777" w:rsidTr="00187531">
        <w:trPr>
          <w:trHeight w:val="170"/>
        </w:trPr>
        <w:tc>
          <w:tcPr>
            <w:tcW w:w="0" w:type="auto"/>
            <w:gridSpan w:val="4"/>
          </w:tcPr>
          <w:p w14:paraId="30F0BC16" w14:textId="77777777" w:rsidR="007525C0" w:rsidRDefault="007525C0" w:rsidP="00F41068">
            <w:pPr>
              <w:pStyle w:val="Table"/>
            </w:pPr>
          </w:p>
          <w:p w14:paraId="0B9DF886" w14:textId="550B6363" w:rsidR="003D1781" w:rsidRPr="007525C0" w:rsidRDefault="00054762" w:rsidP="00F41068">
            <w:pPr>
              <w:pStyle w:val="Table"/>
            </w:pPr>
            <w:r w:rsidRPr="007525C0">
              <w:t>Asi</w:t>
            </w:r>
            <w:r w:rsidR="003D1781" w:rsidRPr="007525C0">
              <w:t>a</w:t>
            </w:r>
          </w:p>
        </w:tc>
      </w:tr>
      <w:tr w:rsidR="00FA72F7" w:rsidRPr="00197738" w14:paraId="26C96133" w14:textId="77777777" w:rsidTr="00FA72F7">
        <w:trPr>
          <w:trHeight w:val="170"/>
        </w:trPr>
        <w:tc>
          <w:tcPr>
            <w:tcW w:w="2263" w:type="dxa"/>
          </w:tcPr>
          <w:p w14:paraId="7AB63285" w14:textId="54CA7CE9" w:rsidR="003D1781" w:rsidRPr="00197738" w:rsidRDefault="003C5D24" w:rsidP="00F41068">
            <w:pPr>
              <w:pStyle w:val="Table"/>
              <w:rPr>
                <w:b w:val="0"/>
              </w:rPr>
            </w:pPr>
            <w:r>
              <w:rPr>
                <w:b w:val="0"/>
              </w:rPr>
              <w:fldChar w:fldCharType="begin" w:fldLock="1"/>
            </w:r>
            <w:r w:rsidR="00AD7405">
              <w:rPr>
                <w:b w:val="0"/>
              </w:rPr>
              <w:instrText>ADDIN CSL_CITATION {"citationItems":[{"id":"ITEM-1","itemData":{"DOI":"10.1007/s00267-010-9519-x","ISBN":"0364-152x","ISSN":"0364152X","PMID":"20593177","abstract":"The Hponkanrazi Wildlife Sanctuary, North Myanmar and three contiguous protected areas, comprise some of the largest expanses of natural forest remaining in the region. Demand for wildlife products has resulted in unsustainable exploitation of commercially valuable species resulting in local extirpation of vulnerable species. Camera trap, track and sign, and questionnaire-based surveys were used to examine (a) wildlife species targeted by hunters, (b) the importance of wild meat for household consumption, and (c) the significance of hunting as a livelihood activity for resident villages. Certain commercially valuable species highly preferred by hunters were either completely absent from hunt records (tiger, musk deer and otter) or infrequently obtained during actual hunts (bear, pangolin). Species obtained by hunters were commonly occurring species such as muntjacs with low commercial value and not highly preferred by hunters. Fifty eight percent of respondents (n = 84) indicated trade, 27% listed subsistence use and 14% listed human-wildlife conflict as the main reason for hunting (n = 84). Average amount of wild meat consumed per month is not significantly higher during the hunting season compared to the planting season (paired t-test, P &gt; 0.05). Throughout the year, the average amount of fish consumed per month was higher than livestock or wild meat (Friedman test, P &lt; 0.0001). Hunting is driven largely by trade and wild meat, while not a critical source of food for a large number of families could potentially be an important, indirect source of access to food for hunting families. Findings and trends from this study are potentially useful in helping design effective conservation strategies to address globally prevalent problems of declining wildlife populations and dependent human communities. The study provides recommendations to reduce illegal hunting and protect vulnerable species by strengthening park management through enforcement, increasing the opportunity costs of poaching, establishing no-take zones and research to determine the economic significance of hunting for livelihoods.","author":[{"dropping-particle":"","family":"Rao","given":"Madhu","non-dropping-particle":"","parse-names":false,"suffix":""},{"dropping-particle":"","family":"Htun","given":"Saw","non-dropping-particle":"","parse-names":false,"suffix":""},{"dropping-particle":"","family":"Zaw","given":"Than","non-dropping-particle":"","parse-names":false,"suffix":""},{"dropping-particle":"","family":"Myint","given":"Than","non-dropping-particle":"","parse-names":false,"suffix":""}],"container-title":"Environmental Management","id":"ITEM-1","issue":"2","issued":{"date-parts":[["2010"]]},"page":"143-153","title":"Hunting, livelihoods and declining wildlife in the Hponkanrazi wildlife sanctuary, North Myanmar","type":"article-journal","volume":"46"},"uris":["http://www.mendeley.com/documents/?uuid=628e13ca-14f1-4766-ba54-5bd34709b836"]}],"mendeley":{"formattedCitation":"(Rao et al. 2010)","manualFormatting":"Rao et al. 2010","plainTextFormattedCitation":"(Rao et al. 2010)","previouslyFormattedCitation":"(Rao et al. 2010)"},"properties":{"noteIndex":0},"schema":"https://github.com/citation-style-language/schema/raw/master/csl-citation.json"}</w:instrText>
            </w:r>
            <w:r>
              <w:rPr>
                <w:b w:val="0"/>
              </w:rPr>
              <w:fldChar w:fldCharType="separate"/>
            </w:r>
            <w:r w:rsidRPr="003C5D24">
              <w:rPr>
                <w:b w:val="0"/>
                <w:noProof/>
              </w:rPr>
              <w:t>Rao et al. 2010</w:t>
            </w:r>
            <w:r>
              <w:rPr>
                <w:b w:val="0"/>
              </w:rPr>
              <w:fldChar w:fldCharType="end"/>
            </w:r>
          </w:p>
        </w:tc>
        <w:tc>
          <w:tcPr>
            <w:tcW w:w="2775" w:type="dxa"/>
          </w:tcPr>
          <w:p w14:paraId="77948636" w14:textId="77777777" w:rsidR="00C32567" w:rsidRPr="00C32567" w:rsidRDefault="00C32567" w:rsidP="00C258BC">
            <w:pPr>
              <w:pStyle w:val="Table"/>
              <w:jc w:val="both"/>
              <w:rPr>
                <w:b w:val="0"/>
                <w:lang w:val="en"/>
              </w:rPr>
            </w:pPr>
            <w:r>
              <w:rPr>
                <w:b w:val="0"/>
              </w:rPr>
              <w:t xml:space="preserve">13 villages surrounding the </w:t>
            </w:r>
            <w:r w:rsidRPr="00C32567">
              <w:rPr>
                <w:b w:val="0"/>
                <w:lang w:val="en"/>
              </w:rPr>
              <w:t>Hponkanrazi Wildlife Sanctuary, North Myanmar</w:t>
            </w:r>
          </w:p>
          <w:p w14:paraId="17EDAB26" w14:textId="77777777" w:rsidR="00C32567" w:rsidRPr="00C32567" w:rsidRDefault="00C32567" w:rsidP="00C258BC">
            <w:pPr>
              <w:pStyle w:val="Table"/>
              <w:ind w:left="720"/>
              <w:jc w:val="both"/>
            </w:pPr>
          </w:p>
          <w:p w14:paraId="3ABD15F9" w14:textId="2483ACBD" w:rsidR="003D1781" w:rsidRPr="00197738" w:rsidRDefault="003D1781" w:rsidP="00C258BC">
            <w:pPr>
              <w:pStyle w:val="Table"/>
              <w:jc w:val="both"/>
              <w:rPr>
                <w:b w:val="0"/>
              </w:rPr>
            </w:pPr>
          </w:p>
        </w:tc>
        <w:tc>
          <w:tcPr>
            <w:tcW w:w="946" w:type="dxa"/>
          </w:tcPr>
          <w:p w14:paraId="0300BC77" w14:textId="64EC8C09" w:rsidR="003D1781" w:rsidRPr="00710CCC" w:rsidRDefault="00C32567" w:rsidP="00C258BC">
            <w:pPr>
              <w:pStyle w:val="Table"/>
              <w:jc w:val="both"/>
              <w:rPr>
                <w:b w:val="0"/>
              </w:rPr>
            </w:pPr>
            <w:r w:rsidRPr="00710CCC">
              <w:rPr>
                <w:b w:val="0"/>
              </w:rPr>
              <w:t>58</w:t>
            </w:r>
          </w:p>
        </w:tc>
        <w:tc>
          <w:tcPr>
            <w:tcW w:w="3526" w:type="dxa"/>
          </w:tcPr>
          <w:p w14:paraId="4E4ACDE3" w14:textId="6540FDF2" w:rsidR="003D1781" w:rsidRPr="00710CCC" w:rsidRDefault="00C32567" w:rsidP="00C258BC">
            <w:pPr>
              <w:pStyle w:val="Table"/>
              <w:jc w:val="both"/>
              <w:rPr>
                <w:b w:val="0"/>
              </w:rPr>
            </w:pPr>
            <w:r w:rsidRPr="00710CCC">
              <w:rPr>
                <w:b w:val="0"/>
              </w:rPr>
              <w:t>% of hunters giving trade as the reason for their hunting trip.</w:t>
            </w:r>
          </w:p>
        </w:tc>
      </w:tr>
    </w:tbl>
    <w:p w14:paraId="5D2580A1" w14:textId="3CF534D9" w:rsidR="00187531" w:rsidRDefault="00187531" w:rsidP="00C258BC">
      <w:pPr>
        <w:jc w:val="both"/>
        <w:rPr>
          <w:color w:val="000000" w:themeColor="text1"/>
        </w:rPr>
      </w:pPr>
    </w:p>
    <w:p w14:paraId="02C4760F" w14:textId="5F3626EC" w:rsidR="00187531" w:rsidRDefault="00187531" w:rsidP="00C258BC">
      <w:pPr>
        <w:pStyle w:val="Caption"/>
        <w:jc w:val="both"/>
      </w:pPr>
      <w:bookmarkStart w:id="78" w:name="_Ref520205156"/>
      <w:r>
        <w:t xml:space="preserve">Table </w:t>
      </w:r>
      <w:r>
        <w:fldChar w:fldCharType="begin"/>
      </w:r>
      <w:r>
        <w:instrText xml:space="preserve"> SEQ Table \* ARABIC </w:instrText>
      </w:r>
      <w:r>
        <w:fldChar w:fldCharType="separate"/>
      </w:r>
      <w:r w:rsidR="004873F0">
        <w:rPr>
          <w:noProof/>
        </w:rPr>
        <w:t>4</w:t>
      </w:r>
      <w:r>
        <w:fldChar w:fldCharType="end"/>
      </w:r>
      <w:bookmarkEnd w:id="78"/>
      <w:r>
        <w:t xml:space="preserve">: The percentage of household income attributed to wild meat sales, for sites </w:t>
      </w:r>
      <w:r w:rsidR="00E25348">
        <w:t xml:space="preserve">studied </w:t>
      </w:r>
      <w:r>
        <w:t>in Africa, South America and Asia</w:t>
      </w:r>
    </w:p>
    <w:p w14:paraId="45F1E18F" w14:textId="77777777" w:rsidR="00187531" w:rsidRDefault="00187531" w:rsidP="00C258BC">
      <w:pPr>
        <w:pStyle w:val="Table"/>
        <w:jc w:val="both"/>
      </w:pPr>
    </w:p>
    <w:tbl>
      <w:tblPr>
        <w:tblStyle w:val="TableGrid"/>
        <w:tblW w:w="9024" w:type="dxa"/>
        <w:tblLook w:val="04A0" w:firstRow="1" w:lastRow="0" w:firstColumn="1" w:lastColumn="0" w:noHBand="0" w:noVBand="1"/>
      </w:tblPr>
      <w:tblGrid>
        <w:gridCol w:w="2256"/>
        <w:gridCol w:w="2256"/>
        <w:gridCol w:w="1012"/>
        <w:gridCol w:w="3500"/>
      </w:tblGrid>
      <w:tr w:rsidR="00187531" w14:paraId="7B80538B" w14:textId="77777777" w:rsidTr="005C2F20">
        <w:trPr>
          <w:trHeight w:val="294"/>
        </w:trPr>
        <w:tc>
          <w:tcPr>
            <w:tcW w:w="2256" w:type="dxa"/>
            <w:shd w:val="clear" w:color="auto" w:fill="E7E6E6" w:themeFill="background2"/>
          </w:tcPr>
          <w:p w14:paraId="6B67090F" w14:textId="77777777" w:rsidR="00187531" w:rsidRDefault="00187531" w:rsidP="00C258BC">
            <w:pPr>
              <w:pStyle w:val="Table"/>
              <w:jc w:val="both"/>
            </w:pPr>
            <w:r w:rsidRPr="00DD505D">
              <w:t>Source</w:t>
            </w:r>
          </w:p>
        </w:tc>
        <w:tc>
          <w:tcPr>
            <w:tcW w:w="2256" w:type="dxa"/>
            <w:shd w:val="clear" w:color="auto" w:fill="E7E6E6" w:themeFill="background2"/>
          </w:tcPr>
          <w:p w14:paraId="6AD37AAF" w14:textId="77777777" w:rsidR="00187531" w:rsidRDefault="00187531" w:rsidP="00C258BC">
            <w:pPr>
              <w:pStyle w:val="Table"/>
              <w:jc w:val="both"/>
            </w:pPr>
            <w:r w:rsidRPr="00DD505D">
              <w:t>Site</w:t>
            </w:r>
          </w:p>
        </w:tc>
        <w:tc>
          <w:tcPr>
            <w:tcW w:w="1012" w:type="dxa"/>
            <w:shd w:val="clear" w:color="auto" w:fill="E7E6E6" w:themeFill="background2"/>
          </w:tcPr>
          <w:p w14:paraId="4E167DB1" w14:textId="77777777" w:rsidR="00187531" w:rsidRDefault="00187531" w:rsidP="00C258BC">
            <w:pPr>
              <w:pStyle w:val="Table"/>
              <w:jc w:val="both"/>
            </w:pPr>
            <w:r w:rsidRPr="00DD505D">
              <w:t xml:space="preserve">% of income </w:t>
            </w:r>
          </w:p>
        </w:tc>
        <w:tc>
          <w:tcPr>
            <w:tcW w:w="3500" w:type="dxa"/>
            <w:shd w:val="clear" w:color="auto" w:fill="E7E6E6" w:themeFill="background2"/>
          </w:tcPr>
          <w:p w14:paraId="4FE0BB5A" w14:textId="77777777" w:rsidR="00187531" w:rsidRDefault="00187531" w:rsidP="00C258BC">
            <w:pPr>
              <w:pStyle w:val="Table"/>
              <w:jc w:val="both"/>
            </w:pPr>
            <w:r w:rsidRPr="00DD505D">
              <w:t>Notes</w:t>
            </w:r>
          </w:p>
        </w:tc>
      </w:tr>
      <w:tr w:rsidR="00187531" w14:paraId="1AAE1511" w14:textId="77777777" w:rsidTr="005C2F20">
        <w:trPr>
          <w:trHeight w:val="294"/>
        </w:trPr>
        <w:tc>
          <w:tcPr>
            <w:tcW w:w="9024" w:type="dxa"/>
            <w:gridSpan w:val="4"/>
          </w:tcPr>
          <w:p w14:paraId="0511F243" w14:textId="77777777" w:rsidR="00187531" w:rsidRDefault="00187531" w:rsidP="00C258BC">
            <w:pPr>
              <w:pStyle w:val="Table"/>
              <w:jc w:val="both"/>
            </w:pPr>
          </w:p>
          <w:p w14:paraId="1C87A412" w14:textId="77777777" w:rsidR="00187531" w:rsidRPr="00197738" w:rsidRDefault="00187531" w:rsidP="00C258BC">
            <w:pPr>
              <w:pStyle w:val="Table"/>
              <w:jc w:val="both"/>
            </w:pPr>
            <w:r w:rsidRPr="00197738">
              <w:t>Sub-Saharan Africa</w:t>
            </w:r>
          </w:p>
        </w:tc>
      </w:tr>
      <w:tr w:rsidR="00187531" w14:paraId="5EF3B3EE" w14:textId="77777777" w:rsidTr="005C2F20">
        <w:trPr>
          <w:trHeight w:val="294"/>
        </w:trPr>
        <w:tc>
          <w:tcPr>
            <w:tcW w:w="2256" w:type="dxa"/>
          </w:tcPr>
          <w:p w14:paraId="58A0F0D2" w14:textId="5F4F5EEA" w:rsidR="00187531" w:rsidRDefault="00AD7405" w:rsidP="00C258BC">
            <w:pPr>
              <w:pStyle w:val="Table"/>
              <w:jc w:val="both"/>
              <w:rPr>
                <w:b w:val="0"/>
              </w:rPr>
            </w:pPr>
            <w:r>
              <w:rPr>
                <w:b w:val="0"/>
              </w:rPr>
              <w:fldChar w:fldCharType="begin" w:fldLock="1"/>
            </w:r>
            <w:r w:rsidR="00496039">
              <w:rPr>
                <w:b w:val="0"/>
              </w:rPr>
              <w:instrText>ADDIN CSL_CITATION {"citationItems":[{"id":"ITEM-1","itemData":{"DOI":"10.1007/s10668-016-9812-9","ISSN":"15732975","abstract":"This paper examines the approaches heterosexual men and women in South Africa use to engage their partners in discussions of HIV and risk factors in their relationships. These strategies entail balancing the risks of infection while managing the challenges of maintaining a relationship. In a context in which there is a great deal of insecurity in relationships it is especially challenging to discuss HIV risks with partners. Our findings reveal that concerns about children or the desire to have children provided a legitimate basis for discussing HIV risk with partners. The focus of these discussions is on the future for their children. Research in South Africa should attend to men's and women's desires to have and to raise children. HIV prevention and treatment programmes can capitalise on concerns regarding children, and the future of the family, to engage men and women in discussing mutually acceptable strategies for preventing infection and ensuring safe conception. Cet article examine les méthodes employées par les hommes et les femmes hétérosexuel(le) s en Afrique du Sud pour inciter leurs partenaires à discuter du VIH et des facteurs de risque, dans le cadre de leurs relations. Ces stratégies exigent la mise en balance des risques de contamination, simultanément à la gestion du défi que représente la préservation des relations. Dans un contexte de grande insécurité pour celles-ci, il est particulièrement ardu d'aborder la question des risques liés au VIH avec les partenaires. Les résultats révèlent que les préoccupations concernant les enfants ou le désir d'en avoir constituent une base valable de discussion avec les partenaires sur les risques liés au VIH. Au centre de ces discussions est l'avenir des enfants. En Afrique du Sud, la recherche devrait être attentive aux désirs des hommes et des femmes d'avoir des enfants et de les élever. La prévention du VIH et les programmes d'accès aux traitements peuvent s'appuyer sur ces préoccupations concernant les enfants et l'avenir de la famille, pour inciter les hommes et les femmes à discuter des stratégies de prévention de l'infection et de conception à moindre risque, acceptables aux yeux des deux partenaires. En este artículo analizamos los planteamientos que utilizan los hombres y las mujeres heterosexuales en Sudáfrica para estimular a sus parejas en el diáogo sobre el sida y los factores de riesgo en sus relaciones. Con estas estrategias se intenta equilibrar los riesgos de infección a la vez de as…","author":[{"dropping-particle":"","family":"Bakkegaard","given":"Riyong Kim","non-dropping-particle":"","parse-names":false,"suffix":""},{"dropping-particle":"","family":"Nielsen","given":"Martin Reinhardt","non-dropping-particle":"","parse-names":false,"suffix":""},{"dropping-particle":"","family":"Thorsen","given":"Bo Jellesmark","non-dropping-particle":"","parse-names":false,"suffix":""}],"container-title":"Environment, Development and Sustainability","id":"ITEM-1","issue":"4","issued":{"date-parts":[["2017"]]},"page":"1425-1443","publisher":"Springer Netherlands","title":"Household determinants of bushmeat and eru (Gnetum africanum) harvesting for cash in the Democratic Republic of Congo","type":"article-journal","volume":"19"},"uris":["http://www.mendeley.com/documents/?uuid=b133aa85-c832-4607-bcd4-65378f026527"]}],"mendeley":{"formattedCitation":"(Bakkegaard et al. 2017)","manualFormatting":"Bakkegaard et al. 2017","plainTextFormattedCitation":"(Bakkegaard et al. 2017)","previouslyFormattedCitation":"(Bakkegaard et al. 2017)"},"properties":{"noteIndex":0},"schema":"https://github.com/citation-style-language/schema/raw/master/csl-citation.json"}</w:instrText>
            </w:r>
            <w:r>
              <w:rPr>
                <w:b w:val="0"/>
              </w:rPr>
              <w:fldChar w:fldCharType="separate"/>
            </w:r>
            <w:r w:rsidRPr="00AD7405">
              <w:rPr>
                <w:b w:val="0"/>
                <w:noProof/>
              </w:rPr>
              <w:t>Bakkegaard et al. 2017</w:t>
            </w:r>
            <w:r>
              <w:rPr>
                <w:b w:val="0"/>
              </w:rPr>
              <w:fldChar w:fldCharType="end"/>
            </w:r>
          </w:p>
          <w:p w14:paraId="236AEE71" w14:textId="5C1D4312" w:rsidR="00AD7405" w:rsidRPr="00197738" w:rsidRDefault="00AD7405" w:rsidP="00C258BC">
            <w:pPr>
              <w:pStyle w:val="Table"/>
              <w:jc w:val="both"/>
              <w:rPr>
                <w:b w:val="0"/>
              </w:rPr>
            </w:pPr>
          </w:p>
        </w:tc>
        <w:tc>
          <w:tcPr>
            <w:tcW w:w="2256" w:type="dxa"/>
          </w:tcPr>
          <w:p w14:paraId="584A208B" w14:textId="77777777" w:rsidR="00187531" w:rsidRPr="00197738" w:rsidRDefault="00187531" w:rsidP="00C258BC">
            <w:pPr>
              <w:pStyle w:val="Table"/>
              <w:jc w:val="both"/>
              <w:rPr>
                <w:b w:val="0"/>
              </w:rPr>
            </w:pPr>
            <w:r w:rsidRPr="00197738">
              <w:rPr>
                <w:b w:val="0"/>
              </w:rPr>
              <w:t>5 villages, DRC</w:t>
            </w:r>
          </w:p>
        </w:tc>
        <w:tc>
          <w:tcPr>
            <w:tcW w:w="1012" w:type="dxa"/>
          </w:tcPr>
          <w:p w14:paraId="2ECF56E1" w14:textId="77777777" w:rsidR="00187531" w:rsidRPr="00197738" w:rsidRDefault="00187531" w:rsidP="00C258BC">
            <w:pPr>
              <w:pStyle w:val="Table"/>
              <w:jc w:val="both"/>
              <w:rPr>
                <w:b w:val="0"/>
              </w:rPr>
            </w:pPr>
            <w:r w:rsidRPr="00197738">
              <w:rPr>
                <w:b w:val="0"/>
              </w:rPr>
              <w:t>58</w:t>
            </w:r>
          </w:p>
        </w:tc>
        <w:tc>
          <w:tcPr>
            <w:tcW w:w="3500" w:type="dxa"/>
          </w:tcPr>
          <w:p w14:paraId="6344BC2B" w14:textId="77777777" w:rsidR="00187531" w:rsidRPr="00197738" w:rsidRDefault="00187531" w:rsidP="00C258BC">
            <w:pPr>
              <w:pStyle w:val="Table"/>
              <w:jc w:val="both"/>
              <w:rPr>
                <w:b w:val="0"/>
              </w:rPr>
            </w:pPr>
            <w:r w:rsidRPr="00197738">
              <w:rPr>
                <w:b w:val="0"/>
              </w:rPr>
              <w:t>Forest cash income of those involved in trade</w:t>
            </w:r>
          </w:p>
        </w:tc>
      </w:tr>
      <w:tr w:rsidR="00187531" w14:paraId="081925B3" w14:textId="77777777" w:rsidTr="005C2F20">
        <w:trPr>
          <w:trHeight w:val="294"/>
        </w:trPr>
        <w:tc>
          <w:tcPr>
            <w:tcW w:w="2256" w:type="dxa"/>
          </w:tcPr>
          <w:p w14:paraId="464AAA65" w14:textId="75F34D71" w:rsidR="00187531" w:rsidRPr="00197738" w:rsidRDefault="00AD7405" w:rsidP="00C258BC">
            <w:pPr>
              <w:pStyle w:val="Table"/>
              <w:jc w:val="both"/>
              <w:rPr>
                <w:b w:val="0"/>
              </w:rPr>
            </w:pPr>
            <w:r>
              <w:rPr>
                <w:b w:val="0"/>
              </w:rPr>
              <w:fldChar w:fldCharType="begin" w:fldLock="1"/>
            </w:r>
            <w:r w:rsidR="00496039">
              <w:rPr>
                <w:b w:val="0"/>
              </w:rPr>
              <w:instrText>ADDIN CSL_CITATION {"citationItems":[{"id":"ITEM-1","itemData":{"DOI":"10.1007/s10668-016-9812-9","ISSN":"15732975","abstract":"This paper examines the approaches heterosexual men and women in South Africa use to engage their partners in discussions of HIV and risk factors in their relationships. These strategies entail balancing the risks of infection while managing the challenges of maintaining a relationship. In a context in which there is a great deal of insecurity in relationships it is especially challenging to discuss HIV risks with partners. Our findings reveal that concerns about children or the desire to have children provided a legitimate basis for discussing HIV risk with partners. The focus of these discussions is on the future for their children. Research in South Africa should attend to men's and women's desires to have and to raise children. HIV prevention and treatment programmes can capitalise on concerns regarding children, and the future of the family, to engage men and women in discussing mutually acceptable strategies for preventing infection and ensuring safe conception. Cet article examine les méthodes employées par les hommes et les femmes hétérosexuel(le) s en Afrique du Sud pour inciter leurs partenaires à discuter du VIH et des facteurs de risque, dans le cadre de leurs relations. Ces stratégies exigent la mise en balance des risques de contamination, simultanément à la gestion du défi que représente la préservation des relations. Dans un contexte de grande insécurité pour celles-ci, il est particulièrement ardu d'aborder la question des risques liés au VIH avec les partenaires. Les résultats révèlent que les préoccupations concernant les enfants ou le désir d'en avoir constituent une base valable de discussion avec les partenaires sur les risques liés au VIH. Au centre de ces discussions est l'avenir des enfants. En Afrique du Sud, la recherche devrait être attentive aux désirs des hommes et des femmes d'avoir des enfants et de les élever. La prévention du VIH et les programmes d'accès aux traitements peuvent s'appuyer sur ces préoccupations concernant les enfants et l'avenir de la famille, pour inciter les hommes et les femmes à discuter des stratégies de prévention de l'infection et de conception à moindre risque, acceptables aux yeux des deux partenaires. En este artículo analizamos los planteamientos que utilizan los hombres y las mujeres heterosexuales en Sudáfrica para estimular a sus parejas en el diáogo sobre el sida y los factores de riesgo en sus relaciones. Con estas estrategias se intenta equilibrar los riesgos de infección a la vez de as…","author":[{"dropping-particle":"","family":"Bakkegaard","given":"Riyong Kim","non-dropping-particle":"","parse-names":false,"suffix":""},{"dropping-particle":"","family":"Nielsen","given":"Martin Reinhardt","non-dropping-particle":"","parse-names":false,"suffix":""},{"dropping-particle":"","family":"Thorsen","given":"Bo Jellesmark","non-dropping-particle":"","parse-names":false,"suffix":""}],"container-title":"Environment, Development and Sustainability","id":"ITEM-1","issue":"4","issued":{"date-parts":[["2017"]]},"page":"1425-1443","publisher":"Springer Netherlands","title":"Household determinants of bushmeat and eru (Gnetum africanum) harvesting for cash in the Democratic Republic of Congo","type":"article-journal","volume":"19"},"uris":["http://www.mendeley.com/documents/?uuid=b133aa85-c832-4607-bcd4-65378f026527"]}],"mendeley":{"formattedCitation":"(Bakkegaard et al. 2017)","manualFormatting":"Bakkegaard et al. 2017","plainTextFormattedCitation":"(Bakkegaard et al. 2017)","previouslyFormattedCitation":"(Bakkegaard et al. 2017)"},"properties":{"noteIndex":0},"schema":"https://github.com/citation-style-language/schema/raw/master/csl-citation.json"}</w:instrText>
            </w:r>
            <w:r>
              <w:rPr>
                <w:b w:val="0"/>
              </w:rPr>
              <w:fldChar w:fldCharType="separate"/>
            </w:r>
            <w:r w:rsidRPr="00AD7405">
              <w:rPr>
                <w:b w:val="0"/>
                <w:noProof/>
              </w:rPr>
              <w:t>Bakkegaard et al. 2017</w:t>
            </w:r>
            <w:r>
              <w:rPr>
                <w:b w:val="0"/>
              </w:rPr>
              <w:fldChar w:fldCharType="end"/>
            </w:r>
          </w:p>
        </w:tc>
        <w:tc>
          <w:tcPr>
            <w:tcW w:w="2256" w:type="dxa"/>
          </w:tcPr>
          <w:p w14:paraId="3977C4FA" w14:textId="77777777" w:rsidR="00187531" w:rsidRPr="00197738" w:rsidRDefault="00187531" w:rsidP="00C258BC">
            <w:pPr>
              <w:pStyle w:val="Table"/>
              <w:jc w:val="both"/>
              <w:rPr>
                <w:b w:val="0"/>
              </w:rPr>
            </w:pPr>
            <w:r w:rsidRPr="00197738">
              <w:rPr>
                <w:b w:val="0"/>
              </w:rPr>
              <w:t>5 villages, DRC</w:t>
            </w:r>
          </w:p>
        </w:tc>
        <w:tc>
          <w:tcPr>
            <w:tcW w:w="1012" w:type="dxa"/>
          </w:tcPr>
          <w:p w14:paraId="42CC6DF5" w14:textId="77777777" w:rsidR="00187531" w:rsidRPr="00197738" w:rsidRDefault="00187531" w:rsidP="00C258BC">
            <w:pPr>
              <w:pStyle w:val="Table"/>
              <w:jc w:val="both"/>
              <w:rPr>
                <w:b w:val="0"/>
              </w:rPr>
            </w:pPr>
            <w:r w:rsidRPr="00197738">
              <w:rPr>
                <w:b w:val="0"/>
              </w:rPr>
              <w:t>21</w:t>
            </w:r>
          </w:p>
        </w:tc>
        <w:tc>
          <w:tcPr>
            <w:tcW w:w="3500" w:type="dxa"/>
          </w:tcPr>
          <w:p w14:paraId="37A32041" w14:textId="77777777" w:rsidR="00187531" w:rsidRPr="00197738" w:rsidRDefault="00187531" w:rsidP="002C0EF9">
            <w:pPr>
              <w:pStyle w:val="Table"/>
              <w:rPr>
                <w:b w:val="0"/>
              </w:rPr>
            </w:pPr>
            <w:r w:rsidRPr="00197738">
              <w:rPr>
                <w:b w:val="0"/>
              </w:rPr>
              <w:t xml:space="preserve">Total forest income (cash and subsistence) </w:t>
            </w:r>
          </w:p>
        </w:tc>
      </w:tr>
      <w:tr w:rsidR="00AD7405" w14:paraId="108FE41C" w14:textId="77777777" w:rsidTr="005C2F20">
        <w:trPr>
          <w:trHeight w:val="294"/>
        </w:trPr>
        <w:tc>
          <w:tcPr>
            <w:tcW w:w="2256" w:type="dxa"/>
          </w:tcPr>
          <w:p w14:paraId="1414B0D0" w14:textId="0162C4DA" w:rsidR="00AD7405" w:rsidRPr="00197738" w:rsidRDefault="00AD7405" w:rsidP="00AD7405">
            <w:pPr>
              <w:pStyle w:val="Table"/>
              <w:jc w:val="both"/>
              <w:rPr>
                <w:b w:val="0"/>
              </w:rPr>
            </w:pPr>
            <w:r>
              <w:rPr>
                <w:b w:val="0"/>
              </w:rPr>
              <w:fldChar w:fldCharType="begin" w:fldLock="1"/>
            </w:r>
            <w:r>
              <w:rPr>
                <w:b w:val="0"/>
              </w:rPr>
              <w:instrText>ADDIN CSL_CITATION {"citationItems":[{"id":"ITEM-1","itemData":{"DOI":"10.1111/cobi.12174.Economic","author":[{"dropping-particle":"","family":"Golden","given":"C D","non-dropping-particle":"","parse-names":false,"suffix":""},{"dropping-particle":"","family":"Bonds","given":"M H","non-dropping-particle":"","parse-names":false,"suffix":""},{"dropping-particle":"","family":"Brashares","given":"J S","non-dropping-particle":"","parse-names":false,"suffix":""},{"dropping-particle":"","family":"Rasolofoniaina","given":"B J R","non-dropping-particle":"","parse-names":false,"suffix":""},{"dropping-particle":"","family":"Kremen","given":"C","non-dropping-particle":"","parse-names":false,"suffix":""}],"container-title":"Conservation Biology","id":"ITEM-1","issue":"1","issued":{"date-parts":[["2014"]]},"page":"234-243","title":"Economic valuation of subsistence harvest of wildlife in Madagascar","type":"article-journal","volume":"28"},"uris":["http://www.mendeley.com/documents/?uuid=cce4700e-dfa6-41a3-a7c9-fb4966558ad5"]}],"mendeley":{"formattedCitation":"(Golden et al. 2014)","manualFormatting":"Golden et al. 2014","plainTextFormattedCitation":"(Golden et al. 2014)","previouslyFormattedCitation":"(Golden et al. 2014)"},"properties":{"noteIndex":0},"schema":"https://github.com/citation-style-language/schema/raw/master/csl-citation.json"}</w:instrText>
            </w:r>
            <w:r>
              <w:rPr>
                <w:b w:val="0"/>
              </w:rPr>
              <w:fldChar w:fldCharType="separate"/>
            </w:r>
            <w:r w:rsidRPr="00AD7405">
              <w:rPr>
                <w:b w:val="0"/>
                <w:noProof/>
              </w:rPr>
              <w:t>Golden et al. 2014</w:t>
            </w:r>
            <w:r>
              <w:rPr>
                <w:b w:val="0"/>
              </w:rPr>
              <w:fldChar w:fldCharType="end"/>
            </w:r>
          </w:p>
        </w:tc>
        <w:tc>
          <w:tcPr>
            <w:tcW w:w="2256" w:type="dxa"/>
          </w:tcPr>
          <w:p w14:paraId="78CFE5BD" w14:textId="3841ADF0" w:rsidR="00AD7405" w:rsidRPr="00197738" w:rsidRDefault="00AD7405" w:rsidP="00AD7405">
            <w:pPr>
              <w:pStyle w:val="Table"/>
              <w:jc w:val="both"/>
              <w:rPr>
                <w:b w:val="0"/>
              </w:rPr>
            </w:pPr>
            <w:r w:rsidRPr="00197738">
              <w:rPr>
                <w:b w:val="0"/>
              </w:rPr>
              <w:t>39 villages, Madagascar</w:t>
            </w:r>
          </w:p>
        </w:tc>
        <w:tc>
          <w:tcPr>
            <w:tcW w:w="1012" w:type="dxa"/>
          </w:tcPr>
          <w:p w14:paraId="5AAD7D1E" w14:textId="4ABAA156" w:rsidR="00AD7405" w:rsidRPr="00197738" w:rsidRDefault="00AD7405" w:rsidP="00AD7405">
            <w:pPr>
              <w:pStyle w:val="Table"/>
              <w:jc w:val="both"/>
              <w:rPr>
                <w:b w:val="0"/>
              </w:rPr>
            </w:pPr>
            <w:r w:rsidRPr="00197738">
              <w:rPr>
                <w:b w:val="0"/>
              </w:rPr>
              <w:t>57</w:t>
            </w:r>
          </w:p>
        </w:tc>
        <w:tc>
          <w:tcPr>
            <w:tcW w:w="3500" w:type="dxa"/>
          </w:tcPr>
          <w:p w14:paraId="4CA5D2AC" w14:textId="74CC2F37" w:rsidR="00AD7405" w:rsidRPr="00197738" w:rsidRDefault="00AD7405" w:rsidP="00AD7405">
            <w:pPr>
              <w:pStyle w:val="Table"/>
              <w:jc w:val="both"/>
              <w:rPr>
                <w:b w:val="0"/>
              </w:rPr>
            </w:pPr>
            <w:r w:rsidRPr="00197738">
              <w:rPr>
                <w:b w:val="0"/>
              </w:rPr>
              <w:t xml:space="preserve">Mean and median were very different </w:t>
            </w:r>
          </w:p>
        </w:tc>
      </w:tr>
      <w:tr w:rsidR="00187531" w14:paraId="7F998A91" w14:textId="77777777" w:rsidTr="005C2F20">
        <w:trPr>
          <w:trHeight w:val="294"/>
        </w:trPr>
        <w:tc>
          <w:tcPr>
            <w:tcW w:w="2256" w:type="dxa"/>
          </w:tcPr>
          <w:p w14:paraId="47C7ED76" w14:textId="3E90F816" w:rsidR="00187531" w:rsidRPr="00197738" w:rsidRDefault="00AD7405" w:rsidP="00C258BC">
            <w:pPr>
              <w:pStyle w:val="Table"/>
              <w:jc w:val="both"/>
              <w:rPr>
                <w:b w:val="0"/>
              </w:rPr>
            </w:pPr>
            <w:r>
              <w:rPr>
                <w:b w:val="0"/>
              </w:rPr>
              <w:fldChar w:fldCharType="begin" w:fldLock="1"/>
            </w:r>
            <w:r>
              <w:rPr>
                <w:b w:val="0"/>
              </w:rPr>
              <w:instrText>ADDIN CSL_CITATION {"citationItems":[{"id":"ITEM-1","itemData":{"DOI":"10.1111/j.1523-1739.2011.01802.x","ISBN":"0888-8892","ISSN":"08888892","PMID":"22182047","abstract":"Hunted wild animals (i.e., bushmeat) are a main source of protein for many rural populations in the tropics, and the unsustainable harvest of these animals puts both human food security and ecosystem functioning at risk. To understand the correlates of bushmeat consumption, we surveyed 1219 households in 121 rural villages near three newly established national parks in Gabon. Through the surveys we gathered information on bushmeat consumption, income, and material assests. In addition, we quantified land cover in a 5-km radius around the village center and distance of the village center to the nearest park boundary. Bushmeat was not a source of income for most households, but it was the primary animal protein consumed. Ninety-seven percent of households consumed bushmeat at least once during a survey period of 12 days. Income or wealth, land cover, distance of village to the nearest park boundary, and level of education of the head of the household were among the factors that significantly related to the likelihood of consuming any of the 10 most commonly consumed species of bushmeat. Household size was the predictor most strongly associated with quantities of bushmeat consumed and was negatively related to consumption. Total bushmeat consumption per adult male equivalent increased as household wealth increased and decreased as distance of villages to park boundaries increased. Bushmeat consumption at the household level was not related to unit values (i.e., price estimates for a good that typically does not have a market value; estimates derived from willingness to sell or trade the good for items of known price) of bushmeat or the price of chicken and fish as potential substitutes. The median consumption of bushmeat at the village level, however, was negatively related to village mean unit values of bushmeat across all species. Our results suggest that a lack of alternative protein sources motivated even the wealthiest among surveyed households to consume bushmeat. Providing affordable, alternative protein sources to all households would likely reduce unsustainable levels of bushmeat consumption in rural Gabon.","author":[{"dropping-particle":"","family":"Foerster","given":"Steffen","non-dropping-particle":"","parse-names":false,"suffix":""},{"dropping-particle":"","family":"Wilkie","given":"David S.","non-dropping-particle":"","parse-names":false,"suffix":""},{"dropping-particle":"","family":"Morelli","given":"Gilda A.","non-dropping-particle":"","parse-names":false,"suffix":""},{"dropping-particle":"","family":"Demmer","given":"Josefien","non-dropping-particle":"","parse-names":false,"suffix":""},{"dropping-particle":"","family":"Starkey","given":"Malcolm","non-dropping-particle":"","parse-names":false,"suffix":""},{"dropping-particle":"","family":"Telfer","given":"Paul","non-dropping-particle":"","parse-names":false,"suffix":""},{"dropping-particle":"","family":"Steil","given":"Matthew","non-dropping-particle":"","parse-names":false,"suffix":""},{"dropping-particle":"","family":"Lewbel","given":"Arthur","non-dropping-particle":"","parse-names":false,"suffix":""}],"container-title":"Conservation Biology","id":"ITEM-1","issue":"2","issued":{"date-parts":[["2012"]]},"page":"335-344","title":"Correlates of bushmeat hunting among remote rural households in Gabon, Central Africa","type":"article-journal","volume":"26"},"uris":["http://www.mendeley.com/documents/?uuid=736395d0-34d8-4085-b82b-106fd911a9b9"]}],"mendeley":{"formattedCitation":"(Foerster et al. 2012)","manualFormatting":"Foerster et al. 2012","plainTextFormattedCitation":"(Foerster et al. 2012)","previouslyFormattedCitation":"(Foerster et al. 2012)"},"properties":{"noteIndex":0},"schema":"https://github.com/citation-style-language/schema/raw/master/csl-citation.json"}</w:instrText>
            </w:r>
            <w:r>
              <w:rPr>
                <w:b w:val="0"/>
              </w:rPr>
              <w:fldChar w:fldCharType="separate"/>
            </w:r>
            <w:r w:rsidRPr="00AD7405">
              <w:rPr>
                <w:b w:val="0"/>
                <w:noProof/>
              </w:rPr>
              <w:t>Foerster et al. 2012</w:t>
            </w:r>
            <w:r>
              <w:rPr>
                <w:b w:val="0"/>
              </w:rPr>
              <w:fldChar w:fldCharType="end"/>
            </w:r>
          </w:p>
        </w:tc>
        <w:tc>
          <w:tcPr>
            <w:tcW w:w="2256" w:type="dxa"/>
          </w:tcPr>
          <w:p w14:paraId="5BEDB2DD" w14:textId="77777777" w:rsidR="00187531" w:rsidRPr="00197738" w:rsidRDefault="00187531" w:rsidP="00C258BC">
            <w:pPr>
              <w:pStyle w:val="Table"/>
              <w:jc w:val="both"/>
              <w:rPr>
                <w:b w:val="0"/>
              </w:rPr>
            </w:pPr>
            <w:r w:rsidRPr="00197738">
              <w:rPr>
                <w:b w:val="0"/>
              </w:rPr>
              <w:t>121 villages, Gabon</w:t>
            </w:r>
          </w:p>
        </w:tc>
        <w:tc>
          <w:tcPr>
            <w:tcW w:w="1012" w:type="dxa"/>
          </w:tcPr>
          <w:p w14:paraId="48F3B0CF" w14:textId="77777777" w:rsidR="00187531" w:rsidRPr="00197738" w:rsidRDefault="00187531" w:rsidP="00C258BC">
            <w:pPr>
              <w:pStyle w:val="Table"/>
              <w:jc w:val="both"/>
              <w:rPr>
                <w:b w:val="0"/>
              </w:rPr>
            </w:pPr>
            <w:r w:rsidRPr="00197738">
              <w:rPr>
                <w:b w:val="0"/>
              </w:rPr>
              <w:t>-</w:t>
            </w:r>
          </w:p>
        </w:tc>
        <w:tc>
          <w:tcPr>
            <w:tcW w:w="3500" w:type="dxa"/>
          </w:tcPr>
          <w:p w14:paraId="47D2DDF3" w14:textId="77777777" w:rsidR="00187531" w:rsidRPr="00197738" w:rsidRDefault="00187531" w:rsidP="00C258BC">
            <w:pPr>
              <w:pStyle w:val="Table"/>
              <w:jc w:val="both"/>
              <w:rPr>
                <w:b w:val="0"/>
              </w:rPr>
            </w:pPr>
            <w:r w:rsidRPr="00197738">
              <w:rPr>
                <w:b w:val="0"/>
              </w:rPr>
              <w:t>Sales from bushmeat accounted for 90% of total monthly income for 3% of households (n=36). For 85% of households it provided no income</w:t>
            </w:r>
          </w:p>
        </w:tc>
      </w:tr>
      <w:tr w:rsidR="00187531" w14:paraId="7A8FD3EE" w14:textId="77777777" w:rsidTr="005C2F20">
        <w:trPr>
          <w:trHeight w:val="294"/>
        </w:trPr>
        <w:tc>
          <w:tcPr>
            <w:tcW w:w="2256" w:type="dxa"/>
          </w:tcPr>
          <w:p w14:paraId="444EAAEC" w14:textId="2B158C74" w:rsidR="00187531" w:rsidRPr="00197738" w:rsidRDefault="002F6BDE" w:rsidP="00C258BC">
            <w:pPr>
              <w:pStyle w:val="Table"/>
              <w:jc w:val="both"/>
              <w:rPr>
                <w:b w:val="0"/>
              </w:rPr>
            </w:pPr>
            <w:r>
              <w:rPr>
                <w:b w:val="0"/>
              </w:rPr>
              <w:t>Allebone-Webb 2009</w:t>
            </w:r>
          </w:p>
        </w:tc>
        <w:tc>
          <w:tcPr>
            <w:tcW w:w="2256" w:type="dxa"/>
          </w:tcPr>
          <w:p w14:paraId="19000B7C" w14:textId="77777777" w:rsidR="00187531" w:rsidRPr="00197738" w:rsidRDefault="00187531" w:rsidP="00C258BC">
            <w:pPr>
              <w:pStyle w:val="Table"/>
              <w:jc w:val="both"/>
              <w:rPr>
                <w:b w:val="0"/>
              </w:rPr>
            </w:pPr>
            <w:r w:rsidRPr="00197738">
              <w:rPr>
                <w:b w:val="0"/>
              </w:rPr>
              <w:t>2 villages, Equatorial Guinea</w:t>
            </w:r>
          </w:p>
        </w:tc>
        <w:tc>
          <w:tcPr>
            <w:tcW w:w="1012" w:type="dxa"/>
          </w:tcPr>
          <w:p w14:paraId="31C54F2B" w14:textId="77777777" w:rsidR="00187531" w:rsidRPr="00197738" w:rsidRDefault="00187531" w:rsidP="00C258BC">
            <w:pPr>
              <w:pStyle w:val="Table"/>
              <w:jc w:val="both"/>
              <w:rPr>
                <w:b w:val="0"/>
              </w:rPr>
            </w:pPr>
            <w:r w:rsidRPr="00197738">
              <w:rPr>
                <w:b w:val="0"/>
              </w:rPr>
              <w:t>7.1-33 .5</w:t>
            </w:r>
          </w:p>
        </w:tc>
        <w:tc>
          <w:tcPr>
            <w:tcW w:w="3500" w:type="dxa"/>
          </w:tcPr>
          <w:p w14:paraId="797AE428" w14:textId="77777777" w:rsidR="00187531" w:rsidRPr="00197738" w:rsidRDefault="00187531" w:rsidP="00C258BC">
            <w:pPr>
              <w:pStyle w:val="Table"/>
              <w:jc w:val="both"/>
              <w:rPr>
                <w:b w:val="0"/>
              </w:rPr>
            </w:pPr>
            <w:r w:rsidRPr="00197738">
              <w:rPr>
                <w:b w:val="0"/>
              </w:rPr>
              <w:t>Percentage income for whole village combined</w:t>
            </w:r>
          </w:p>
        </w:tc>
      </w:tr>
      <w:tr w:rsidR="00187531" w14:paraId="69A3DD04" w14:textId="77777777" w:rsidTr="005C2F20">
        <w:trPr>
          <w:trHeight w:val="294"/>
        </w:trPr>
        <w:tc>
          <w:tcPr>
            <w:tcW w:w="2256" w:type="dxa"/>
          </w:tcPr>
          <w:p w14:paraId="7AC245F9" w14:textId="0C5BDEFA" w:rsidR="00187531" w:rsidRPr="002F6BDE" w:rsidRDefault="00AD7405" w:rsidP="00C258BC">
            <w:pPr>
              <w:pStyle w:val="Table"/>
              <w:jc w:val="both"/>
              <w:rPr>
                <w:b w:val="0"/>
              </w:rPr>
            </w:pPr>
            <w:r w:rsidRPr="002F6BDE">
              <w:rPr>
                <w:b w:val="0"/>
              </w:rPr>
              <w:fldChar w:fldCharType="begin" w:fldLock="1"/>
            </w:r>
            <w:r w:rsidR="00C51889" w:rsidRPr="002F6BDE">
              <w:rPr>
                <w:b w:val="0"/>
              </w:rPr>
              <w:instrText>ADDIN CSL_CITATION {"citationItems":[{"id":"ITEM-1","itemData":{"abstract":"In this thesis I examine the role that the hunting, sale and consumption of bushmeat – wildlife hunted for food – plays in people’s livelihoods in Central Africa. This issue is central to current debates about how conservation and development can be reconciled in tropical forests, itself part of a wide debate about sustainable development. Three questions lie at the core of this debate: 1) Is urban consumption of bushmeat a key driver of exploitation of wildlife? 2) Why do contemporary Africans consume bushmeat? 3) How important is the consumption and sale of bushmeat for rural communities? I address these using quantitative and qualitative data collected in Gabon between October 2000 and September 2002. Using data from quantitative market and consumption surveys I show that in Gabon aggregate consumption of bushmeat is evenly divided between rural and urban areas. Urban consumption is concentrated in smaller towns in the interior of the country rather than in the large capital city. Most bushmeat consumed in urban areas does not pass through formal markets but more protected species are sold in formal markets. In rural areas of Gabon, people consume bushmeat because it is by far the cheapest available animal protein. Bushmeat is widely regarded as a desirable ‘organic’ meat that is preferable to lowquality imported frozen meat. It is therefore consumed even in urban areas where it is expensive compared to alternatives. However, bushmeat consumption is price sensitive and people consume less as it becomes more expensive. Using seven villages as a case study, I show that bushmeat is important to both household consumption and household income but is more important to income. It is also more important in poorer, more remote villages than in wealthier villages with easy market access. At any given site, from bushmeat is highly skewed; households that have both the male labour and financial capital to pursue both hunting and trapping simultaneously obtain most of the benefits from bushmeat. This thesis contributes to the wider debate about the role of forest resources in contribution to both development and conservation by illustrating the necessity for such debates to be based on empirical data collected at multiple scales of analysis.","author":[{"dropping-particle":"","family":"Starkey","given":"Malcolm","non-dropping-particle":"","parse-names":false,"suffix":""}],"id":"ITEM-1","issued":{"date-parts":[["2004"]]},"number-of-pages":"305","publisher":"PhD Thesis, University of Cambridge, UK","title":"Commerce and subsistence: the hunting, sale and consumption of bushmeat in Gabon","type":"book"},"uris":["http://www.mendeley.com/documents/?uuid=50e0e0eb-b3af-46eb-9916-3f5c20e90a00"]}],"mendeley":{"formattedCitation":"(Starkey 2004)","manualFormatting":"Starkey 2004","plainTextFormattedCitation":"(Starkey 2004)","previouslyFormattedCitation":"(Starkey 2004)"},"properties":{"noteIndex":0},"schema":"https://github.com/citation-style-language/schema/raw/master/csl-citation.json"}</w:instrText>
            </w:r>
            <w:r w:rsidRPr="002F6BDE">
              <w:rPr>
                <w:b w:val="0"/>
              </w:rPr>
              <w:fldChar w:fldCharType="separate"/>
            </w:r>
            <w:r w:rsidRPr="002F6BDE">
              <w:rPr>
                <w:b w:val="0"/>
                <w:noProof/>
              </w:rPr>
              <w:t>Starkey 2004</w:t>
            </w:r>
            <w:r w:rsidRPr="002F6BDE">
              <w:rPr>
                <w:b w:val="0"/>
              </w:rPr>
              <w:fldChar w:fldCharType="end"/>
            </w:r>
          </w:p>
        </w:tc>
        <w:tc>
          <w:tcPr>
            <w:tcW w:w="2256" w:type="dxa"/>
          </w:tcPr>
          <w:p w14:paraId="0A034CAF" w14:textId="77777777" w:rsidR="00187531" w:rsidRPr="00197738" w:rsidRDefault="00187531" w:rsidP="00C258BC">
            <w:pPr>
              <w:pStyle w:val="Table"/>
              <w:jc w:val="both"/>
              <w:rPr>
                <w:b w:val="0"/>
              </w:rPr>
            </w:pPr>
            <w:r>
              <w:rPr>
                <w:b w:val="0"/>
              </w:rPr>
              <w:t>3 villages in Central Gabon, Dibouka Road</w:t>
            </w:r>
          </w:p>
        </w:tc>
        <w:tc>
          <w:tcPr>
            <w:tcW w:w="1012" w:type="dxa"/>
          </w:tcPr>
          <w:p w14:paraId="3BA1865A" w14:textId="77777777" w:rsidR="00187531" w:rsidRPr="00197738" w:rsidRDefault="00187531" w:rsidP="00C258BC">
            <w:pPr>
              <w:pStyle w:val="Table"/>
              <w:jc w:val="both"/>
              <w:rPr>
                <w:b w:val="0"/>
              </w:rPr>
            </w:pPr>
            <w:r>
              <w:rPr>
                <w:b w:val="0"/>
              </w:rPr>
              <w:t>61, 32, 15</w:t>
            </w:r>
          </w:p>
        </w:tc>
        <w:tc>
          <w:tcPr>
            <w:tcW w:w="3500" w:type="dxa"/>
          </w:tcPr>
          <w:p w14:paraId="3EAC0E0D" w14:textId="4CA85D56" w:rsidR="00187531" w:rsidRPr="00197738" w:rsidRDefault="00187531" w:rsidP="00C258BC">
            <w:pPr>
              <w:pStyle w:val="Table"/>
              <w:jc w:val="both"/>
              <w:rPr>
                <w:b w:val="0"/>
              </w:rPr>
            </w:pPr>
            <w:r>
              <w:rPr>
                <w:b w:val="0"/>
              </w:rPr>
              <w:t xml:space="preserve">Decreasing as market </w:t>
            </w:r>
            <w:r w:rsidR="008806AC">
              <w:rPr>
                <w:b w:val="0"/>
              </w:rPr>
              <w:t>access</w:t>
            </w:r>
            <w:r>
              <w:rPr>
                <w:b w:val="0"/>
              </w:rPr>
              <w:t xml:space="preserve"> increases</w:t>
            </w:r>
          </w:p>
        </w:tc>
      </w:tr>
      <w:tr w:rsidR="00187531" w14:paraId="24C71D51" w14:textId="77777777" w:rsidTr="005C2F20">
        <w:trPr>
          <w:trHeight w:val="294"/>
        </w:trPr>
        <w:tc>
          <w:tcPr>
            <w:tcW w:w="2256" w:type="dxa"/>
          </w:tcPr>
          <w:p w14:paraId="4E62C98E" w14:textId="55C23F61" w:rsidR="00187531" w:rsidRPr="002F6BDE" w:rsidRDefault="00AD7405" w:rsidP="00C258BC">
            <w:pPr>
              <w:pStyle w:val="Table"/>
              <w:jc w:val="both"/>
              <w:rPr>
                <w:b w:val="0"/>
              </w:rPr>
            </w:pPr>
            <w:r w:rsidRPr="002F6BDE">
              <w:rPr>
                <w:b w:val="0"/>
              </w:rPr>
              <w:fldChar w:fldCharType="begin" w:fldLock="1"/>
            </w:r>
            <w:r w:rsidR="00C51889" w:rsidRPr="002F6BDE">
              <w:rPr>
                <w:b w:val="0"/>
              </w:rPr>
              <w:instrText>ADDIN CSL_CITATION {"citationItems":[{"id":"ITEM-1","itemData":{"abstract":"In this thesis I examine the role that the hunting, sale and consumption of bushmeat – wildlife hunted for food – plays in people’s livelihoods in Central Africa. This issue is central to current debates about how conservation and development can be reconciled in tropical forests, itself part of a wide debate about sustainable development. Three questions lie at the core of this debate: 1) Is urban consumption of bushmeat a key driver of exploitation of wildlife? 2) Why do contemporary Africans consume bushmeat? 3) How important is the consumption and sale of bushmeat for rural communities? I address these using quantitative and qualitative data collected in Gabon between October 2000 and September 2002. Using data from quantitative market and consumption surveys I show that in Gabon aggregate consumption of bushmeat is evenly divided between rural and urban areas. Urban consumption is concentrated in smaller towns in the interior of the country rather than in the large capital city. Most bushmeat consumed in urban areas does not pass through formal markets but more protected species are sold in formal markets. In rural areas of Gabon, people consume bushmeat because it is by far the cheapest available animal protein. Bushmeat is widely regarded as a desirable ‘organic’ meat that is preferable to lowquality imported frozen meat. It is therefore consumed even in urban areas where it is expensive compared to alternatives. However, bushmeat consumption is price sensitive and people consume less as it becomes more expensive. Using seven villages as a case study, I show that bushmeat is important to both household consumption and household income but is more important to income. It is also more important in poorer, more remote villages than in wealthier villages with easy market access. At any given site, from bushmeat is highly skewed; households that have both the male labour and financial capital to pursue both hunting and trapping simultaneously obtain most of the benefits from bushmeat. This thesis contributes to the wider debate about the role of forest resources in contribution to both development and conservation by illustrating the necessity for such debates to be based on empirical data collected at multiple scales of analysis.","author":[{"dropping-particle":"","family":"Starkey","given":"Malcolm","non-dropping-particle":"","parse-names":false,"suffix":""}],"id":"ITEM-1","issued":{"date-parts":[["2004"]]},"number-of-pages":"305","publisher":"PhD Thesis, University of Cambridge, UK","title":"Commerce and subsistence: the hunting, sale and consumption of bushmeat in Gabon","type":"book"},"uris":["http://www.mendeley.com/documents/?uuid=50e0e0eb-b3af-46eb-9916-3f5c20e90a00"]}],"mendeley":{"formattedCitation":"(Starkey 2004)","manualFormatting":"Starkey 2004","plainTextFormattedCitation":"(Starkey 2004)","previouslyFormattedCitation":"(Starkey 2004)"},"properties":{"noteIndex":0},"schema":"https://github.com/citation-style-language/schema/raw/master/csl-citation.json"}</w:instrText>
            </w:r>
            <w:r w:rsidRPr="002F6BDE">
              <w:rPr>
                <w:b w:val="0"/>
              </w:rPr>
              <w:fldChar w:fldCharType="separate"/>
            </w:r>
            <w:r w:rsidRPr="002F6BDE">
              <w:rPr>
                <w:b w:val="0"/>
                <w:noProof/>
              </w:rPr>
              <w:t>Starkey 2004</w:t>
            </w:r>
            <w:r w:rsidRPr="002F6BDE">
              <w:rPr>
                <w:b w:val="0"/>
              </w:rPr>
              <w:fldChar w:fldCharType="end"/>
            </w:r>
          </w:p>
        </w:tc>
        <w:tc>
          <w:tcPr>
            <w:tcW w:w="2256" w:type="dxa"/>
          </w:tcPr>
          <w:p w14:paraId="3EDB2407" w14:textId="77777777" w:rsidR="00187531" w:rsidRDefault="00187531" w:rsidP="00C258BC">
            <w:pPr>
              <w:pStyle w:val="Table"/>
              <w:jc w:val="both"/>
              <w:rPr>
                <w:b w:val="0"/>
              </w:rPr>
            </w:pPr>
            <w:r>
              <w:rPr>
                <w:b w:val="0"/>
              </w:rPr>
              <w:t>3 villages in Central Gabon, Banyati Road</w:t>
            </w:r>
          </w:p>
        </w:tc>
        <w:tc>
          <w:tcPr>
            <w:tcW w:w="1012" w:type="dxa"/>
          </w:tcPr>
          <w:p w14:paraId="7801F968" w14:textId="77777777" w:rsidR="00187531" w:rsidRDefault="00187531" w:rsidP="00C258BC">
            <w:pPr>
              <w:pStyle w:val="Table"/>
              <w:jc w:val="both"/>
              <w:rPr>
                <w:b w:val="0"/>
              </w:rPr>
            </w:pPr>
            <w:r>
              <w:rPr>
                <w:b w:val="0"/>
              </w:rPr>
              <w:t>72,42,30</w:t>
            </w:r>
          </w:p>
        </w:tc>
        <w:tc>
          <w:tcPr>
            <w:tcW w:w="3500" w:type="dxa"/>
          </w:tcPr>
          <w:p w14:paraId="7EC9F4F3" w14:textId="45BCDED7" w:rsidR="00187531" w:rsidRDefault="00187531" w:rsidP="00C258BC">
            <w:pPr>
              <w:pStyle w:val="Table"/>
              <w:jc w:val="both"/>
              <w:rPr>
                <w:b w:val="0"/>
              </w:rPr>
            </w:pPr>
            <w:r>
              <w:rPr>
                <w:b w:val="0"/>
              </w:rPr>
              <w:t xml:space="preserve">Decreasing as market </w:t>
            </w:r>
            <w:r w:rsidR="008806AC">
              <w:rPr>
                <w:b w:val="0"/>
              </w:rPr>
              <w:t>access</w:t>
            </w:r>
            <w:r>
              <w:rPr>
                <w:b w:val="0"/>
              </w:rPr>
              <w:t xml:space="preserve"> increases</w:t>
            </w:r>
          </w:p>
        </w:tc>
      </w:tr>
      <w:tr w:rsidR="00187531" w14:paraId="400E0E0B" w14:textId="77777777" w:rsidTr="005C2F20">
        <w:trPr>
          <w:trHeight w:val="294"/>
        </w:trPr>
        <w:tc>
          <w:tcPr>
            <w:tcW w:w="9024" w:type="dxa"/>
            <w:gridSpan w:val="4"/>
          </w:tcPr>
          <w:p w14:paraId="05BC7CD4" w14:textId="77777777" w:rsidR="00187531" w:rsidRDefault="00187531" w:rsidP="00C258BC">
            <w:pPr>
              <w:pStyle w:val="Table"/>
              <w:jc w:val="both"/>
            </w:pPr>
          </w:p>
          <w:p w14:paraId="2B0D80AC" w14:textId="77777777" w:rsidR="00187531" w:rsidRPr="00197738" w:rsidRDefault="00187531" w:rsidP="00C258BC">
            <w:pPr>
              <w:pStyle w:val="Table"/>
              <w:jc w:val="both"/>
            </w:pPr>
            <w:r w:rsidRPr="00197738">
              <w:t>Latin America</w:t>
            </w:r>
          </w:p>
        </w:tc>
      </w:tr>
      <w:tr w:rsidR="00187531" w14:paraId="02657A91" w14:textId="77777777" w:rsidTr="005C2F20">
        <w:trPr>
          <w:trHeight w:val="294"/>
        </w:trPr>
        <w:tc>
          <w:tcPr>
            <w:tcW w:w="2256" w:type="dxa"/>
          </w:tcPr>
          <w:p w14:paraId="763D8160" w14:textId="6C794412" w:rsidR="00187531" w:rsidRPr="00197738" w:rsidRDefault="00AD7405" w:rsidP="00C258BC">
            <w:pPr>
              <w:pStyle w:val="Table"/>
              <w:jc w:val="both"/>
              <w:rPr>
                <w:b w:val="0"/>
              </w:rPr>
            </w:pPr>
            <w:r>
              <w:rPr>
                <w:b w:val="0"/>
              </w:rPr>
              <w:fldChar w:fldCharType="begin" w:fldLock="1"/>
            </w:r>
            <w:r>
              <w:rPr>
                <w:b w:val="0"/>
              </w:rPr>
              <w:instrText>ADDIN CSL_CITATION {"citationItems":[{"id":"ITEM-1","itemData":{"DOI":"10.1111/j.1523-1739.2009.01224.x","author":[{"dropping-particle":"","family":"Parry","given":"Luke","non-dropping-particle":"","parse-names":false,"suffix":""},{"dropping-particle":"","family":"Barlow","given":"J O S","non-dropping-particle":"","parse-names":false,"suffix":""},{"dropping-particle":"","family":"Peres","given":"Carlos A","non-dropping-particle":"","parse-names":false,"suffix":""}],"container-title":"Conservation Biology","id":"ITEM-1","issue":"5","issued":{"date-parts":[["2009"]]},"page":"1270-1280","title":"Hunting for sustainability in tropical secondary forests","type":"article-journal","volume":"23"},"uris":["http://www.mendeley.com/documents/?uuid=19211f74-eab3-43ed-9aaf-33d0f399ea79"]}],"mendeley":{"formattedCitation":"(Parry et al. 2009)","manualFormatting":"Parry et al. 2009","plainTextFormattedCitation":"(Parry et al. 2009)","previouslyFormattedCitation":"(Parry et al. 2009)"},"properties":{"noteIndex":0},"schema":"https://github.com/citation-style-language/schema/raw/master/csl-citation.json"}</w:instrText>
            </w:r>
            <w:r>
              <w:rPr>
                <w:b w:val="0"/>
              </w:rPr>
              <w:fldChar w:fldCharType="separate"/>
            </w:r>
            <w:r w:rsidRPr="00AD7405">
              <w:rPr>
                <w:b w:val="0"/>
                <w:noProof/>
              </w:rPr>
              <w:t>Parry et al. 2009</w:t>
            </w:r>
            <w:r>
              <w:rPr>
                <w:b w:val="0"/>
              </w:rPr>
              <w:fldChar w:fldCharType="end"/>
            </w:r>
          </w:p>
        </w:tc>
        <w:tc>
          <w:tcPr>
            <w:tcW w:w="2256" w:type="dxa"/>
          </w:tcPr>
          <w:p w14:paraId="309947B9" w14:textId="77777777" w:rsidR="00187531" w:rsidRPr="00197738" w:rsidRDefault="00187531" w:rsidP="00C258BC">
            <w:pPr>
              <w:pStyle w:val="Table"/>
              <w:jc w:val="both"/>
              <w:rPr>
                <w:b w:val="0"/>
              </w:rPr>
            </w:pPr>
            <w:r w:rsidRPr="00197738">
              <w:rPr>
                <w:b w:val="0"/>
              </w:rPr>
              <w:t>3 communities, Brazil</w:t>
            </w:r>
          </w:p>
        </w:tc>
        <w:tc>
          <w:tcPr>
            <w:tcW w:w="1012" w:type="dxa"/>
          </w:tcPr>
          <w:p w14:paraId="036143D3" w14:textId="77777777" w:rsidR="00187531" w:rsidRPr="00197738" w:rsidRDefault="00187531" w:rsidP="00C258BC">
            <w:pPr>
              <w:pStyle w:val="Table"/>
              <w:jc w:val="both"/>
              <w:rPr>
                <w:b w:val="0"/>
              </w:rPr>
            </w:pPr>
            <w:r w:rsidRPr="00197738">
              <w:rPr>
                <w:b w:val="0"/>
              </w:rPr>
              <w:t>0</w:t>
            </w:r>
          </w:p>
        </w:tc>
        <w:tc>
          <w:tcPr>
            <w:tcW w:w="3500" w:type="dxa"/>
          </w:tcPr>
          <w:p w14:paraId="4573B14C" w14:textId="77777777" w:rsidR="00187531" w:rsidRPr="00197738" w:rsidRDefault="00187531" w:rsidP="00C258BC">
            <w:pPr>
              <w:pStyle w:val="Table"/>
              <w:jc w:val="both"/>
              <w:rPr>
                <w:b w:val="0"/>
              </w:rPr>
            </w:pPr>
            <w:r w:rsidRPr="00197738">
              <w:rPr>
                <w:b w:val="0"/>
              </w:rPr>
              <w:t>Hunting for subsistence use</w:t>
            </w:r>
            <w:r>
              <w:rPr>
                <w:b w:val="0"/>
              </w:rPr>
              <w:t xml:space="preserve"> only</w:t>
            </w:r>
            <w:r w:rsidRPr="00197738">
              <w:rPr>
                <w:b w:val="0"/>
              </w:rPr>
              <w:t xml:space="preserve"> </w:t>
            </w:r>
          </w:p>
        </w:tc>
      </w:tr>
      <w:tr w:rsidR="00187531" w14:paraId="302B48B3" w14:textId="77777777" w:rsidTr="005C2F20">
        <w:trPr>
          <w:trHeight w:val="268"/>
        </w:trPr>
        <w:tc>
          <w:tcPr>
            <w:tcW w:w="2256" w:type="dxa"/>
          </w:tcPr>
          <w:p w14:paraId="0A1BCADF" w14:textId="7EE84456" w:rsidR="00187531" w:rsidRPr="00197738" w:rsidRDefault="00AD7405" w:rsidP="00C258BC">
            <w:pPr>
              <w:pStyle w:val="Table"/>
              <w:jc w:val="both"/>
              <w:rPr>
                <w:b w:val="0"/>
              </w:rPr>
            </w:pPr>
            <w:r>
              <w:rPr>
                <w:b w:val="0"/>
              </w:rPr>
              <w:fldChar w:fldCharType="begin" w:fldLock="1"/>
            </w:r>
            <w:r>
              <w:rPr>
                <w:b w:val="0"/>
              </w:rPr>
              <w:instrText>ADDIN CSL_CITATION {"citationItems":[{"id":"ITEM-1","itemData":{"ISBN":"1781736278","author":[{"dropping-particle":"","family":"Godoy","given":"R","non-dropping-particle":"","parse-names":false,"suffix":""},{"dropping-particle":"","family":"Overman","given":"H","non-dropping-particle":"","parse-names":false,"suffix":""},{"dropping-particle":"","family":"Demmer","given":"J","non-dropping-particle":"","parse-names":false,"suffix":""},{"dropping-particle":"","family":"Apaza","given":"L","non-dropping-particle":"","parse-names":false,"suffix":""},{"dropping-particle":"","family":"Byron","given":"E","non-dropping-particle":"","parse-names":false,"suffix":""},{"dropping-particle":"","family":"Wilkie","given":"D","non-dropping-particle":"","parse-names":false,"suffix":""},{"dropping-particle":"","family":"Cubas","given":"A","non-dropping-particle":"","parse-names":false,"suffix":""},{"dropping-particle":"","family":"Mcsweeney","given":"K","non-dropping-particle":"","parse-names":false,"suffix":""},{"dropping-particle":"","family":"Brokaw","given":"N","non-dropping-particle":"","parse-names":false,"suffix":""}],"container-title":"Ecological Economics","id":"ITEM-1","issued":{"date-parts":[["2002"]]},"page":"397-409","title":"Local financial benefits of rain forests: comparative evidence from Amerindian societies in Bolivia and Honduras","type":"article-journal","volume":"40"},"uris":["http://www.mendeley.com/documents/?uuid=ce002e4a-9e73-440c-9f1e-cbdc65ec9195"]}],"mendeley":{"formattedCitation":"(Godoy et al. 2002)","manualFormatting":"Godoy et al. 2002","plainTextFormattedCitation":"(Godoy et al. 2002)","previouslyFormattedCitation":"(Godoy et al. 2002)"},"properties":{"noteIndex":0},"schema":"https://github.com/citation-style-language/schema/raw/master/csl-citation.json"}</w:instrText>
            </w:r>
            <w:r>
              <w:rPr>
                <w:b w:val="0"/>
              </w:rPr>
              <w:fldChar w:fldCharType="separate"/>
            </w:r>
            <w:r w:rsidRPr="00AD7405">
              <w:rPr>
                <w:b w:val="0"/>
                <w:noProof/>
              </w:rPr>
              <w:t>Godoy et al. 2002</w:t>
            </w:r>
            <w:r>
              <w:rPr>
                <w:b w:val="0"/>
              </w:rPr>
              <w:fldChar w:fldCharType="end"/>
            </w:r>
          </w:p>
        </w:tc>
        <w:tc>
          <w:tcPr>
            <w:tcW w:w="2256" w:type="dxa"/>
          </w:tcPr>
          <w:p w14:paraId="67427759" w14:textId="77777777" w:rsidR="00187531" w:rsidRPr="00197738" w:rsidRDefault="00187531" w:rsidP="00C258BC">
            <w:pPr>
              <w:pStyle w:val="Table"/>
              <w:jc w:val="both"/>
              <w:rPr>
                <w:b w:val="0"/>
              </w:rPr>
            </w:pPr>
            <w:r w:rsidRPr="00197738">
              <w:rPr>
                <w:b w:val="0"/>
              </w:rPr>
              <w:t>Yaranda, Bolivia</w:t>
            </w:r>
          </w:p>
        </w:tc>
        <w:tc>
          <w:tcPr>
            <w:tcW w:w="1012" w:type="dxa"/>
          </w:tcPr>
          <w:p w14:paraId="7BE973DA" w14:textId="77777777" w:rsidR="00187531" w:rsidRPr="00197738" w:rsidRDefault="00187531" w:rsidP="00C258BC">
            <w:pPr>
              <w:pStyle w:val="Table"/>
              <w:jc w:val="both"/>
              <w:rPr>
                <w:b w:val="0"/>
              </w:rPr>
            </w:pPr>
            <w:r w:rsidRPr="00197738">
              <w:rPr>
                <w:b w:val="0"/>
              </w:rPr>
              <w:t>0.32</w:t>
            </w:r>
          </w:p>
        </w:tc>
        <w:tc>
          <w:tcPr>
            <w:tcW w:w="3500" w:type="dxa"/>
          </w:tcPr>
          <w:p w14:paraId="460E5DA4" w14:textId="77777777" w:rsidR="00187531" w:rsidRPr="00197738" w:rsidRDefault="00187531" w:rsidP="00C258BC">
            <w:pPr>
              <w:pStyle w:val="Table"/>
              <w:jc w:val="both"/>
              <w:rPr>
                <w:b w:val="0"/>
              </w:rPr>
            </w:pPr>
            <w:r w:rsidRPr="00197738">
              <w:rPr>
                <w:b w:val="0"/>
              </w:rPr>
              <w:t>Far from market town</w:t>
            </w:r>
          </w:p>
        </w:tc>
      </w:tr>
      <w:tr w:rsidR="00187531" w14:paraId="0C76552B" w14:textId="77777777" w:rsidTr="005C2F20">
        <w:trPr>
          <w:trHeight w:val="268"/>
        </w:trPr>
        <w:tc>
          <w:tcPr>
            <w:tcW w:w="9024" w:type="dxa"/>
            <w:gridSpan w:val="4"/>
          </w:tcPr>
          <w:p w14:paraId="0790D8FE" w14:textId="77777777" w:rsidR="00187531" w:rsidRDefault="00187531" w:rsidP="00C258BC">
            <w:pPr>
              <w:pStyle w:val="Table"/>
              <w:jc w:val="both"/>
            </w:pPr>
          </w:p>
          <w:p w14:paraId="5AE13335" w14:textId="77777777" w:rsidR="00187531" w:rsidRPr="00197738" w:rsidRDefault="00187531" w:rsidP="00C258BC">
            <w:pPr>
              <w:pStyle w:val="Table"/>
              <w:jc w:val="both"/>
            </w:pPr>
            <w:r w:rsidRPr="00197738">
              <w:t>Asia</w:t>
            </w:r>
          </w:p>
        </w:tc>
      </w:tr>
      <w:tr w:rsidR="00187531" w14:paraId="47E04C63" w14:textId="77777777" w:rsidTr="005C2F20">
        <w:trPr>
          <w:trHeight w:val="268"/>
        </w:trPr>
        <w:tc>
          <w:tcPr>
            <w:tcW w:w="2256" w:type="dxa"/>
          </w:tcPr>
          <w:p w14:paraId="32AE0F17" w14:textId="6A55A72A" w:rsidR="00187531" w:rsidRPr="00DD505D" w:rsidRDefault="00AD7405" w:rsidP="00C258BC">
            <w:pPr>
              <w:pStyle w:val="Table"/>
              <w:jc w:val="both"/>
            </w:pPr>
            <w:r>
              <w:rPr>
                <w:b w:val="0"/>
              </w:rPr>
              <w:fldChar w:fldCharType="begin" w:fldLock="1"/>
            </w:r>
            <w:r>
              <w:rPr>
                <w:b w:val="0"/>
              </w:rPr>
              <w:instrText>ADDIN CSL_CITATION {"citationItems":[{"id":"ITEM-1","itemData":{"DOI":"10.1017/S0376892908004736","ISBN":"0376-8929","ISSN":"03768929","abstract":"SUMMARY Much research has focused on understanding the importance of forest environmental income in differ-ent communities and highlighting key socioeconomic characteristics of forest-dependent households. This paper examines the economic importance of forests among rural agriculturalists in Vietnam. Data were collected through a questionnaire survey of 104 households in five study villages in Ha Tinh province in north central Vietnam surrounding the Ke Go Nature Reserve (KGNR). Variables such as migration status of the household, age, income class and landholdings were used to identify characteristics of households with high forest income in both absolute and relative terms. More than half of households reported receiving forest environmental income in cash. Socioeconomic variables were compared between forest cash income (FCI) households and non-FCI households. Non-FCI households had more alternative income sources from wage labour and livestock, while FCI households were significantly younger, tended to live closer to the forest and had larger landholdings. Contrary to other research on forest use, the households deriving the most forest income in both absolute and relative terms were not the poorer households, but those in the middle class. These findings highlight the need for conservation and development projects to pay attention to the specific household factors that influence forest use, rather than relying on assumptions that poverty and forests are always linked.","author":[{"dropping-particle":"","family":"McElwee","given":"Pamela D.","non-dropping-particle":"","parse-names":false,"suffix":""}],"container-title":"Environmental Conservation","id":"ITEM-1","issue":"2","issued":{"date-parts":[["2008"]]},"page":"147-159","title":"Forest environmental income in Vietnam: household socioeconomic factors influencing forest use","type":"article-journal","volume":"35"},"uris":["http://www.mendeley.com/documents/?uuid=74b939e1-16e3-4df0-ba9d-48d90c5e6942"]}],"mendeley":{"formattedCitation":"(McElwee 2008)","manualFormatting":"McElwee 2008","plainTextFormattedCitation":"(McElwee 2008)","previouslyFormattedCitation":"(McElwee 2008)"},"properties":{"noteIndex":0},"schema":"https://github.com/citation-style-language/schema/raw/master/csl-citation.json"}</w:instrText>
            </w:r>
            <w:r>
              <w:rPr>
                <w:b w:val="0"/>
              </w:rPr>
              <w:fldChar w:fldCharType="separate"/>
            </w:r>
            <w:r w:rsidRPr="00AD7405">
              <w:rPr>
                <w:b w:val="0"/>
                <w:noProof/>
              </w:rPr>
              <w:t>McElwee 2008</w:t>
            </w:r>
            <w:r>
              <w:rPr>
                <w:b w:val="0"/>
              </w:rPr>
              <w:fldChar w:fldCharType="end"/>
            </w:r>
          </w:p>
        </w:tc>
        <w:tc>
          <w:tcPr>
            <w:tcW w:w="2256" w:type="dxa"/>
          </w:tcPr>
          <w:p w14:paraId="5A85AF3C" w14:textId="77777777" w:rsidR="00187531" w:rsidRPr="00DD505D" w:rsidRDefault="00187531" w:rsidP="00C258BC">
            <w:pPr>
              <w:pStyle w:val="Table"/>
              <w:jc w:val="both"/>
            </w:pPr>
            <w:r w:rsidRPr="00197738">
              <w:rPr>
                <w:b w:val="0"/>
              </w:rPr>
              <w:t>5 villages, Vietnam</w:t>
            </w:r>
          </w:p>
        </w:tc>
        <w:tc>
          <w:tcPr>
            <w:tcW w:w="1012" w:type="dxa"/>
          </w:tcPr>
          <w:p w14:paraId="55A06E62" w14:textId="77777777" w:rsidR="00187531" w:rsidRPr="00DD505D" w:rsidRDefault="00187531" w:rsidP="00C258BC">
            <w:pPr>
              <w:pStyle w:val="Table"/>
              <w:jc w:val="both"/>
            </w:pPr>
            <w:r w:rsidRPr="00197738">
              <w:rPr>
                <w:b w:val="0"/>
              </w:rPr>
              <w:t>13.1</w:t>
            </w:r>
          </w:p>
        </w:tc>
        <w:tc>
          <w:tcPr>
            <w:tcW w:w="3500" w:type="dxa"/>
          </w:tcPr>
          <w:p w14:paraId="06B77A6D" w14:textId="77777777" w:rsidR="00187531" w:rsidRPr="00DD505D" w:rsidRDefault="00187531" w:rsidP="00C258BC">
            <w:pPr>
              <w:pStyle w:val="Table"/>
              <w:jc w:val="both"/>
            </w:pPr>
            <w:r w:rsidRPr="00197738">
              <w:rPr>
                <w:b w:val="0"/>
              </w:rPr>
              <w:t>Based on 1 household that derived cash income from forest-based animals</w:t>
            </w:r>
          </w:p>
        </w:tc>
      </w:tr>
      <w:tr w:rsidR="00187531" w14:paraId="7A037860" w14:textId="77777777" w:rsidTr="005C2F20">
        <w:trPr>
          <w:trHeight w:val="268"/>
        </w:trPr>
        <w:tc>
          <w:tcPr>
            <w:tcW w:w="2256" w:type="dxa"/>
          </w:tcPr>
          <w:p w14:paraId="02DF52ED" w14:textId="744C72DA" w:rsidR="00187531" w:rsidRPr="007525C0" w:rsidRDefault="00AD7405" w:rsidP="00C258BC">
            <w:pPr>
              <w:pStyle w:val="Table"/>
              <w:jc w:val="both"/>
              <w:rPr>
                <w:b w:val="0"/>
              </w:rPr>
            </w:pPr>
            <w:r>
              <w:rPr>
                <w:b w:val="0"/>
              </w:rPr>
              <w:fldChar w:fldCharType="begin" w:fldLock="1"/>
            </w:r>
            <w:r w:rsidR="00496039">
              <w:rPr>
                <w:b w:val="0"/>
              </w:rPr>
              <w:instrText>ADDIN CSL_CITATION {"citationItems":[{"id":"ITEM-1","itemData":{"ISSN":"1578665X","abstract":"Conservation implications of wild animal biomass extractions in Northeast India.— We investigated the patterns of wild meat extraction and consumption by indigenous communities in Northeast India. Our respondents hunted at least 134 species of wild animals over the previous year in the villages surveyed and continued to harvest and use wild meat as their cash income increased. These indigenous communities of Northeast India showed an average of 32 to 59% dependency on the forestry sector. Wild meat contributed significantly (up to 25%) to their economies, suggesting previous assessments of dependence on the forestry sector should be reviewed. All sections of the society exploited wild meat equally. As education seems to play a role in reducing wild meat extractions, increased awareness in conservation of natural resources should be promoted.","author":[{"dropping-particle":"","family":"Hilaluddin","given":"","non-dropping-particle":"","parse-names":false,"suffix":""},{"dropping-particle":"","family":"Kaul","given":"Rahul","non-dropping-particle":"","parse-names":false,"suffix":""},{"dropping-particle":"","family":"Ghose","given":"Dipankar","non-dropping-particle":"","parse-names":false,"suffix":""}],"container-title":"Animal Biodiversity and Conservation","id":"ITEM-1","issue":"2","issued":{"date-parts":[["2005"]]},"page":"169-179","title":"Conservation implications of wild animal biomass extractions in Northeast India","type":"article-journal","volume":"28"},"uris":["http://www.mendeley.com/documents/?uuid=62aaf1c0-5c6e-4017-8d12-f5978ebdeccd"]}],"mendeley":{"formattedCitation":"(Hilaluddin et al. 2005)","manualFormatting":"Hilaluddin et al. 2005","plainTextFormattedCitation":"(Hilaluddin et al. 2005)","previouslyFormattedCitation":"(Hilaluddin et al. 2005)"},"properties":{"noteIndex":0},"schema":"https://github.com/citation-style-language/schema/raw/master/csl-citation.json"}</w:instrText>
            </w:r>
            <w:r>
              <w:rPr>
                <w:b w:val="0"/>
              </w:rPr>
              <w:fldChar w:fldCharType="separate"/>
            </w:r>
            <w:r w:rsidRPr="00AD7405">
              <w:rPr>
                <w:b w:val="0"/>
                <w:noProof/>
              </w:rPr>
              <w:t>Hilaluddin et al. 2005</w:t>
            </w:r>
            <w:r>
              <w:rPr>
                <w:b w:val="0"/>
              </w:rPr>
              <w:fldChar w:fldCharType="end"/>
            </w:r>
          </w:p>
        </w:tc>
        <w:tc>
          <w:tcPr>
            <w:tcW w:w="2256" w:type="dxa"/>
          </w:tcPr>
          <w:p w14:paraId="4C7D0339" w14:textId="77777777" w:rsidR="00187531" w:rsidRPr="00DD505D" w:rsidRDefault="00187531" w:rsidP="00C258BC">
            <w:pPr>
              <w:pStyle w:val="Table"/>
              <w:jc w:val="both"/>
            </w:pPr>
            <w:r w:rsidRPr="00197738">
              <w:rPr>
                <w:b w:val="0"/>
              </w:rPr>
              <w:t>4 villages, India</w:t>
            </w:r>
          </w:p>
        </w:tc>
        <w:tc>
          <w:tcPr>
            <w:tcW w:w="1012" w:type="dxa"/>
          </w:tcPr>
          <w:p w14:paraId="72F1733B" w14:textId="77777777" w:rsidR="00187531" w:rsidRPr="00DD505D" w:rsidRDefault="00187531" w:rsidP="00C258BC">
            <w:pPr>
              <w:pStyle w:val="Table"/>
              <w:jc w:val="both"/>
            </w:pPr>
            <w:r w:rsidRPr="00197738">
              <w:rPr>
                <w:b w:val="0"/>
              </w:rPr>
              <w:t>14-25</w:t>
            </w:r>
          </w:p>
        </w:tc>
        <w:tc>
          <w:tcPr>
            <w:tcW w:w="3500" w:type="dxa"/>
          </w:tcPr>
          <w:p w14:paraId="33DE80E4" w14:textId="77777777" w:rsidR="00187531" w:rsidRPr="00DD505D" w:rsidRDefault="00187531" w:rsidP="00C258BC">
            <w:pPr>
              <w:pStyle w:val="Table"/>
              <w:jc w:val="both"/>
            </w:pPr>
          </w:p>
        </w:tc>
      </w:tr>
    </w:tbl>
    <w:p w14:paraId="722DFB00" w14:textId="77777777" w:rsidR="00187531" w:rsidRDefault="00187531" w:rsidP="00C258BC">
      <w:pPr>
        <w:pStyle w:val="Table"/>
        <w:jc w:val="both"/>
      </w:pPr>
    </w:p>
    <w:p w14:paraId="30565C44" w14:textId="25F9437F" w:rsidR="00197738" w:rsidRPr="00946D97" w:rsidRDefault="00197738" w:rsidP="00C258BC">
      <w:pPr>
        <w:pStyle w:val="Table"/>
        <w:jc w:val="both"/>
        <w:sectPr w:rsidR="00197738" w:rsidRPr="00946D97">
          <w:pgSz w:w="11906" w:h="16838"/>
          <w:pgMar w:top="1440" w:right="1440" w:bottom="1440" w:left="1440" w:header="708" w:footer="708" w:gutter="0"/>
          <w:cols w:space="708"/>
          <w:docGrid w:linePitch="360"/>
        </w:sectPr>
      </w:pPr>
    </w:p>
    <w:p w14:paraId="08957CA3" w14:textId="648729AA" w:rsidR="0011131B" w:rsidRPr="00946D97" w:rsidRDefault="0011131B" w:rsidP="00C258BC">
      <w:pPr>
        <w:pStyle w:val="Table"/>
        <w:jc w:val="both"/>
      </w:pPr>
    </w:p>
    <w:p w14:paraId="012E1A4A" w14:textId="7DD62516" w:rsidR="0097573D" w:rsidRPr="00A01D54" w:rsidRDefault="00785009" w:rsidP="00C258BC">
      <w:pPr>
        <w:pStyle w:val="Caption"/>
        <w:jc w:val="both"/>
        <w:rPr>
          <w:b w:val="0"/>
        </w:rPr>
      </w:pPr>
      <w:bookmarkStart w:id="79" w:name="_Ref518914194"/>
      <w:r w:rsidRPr="00946D97">
        <w:t xml:space="preserve">Figure </w:t>
      </w:r>
      <w:r w:rsidRPr="00946D97">
        <w:fldChar w:fldCharType="begin"/>
      </w:r>
      <w:r w:rsidRPr="00946D97">
        <w:instrText xml:space="preserve"> SEQ Figure \* ARABIC </w:instrText>
      </w:r>
      <w:r w:rsidRPr="00946D97">
        <w:fldChar w:fldCharType="separate"/>
      </w:r>
      <w:r w:rsidR="004873F0">
        <w:rPr>
          <w:noProof/>
        </w:rPr>
        <w:t>3</w:t>
      </w:r>
      <w:r w:rsidRPr="00946D97">
        <w:fldChar w:fldCharType="end"/>
      </w:r>
      <w:bookmarkEnd w:id="79"/>
      <w:r w:rsidR="0097573D" w:rsidRPr="00946D97">
        <w:t xml:space="preserve">: </w:t>
      </w:r>
      <w:r w:rsidR="00000046" w:rsidRPr="00946D97">
        <w:t>An example</w:t>
      </w:r>
      <w:r w:rsidR="00E45806" w:rsidRPr="00946D97">
        <w:t xml:space="preserve"> of a wild meat commodity chain </w:t>
      </w:r>
      <w:r w:rsidRPr="00946D97">
        <w:t>(</w:t>
      </w:r>
      <w:r w:rsidR="00E45806" w:rsidRPr="00946D97">
        <w:t xml:space="preserve">tortoise and </w:t>
      </w:r>
      <w:r w:rsidR="008806AC" w:rsidRPr="00946D97">
        <w:t>turtle</w:t>
      </w:r>
      <w:r w:rsidR="00E45806" w:rsidRPr="00946D97">
        <w:t xml:space="preserve"> meat). Reproduced </w:t>
      </w:r>
      <w:r w:rsidRPr="00946D97">
        <w:t xml:space="preserve">from </w:t>
      </w:r>
      <w:r w:rsidR="00E45806" w:rsidRPr="00946D97">
        <w:t>TRAFFIC, 2008</w:t>
      </w:r>
      <w:r w:rsidR="00F54F01">
        <w:t xml:space="preserve">. </w:t>
      </w:r>
      <w:r w:rsidR="00BA2416" w:rsidRPr="00BA2416">
        <w:rPr>
          <w:rFonts w:ascii="MinionPro" w:hAnsi="MinionPro"/>
          <w:b w:val="0"/>
        </w:rPr>
        <w:t>Professional turtle traders may consolidate trade of tortoises and freshwater turtles at one or more stages within the process. For example, syndicates with their origin in China or Vietnam may in many cases employ professional hunters to collect turtles, removing middlemen along the value chain in doing so. However, opportunistic collection is likely to also be a major source of turtles entering into the trade. Local hunters and collectors sell turtles to local buyers who in turn sell the turtles to larger buyers. The volume of turtles increases at each collection point. The flow chart indicates general flows from Indochina to the main destination market, China</w:t>
      </w:r>
      <w:r w:rsidR="00A01D54">
        <w:rPr>
          <w:rFonts w:ascii="MinionPro" w:hAnsi="MinionPro"/>
          <w:b w:val="0"/>
        </w:rPr>
        <w:t>.</w:t>
      </w:r>
    </w:p>
    <w:p w14:paraId="1D88A13B" w14:textId="77777777" w:rsidR="00E45806" w:rsidRPr="00946D97" w:rsidRDefault="00E45806" w:rsidP="00C258BC">
      <w:pPr>
        <w:pStyle w:val="Table"/>
        <w:jc w:val="both"/>
      </w:pPr>
    </w:p>
    <w:p w14:paraId="42867DD1" w14:textId="2BEA8195" w:rsidR="00A35EE8" w:rsidRDefault="00BA2416" w:rsidP="00C258BC">
      <w:pPr>
        <w:pStyle w:val="Table"/>
        <w:jc w:val="both"/>
        <w:sectPr w:rsidR="00A35EE8" w:rsidSect="00ED08F7">
          <w:pgSz w:w="16838" w:h="11906" w:orient="landscape"/>
          <w:pgMar w:top="1440" w:right="1440" w:bottom="1440" w:left="1440" w:header="708" w:footer="708" w:gutter="0"/>
          <w:cols w:space="708"/>
          <w:docGrid w:linePitch="360"/>
        </w:sectPr>
      </w:pPr>
      <w:r>
        <w:rPr>
          <w:noProof/>
          <w:lang w:val="en-US"/>
        </w:rPr>
        <w:drawing>
          <wp:inline distT="0" distB="0" distL="0" distR="0" wp14:anchorId="41E3542C" wp14:editId="0CBE4FD8">
            <wp:extent cx="7554351" cy="4114423"/>
            <wp:effectExtent l="0" t="0" r="254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enshot 2018-07-25 16.34.47.png"/>
                    <pic:cNvPicPr/>
                  </pic:nvPicPr>
                  <pic:blipFill rotWithShape="1">
                    <a:blip r:embed="rId37"/>
                    <a:srcRect r="11116" b="13325"/>
                    <a:stretch/>
                  </pic:blipFill>
                  <pic:spPr bwMode="auto">
                    <a:xfrm>
                      <a:off x="0" y="0"/>
                      <a:ext cx="7598456" cy="4138445"/>
                    </a:xfrm>
                    <a:prstGeom prst="rect">
                      <a:avLst/>
                    </a:prstGeom>
                    <a:ln>
                      <a:noFill/>
                    </a:ln>
                    <a:extLst>
                      <a:ext uri="{53640926-AAD7-44D8-BBD7-CCE9431645EC}">
                        <a14:shadowObscured xmlns:a14="http://schemas.microsoft.com/office/drawing/2010/main"/>
                      </a:ext>
                    </a:extLst>
                  </pic:spPr>
                </pic:pic>
              </a:graphicData>
            </a:graphic>
          </wp:inline>
        </w:drawing>
      </w:r>
    </w:p>
    <w:p w14:paraId="20BE1551" w14:textId="0A05B575" w:rsidR="007F18B9" w:rsidRPr="004904D8" w:rsidRDefault="008806AC" w:rsidP="00DF57F3">
      <w:pPr>
        <w:pStyle w:val="Heading2"/>
      </w:pPr>
      <w:bookmarkStart w:id="80" w:name="_Toc517693743"/>
      <w:bookmarkStart w:id="81" w:name="_Ref518923707"/>
      <w:bookmarkStart w:id="82" w:name="_Toc519156088"/>
      <w:bookmarkStart w:id="83" w:name="_Toc529390344"/>
      <w:r w:rsidRPr="004904D8">
        <w:lastRenderedPageBreak/>
        <w:t>Wild meat</w:t>
      </w:r>
      <w:r w:rsidR="00B859EA" w:rsidRPr="004904D8">
        <w:t xml:space="preserve"> consumption in the context of economic theory</w:t>
      </w:r>
      <w:bookmarkEnd w:id="80"/>
      <w:bookmarkEnd w:id="81"/>
      <w:bookmarkEnd w:id="82"/>
      <w:bookmarkEnd w:id="83"/>
    </w:p>
    <w:p w14:paraId="064F27E2" w14:textId="7F487395" w:rsidR="00FC6940" w:rsidRPr="0070404D" w:rsidRDefault="00CF08F2" w:rsidP="00C258BC">
      <w:pPr>
        <w:jc w:val="both"/>
        <w:rPr>
          <w:color w:val="000000" w:themeColor="text1"/>
        </w:rPr>
      </w:pPr>
      <w:r w:rsidRPr="004904D8">
        <w:rPr>
          <w:color w:val="000000" w:themeColor="text1"/>
        </w:rPr>
        <w:t>Wild meat is a ‘commodity or good’ like any other</w:t>
      </w:r>
      <w:r w:rsidR="007B5353">
        <w:rPr>
          <w:color w:val="000000" w:themeColor="text1"/>
        </w:rPr>
        <w:t>. As</w:t>
      </w:r>
      <w:r w:rsidRPr="004904D8">
        <w:rPr>
          <w:color w:val="000000" w:themeColor="text1"/>
        </w:rPr>
        <w:t xml:space="preserve"> such, we can draw on an abundance of economic knowledge that </w:t>
      </w:r>
      <w:r w:rsidRPr="005512D2">
        <w:rPr>
          <w:color w:val="000000" w:themeColor="text1"/>
        </w:rPr>
        <w:t>explores how the consumption of different goods is likely to react to changes i</w:t>
      </w:r>
      <w:r w:rsidR="007B5353">
        <w:rPr>
          <w:color w:val="000000" w:themeColor="text1"/>
        </w:rPr>
        <w:t>n price, wealth and other socio-economic</w:t>
      </w:r>
      <w:r w:rsidRPr="005512D2">
        <w:rPr>
          <w:color w:val="000000" w:themeColor="text1"/>
        </w:rPr>
        <w:t xml:space="preserve"> factors. The price of a given good and of </w:t>
      </w:r>
      <w:r w:rsidR="009D5E56">
        <w:rPr>
          <w:color w:val="000000" w:themeColor="text1"/>
        </w:rPr>
        <w:t xml:space="preserve">its </w:t>
      </w:r>
      <w:r w:rsidRPr="005512D2">
        <w:rPr>
          <w:color w:val="000000" w:themeColor="text1"/>
        </w:rPr>
        <w:t xml:space="preserve">close substitutes influences the demand for this good. For most goods, demand for the good falls as its </w:t>
      </w:r>
      <w:r w:rsidR="00B67E27">
        <w:rPr>
          <w:color w:val="000000" w:themeColor="text1"/>
        </w:rPr>
        <w:t>price (</w:t>
      </w:r>
      <w:r w:rsidRPr="005512D2">
        <w:rPr>
          <w:color w:val="000000" w:themeColor="text1"/>
        </w:rPr>
        <w:t>own-price</w:t>
      </w:r>
      <w:r w:rsidR="00B67E27">
        <w:rPr>
          <w:color w:val="000000" w:themeColor="text1"/>
        </w:rPr>
        <w:t>)</w:t>
      </w:r>
      <w:r w:rsidRPr="005512D2">
        <w:rPr>
          <w:color w:val="000000" w:themeColor="text1"/>
        </w:rPr>
        <w:t xml:space="preserve"> rises and</w:t>
      </w:r>
      <w:r w:rsidR="00B67E27">
        <w:rPr>
          <w:color w:val="000000" w:themeColor="text1"/>
        </w:rPr>
        <w:t>/or</w:t>
      </w:r>
      <w:r w:rsidRPr="005512D2">
        <w:rPr>
          <w:color w:val="000000" w:themeColor="text1"/>
        </w:rPr>
        <w:t xml:space="preserve"> the prices of substitutes fall. A good is</w:t>
      </w:r>
      <w:r w:rsidR="00D06067">
        <w:rPr>
          <w:color w:val="000000" w:themeColor="text1"/>
        </w:rPr>
        <w:t xml:space="preserve"> described as</w:t>
      </w:r>
      <w:r w:rsidRPr="005512D2">
        <w:rPr>
          <w:color w:val="000000" w:themeColor="text1"/>
        </w:rPr>
        <w:t xml:space="preserve"> ‘inelastic’ when the change in demand is small relative to the change in price. </w:t>
      </w:r>
      <w:r w:rsidR="00B67E27">
        <w:rPr>
          <w:color w:val="000000" w:themeColor="text1"/>
        </w:rPr>
        <w:t xml:space="preserve">For </w:t>
      </w:r>
      <w:r w:rsidR="00A479D2">
        <w:rPr>
          <w:color w:val="000000" w:themeColor="text1"/>
        </w:rPr>
        <w:t>example,</w:t>
      </w:r>
      <w:r w:rsidR="00B67E27">
        <w:rPr>
          <w:color w:val="000000" w:themeColor="text1"/>
        </w:rPr>
        <w:t xml:space="preserve"> a sought after good that cannot be substituted, like a Rolls Royce car, will still be in demand, even if its price rises, and a primary necessity good, like water or salt, will still be bought, even if it gets more expensive. </w:t>
      </w:r>
      <w:r w:rsidRPr="005512D2">
        <w:rPr>
          <w:color w:val="000000" w:themeColor="text1"/>
        </w:rPr>
        <w:t xml:space="preserve">The wealth </w:t>
      </w:r>
      <w:r w:rsidRPr="0064175F">
        <w:rPr>
          <w:color w:val="000000" w:themeColor="text1"/>
        </w:rPr>
        <w:t>or income of the consumer will also influence demand for a good, and goods can be defined by the way they respond to changes in wealth/income, with the dem</w:t>
      </w:r>
      <w:r w:rsidRPr="0070404D">
        <w:rPr>
          <w:color w:val="000000" w:themeColor="text1"/>
        </w:rPr>
        <w:t>and for inferior goods decreasing as wealth increases, and the demand for normal and luxury goods increasing (Appendix 1).</w:t>
      </w:r>
    </w:p>
    <w:p w14:paraId="711AD0F5" w14:textId="4CDCC506" w:rsidR="00FC6940" w:rsidRPr="0070404D" w:rsidRDefault="00CF08F2" w:rsidP="00C258BC">
      <w:pPr>
        <w:jc w:val="both"/>
      </w:pPr>
      <w:r w:rsidRPr="0070404D">
        <w:t>Broadly speaking, per capita consumption of wild meat decreases from remote rural areas towards cities and towns</w:t>
      </w:r>
      <w:r w:rsidR="00D47B28">
        <w:t xml:space="preserve"> (</w:t>
      </w:r>
      <w:r w:rsidR="00184775">
        <w:fldChar w:fldCharType="begin" w:fldLock="1"/>
      </w:r>
      <w:r w:rsidR="00C51889">
        <w:instrText>ADDIN CSL_CITATION {"citationItems":[{"id":"ITEM-1","itemData":{"DOI":"10.1016/j.biocon.2017.06.013","ISSN":"00063207","abstract":"Wild meat is an important source of food and income for people across the tropics, but overhunting is driving species declines. Comprehension of the interrelated factors that influence wild meat consumption is needed to help address this important issue. A central hypothesis is that market access in the tropics drives consumption. We tested this hypothesis by comparing households with high (living in a town) and low (living in rural areas) market access in the central Amazon. When comparing households in rural communities only, we used travel frequency to town and boat traffic as proxies for market access. To determine interrelationships, we assessed other factors that may influence meat consumption, such as occupation, wealth, and number of people in households. As predicted, town residents consumed more domesticated meat and less wild meat than rural residents. Among rural communities, travel frequency was negatively, and boat traffic was positively, associated with wild meat consumption. Occupation was an important predictor of consumption, with farmers (occupation more common in rural areas) consuming more wild meat than people with other occupations. Number of people in the household was negatively associated with beef consumption. Wealth was associated with wild meat and beef consumption but its effect on consumption was negligible (effect size near zero). When comparing urban and rural residents, we detected a strong relationship between market access and wild meat consumption, but this was influenced by the diversity of livelihood options available to town versus rural residents. Among rural residents, we detected a relationship between market access and wild meat consumption, but this relationship depended on the nature of the market access (household travel frequency to town versus boat traffic at rural communities). Our findings suggest that greater access to market may lead to a decrease in wild meat consumption at the household level. Key factors we did not address, however, require further research in rural communities; namely whether reduced consumption leads to overall reduction in hunting or merely a shift from consumption to trade.","author":[{"dropping-particle":"","family":"Chaves","given":"Willandia A.","non-dropping-particle":"","parse-names":false,"suffix":""},{"dropping-particle":"","family":"Wilkie","given":"David S.","non-dropping-particle":"","parse-names":false,"suffix":""},{"dropping-particle":"","family":"Monroe","given":"Martha C.","non-dropping-particle":"","parse-names":false,"suffix":""},{"dropping-particle":"","family":"Sieving","given":"Kathryn E.","non-dropping-particle":"","parse-names":false,"suffix":""}],"container-title":"Biological Conservation","id":"ITEM-1","issue":"September 2016","issued":{"date-parts":[["2017"]]},"page":"240-248","publisher":"Elsevier","title":"Market access and wild meat consumption in the central Amazon, Brazil","type":"article-journal","volume":"212"},"uris":["http://www.mendeley.com/documents/?uuid=9d810650-03c6-4937-a837-917c1bddea12"]},{"id":"ITEM-2","itemData":{"abstract":"In this thesis I examine the role that the hunting, sale and consumption of bushmeat – wildlife hunted for food – plays in people’s livelihoods in Central Africa. This issue is central to current debates about how conservation and development can be reconciled in tropical forests, itself part of a wide debate about sustainable development. Three questions lie at the core of this debate: 1) Is urban consumption of bushmeat a key driver of exploitation of wildlife? 2) Why do contemporary Africans consume bushmeat? 3) How important is the consumption and sale of bushmeat for rural communities? I address these using quantitative and qualitative data collected in Gabon between October 2000 and September 2002. Using data from quantitative market and consumption surveys I show that in Gabon aggregate consumption of bushmeat is evenly divided between rural and urban areas. Urban consumption is concentrated in smaller towns in the interior of the country rather than in the large capital city. Most bushmeat consumed in urban areas does not pass through formal markets but more protected species are sold in formal markets. In rural areas of Gabon, people consume bushmeat because it is by far the cheapest available animal protein. Bushmeat is widely regarded as a desirable ‘organic’ meat that is preferable to lowquality imported frozen meat. It is therefore consumed even in urban areas where it is expensive compared to alternatives. However, bushmeat consumption is price sensitive and people consume less as it becomes more expensive. Using seven villages as a case study, I show that bushmeat is important to both household consumption and household income but is more important to income. It is also more important in poorer, more remote villages than in wealthier villages with easy market access. At any given site, from bushmeat is highly skewed; households that have both the male labour and financial capital to pursue both hunting and trapping simultaneously obtain most of the benefits from bushmeat. This thesis contributes to the wider debate about the role of forest resources in contribution to both development and conservation by illustrating the necessity for such debates to be based on empirical data collected at multiple scales of analysis.","author":[{"dropping-particle":"","family":"Starkey","given":"Malcolm","non-dropping-particle":"","parse-names":false,"suffix":""}],"id":"ITEM-2","issued":{"date-parts":[["2004"]]},"number-of-pages":"305","publisher":"PhD Thesis, University of Cambridge, UK","title":"Commerce and subsistence: the hunting, sale and consumption of bushmeat in Gabon","type":"book"},"uris":["http://www.mendeley.com/documents/?uuid=50e0e0eb-b3af-46eb-9916-3f5c20e90a00"]}],"mendeley":{"formattedCitation":"(Starkey 2004; Chaves et al. 2017)","manualFormatting":"as demonstrated by Starkey 2004 in Gabon, and Chaves et al. 2017 in the Central Amazon)","plainTextFormattedCitation":"(Starkey 2004; Chaves et al. 2017)","previouslyFormattedCitation":"(Starkey 2004; Chaves et al. 2017)"},"properties":{"noteIndex":0},"schema":"https://github.com/citation-style-language/schema/raw/master/csl-citation.json"}</w:instrText>
      </w:r>
      <w:r w:rsidR="00184775">
        <w:fldChar w:fldCharType="separate"/>
      </w:r>
      <w:r w:rsidR="00184775">
        <w:rPr>
          <w:noProof/>
        </w:rPr>
        <w:t xml:space="preserve">as demonstrated by </w:t>
      </w:r>
      <w:r w:rsidR="00184775" w:rsidRPr="00184775">
        <w:rPr>
          <w:noProof/>
        </w:rPr>
        <w:t>Starkey 2004</w:t>
      </w:r>
      <w:r w:rsidR="00184775">
        <w:rPr>
          <w:noProof/>
        </w:rPr>
        <w:t xml:space="preserve"> in Gabon, and</w:t>
      </w:r>
      <w:r w:rsidR="00184775" w:rsidRPr="00184775">
        <w:rPr>
          <w:noProof/>
        </w:rPr>
        <w:t xml:space="preserve"> Chaves et al. 2017</w:t>
      </w:r>
      <w:r w:rsidR="00184775">
        <w:rPr>
          <w:noProof/>
        </w:rPr>
        <w:t xml:space="preserve"> in the Central Amazon</w:t>
      </w:r>
      <w:r w:rsidR="00184775" w:rsidRPr="00184775">
        <w:rPr>
          <w:noProof/>
        </w:rPr>
        <w:t>)</w:t>
      </w:r>
      <w:r w:rsidR="00184775">
        <w:fldChar w:fldCharType="end"/>
      </w:r>
      <w:r w:rsidR="00184775">
        <w:t>.</w:t>
      </w:r>
      <w:r w:rsidRPr="0070404D">
        <w:t xml:space="preserve"> In remote rural villages where wildlife remains abundant and alternatives are scarce and expensive, wild meat is likely to remain a significant proportion of consumers’ protein intake. </w:t>
      </w:r>
      <w:r w:rsidR="00B67E27">
        <w:t>Along the commodity chain,</w:t>
      </w:r>
      <w:r w:rsidR="00EA2D41">
        <w:t xml:space="preserve"> for settlements further away from wildlife,</w:t>
      </w:r>
      <w:r w:rsidR="00B67E27">
        <w:t xml:space="preserve"> </w:t>
      </w:r>
      <w:r w:rsidR="004E3DF0" w:rsidRPr="0070404D">
        <w:t xml:space="preserve">increased transport costs </w:t>
      </w:r>
      <w:r w:rsidR="00B67E27">
        <w:t>for wild meat</w:t>
      </w:r>
      <w:r w:rsidRPr="0070404D">
        <w:t xml:space="preserve">, and </w:t>
      </w:r>
      <w:r w:rsidR="00B67E27">
        <w:t xml:space="preserve">decreased transport costs for </w:t>
      </w:r>
      <w:r w:rsidRPr="0070404D">
        <w:t>substitutes</w:t>
      </w:r>
      <w:r w:rsidR="00B67E27">
        <w:t>, which</w:t>
      </w:r>
      <w:r w:rsidR="007B5353">
        <w:t xml:space="preserve"> then</w:t>
      </w:r>
      <w:r w:rsidRPr="0070404D">
        <w:t xml:space="preserve"> become more readily available at a lower price</w:t>
      </w:r>
      <w:r w:rsidR="00246333">
        <w:t>,</w:t>
      </w:r>
      <w:r w:rsidR="00B67E27">
        <w:t xml:space="preserve"> drive a switch away from wild meat towards alternatives</w:t>
      </w:r>
      <w:r w:rsidRPr="0070404D">
        <w:t xml:space="preserve">. </w:t>
      </w:r>
      <w:r w:rsidR="008806AC" w:rsidRPr="0070404D">
        <w:t xml:space="preserve">Thus, settlements </w:t>
      </w:r>
      <w:r w:rsidR="007B5353">
        <w:t xml:space="preserve">in the midst of this transition, such as </w:t>
      </w:r>
      <w:r w:rsidR="008806AC" w:rsidRPr="0070404D">
        <w:t xml:space="preserve">growing villages in </w:t>
      </w:r>
      <w:r w:rsidR="00B67E27">
        <w:t xml:space="preserve">newly </w:t>
      </w:r>
      <w:r w:rsidR="007B5353">
        <w:t xml:space="preserve">degraded habitats, </w:t>
      </w:r>
      <w:r w:rsidR="008806AC" w:rsidRPr="0070404D">
        <w:t xml:space="preserve">where wild meat has become </w:t>
      </w:r>
      <w:r w:rsidR="00A479D2" w:rsidRPr="0070404D">
        <w:t>unavailable,</w:t>
      </w:r>
      <w:r w:rsidR="008806AC" w:rsidRPr="0070404D">
        <w:t xml:space="preserve"> yet alternatives are still pricey and rare, may be the most vulnerable to food insecurity </w:t>
      </w:r>
      <w:r w:rsidR="00184775">
        <w:fldChar w:fldCharType="begin" w:fldLock="1"/>
      </w:r>
      <w:r w:rsidR="00184775">
        <w:instrText>ADDIN CSL_CITATION {"citationItems":[{"id":"ITEM-1","itemData":{"author":[{"dropping-particle":"","family":"Abernethy","given":"Katharine","non-dropping-particle":"","parse-names":false,"suffix":""},{"dropping-particle":"","family":"Ndong Obiang","given":"Anne Marie","non-dropping-particle":"","parse-names":false,"suffix":""}],"id":"ITEM-1","issued":{"date-parts":[["2010"]]},"number-of-pages":"95","publisher-place":"Ministère des Eaux et Forêts, Gabon","title":"Bushmeat in Gabon. Technical report to the Directeur Général des Eaux et Forêts, Président du Comité Interministériel de la Stratégie Nationale de Gestion de la Viande de Brousse.","type":"report"},"uris":["http://www.mendeley.com/documents/?uuid=59af7502-cb22-44c8-a1a7-8a5318e10e18"]}],"mendeley":{"formattedCitation":"(Abernethy &amp; Ndong Obiang 2010)","plainTextFormattedCitation":"(Abernethy &amp; Ndong Obiang 2010)","previouslyFormattedCitation":"(Abernethy &amp; Ndong Obiang 2010)"},"properties":{"noteIndex":0},"schema":"https://github.com/citation-style-language/schema/raw/master/csl-citation.json"}</w:instrText>
      </w:r>
      <w:r w:rsidR="00184775">
        <w:fldChar w:fldCharType="separate"/>
      </w:r>
      <w:r w:rsidR="00184775" w:rsidRPr="00184775">
        <w:rPr>
          <w:noProof/>
        </w:rPr>
        <w:t>(Abernethy &amp; Ndong Obiang 2010)</w:t>
      </w:r>
      <w:r w:rsidR="00184775">
        <w:fldChar w:fldCharType="end"/>
      </w:r>
      <w:r w:rsidR="008806AC" w:rsidRPr="0070404D">
        <w:t xml:space="preserve">. </w:t>
      </w:r>
    </w:p>
    <w:p w14:paraId="0B35DE7D" w14:textId="1A744BB9" w:rsidR="004E1A87" w:rsidRDefault="004E3DF0" w:rsidP="00C258BC">
      <w:pPr>
        <w:jc w:val="both"/>
      </w:pPr>
      <w:r w:rsidRPr="0070404D">
        <w:t>There is some</w:t>
      </w:r>
      <w:r w:rsidR="00CF08F2" w:rsidRPr="0070404D">
        <w:t xml:space="preserve"> evidence </w:t>
      </w:r>
      <w:r w:rsidR="00322F83">
        <w:fldChar w:fldCharType="begin" w:fldLock="1"/>
      </w:r>
      <w:r w:rsidR="00496039">
        <w:instrText xml:space="preserve">ADDIN CSL_CITATION {"citationItems":[{"id":"ITEM-1","itemData":{"DOI":"10.1046/j.1523-1739.2001.015003761.x","ISBN":"1523-1739","ISSN":"08888892","abstract":"Consumption of bushmeat is an important component of household economies in most tropical forested regions of the world and is resulting in unsustainable levels of hunting, even in relatively isolated regions. We conducted standardized surveys of household consumption, income, wealth, and education level among Amerindian societies in Central and South America. Results suggest 1) demand for bushmeat may follow an inverted </w:instrText>
      </w:r>
      <w:r w:rsidR="00496039">
        <w:rPr>
          <w:rFonts w:ascii="Cambria Math" w:hAnsi="Cambria Math" w:cs="Cambria Math"/>
        </w:rPr>
        <w:instrText>∪</w:instrText>
      </w:r>
      <w:r w:rsidR="00496039">
        <w:instrText xml:space="preserve"> pattern with income, 2) consumers, particularly the most well-off, reduce their consumption of bushmeat as the price increases; and 3) a small decrease in the price of meat from domesticated animals is likely to lead to a large decrease in the consumption of fish but not of bushmeat. Policy makers may be able to reduce demand for bushmeat by raising the price of bushmeat, by increasing the direct and opportunity costs of hunting, and by raising household income. El consumo de carne silvestre es un componente importante de las economías caseras en la mayoría de las regiones tropicales boscosas del mundo y está resultando en niveles insostenibles de caza, aún en regiones relativamente aisladas. Llevamos a cabo prospecciones estandarizadas de consumo familiar, riqueza y niveles de educación entre sociedades Amerindias en América del Sur y Central. Los resultados sugieren que 1) la demanda de carne silvestre podría seguir un patrón de </w:instrText>
      </w:r>
      <w:r w:rsidR="00496039">
        <w:rPr>
          <w:rFonts w:ascii="Cambria Math" w:hAnsi="Cambria Math" w:cs="Cambria Math"/>
        </w:rPr>
        <w:instrText>∪</w:instrText>
      </w:r>
      <w:r w:rsidR="00496039">
        <w:instrText xml:space="preserve"> invertido con los ingresos; 2) los consumidores, particularmente la mayoría de los persistentes, reducen el consumo de carne silvestre en tanto que el precio aumenta; y 3) una disminución pequeña en el precio de carne de animales domesticados es posible que conduzca a una disminución grande en el consumo de peces, pero no de carne de animales silvestres. Los políticos deberían de reducir la demanda de carne silvestre incrementando su precio, incrementando los costos directos y de oportunidad de la caza e incrementando los ingresos familiares.","author":[{"dropping-particle":"","family":"Wilkie","given":"David S","non-dropping-particle":"","parse-names":false,"suffix":""},{"dropping-particle":"","family":"Godoy","given":"Ricardo A","non-dropping-particle":"","parse-names":false,"suffix":""}],"container-title":"Conservation Biology","id":"ITEM-1","issue":"3","issued":{"date-parts":[["2001"]]},"page":"761-769","title":"Income and price elasticities of bushmeat demand in lowland Amerindian societies","type":"article-journal","volume":"15"},"uris":["http://www.mendeley.com/documents/?uuid=fa5ce2ce-a933-4960-8192-f981bc4505c4"]},{"id":"ITEM-2","itemData":{"DOI":"10.1111/j.1523-1739.2005.00372.x","ISBN":"0888-8892","ISSN":"08888892","abstract":"Unsustainable hunting of wildlife for food is often a more immediate and significant threat to the conservation of biological diversity in tropical forests than deforestation. Why people eat wildlife is debated. Some may eat bushmeat because they can afford it; othersmay eat it because it is familiar, traditional, confers prestige, tastes good, or adds variety. We completed a survey of 1208 rural and urban households in Gabon, Africa, in 2002–2003 to estimate the effect of wealth and prices on the consumption of wildlife and other sources of animal protein. Consumption of bushmeat, fish, chicken, and livestock increased with increasing household wealth, and as the price of these commodities rose, consumption declined. Although the prices of substitutes for bushmeat did not significantly, in statistical terms, influence bushmeat consumption, as the price of wildlife increased and its consumption fell, the consumption of fish rose, indicating that fish and bushmeat were dietary substitutes. Our results suggest that policy makers can use economic levers such as taxation or supply reduction through better law enforcement to change demand for wildlife. These measures will help to regulate unsustainable exploitation and reduce the risk of irreversible loss of large-bodied and slow-reproducing wildlife species. If policy makers focus solely on reducing the unsustainable consumption of wildlife, they may see adverse impacts on the exploitation of fish. Furthermore, policy makers must ensure that raising household wealth through development assistance does not result in undesirable impacts on the conservation status of wildlife and fish.","author":[{"dropping-particle":"","family":"Wilkie","given":"David S.","non-dropping-particle":"","parse-names":false,"suffix":""},{"dropping-particle":"","family":"Starkey","given":"Malcolm","non-dropping-particle":"","parse-names":false,"suffix":""},{"dropping-particle":"","family":"Abernethy","given":"Kate","non-dropping-particle":"","parse-names":false,"suffix":""},{"dropping-particle":"","family":"Effa","given":"Ernestine Nstame","non-dropping-particle":"","parse-names":false,"suffix":""},{"dropping-particle":"","family":"Telfer","given":"Paul","non-dropping-particle":"","parse-names":false,"suffix":""},{"dropping-particle":"","family":"Godoy","given":"Ricardo","non-dropping-particle":"","parse-names":false,"suffix":""}],"container-title":"Conservation Biology","id":"ITEM-2","issue":"1","issued":{"date-parts":[["2005"]]},"page":"268-274","title":"Role of prices and wealth in consumer demand for bushmeat in Gabon, Central Africa","type":"article-journal","volume":"19"},"uris":["http://www.mendeley.com/documents/?uuid=f47a699c-8e33-4ebf-812d-391d540a3466"]}],"mendeley":{"formattedCitation":"(Wilkie &amp; Godoy 2001; Wilkie et al. 2005)","plainTextFormattedCitation":"(Wilkie &amp; Godoy 2001; Wilkie et al. 2005)","previouslyFormattedCitation":"(Wilkie &amp; Godoy 2001; Wilkie et al. 2005)"},"properties":{"noteIndex":0},"schema":"https://github.com/citation-style-language/schema/raw/master/csl-citation.json"}</w:instrText>
      </w:r>
      <w:r w:rsidR="00322F83">
        <w:fldChar w:fldCharType="separate"/>
      </w:r>
      <w:r w:rsidR="00A11C8C" w:rsidRPr="00A11C8C">
        <w:rPr>
          <w:noProof/>
        </w:rPr>
        <w:t>(Wilkie &amp; Godoy 2001; Wilkie et al. 2005)</w:t>
      </w:r>
      <w:r w:rsidR="00322F83">
        <w:fldChar w:fldCharType="end"/>
      </w:r>
      <w:r w:rsidR="00CF08F2" w:rsidRPr="0070404D">
        <w:t xml:space="preserve"> that the effect of household wealth on demand </w:t>
      </w:r>
      <w:r w:rsidR="00883539">
        <w:t xml:space="preserve">for wild meat </w:t>
      </w:r>
      <w:r w:rsidR="00CF08F2" w:rsidRPr="0070404D">
        <w:t xml:space="preserve">may follow </w:t>
      </w:r>
      <w:r w:rsidR="00883539">
        <w:t>a well-known economic trajectory</w:t>
      </w:r>
      <w:r w:rsidRPr="0070404D">
        <w:t xml:space="preserve">, known as a Kuznet’s curve </w:t>
      </w:r>
      <w:r w:rsidR="00174FAC" w:rsidRPr="0070404D">
        <w:t>(</w:t>
      </w:r>
      <w:r w:rsidR="003A34C6" w:rsidRPr="004904D8">
        <w:fldChar w:fldCharType="begin"/>
      </w:r>
      <w:r w:rsidR="003A34C6" w:rsidRPr="0070404D">
        <w:instrText xml:space="preserve"> REF _Ref518994471 \h </w:instrText>
      </w:r>
      <w:r w:rsidR="005931E3">
        <w:instrText xml:space="preserve"> \* MERGEFORMAT </w:instrText>
      </w:r>
      <w:r w:rsidR="003A34C6" w:rsidRPr="004904D8">
        <w:fldChar w:fldCharType="separate"/>
      </w:r>
      <w:r w:rsidR="007034F1" w:rsidRPr="00785A38">
        <w:t>Figure</w:t>
      </w:r>
      <w:r w:rsidR="007034F1" w:rsidRPr="00785A38">
        <w:rPr>
          <w:noProof/>
        </w:rPr>
        <w:t xml:space="preserve"> </w:t>
      </w:r>
      <w:r w:rsidR="007034F1">
        <w:rPr>
          <w:noProof/>
        </w:rPr>
        <w:t>4</w:t>
      </w:r>
      <w:r w:rsidR="003A34C6" w:rsidRPr="004904D8">
        <w:fldChar w:fldCharType="end"/>
      </w:r>
      <w:r w:rsidR="00CF08F2" w:rsidRPr="0070404D">
        <w:t xml:space="preserve">). </w:t>
      </w:r>
      <w:r w:rsidR="00884EB6">
        <w:t xml:space="preserve">If a </w:t>
      </w:r>
      <w:r w:rsidR="00CF08F2" w:rsidRPr="0070404D">
        <w:t xml:space="preserve">poor </w:t>
      </w:r>
      <w:r w:rsidR="00884EB6">
        <w:t>household begins to get richer</w:t>
      </w:r>
      <w:r w:rsidR="00CF08F2" w:rsidRPr="0070404D">
        <w:t>, consumption of wild meat initially increases wi</w:t>
      </w:r>
      <w:r w:rsidR="007B5353">
        <w:t>th increasing household income - i.e., it is a normal good</w:t>
      </w:r>
      <w:r w:rsidR="00CF08F2" w:rsidRPr="0070404D">
        <w:t xml:space="preserve">. </w:t>
      </w:r>
      <w:r w:rsidR="00280C50">
        <w:t>However, o</w:t>
      </w:r>
      <w:r w:rsidR="00280C50" w:rsidRPr="0070404D">
        <w:t xml:space="preserve">nce </w:t>
      </w:r>
      <w:r w:rsidR="00884EB6">
        <w:t>the</w:t>
      </w:r>
      <w:r w:rsidR="00CF08F2" w:rsidRPr="0070404D">
        <w:t xml:space="preserve"> household wealth reaches</w:t>
      </w:r>
      <w:r w:rsidR="00CF08F2" w:rsidRPr="004904D8">
        <w:t xml:space="preserve"> a certain level</w:t>
      </w:r>
      <w:r w:rsidR="00246333">
        <w:t>,</w:t>
      </w:r>
      <w:r w:rsidR="00280C50" w:rsidRPr="00280C50">
        <w:t xml:space="preserve"> </w:t>
      </w:r>
      <w:r w:rsidR="00280C50" w:rsidRPr="004904D8">
        <w:t>the family can now afford to switch to a</w:t>
      </w:r>
      <w:r w:rsidR="00280C50">
        <w:t xml:space="preserve">lternative foods if </w:t>
      </w:r>
      <w:r w:rsidR="00280C50" w:rsidRPr="004904D8">
        <w:t>they prefer</w:t>
      </w:r>
      <w:r w:rsidR="00CF08F2" w:rsidRPr="004904D8">
        <w:t xml:space="preserve">, </w:t>
      </w:r>
      <w:r w:rsidR="00280C50">
        <w:t>and</w:t>
      </w:r>
      <w:r w:rsidR="00CF08F2" w:rsidRPr="004904D8">
        <w:t xml:space="preserve"> further increases in wealth </w:t>
      </w:r>
      <w:r w:rsidR="00280C50">
        <w:t xml:space="preserve">may </w:t>
      </w:r>
      <w:r w:rsidR="00CF08F2" w:rsidRPr="004904D8">
        <w:t xml:space="preserve">result in a decrease in wildlife consumption because </w:t>
      </w:r>
      <w:r w:rsidR="007B5353">
        <w:t xml:space="preserve">other foods are chosen instead - </w:t>
      </w:r>
      <w:r w:rsidR="00CF08F2" w:rsidRPr="004904D8">
        <w:t>i.e., wild meat has become</w:t>
      </w:r>
      <w:r w:rsidR="007B5353">
        <w:t xml:space="preserve"> an inferior good</w:t>
      </w:r>
      <w:r w:rsidR="00CF08F2" w:rsidRPr="005512D2">
        <w:t xml:space="preserve">. However, </w:t>
      </w:r>
      <w:r w:rsidRPr="005512D2">
        <w:t>c</w:t>
      </w:r>
      <w:r w:rsidR="00CF08F2" w:rsidRPr="005512D2">
        <w:t>on</w:t>
      </w:r>
      <w:r w:rsidR="007B5353">
        <w:t xml:space="preserve">sumer preference for wild meat is </w:t>
      </w:r>
      <w:r w:rsidR="00CF08F2" w:rsidRPr="005512D2">
        <w:t>shaped by familiarity and experience with subs</w:t>
      </w:r>
      <w:r w:rsidR="00CF08F2" w:rsidRPr="0064175F">
        <w:t xml:space="preserve">titutes, tradition, culture, </w:t>
      </w:r>
      <w:r w:rsidR="007B5353">
        <w:t xml:space="preserve">religion, fashion and prestige. This </w:t>
      </w:r>
      <w:r w:rsidRPr="0070404D">
        <w:t>mean</w:t>
      </w:r>
      <w:r w:rsidR="007B5353">
        <w:t>s</w:t>
      </w:r>
      <w:r w:rsidRPr="0070404D">
        <w:t xml:space="preserve"> that</w:t>
      </w:r>
      <w:r w:rsidR="00CF08F2" w:rsidRPr="0070404D">
        <w:t xml:space="preserve"> wild meat </w:t>
      </w:r>
      <w:r w:rsidR="00280C50">
        <w:t>can continue</w:t>
      </w:r>
      <w:r w:rsidR="00CF08F2" w:rsidRPr="0070404D">
        <w:t xml:space="preserve"> to be eaten in </w:t>
      </w:r>
      <w:r w:rsidR="00280C50">
        <w:t>by some families, even once their economic situation me</w:t>
      </w:r>
      <w:r w:rsidR="00246333">
        <w:t>a</w:t>
      </w:r>
      <w:r w:rsidR="00280C50">
        <w:t>ns</w:t>
      </w:r>
      <w:r w:rsidR="00246333">
        <w:t xml:space="preserve"> that</w:t>
      </w:r>
      <w:r w:rsidR="00280C50">
        <w:t xml:space="preserve"> they could switch to alternatives. Thus</w:t>
      </w:r>
      <w:r w:rsidR="00CF08F2" w:rsidRPr="0070404D">
        <w:t xml:space="preserve">, albeit at much lower per capita levels, even when </w:t>
      </w:r>
      <w:r w:rsidR="008806AC" w:rsidRPr="0070404D">
        <w:t>substitutes</w:t>
      </w:r>
      <w:r w:rsidR="00CF08F2" w:rsidRPr="0070404D">
        <w:t xml:space="preserve"> are available and cheaper</w:t>
      </w:r>
      <w:r w:rsidR="00246333">
        <w:t>,</w:t>
      </w:r>
      <w:r w:rsidRPr="0070404D">
        <w:t xml:space="preserve"> </w:t>
      </w:r>
      <w:r w:rsidR="00280C50">
        <w:t xml:space="preserve">wild meat consumption can still continue </w:t>
      </w:r>
      <w:r w:rsidR="00184775">
        <w:fldChar w:fldCharType="begin" w:fldLock="1"/>
      </w:r>
      <w:r w:rsidR="00B2630D">
        <w:instrText>ADDIN CSL_CITATION {"citationItems":[{"id":"ITEM-1","itemData":{"DOI":"10.1016/S0169-5347(03)00123-X","ISSN":"01695347","author":[{"dropping-particle":"","family":"Milner-Gulland","given":"E.J.","non-dropping-particle":"","parse-names":false,"suffix":""},{"dropping-particle":"","family":"Bennett","given":"Elizabeth L.","non-dropping-particle":"","parse-names":false,"suffix":""},{"dropping-particle":"","family":"&amp; the SCB 2002 Annual Meeting Wild Meat Group","given":"","non-dropping-particle":"","parse-names":false,"suffix":""}],"container-title":"TRENDS in Ecology &amp; Evolution","id":"ITEM-1","issue":"7","issued":{"date-parts":[["2003","7"]]},"page":"351-357","title":"Wild meat: the bigger picture","type":"article-journal","volume":"18"},"uris":["http://www.mendeley.com/documents/?uuid=c6f656d6-0e6d-46f0-a86d-7f1b9eafbfd0"]},{"id":"ITEM-2","itemData":{"DOI":"10.1016/j.biocon.2015.12.018","ISBN":"0006-3207","ISSN":"00063207","abstract":"Increasing urban wild meat consumption in Vietnam poses a major threat to faunal biodiversity. However, little is known about the numbers, demand, social status, and frequency of wildlife meat consumers in Thua Thien Hue province, where wild meat consumption appears to be common. We combined the results of 329 semi-structured interviews of male Hue citizens in Thua Thien Hue province, Vietnam, with interviews in 20 restaurants to quantify the supply and demand of urban wildlife consumption. We found that 58% of respondents were current wild meat consumers. The most common species reported (in 30% of the cases) was wild pig (Sus scrofa). Our results described a typical consumer as a student or being unemployed, usually with higher education, and eating wild meat three times a year. Most (72%) wild meat consumption in Hue city took place in restaurants. Restaurant surveys showed that government staff were the most observed customers in restaurants. Farmed wild meat consumption in Hue was rarely reported (in 23% of the cases); and a typical consumer of farmed wild meat had high education levels. Missing legal mechanisms such as the inability to punish and fining the wild meat consumers was claimed to be an important reason why wild meat consumption has not yet declined. Our combination of survey methods provided different stakeholder views and highlighted the urgent need to monitor the patterns and frequency of wild meat consumption for further law amendments.","author":[{"dropping-particle":"","family":"Sandalj","given":"Milica","non-dropping-particle":"","parse-names":false,"suffix":""},{"dropping-particle":"","family":"Treydte","given":"Anna C.","non-dropping-particle":"","parse-names":false,"suffix":""},{"dropping-particle":"","family":"Ziegler","given":"Stefan","non-dropping-particle":"","parse-names":false,"suffix":""}],"container-title":"Biological Conservation","id":"ITEM-2","issued":{"date-parts":[["2016"]]},"page":"105-112","publisher":"Elsevier B.V.","title":"Is wild meat luxury? Quantifying wild meat demand and availability in Hue, Vietnam","type":"article-journal","volume":"194"},"uris":["http://www.mendeley.com/documents/?uuid=f2002549-0b15-46ac-8696-c352f24b4560"]}],"mendeley":{"formattedCitation":"(Milner-Gulland et al. 2003; Sandalj et al. 2016)","plainTextFormattedCitation":"(Milner-Gulland et al. 2003; Sandalj et al. 2016)","previouslyFormattedCitation":"(Milner-Gulland et al. 2003; Sandalj et al. 2016)"},"properties":{"noteIndex":0},"schema":"https://github.com/citation-style-language/schema/raw/master/csl-citation.json"}</w:instrText>
      </w:r>
      <w:r w:rsidR="00184775">
        <w:fldChar w:fldCharType="separate"/>
      </w:r>
      <w:r w:rsidR="00184775" w:rsidRPr="00184775">
        <w:rPr>
          <w:noProof/>
        </w:rPr>
        <w:t>(Milner-Gulland et al. 2003; Sandalj et al. 2016)</w:t>
      </w:r>
      <w:r w:rsidR="00184775">
        <w:fldChar w:fldCharType="end"/>
      </w:r>
      <w:r w:rsidR="00CF08F2" w:rsidRPr="0070404D">
        <w:t xml:space="preserve">. </w:t>
      </w:r>
      <w:r w:rsidRPr="0070404D">
        <w:t xml:space="preserve">As </w:t>
      </w:r>
      <w:r w:rsidR="00280C50">
        <w:t>commodity and food</w:t>
      </w:r>
      <w:r w:rsidR="00CF08F2" w:rsidRPr="0070404D">
        <w:t xml:space="preserve"> preferences are routed in personal familiarity and experience, </w:t>
      </w:r>
      <w:r w:rsidRPr="0070404D">
        <w:t xml:space="preserve">they </w:t>
      </w:r>
      <w:r w:rsidR="00280C50">
        <w:t>can</w:t>
      </w:r>
      <w:r w:rsidR="00280C50" w:rsidRPr="0070404D">
        <w:t xml:space="preserve"> </w:t>
      </w:r>
      <w:r w:rsidR="00280C50">
        <w:t>change</w:t>
      </w:r>
      <w:r w:rsidR="00CF08F2" w:rsidRPr="0070404D">
        <w:t xml:space="preserve"> rapidly </w:t>
      </w:r>
      <w:r w:rsidR="00280C50">
        <w:t>with each</w:t>
      </w:r>
      <w:r w:rsidR="00CF08F2" w:rsidRPr="0070404D">
        <w:t xml:space="preserve"> </w:t>
      </w:r>
      <w:r w:rsidR="00280C50">
        <w:t>new</w:t>
      </w:r>
      <w:r w:rsidR="00184775">
        <w:t xml:space="preserve"> generation</w:t>
      </w:r>
      <w:r w:rsidR="00CF08F2" w:rsidRPr="0070404D">
        <w:t xml:space="preserve"> </w:t>
      </w:r>
      <w:r w:rsidR="00184775">
        <w:fldChar w:fldCharType="begin" w:fldLock="1"/>
      </w:r>
      <w:r w:rsidR="00184775">
        <w:instrText>ADDIN CSL_CITATION {"citationItems":[{"id":"ITEM-1","itemData":{"author":[{"dropping-particle":"","family":"Luiselli","given":"Luca","non-dropping-particle":"","parse-names":false,"suffix":""},{"dropping-particle":"","family":"Petrozzi","given":"Fabio","non-dropping-particle":"","parse-names":false,"suffix":""},{"dropping-particle":"","family":"Akani","given":"Godfrey C","non-dropping-particle":"","parse-names":false,"suffix":""},{"dropping-particle":"","family":"Vittorio","given":"Massimiliano","non-dropping-particle":"Di","parse-names":false,"suffix":""},{"dropping-particle":"","family":"Amadi","given":"Nioking","non-dropping-particle":"","parse-names":false,"suffix":""},{"dropping-particle":"","family":"Ebere","given":"Nwabueze","non-dropping-particle":"","parse-names":false,"suffix":""},{"dropping-particle":"","family":"Dendi","given":"Daniele","non-dropping-particle":"","parse-names":false,"suffix":""},{"dropping-particle":"","family":"Amori","given":"Giovanni","non-dropping-particle":"","parse-names":false,"suffix":""},{"dropping-particle":"","family":"Eniang","given":"Edem A","non-dropping-particle":"","parse-names":false,"suffix":""}],"container-title":"Revue d'Ecologie","id":"ITEM-1","issue":"1","issued":{"date-parts":[["2017"]]},"page":"3-18","title":"Rehashing bushmeat – interview campaigns reveal some controversial issues about the bushmeat trade dynamics in nigeria","type":"article-journal","volume":"72"},"uris":["http://www.mendeley.com/documents/?uuid=3a46b965-4c1a-442c-8eee-feeff7b2a206"]}],"mendeley":{"formattedCitation":"(Luiselli et al. 2017)","plainTextFormattedCitation":"(Luiselli et al. 2017)","previouslyFormattedCitation":"(Luiselli et al. 2017)"},"properties":{"noteIndex":0},"schema":"https://github.com/citation-style-language/schema/raw/master/csl-citation.json"}</w:instrText>
      </w:r>
      <w:r w:rsidR="00184775">
        <w:fldChar w:fldCharType="separate"/>
      </w:r>
      <w:r w:rsidR="00184775" w:rsidRPr="00184775">
        <w:rPr>
          <w:noProof/>
        </w:rPr>
        <w:t>(Luiselli et al. 2017)</w:t>
      </w:r>
      <w:r w:rsidR="00184775">
        <w:fldChar w:fldCharType="end"/>
      </w:r>
      <w:r w:rsidR="00CF08F2" w:rsidRPr="004904D8">
        <w:t xml:space="preserve">. </w:t>
      </w:r>
    </w:p>
    <w:p w14:paraId="0150F813" w14:textId="77777777" w:rsidR="000C5673" w:rsidRPr="00C7409F" w:rsidRDefault="000C5673" w:rsidP="00C258BC">
      <w:pPr>
        <w:jc w:val="both"/>
      </w:pPr>
    </w:p>
    <w:p w14:paraId="37095D6C" w14:textId="46D555FF" w:rsidR="000C5673" w:rsidRPr="00444AF5" w:rsidRDefault="000C5673" w:rsidP="000C5673">
      <w:pPr>
        <w:jc w:val="center"/>
        <w:rPr>
          <w:b/>
          <w:color w:val="000000" w:themeColor="text1"/>
        </w:rPr>
      </w:pPr>
      <w:r w:rsidRPr="00444AF5">
        <w:rPr>
          <w:b/>
          <w:color w:val="000000" w:themeColor="text1"/>
        </w:rPr>
        <w:t>FIGURE 4 AROUND HERE</w:t>
      </w:r>
    </w:p>
    <w:p w14:paraId="6C5281E9" w14:textId="77777777" w:rsidR="004E1A87" w:rsidRPr="00785A38" w:rsidRDefault="004E1A87" w:rsidP="00C258BC">
      <w:pPr>
        <w:jc w:val="both"/>
        <w:rPr>
          <w:b/>
          <w:color w:val="000000" w:themeColor="text1"/>
        </w:rPr>
      </w:pPr>
    </w:p>
    <w:p w14:paraId="79F28281" w14:textId="4ECBB562" w:rsidR="001312FE" w:rsidRPr="001312FE" w:rsidRDefault="001312FE" w:rsidP="001312FE">
      <w:pPr>
        <w:spacing w:after="0"/>
      </w:pPr>
    </w:p>
    <w:p w14:paraId="48F8F468" w14:textId="77777777" w:rsidR="001312FE" w:rsidRDefault="001312FE" w:rsidP="00C258BC">
      <w:pPr>
        <w:pStyle w:val="Table"/>
        <w:jc w:val="both"/>
      </w:pPr>
    </w:p>
    <w:p w14:paraId="11C511C0" w14:textId="77777777" w:rsidR="001312FE" w:rsidRDefault="001312FE" w:rsidP="00C258BC">
      <w:pPr>
        <w:pStyle w:val="Table"/>
        <w:jc w:val="both"/>
      </w:pPr>
    </w:p>
    <w:p w14:paraId="5046AFAB" w14:textId="77777777" w:rsidR="001312FE" w:rsidRDefault="001312FE" w:rsidP="00C258BC">
      <w:pPr>
        <w:pStyle w:val="Table"/>
        <w:jc w:val="both"/>
      </w:pPr>
    </w:p>
    <w:p w14:paraId="7DC3EB52" w14:textId="2C038615" w:rsidR="00CF08F2" w:rsidRDefault="004E1A87" w:rsidP="00C258BC">
      <w:pPr>
        <w:pStyle w:val="Table"/>
        <w:jc w:val="both"/>
      </w:pPr>
      <w:r w:rsidRPr="00FA62C1">
        <w:rPr>
          <w:noProof/>
          <w:color w:val="000000" w:themeColor="text1"/>
          <w:lang w:val="en-US"/>
        </w:rPr>
        <w:drawing>
          <wp:anchor distT="0" distB="0" distL="114300" distR="114300" simplePos="0" relativeHeight="251671552" behindDoc="0" locked="0" layoutInCell="1" allowOverlap="1" wp14:anchorId="3837E0FB" wp14:editId="28D05C14">
            <wp:simplePos x="0" y="0"/>
            <wp:positionH relativeFrom="column">
              <wp:posOffset>0</wp:posOffset>
            </wp:positionH>
            <wp:positionV relativeFrom="paragraph">
              <wp:posOffset>0</wp:posOffset>
            </wp:positionV>
            <wp:extent cx="4827270" cy="3136900"/>
            <wp:effectExtent l="0" t="0" r="0" b="0"/>
            <wp:wrapTopAndBottom/>
            <wp:docPr id="19" name="Picture 19" descr="../Dropbox/Screenshots/Screenshot%202017-08-07%2013.25.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ropbox/Screenshots/Screenshot%202017-08-07%2013.25.42.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27270" cy="313690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84" w:name="_Ref518994471"/>
      <w:r w:rsidRPr="00785A38">
        <w:t xml:space="preserve">Figure </w:t>
      </w:r>
      <w:r w:rsidRPr="00785A38">
        <w:fldChar w:fldCharType="begin"/>
      </w:r>
      <w:r w:rsidRPr="00785A38">
        <w:instrText xml:space="preserve"> SEQ Figure \* ARABIC </w:instrText>
      </w:r>
      <w:r w:rsidRPr="00785A38">
        <w:fldChar w:fldCharType="separate"/>
      </w:r>
      <w:r w:rsidR="007034F1">
        <w:rPr>
          <w:noProof/>
        </w:rPr>
        <w:t>4</w:t>
      </w:r>
      <w:r w:rsidRPr="00785A38">
        <w:fldChar w:fldCharType="end"/>
      </w:r>
      <w:bookmarkEnd w:id="84"/>
      <w:r w:rsidR="00CF08F2" w:rsidRPr="00785A38">
        <w:t>: A Kuznets Curve</w:t>
      </w:r>
      <w:r w:rsidR="00CF08F2" w:rsidRPr="00785A38">
        <w:rPr>
          <w:i/>
        </w:rPr>
        <w:t xml:space="preserve">. </w:t>
      </w:r>
      <w:r w:rsidR="00CF08F2" w:rsidRPr="00785A38">
        <w:t xml:space="preserve">Where household incomes are low, wild meat is a necessity (or superior) </w:t>
      </w:r>
      <w:r w:rsidR="00A479D2" w:rsidRPr="00785A38">
        <w:t>good and</w:t>
      </w:r>
      <w:r w:rsidR="00CF08F2" w:rsidRPr="00785A38">
        <w:t xml:space="preserve"> is eaten in preference to domestic meats because it is cheaper and more available. As household incomes rise, domestic meats become affordable and wild meat is seen as an inferior good, so its consumption falls. </w:t>
      </w:r>
      <w:r w:rsidR="00CF08F2" w:rsidRPr="00184775">
        <w:t xml:space="preserve">See </w:t>
      </w:r>
      <w:r w:rsidR="00184775" w:rsidRPr="00184775">
        <w:fldChar w:fldCharType="begin" w:fldLock="1"/>
      </w:r>
      <w:r w:rsidR="00496039">
        <w:instrText xml:space="preserve">ADDIN CSL_CITATION {"citationItems":[{"id":"ITEM-1","itemData":{"DOI":"10.1046/j.1523-1739.2001.015003761.x","ISBN":"1523-1739","ISSN":"08888892","abstract":"Consumption of bushmeat is an important component of household economies in most tropical forested regions of the world and is resulting in unsustainable levels of hunting, even in relatively isolated regions. We conducted standardized surveys of household consumption, income, wealth, and education level among Amerindian societies in Central and South America. Results suggest 1) demand for bushmeat may follow an inverted </w:instrText>
      </w:r>
      <w:r w:rsidR="00496039">
        <w:rPr>
          <w:rFonts w:ascii="Cambria Math" w:hAnsi="Cambria Math" w:cs="Cambria Math"/>
        </w:rPr>
        <w:instrText>∪</w:instrText>
      </w:r>
      <w:r w:rsidR="00496039">
        <w:instrText xml:space="preserve"> pattern with income, 2) consumers, particularly the most well-off, reduce their consumption of bushmeat as the price increases; and 3) a small decrease in the price of meat from domesticated animals is likely to lead to a large decrease in the consumption of fish but not of bushmeat. Policy makers may be able to reduce demand for bushmeat by raising the price of bushmeat, by increasing the direct and opportunity costs of hunting, and by raising household income. El consumo de carne silvestre es un componente importante de las economías caseras en la mayoría de las regiones tropicales boscosas del mundo y está resultando en niveles insostenibles de caza, aún en regiones relativamente aisladas. Llevamos a cabo prospecciones estandarizadas de consumo familiar, riqueza y niveles de educación entre sociedades Amerindias en América del Sur y Central. Los resultados sugieren que 1) la demanda de carne silvestre podría seguir un patrón de </w:instrText>
      </w:r>
      <w:r w:rsidR="00496039">
        <w:rPr>
          <w:rFonts w:ascii="Cambria Math" w:hAnsi="Cambria Math" w:cs="Cambria Math"/>
        </w:rPr>
        <w:instrText>∪</w:instrText>
      </w:r>
      <w:r w:rsidR="00496039">
        <w:instrText xml:space="preserve"> invertido con los ingresos; 2) los consumidores, particularmente la mayor</w:instrText>
      </w:r>
      <w:r w:rsidR="00496039">
        <w:rPr>
          <w:rFonts w:cs="Times New Roman"/>
        </w:rPr>
        <w:instrText>í</w:instrText>
      </w:r>
      <w:r w:rsidR="00496039">
        <w:instrText>a de los persistentes, reducen el consumo de carne silvestre en tanto que el precio aumenta; y 3) una disminuci</w:instrText>
      </w:r>
      <w:r w:rsidR="00496039">
        <w:rPr>
          <w:rFonts w:cs="Times New Roman"/>
        </w:rPr>
        <w:instrText>ó</w:instrText>
      </w:r>
      <w:r w:rsidR="00496039">
        <w:instrText>n peque</w:instrText>
      </w:r>
      <w:r w:rsidR="00496039">
        <w:rPr>
          <w:rFonts w:cs="Times New Roman"/>
        </w:rPr>
        <w:instrText>ñ</w:instrText>
      </w:r>
      <w:r w:rsidR="00496039">
        <w:instrText>a en el precio de carne de animales domesticados es posible que conduzca a una disminución grande en el consumo de peces, pero no de carne de animales silvestres. Los políticos deberían de reducir la demanda de carne silvestre incrementando su precio, incrementando los costos directos y de oportunidad de la caza e incrementando los ingresos familiares.","author":[{"dropping-particle":"","family":"Wilkie","given":"David S","non-dropping-particle":"","parse-names":false,"suffix":""},{"dropping-particle":"","family":"Godoy","given":"Ricardo A","non-dropping-particle":"","parse-names":false,"suffix":""}],"container-title":"Conservation Biology","id":"ITEM-1","issue":"3","issued":{"date-parts":[["2001"]]},"page":"761-769","title":"Income and price elasticities of bushmeat demand in lowland Amerindian societies","type":"article-journal","volume":"15"},"uris":["http://www.mendeley.com/documents/?uuid=fa5ce2ce-a933-4960-8192-f981bc4505c4"]}],"mendeley":{"formattedCitation":"(Wilkie &amp; Godoy 2001)","manualFormatting":"(Wilkie &amp; Godoy 2001)","plainTextFormattedCitation":"(Wilkie &amp; Godoy 2001)","previouslyFormattedCitation":"(Wilkie &amp; Godoy 2001)"},"properties":{"noteIndex":0},"schema":"https://github.com/citation-style-language/schema/raw/master/csl-citation.json"}</w:instrText>
      </w:r>
      <w:r w:rsidR="00184775" w:rsidRPr="00184775">
        <w:fldChar w:fldCharType="separate"/>
      </w:r>
      <w:r w:rsidR="00184775">
        <w:rPr>
          <w:noProof/>
        </w:rPr>
        <w:t>(Wilkie &amp; Godoy 2001</w:t>
      </w:r>
      <w:r w:rsidR="00184775" w:rsidRPr="00184775">
        <w:rPr>
          <w:noProof/>
        </w:rPr>
        <w:t>)</w:t>
      </w:r>
      <w:r w:rsidR="00184775" w:rsidRPr="00184775">
        <w:fldChar w:fldCharType="end"/>
      </w:r>
      <w:r w:rsidR="00184775" w:rsidRPr="00184775">
        <w:t xml:space="preserve"> </w:t>
      </w:r>
      <w:r w:rsidR="00CF08F2" w:rsidRPr="00184775">
        <w:t>for</w:t>
      </w:r>
      <w:r w:rsidR="00CF08F2" w:rsidRPr="00785A38">
        <w:t xml:space="preserve"> examples from Bolivia and Honduras. </w:t>
      </w:r>
    </w:p>
    <w:p w14:paraId="09305E86" w14:textId="77777777" w:rsidR="00790906" w:rsidRPr="00785A38" w:rsidRDefault="00790906" w:rsidP="00C258BC">
      <w:pPr>
        <w:pStyle w:val="Table"/>
        <w:jc w:val="both"/>
      </w:pPr>
    </w:p>
    <w:p w14:paraId="2F5A2411" w14:textId="77777777" w:rsidR="009B72BE" w:rsidRDefault="00D06067" w:rsidP="00C258BC">
      <w:pPr>
        <w:jc w:val="both"/>
        <w:rPr>
          <w:color w:val="000000" w:themeColor="text1"/>
        </w:rPr>
      </w:pPr>
      <w:r>
        <w:rPr>
          <w:color w:val="000000" w:themeColor="text1"/>
        </w:rPr>
        <w:t xml:space="preserve">A good understanding </w:t>
      </w:r>
      <w:r w:rsidR="00C738C8">
        <w:rPr>
          <w:color w:val="000000" w:themeColor="text1"/>
        </w:rPr>
        <w:t>of</w:t>
      </w:r>
      <w:r>
        <w:rPr>
          <w:color w:val="000000" w:themeColor="text1"/>
        </w:rPr>
        <w:t xml:space="preserve"> the factors </w:t>
      </w:r>
      <w:r w:rsidR="007B5353">
        <w:rPr>
          <w:color w:val="000000" w:themeColor="text1"/>
        </w:rPr>
        <w:t>influencing</w:t>
      </w:r>
      <w:r w:rsidR="00CF08F2" w:rsidRPr="0070404D">
        <w:rPr>
          <w:color w:val="000000" w:themeColor="text1"/>
        </w:rPr>
        <w:t xml:space="preserve"> wild meat demand </w:t>
      </w:r>
      <w:r w:rsidR="00EB3053">
        <w:rPr>
          <w:color w:val="000000" w:themeColor="text1"/>
        </w:rPr>
        <w:t xml:space="preserve">helps </w:t>
      </w:r>
      <w:r>
        <w:rPr>
          <w:color w:val="000000" w:themeColor="text1"/>
        </w:rPr>
        <w:t xml:space="preserve">to </w:t>
      </w:r>
      <w:r w:rsidR="00EB3053">
        <w:rPr>
          <w:color w:val="000000" w:themeColor="text1"/>
        </w:rPr>
        <w:t>shape</w:t>
      </w:r>
      <w:r w:rsidR="00CF08F2" w:rsidRPr="0070404D">
        <w:rPr>
          <w:color w:val="000000" w:themeColor="text1"/>
        </w:rPr>
        <w:t xml:space="preserve"> </w:t>
      </w:r>
      <w:r>
        <w:rPr>
          <w:color w:val="000000" w:themeColor="text1"/>
        </w:rPr>
        <w:t xml:space="preserve">successful </w:t>
      </w:r>
      <w:r w:rsidR="00CF08F2" w:rsidRPr="0070404D">
        <w:rPr>
          <w:color w:val="000000" w:themeColor="text1"/>
        </w:rPr>
        <w:t>poli</w:t>
      </w:r>
      <w:r w:rsidR="00CF08F2" w:rsidRPr="004904D8">
        <w:rPr>
          <w:color w:val="000000" w:themeColor="text1"/>
        </w:rPr>
        <w:t>cy interventions</w:t>
      </w:r>
      <w:r w:rsidR="00CF08F2" w:rsidRPr="005512D2">
        <w:rPr>
          <w:color w:val="000000" w:themeColor="text1"/>
        </w:rPr>
        <w:t xml:space="preserve">. </w:t>
      </w:r>
      <w:r>
        <w:rPr>
          <w:color w:val="000000" w:themeColor="text1"/>
        </w:rPr>
        <w:t xml:space="preserve">For </w:t>
      </w:r>
      <w:r w:rsidR="00A479D2">
        <w:rPr>
          <w:color w:val="000000" w:themeColor="text1"/>
        </w:rPr>
        <w:t>example,</w:t>
      </w:r>
      <w:r w:rsidR="004E1A87" w:rsidRPr="003E3238">
        <w:rPr>
          <w:color w:val="000000" w:themeColor="text1"/>
        </w:rPr>
        <w:t xml:space="preserve"> designing an intervention to increase the price </w:t>
      </w:r>
      <w:r>
        <w:rPr>
          <w:color w:val="000000" w:themeColor="text1"/>
        </w:rPr>
        <w:t xml:space="preserve">of </w:t>
      </w:r>
      <w:r w:rsidR="008806AC" w:rsidRPr="003E3238">
        <w:rPr>
          <w:color w:val="000000" w:themeColor="text1"/>
        </w:rPr>
        <w:t>wild meat</w:t>
      </w:r>
      <w:r w:rsidR="004E1A87" w:rsidRPr="003E3238">
        <w:rPr>
          <w:color w:val="000000" w:themeColor="text1"/>
        </w:rPr>
        <w:t xml:space="preserve"> will have little impact if </w:t>
      </w:r>
      <w:r w:rsidR="008806AC" w:rsidRPr="003E3238">
        <w:rPr>
          <w:color w:val="000000" w:themeColor="text1"/>
        </w:rPr>
        <w:t>wild meat</w:t>
      </w:r>
      <w:r w:rsidR="004E1A87" w:rsidRPr="003E3238">
        <w:rPr>
          <w:color w:val="000000" w:themeColor="text1"/>
        </w:rPr>
        <w:t xml:space="preserve"> is eaten as a </w:t>
      </w:r>
      <w:r w:rsidR="004E1A87" w:rsidRPr="00EE2428">
        <w:rPr>
          <w:color w:val="000000" w:themeColor="text1"/>
        </w:rPr>
        <w:t xml:space="preserve">luxury and therefore </w:t>
      </w:r>
      <w:r>
        <w:rPr>
          <w:color w:val="000000" w:themeColor="text1"/>
        </w:rPr>
        <w:t>consumers are unlikely</w:t>
      </w:r>
      <w:r w:rsidR="004E1A87" w:rsidRPr="00EE2428">
        <w:rPr>
          <w:color w:val="000000" w:themeColor="text1"/>
        </w:rPr>
        <w:t xml:space="preserve"> to </w:t>
      </w:r>
      <w:r>
        <w:rPr>
          <w:color w:val="000000" w:themeColor="text1"/>
        </w:rPr>
        <w:t xml:space="preserve">respond to </w:t>
      </w:r>
      <w:r w:rsidR="004E1A87" w:rsidRPr="00EE2428">
        <w:rPr>
          <w:color w:val="000000" w:themeColor="text1"/>
        </w:rPr>
        <w:t>changes in price.</w:t>
      </w:r>
      <w:r w:rsidR="00FB6534" w:rsidRPr="0064175F">
        <w:rPr>
          <w:color w:val="000000" w:themeColor="text1"/>
        </w:rPr>
        <w:t xml:space="preserve"> </w:t>
      </w:r>
      <w:r w:rsidR="00CF08F2" w:rsidRPr="0070404D">
        <w:rPr>
          <w:color w:val="000000" w:themeColor="text1"/>
        </w:rPr>
        <w:t xml:space="preserve">Tables </w:t>
      </w:r>
      <w:r w:rsidR="004E3DF0" w:rsidRPr="0070404D">
        <w:rPr>
          <w:color w:val="000000" w:themeColor="text1"/>
        </w:rPr>
        <w:t>S</w:t>
      </w:r>
      <w:r w:rsidR="00CF08F2" w:rsidRPr="0070404D">
        <w:rPr>
          <w:color w:val="000000" w:themeColor="text1"/>
        </w:rPr>
        <w:t xml:space="preserve">1 and </w:t>
      </w:r>
      <w:r w:rsidR="004E3DF0" w:rsidRPr="0070404D">
        <w:rPr>
          <w:color w:val="000000" w:themeColor="text1"/>
        </w:rPr>
        <w:t>S</w:t>
      </w:r>
      <w:r w:rsidR="00CF08F2" w:rsidRPr="0070404D">
        <w:rPr>
          <w:color w:val="000000" w:themeColor="text1"/>
        </w:rPr>
        <w:t xml:space="preserve">2 (Appendix 1) provide a brief review of studies exploring </w:t>
      </w:r>
      <w:r w:rsidR="004E3DF0" w:rsidRPr="0070404D">
        <w:rPr>
          <w:color w:val="000000" w:themeColor="text1"/>
        </w:rPr>
        <w:t>how</w:t>
      </w:r>
      <w:r w:rsidR="00CF08F2" w:rsidRPr="0070404D">
        <w:rPr>
          <w:color w:val="000000" w:themeColor="text1"/>
        </w:rPr>
        <w:t xml:space="preserve"> wild meat</w:t>
      </w:r>
      <w:r w:rsidR="004E3DF0" w:rsidRPr="0070404D">
        <w:rPr>
          <w:color w:val="000000" w:themeColor="text1"/>
        </w:rPr>
        <w:t xml:space="preserve"> consumption is influenced by changes in its price and the price of alternatives</w:t>
      </w:r>
      <w:r w:rsidR="00CF08F2" w:rsidRPr="0070404D">
        <w:rPr>
          <w:color w:val="000000" w:themeColor="text1"/>
        </w:rPr>
        <w:t xml:space="preserve">. From Table </w:t>
      </w:r>
      <w:r w:rsidR="004E3DF0" w:rsidRPr="0070404D">
        <w:rPr>
          <w:color w:val="000000" w:themeColor="text1"/>
        </w:rPr>
        <w:t>S</w:t>
      </w:r>
      <w:r w:rsidR="00CF08F2" w:rsidRPr="0070404D">
        <w:rPr>
          <w:color w:val="000000" w:themeColor="text1"/>
        </w:rPr>
        <w:t>2, it is clear that there is little evidence base to establish the extent to which domestic meats serve as substitutes for wild meat, and how much the price of alternatives must fall to trigger a significant reduction in wild meat consumption. It is</w:t>
      </w:r>
      <w:r w:rsidR="004E3DF0" w:rsidRPr="0070404D">
        <w:rPr>
          <w:color w:val="000000" w:themeColor="text1"/>
        </w:rPr>
        <w:t xml:space="preserve"> also</w:t>
      </w:r>
      <w:r w:rsidR="00CF08F2" w:rsidRPr="0070404D">
        <w:rPr>
          <w:color w:val="000000" w:themeColor="text1"/>
        </w:rPr>
        <w:t xml:space="preserve"> likely that this w</w:t>
      </w:r>
      <w:r w:rsidR="004E3DF0" w:rsidRPr="0070404D">
        <w:rPr>
          <w:color w:val="000000" w:themeColor="text1"/>
        </w:rPr>
        <w:t>ill</w:t>
      </w:r>
      <w:r w:rsidR="00CF08F2" w:rsidRPr="0070404D">
        <w:rPr>
          <w:color w:val="000000" w:themeColor="text1"/>
        </w:rPr>
        <w:t xml:space="preserve"> vary amongst regions due to many interacting factors. </w:t>
      </w:r>
      <w:bookmarkStart w:id="85" w:name="_Ref517792810"/>
      <w:bookmarkStart w:id="86" w:name="_Toc517693744"/>
      <w:bookmarkStart w:id="87" w:name="_Toc519156089"/>
      <w:r w:rsidR="00975122">
        <w:rPr>
          <w:color w:val="000000" w:themeColor="text1"/>
        </w:rPr>
        <w:t xml:space="preserve">At present this represents an intractable challenge </w:t>
      </w:r>
      <w:r w:rsidR="00AA1660">
        <w:rPr>
          <w:color w:val="000000" w:themeColor="text1"/>
        </w:rPr>
        <w:t xml:space="preserve">for wild meat </w:t>
      </w:r>
      <w:r w:rsidR="00BB0CF1">
        <w:rPr>
          <w:color w:val="000000" w:themeColor="text1"/>
        </w:rPr>
        <w:t xml:space="preserve">managers, as </w:t>
      </w:r>
      <w:r w:rsidR="00AA1660">
        <w:rPr>
          <w:color w:val="000000" w:themeColor="text1"/>
        </w:rPr>
        <w:t xml:space="preserve">although the economic theory is clear, practical questions as to the price differentials needed to start or accelerate changes in use remain </w:t>
      </w:r>
      <w:r w:rsidR="00A479D2">
        <w:rPr>
          <w:color w:val="000000" w:themeColor="text1"/>
        </w:rPr>
        <w:t>unclear and</w:t>
      </w:r>
      <w:r w:rsidR="00AA1660">
        <w:rPr>
          <w:color w:val="000000" w:themeColor="text1"/>
        </w:rPr>
        <w:t xml:space="preserve"> are also likely to </w:t>
      </w:r>
      <w:r w:rsidR="00246333">
        <w:rPr>
          <w:color w:val="000000" w:themeColor="text1"/>
        </w:rPr>
        <w:t>vary</w:t>
      </w:r>
      <w:r w:rsidR="00AA1660">
        <w:rPr>
          <w:color w:val="000000" w:themeColor="text1"/>
        </w:rPr>
        <w:t xml:space="preserve"> depending on macro-economic context. This makes planning and budgeting of market</w:t>
      </w:r>
      <w:r w:rsidR="00246333">
        <w:rPr>
          <w:color w:val="000000" w:themeColor="text1"/>
        </w:rPr>
        <w:t>-</w:t>
      </w:r>
      <w:r w:rsidR="00AA1660">
        <w:rPr>
          <w:color w:val="000000" w:themeColor="text1"/>
        </w:rPr>
        <w:t>based interventions extremely difficult.</w:t>
      </w:r>
    </w:p>
    <w:p w14:paraId="5B1F44B8" w14:textId="3026706D" w:rsidR="003B6FE0" w:rsidRDefault="00AA1660" w:rsidP="00C258BC">
      <w:pPr>
        <w:jc w:val="both"/>
        <w:rPr>
          <w:color w:val="000000" w:themeColor="text1"/>
        </w:rPr>
        <w:sectPr w:rsidR="003B6FE0" w:rsidSect="00A35EE8">
          <w:pgSz w:w="11906" w:h="16838"/>
          <w:pgMar w:top="1440" w:right="1440" w:bottom="1440" w:left="1440" w:header="708" w:footer="708" w:gutter="0"/>
          <w:cols w:space="708"/>
          <w:docGrid w:linePitch="360"/>
        </w:sectPr>
      </w:pPr>
      <w:r>
        <w:rPr>
          <w:color w:val="000000" w:themeColor="text1"/>
        </w:rPr>
        <w:t xml:space="preserve"> </w:t>
      </w:r>
    </w:p>
    <w:p w14:paraId="1BE23618" w14:textId="6D5331D0" w:rsidR="003B6FE0" w:rsidRDefault="003B6FE0" w:rsidP="00C258BC">
      <w:pPr>
        <w:jc w:val="both"/>
        <w:rPr>
          <w:color w:val="000000" w:themeColor="text1"/>
        </w:rPr>
      </w:pPr>
    </w:p>
    <w:p w14:paraId="565FB371" w14:textId="1B9AFE38" w:rsidR="005F1487" w:rsidRPr="00785A38" w:rsidRDefault="005F1487" w:rsidP="00DF57F3">
      <w:pPr>
        <w:pStyle w:val="Heading1"/>
      </w:pPr>
      <w:bookmarkStart w:id="88" w:name="_Ref520453265"/>
      <w:bookmarkStart w:id="89" w:name="_Toc529390345"/>
      <w:r w:rsidRPr="00785A38">
        <w:t>DRIVERS OF WILD MEAT OVER-EXPLOITATION</w:t>
      </w:r>
      <w:bookmarkEnd w:id="85"/>
      <w:bookmarkEnd w:id="86"/>
      <w:bookmarkEnd w:id="87"/>
      <w:bookmarkEnd w:id="88"/>
      <w:bookmarkEnd w:id="89"/>
      <w:r w:rsidRPr="00785A38">
        <w:t xml:space="preserve"> </w:t>
      </w:r>
    </w:p>
    <w:p w14:paraId="00DB8096" w14:textId="1C834BFD" w:rsidR="00866CC0" w:rsidRPr="0070404D" w:rsidRDefault="00413751" w:rsidP="00C258BC">
      <w:pPr>
        <w:jc w:val="both"/>
        <w:rPr>
          <w:color w:val="000000" w:themeColor="text1"/>
        </w:rPr>
      </w:pPr>
      <w:r w:rsidRPr="0070404D">
        <w:rPr>
          <w:color w:val="000000" w:themeColor="text1"/>
        </w:rPr>
        <w:t>Given the extent to which wild meat harvesting can contribute to wildlife losses</w:t>
      </w:r>
      <w:r w:rsidRPr="004904D8">
        <w:rPr>
          <w:color w:val="000000" w:themeColor="text1"/>
        </w:rPr>
        <w:t xml:space="preserve"> (see </w:t>
      </w:r>
      <w:r w:rsidR="000E4C8E">
        <w:rPr>
          <w:color w:val="000000" w:themeColor="text1"/>
        </w:rPr>
        <w:t>Chapters</w:t>
      </w:r>
      <w:r w:rsidR="00D904E1" w:rsidRPr="004904D8">
        <w:rPr>
          <w:color w:val="000000" w:themeColor="text1"/>
        </w:rPr>
        <w:t xml:space="preserve"> </w:t>
      </w:r>
      <w:r w:rsidRPr="004904D8">
        <w:rPr>
          <w:color w:val="000000" w:themeColor="text1"/>
        </w:rPr>
        <w:fldChar w:fldCharType="begin"/>
      </w:r>
      <w:r w:rsidRPr="0070404D">
        <w:rPr>
          <w:color w:val="000000" w:themeColor="text1"/>
        </w:rPr>
        <w:instrText xml:space="preserve"> REF _Ref518897317 \r \h </w:instrText>
      </w:r>
      <w:r w:rsidRPr="004904D8">
        <w:rPr>
          <w:color w:val="000000" w:themeColor="text1"/>
        </w:rPr>
      </w:r>
      <w:r w:rsidRPr="004904D8">
        <w:rPr>
          <w:color w:val="000000" w:themeColor="text1"/>
        </w:rPr>
        <w:fldChar w:fldCharType="separate"/>
      </w:r>
      <w:r w:rsidR="007034F1">
        <w:rPr>
          <w:color w:val="000000" w:themeColor="text1"/>
        </w:rPr>
        <w:t>1</w:t>
      </w:r>
      <w:r w:rsidRPr="004904D8">
        <w:rPr>
          <w:color w:val="000000" w:themeColor="text1"/>
        </w:rPr>
        <w:fldChar w:fldCharType="end"/>
      </w:r>
      <w:r w:rsidR="00D904E1">
        <w:rPr>
          <w:color w:val="000000" w:themeColor="text1"/>
        </w:rPr>
        <w:t xml:space="preserve"> and </w:t>
      </w:r>
      <w:r w:rsidR="00D904E1">
        <w:rPr>
          <w:color w:val="000000" w:themeColor="text1"/>
        </w:rPr>
        <w:fldChar w:fldCharType="begin"/>
      </w:r>
      <w:r w:rsidR="00D904E1">
        <w:rPr>
          <w:color w:val="000000" w:themeColor="text1"/>
        </w:rPr>
        <w:instrText xml:space="preserve"> REF _Ref520206175 \r \h </w:instrText>
      </w:r>
      <w:r w:rsidR="00D904E1">
        <w:rPr>
          <w:color w:val="000000" w:themeColor="text1"/>
        </w:rPr>
      </w:r>
      <w:r w:rsidR="00D904E1">
        <w:rPr>
          <w:color w:val="000000" w:themeColor="text1"/>
        </w:rPr>
        <w:fldChar w:fldCharType="separate"/>
      </w:r>
      <w:r w:rsidR="007034F1">
        <w:rPr>
          <w:color w:val="000000" w:themeColor="text1"/>
        </w:rPr>
        <w:t>5</w:t>
      </w:r>
      <w:r w:rsidR="00D904E1">
        <w:rPr>
          <w:color w:val="000000" w:themeColor="text1"/>
        </w:rPr>
        <w:fldChar w:fldCharType="end"/>
      </w:r>
      <w:r w:rsidRPr="0070404D">
        <w:rPr>
          <w:color w:val="000000" w:themeColor="text1"/>
        </w:rPr>
        <w:t>)</w:t>
      </w:r>
      <w:r w:rsidRPr="004904D8">
        <w:rPr>
          <w:color w:val="000000" w:themeColor="text1"/>
        </w:rPr>
        <w:t>, it becomes essential to better understa</w:t>
      </w:r>
      <w:r w:rsidRPr="005512D2">
        <w:rPr>
          <w:color w:val="000000" w:themeColor="text1"/>
        </w:rPr>
        <w:t xml:space="preserve">nd how </w:t>
      </w:r>
      <w:r w:rsidR="003F2CFD">
        <w:rPr>
          <w:color w:val="000000" w:themeColor="text1"/>
        </w:rPr>
        <w:t xml:space="preserve">previously </w:t>
      </w:r>
      <w:r w:rsidRPr="005512D2">
        <w:rPr>
          <w:color w:val="000000" w:themeColor="text1"/>
        </w:rPr>
        <w:t xml:space="preserve">sustainable hunting can tip into overexploitation. </w:t>
      </w:r>
      <w:r w:rsidR="00372F23" w:rsidRPr="003E3238">
        <w:rPr>
          <w:color w:val="000000" w:themeColor="text1"/>
        </w:rPr>
        <w:t xml:space="preserve">In this </w:t>
      </w:r>
      <w:r w:rsidR="001A2DB1">
        <w:rPr>
          <w:color w:val="000000" w:themeColor="text1"/>
        </w:rPr>
        <w:t>section</w:t>
      </w:r>
      <w:r w:rsidR="001A2DB1" w:rsidRPr="003E3238">
        <w:rPr>
          <w:color w:val="000000" w:themeColor="text1"/>
        </w:rPr>
        <w:t xml:space="preserve"> </w:t>
      </w:r>
      <w:r w:rsidR="00372F23" w:rsidRPr="003E3238">
        <w:rPr>
          <w:color w:val="000000" w:themeColor="text1"/>
        </w:rPr>
        <w:t xml:space="preserve">we examine the natural productivity of tropical ecosystems; </w:t>
      </w:r>
      <w:r w:rsidR="003F2CFD">
        <w:rPr>
          <w:color w:val="000000" w:themeColor="text1"/>
        </w:rPr>
        <w:t xml:space="preserve">the effect of </w:t>
      </w:r>
      <w:r w:rsidR="00AA5EBD" w:rsidRPr="003E3238">
        <w:rPr>
          <w:color w:val="000000" w:themeColor="text1"/>
        </w:rPr>
        <w:t xml:space="preserve">increasing access to lands with previously low levels of hunting pressure, </w:t>
      </w:r>
      <w:r w:rsidR="00372F23" w:rsidRPr="003E3238">
        <w:rPr>
          <w:color w:val="000000" w:themeColor="text1"/>
        </w:rPr>
        <w:t>predictions for human population growth and recent trends in social and demographic change; the socio-economic drivers of trade in wild meat and per capita consumption, and finally, the aspects of current governance that promote, rather than curb, over-exploitation</w:t>
      </w:r>
      <w:r w:rsidR="00372F23" w:rsidRPr="0064175F">
        <w:rPr>
          <w:color w:val="000000" w:themeColor="text1"/>
        </w:rPr>
        <w:t>.</w:t>
      </w:r>
    </w:p>
    <w:p w14:paraId="123D3213" w14:textId="5137A8CF" w:rsidR="00866CC0" w:rsidRPr="0070404D" w:rsidRDefault="00866CC0" w:rsidP="00DF57F3">
      <w:pPr>
        <w:pStyle w:val="Heading2"/>
      </w:pPr>
      <w:bookmarkStart w:id="90" w:name="_Toc517693745"/>
      <w:bookmarkStart w:id="91" w:name="_Ref518911889"/>
      <w:bookmarkStart w:id="92" w:name="_Ref518911918"/>
      <w:bookmarkStart w:id="93" w:name="_Toc519156090"/>
      <w:bookmarkStart w:id="94" w:name="_Toc529390346"/>
      <w:r w:rsidRPr="0070404D">
        <w:t>Low productivity ecosystems</w:t>
      </w:r>
      <w:bookmarkEnd w:id="90"/>
      <w:bookmarkEnd w:id="91"/>
      <w:bookmarkEnd w:id="92"/>
      <w:bookmarkEnd w:id="93"/>
      <w:bookmarkEnd w:id="94"/>
      <w:r w:rsidRPr="0070404D">
        <w:t xml:space="preserve"> </w:t>
      </w:r>
    </w:p>
    <w:p w14:paraId="0C209D2E" w14:textId="234B7ED5" w:rsidR="00866CC0" w:rsidRPr="00444AF5" w:rsidRDefault="007B5353" w:rsidP="00C258BC">
      <w:pPr>
        <w:jc w:val="both"/>
        <w:rPr>
          <w:color w:val="000000" w:themeColor="text1"/>
        </w:rPr>
      </w:pPr>
      <w:r>
        <w:rPr>
          <w:color w:val="000000" w:themeColor="text1"/>
        </w:rPr>
        <w:t>D</w:t>
      </w:r>
      <w:r w:rsidRPr="0070404D">
        <w:rPr>
          <w:color w:val="000000" w:themeColor="text1"/>
        </w:rPr>
        <w:t xml:space="preserve">espite being important reservoirs of terrestrial biodiversity, </w:t>
      </w:r>
      <w:r>
        <w:rPr>
          <w:color w:val="000000" w:themeColor="text1"/>
        </w:rPr>
        <w:t>t</w:t>
      </w:r>
      <w:r w:rsidRPr="0070404D">
        <w:rPr>
          <w:color w:val="000000" w:themeColor="text1"/>
        </w:rPr>
        <w:t>ropical and sub-tropical areas are low-</w:t>
      </w:r>
      <w:r w:rsidRPr="00444AF5">
        <w:rPr>
          <w:color w:val="000000" w:themeColor="text1"/>
        </w:rPr>
        <w:t xml:space="preserve">productivity ecosystems. Their biological supply is often an order of magnitude lower than that of more open savannas </w:t>
      </w:r>
      <w:r w:rsidR="003B3E3F">
        <w:rPr>
          <w:color w:val="000000" w:themeColor="text1"/>
        </w:rPr>
        <w:fldChar w:fldCharType="begin" w:fldLock="1"/>
      </w:r>
      <w:r w:rsidR="00B2630D">
        <w:rPr>
          <w:color w:val="000000" w:themeColor="text1"/>
        </w:rPr>
        <w:instrText>ADDIN CSL_CITATION {"citationItems":[{"id":"ITEM-1","itemData":{"author":[{"dropping-particle":"","family":"Robinson","given":"J G","non-dropping-particle":"","parse-names":false,"suffix":""},{"dropping-particle":"","family":"Bennett","given":"E L","non-dropping-particle":"","parse-names":false,"suffix":""}],"container-title":"Hunting for sustainability in tropical forests","editor":[{"dropping-particle":"","family":"Robinson","given":"J G","non-dropping-particle":"","parse-names":false,"suffix":""},{"dropping-particle":"","family":"Bennett","given":"E L","non-dropping-particle":"","parse-names":false,"suffix":""}],"id":"ITEM-1","issued":{"date-parts":[["2000"]]},"page":"13-30","publisher":"Columbia University Press, New York, USA","title":"Carrying capacity limits to sustainable hunting in tropical forests","type":"chapter"},"uris":["http://www.mendeley.com/documents/?uuid=55e52c97-fede-4ac3-b4d2-290dcc9c0ca6"]}],"mendeley":{"formattedCitation":"(Robinson &amp; Bennett 2000)","plainTextFormattedCitation":"(Robinson &amp; Bennett 2000)","previouslyFormattedCitation":"(Robinson &amp; Bennett 2000)"},"properties":{"noteIndex":0},"schema":"https://github.com/citation-style-language/schema/raw/master/csl-citation.json"}</w:instrText>
      </w:r>
      <w:r w:rsidR="003B3E3F">
        <w:rPr>
          <w:color w:val="000000" w:themeColor="text1"/>
        </w:rPr>
        <w:fldChar w:fldCharType="separate"/>
      </w:r>
      <w:r w:rsidR="003B3E3F" w:rsidRPr="003B3E3F">
        <w:rPr>
          <w:noProof/>
          <w:color w:val="000000" w:themeColor="text1"/>
        </w:rPr>
        <w:t>(Robinson &amp; Bennett 2000)</w:t>
      </w:r>
      <w:r w:rsidR="003B3E3F">
        <w:rPr>
          <w:color w:val="000000" w:themeColor="text1"/>
        </w:rPr>
        <w:fldChar w:fldCharType="end"/>
      </w:r>
      <w:r w:rsidRPr="00444AF5">
        <w:rPr>
          <w:color w:val="000000" w:themeColor="text1"/>
        </w:rPr>
        <w:t xml:space="preserve">. This is especially true for tropical moist forests. While variations exist between locations and regions, </w:t>
      </w:r>
      <w:r w:rsidR="003555C3" w:rsidRPr="00444AF5">
        <w:rPr>
          <w:color w:val="000000" w:themeColor="text1"/>
        </w:rPr>
        <w:t xml:space="preserve">maximum </w:t>
      </w:r>
      <w:r w:rsidR="0071163A" w:rsidRPr="00444AF5">
        <w:rPr>
          <w:color w:val="000000" w:themeColor="text1"/>
        </w:rPr>
        <w:t xml:space="preserve">sustainable </w:t>
      </w:r>
      <w:r w:rsidR="003555C3" w:rsidRPr="00444AF5">
        <w:rPr>
          <w:color w:val="000000" w:themeColor="text1"/>
        </w:rPr>
        <w:t>offtake for</w:t>
      </w:r>
      <w:r w:rsidR="0071163A" w:rsidRPr="00444AF5">
        <w:rPr>
          <w:color w:val="000000" w:themeColor="text1"/>
        </w:rPr>
        <w:t xml:space="preserve"> </w:t>
      </w:r>
      <w:r w:rsidR="00F7237A" w:rsidRPr="00444AF5">
        <w:rPr>
          <w:color w:val="000000" w:themeColor="text1"/>
        </w:rPr>
        <w:t>mammal</w:t>
      </w:r>
      <w:r w:rsidR="003555C3" w:rsidRPr="00444AF5">
        <w:rPr>
          <w:color w:val="000000" w:themeColor="text1"/>
        </w:rPr>
        <w:t xml:space="preserve">s </w:t>
      </w:r>
      <w:r w:rsidRPr="00444AF5">
        <w:rPr>
          <w:color w:val="000000" w:themeColor="text1"/>
        </w:rPr>
        <w:t xml:space="preserve">in tropical moist forests </w:t>
      </w:r>
      <w:r w:rsidR="003555C3" w:rsidRPr="00444AF5">
        <w:rPr>
          <w:color w:val="000000" w:themeColor="text1"/>
        </w:rPr>
        <w:t>was</w:t>
      </w:r>
      <w:r w:rsidRPr="00444AF5">
        <w:rPr>
          <w:color w:val="000000" w:themeColor="text1"/>
        </w:rPr>
        <w:t xml:space="preserve"> estimated to be around 150 kg/km</w:t>
      </w:r>
      <w:r w:rsidRPr="00444AF5">
        <w:rPr>
          <w:color w:val="000000" w:themeColor="text1"/>
          <w:vertAlign w:val="superscript"/>
        </w:rPr>
        <w:t>2</w:t>
      </w:r>
      <w:r w:rsidRPr="00444AF5">
        <w:rPr>
          <w:color w:val="000000" w:themeColor="text1"/>
        </w:rPr>
        <w:t xml:space="preserve">/annum </w:t>
      </w:r>
      <w:r w:rsidR="003B3E3F">
        <w:rPr>
          <w:color w:val="000000" w:themeColor="text1"/>
        </w:rPr>
        <w:fldChar w:fldCharType="begin" w:fldLock="1"/>
      </w:r>
      <w:r w:rsidR="003B3E3F">
        <w:rPr>
          <w:color w:val="000000" w:themeColor="text1"/>
        </w:rPr>
        <w:instrText>ADDIN CSL_CITATION {"citationItems":[{"id":"ITEM-1","itemData":{"DOI":"10.1017/S1367943004001532","author":[{"dropping-particle":"","family":"Robinson","given":"John G","non-dropping-particle":"","parse-names":false,"suffix":""},{"dropping-particle":"","family":"Bennett","given":"Elizabeth L","non-dropping-particle":"","parse-names":false,"suffix":""}],"container-title":"Animal Conservation","id":"ITEM-1","issued":{"date-parts":[["2004"]]},"page":"397-408","title":"Having your wildlife and eating it too: an analysis of hunting sustainability across tropical ecosystems","type":"article-journal","volume":"7"},"uris":["http://www.mendeley.com/documents/?uuid=081b2359-707f-4126-8bc5-61422cfc0683"]}],"mendeley":{"formattedCitation":"(Robinson &amp; Bennett 2004)","plainTextFormattedCitation":"(Robinson &amp; Bennett 2004)","previouslyFormattedCitation":"(Robinson &amp; Bennett 2004)"},"properties":{"noteIndex":0},"schema":"https://github.com/citation-style-language/schema/raw/master/csl-citation.json"}</w:instrText>
      </w:r>
      <w:r w:rsidR="003B3E3F">
        <w:rPr>
          <w:color w:val="000000" w:themeColor="text1"/>
        </w:rPr>
        <w:fldChar w:fldCharType="separate"/>
      </w:r>
      <w:r w:rsidR="003B3E3F" w:rsidRPr="003B3E3F">
        <w:rPr>
          <w:noProof/>
          <w:color w:val="000000" w:themeColor="text1"/>
        </w:rPr>
        <w:t>(Robinson &amp; Bennett 2004)</w:t>
      </w:r>
      <w:r w:rsidR="003B3E3F">
        <w:rPr>
          <w:color w:val="000000" w:themeColor="text1"/>
        </w:rPr>
        <w:fldChar w:fldCharType="end"/>
      </w:r>
      <w:r w:rsidRPr="00444AF5">
        <w:rPr>
          <w:color w:val="000000" w:themeColor="text1"/>
        </w:rPr>
        <w:t xml:space="preserve">. </w:t>
      </w:r>
      <w:r w:rsidR="00866CC0" w:rsidRPr="00444AF5">
        <w:rPr>
          <w:color w:val="000000" w:themeColor="text1"/>
        </w:rPr>
        <w:t>This level of production is presumed sufficient to support only 1–2 person(s)/km</w:t>
      </w:r>
      <w:r w:rsidR="00866CC0" w:rsidRPr="00444AF5">
        <w:rPr>
          <w:color w:val="000000" w:themeColor="text1"/>
          <w:vertAlign w:val="superscript"/>
        </w:rPr>
        <w:t>2</w:t>
      </w:r>
      <w:r w:rsidR="00866CC0" w:rsidRPr="00444AF5">
        <w:rPr>
          <w:color w:val="000000" w:themeColor="text1"/>
        </w:rPr>
        <w:t xml:space="preserve"> if they rely exclusively on wild animal protein </w:t>
      </w:r>
      <w:r w:rsidR="003B3E3F">
        <w:rPr>
          <w:color w:val="000000" w:themeColor="text1"/>
        </w:rPr>
        <w:fldChar w:fldCharType="begin" w:fldLock="1"/>
      </w:r>
      <w:r w:rsidR="00B2630D">
        <w:rPr>
          <w:color w:val="000000" w:themeColor="text1"/>
        </w:rPr>
        <w:instrText>ADDIN CSL_CITATION {"citationItems":[{"id":"ITEM-1","itemData":{"DOI":"ISBN 92-9225-083-3","ISBN":"9292250833","abstract":"2008. Conservation and use of wildlife-based resources: The bushmeat crisis. Technical series No. 33. Montreal: Secretariat of the Convention on Biological Diversity; and Bogor, Indonesia: Centre on International Forestry Research.","author":[{"dropping-particle":"","family":"Nasi","given":"R","non-dropping-particle":"","parse-names":false,"suffix":""},{"dropping-particle":"","family":"Brown","given":"D","non-dropping-particle":"","parse-names":false,"suffix":""},{"dropping-particle":"","family":"Wilkie","given":"D","non-dropping-particle":"","parse-names":false,"suffix":""},{"dropping-particle":"","family":"Bennett","given":"E","non-dropping-particle":"","parse-names":false,"suffix":""},{"dropping-particle":"","family":"Tutin","given":"C","non-dropping-particle":"","parse-names":false,"suffix":""},{"dropping-particle":"","family":"Tol","given":"G","non-dropping-particle":"Van","parse-names":false,"suffix":""},{"dropping-particle":"","family":"Christophersen","given":"T","non-dropping-particle":"","parse-names":false,"suffix":""}],"id":"ITEM-1","issued":{"date-parts":[["2008"]]},"number-of-pages":"50","publisher-place":"Secretariat of the Convention on Biological Diversity, Montreal, Canada, and Centre for International Forestry Research (CIFOR), Bogor, Indonesia.","title":"Conservation and use of wildlife-based resources: the bushmeat crisis. CBD Technical Series No. 33","type":"report"},"uris":["http://www.mendeley.com/documents/?uuid=820bb019-82b3-449a-b6b2-fbc4d35d17d6"]},{"id":"ITEM-2","itemData":{"author":[{"dropping-particle":"","family":"Robinson","given":"J G","non-dropping-particle":"","parse-names":false,"suffix":""},{"dropping-particle":"","family":"Bennett","given":"E L","non-dropping-particle":"","parse-names":false,"suffix":""}],"container-title":"Hunting for sustainability in tropical forests","editor":[{"dropping-particle":"","family":"Robinson","given":"J G","non-dropping-particle":"","parse-names":false,"suffix":""},{"dropping-particle":"","family":"Bennett","given":"E L","non-dropping-particle":"","parse-names":false,"suffix":""}],"id":"ITEM-2","issued":{"date-parts":[["2000"]]},"page":"13-30","publisher":"Columbia University Press, New York, USA","title":"Carrying capacity limits to sustainable hunting in tropical forests","type":"chapter"},"uris":["http://www.mendeley.com/documents/?uuid=55e52c97-fede-4ac3-b4d2-290dcc9c0ca6"]}],"mendeley":{"formattedCitation":"(Robinson &amp; Bennett 2000; Nasi et al. 2008)","plainTextFormattedCitation":"(Robinson &amp; Bennett 2000; Nasi et al. 2008)","previouslyFormattedCitation":"(Robinson &amp; Bennett 2000; Nasi et al. 2008)"},"properties":{"noteIndex":0},"schema":"https://github.com/citation-style-language/schema/raw/master/csl-citation.json"}</w:instrText>
      </w:r>
      <w:r w:rsidR="003B3E3F">
        <w:rPr>
          <w:color w:val="000000" w:themeColor="text1"/>
        </w:rPr>
        <w:fldChar w:fldCharType="separate"/>
      </w:r>
      <w:r w:rsidR="003B3E3F" w:rsidRPr="003B3E3F">
        <w:rPr>
          <w:noProof/>
          <w:color w:val="000000" w:themeColor="text1"/>
        </w:rPr>
        <w:t>(Robinson &amp; Bennett 2000; Nasi et al. 2008)</w:t>
      </w:r>
      <w:r w:rsidR="003B3E3F">
        <w:rPr>
          <w:color w:val="000000" w:themeColor="text1"/>
        </w:rPr>
        <w:fldChar w:fldCharType="end"/>
      </w:r>
      <w:r w:rsidR="00A53C59" w:rsidRPr="00444AF5">
        <w:rPr>
          <w:color w:val="000000" w:themeColor="text1"/>
        </w:rPr>
        <w:t>. A</w:t>
      </w:r>
      <w:r w:rsidR="00866CC0" w:rsidRPr="00444AF5">
        <w:rPr>
          <w:color w:val="000000" w:themeColor="text1"/>
        </w:rPr>
        <w:t xml:space="preserve">lthough this figure </w:t>
      </w:r>
      <w:r w:rsidR="00A53C59" w:rsidRPr="00444AF5">
        <w:rPr>
          <w:color w:val="000000" w:themeColor="text1"/>
        </w:rPr>
        <w:t>has been widely</w:t>
      </w:r>
      <w:r w:rsidR="005C2F20" w:rsidRPr="00444AF5">
        <w:rPr>
          <w:color w:val="000000" w:themeColor="text1"/>
        </w:rPr>
        <w:t xml:space="preserve"> </w:t>
      </w:r>
      <w:r w:rsidR="00866CC0" w:rsidRPr="00444AF5">
        <w:rPr>
          <w:color w:val="000000" w:themeColor="text1"/>
        </w:rPr>
        <w:t>debated</w:t>
      </w:r>
      <w:r w:rsidR="005C2F20" w:rsidRPr="00444AF5">
        <w:rPr>
          <w:color w:val="000000" w:themeColor="text1"/>
        </w:rPr>
        <w:t xml:space="preserve"> as </w:t>
      </w:r>
      <w:r w:rsidR="00A53C59" w:rsidRPr="00444AF5">
        <w:rPr>
          <w:color w:val="000000" w:themeColor="text1"/>
        </w:rPr>
        <w:t>overly</w:t>
      </w:r>
      <w:r w:rsidR="005C2F20" w:rsidRPr="00444AF5">
        <w:rPr>
          <w:color w:val="000000" w:themeColor="text1"/>
        </w:rPr>
        <w:t xml:space="preserve"> simple</w:t>
      </w:r>
      <w:r w:rsidR="00D25860" w:rsidRPr="00444AF5">
        <w:rPr>
          <w:color w:val="000000" w:themeColor="text1"/>
        </w:rPr>
        <w:t>,</w:t>
      </w:r>
      <w:r w:rsidR="00A53C59" w:rsidRPr="00444AF5">
        <w:rPr>
          <w:color w:val="000000" w:themeColor="text1"/>
        </w:rPr>
        <w:t xml:space="preserve"> </w:t>
      </w:r>
      <w:r w:rsidR="00BB0CF1">
        <w:rPr>
          <w:color w:val="000000" w:themeColor="text1"/>
        </w:rPr>
        <w:t>m</w:t>
      </w:r>
      <w:r w:rsidR="00F7237A" w:rsidRPr="00444AF5">
        <w:rPr>
          <w:color w:val="000000" w:themeColor="text1"/>
        </w:rPr>
        <w:t xml:space="preserve">ore precise calculations of the potential carrying capacity of tropical forests, though interesting from an academic viewpoint, </w:t>
      </w:r>
      <w:r w:rsidR="00BB0CF1">
        <w:rPr>
          <w:color w:val="000000" w:themeColor="text1"/>
        </w:rPr>
        <w:t xml:space="preserve">are unlikely to challenge the </w:t>
      </w:r>
      <w:r w:rsidR="00BB0CF1" w:rsidRPr="00444AF5">
        <w:rPr>
          <w:color w:val="000000" w:themeColor="text1"/>
        </w:rPr>
        <w:t>conclusion that tropical forest productivity cannot s</w:t>
      </w:r>
      <w:r w:rsidR="00BB0CF1">
        <w:rPr>
          <w:color w:val="000000" w:themeColor="text1"/>
        </w:rPr>
        <w:t xml:space="preserve">upport current human populations </w:t>
      </w:r>
      <w:r w:rsidR="003B3E3F">
        <w:rPr>
          <w:color w:val="000000" w:themeColor="text1"/>
        </w:rPr>
        <w:fldChar w:fldCharType="begin" w:fldLock="1"/>
      </w:r>
      <w:r w:rsidR="003B3E3F">
        <w:rPr>
          <w:color w:val="000000" w:themeColor="text1"/>
        </w:rPr>
        <w:instrText>ADDIN CSL_CITATION {"citationItems":[{"id":"ITEM-1","itemData":{"DOI":"10.1046/j.1523-1739.2002.00275.x","ISBN":"1523-1739","ISSN":"0888-8892","PMID":"10875522","abstract":"We calculated extraction and production rates of bushmeat species in two main tropical, moist-forest regions, the Amazon and Congo basins. Extraction was estimated from the average number of animals consumed per person per year from anthropological studies that reported animal kills brought into settlements in the regions. We calculated extraction rates ( kg / km 2/year) for 57 and 31 mammalian taxa in the Congo and Amazon, respectively. We then examined the sustainability of these extraction rates by basin and by taxa, using extraction-to-production ( E:P) mass-balance equations. Production (tonnes/year) was calculated as the product of rmax (the intrinsic rate of natural increase), mammal biomass, and total area of forest in each region. Species exploitation rates at specific body masses were significantly greater in the Congo than in the Amazon. The E :P ratio for the Congo was 2.4, 30 times the Amazon's ratio of 0.081. Thus, Congo Basin mammals must annually produce approximately 93% of their body mass to balance current extraction rates, whereas Amazonian mammals must produce only 4% of their body mass. We calculated sustainability levels derived from Robinson and Redford's harvest model for each taxa. On a basin-wide level, 60% and none of the mammal taxa in the Congo and Amazon basins, respectively, were exploited unsustainably. To evaluate the effect of error on the estimates of E :P, we conducted a sensitivity analysis, which suggests that the mass-balance was most sensitive to error in standing stock but that our results are robust. We estimated that over 5 million tons of wild mammal meat feed millions in Neotropical (0.15 million) and Afrotropical (4.9 million) forests annually. Our Congo basin estimates are four times higher than those calculated for the region by other workers, and we conclude that the current situation of bushmeat extraction in African rain forests is more precarious than previously thought. Calculamos las tasas de extracción y de producción de especies cinegéticas en dos importantes regiones tropicales de bosque húmedo: las cuencas del Amazonas y del Congo. Se estimó la extracción a partir del número promedio de animales consumidos por año en estudios antropológicos que registraron animales cazados y llevados a los poblados en las regiones. Calculamos tasas de extracción ( kg/km 2/año−1) para 57 y 31 taxa de mamíferos en el Congo y el Amazonas, respectivamente. Posteriormente examinamos la sustentabilidad de estas tasas …","author":[{"dropping-particle":"","family":"Fa","given":"John E","non-dropping-particle":"","parse-names":false,"suffix":""},{"dropping-particle":"","family":"Peres","given":"Carlos A","non-dropping-particle":"","parse-names":false,"suffix":""},{"dropping-particle":"","family":"Meeuwig","given":"Jessica","non-dropping-particle":"","parse-names":false,"suffix":""}],"container-title":"Conservation Biology","id":"ITEM-1","issue":"1","issued":{"date-parts":[["2002"]]},"page":"232-237","title":"Bushmeat exploitation in tropical forests: an intercontinental comparison","type":"article-journal","volume":"16"},"uris":["http://www.mendeley.com/documents/?uuid=e1b18c38-751b-40b4-a08a-c77816093199"]}],"mendeley":{"formattedCitation":"(Fa et al. 2002)","plainTextFormattedCitation":"(Fa et al. 2002)","previouslyFormattedCitation":"(Fa et al. 2002)"},"properties":{"noteIndex":0},"schema":"https://github.com/citation-style-language/schema/raw/master/csl-citation.json"}</w:instrText>
      </w:r>
      <w:r w:rsidR="003B3E3F">
        <w:rPr>
          <w:color w:val="000000" w:themeColor="text1"/>
        </w:rPr>
        <w:fldChar w:fldCharType="separate"/>
      </w:r>
      <w:r w:rsidR="003B3E3F" w:rsidRPr="003B3E3F">
        <w:rPr>
          <w:noProof/>
          <w:color w:val="000000" w:themeColor="text1"/>
        </w:rPr>
        <w:t>(Fa et al. 2002)</w:t>
      </w:r>
      <w:r w:rsidR="003B3E3F">
        <w:rPr>
          <w:color w:val="000000" w:themeColor="text1"/>
        </w:rPr>
        <w:fldChar w:fldCharType="end"/>
      </w:r>
      <w:r w:rsidR="00BB0CF1">
        <w:rPr>
          <w:color w:val="000000" w:themeColor="text1"/>
          <w:shd w:val="clear" w:color="auto" w:fill="FFFFFF" w:themeFill="background1"/>
        </w:rPr>
        <w:t>.</w:t>
      </w:r>
      <w:r w:rsidR="00444AF5" w:rsidRPr="00444AF5">
        <w:rPr>
          <w:color w:val="000000" w:themeColor="text1"/>
        </w:rPr>
        <w:t xml:space="preserve"> </w:t>
      </w:r>
      <w:r w:rsidR="00BB0CF1">
        <w:t>I</w:t>
      </w:r>
      <w:r w:rsidR="00BB0CF1" w:rsidRPr="005512D2">
        <w:t>n Latin America &amp; Caribbean, sub-</w:t>
      </w:r>
      <w:r w:rsidR="00BB0CF1" w:rsidRPr="003B3E3F">
        <w:t>Saharan Africa and East Asia &amp; Pacific densities are 31, 44 and 94 persons/km</w:t>
      </w:r>
      <w:r w:rsidR="00BB0CF1" w:rsidRPr="003B3E3F">
        <w:rPr>
          <w:vertAlign w:val="superscript"/>
        </w:rPr>
        <w:t>2</w:t>
      </w:r>
      <w:r w:rsidR="00BB0CF1" w:rsidRPr="003B3E3F">
        <w:t xml:space="preserve"> respectively </w:t>
      </w:r>
      <w:r w:rsidR="003B3E3F">
        <w:fldChar w:fldCharType="begin" w:fldLock="1"/>
      </w:r>
      <w:r w:rsidR="00566AAF">
        <w:instrText>ADDIN CSL_CITATION {"citationItems":[{"id":"ITEM-1","itemData":{"author":[{"dropping-particle":"","family":"World Bank","given":"","non-dropping-particle":"","parse-names":false,"suffix":""}],"id":"ITEM-1","issued":{"date-parts":[["2017"]]},"title":"World Bank Data: Population density. https://data.worldbank.org/indicator/EN.POP.DNST","type":"webpage"},"uris":["http://www.mendeley.com/documents/?uuid=8d45b76a-18cb-46b9-95d5-d2104f0a2fa2"]}],"mendeley":{"formattedCitation":"(World Bank 2017)","plainTextFormattedCitation":"(World Bank 2017)","previouslyFormattedCitation":"(World Bank 2017)"},"properties":{"noteIndex":0},"schema":"https://github.com/citation-style-language/schema/raw/master/csl-citation.json"}</w:instrText>
      </w:r>
      <w:r w:rsidR="003B3E3F">
        <w:fldChar w:fldCharType="separate"/>
      </w:r>
      <w:r w:rsidR="00F47C87" w:rsidRPr="00F47C87">
        <w:rPr>
          <w:noProof/>
        </w:rPr>
        <w:t>(World Bank 2017)</w:t>
      </w:r>
      <w:r w:rsidR="003B3E3F">
        <w:fldChar w:fldCharType="end"/>
      </w:r>
      <w:r w:rsidR="00BB0CF1" w:rsidRPr="003B3E3F">
        <w:t>. While rural densities are likely to be much lower than urban densities, this underlines the need for</w:t>
      </w:r>
      <w:r w:rsidR="00BB0CF1">
        <w:t xml:space="preserve"> urban demand for meat to be provided from other sources if remote rural communities are to continue to be supported by tropical forest production levels. </w:t>
      </w:r>
    </w:p>
    <w:p w14:paraId="5A3AB5A4" w14:textId="7CBCF3FE" w:rsidR="00866CC0" w:rsidRPr="0070404D" w:rsidRDefault="00885AF2" w:rsidP="00DF57F3">
      <w:pPr>
        <w:pStyle w:val="Heading2"/>
      </w:pPr>
      <w:bookmarkStart w:id="95" w:name="_Toc519156091"/>
      <w:bookmarkStart w:id="96" w:name="_Ref520467552"/>
      <w:bookmarkStart w:id="97" w:name="_Toc529390347"/>
      <w:r w:rsidRPr="0070404D">
        <w:t xml:space="preserve">Increased access </w:t>
      </w:r>
      <w:r w:rsidR="00830E6F" w:rsidRPr="0070404D">
        <w:t>to new lands</w:t>
      </w:r>
      <w:bookmarkEnd w:id="95"/>
      <w:bookmarkEnd w:id="96"/>
      <w:bookmarkEnd w:id="97"/>
    </w:p>
    <w:p w14:paraId="64946C42" w14:textId="2B54C0C9" w:rsidR="00FE0786" w:rsidRPr="0070404D" w:rsidRDefault="00FE0786" w:rsidP="00C258BC">
      <w:pPr>
        <w:pStyle w:val="CommentText"/>
        <w:jc w:val="both"/>
      </w:pPr>
      <w:r w:rsidRPr="0070404D">
        <w:t>When discussing the likelihood of over-exploitation and its drivers,</w:t>
      </w:r>
      <w:r w:rsidR="00FB6534" w:rsidRPr="0070404D">
        <w:t xml:space="preserve"> the</w:t>
      </w:r>
      <w:r w:rsidRPr="0070404D">
        <w:t xml:space="preserve"> starting state of the catchment to be hunted, and the species within, must be considered. </w:t>
      </w:r>
      <w:r w:rsidR="00866CC0" w:rsidRPr="0070404D">
        <w:t xml:space="preserve">Ecosystems that have not been recently hunted can contain large mammals and </w:t>
      </w:r>
      <w:r w:rsidR="00543341" w:rsidRPr="0070404D">
        <w:t>rare species that</w:t>
      </w:r>
      <w:r w:rsidR="00866CC0" w:rsidRPr="0070404D">
        <w:t xml:space="preserve"> have very low resilience to increased mortality. </w:t>
      </w:r>
      <w:r w:rsidRPr="0070404D">
        <w:t>In addition, newly accessed lands, by definition, often lack locally adapted customary governance systems that might serve to limit hunting.</w:t>
      </w:r>
    </w:p>
    <w:p w14:paraId="063168E6" w14:textId="26E9A37A" w:rsidR="00866CC0" w:rsidRPr="00785A38" w:rsidRDefault="00866CC0" w:rsidP="001C1D6E">
      <w:pPr>
        <w:pStyle w:val="Heading3"/>
      </w:pPr>
      <w:r w:rsidRPr="00785A38">
        <w:t xml:space="preserve">Access to new lands </w:t>
      </w:r>
      <w:r w:rsidR="003E3238">
        <w:t>driven by increased infrastructure and</w:t>
      </w:r>
      <w:r w:rsidRPr="00785A38">
        <w:t xml:space="preserve"> extractive industries</w:t>
      </w:r>
    </w:p>
    <w:p w14:paraId="59DE077F" w14:textId="0765CFBA" w:rsidR="00436408" w:rsidRPr="005512D2" w:rsidRDefault="00866CC0" w:rsidP="00C258BC">
      <w:pPr>
        <w:spacing w:after="0"/>
        <w:jc w:val="both"/>
      </w:pPr>
      <w:r w:rsidRPr="0070404D">
        <w:rPr>
          <w:color w:val="000000" w:themeColor="text1"/>
        </w:rPr>
        <w:t>A</w:t>
      </w:r>
      <w:r w:rsidRPr="004904D8">
        <w:rPr>
          <w:color w:val="000000" w:themeColor="text1"/>
        </w:rPr>
        <w:t xml:space="preserve"> prime motivator for human population movement into tropical</w:t>
      </w:r>
      <w:r w:rsidR="00F5671A">
        <w:rPr>
          <w:color w:val="000000" w:themeColor="text1"/>
        </w:rPr>
        <w:t xml:space="preserve"> and sub-tropical</w:t>
      </w:r>
      <w:r w:rsidRPr="004904D8">
        <w:rPr>
          <w:color w:val="000000" w:themeColor="text1"/>
        </w:rPr>
        <w:t xml:space="preserve"> forests is the expansion of </w:t>
      </w:r>
      <w:r w:rsidR="003E3238">
        <w:rPr>
          <w:color w:val="000000" w:themeColor="text1"/>
        </w:rPr>
        <w:t xml:space="preserve">infrastructure and </w:t>
      </w:r>
      <w:r w:rsidRPr="004904D8">
        <w:rPr>
          <w:color w:val="000000" w:themeColor="text1"/>
        </w:rPr>
        <w:t>extractive industries. New access infrastructure created for logging, mining or agriculture c</w:t>
      </w:r>
      <w:r w:rsidRPr="005512D2">
        <w:rPr>
          <w:color w:val="000000" w:themeColor="text1"/>
        </w:rPr>
        <w:t xml:space="preserve">an open access into recently unhunted areas and connect them to markets for </w:t>
      </w:r>
      <w:r w:rsidR="001A1662">
        <w:rPr>
          <w:color w:val="000000" w:themeColor="text1"/>
        </w:rPr>
        <w:t xml:space="preserve">wild meat </w:t>
      </w:r>
      <w:r w:rsidR="00F47C87" w:rsidRPr="00960EBB">
        <w:rPr>
          <w:color w:val="000000" w:themeColor="text1"/>
        </w:rPr>
        <w:fldChar w:fldCharType="begin" w:fldLock="1"/>
      </w:r>
      <w:r w:rsidR="00B2630D">
        <w:rPr>
          <w:color w:val="000000" w:themeColor="text1"/>
        </w:rPr>
        <w:instrText>ADDIN CSL_CITATION {"citationItems":[{"id":"ITEM-1","itemData":{"DOI":"10.1098/rstb.2012.0303","ISBN":"1471-2970 (Electronic)\\n0962-8436 (Linking)","ISSN":"1471-2970","PMID":"23878333","abstract":"Humans have hunted wildlife in Central Africa for millennia. Today, however, many species are being rapidly extirpated and sanctuaries for wildlife are dwindling. Almost all Central Africa's forests are now accessible to hunters. Drastic declines of large mammals have been caused in the past 20 years by the commercial trade for meat or ivory. We review a growing body of empirical data which shows that trophic webs are significantly disrupted in the region, with knock-on effects for other ecological functions, including seed dispersal and forest regeneration. Plausible scenarios for land-use change indicate that increasing extraction pressure on Central African forests is likely to usher in new worker populations and to intensify the hunting impacts and trophic cascade disruption already in progress, unless serious efforts are made for hunting regulation. The profound ecological changes initiated by hunting will not mitigate and may even exacerbate the predicted effects of climate change for the region. We hypothesize that, in the near future, the trophic changes brought about by hunting will have a larger and more rapid impact on Central African rainforest structure and function than the direct impacts of climate change on the vegetation. Immediate hunting regulation is vital for the survival of the Central African rainforest ecosystem.","author":[{"dropping-particle":"","family":"Abernethy","given":"K.A.","non-dropping-particle":"","parse-names":false,"suffix":""},{"dropping-particle":"","family":"Coad","given":"L.","non-dropping-particle":"","parse-names":false,"suffix":""},{"dropping-particle":"","family":"Taylor","given":"G.","non-dropping-particle":"","parse-names":false,"suffix":""},{"dropping-particle":"","family":"Lee","given":"M E","non-dropping-particle":"","parse-names":false,"suffix":""},{"dropping-particle":"","family":"Maisels","given":"F.","non-dropping-particle":"","parse-names":false,"suffix":""}],"container-title":"Philosophical transactions of the Royal Society of London. Series B, Biological sciences","id":"ITEM-1","issued":{"date-parts":[["2013"]]},"page":"20120303","title":"Extent and ecological consequences of hunting in Central African rainforests in the twenty-first century.","type":"article-journal","volume":"368"},"uris":["http://www.mendeley.com/documents/?uuid=18796464-9ea5-47fb-afcb-938cbd1dcd95"]}],"mendeley":{"formattedCitation":"(Abernethy et al. 2013b)","plainTextFormattedCitation":"(Abernethy et al. 2013b)","previouslyFormattedCitation":"(Abernethy et al. 2013b)"},"properties":{"noteIndex":0},"schema":"https://github.com/citation-style-language/schema/raw/master/csl-citation.json"}</w:instrText>
      </w:r>
      <w:r w:rsidR="00F47C87" w:rsidRPr="00960EBB">
        <w:rPr>
          <w:color w:val="000000" w:themeColor="text1"/>
        </w:rPr>
        <w:fldChar w:fldCharType="separate"/>
      </w:r>
      <w:r w:rsidR="00B82BFD">
        <w:rPr>
          <w:noProof/>
          <w:color w:val="000000" w:themeColor="text1"/>
        </w:rPr>
        <w:t>(Abernethy et al. 2013</w:t>
      </w:r>
      <w:r w:rsidR="00F47C87" w:rsidRPr="00960EBB">
        <w:rPr>
          <w:noProof/>
          <w:color w:val="000000" w:themeColor="text1"/>
        </w:rPr>
        <w:t>)</w:t>
      </w:r>
      <w:r w:rsidR="00F47C87" w:rsidRPr="00960EBB">
        <w:rPr>
          <w:color w:val="000000" w:themeColor="text1"/>
        </w:rPr>
        <w:fldChar w:fldCharType="end"/>
      </w:r>
      <w:r w:rsidRPr="00960EBB">
        <w:rPr>
          <w:color w:val="000000" w:themeColor="text1"/>
        </w:rPr>
        <w:t>.</w:t>
      </w:r>
      <w:r w:rsidRPr="005512D2">
        <w:rPr>
          <w:color w:val="000000" w:themeColor="text1"/>
        </w:rPr>
        <w:t xml:space="preserve"> Commercial logging is </w:t>
      </w:r>
      <w:r w:rsidR="00BF11DF">
        <w:rPr>
          <w:color w:val="000000" w:themeColor="text1"/>
        </w:rPr>
        <w:t xml:space="preserve">currently </w:t>
      </w:r>
      <w:r w:rsidRPr="005512D2">
        <w:rPr>
          <w:color w:val="000000" w:themeColor="text1"/>
        </w:rPr>
        <w:t xml:space="preserve">the most extensive </w:t>
      </w:r>
      <w:r w:rsidR="00A63E4C">
        <w:rPr>
          <w:color w:val="000000" w:themeColor="text1"/>
        </w:rPr>
        <w:t xml:space="preserve">of the </w:t>
      </w:r>
      <w:r w:rsidRPr="005512D2">
        <w:rPr>
          <w:color w:val="000000" w:themeColor="text1"/>
        </w:rPr>
        <w:t>extractive industries across the tropics</w:t>
      </w:r>
      <w:r w:rsidR="00A63E4C">
        <w:rPr>
          <w:color w:val="000000" w:themeColor="text1"/>
        </w:rPr>
        <w:t xml:space="preserve"> </w:t>
      </w:r>
      <w:r w:rsidR="00F47C87">
        <w:rPr>
          <w:color w:val="000000" w:themeColor="text1"/>
        </w:rPr>
        <w:fldChar w:fldCharType="begin" w:fldLock="1"/>
      </w:r>
      <w:r w:rsidR="00F47C87">
        <w:rPr>
          <w:color w:val="000000" w:themeColor="text1"/>
        </w:rPr>
        <w:instrText>ADDIN CSL_CITATION {"citationItems":[{"id":"ITEM-1","itemData":{"DOI":"10.1126/sciadv.1600821","ISBN":"2375-2548 (Electronic) 2375-2548 (Linking)","ISSN":"23752548","PMID":"28097216","abstract":"An intact forest landscape (IFL) is a seamless mosaic of forest and naturally treeless ecosystems with no remotely detected signs of human activity and a minimum area of 500 km(2). IFLs are critical for stabilizing terrestrial carbon storage, harboring biodiversity, regulating hydrological regimes, and providing other ecosystem functions. Although the remaining IFLs comprise only 20% of tropical forest area, they account for 40% of the total aboveground tropical forest carbon. We show that global IFL extent has been reduced by 7.2% since the year 2000. An increasing rate of global IFL area reduction was found, largely driven by the tripling of IFL tropical forest loss in 2011-2013 compared to that in 2001-2003. Industrial logging, agricultural expansion, fire, and mining/resource extraction were the primary causes of IFL area reduction. Protected areas (International Union for Conservation of Nature categories I to III) were found to have a positive effect in slowing the reduction of IFL area from timber harvesting but were less effective in limiting agricultural expansion. The certification of logging concessions under responsible management had a negligible impact on slowing IFL fragmentation in the Congo Basin. Fragmentation of IFLs by logging and establishment of roads and other infrastructure initiates a cascade of changes that lead to landscape transformation and loss of conservation values. Given that only 12% of the global IFL area is protected, our results illustrate the need for planning and investment in carbon sequestration and biodiversity conservation efforts that target the most valuable remaining forests, as identified using the IFL approach.","author":[{"dropping-particle":"","family":"Potapov","given":"Peter","non-dropping-particle":"","parse-names":false,"suffix":""},{"dropping-particle":"","family":"Hansen","given":"Matthew C.","non-dropping-particle":"","parse-names":false,"suffix":""},{"dropping-particle":"","family":"Laestadius","given":"Lars","non-dropping-particle":"","parse-names":false,"suffix":""},{"dropping-particle":"","family":"Turubanova","given":"Svetlana","non-dropping-particle":"","parse-names":false,"suffix":""},{"dropping-particle":"","family":"Yaroshenko","given":"Alexey","non-dropping-particle":"","parse-names":false,"suffix":""},{"dropping-particle":"","family":"Thies","given":"Christoph","non-dropping-particle":"","parse-names":false,"suffix":""},{"dropping-particle":"","family":"Smith","given":"Wynet","non-dropping-particle":"","parse-names":false,"suffix":""},{"dropping-particle":"","family":"Zhuravleva","given":"Ilona","non-dropping-particle":"","parse-names":false,"suffix":""},{"dropping-particle":"","family":"Komarova","given":"Anna","non-dropping-particle":"","parse-names":false,"suffix":""},{"dropping-particle":"","family":"Minnemeyer","given":"Susan","non-dropping-particle":"","parse-names":false,"suffix":""},{"dropping-particle":"","family":"Esipova","given":"Elena","non-dropping-particle":"","parse-names":false,"suffix":""}],"container-title":"Science Advances","id":"ITEM-1","issue":"1","issued":{"date-parts":[["2017"]]},"page":"1-14","title":"The last frontiers of wilderness: tracking loss of intact forest landscapes from 2000 to 2013","type":"article-journal","volume":"3"},"uris":["http://www.mendeley.com/documents/?uuid=91c879ec-f1d0-406f-853a-a9cae7e69a7d"]}],"mendeley":{"formattedCitation":"(Potapov et al. 2017)","plainTextFormattedCitation":"(Potapov et al. 2017)","previouslyFormattedCitation":"(Potapov et al. 2017)"},"properties":{"noteIndex":0},"schema":"https://github.com/citation-style-language/schema/raw/master/csl-citation.json"}</w:instrText>
      </w:r>
      <w:r w:rsidR="00F47C87">
        <w:rPr>
          <w:color w:val="000000" w:themeColor="text1"/>
        </w:rPr>
        <w:fldChar w:fldCharType="separate"/>
      </w:r>
      <w:r w:rsidR="00F47C87" w:rsidRPr="00F47C87">
        <w:rPr>
          <w:noProof/>
          <w:color w:val="000000" w:themeColor="text1"/>
        </w:rPr>
        <w:t>(Potapov et al. 2017)</w:t>
      </w:r>
      <w:r w:rsidR="00F47C87">
        <w:rPr>
          <w:color w:val="000000" w:themeColor="text1"/>
        </w:rPr>
        <w:fldChar w:fldCharType="end"/>
      </w:r>
      <w:r w:rsidR="00BF11DF">
        <w:rPr>
          <w:color w:val="000000" w:themeColor="text1"/>
        </w:rPr>
        <w:t xml:space="preserve">, although </w:t>
      </w:r>
      <w:r w:rsidR="00114010">
        <w:rPr>
          <w:color w:val="000000" w:themeColor="text1"/>
        </w:rPr>
        <w:t>agricultural expansion</w:t>
      </w:r>
      <w:r w:rsidR="00A63E4C">
        <w:rPr>
          <w:color w:val="000000" w:themeColor="text1"/>
        </w:rPr>
        <w:t xml:space="preserve">, driven by increases in human population and </w:t>
      </w:r>
      <w:r w:rsidR="00114010">
        <w:rPr>
          <w:color w:val="000000" w:themeColor="text1"/>
        </w:rPr>
        <w:t xml:space="preserve">consequent </w:t>
      </w:r>
      <w:r w:rsidR="00A63E4C">
        <w:rPr>
          <w:color w:val="000000" w:themeColor="text1"/>
        </w:rPr>
        <w:t>demand for food</w:t>
      </w:r>
      <w:r w:rsidR="00114010">
        <w:rPr>
          <w:color w:val="000000" w:themeColor="text1"/>
        </w:rPr>
        <w:t xml:space="preserve"> and fuel</w:t>
      </w:r>
      <w:r w:rsidR="00A63E4C">
        <w:rPr>
          <w:color w:val="000000" w:themeColor="text1"/>
        </w:rPr>
        <w:t>,</w:t>
      </w:r>
      <w:r w:rsidR="00BF11DF">
        <w:rPr>
          <w:color w:val="000000" w:themeColor="text1"/>
        </w:rPr>
        <w:t xml:space="preserve"> is tipped to be one of the major </w:t>
      </w:r>
      <w:r w:rsidR="00114010">
        <w:rPr>
          <w:color w:val="000000" w:themeColor="text1"/>
        </w:rPr>
        <w:t xml:space="preserve">causes </w:t>
      </w:r>
      <w:r w:rsidR="00BF11DF">
        <w:rPr>
          <w:color w:val="000000" w:themeColor="text1"/>
        </w:rPr>
        <w:t xml:space="preserve">of </w:t>
      </w:r>
      <w:r w:rsidR="00A63E4C">
        <w:rPr>
          <w:color w:val="000000" w:themeColor="text1"/>
        </w:rPr>
        <w:t xml:space="preserve">tropical </w:t>
      </w:r>
      <w:r w:rsidR="00BF11DF">
        <w:rPr>
          <w:color w:val="000000" w:themeColor="text1"/>
        </w:rPr>
        <w:t xml:space="preserve">land-use change </w:t>
      </w:r>
      <w:r w:rsidR="00A63E4C">
        <w:rPr>
          <w:color w:val="000000" w:themeColor="text1"/>
        </w:rPr>
        <w:t>in the next 50 years</w:t>
      </w:r>
      <w:r w:rsidR="00A21E08">
        <w:rPr>
          <w:color w:val="000000" w:themeColor="text1"/>
        </w:rPr>
        <w:t xml:space="preserve"> </w:t>
      </w:r>
      <w:r w:rsidR="00A21E08">
        <w:rPr>
          <w:color w:val="000000" w:themeColor="text1"/>
        </w:rPr>
        <w:fldChar w:fldCharType="begin" w:fldLock="1"/>
      </w:r>
      <w:r w:rsidR="009B1218">
        <w:rPr>
          <w:color w:val="000000" w:themeColor="text1"/>
        </w:rPr>
        <w:instrText>ADDIN CSL_CITATION {"citationItems":[{"id":"ITEM-1","itemData":{"DOI":"10.1016/j.tree.2013.12.001","ISBN":"0169-5347 (Print)\\r0169-5347 (Linking)","ISSN":"01695347","PMID":"24388286","abstract":"The human population is projected to reach 11 billion this century, with the greatest increases in tropical developing nations. This growth, in concert with rising per-capita consumption, will require large increases in food and biofuel production. How will these megatrends affect tropical terrestrial and aquatic ecosystems and biodiversityα We foresee (i) major expansion and intensification of tropical agriculture, especially in Sub-Saharan Africa and South America; (ii) continuing rapid loss and alteration of tropical old-growth forests, woodlands, and semi-arid environments; (iii) a pivotal role for new roadways in determining the spatial extent of agriculture; and (iv) intensified conflicts between food production and nature conservation. Key priorities are to improve technologies and policies that promote more ecologically efficient food production while optimizing the allocation of lands to conservation and agriculture. © 2013 Elsevier Ltd.","author":[{"dropping-particle":"","family":"Laurance","given":"William F.","non-dropping-particle":"","parse-names":false,"suffix":""},{"dropping-particle":"","family":"Sayer","given":"Jeffrey","non-dropping-particle":"","parse-names":false,"suffix":""},{"dropping-particle":"","family":"Cassman","given":"Kenneth G.","non-dropping-particle":"","parse-names":false,"suffix":""}],"container-title":"Trends in Ecology and Evolution","id":"ITEM-1","issue":"2","issued":{"date-parts":[["2014"]]},"page":"107-116","publisher":"Elsevier Ltd","title":"Agricultural expansion and its impacts on tropical nature","type":"article-journal","volume":"29"},"uris":["http://www.mendeley.com/documents/?uuid=f029a516-b926-430b-90b9-8dabfeaf2d95"]}],"mendeley":{"formattedCitation":"(Laurance et al. 2014)","plainTextFormattedCitation":"(Laurance et al. 2014)","previouslyFormattedCitation":"(Laurance et al. 2014)"},"properties":{"noteIndex":0},"schema":"https://github.com/citation-style-language/schema/raw/master/csl-citation.json"}</w:instrText>
      </w:r>
      <w:r w:rsidR="00A21E08">
        <w:rPr>
          <w:color w:val="000000" w:themeColor="text1"/>
        </w:rPr>
        <w:fldChar w:fldCharType="separate"/>
      </w:r>
      <w:r w:rsidR="00A21E08" w:rsidRPr="00A21E08">
        <w:rPr>
          <w:noProof/>
          <w:color w:val="000000" w:themeColor="text1"/>
        </w:rPr>
        <w:t>(Laurance et al. 2014)</w:t>
      </w:r>
      <w:r w:rsidR="00A21E08">
        <w:rPr>
          <w:color w:val="000000" w:themeColor="text1"/>
        </w:rPr>
        <w:fldChar w:fldCharType="end"/>
      </w:r>
      <w:r w:rsidRPr="005512D2">
        <w:rPr>
          <w:color w:val="000000" w:themeColor="text1"/>
        </w:rPr>
        <w:t xml:space="preserve">. </w:t>
      </w:r>
      <w:r w:rsidR="00F5671A">
        <w:rPr>
          <w:color w:val="000000" w:themeColor="text1"/>
        </w:rPr>
        <w:t>Globally</w:t>
      </w:r>
      <w:r w:rsidR="00114010" w:rsidRPr="00A63E4C">
        <w:rPr>
          <w:color w:val="000000" w:themeColor="text1"/>
        </w:rPr>
        <w:t xml:space="preserve">, </w:t>
      </w:r>
      <w:r w:rsidR="00114010">
        <w:rPr>
          <w:color w:val="000000" w:themeColor="text1"/>
        </w:rPr>
        <w:t>logging has</w:t>
      </w:r>
      <w:r w:rsidR="00114010" w:rsidRPr="00A63E4C">
        <w:rPr>
          <w:color w:val="000000" w:themeColor="text1"/>
        </w:rPr>
        <w:t xml:space="preserve"> resulted</w:t>
      </w:r>
      <w:r w:rsidR="00114010">
        <w:rPr>
          <w:color w:val="000000" w:themeColor="text1"/>
        </w:rPr>
        <w:t xml:space="preserve"> in a</w:t>
      </w:r>
      <w:r w:rsidR="00114010" w:rsidRPr="00A63E4C">
        <w:rPr>
          <w:color w:val="000000" w:themeColor="text1"/>
        </w:rPr>
        <w:t xml:space="preserve"> 40% reduction in Intact Forest Landscape</w:t>
      </w:r>
      <w:r w:rsidR="00114010">
        <w:rPr>
          <w:color w:val="000000" w:themeColor="text1"/>
        </w:rPr>
        <w:t xml:space="preserve"> (IFL)</w:t>
      </w:r>
      <w:r w:rsidR="00114010" w:rsidRPr="00A63E4C">
        <w:rPr>
          <w:color w:val="000000" w:themeColor="text1"/>
        </w:rPr>
        <w:t xml:space="preserve"> area between 2000 - 2013 </w:t>
      </w:r>
      <w:r w:rsidR="00F47C87">
        <w:rPr>
          <w:color w:val="000000" w:themeColor="text1"/>
        </w:rPr>
        <w:fldChar w:fldCharType="begin" w:fldLock="1"/>
      </w:r>
      <w:r w:rsidR="00F47C87">
        <w:rPr>
          <w:color w:val="000000" w:themeColor="text1"/>
        </w:rPr>
        <w:instrText>ADDIN CSL_CITATION {"citationItems":[{"id":"ITEM-1","itemData":{"DOI":"10.1126/sciadv.1600821","ISBN":"2375-2548 (Electronic) 2375-2548 (Linking)","ISSN":"23752548","PMID":"28097216","abstract":"An intact forest landscape (IFL) is a seamless mosaic of forest and naturally treeless ecosystems with no remotely detected signs of human activity and a minimum area of 500 km(2). IFLs are critical for stabilizing terrestrial carbon storage, harboring biodiversity, regulating hydrological regimes, and providing other ecosystem functions. Although the remaining IFLs comprise only 20% of tropical forest area, they account for 40% of the total aboveground tropical forest carbon. We show that global IFL extent has been reduced by 7.2% since the year 2000. An increasing rate of global IFL area reduction was found, largely driven by the tripling of IFL tropical forest loss in 2011-2013 compared to that in 2001-2003. Industrial logging, agricultural expansion, fire, and mining/resource extraction were the primary causes of IFL area reduction. Protected areas (International Union for Conservation of Nature categories I to III) were found to have a positive effect in slowing the reduction of IFL area from timber harvesting but were less effective in limiting agricultural expansion. The certification of logging concessions under responsible management had a negligible impact on slowing IFL fragmentation in the Congo Basin. Fragmentation of IFLs by logging and establishment of roads and other infrastructure initiates a cascade of changes that lead to landscape transformation and loss of conservation values. Given that only 12% of the global IFL area is protected, our results illustrate the need for planning and investment in carbon sequestration and biodiversity conservation efforts that target the most valuable remaining forests, as identified using the IFL approach.","author":[{"dropping-particle":"","family":"Potapov","given":"Peter","non-dropping-particle":"","parse-names":false,"suffix":""},{"dropping-particle":"","family":"Hansen","given":"Matthew C.","non-dropping-particle":"","parse-names":false,"suffix":""},{"dropping-particle":"","family":"Laestadius","given":"Lars","non-dropping-particle":"","parse-names":false,"suffix":""},{"dropping-particle":"","family":"Turubanova","given":"Svetlana","non-dropping-particle":"","parse-names":false,"suffix":""},{"dropping-particle":"","family":"Yaroshenko","given":"Alexey","non-dropping-particle":"","parse-names":false,"suffix":""},{"dropping-particle":"","family":"Thies","given":"Christoph","non-dropping-particle":"","parse-names":false,"suffix":""},{"dropping-particle":"","family":"Smith","given":"Wynet","non-dropping-particle":"","parse-names":false,"suffix":""},{"dropping-particle":"","family":"Zhuravleva","given":"Ilona","non-dropping-particle":"","parse-names":false,"suffix":""},{"dropping-particle":"","family":"Komarova","given":"Anna","non-dropping-particle":"","parse-names":false,"suffix":""},{"dropping-particle":"","family":"Minnemeyer","given":"Susan","non-dropping-particle":"","parse-names":false,"suffix":""},{"dropping-particle":"","family":"Esipova","given":"Elena","non-dropping-particle":"","parse-names":false,"suffix":""}],"container-title":"Science Advances","id":"ITEM-1","issue":"1","issued":{"date-parts":[["2017"]]},"page":"1-14","title":"The last frontiers of wilderness: tracking loss of intact forest landscapes from 2000 to 2013","type":"article-journal","volume":"3"},"uris":["http://www.mendeley.com/documents/?uuid=91c879ec-f1d0-406f-853a-a9cae7e69a7d"]}],"mendeley":{"formattedCitation":"(Potapov et al. 2017)","plainTextFormattedCitation":"(Potapov et al. 2017)","previouslyFormattedCitation":"(Potapov et al. 2017)"},"properties":{"noteIndex":0},"schema":"https://github.com/citation-style-language/schema/raw/master/csl-citation.json"}</w:instrText>
      </w:r>
      <w:r w:rsidR="00F47C87">
        <w:rPr>
          <w:color w:val="000000" w:themeColor="text1"/>
        </w:rPr>
        <w:fldChar w:fldCharType="separate"/>
      </w:r>
      <w:r w:rsidR="00F47C87" w:rsidRPr="00F47C87">
        <w:rPr>
          <w:noProof/>
          <w:color w:val="000000" w:themeColor="text1"/>
        </w:rPr>
        <w:t>(Potapov et al. 2017)</w:t>
      </w:r>
      <w:r w:rsidR="00F47C87">
        <w:rPr>
          <w:color w:val="000000" w:themeColor="text1"/>
        </w:rPr>
        <w:fldChar w:fldCharType="end"/>
      </w:r>
      <w:r w:rsidR="00114010">
        <w:rPr>
          <w:color w:val="000000" w:themeColor="text1"/>
        </w:rPr>
        <w:t xml:space="preserve">. </w:t>
      </w:r>
      <w:r w:rsidR="00BF11DF">
        <w:rPr>
          <w:color w:val="000000" w:themeColor="text1"/>
        </w:rPr>
        <w:t>Logging c</w:t>
      </w:r>
      <w:r w:rsidRPr="005512D2">
        <w:rPr>
          <w:color w:val="000000" w:themeColor="text1"/>
        </w:rPr>
        <w:t>oncessions cover almost 56 million ha in West and Central Africa, or about 30% of the total trop</w:t>
      </w:r>
      <w:r w:rsidRPr="003E3238">
        <w:rPr>
          <w:color w:val="000000" w:themeColor="text1"/>
        </w:rPr>
        <w:t xml:space="preserve">ical moist forest area </w:t>
      </w:r>
      <w:r w:rsidR="00F47C87">
        <w:rPr>
          <w:color w:val="000000" w:themeColor="text1"/>
        </w:rPr>
        <w:fldChar w:fldCharType="begin" w:fldLock="1"/>
      </w:r>
      <w:r w:rsidR="00F47C87">
        <w:rPr>
          <w:color w:val="000000" w:themeColor="text1"/>
        </w:rPr>
        <w:instrText>ADDIN CSL_CITATION {"citationItems":[{"id":"ITEM-1","itemData":{"ISBN":"9780761962311","abstract":"Concessions are covering almost 56 million ha in West and Central Africa (50 million ha for Central Africa or about 30% of the total tropical moist area). Altogether, the concessions produce around 10 million m3 of roundwood each year. A similar volume of timber is likely to be mobilized by the artisanal / informal sector, sourced principally outside the concessions but with significant encroachments inside the concessions when those ones are very large and the population density is locally important – such as in the DRC, notably....","author":[{"dropping-particle":"","family":"Karsenty","given":"Alain","non-dropping-particle":"","parse-names":false,"suffix":""}],"id":"ITEM-1","issued":{"date-parts":[["2016"]]},"number-of-pages":"90","publisher-place":"Forestry Policy and Institutions Working Paper","title":"The contemporary forest concessions in West and Central Africa: chronicle of a foretold decline? Forestry Policy and Institutions Working Paper","type":"report"},"uris":["http://www.mendeley.com/documents/?uuid=7c834bad-fe34-4705-84a1-d8d69ea8bfd4"]}],"mendeley":{"formattedCitation":"(Karsenty 2016)","plainTextFormattedCitation":"(Karsenty 2016)","previouslyFormattedCitation":"(Karsenty 2016)"},"properties":{"noteIndex":0},"schema":"https://github.com/citation-style-language/schema/raw/master/csl-citation.json"}</w:instrText>
      </w:r>
      <w:r w:rsidR="00F47C87">
        <w:rPr>
          <w:color w:val="000000" w:themeColor="text1"/>
        </w:rPr>
        <w:fldChar w:fldCharType="separate"/>
      </w:r>
      <w:r w:rsidR="00F47C87" w:rsidRPr="00F47C87">
        <w:rPr>
          <w:noProof/>
          <w:color w:val="000000" w:themeColor="text1"/>
        </w:rPr>
        <w:t>(Karsenty 2016)</w:t>
      </w:r>
      <w:r w:rsidR="00F47C87">
        <w:rPr>
          <w:color w:val="000000" w:themeColor="text1"/>
        </w:rPr>
        <w:fldChar w:fldCharType="end"/>
      </w:r>
      <w:r w:rsidR="00F5671A">
        <w:rPr>
          <w:color w:val="000000" w:themeColor="text1"/>
        </w:rPr>
        <w:t xml:space="preserve">. The </w:t>
      </w:r>
      <w:r w:rsidRPr="003E3238">
        <w:rPr>
          <w:color w:val="000000" w:themeColor="text1"/>
        </w:rPr>
        <w:t xml:space="preserve">average maximum distance of any forest area in the Congo Basin to </w:t>
      </w:r>
      <w:r w:rsidRPr="003E3238">
        <w:rPr>
          <w:color w:val="000000" w:themeColor="text1"/>
        </w:rPr>
        <w:lastRenderedPageBreak/>
        <w:t xml:space="preserve">a road is now around 13km </w:t>
      </w:r>
      <w:r w:rsidR="00F47C87">
        <w:rPr>
          <w:color w:val="000000" w:themeColor="text1"/>
        </w:rPr>
        <w:fldChar w:fldCharType="begin" w:fldLock="1"/>
      </w:r>
      <w:r w:rsidR="003353D8">
        <w:rPr>
          <w:color w:val="000000" w:themeColor="text1"/>
        </w:rPr>
        <w:instrText>ADDIN CSL_CITATION {"citationItems":[{"id":"ITEM-1","itemData":{"DOI":"10.1111/cobi.12815","ISSN":"15231739","abstract":"Forest degradation in the tropics is often associated with roads built for selective logging. The protection of Intact Forest Landscapes (IFL) that are not accessible by roads is high on the biodiversity conservation agenda, a challenge for logging concessions certified by the Forest Stewardship Council (FSC). A frequently advocated conservation objective is to maximise the retention of \"roadless space\", a concept that is based on distance to the nearest road from any point. We developed a novel use of the empty space function - a general statistical tool based on stochastic geometry and random sets theory - to calculate roadless space in a part of the Congo Basin where there has recently been rapid expansion of road networks. We compared the temporal development of roadless space in certified and non-certified logging concessions inside and outside areas declared as IFL in the year 2000. Between 1999 and 2007, rapid road network expansion led to a marked loss of roadless space in IFL. After 2007, this trajectory levelled out in most areas, due to an equilibrium between newly built roads and abandoned roads that became revegetated. However, concessions within IFL that have been certified by FSC since around 2007 showed continued decreases in roadless space, thus reaching a level comparable to all other concessions. Only national parks remained road-free. We recommend that forest management policies make the preservation of large connected forest areas a top priority by effectively monitoring - and limiting - the occupation of space by roads that are permanently accessible.","author":[{"dropping-particle":"","family":"Kleinschroth","given":"Fritz","non-dropping-particle":"","parse-names":false,"suffix":""},{"dropping-particle":"","family":"Healey","given":"John R.","non-dropping-particle":"","parse-names":false,"suffix":""},{"dropping-particle":"","family":"Gourlet-Fleury","given":"Sylvie","non-dropping-particle":"","parse-names":false,"suffix":""},{"dropping-particle":"","family":"Mortier","given":"Frédéric","non-dropping-particle":"","parse-names":false,"suffix":""},{"dropping-particle":"","family":"Stoica","given":"Radu S.","non-dropping-particle":"","parse-names":false,"suffix":""}],"container-title":"Conservation Biology","id":"ITEM-1","issue":"2","issued":{"date-parts":[["2017"]]},"page":"469-480","title":"Effects of logging on roadless space in intact forest landscapes of the Congo Basin","type":"article-journal","volume":"31"},"uris":["http://www.mendeley.com/documents/?uuid=49c48ced-0e68-4bc2-84ea-83a66b144dab"]}],"mendeley":{"formattedCitation":"(Kleinschroth et al. 2017)","plainTextFormattedCitation":"(Kleinschroth et al. 2017)","previouslyFormattedCitation":"(Kleinschroth et al. 2017)"},"properties":{"noteIndex":0},"schema":"https://github.com/citation-style-language/schema/raw/master/csl-citation.json"}</w:instrText>
      </w:r>
      <w:r w:rsidR="00F47C87">
        <w:rPr>
          <w:color w:val="000000" w:themeColor="text1"/>
        </w:rPr>
        <w:fldChar w:fldCharType="separate"/>
      </w:r>
      <w:r w:rsidR="00F47C87" w:rsidRPr="00F47C87">
        <w:rPr>
          <w:noProof/>
          <w:color w:val="000000" w:themeColor="text1"/>
        </w:rPr>
        <w:t>(Kleinschroth et al. 2017)</w:t>
      </w:r>
      <w:r w:rsidR="00F47C87">
        <w:rPr>
          <w:color w:val="000000" w:themeColor="text1"/>
        </w:rPr>
        <w:fldChar w:fldCharType="end"/>
      </w:r>
      <w:r w:rsidRPr="003E3238">
        <w:rPr>
          <w:color w:val="000000" w:themeColor="text1"/>
        </w:rPr>
        <w:t>, due to a sharp increase in logging roads since the 1990’s. Most areas of tropical moist forests in the Congo Basin are</w:t>
      </w:r>
      <w:r w:rsidR="00F5671A">
        <w:rPr>
          <w:color w:val="000000" w:themeColor="text1"/>
        </w:rPr>
        <w:t xml:space="preserve"> therefore</w:t>
      </w:r>
      <w:r w:rsidRPr="003E3238">
        <w:rPr>
          <w:color w:val="000000" w:themeColor="text1"/>
        </w:rPr>
        <w:t xml:space="preserve"> now accessible to </w:t>
      </w:r>
      <w:r w:rsidRPr="003353D8">
        <w:rPr>
          <w:color w:val="000000" w:themeColor="text1"/>
        </w:rPr>
        <w:t xml:space="preserve">hunters </w:t>
      </w:r>
      <w:r w:rsidR="003353D8" w:rsidRPr="003353D8">
        <w:rPr>
          <w:color w:val="000000" w:themeColor="text1"/>
        </w:rPr>
        <w:fldChar w:fldCharType="begin" w:fldLock="1"/>
      </w:r>
      <w:r w:rsidR="00AB268B">
        <w:rPr>
          <w:color w:val="000000" w:themeColor="text1"/>
        </w:rPr>
        <w:instrText>ADDIN CSL_CITATION {"citationItems":[{"id":"ITEM-1","itemData":{"author":[{"dropping-particle":"","family":"Fa","given":"J.E.","non-dropping-particle":"","parse-names":false,"suffix":""},{"dropping-particle":"","family":"Vliet","given":"N","non-dropping-particle":"Van","parse-names":false,"suffix":""},{"dropping-particle":"","family":"Nasi","given":"R.","non-dropping-particle":"","parse-names":false,"suffix":""}],"container-title":"Tropical Conservation: Perspectives on Local and Global Priorities","editor":[{"dropping-particle":"","family":"Aguirre","given":"A.A.","non-dropping-particle":"","parse-names":false,"suffix":""},{"dropping-particle":"","family":"Sukumar","given":"R.","non-dropping-particle":"","parse-names":false,"suffix":""}],"id":"ITEM-1","issued":{"date-parts":[["2016"]]},"publisher":"Oxford University","publisher-place":"Oxford, UK.","title":"Chapter 20: Bushmeat, food security, and conservation in African rainforests","type":"chapter"},"uris":["http://www.mendeley.com/documents/?uuid=90d09160-9d5b-4933-878c-4106e0221a30"]},{"id":"ITEM-2","itemData":{"DOI":"10.1111/btp.12286","ISBN":"1744-7429","ISSN":"17447429","abstract":"Hunting and trade of wild animals for their meat (bushmeat), especially mammals, is commonplace in tropical forests worldwide. In West and Central Africa, bushmeat extraction has increased substantially during recent decades. Currently, such levels of hunting pose a major threat to native wildlife. In this paper, we compiled published data on hunting offtake of mammals, from a number of studies conducted between 1990 and 2007 in Cameroon, Central African Republic, Democratic Republic of Congo, Equatorial Guinea, Gabon and Republic of Congo. From these data sources, we estimated annual extraction rates of all hunted species and analyzed the relationship between environmental and anthropogenic variables surrounding each hunting rate and levels of bushmeat extraction. We defined hunting pressure as a function of bushmeat offtake and number of hunted species and confirm that hunting pressure is significantly correlated with road density, distance to protected areas and population density. These correlations are then used to map hunting pressure across the Congo Basin. We show that predicted risk areas show a patchy distribution throughout the study region and that many protected areas are located in high-risk areas. We suggest that such a map can be used to identify areas of greatest impact of hunting to guide large-scale conservation planning initiatives for central Africa","author":[{"dropping-particle":"","family":"Ziegler","given":"Stefan","non-dropping-particle":"","parse-names":false,"suffix":""},{"dropping-particle":"","family":"Fa","given":"John E.","non-dropping-particle":"","parse-names":false,"suffix":""},{"dropping-particle":"","family":"Wohlfart","given":"Christian","non-dropping-particle":"","parse-names":false,"suffix":""},{"dropping-particle":"","family":"Streit","given":"Bruno","non-dropping-particle":"","parse-names":false,"suffix":""},{"dropping-particle":"","family":"Jacob","given":"Stefanie","non-dropping-particle":"","parse-names":false,"suffix":""},{"dropping-particle":"","family":"Wegmann","given":"Martin","non-dropping-particle":"","parse-names":false,"suffix":""}],"container-title":"Biotropica","id":"ITEM-2","issue":"3","issued":{"date-parts":[["2016"]]},"page":"405-412","title":"Mapping bushmeat hunting pressure in Central Africa","type":"article-journal","volume":"48"},"uris":["http://www.mendeley.com/documents/?uuid=60d51836-28f9-4d2b-8547-1ed8d923a45c"]}],"mendeley":{"formattedCitation":"(Fa et al. 2016b; Ziegler et al. 2016)","plainTextFormattedCitation":"(Fa et al. 2016b; Ziegler et al. 2016)","previouslyFormattedCitation":"(Fa et al. 2016b; Ziegler et al. 2016)"},"properties":{"noteIndex":0},"schema":"https://github.com/citation-style-language/schema/raw/master/csl-citation.json"}</w:instrText>
      </w:r>
      <w:r w:rsidR="003353D8" w:rsidRPr="003353D8">
        <w:rPr>
          <w:color w:val="000000" w:themeColor="text1"/>
        </w:rPr>
        <w:fldChar w:fldCharType="separate"/>
      </w:r>
      <w:r w:rsidR="003353D8" w:rsidRPr="003353D8">
        <w:rPr>
          <w:noProof/>
          <w:color w:val="000000" w:themeColor="text1"/>
        </w:rPr>
        <w:t>(Fa et al. 2016b; Ziegler et al. 2016)</w:t>
      </w:r>
      <w:r w:rsidR="003353D8" w:rsidRPr="003353D8">
        <w:rPr>
          <w:color w:val="000000" w:themeColor="text1"/>
        </w:rPr>
        <w:fldChar w:fldCharType="end"/>
      </w:r>
      <w:r w:rsidRPr="003353D8">
        <w:rPr>
          <w:color w:val="000000" w:themeColor="text1"/>
        </w:rPr>
        <w:t xml:space="preserve"> </w:t>
      </w:r>
      <w:r w:rsidR="00FA206E" w:rsidRPr="003353D8">
        <w:t xml:space="preserve">In the </w:t>
      </w:r>
      <w:r w:rsidR="0092200B" w:rsidRPr="003353D8">
        <w:rPr>
          <w:color w:val="000000" w:themeColor="text1"/>
        </w:rPr>
        <w:t>western Amazon</w:t>
      </w:r>
      <w:r w:rsidR="0092200B" w:rsidRPr="003353D8">
        <w:t xml:space="preserve"> </w:t>
      </w:r>
      <w:r w:rsidR="0092200B" w:rsidRPr="003353D8">
        <w:rPr>
          <w:color w:val="000000" w:themeColor="text1"/>
        </w:rPr>
        <w:t>180 oil and gas blocks cover</w:t>
      </w:r>
      <w:r w:rsidR="0092200B" w:rsidRPr="003353D8">
        <w:t>ed</w:t>
      </w:r>
      <w:r w:rsidR="0092200B" w:rsidRPr="003353D8">
        <w:rPr>
          <w:color w:val="000000" w:themeColor="text1"/>
        </w:rPr>
        <w:t xml:space="preserve"> </w:t>
      </w:r>
      <w:r w:rsidR="0092200B" w:rsidRPr="003353D8">
        <w:rPr>
          <w:rFonts w:ascii="Cambria Math" w:hAnsi="Cambria Math"/>
          <w:color w:val="000000" w:themeColor="text1"/>
        </w:rPr>
        <w:t>∼</w:t>
      </w:r>
      <w:r w:rsidR="0092200B" w:rsidRPr="003353D8">
        <w:rPr>
          <w:color w:val="000000" w:themeColor="text1"/>
        </w:rPr>
        <w:t>688,000 km</w:t>
      </w:r>
      <w:r w:rsidR="0092200B" w:rsidRPr="003353D8">
        <w:rPr>
          <w:color w:val="000000" w:themeColor="text1"/>
          <w:vertAlign w:val="superscript"/>
        </w:rPr>
        <w:t>2</w:t>
      </w:r>
      <w:r w:rsidR="0092200B" w:rsidRPr="003353D8">
        <w:rPr>
          <w:color w:val="000000" w:themeColor="text1"/>
        </w:rPr>
        <w:t> </w:t>
      </w:r>
      <w:r w:rsidR="0092200B" w:rsidRPr="003353D8">
        <w:t>in 2008, many overlapping</w:t>
      </w:r>
      <w:r w:rsidR="0092200B" w:rsidRPr="00436408">
        <w:t xml:space="preserve"> with indigenous territories</w:t>
      </w:r>
      <w:r w:rsidR="0034579D" w:rsidRPr="00436408">
        <w:t xml:space="preserve"> </w:t>
      </w:r>
      <w:r w:rsidR="0034579D" w:rsidRPr="00436408">
        <w:fldChar w:fldCharType="begin" w:fldLock="1"/>
      </w:r>
      <w:r w:rsidR="00D72B40">
        <w:instrText>ADDIN CSL_CITATION {"citationItems":[{"id":"ITEM-1","itemData":{"DOI":"10.1371/journal.pone.0002932","author":[{"dropping-particle":"","family":"Finer","given":"Matt","non-dropping-particle":"","parse-names":false,"suffix":""},{"dropping-particle":"","family":"Jenkins","given":"Clinton N","non-dropping-particle":"","parse-names":false,"suffix":""},{"dropping-particle":"","family":"Pimm","given":"Stuart L","non-dropping-particle":"","parse-names":false,"suffix":""},{"dropping-particle":"","family":"Keane","given":"Brian","non-dropping-particle":"","parse-names":false,"suffix":""},{"dropping-particle":"","family":"Ross","given":"Carl","non-dropping-particle":"","parse-names":false,"suffix":""}],"container-title":"PloS ONE","id":"ITEM-1","issue":"8","issued":{"date-parts":[["2008"]]},"page":"e2932","title":"Oil and gas projects in the Western Amazon: threats to wilderness, biodiversity, and indigenous peoples","type":"article-journal","volume":"3"},"uris":["http://www.mendeley.com/documents/?uuid=4033caca-4a34-48bd-9388-2aa2dad63c41"]}],"mendeley":{"formattedCitation":"(Finer et al. 2008)","manualFormatting":"(Finer et al., 2008)","plainTextFormattedCitation":"(Finer et al. 2008)","previouslyFormattedCitation":"(Finer et al. 2008)"},"properties":{"noteIndex":0},"schema":"https://github.com/citation-style-language/schema/raw/master/csl-citation.json"}</w:instrText>
      </w:r>
      <w:r w:rsidR="0034579D" w:rsidRPr="00436408">
        <w:fldChar w:fldCharType="separate"/>
      </w:r>
      <w:r w:rsidR="0034579D" w:rsidRPr="00436408">
        <w:rPr>
          <w:noProof/>
          <w:color w:val="000000" w:themeColor="text1"/>
        </w:rPr>
        <w:t>(Finer et al.</w:t>
      </w:r>
      <w:r w:rsidR="001D72E3" w:rsidRPr="00436408">
        <w:rPr>
          <w:noProof/>
        </w:rPr>
        <w:t>,</w:t>
      </w:r>
      <w:r w:rsidR="0034579D" w:rsidRPr="00436408">
        <w:rPr>
          <w:noProof/>
          <w:color w:val="000000" w:themeColor="text1"/>
        </w:rPr>
        <w:t xml:space="preserve"> 2008)</w:t>
      </w:r>
      <w:r w:rsidR="0034579D" w:rsidRPr="00436408">
        <w:fldChar w:fldCharType="end"/>
      </w:r>
      <w:r w:rsidR="0092200B" w:rsidRPr="00436408">
        <w:t xml:space="preserve">, and </w:t>
      </w:r>
      <w:r w:rsidR="00BF0969">
        <w:t xml:space="preserve">this is highly likely to have greatly increased local hunting and trade in the region. </w:t>
      </w:r>
      <w:r w:rsidR="00BF0969" w:rsidRPr="005512D2">
        <w:t>In S</w:t>
      </w:r>
      <w:r w:rsidR="00F5671A">
        <w:t>outh-</w:t>
      </w:r>
      <w:r w:rsidR="00BF0969" w:rsidRPr="005512D2">
        <w:t>E</w:t>
      </w:r>
      <w:r w:rsidR="00F5671A">
        <w:t>ast</w:t>
      </w:r>
      <w:r w:rsidR="00BF0969" w:rsidRPr="005512D2">
        <w:t xml:space="preserve"> Asia, almost 15% of regional forest cover </w:t>
      </w:r>
      <w:r w:rsidR="00BF0969" w:rsidRPr="00306DFB">
        <w:t xml:space="preserve">has been lost in the last </w:t>
      </w:r>
      <w:r w:rsidR="00306DFB" w:rsidRPr="00306DFB">
        <w:t>20</w:t>
      </w:r>
      <w:r w:rsidR="00BF0969" w:rsidRPr="00306DFB">
        <w:t> years</w:t>
      </w:r>
      <w:r w:rsidR="003353D8">
        <w:t xml:space="preserve"> </w:t>
      </w:r>
      <w:r w:rsidR="003353D8">
        <w:fldChar w:fldCharType="begin" w:fldLock="1"/>
      </w:r>
      <w:r w:rsidR="003353D8">
        <w:instrText>ADDIN CSL_CITATION {"citationItems":[{"id":"ITEM-1","itemData":{"author":[{"dropping-particle":"","family":"Miettinen","given":"J.","non-dropping-particle":"","parse-names":false,"suffix":""},{"dropping-particle":"","family":"Shi","given":"C.","non-dropping-particle":"","parse-names":false,"suffix":""},{"dropping-particle":"","family":"Liew","given":"S.C.","non-dropping-particle":"","parse-names":false,"suffix":""}],"container-title":"Global Change Biology","id":"ITEM-1","issued":{"date-parts":[["2011"]]},"page":"2261 - 2270","title":"Deforestation rates in insular Southeast Asia between 2000 and 2010","type":"article-journal","volume":"17"},"uris":["http://www.mendeley.com/documents/?uuid=e2471185-65e4-49fe-9a5f-6066daa28ff4"]}],"mendeley":{"formattedCitation":"(Miettinen et al. 2011)","plainTextFormattedCitation":"(Miettinen et al. 2011)","previouslyFormattedCitation":"(Miettinen et al. 2011)"},"properties":{"noteIndex":0},"schema":"https://github.com/citation-style-language/schema/raw/master/csl-citation.json"}</w:instrText>
      </w:r>
      <w:r w:rsidR="003353D8">
        <w:fldChar w:fldCharType="separate"/>
      </w:r>
      <w:r w:rsidR="003353D8" w:rsidRPr="003353D8">
        <w:rPr>
          <w:noProof/>
        </w:rPr>
        <w:t>(Miettinen et al. 2011)</w:t>
      </w:r>
      <w:r w:rsidR="003353D8">
        <w:fldChar w:fldCharType="end"/>
      </w:r>
      <w:r w:rsidR="0068709B" w:rsidRPr="00306DFB">
        <w:t>,</w:t>
      </w:r>
      <w:r w:rsidR="0068709B" w:rsidRPr="00436408">
        <w:rPr>
          <w:color w:val="000000" w:themeColor="text1"/>
        </w:rPr>
        <w:t xml:space="preserve"> primarily for timber, large-scale oil palm, rubber, woo</w:t>
      </w:r>
      <w:r w:rsidR="003353D8">
        <w:rPr>
          <w:color w:val="000000" w:themeColor="text1"/>
        </w:rPr>
        <w:t xml:space="preserve">d pulp and biofuel plantations </w:t>
      </w:r>
      <w:r w:rsidR="003353D8">
        <w:rPr>
          <w:color w:val="000000" w:themeColor="text1"/>
        </w:rPr>
        <w:fldChar w:fldCharType="begin" w:fldLock="1"/>
      </w:r>
      <w:r w:rsidR="00B2630D">
        <w:rPr>
          <w:color w:val="000000" w:themeColor="text1"/>
        </w:rPr>
        <w:instrText>ADDIN CSL_CITATION {"citationItems":[{"id":"ITEM-1","itemData":{"DOI":"10.1002/ecs2.1624","ISBN":"2150-8925","ISSN":"21508925","abstract":"Southeast Asia (SE Asia) is a known global hotspot of biodiversity and endemism, yet the region is also one of the most biotically threatened. Ecosystems across the region are threatened by an array of drivers, each of which increases the probability of extinction of species in a variety of ecosystems. These issues are symptomatic of the issues that face the global tropics; however, with around 4 billion peo- ple in the wider region and the associated pressures on biodiversity, this region may be under some of the greatest levels of biotic threat. Deforestation rates in SE Asia are some of the highest globally, additionally Southeast Asia has the highest rate of mining in the tropics, the around the greatest number of hydropower dams under construction, and a consumption of species for traditional medicines which is a threat to biodi- versity globally. In this review, the greatest threats to regional biodiversity in the SE Asian region are dis- cussed. Tree-plantations and deforestation represents one of the most imminent threats, and some countries have already lost over half their original forest cover (i.e., the Philippines, parts of Indonesia), with projections of as much as 98% loss for some regions in the coming decade. Hunting and trade repre- sents a significant threat as demand stems not only for food, but also for medicine, for ornamentation, and as a status symbol. Mining represents a frequently overlooked threat, as the Asian region is one of the greatest exporters of limestone and various minerals globally, and the cost of this to biodiversity is not only through the direct loss of areas for mines, but also through the development of roads that further fragment the landscape, the leakage of heavy metals, and the destruction of limestone karsts, which represent global endemicity hotspots. Reservoir construction, wetland drainage, fires, pollution, invasive species, disease, and finally climate change are also considered. Once each issue has been discussed, the overall prognosis of regional biodiversity and priority actions to protect SE Asian biodiversity in the future is discussed. Key","author":[{"dropping-particle":"","family":"Hughes","given":"Alice C.","non-dropping-particle":"","parse-names":false,"suffix":""}],"container-title":"Ecosphere","id":"ITEM-1","issue":"1","issued":{"date-parts":[["2017"]]},"page":"e01624","title":"Understanding the drivers of Southeast Asian biodiversity loss","type":"article-journal","volume":"8"},"uris":["http://www.mendeley.com/documents/?uuid=29b2fbca-14d6-4e53-87b8-c97431c730c5"]}],"mendeley":{"formattedCitation":"(Hughes 2017)","plainTextFormattedCitation":"(Hughes 2017)","previouslyFormattedCitation":"(Hughes 2017)"},"properties":{"noteIndex":0},"schema":"https://github.com/citation-style-language/schema/raw/master/csl-citation.json"}</w:instrText>
      </w:r>
      <w:r w:rsidR="003353D8">
        <w:rPr>
          <w:color w:val="000000" w:themeColor="text1"/>
        </w:rPr>
        <w:fldChar w:fldCharType="separate"/>
      </w:r>
      <w:r w:rsidR="003353D8" w:rsidRPr="003353D8">
        <w:rPr>
          <w:noProof/>
          <w:color w:val="000000" w:themeColor="text1"/>
        </w:rPr>
        <w:t>(Hughes 2017)</w:t>
      </w:r>
      <w:r w:rsidR="003353D8">
        <w:rPr>
          <w:color w:val="000000" w:themeColor="text1"/>
        </w:rPr>
        <w:fldChar w:fldCharType="end"/>
      </w:r>
      <w:r w:rsidR="0068709B" w:rsidRPr="00436408">
        <w:rPr>
          <w:color w:val="000000" w:themeColor="text1"/>
        </w:rPr>
        <w:t xml:space="preserve">. </w:t>
      </w:r>
      <w:r w:rsidR="00BF0969" w:rsidRPr="005512D2">
        <w:t>Increased forest access and demand for wild meat from workers has then driven an increase in hunting i</w:t>
      </w:r>
      <w:r w:rsidR="00BF0969">
        <w:t>n remaining adjacent forest</w:t>
      </w:r>
      <w:r w:rsidR="004E5A3B">
        <w:t xml:space="preserve"> areas</w:t>
      </w:r>
      <w:r w:rsidR="00875E66">
        <w:t xml:space="preserve"> </w:t>
      </w:r>
      <w:r w:rsidR="00875E66">
        <w:fldChar w:fldCharType="begin" w:fldLock="1"/>
      </w:r>
      <w:r w:rsidR="00B2630D">
        <w:instrText>ADDIN CSL_CITATION {"citationItems":[{"id":"ITEM-1","itemData":{"DOI":"10.1046/j.1523","ISBN":"0888-8892","ISSN":"08888892","abstract":"Tropical conservation has seen a convergence between conservation projects and rural develop- ment, with both approaches promoting participation of local people in sustainable resource use. But there is a discord between rural development and sustainable use of wildlife. Implementing more sustainable use of wildlife usually means decreased economic benefits for rural people, especially over the short term. In con- trast, rural-development projects are often mandated to generate income for rural people over the short term. We examined this dilemma through an integrated economic and harvest analysis of the costs associated with converting unsustainable hunting to more sustainable hunting in the Peruvian Amazon. Our analysis sug- gests that a change in hunting practice would hae significant economic costs for rural people and would re- sult in a 36% decrease in the economic benefits they derive from wildlife hunting. In contrast, converting un- sustainable hunting to more sustainable hunting would have little effect on meat markets in the urban center of Iquitos, Peru, with markets losing only 3.6% of their economic value. There would be no economic costs for the international pelt trade. If rural-development projects absorb the short-term economic costs, they can help people convert unsustainable wildlife use to more sustainable use and assist rural people in realiz- ing the long-term benefits of more sustainable hunting. But many rural-development projects would need to change their mandate for short-term income generation to incorporate the realities of sustainability.","author":[{"dropping-particle":"","family":"Bodmer","given":"Richard","non-dropping-particle":"","parse-names":false,"suffix":""},{"dropping-particle":"","family":"Lozano","given":"Etersit Pezo","non-dropping-particle":"","parse-names":false,"suffix":""}],"container-title":"Conservation Biology","id":"ITEM-1","issue":"4","issued":{"date-parts":[["2001"]]},"page":"1163-1170","title":"Rural development and sustainable wildlife use in Peru","type":"article-journal","volume":"15"},"uris":["http://www.mendeley.com/documents/?uuid=d4dbca3c-1761-420b-a281-f42a01070444"]},{"id":"ITEM-2","itemData":{"DOI":"10.1007/s10745-012-9492-5","ISBN":"0300-7839","ISSN":"03007839","abstract":"It is well known that wild game provides a significant proportion of the dietary protein of the indigenous people of the eastern half of New Guinea (PNG), but almost nothing is known of its importance in the western half (the Indonesian province of Papua or Irian Jaya). We quantified hunting effort, harvest rates and wild meat consumption and sale in the Jayapura region of north-east Papua through interviews with 147 hunters from 21 villages and meal surveys in 93 households. Ten species of mammals, seven species of birds and at least two species of reptiles were harvested in our study area, but the introduced wild pig and rusa deer were the major target species. Hunting in our study area has shifted from a purely subsistence activity towards a more commercial form at least partly due to the emergence of markets created by Indonesian transmigrants. Although the hunting of non-indigenous and certain native species might be sustainable, the maintenance of populations of large threatened species will require sensitive management.","author":[{"dropping-particle":"","family":"Pangau-Adam","given":"Margaretha","non-dropping-particle":"","parse-names":false,"suffix":""},{"dropping-particle":"","family":"Noske","given":"Richard","non-dropping-particle":"","parse-names":false,"suffix":""},{"dropping-particle":"","family":"Muehlenberg","given":"Michael","non-dropping-particle":"","parse-names":false,"suffix":""}],"container-title":"Human Ecology","id":"ITEM-2","issue":"4","issued":{"date-parts":[["2012"]]},"page":"611-621","title":"Wildmeat or bushmeat? Subsistence hunting and commercial harvesting in Papua (West New Guinea), Indonesia","type":"article-journal","volume":"40"},"uris":["http://www.mendeley.com/documents/?uuid=71e3de21-44c9-483b-9864-7f0ce47a0131"]},{"id":"ITEM-3","itemData":{"DOI":"10.1371/ journal.pone.0115376","author":[{"dropping-particle":"","family":"Clements","given":"G.R.","non-dropping-particle":"","parse-names":false,"suffix":""},{"dropping-particle":"","family":"Lynam","given":"A.J.","non-dropping-particle":"","parse-names":false,"suffix":""},{"dropping-particle":"","family":"Gaveau","given":"D.","non-dropping-particle":"","parse-names":false,"suffix":""},{"dropping-particle":"","family":"Yap","given":"W.L.","non-dropping-particle":"","parse-names":false,"suffix":""},{"dropping-particle":"","family":"Lhota","given":"S.","non-dropping-particle":"","parse-names":false,"suffix":""},{"dropping-particle":"","family":"Goosem","given":"M.","non-dropping-particle":"","parse-names":false,"suffix":""},{"dropping-particle":"","family":"Laurance","given":"S.","non-dropping-particle":"","parse-names":false,"suffix":""},{"dropping-particle":"","family":"Laurance","given":"W. F.","non-dropping-particle":"","parse-names":false,"suffix":""}],"container-title":"PLoS ONE","id":"ITEM-3","issue":"12","issued":{"date-parts":[["2014"]]},"page":"e115376","title":"Where and how are roads endangering mammals in Southeast Asia’s forests","type":"article-journal","volume":"9"},"uris":["http://www.mendeley.com/documents/?uuid=289cb814-ee0f-4580-abdb-555b6cb9645d"]}],"mendeley":{"formattedCitation":"(Bodmer &amp; Lozano 2001; Pangau-Adam et al. 2012; Clements et al. 2014)","plainTextFormattedCitation":"(Bodmer &amp; Lozano 2001; Pangau-Adam et al. 2012; Clements et al. 2014)","previouslyFormattedCitation":"(Bodmer &amp; Lozano 2001; Pangau-Adam et al. 2012; Clements et al. 2014)"},"properties":{"noteIndex":0},"schema":"https://github.com/citation-style-language/schema/raw/master/csl-citation.json"}</w:instrText>
      </w:r>
      <w:r w:rsidR="00875E66">
        <w:fldChar w:fldCharType="separate"/>
      </w:r>
      <w:r w:rsidR="00875E66" w:rsidRPr="00875E66">
        <w:rPr>
          <w:noProof/>
        </w:rPr>
        <w:t>(Bodmer &amp; Lozano 2001; Pangau-Adam et al. 2012; Clements et al. 2014)</w:t>
      </w:r>
      <w:r w:rsidR="00875E66">
        <w:fldChar w:fldCharType="end"/>
      </w:r>
      <w:r w:rsidR="0068709B" w:rsidRPr="00436408">
        <w:rPr>
          <w:color w:val="000000" w:themeColor="text1"/>
        </w:rPr>
        <w:t xml:space="preserve">. In addition, </w:t>
      </w:r>
      <w:r w:rsidR="00F5671A">
        <w:rPr>
          <w:color w:val="000000" w:themeColor="text1"/>
        </w:rPr>
        <w:t>villagers, who</w:t>
      </w:r>
      <w:r w:rsidR="00013187">
        <w:rPr>
          <w:color w:val="000000" w:themeColor="text1"/>
        </w:rPr>
        <w:t xml:space="preserve"> have lost traditional lands</w:t>
      </w:r>
      <w:r w:rsidR="0068709B" w:rsidRPr="00436408">
        <w:rPr>
          <w:color w:val="000000" w:themeColor="text1"/>
        </w:rPr>
        <w:t xml:space="preserve"> or have </w:t>
      </w:r>
      <w:r w:rsidR="00013187">
        <w:rPr>
          <w:color w:val="000000" w:themeColor="text1"/>
        </w:rPr>
        <w:t>been displaced</w:t>
      </w:r>
      <w:r w:rsidR="0068709B" w:rsidRPr="00436408">
        <w:rPr>
          <w:color w:val="000000" w:themeColor="text1"/>
        </w:rPr>
        <w:t xml:space="preserve"> due to ‘land grabbing’ fr</w:t>
      </w:r>
      <w:r w:rsidR="00013187">
        <w:rPr>
          <w:color w:val="000000" w:themeColor="text1"/>
        </w:rPr>
        <w:t xml:space="preserve">om large agricultural companies, </w:t>
      </w:r>
      <w:r w:rsidR="0068709B" w:rsidRPr="00436408">
        <w:rPr>
          <w:color w:val="000000" w:themeColor="text1"/>
        </w:rPr>
        <w:t xml:space="preserve">can be forced to shift from farming to hunting as a livelihood activity </w:t>
      </w:r>
      <w:r w:rsidR="004E5A3B">
        <w:rPr>
          <w:color w:val="000000" w:themeColor="text1"/>
        </w:rPr>
        <w:fldChar w:fldCharType="begin" w:fldLock="1"/>
      </w:r>
      <w:r w:rsidR="00B2630D">
        <w:rPr>
          <w:color w:val="000000" w:themeColor="text1"/>
        </w:rPr>
        <w:instrText>ADDIN CSL_CITATION {"citationItems":[{"id":"ITEM-1","itemData":{"DOI":"10.1002/ecs2.1624","ISBN":"2150-8925","ISSN":"21508925","abstract":"Southeast Asia (SE Asia) is a known global hotspot of biodiversity and endemism, yet the region is also one of the most biotically threatened. Ecosystems across the region are threatened by an array of drivers, each of which increases the probability of extinction of species in a variety of ecosystems. These issues are symptomatic of the issues that face the global tropics; however, with around 4 billion peo- ple in the wider region and the associated pressures on biodiversity, this region may be under some of the greatest levels of biotic threat. Deforestation rates in SE Asia are some of the highest globally, additionally Southeast Asia has the highest rate of mining in the tropics, the around the greatest number of hydropower dams under construction, and a consumption of species for traditional medicines which is a threat to biodi- versity globally. In this review, the greatest threats to regional biodiversity in the SE Asian region are dis- cussed. Tree-plantations and deforestation represents one of the most imminent threats, and some countries have already lost over half their original forest cover (i.e., the Philippines, parts of Indonesia), with projections of as much as 98% loss for some regions in the coming decade. Hunting and trade repre- sents a significant threat as demand stems not only for food, but also for medicine, for ornamentation, and as a status symbol. Mining represents a frequently overlooked threat, as the Asian region is one of the greatest exporters of limestone and various minerals globally, and the cost of this to biodiversity is not only through the direct loss of areas for mines, but also through the development of roads that further fragment the landscape, the leakage of heavy metals, and the destruction of limestone karsts, which represent global endemicity hotspots. Reservoir construction, wetland drainage, fires, pollution, invasive species, disease, and finally climate change are also considered. Once each issue has been discussed, the overall prognosis of regional biodiversity and priority actions to protect SE Asian biodiversity in the future is discussed. Key","author":[{"dropping-particle":"","family":"Hughes","given":"Alice C.","non-dropping-particle":"","parse-names":false,"suffix":""}],"container-title":"Ecosphere","id":"ITEM-1","issue":"1","issued":{"date-parts":[["2017"]]},"page":"e01624","title":"Understanding the drivers of Southeast Asian biodiversity loss","type":"article-journal","volume":"8"},"uris":["http://www.mendeley.com/documents/?uuid=29b2fbca-14d6-4e53-87b8-c97431c730c5"]}],"mendeley":{"formattedCitation":"(Hughes 2017)","plainTextFormattedCitation":"(Hughes 2017)","previouslyFormattedCitation":"(Hughes 2017)"},"properties":{"noteIndex":0},"schema":"https://github.com/citation-style-language/schema/raw/master/csl-citation.json"}</w:instrText>
      </w:r>
      <w:r w:rsidR="004E5A3B">
        <w:rPr>
          <w:color w:val="000000" w:themeColor="text1"/>
        </w:rPr>
        <w:fldChar w:fldCharType="separate"/>
      </w:r>
      <w:r w:rsidR="004E5A3B" w:rsidRPr="004E5A3B">
        <w:rPr>
          <w:noProof/>
          <w:color w:val="000000" w:themeColor="text1"/>
        </w:rPr>
        <w:t>(Hughes 2017)</w:t>
      </w:r>
      <w:r w:rsidR="004E5A3B">
        <w:rPr>
          <w:color w:val="000000" w:themeColor="text1"/>
        </w:rPr>
        <w:fldChar w:fldCharType="end"/>
      </w:r>
      <w:r w:rsidR="0068709B" w:rsidRPr="00436408">
        <w:rPr>
          <w:color w:val="000000" w:themeColor="text1"/>
        </w:rPr>
        <w:t xml:space="preserve">. </w:t>
      </w:r>
    </w:p>
    <w:p w14:paraId="3091E29F" w14:textId="4E448F49" w:rsidR="00866CC0" w:rsidRPr="00436408" w:rsidRDefault="00866CC0" w:rsidP="00C258BC">
      <w:pPr>
        <w:spacing w:after="0"/>
        <w:jc w:val="both"/>
      </w:pPr>
    </w:p>
    <w:p w14:paraId="7AFAC423" w14:textId="7ABF833A" w:rsidR="00BF06FE" w:rsidRPr="003E3238" w:rsidRDefault="00BF06FE" w:rsidP="001C1D6E">
      <w:pPr>
        <w:pStyle w:val="Heading3"/>
      </w:pPr>
      <w:r>
        <w:t>Immigration to new lands following establishment of economic activity</w:t>
      </w:r>
    </w:p>
    <w:p w14:paraId="1F538FC4" w14:textId="78D7A5B8" w:rsidR="0079265C" w:rsidRPr="00436408" w:rsidRDefault="00444AF5" w:rsidP="00C258BC">
      <w:pPr>
        <w:spacing w:after="0"/>
        <w:jc w:val="both"/>
        <w:rPr>
          <w:color w:val="000000" w:themeColor="text1"/>
        </w:rPr>
      </w:pPr>
      <w:r w:rsidRPr="00444AF5">
        <w:rPr>
          <w:color w:val="000000" w:themeColor="text1"/>
        </w:rPr>
        <w:t>Logging operations</w:t>
      </w:r>
      <w:r w:rsidR="001312FE" w:rsidRPr="00444AF5">
        <w:rPr>
          <w:color w:val="000000" w:themeColor="text1"/>
        </w:rPr>
        <w:t xml:space="preserve"> </w:t>
      </w:r>
      <w:r w:rsidR="00866CC0" w:rsidRPr="00444AF5">
        <w:rPr>
          <w:color w:val="000000" w:themeColor="text1"/>
        </w:rPr>
        <w:t xml:space="preserve">may significantly amplify the scale of </w:t>
      </w:r>
      <w:r w:rsidR="007C4878" w:rsidRPr="00444AF5">
        <w:rPr>
          <w:color w:val="000000" w:themeColor="text1"/>
        </w:rPr>
        <w:t xml:space="preserve">previous </w:t>
      </w:r>
      <w:r w:rsidR="00866CC0" w:rsidRPr="00444AF5">
        <w:rPr>
          <w:color w:val="000000" w:themeColor="text1"/>
        </w:rPr>
        <w:t xml:space="preserve">wild meat extractions </w:t>
      </w:r>
      <w:r w:rsidR="007C4878" w:rsidRPr="00444AF5">
        <w:rPr>
          <w:color w:val="000000" w:themeColor="text1"/>
        </w:rPr>
        <w:t>from the same lands</w:t>
      </w:r>
      <w:r w:rsidR="00866CC0" w:rsidRPr="00444AF5">
        <w:rPr>
          <w:color w:val="000000" w:themeColor="text1"/>
        </w:rPr>
        <w:t xml:space="preserve"> </w:t>
      </w:r>
      <w:r w:rsidR="004E5A3B">
        <w:rPr>
          <w:color w:val="000000" w:themeColor="text1"/>
        </w:rPr>
        <w:fldChar w:fldCharType="begin" w:fldLock="1"/>
      </w:r>
      <w:r w:rsidR="008E47ED">
        <w:rPr>
          <w:color w:val="000000" w:themeColor="text1"/>
        </w:rPr>
        <w:instrText>ADDIN CSL_CITATION {"citationItems":[{"id":"ITEM-1","itemData":{"DOI":"10.1098/rstb.2012.0303","ISBN":"1471-2970 (Electronic)\\n0962-8436 (Linking)","ISSN":"1471-2970","PMID":"23878333","abstract":"Humans have hunted wildlife in Central Africa for millennia. Today, however, many species are being rapidly extirpated and sanctuaries for wildlife are dwindling. Almost all Central Africa's forests are now accessible to hunters. Drastic declines of large mammals have been caused in the past 20 years by the commercial trade for meat or ivory. We review a growing body of empirical data which shows that trophic webs are significantly disrupted in the region, with knock-on effects for other ecological functions, including seed dispersal and forest regeneration. Plausible scenarios for land-use change indicate that increasing extraction pressure on Central African forests is likely to usher in new worker populations and to intensify the hunting impacts and trophic cascade disruption already in progress, unless serious efforts are made for hunting regulation. The profound ecological changes initiated by hunting will not mitigate and may even exacerbate the predicted effects of climate change for the region. We hypothesize that, in the near future, the trophic changes brought about by hunting will have a larger and more rapid impact on Central African rainforest structure and function than the direct impacts of climate change on the vegetation. Immediate hunting regulation is vital for the survival of the Central African rainforest ecosystem.","author":[{"dropping-particle":"","family":"Abernethy","given":"K.A.","non-dropping-particle":"","parse-names":false,"suffix":""},{"dropping-particle":"","family":"Coad","given":"L.","non-dropping-particle":"","parse-names":false,"suffix":""},{"dropping-particle":"","family":"Taylor","given":"G.","non-dropping-particle":"","parse-names":false,"suffix":""},{"dropping-particle":"","family":"Lee","given":"M E","non-dropping-particle":"","parse-names":false,"suffix":""},{"dropping-particle":"","family":"Maisels","given":"F.","non-dropping-particle":"","parse-names":false,"suffix":""}],"container-title":"Philosophical transactions of the Royal Society of London. Series B, Biological sciences","id":"ITEM-1","issued":{"date-parts":[["2013"]]},"page":"20120303","title":"Extent and ecological consequences of hunting in Central African rainforests in the twenty-first century.","type":"article-journal","volume":"368"},"uris":["http://www.mendeley.com/documents/?uuid=18796464-9ea5-47fb-afcb-938cbd1dcd95"]},{"id":"ITEM-2","itemData":{"DOI":"10.1890/10-1083.1","ISBN":"1051-0761","ISSN":"10510761","PMID":"21830721","abstract":"In tropical forests, hunting nearly always accompanies logging. The entangled nature of these disturbances complicates our ability to resolve applied questions, such as whether secondary and degraded forest can sustain populations of tropical animals. With the expansion of logging in central Africa, conservation depends on knowledge of the individual and combined impacts of logging and hunting on animal populations. Our goals were (1) to decouple the effects of selective logging and hunting on densities of animal guilds, including apes, duikers, monkeys, elephant, pigs, squirrels, and large frugivorous and insectivorous birds and (2) to compare the relative importance of these disturbances to the effects of local-scale variation in forest structure and fruit abundance. In northern Republic of Congo, we surveyed animals along 30 transects positioned in forest disturbed by logging and hunting, logging alone, and neither logging nor hunting. While sampling transects twice per month for two years, we observed 47 179 animals of 19 species and eight guilds in 1154 passages (2861 km). Species densities varied by as much as 480% among forest areas perturbed by logging and/or hunting, demonstrating the strong effects of these disturbances on populations of some species. Densities of animal guilds varied more strongly with disturbance type than with variation in forest structure, canopy cover, and fruit abundance. Independently, logging and hunting decreased density of some guilds and increased density of others: densities varied from 44% lower (pigs) to 90% higher (insectivorous birds) between logged and unlogged forest and from 61%lower (apes) to 77%higher (frugivorous birds) between hunted and unhunted forest. Their combined impacts exacerbated decreases in populations of some guilds (ape, duiker, monkey, and pig), but counteracted one another for others (squirrels, insectivorous and frugivorous birds). Together, logging and hunting shifted the relative abundance of the animal community away from large mammals toward squirrels and birds. Logged forest, even in the absence of hunting, does not maintain similar densities as unlogged forest for most animal guilds. To balance conservation with the need for economic development and wild meat in tropical countries, landscapes should be spatially managed to include protected areas, community hunting zones, and production forest.","author":[{"dropping-particle":"","family":"Poulsen","given":"J. R.","non-dropping-particle":"","parse-names":false,"suffix":""},{"dropping-particle":"","family":"Clark","given":"C. J.","non-dropping-particle":"","parse-names":false,"suffix":""},{"dropping-particle":"","family":"Bolker","given":"B. M.","non-dropping-particle":"","parse-names":false,"suffix":""}],"container-title":"Ecological Applications","id":"ITEM-2","issue":"5","issued":{"date-parts":[["2011"]]},"page":"1819-1836","title":"Decoupling the effects of logging and hunting on an afrotropical animal community","type":"article-journal","volume":"21"},"uris":["http://www.mendeley.com/documents/?uuid=6c354d48-83f9-44ca-9528-45cd9622862f"]}],"mendeley":{"formattedCitation":"(Poulsen et al. 2011; Abernethy et al. 2013b)","manualFormatting":"(Poulsen et al. 2011; Abernethy et al. 2013)","plainTextFormattedCitation":"(Poulsen et al. 2011; Abernethy et al. 2013b)","previouslyFormattedCitation":"(Poulsen et al. 2011; Abernethy et al. 2013b)"},"properties":{"noteIndex":0},"schema":"https://github.com/citation-style-language/schema/raw/master/csl-citation.json"}</w:instrText>
      </w:r>
      <w:r w:rsidR="004E5A3B">
        <w:rPr>
          <w:color w:val="000000" w:themeColor="text1"/>
        </w:rPr>
        <w:fldChar w:fldCharType="separate"/>
      </w:r>
      <w:r w:rsidR="004E5A3B" w:rsidRPr="004E5A3B">
        <w:rPr>
          <w:noProof/>
          <w:color w:val="000000" w:themeColor="text1"/>
        </w:rPr>
        <w:t xml:space="preserve">(Poulsen et </w:t>
      </w:r>
      <w:r w:rsidR="008E47ED">
        <w:rPr>
          <w:noProof/>
          <w:color w:val="000000" w:themeColor="text1"/>
        </w:rPr>
        <w:t>al. 2011; Abernethy et al. 2013</w:t>
      </w:r>
      <w:r w:rsidR="004E5A3B" w:rsidRPr="004E5A3B">
        <w:rPr>
          <w:noProof/>
          <w:color w:val="000000" w:themeColor="text1"/>
        </w:rPr>
        <w:t>)</w:t>
      </w:r>
      <w:r w:rsidR="004E5A3B">
        <w:rPr>
          <w:color w:val="000000" w:themeColor="text1"/>
        </w:rPr>
        <w:fldChar w:fldCharType="end"/>
      </w:r>
      <w:r w:rsidR="00866CC0" w:rsidRPr="0070404D">
        <w:rPr>
          <w:color w:val="000000" w:themeColor="text1"/>
        </w:rPr>
        <w:t xml:space="preserve">. </w:t>
      </w:r>
      <w:r w:rsidR="007C4878">
        <w:rPr>
          <w:color w:val="000000" w:themeColor="text1"/>
        </w:rPr>
        <w:t>T</w:t>
      </w:r>
      <w:r w:rsidR="00866CC0" w:rsidRPr="0070404D">
        <w:rPr>
          <w:color w:val="000000" w:themeColor="text1"/>
        </w:rPr>
        <w:t xml:space="preserve">he formation of camps and villages </w:t>
      </w:r>
      <w:r w:rsidR="00B45060">
        <w:rPr>
          <w:color w:val="000000" w:themeColor="text1"/>
        </w:rPr>
        <w:t xml:space="preserve">in and </w:t>
      </w:r>
      <w:r w:rsidR="00866CC0" w:rsidRPr="0070404D">
        <w:rPr>
          <w:color w:val="000000" w:themeColor="text1"/>
        </w:rPr>
        <w:t xml:space="preserve">around logging concessions triggers the immigration of multitudes of workers, job seekers, hunters, traders and their families into previously undisturbed </w:t>
      </w:r>
      <w:r w:rsidR="00875E66">
        <w:rPr>
          <w:color w:val="000000" w:themeColor="text1"/>
        </w:rPr>
        <w:fldChar w:fldCharType="begin" w:fldLock="1"/>
      </w:r>
      <w:r w:rsidR="00875E66">
        <w:rPr>
          <w:color w:val="000000" w:themeColor="text1"/>
        </w:rPr>
        <w:instrText>ADDIN CSL_CITATION {"citationItems":[{"id":"ITEM-1","itemData":{"DOI":"10.1111/j.1523-1739.2009.01251.x","ISBN":"0888-8892","ISSN":"08888892","PMID":"19459888","abstract":"Unsustainable hunting of wildlife for food empties tropical forests of many species critical to forest maintenance and livelihoods of forest people. Extractive industries, including logging, can accelerate exploitation of wildlife by opening forests to hunters and creating markets for bushmeat. We monitored human demographics, bushmeat supply in markets, and household bushmeat consumption in five logging towns in the northern Republic of Congo. Over 6 years we recorded 29,570 animals in town markets and collected 48,920 household meal records. Development of industrial logging operations led to a 69% increase in the population of logging towns and a 64% increase in bushmeat supply. The immigration of workers, jobseekers, and their families altered hunting patterns and was associated with increased use of wire snares and increased diversity in the species hunted and consumed. Immigrants hunted 72% of all bushmeat, which suggests the short-term benefits of hunting accrue disproportionately to “outsiders” to the detriment of indigenous peoples who have prior, legitimate claims to wildlife resources. Our results suggest that the greatest threat of logging to biodiversity may be the permanent urbanization of frontier forests. Although enforcement of hunting laws and promotion of alternative sources of protein may help curb the pressure on wildlife, the best strategy for biodiversity conservation may be to keep saw mills and the towns that develop around them out of forests.","author":[{"dropping-particle":"","family":"Poulsen","given":"J. R.","non-dropping-particle":"","parse-names":false,"suffix":""},{"dropping-particle":"","family":"Clark","given":"C. J.","non-dropping-particle":"","parse-names":false,"suffix":""},{"dropping-particle":"","family":"Mavah","given":"G.","non-dropping-particle":"","parse-names":false,"suffix":""},{"dropping-particle":"","family":"Elkan","given":"P. W.","non-dropping-particle":"","parse-names":false,"suffix":""}],"container-title":"Conservation Biology","id":"ITEM-1","issue":"6","issued":{"date-parts":[["2009"]]},"page":"1597-1608","title":"Bushmeat supply and consumption in a tropical logging concession in northern Congo","type":"article-journal","volume":"23"},"uris":["http://www.mendeley.com/documents/?uuid=9d5857ad-e96c-466e-8f8e-b437210855d4"]}],"mendeley":{"formattedCitation":"(Poulsen et al. 2009)","plainTextFormattedCitation":"(Poulsen et al. 2009)","previouslyFormattedCitation":"(Poulsen et al. 2009)"},"properties":{"noteIndex":0},"schema":"https://github.com/citation-style-language/schema/raw/master/csl-citation.json"}</w:instrText>
      </w:r>
      <w:r w:rsidR="00875E66">
        <w:rPr>
          <w:color w:val="000000" w:themeColor="text1"/>
        </w:rPr>
        <w:fldChar w:fldCharType="separate"/>
      </w:r>
      <w:r w:rsidR="00875E66" w:rsidRPr="00875E66">
        <w:rPr>
          <w:noProof/>
          <w:color w:val="000000" w:themeColor="text1"/>
        </w:rPr>
        <w:t>(Poulsen et al. 2009)</w:t>
      </w:r>
      <w:r w:rsidR="00875E66">
        <w:rPr>
          <w:color w:val="000000" w:themeColor="text1"/>
        </w:rPr>
        <w:fldChar w:fldCharType="end"/>
      </w:r>
      <w:r w:rsidR="007C4878">
        <w:rPr>
          <w:color w:val="000000" w:themeColor="text1"/>
        </w:rPr>
        <w:t xml:space="preserve"> and kick-starts local economic growth</w:t>
      </w:r>
      <w:r w:rsidR="00866CC0" w:rsidRPr="0070404D">
        <w:rPr>
          <w:color w:val="000000" w:themeColor="text1"/>
        </w:rPr>
        <w:t xml:space="preserve">. </w:t>
      </w:r>
      <w:r w:rsidR="00866CC0" w:rsidRPr="004904D8">
        <w:rPr>
          <w:color w:val="000000" w:themeColor="text1"/>
        </w:rPr>
        <w:t xml:space="preserve">In the northern Republic of Congo, the expansion of commercial logging operations led to a 69% increase in the population of logging towns, with a simultaneous 64% growth in wild meat supply </w:t>
      </w:r>
      <w:r w:rsidR="00875E66">
        <w:rPr>
          <w:color w:val="000000" w:themeColor="text1"/>
        </w:rPr>
        <w:fldChar w:fldCharType="begin" w:fldLock="1"/>
      </w:r>
      <w:r w:rsidR="00875E66">
        <w:rPr>
          <w:color w:val="000000" w:themeColor="text1"/>
        </w:rPr>
        <w:instrText>ADDIN CSL_CITATION {"citationItems":[{"id":"ITEM-1","itemData":{"DOI":"10.1111/j.1523-1739.2009.01251.x","ISBN":"0888-8892","ISSN":"08888892","PMID":"19459888","abstract":"Unsustainable hunting of wildlife for food empties tropical forests of many species critical to forest maintenance and livelihoods of forest people. Extractive industries, including logging, can accelerate exploitation of wildlife by opening forests to hunters and creating markets for bushmeat. We monitored human demographics, bushmeat supply in markets, and household bushmeat consumption in five logging towns in the northern Republic of Congo. Over 6 years we recorded 29,570 animals in town markets and collected 48,920 household meal records. Development of industrial logging operations led to a 69% increase in the population of logging towns and a 64% increase in bushmeat supply. The immigration of workers, jobseekers, and their families altered hunting patterns and was associated with increased use of wire snares and increased diversity in the species hunted and consumed. Immigrants hunted 72% of all bushmeat, which suggests the short-term benefits of hunting accrue disproportionately to “outsiders” to the detriment of indigenous peoples who have prior, legitimate claims to wildlife resources. Our results suggest that the greatest threat of logging to biodiversity may be the permanent urbanization of frontier forests. Although enforcement of hunting laws and promotion of alternative sources of protein may help curb the pressure on wildlife, the best strategy for biodiversity conservation may be to keep saw mills and the towns that develop around them out of forests.","author":[{"dropping-particle":"","family":"Poulsen","given":"J. R.","non-dropping-particle":"","parse-names":false,"suffix":""},{"dropping-particle":"","family":"Clark","given":"C. J.","non-dropping-particle":"","parse-names":false,"suffix":""},{"dropping-particle":"","family":"Mavah","given":"G.","non-dropping-particle":"","parse-names":false,"suffix":""},{"dropping-particle":"","family":"Elkan","given":"P. W.","non-dropping-particle":"","parse-names":false,"suffix":""}],"container-title":"Conservation Biology","id":"ITEM-1","issue":"6","issued":{"date-parts":[["2009"]]},"page":"1597-1608","title":"Bushmeat supply and consumption in a tropical logging concession in northern Congo","type":"article-journal","volume":"23"},"uris":["http://www.mendeley.com/documents/?uuid=9d5857ad-e96c-466e-8f8e-b437210855d4"]}],"mendeley":{"formattedCitation":"(Poulsen et al. 2009)","plainTextFormattedCitation":"(Poulsen et al. 2009)","previouslyFormattedCitation":"(Poulsen et al. 2009)"},"properties":{"noteIndex":0},"schema":"https://github.com/citation-style-language/schema/raw/master/csl-citation.json"}</w:instrText>
      </w:r>
      <w:r w:rsidR="00875E66">
        <w:rPr>
          <w:color w:val="000000" w:themeColor="text1"/>
        </w:rPr>
        <w:fldChar w:fldCharType="separate"/>
      </w:r>
      <w:r w:rsidR="00875E66" w:rsidRPr="00875E66">
        <w:rPr>
          <w:noProof/>
          <w:color w:val="000000" w:themeColor="text1"/>
        </w:rPr>
        <w:t>(Poulsen et al. 2009)</w:t>
      </w:r>
      <w:r w:rsidR="00875E66">
        <w:rPr>
          <w:color w:val="000000" w:themeColor="text1"/>
        </w:rPr>
        <w:fldChar w:fldCharType="end"/>
      </w:r>
      <w:r w:rsidR="00866CC0" w:rsidRPr="004904D8">
        <w:rPr>
          <w:color w:val="000000" w:themeColor="text1"/>
        </w:rPr>
        <w:t xml:space="preserve">. </w:t>
      </w:r>
      <w:r w:rsidR="007C4878">
        <w:rPr>
          <w:color w:val="000000" w:themeColor="text1"/>
        </w:rPr>
        <w:t>If concession managers do not provide protein for their workforce</w:t>
      </w:r>
      <w:r w:rsidR="00866CC0" w:rsidRPr="0070404D">
        <w:rPr>
          <w:color w:val="000000" w:themeColor="text1"/>
        </w:rPr>
        <w:t xml:space="preserve">, these growing communities </w:t>
      </w:r>
      <w:r w:rsidR="007C4878">
        <w:rPr>
          <w:color w:val="000000" w:themeColor="text1"/>
        </w:rPr>
        <w:t xml:space="preserve">inevitably </w:t>
      </w:r>
      <w:r w:rsidR="00866CC0" w:rsidRPr="0070404D">
        <w:rPr>
          <w:color w:val="000000" w:themeColor="text1"/>
        </w:rPr>
        <w:t>increase the local demand for wild meat</w:t>
      </w:r>
      <w:r w:rsidR="00A85199" w:rsidRPr="0070404D">
        <w:rPr>
          <w:color w:val="000000" w:themeColor="text1"/>
        </w:rPr>
        <w:t xml:space="preserve"> </w:t>
      </w:r>
      <w:r w:rsidR="00875E66">
        <w:rPr>
          <w:color w:val="000000" w:themeColor="text1"/>
        </w:rPr>
        <w:fldChar w:fldCharType="begin" w:fldLock="1"/>
      </w:r>
      <w:r w:rsidR="00875E66">
        <w:rPr>
          <w:color w:val="000000" w:themeColor="text1"/>
        </w:rPr>
        <w:instrText>ADDIN CSL_CITATION {"citationItems":[{"id":"ITEM-1","itemData":{"ISBN":"9782831714165","author":[{"dropping-particle":"","family":"Randolph","given":"S.","non-dropping-particle":"","parse-names":false,"suffix":""},{"dropping-particle":"","family":"Stiles","given":"Daniel","non-dropping-particle":"","parse-names":false,"suffix":""}],"id":"ITEM-1","issue":"July","issued":{"date-parts":[["2011"]]},"publisher":"IUCN","publisher-place":"Gland, Switzerland","title":"Elephant Meat Trade in Central Africa Cameroon Case Study","type":"book"},"uris":["http://www.mendeley.com/documents/?uuid=7f9034b4-6267-4378-a1b8-81c75596fe30"]}],"mendeley":{"formattedCitation":"(Randolph &amp; Stiles 2011)","plainTextFormattedCitation":"(Randolph &amp; Stiles 2011)","previouslyFormattedCitation":"(Randolph &amp; Stiles 2011)"},"properties":{"noteIndex":0},"schema":"https://github.com/citation-style-language/schema/raw/master/csl-citation.json"}</w:instrText>
      </w:r>
      <w:r w:rsidR="00875E66">
        <w:rPr>
          <w:color w:val="000000" w:themeColor="text1"/>
        </w:rPr>
        <w:fldChar w:fldCharType="separate"/>
      </w:r>
      <w:r w:rsidR="00875E66" w:rsidRPr="00875E66">
        <w:rPr>
          <w:noProof/>
          <w:color w:val="000000" w:themeColor="text1"/>
        </w:rPr>
        <w:t>(Randolph &amp; Stiles 2011)</w:t>
      </w:r>
      <w:r w:rsidR="00875E66">
        <w:rPr>
          <w:color w:val="000000" w:themeColor="text1"/>
        </w:rPr>
        <w:fldChar w:fldCharType="end"/>
      </w:r>
      <w:r w:rsidR="00866CC0" w:rsidRPr="004904D8">
        <w:rPr>
          <w:color w:val="000000" w:themeColor="text1"/>
        </w:rPr>
        <w:t xml:space="preserve">. </w:t>
      </w:r>
      <w:r w:rsidR="007C4878">
        <w:rPr>
          <w:color w:val="000000" w:themeColor="text1"/>
        </w:rPr>
        <w:t>Even if concession managers do provide protein supply for their workforce</w:t>
      </w:r>
      <w:r w:rsidR="00866CC0" w:rsidRPr="004904D8">
        <w:rPr>
          <w:color w:val="000000" w:themeColor="text1"/>
        </w:rPr>
        <w:t xml:space="preserve">, the availability of </w:t>
      </w:r>
      <w:r w:rsidR="007C4878">
        <w:rPr>
          <w:color w:val="000000" w:themeColor="text1"/>
        </w:rPr>
        <w:t xml:space="preserve">local </w:t>
      </w:r>
      <w:r w:rsidR="00866CC0" w:rsidRPr="004904D8">
        <w:rPr>
          <w:color w:val="000000" w:themeColor="text1"/>
        </w:rPr>
        <w:t xml:space="preserve">transport </w:t>
      </w:r>
      <w:r w:rsidR="007C4878">
        <w:rPr>
          <w:color w:val="000000" w:themeColor="text1"/>
        </w:rPr>
        <w:t>linked to</w:t>
      </w:r>
      <w:r w:rsidR="00866CC0" w:rsidRPr="004904D8">
        <w:rPr>
          <w:color w:val="000000" w:themeColor="text1"/>
        </w:rPr>
        <w:t xml:space="preserve"> the </w:t>
      </w:r>
      <w:r w:rsidR="007C4878">
        <w:rPr>
          <w:color w:val="000000" w:themeColor="text1"/>
        </w:rPr>
        <w:t xml:space="preserve">operating of the concession can </w:t>
      </w:r>
      <w:r w:rsidR="00866CC0" w:rsidRPr="004904D8">
        <w:rPr>
          <w:color w:val="000000" w:themeColor="text1"/>
        </w:rPr>
        <w:t xml:space="preserve">expedite </w:t>
      </w:r>
      <w:r w:rsidR="003352AD">
        <w:rPr>
          <w:color w:val="000000" w:themeColor="text1"/>
        </w:rPr>
        <w:t>a new</w:t>
      </w:r>
      <w:r w:rsidR="003352AD" w:rsidRPr="004904D8">
        <w:rPr>
          <w:color w:val="000000" w:themeColor="text1"/>
        </w:rPr>
        <w:t xml:space="preserve"> </w:t>
      </w:r>
      <w:r w:rsidR="00866CC0" w:rsidRPr="004904D8">
        <w:rPr>
          <w:color w:val="000000" w:themeColor="text1"/>
        </w:rPr>
        <w:t>suppl</w:t>
      </w:r>
      <w:r w:rsidR="00543341" w:rsidRPr="004904D8">
        <w:rPr>
          <w:color w:val="000000" w:themeColor="text1"/>
        </w:rPr>
        <w:t xml:space="preserve">y of wild meat to urban markets. </w:t>
      </w:r>
      <w:r w:rsidR="007C4878">
        <w:rPr>
          <w:color w:val="000000" w:themeColor="text1"/>
        </w:rPr>
        <w:t>If hunting and particularly export of wild meat from the concession is not actively regulated, t</w:t>
      </w:r>
      <w:r w:rsidR="00543341" w:rsidRPr="004904D8">
        <w:rPr>
          <w:color w:val="000000" w:themeColor="text1"/>
        </w:rPr>
        <w:t>h</w:t>
      </w:r>
      <w:r w:rsidR="007C4878">
        <w:rPr>
          <w:color w:val="000000" w:themeColor="text1"/>
        </w:rPr>
        <w:t>e urban</w:t>
      </w:r>
      <w:r w:rsidR="00543341" w:rsidRPr="004904D8">
        <w:rPr>
          <w:color w:val="000000" w:themeColor="text1"/>
        </w:rPr>
        <w:t xml:space="preserve"> demand </w:t>
      </w:r>
      <w:r w:rsidR="003352AD">
        <w:rPr>
          <w:color w:val="000000" w:themeColor="text1"/>
        </w:rPr>
        <w:t>can be</w:t>
      </w:r>
      <w:r w:rsidR="00543341" w:rsidRPr="004904D8">
        <w:rPr>
          <w:color w:val="000000" w:themeColor="text1"/>
        </w:rPr>
        <w:t xml:space="preserve"> met by </w:t>
      </w:r>
      <w:r w:rsidR="0009309B" w:rsidRPr="005512D2">
        <w:rPr>
          <w:color w:val="000000" w:themeColor="text1"/>
        </w:rPr>
        <w:t>logging workers</w:t>
      </w:r>
      <w:r w:rsidR="009C71E4" w:rsidRPr="005512D2">
        <w:rPr>
          <w:color w:val="000000" w:themeColor="text1"/>
        </w:rPr>
        <w:t xml:space="preserve"> </w:t>
      </w:r>
      <w:r w:rsidR="003352AD">
        <w:rPr>
          <w:color w:val="000000" w:themeColor="text1"/>
        </w:rPr>
        <w:t>or their families</w:t>
      </w:r>
      <w:r w:rsidR="007C4878">
        <w:rPr>
          <w:color w:val="000000" w:themeColor="text1"/>
        </w:rPr>
        <w:t>. Any existing</w:t>
      </w:r>
      <w:r w:rsidR="009C71E4" w:rsidRPr="003E3238">
        <w:rPr>
          <w:color w:val="000000" w:themeColor="text1"/>
        </w:rPr>
        <w:t xml:space="preserve"> </w:t>
      </w:r>
      <w:r w:rsidR="00543341" w:rsidRPr="003E3238">
        <w:rPr>
          <w:color w:val="000000" w:themeColor="text1"/>
        </w:rPr>
        <w:t xml:space="preserve">local </w:t>
      </w:r>
      <w:r w:rsidR="0009309B" w:rsidRPr="003E3238">
        <w:rPr>
          <w:color w:val="000000" w:themeColor="text1"/>
        </w:rPr>
        <w:t xml:space="preserve">communities </w:t>
      </w:r>
      <w:r w:rsidR="007C4878">
        <w:rPr>
          <w:color w:val="000000" w:themeColor="text1"/>
        </w:rPr>
        <w:t xml:space="preserve">adjacent to the concession camps may </w:t>
      </w:r>
      <w:r w:rsidR="007C4878" w:rsidRPr="00F44DEF">
        <w:rPr>
          <w:color w:val="000000" w:themeColor="text1"/>
        </w:rPr>
        <w:t>also</w:t>
      </w:r>
      <w:r w:rsidR="00543341" w:rsidRPr="00F44DEF">
        <w:rPr>
          <w:color w:val="000000" w:themeColor="text1"/>
        </w:rPr>
        <w:t xml:space="preserve"> increase their </w:t>
      </w:r>
      <w:r w:rsidR="009C71E4" w:rsidRPr="00F44DEF">
        <w:rPr>
          <w:color w:val="000000" w:themeColor="text1"/>
        </w:rPr>
        <w:t>hunting offtakes</w:t>
      </w:r>
      <w:r w:rsidR="00543341" w:rsidRPr="00F44DEF">
        <w:rPr>
          <w:color w:val="000000" w:themeColor="text1"/>
        </w:rPr>
        <w:t xml:space="preserve"> and</w:t>
      </w:r>
      <w:r w:rsidR="009C71E4" w:rsidRPr="00F44DEF">
        <w:rPr>
          <w:color w:val="000000" w:themeColor="text1"/>
        </w:rPr>
        <w:t>/or</w:t>
      </w:r>
      <w:r w:rsidR="00543341" w:rsidRPr="00F44DEF">
        <w:rPr>
          <w:color w:val="000000" w:themeColor="text1"/>
        </w:rPr>
        <w:t xml:space="preserve"> the proportion that they sell</w:t>
      </w:r>
      <w:r w:rsidR="00B45060" w:rsidRPr="00F44DEF">
        <w:rPr>
          <w:color w:val="000000" w:themeColor="text1"/>
        </w:rPr>
        <w:t>,</w:t>
      </w:r>
      <w:r w:rsidR="00543341" w:rsidRPr="00F44DEF">
        <w:rPr>
          <w:color w:val="000000" w:themeColor="text1"/>
        </w:rPr>
        <w:t xml:space="preserve"> </w:t>
      </w:r>
      <w:r w:rsidR="0004189B" w:rsidRPr="00F44DEF">
        <w:rPr>
          <w:color w:val="000000" w:themeColor="text1"/>
        </w:rPr>
        <w:t xml:space="preserve">and external </w:t>
      </w:r>
      <w:r w:rsidR="0009309B" w:rsidRPr="00F44DEF">
        <w:rPr>
          <w:color w:val="000000" w:themeColor="text1"/>
        </w:rPr>
        <w:t>commercial hunters</w:t>
      </w:r>
      <w:r w:rsidR="0004189B" w:rsidRPr="00F44DEF">
        <w:rPr>
          <w:color w:val="000000" w:themeColor="text1"/>
        </w:rPr>
        <w:t xml:space="preserve"> </w:t>
      </w:r>
      <w:r w:rsidR="007C4878" w:rsidRPr="00F44DEF">
        <w:rPr>
          <w:color w:val="000000" w:themeColor="text1"/>
        </w:rPr>
        <w:t>may also</w:t>
      </w:r>
      <w:r w:rsidR="0004189B" w:rsidRPr="00F44DEF">
        <w:rPr>
          <w:color w:val="000000" w:themeColor="text1"/>
        </w:rPr>
        <w:t xml:space="preserve"> use </w:t>
      </w:r>
      <w:r w:rsidR="007C4878" w:rsidRPr="00F44DEF">
        <w:rPr>
          <w:color w:val="000000" w:themeColor="text1"/>
        </w:rPr>
        <w:t>the new</w:t>
      </w:r>
      <w:r w:rsidR="0004189B" w:rsidRPr="00F44DEF">
        <w:rPr>
          <w:color w:val="000000" w:themeColor="text1"/>
        </w:rPr>
        <w:t xml:space="preserve"> logging roads as access points to previously less-hunted</w:t>
      </w:r>
      <w:r w:rsidR="0009309B" w:rsidRPr="00F44DEF">
        <w:rPr>
          <w:color w:val="000000" w:themeColor="text1"/>
        </w:rPr>
        <w:t xml:space="preserve"> areas</w:t>
      </w:r>
      <w:r w:rsidR="007C4878" w:rsidRPr="00F44DEF">
        <w:rPr>
          <w:color w:val="000000" w:themeColor="text1"/>
        </w:rPr>
        <w:t xml:space="preserve"> </w:t>
      </w:r>
      <w:r w:rsidR="00F44DEF" w:rsidRPr="00F44DEF">
        <w:rPr>
          <w:color w:val="000000" w:themeColor="text1"/>
        </w:rPr>
        <w:fldChar w:fldCharType="begin" w:fldLock="1"/>
      </w:r>
      <w:r w:rsidR="00F44DEF">
        <w:rPr>
          <w:color w:val="000000" w:themeColor="text1"/>
        </w:rPr>
        <w:instrText>ADDIN CSL_CITATION {"citationItems":[{"id":"ITEM-1","itemData":{"DOI":"10.1016/0006-3207(88)90061-4","ISBN":"0006-3207","ISSN":"00063207","PMID":"11005831","abstract":"Subsistence and commercial hunting is of greater importance than sport hunting to ungulate management in the Peruvian Amazon. Ungulates hunted include the red brocket deer Mazama americana, grey brocket deer M. gouazoubira, collared peccary Tayassu tajacu, white-lipped peccary T. pecari, and lowland tapir Tapirus terrestris. Analysis of the ungulate pelt trade indicated that the management programmes put forth by the Ministry of Agriculture in Peru have successfully regulated ungulate harvest by controlling professional pelt and commercial meat hunters. Information collected on a local community of hunters revealed that lumbermen were harvesting significantly more ungulates than subsistence hunters. The lumber operations supply workers with shotguns and cartridges instead of basic foods to decrease operational costs by using game meat. Lumbermen should therefore be considered as commercial hunters and management programmes instated on them. Illegal meat hunters occasionally visited the study area and were quite destructive to game species when present. © 1988.","author":[{"dropping-particle":"","family":"Bodmer","given":"Richard E.","non-dropping-particle":"","parse-names":false,"suffix":""},{"dropping-particle":"","family":"Fang","given":"Tula G.","non-dropping-particle":"","parse-names":false,"suffix":""},{"dropping-particle":"","family":"Ibanez","given":"Luis Moya","non-dropping-particle":"","parse-names":false,"suffix":""}],"container-title":"Biological Conservation","id":"ITEM-1","issue":"4","issued":{"date-parts":[["1988"]]},"page":"303-310","title":"Ungulate management and conservation in the Peruvian Amazon","type":"article-journal","volume":"45"},"uris":["http://www.mendeley.com/documents/?uuid=d80d76a6-aaf5-439c-a913-54252a934214"]}],"mendeley":{"formattedCitation":"(Bodmer et al. 1988)","plainTextFormattedCitation":"(Bodmer et al. 1988)","previouslyFormattedCitation":"(Bodmer et al. 1988)"},"properties":{"noteIndex":0},"schema":"https://github.com/citation-style-language/schema/raw/master/csl-citation.json"}</w:instrText>
      </w:r>
      <w:r w:rsidR="00F44DEF" w:rsidRPr="00F44DEF">
        <w:rPr>
          <w:color w:val="000000" w:themeColor="text1"/>
        </w:rPr>
        <w:fldChar w:fldCharType="separate"/>
      </w:r>
      <w:r w:rsidR="00F44DEF" w:rsidRPr="00F44DEF">
        <w:rPr>
          <w:noProof/>
          <w:color w:val="000000" w:themeColor="text1"/>
        </w:rPr>
        <w:t>(Bodmer et al. 1988)</w:t>
      </w:r>
      <w:r w:rsidR="00F44DEF" w:rsidRPr="00F44DEF">
        <w:rPr>
          <w:color w:val="000000" w:themeColor="text1"/>
        </w:rPr>
        <w:fldChar w:fldCharType="end"/>
      </w:r>
      <w:r w:rsidR="00F44DEF" w:rsidRPr="00F44DEF">
        <w:rPr>
          <w:color w:val="000000" w:themeColor="text1"/>
        </w:rPr>
        <w:t xml:space="preserve">. </w:t>
      </w:r>
      <w:r w:rsidR="00866CC0" w:rsidRPr="00F44DEF">
        <w:rPr>
          <w:color w:val="000000" w:themeColor="text1"/>
        </w:rPr>
        <w:t>Similar impacts have been described for coltan mining in</w:t>
      </w:r>
      <w:r w:rsidR="000F760D" w:rsidRPr="00F44DEF">
        <w:rPr>
          <w:color w:val="000000" w:themeColor="text1"/>
        </w:rPr>
        <w:t xml:space="preserve"> the Democratic Republic of Congo</w:t>
      </w:r>
      <w:r w:rsidR="000F760D" w:rsidRPr="001E3BCA">
        <w:rPr>
          <w:color w:val="000000" w:themeColor="text1"/>
        </w:rPr>
        <w:t xml:space="preserve"> (</w:t>
      </w:r>
      <w:r w:rsidR="00866CC0" w:rsidRPr="00436408">
        <w:rPr>
          <w:color w:val="000000" w:themeColor="text1"/>
        </w:rPr>
        <w:t>DRC</w:t>
      </w:r>
      <w:r w:rsidR="000F760D">
        <w:rPr>
          <w:color w:val="000000" w:themeColor="text1"/>
        </w:rPr>
        <w:t>)</w:t>
      </w:r>
      <w:r w:rsidR="00866CC0" w:rsidRPr="00436408">
        <w:rPr>
          <w:color w:val="000000" w:themeColor="text1"/>
        </w:rPr>
        <w:t xml:space="preserve"> </w:t>
      </w:r>
      <w:r w:rsidR="00F44DEF">
        <w:rPr>
          <w:color w:val="000000" w:themeColor="text1"/>
        </w:rPr>
        <w:fldChar w:fldCharType="begin" w:fldLock="1"/>
      </w:r>
      <w:r w:rsidR="00B2630D">
        <w:rPr>
          <w:color w:val="000000" w:themeColor="text1"/>
        </w:rPr>
        <w:instrText>ADDIN CSL_CITATION {"citationItems":[{"id":"ITEM-1","itemData":{"author":[{"dropping-particle":"","family":"Nadakavukaren","given":"Anne","non-dropping-particle":"","parse-names":false,"suffix":""}],"id":"ITEM-1","issued":{"date-parts":[["2011"]]},"publisher":"Waveland Press","publisher-place":"Long Grove, Illinois, USA","title":"Our global environment","type":"book"},"uris":["http://www.mendeley.com/documents/?uuid=2594dfbc-01fb-47c4-a392-304e07cdacc3"]},{"id":"ITEM-2","itemData":{"DOI":"10.1017/S003060531600171X","ISSN":"13653008","abstract":"Copyright © Fauna &amp; Flora International 2017In the Democratic Republic of Congo artisanal and small-scale mining is estimated to provide a source of livelihood for 14–16% of the population, or 8–10 million people. In the eastern part of the country it is one of the main threats to large mammal species and their habitats, including forest elephants Loxodonta cyclotis and great apes, such as the Critically Endangered Grauer's gorilla Gorilla beringei graueri and the Endangered eastern chimpanzee Pan troglodytes schweinfurthii. We used semi-structured questionnaires to survey mining communities in and around Kahuzi–Biega National Park and the Itombwe Nature Reserve to understand better the socio-economics of artisanal mining in the region, as well as the impacts of mining on bushmeat hunting. Minerals exploited at the sites surveyed included cassiterite, gold, coltan and wolframite, and most mines were controlled by armed groups. On average, miners earned significantly higher revenue than non-miners. However, mining was seen as a short-term activity and most miners were in favour of leaving the sector for better opportunities. Almost all respondents stated openly that they consumed bushmeat regularly because of the lack of alternatives and believed that bushmeat hunting had caused declines and local extinctions of some large mammal populations, including great apes. Respondents stated they would reduce their consumption of bushmeat if domestic meats became more available. We recommend that future interventions should target mine sites to address bushmeat hunting, by improving access to sustainable meat sources, establishing micro-financing mechanisms to help miners leave the mining sector, and working towards de-militarizing these sites to facilitate law enforcement.","author":[{"dropping-particle":"","family":"Spira","given":"C.","non-dropping-particle":"","parse-names":false,"suffix":""},{"dropping-particle":"","family":"Kirkby","given":"A.","non-dropping-particle":"","parse-names":false,"suffix":""},{"dropping-particle":"","family":"Kujirakwinja","given":"D.","non-dropping-particle":"","parse-names":false,"suffix":""},{"dropping-particle":"","family":"Plumptre","given":"A.J.","non-dropping-particle":"","parse-names":false,"suffix":""}],"container-title":"Oryx","id":"ITEM-2","issued":{"date-parts":[["2017"]]},"title":"The socio-economics of artisanal mining and bushmeat hunting around protected areas: Kahuzi–Biega National Park and Itombwe Nature Reserve, eastern Democratic Republic of Congo","type":"article-journal"},"uris":["http://www.mendeley.com/documents/?uuid=6dcffc38-2d2e-4bf1-84c8-d212e1f6fa96"]}],"mendeley":{"formattedCitation":"(Nadakavukaren 2011; Spira et al. 2017)","plainTextFormattedCitation":"(Nadakavukaren 2011; Spira et al. 2017)","previouslyFormattedCitation":"(Nadakavukaren 2011; Spira et al. 2017)"},"properties":{"noteIndex":0},"schema":"https://github.com/citation-style-language/schema/raw/master/csl-citation.json"}</w:instrText>
      </w:r>
      <w:r w:rsidR="00F44DEF">
        <w:rPr>
          <w:color w:val="000000" w:themeColor="text1"/>
        </w:rPr>
        <w:fldChar w:fldCharType="separate"/>
      </w:r>
      <w:r w:rsidR="00F44DEF" w:rsidRPr="00F44DEF">
        <w:rPr>
          <w:noProof/>
          <w:color w:val="000000" w:themeColor="text1"/>
        </w:rPr>
        <w:t>(Nadakavukaren 2011; Spira et al. 2017)</w:t>
      </w:r>
      <w:r w:rsidR="00F44DEF">
        <w:rPr>
          <w:color w:val="000000" w:themeColor="text1"/>
        </w:rPr>
        <w:fldChar w:fldCharType="end"/>
      </w:r>
      <w:r w:rsidR="00F44DEF">
        <w:rPr>
          <w:color w:val="000000" w:themeColor="text1"/>
        </w:rPr>
        <w:t xml:space="preserve"> </w:t>
      </w:r>
      <w:r w:rsidR="0092200B" w:rsidRPr="00436408">
        <w:rPr>
          <w:color w:val="000000" w:themeColor="text1"/>
        </w:rPr>
        <w:t>and</w:t>
      </w:r>
      <w:r w:rsidR="0034579D" w:rsidRPr="00436408">
        <w:rPr>
          <w:color w:val="000000" w:themeColor="text1"/>
        </w:rPr>
        <w:t xml:space="preserve"> the oil industry in Gabon </w:t>
      </w:r>
      <w:r w:rsidR="0034579D" w:rsidRPr="00436408">
        <w:rPr>
          <w:color w:val="000000" w:themeColor="text1"/>
        </w:rPr>
        <w:fldChar w:fldCharType="begin" w:fldLock="1"/>
      </w:r>
      <w:r w:rsidR="00D72B40">
        <w:rPr>
          <w:color w:val="000000" w:themeColor="text1"/>
        </w:rPr>
        <w:instrText>ADDIN CSL_CITATION {"citationItems":[{"id":"ITEM-1","itemData":{"DOI":"10.1111/j.1523-1739.2003.00159.x","ISSN":"08888892","author":[{"dropping-particle":"","family":"Thibault","given":"Marc","non-dropping-particle":"","parse-names":false,"suffix":""},{"dropping-particle":"","family":"Blaney","given":"Sonia","non-dropping-particle":"","parse-names":false,"suffix":""}],"container-title":"Conservation Biology","id":"ITEM-1","issue":"6","issued":{"date-parts":[["2003","12"]]},"page":"1807-1813","title":"The oil industry as an underlying factor in the bushmeat crisis in Central Africa","type":"article-journal","volume":"17"},"uris":["http://www.mendeley.com/documents/?uuid=5ef1d34c-f8ba-45aa-9959-81c6e20e3365"]}],"mendeley":{"formattedCitation":"(Thibault &amp; Blaney 2003)","manualFormatting":"(Thibault and Blaney, 2003)","plainTextFormattedCitation":"(Thibault &amp; Blaney 2003)","previouslyFormattedCitation":"(Thibault &amp; Blaney 2003)"},"properties":{"noteIndex":0},"schema":"https://github.com/citation-style-language/schema/raw/master/csl-citation.json"}</w:instrText>
      </w:r>
      <w:r w:rsidR="0034579D" w:rsidRPr="00436408">
        <w:rPr>
          <w:color w:val="000000" w:themeColor="text1"/>
        </w:rPr>
        <w:fldChar w:fldCharType="separate"/>
      </w:r>
      <w:r w:rsidR="0034579D" w:rsidRPr="00436408">
        <w:rPr>
          <w:noProof/>
          <w:color w:val="000000" w:themeColor="text1"/>
        </w:rPr>
        <w:t xml:space="preserve">(Thibault </w:t>
      </w:r>
      <w:r w:rsidR="008806AC" w:rsidRPr="00436408">
        <w:rPr>
          <w:noProof/>
          <w:color w:val="000000" w:themeColor="text1"/>
        </w:rPr>
        <w:t>and</w:t>
      </w:r>
      <w:r w:rsidR="0034579D" w:rsidRPr="00436408">
        <w:rPr>
          <w:noProof/>
          <w:color w:val="000000" w:themeColor="text1"/>
        </w:rPr>
        <w:t xml:space="preserve"> Blaney</w:t>
      </w:r>
      <w:r w:rsidR="008806AC" w:rsidRPr="00436408">
        <w:rPr>
          <w:noProof/>
          <w:color w:val="000000" w:themeColor="text1"/>
        </w:rPr>
        <w:t>,</w:t>
      </w:r>
      <w:r w:rsidR="0034579D" w:rsidRPr="00436408">
        <w:rPr>
          <w:noProof/>
          <w:color w:val="000000" w:themeColor="text1"/>
        </w:rPr>
        <w:t xml:space="preserve"> 2003)</w:t>
      </w:r>
      <w:r w:rsidR="0034579D" w:rsidRPr="00436408">
        <w:rPr>
          <w:color w:val="000000" w:themeColor="text1"/>
        </w:rPr>
        <w:fldChar w:fldCharType="end"/>
      </w:r>
      <w:r w:rsidR="0092200B" w:rsidRPr="00436408">
        <w:rPr>
          <w:color w:val="000000" w:themeColor="text1"/>
        </w:rPr>
        <w:t xml:space="preserve"> and Ecuador </w:t>
      </w:r>
      <w:r w:rsidR="00764E07" w:rsidRPr="00436408">
        <w:rPr>
          <w:color w:val="000000" w:themeColor="text1"/>
        </w:rPr>
        <w:fldChar w:fldCharType="begin" w:fldLock="1"/>
      </w:r>
      <w:r w:rsidR="00D72B40">
        <w:rPr>
          <w:color w:val="000000" w:themeColor="text1"/>
        </w:rPr>
        <w:instrText>ADDIN CSL_CITATION {"citationItems":[{"id":"ITEM-1","itemData":{"DOI":"10.1111/j.1469-1795.2009.00262.x","author":[{"dropping-particle":"","family":"Suárez","given":"E","non-dropping-particle":"","parse-names":false,"suffix":""},{"dropping-particle":"","family":"Morales","given":"M","non-dropping-particle":"","parse-names":false,"suffix":""},{"dropping-particle":"","family":"Cueva","given":"R","non-dropping-particle":"","parse-names":false,"suffix":""},{"dropping-particle":"","family":"Bucheli","given":"V Utreras","non-dropping-particle":"","parse-names":false,"suffix":""},{"dropping-particle":"","family":"Toral","given":"E","non-dropping-particle":"","parse-names":false,"suffix":""},{"dropping-particle":"","family":"Torres","given":"J","non-dropping-particle":"","parse-names":false,"suffix":""},{"dropping-particle":"","family":"Prado","given":"W","non-dropping-particle":"","parse-names":false,"suffix":""},{"dropping-particle":"","family":"Olalla","given":"J Vargas","non-dropping-particle":"","parse-names":false,"suffix":""}],"container-title":"Animal Conservation","id":"ITEM-1","issued":{"date-parts":[["2009"]]},"page":"364-373","title":"Oil industry, wild meat trade and roads: indirect effects of oil extraction activities in a protected area in north-east Ecuador","type":"article-journal","volume":"12"},"uris":["http://www.mendeley.com/documents/?uuid=576e3ebf-103c-46b2-b91d-2734e10c2911"]}],"mendeley":{"formattedCitation":"(Suárez et al. 2009)","manualFormatting":"(Suárez et al., 2009)","plainTextFormattedCitation":"(Suárez et al. 2009)","previouslyFormattedCitation":"(Suárez et al. 2009)"},"properties":{"noteIndex":0},"schema":"https://github.com/citation-style-language/schema/raw/master/csl-citation.json"}</w:instrText>
      </w:r>
      <w:r w:rsidR="00764E07" w:rsidRPr="00436408">
        <w:rPr>
          <w:color w:val="000000" w:themeColor="text1"/>
        </w:rPr>
        <w:fldChar w:fldCharType="separate"/>
      </w:r>
      <w:r w:rsidR="00764E07" w:rsidRPr="00436408">
        <w:rPr>
          <w:noProof/>
          <w:color w:val="000000" w:themeColor="text1"/>
        </w:rPr>
        <w:t>(Suárez et al.</w:t>
      </w:r>
      <w:r w:rsidR="008806AC" w:rsidRPr="00436408">
        <w:rPr>
          <w:noProof/>
          <w:color w:val="000000" w:themeColor="text1"/>
        </w:rPr>
        <w:t>,</w:t>
      </w:r>
      <w:r w:rsidR="00764E07" w:rsidRPr="00436408">
        <w:rPr>
          <w:noProof/>
          <w:color w:val="000000" w:themeColor="text1"/>
        </w:rPr>
        <w:t xml:space="preserve"> 2009)</w:t>
      </w:r>
      <w:r w:rsidR="00764E07" w:rsidRPr="00436408">
        <w:rPr>
          <w:color w:val="000000" w:themeColor="text1"/>
        </w:rPr>
        <w:fldChar w:fldCharType="end"/>
      </w:r>
      <w:r w:rsidR="0068709B" w:rsidRPr="00436408">
        <w:rPr>
          <w:color w:val="000000" w:themeColor="text1"/>
        </w:rPr>
        <w:t xml:space="preserve">. </w:t>
      </w:r>
    </w:p>
    <w:p w14:paraId="1902B14A" w14:textId="093BF824" w:rsidR="00BF11DF" w:rsidRPr="005512D2" w:rsidRDefault="003F15BE" w:rsidP="00C258BC">
      <w:pPr>
        <w:pStyle w:val="NormalWeb"/>
        <w:jc w:val="both"/>
        <w:rPr>
          <w:color w:val="000000" w:themeColor="text1"/>
        </w:rPr>
      </w:pPr>
      <w:r w:rsidRPr="003E3238">
        <w:rPr>
          <w:color w:val="000000" w:themeColor="text1"/>
        </w:rPr>
        <w:t xml:space="preserve">Available </w:t>
      </w:r>
      <w:r w:rsidR="008806AC" w:rsidRPr="003E3238">
        <w:rPr>
          <w:color w:val="000000" w:themeColor="text1"/>
        </w:rPr>
        <w:t>case studies</w:t>
      </w:r>
      <w:r w:rsidRPr="003E3238">
        <w:rPr>
          <w:color w:val="000000" w:themeColor="text1"/>
        </w:rPr>
        <w:t xml:space="preserve"> suggest that</w:t>
      </w:r>
      <w:r w:rsidR="0068709B" w:rsidRPr="003E3238">
        <w:rPr>
          <w:color w:val="000000" w:themeColor="text1"/>
        </w:rPr>
        <w:t xml:space="preserve"> concession</w:t>
      </w:r>
      <w:r w:rsidRPr="003E3238">
        <w:rPr>
          <w:color w:val="000000" w:themeColor="text1"/>
        </w:rPr>
        <w:t xml:space="preserve"> workers and commercial hunters have larger impacts than village hunters in concess</w:t>
      </w:r>
      <w:r w:rsidR="009844AF" w:rsidRPr="003E3238">
        <w:rPr>
          <w:color w:val="000000" w:themeColor="text1"/>
        </w:rPr>
        <w:t xml:space="preserve">ion areas. </w:t>
      </w:r>
      <w:r w:rsidR="00DC7F1B">
        <w:rPr>
          <w:color w:val="000000" w:themeColor="text1"/>
        </w:rPr>
        <w:t>Thirty years ago,</w:t>
      </w:r>
      <w:r w:rsidR="00F44DEF">
        <w:rPr>
          <w:color w:val="000000" w:themeColor="text1"/>
        </w:rPr>
        <w:t xml:space="preserve"> </w:t>
      </w:r>
      <w:r w:rsidR="00F44DEF" w:rsidRPr="00F44DEF">
        <w:rPr>
          <w:noProof/>
          <w:color w:val="000000" w:themeColor="text1"/>
        </w:rPr>
        <w:t xml:space="preserve">Bodmer et al. </w:t>
      </w:r>
      <w:r w:rsidR="00F44DEF">
        <w:rPr>
          <w:color w:val="000000" w:themeColor="text1"/>
        </w:rPr>
        <w:fldChar w:fldCharType="begin" w:fldLock="1"/>
      </w:r>
      <w:r w:rsidR="00F44DEF">
        <w:rPr>
          <w:color w:val="000000" w:themeColor="text1"/>
        </w:rPr>
        <w:instrText>ADDIN CSL_CITATION {"citationItems":[{"id":"ITEM-1","itemData":{"DOI":"10.1016/0006-3207(88)90061-4","ISBN":"0006-3207","ISSN":"00063207","PMID":"11005831","abstract":"Subsistence and commercial hunting is of greater importance than sport hunting to ungulate management in the Peruvian Amazon. Ungulates hunted include the red brocket deer Mazama americana, grey brocket deer M. gouazoubira, collared peccary Tayassu tajacu, white-lipped peccary T. pecari, and lowland tapir Tapirus terrestris. Analysis of the ungulate pelt trade indicated that the management programmes put forth by the Ministry of Agriculture in Peru have successfully regulated ungulate harvest by controlling professional pelt and commercial meat hunters. Information collected on a local community of hunters revealed that lumbermen were harvesting significantly more ungulates than subsistence hunters. The lumber operations supply workers with shotguns and cartridges instead of basic foods to decrease operational costs by using game meat. Lumbermen should therefore be considered as commercial hunters and management programmes instated on them. Illegal meat hunters occasionally visited the study area and were quite destructive to game species when present. © 1988.","author":[{"dropping-particle":"","family":"Bodmer","given":"Richard E.","non-dropping-particle":"","parse-names":false,"suffix":""},{"dropping-particle":"","family":"Fang","given":"Tula G.","non-dropping-particle":"","parse-names":false,"suffix":""},{"dropping-particle":"","family":"Ibanez","given":"Luis Moya","non-dropping-particle":"","parse-names":false,"suffix":""}],"container-title":"Biological Conservation","id":"ITEM-1","issue":"4","issued":{"date-parts":[["1988"]]},"page":"303-310","title":"Ungulate management and conservation in the Peruvian Amazon","type":"article-journal","volume":"45"},"uris":["http://www.mendeley.com/documents/?uuid=d80d76a6-aaf5-439c-a913-54252a934214"]}],"mendeley":{"formattedCitation":"(Bodmer et al. 1988)","manualFormatting":"(1988)","plainTextFormattedCitation":"(Bodmer et al. 1988)","previouslyFormattedCitation":"(Bodmer et al. 1988)"},"properties":{"noteIndex":0},"schema":"https://github.com/citation-style-language/schema/raw/master/csl-citation.json"}</w:instrText>
      </w:r>
      <w:r w:rsidR="00F44DEF">
        <w:rPr>
          <w:color w:val="000000" w:themeColor="text1"/>
        </w:rPr>
        <w:fldChar w:fldCharType="separate"/>
      </w:r>
      <w:r w:rsidR="00F44DEF" w:rsidRPr="00F44DEF">
        <w:rPr>
          <w:noProof/>
          <w:color w:val="000000" w:themeColor="text1"/>
        </w:rPr>
        <w:t>(1988)</w:t>
      </w:r>
      <w:r w:rsidR="00F44DEF">
        <w:rPr>
          <w:color w:val="000000" w:themeColor="text1"/>
        </w:rPr>
        <w:fldChar w:fldCharType="end"/>
      </w:r>
      <w:r w:rsidR="009844AF" w:rsidRPr="003E3238">
        <w:rPr>
          <w:color w:val="000000" w:themeColor="text1"/>
        </w:rPr>
        <w:t xml:space="preserve">, </w:t>
      </w:r>
      <w:r w:rsidR="009844AF" w:rsidRPr="0070404D">
        <w:rPr>
          <w:color w:val="000000" w:themeColor="text1"/>
        </w:rPr>
        <w:t>quant</w:t>
      </w:r>
      <w:r w:rsidR="00CE5E12" w:rsidRPr="004904D8">
        <w:rPr>
          <w:color w:val="000000" w:themeColor="text1"/>
        </w:rPr>
        <w:t>ifying hunting offtakes in the Loreto</w:t>
      </w:r>
      <w:r w:rsidR="009844AF" w:rsidRPr="004904D8">
        <w:rPr>
          <w:color w:val="000000" w:themeColor="text1"/>
        </w:rPr>
        <w:t xml:space="preserve"> region,</w:t>
      </w:r>
      <w:r w:rsidR="00CE5E12" w:rsidRPr="004904D8">
        <w:rPr>
          <w:color w:val="000000" w:themeColor="text1"/>
        </w:rPr>
        <w:t xml:space="preserve"> </w:t>
      </w:r>
      <w:r w:rsidR="009844AF" w:rsidRPr="004904D8">
        <w:rPr>
          <w:color w:val="000000" w:themeColor="text1"/>
        </w:rPr>
        <w:t xml:space="preserve">Peru, found that </w:t>
      </w:r>
      <w:r w:rsidRPr="005512D2">
        <w:rPr>
          <w:color w:val="000000" w:themeColor="text1"/>
        </w:rPr>
        <w:t>hunting offtakes from logging workers, commercial hunte</w:t>
      </w:r>
      <w:r w:rsidR="00C670FD" w:rsidRPr="005512D2">
        <w:rPr>
          <w:color w:val="000000" w:themeColor="text1"/>
        </w:rPr>
        <w:t>rs and village hunters made up 51%, 11% and 38</w:t>
      </w:r>
      <w:r w:rsidRPr="003E3238">
        <w:rPr>
          <w:color w:val="000000" w:themeColor="text1"/>
        </w:rPr>
        <w:t xml:space="preserve">% of the total harvest respectively. </w:t>
      </w:r>
      <w:r w:rsidR="00DC7F1B">
        <w:rPr>
          <w:color w:val="000000" w:themeColor="text1"/>
        </w:rPr>
        <w:t>More recently</w:t>
      </w:r>
      <w:r w:rsidR="00F44DEF" w:rsidRPr="00F44DEF">
        <w:rPr>
          <w:noProof/>
          <w:color w:val="000000" w:themeColor="text1"/>
        </w:rPr>
        <w:t xml:space="preserve"> Poulsen et al. </w:t>
      </w:r>
      <w:r w:rsidR="00F44DEF">
        <w:rPr>
          <w:color w:val="000000" w:themeColor="text1"/>
        </w:rPr>
        <w:fldChar w:fldCharType="begin" w:fldLock="1"/>
      </w:r>
      <w:r w:rsidR="00F44DEF">
        <w:rPr>
          <w:color w:val="000000" w:themeColor="text1"/>
        </w:rPr>
        <w:instrText>ADDIN CSL_CITATION {"citationItems":[{"id":"ITEM-1","itemData":{"DOI":"10.1111/j.1523-1739.2009.01251.x","ISBN":"0888-8892","ISSN":"08888892","PMID":"19459888","abstract":"Unsustainable hunting of wildlife for food empties tropical forests of many species critical to forest maintenance and livelihoods of forest people. Extractive industries, including logging, can accelerate exploitation of wildlife by opening forests to hunters and creating markets for bushmeat. We monitored human demographics, bushmeat supply in markets, and household bushmeat consumption in five logging towns in the northern Republic of Congo. Over 6 years we recorded 29,570 animals in town markets and collected 48,920 household meal records. Development of industrial logging operations led to a 69% increase in the population of logging towns and a 64% increase in bushmeat supply. The immigration of workers, jobseekers, and their families altered hunting patterns and was associated with increased use of wire snares and increased diversity in the species hunted and consumed. Immigrants hunted 72% of all bushmeat, which suggests the short-term benefits of hunting accrue disproportionately to “outsiders” to the detriment of indigenous peoples who have prior, legitimate claims to wildlife resources. Our results suggest that the greatest threat of logging to biodiversity may be the permanent urbanization of frontier forests. Although enforcement of hunting laws and promotion of alternative sources of protein may help curb the pressure on wildlife, the best strategy for biodiversity conservation may be to keep saw mills and the towns that develop around them out of forests.","author":[{"dropping-particle":"","family":"Poulsen","given":"J. R.","non-dropping-particle":"","parse-names":false,"suffix":""},{"dropping-particle":"","family":"Clark","given":"C. J.","non-dropping-particle":"","parse-names":false,"suffix":""},{"dropping-particle":"","family":"Mavah","given":"G.","non-dropping-particle":"","parse-names":false,"suffix":""},{"dropping-particle":"","family":"Elkan","given":"P. W.","non-dropping-particle":"","parse-names":false,"suffix":""}],"container-title":"Conservation Biology","id":"ITEM-1","issue":"6","issued":{"date-parts":[["2009"]]},"page":"1597-1608","title":"Bushmeat supply and consumption in a tropical logging concession in northern Congo","type":"article-journal","volume":"23"},"uris":["http://www.mendeley.com/documents/?uuid=9d5857ad-e96c-466e-8f8e-b437210855d4"]}],"mendeley":{"formattedCitation":"(Poulsen et al. 2009)","manualFormatting":"(2009)","plainTextFormattedCitation":"(Poulsen et al. 2009)","previouslyFormattedCitation":"(Poulsen et al. 2009)"},"properties":{"noteIndex":0},"schema":"https://github.com/citation-style-language/schema/raw/master/csl-citation.json"}</w:instrText>
      </w:r>
      <w:r w:rsidR="00F44DEF">
        <w:rPr>
          <w:color w:val="000000" w:themeColor="text1"/>
        </w:rPr>
        <w:fldChar w:fldCharType="separate"/>
      </w:r>
      <w:r w:rsidR="00F44DEF" w:rsidRPr="00F44DEF">
        <w:rPr>
          <w:noProof/>
          <w:color w:val="000000" w:themeColor="text1"/>
        </w:rPr>
        <w:t>(2009)</w:t>
      </w:r>
      <w:r w:rsidR="00F44DEF">
        <w:rPr>
          <w:color w:val="000000" w:themeColor="text1"/>
        </w:rPr>
        <w:fldChar w:fldCharType="end"/>
      </w:r>
      <w:r w:rsidRPr="003E3238">
        <w:rPr>
          <w:color w:val="000000" w:themeColor="text1"/>
        </w:rPr>
        <w:t xml:space="preserve"> found that</w:t>
      </w:r>
      <w:r w:rsidR="009844AF" w:rsidRPr="003E3238">
        <w:rPr>
          <w:color w:val="000000" w:themeColor="text1"/>
        </w:rPr>
        <w:t xml:space="preserve"> immigrant</w:t>
      </w:r>
      <w:r w:rsidR="0079265C" w:rsidRPr="003E3238">
        <w:rPr>
          <w:color w:val="000000" w:themeColor="text1"/>
        </w:rPr>
        <w:t xml:space="preserve"> worker</w:t>
      </w:r>
      <w:r w:rsidR="009844AF" w:rsidRPr="003E3238">
        <w:rPr>
          <w:color w:val="000000" w:themeColor="text1"/>
        </w:rPr>
        <w:t xml:space="preserve"> populations to the </w:t>
      </w:r>
      <w:r w:rsidR="004A7E0E" w:rsidRPr="004A7E0E">
        <w:rPr>
          <w:color w:val="000000" w:themeColor="text1"/>
        </w:rPr>
        <w:t>Congolaise industrielle des Bois</w:t>
      </w:r>
      <w:r w:rsidR="004A7E0E" w:rsidRPr="003E3238">
        <w:rPr>
          <w:color w:val="000000" w:themeColor="text1"/>
        </w:rPr>
        <w:t xml:space="preserve"> </w:t>
      </w:r>
      <w:r w:rsidR="004A7E0E">
        <w:rPr>
          <w:color w:val="000000" w:themeColor="text1"/>
        </w:rPr>
        <w:t>(</w:t>
      </w:r>
      <w:r w:rsidR="009844AF" w:rsidRPr="003E3238">
        <w:rPr>
          <w:color w:val="000000" w:themeColor="text1"/>
        </w:rPr>
        <w:t>CIB</w:t>
      </w:r>
      <w:r w:rsidR="004A7E0E">
        <w:rPr>
          <w:color w:val="000000" w:themeColor="text1"/>
        </w:rPr>
        <w:t>)</w:t>
      </w:r>
      <w:r w:rsidR="009844AF" w:rsidRPr="003E3238">
        <w:rPr>
          <w:color w:val="000000" w:themeColor="text1"/>
        </w:rPr>
        <w:t xml:space="preserve"> logging concessions</w:t>
      </w:r>
      <w:r w:rsidR="009844AF" w:rsidRPr="0070404D">
        <w:rPr>
          <w:color w:val="000000" w:themeColor="text1"/>
        </w:rPr>
        <w:t>, ROC, hunted 72% of the wild meat harvested in the surrounding area.</w:t>
      </w:r>
      <w:r w:rsidR="00F44DEF">
        <w:rPr>
          <w:color w:val="000000" w:themeColor="text1"/>
        </w:rPr>
        <w:t xml:space="preserve"> </w:t>
      </w:r>
      <w:r w:rsidR="00F44DEF" w:rsidRPr="00F44DEF">
        <w:rPr>
          <w:noProof/>
          <w:color w:val="000000" w:themeColor="text1"/>
        </w:rPr>
        <w:t>Madzou &amp; Ebanega</w:t>
      </w:r>
      <w:r w:rsidR="009844AF" w:rsidRPr="0070404D">
        <w:rPr>
          <w:color w:val="000000" w:themeColor="text1"/>
        </w:rPr>
        <w:t xml:space="preserve"> </w:t>
      </w:r>
      <w:r w:rsidR="00F44DEF">
        <w:rPr>
          <w:color w:val="000000" w:themeColor="text1"/>
        </w:rPr>
        <w:fldChar w:fldCharType="begin" w:fldLock="1"/>
      </w:r>
      <w:r w:rsidR="003867F0">
        <w:rPr>
          <w:color w:val="000000" w:themeColor="text1"/>
        </w:rPr>
        <w:instrText>ADDIN CSL_CITATION {"citationItems":[{"id":"ITEM-1","itemData":{"author":[{"dropping-particle":"","family":"Madzou","given":"Y C","non-dropping-particle":"","parse-names":false,"suffix":""},{"dropping-particle":"","family":"Ebanega","given":"M O","non-dropping-particle":"","parse-names":false,"suffix":""}],"container-title":"Nature &amp; Faune","id":"ITEM-1","issue":"1","issued":{"date-parts":[["2006"]]},"page":"18-33","title":"Wild game and its use in the tropical environment, Cameroon","type":"article-journal","volume":"21"},"uris":["http://www.mendeley.com/documents/?uuid=fe72f96e-4e61-4731-8445-f96feae896bb"]}],"mendeley":{"formattedCitation":"(Madzou &amp; Ebanega 2006)","manualFormatting":"(2006)","plainTextFormattedCitation":"(Madzou &amp; Ebanega 2006)","previouslyFormattedCitation":"(Madzou &amp; Ebanega 2006)"},"properties":{"noteIndex":0},"schema":"https://github.com/citation-style-language/schema/raw/master/csl-citation.json"}</w:instrText>
      </w:r>
      <w:r w:rsidR="00F44DEF">
        <w:rPr>
          <w:color w:val="000000" w:themeColor="text1"/>
        </w:rPr>
        <w:fldChar w:fldCharType="separate"/>
      </w:r>
      <w:r w:rsidR="00F44DEF" w:rsidRPr="00F44DEF">
        <w:rPr>
          <w:noProof/>
          <w:color w:val="000000" w:themeColor="text1"/>
        </w:rPr>
        <w:t>(2006)</w:t>
      </w:r>
      <w:r w:rsidR="00F44DEF">
        <w:rPr>
          <w:color w:val="000000" w:themeColor="text1"/>
        </w:rPr>
        <w:fldChar w:fldCharType="end"/>
      </w:r>
      <w:r w:rsidR="00F44DEF">
        <w:rPr>
          <w:color w:val="000000" w:themeColor="text1"/>
        </w:rPr>
        <w:t xml:space="preserve"> </w:t>
      </w:r>
      <w:r w:rsidR="009844AF" w:rsidRPr="0070404D">
        <w:rPr>
          <w:color w:val="000000" w:themeColor="text1"/>
        </w:rPr>
        <w:t>found that hunting to supply urban markets around the SIB</w:t>
      </w:r>
      <w:r w:rsidR="009844AF" w:rsidRPr="004904D8">
        <w:rPr>
          <w:color w:val="000000" w:themeColor="text1"/>
        </w:rPr>
        <w:t>AF concession, Cameroon, was coordinated by forestry employees, unemployed immigrants and local people returning to the village after failing to find employment in the city. While external commercial and village hunters had similar offtakes during the study period, rural village hunters in the area sold ~30% of their catch, which was mainly fresh. In comparison, commercial hunters sold 94% of their catch</w:t>
      </w:r>
      <w:r w:rsidR="0079265C" w:rsidRPr="004904D8">
        <w:rPr>
          <w:color w:val="000000" w:themeColor="text1"/>
        </w:rPr>
        <w:t xml:space="preserve"> to an organised network of </w:t>
      </w:r>
      <w:r w:rsidR="00A479D2" w:rsidRPr="004904D8">
        <w:rPr>
          <w:color w:val="000000" w:themeColor="text1"/>
        </w:rPr>
        <w:t>traders and</w:t>
      </w:r>
      <w:r w:rsidR="0079265C" w:rsidRPr="004904D8">
        <w:rPr>
          <w:color w:val="000000" w:themeColor="text1"/>
        </w:rPr>
        <w:t xml:space="preserve"> earned almost 19 times that of the village hunters.</w:t>
      </w:r>
    </w:p>
    <w:p w14:paraId="758286C5" w14:textId="1DF1056F" w:rsidR="00866CC0" w:rsidRPr="004904D8" w:rsidRDefault="00866CC0" w:rsidP="00DF57F3">
      <w:pPr>
        <w:pStyle w:val="Heading2"/>
      </w:pPr>
      <w:bookmarkStart w:id="98" w:name="_Toc517693747"/>
      <w:bookmarkStart w:id="99" w:name="_Toc519156092"/>
      <w:bookmarkStart w:id="100" w:name="_Toc529390348"/>
      <w:r w:rsidRPr="004904D8">
        <w:lastRenderedPageBreak/>
        <w:t xml:space="preserve">Human </w:t>
      </w:r>
      <w:r w:rsidR="00AA5EBD" w:rsidRPr="004904D8">
        <w:t xml:space="preserve">demographic and </w:t>
      </w:r>
      <w:r w:rsidRPr="004904D8">
        <w:t>economic change</w:t>
      </w:r>
      <w:bookmarkEnd w:id="98"/>
      <w:bookmarkEnd w:id="99"/>
      <w:bookmarkEnd w:id="100"/>
    </w:p>
    <w:p w14:paraId="574D3978" w14:textId="42925FB0" w:rsidR="00352684" w:rsidRPr="00785A38" w:rsidRDefault="00A05660" w:rsidP="001C1D6E">
      <w:pPr>
        <w:pStyle w:val="Heading3"/>
      </w:pPr>
      <w:bookmarkStart w:id="101" w:name="_Ref519603514"/>
      <w:r w:rsidRPr="00785A38">
        <w:t>Population</w:t>
      </w:r>
      <w:r w:rsidR="00352684" w:rsidRPr="00785A38">
        <w:t xml:space="preserve"> growth and urbanisation</w:t>
      </w:r>
      <w:bookmarkEnd w:id="101"/>
      <w:r w:rsidR="00352684" w:rsidRPr="00785A38">
        <w:t xml:space="preserve"> </w:t>
      </w:r>
    </w:p>
    <w:p w14:paraId="3D473AAB" w14:textId="0F5EFD69" w:rsidR="00E40BE4" w:rsidRDefault="00352684" w:rsidP="00C258BC">
      <w:pPr>
        <w:jc w:val="both"/>
      </w:pPr>
      <w:r w:rsidRPr="0070404D">
        <w:t>In most tropical and sub-tropical regions, h</w:t>
      </w:r>
      <w:r w:rsidRPr="004904D8">
        <w:t>uman population densities are already substantially higher than the estimated 2 people/km</w:t>
      </w:r>
      <w:r w:rsidRPr="005512D2">
        <w:rPr>
          <w:vertAlign w:val="superscript"/>
        </w:rPr>
        <w:t>2</w:t>
      </w:r>
      <w:r w:rsidRPr="005512D2">
        <w:t xml:space="preserve"> </w:t>
      </w:r>
      <w:r w:rsidR="00A05660" w:rsidRPr="003E3238">
        <w:t xml:space="preserve">that can be </w:t>
      </w:r>
      <w:r w:rsidR="008806AC" w:rsidRPr="003E3238">
        <w:t>sustainably</w:t>
      </w:r>
      <w:r w:rsidR="00A05660" w:rsidRPr="003E3238">
        <w:t xml:space="preserve"> supported by </w:t>
      </w:r>
      <w:r w:rsidR="00CB05F8" w:rsidRPr="003E3238">
        <w:t xml:space="preserve">the </w:t>
      </w:r>
      <w:r w:rsidR="008806AC">
        <w:t>wild meat</w:t>
      </w:r>
      <w:r w:rsidR="00EE2428">
        <w:t xml:space="preserve"> offtake</w:t>
      </w:r>
      <w:r w:rsidR="00EE2428" w:rsidRPr="003E3238">
        <w:t xml:space="preserve"> </w:t>
      </w:r>
      <w:r w:rsidR="00A05660" w:rsidRPr="003E3238">
        <w:t>(</w:t>
      </w:r>
      <w:r w:rsidR="00CB05F8" w:rsidRPr="00EE2428">
        <w:t xml:space="preserve">see Section </w:t>
      </w:r>
      <w:r w:rsidR="00CB05F8" w:rsidRPr="004904D8">
        <w:fldChar w:fldCharType="begin"/>
      </w:r>
      <w:r w:rsidR="00CB05F8" w:rsidRPr="0070404D">
        <w:instrText xml:space="preserve"> REF _Ref518911918 \r \h </w:instrText>
      </w:r>
      <w:r w:rsidR="00CB05F8" w:rsidRPr="004904D8">
        <w:fldChar w:fldCharType="separate"/>
      </w:r>
      <w:r w:rsidR="007034F1">
        <w:t>4.1</w:t>
      </w:r>
      <w:r w:rsidR="00CB05F8" w:rsidRPr="004904D8">
        <w:fldChar w:fldCharType="end"/>
      </w:r>
      <w:r w:rsidR="00A05660" w:rsidRPr="0070404D">
        <w:t>)</w:t>
      </w:r>
      <w:r w:rsidR="00715442">
        <w:t xml:space="preserve">. </w:t>
      </w:r>
      <w:r w:rsidR="00C87A1C" w:rsidRPr="003E3238">
        <w:t xml:space="preserve">Global population densities </w:t>
      </w:r>
      <w:r w:rsidR="00715442">
        <w:t xml:space="preserve">are </w:t>
      </w:r>
      <w:r w:rsidR="00C87A1C" w:rsidRPr="003E3238">
        <w:t xml:space="preserve">increasing, especially in </w:t>
      </w:r>
      <w:r w:rsidRPr="003E3238">
        <w:t>Africa</w:t>
      </w:r>
      <w:r w:rsidR="00C87A1C" w:rsidRPr="003E3238">
        <w:t>, which has the world’s highest rate of populati</w:t>
      </w:r>
      <w:r w:rsidR="00C87A1C" w:rsidRPr="00EE2428">
        <w:t xml:space="preserve">on growth, and </w:t>
      </w:r>
      <w:r w:rsidRPr="00EE2428">
        <w:t xml:space="preserve">is expected to account for more than half of the world’s population growth between 2017 and 2050 </w:t>
      </w:r>
      <w:r w:rsidR="003867F0">
        <w:fldChar w:fldCharType="begin" w:fldLock="1"/>
      </w:r>
      <w:r w:rsidR="00566AAF">
        <w:instrText>ADDIN CSL_CITATION {"citationItems":[{"id":"ITEM-1","itemData":{"author":[{"dropping-particle":"","family":"World Bank","given":"","non-dropping-particle":"","parse-names":false,"suffix":""}],"id":"ITEM-1","issued":{"date-parts":[["2017"]]},"title":"World Bank Data: Population density. https://data.worldbank.org/indicator/EN.POP.DNST","type":"webpage"},"uris":["http://www.mendeley.com/documents/?uuid=8d45b76a-18cb-46b9-95d5-d2104f0a2fa2"]}],"mendeley":{"formattedCitation":"(World Bank 2017)","plainTextFormattedCitation":"(World Bank 2017)","previouslyFormattedCitation":"(World Bank 2017)"},"properties":{"noteIndex":0},"schema":"https://github.com/citation-style-language/schema/raw/master/csl-citation.json"}</w:instrText>
      </w:r>
      <w:r w:rsidR="003867F0">
        <w:fldChar w:fldCharType="separate"/>
      </w:r>
      <w:r w:rsidR="003867F0" w:rsidRPr="003867F0">
        <w:rPr>
          <w:noProof/>
        </w:rPr>
        <w:t>(World Bank 2017)</w:t>
      </w:r>
      <w:r w:rsidR="003867F0">
        <w:fldChar w:fldCharType="end"/>
      </w:r>
      <w:r w:rsidRPr="004904D8">
        <w:t xml:space="preserve">. </w:t>
      </w:r>
    </w:p>
    <w:p w14:paraId="0C6B4FC1" w14:textId="155CF063" w:rsidR="000F2BF2" w:rsidRDefault="0046426E" w:rsidP="00C258BC">
      <w:pPr>
        <w:jc w:val="both"/>
        <w:rPr>
          <w:rFonts w:eastAsiaTheme="minorHAnsi"/>
          <w:lang w:eastAsia="en-GB"/>
        </w:rPr>
      </w:pPr>
      <w:r w:rsidRPr="004904D8">
        <w:rPr>
          <w:color w:val="000000" w:themeColor="text1"/>
        </w:rPr>
        <w:t xml:space="preserve">Population increase coupled with escalating </w:t>
      </w:r>
      <w:r w:rsidR="00C87A1C" w:rsidRPr="004904D8">
        <w:rPr>
          <w:color w:val="000000" w:themeColor="text1"/>
        </w:rPr>
        <w:t xml:space="preserve">rural to urban </w:t>
      </w:r>
      <w:r w:rsidR="00C87A1C" w:rsidRPr="005512D2">
        <w:rPr>
          <w:color w:val="000000" w:themeColor="text1"/>
        </w:rPr>
        <w:t>migration</w:t>
      </w:r>
      <w:r w:rsidR="00A05660" w:rsidRPr="005512D2">
        <w:rPr>
          <w:color w:val="000000" w:themeColor="text1"/>
        </w:rPr>
        <w:t xml:space="preserve"> </w:t>
      </w:r>
      <w:r w:rsidR="000724EC" w:rsidRPr="003E3238">
        <w:rPr>
          <w:color w:val="000000" w:themeColor="text1"/>
        </w:rPr>
        <w:t>mean</w:t>
      </w:r>
      <w:r w:rsidRPr="003E3238">
        <w:rPr>
          <w:color w:val="000000" w:themeColor="text1"/>
        </w:rPr>
        <w:t>s</w:t>
      </w:r>
      <w:r w:rsidR="000724EC" w:rsidRPr="003E3238">
        <w:rPr>
          <w:color w:val="000000" w:themeColor="text1"/>
        </w:rPr>
        <w:t xml:space="preserve"> that urban </w:t>
      </w:r>
      <w:r w:rsidRPr="0064175F">
        <w:rPr>
          <w:color w:val="000000" w:themeColor="text1"/>
        </w:rPr>
        <w:t xml:space="preserve">populations </w:t>
      </w:r>
      <w:r w:rsidR="00A05660" w:rsidRPr="0070404D">
        <w:rPr>
          <w:color w:val="000000" w:themeColor="text1"/>
        </w:rPr>
        <w:t>are</w:t>
      </w:r>
      <w:r w:rsidR="00352684" w:rsidRPr="0070404D">
        <w:rPr>
          <w:color w:val="000000" w:themeColor="text1"/>
        </w:rPr>
        <w:t xml:space="preserve"> </w:t>
      </w:r>
      <w:r w:rsidR="00A05660" w:rsidRPr="0070404D">
        <w:rPr>
          <w:color w:val="000000" w:themeColor="text1"/>
        </w:rPr>
        <w:t>growing</w:t>
      </w:r>
      <w:r w:rsidR="00C87A1C" w:rsidRPr="0070404D">
        <w:rPr>
          <w:color w:val="000000" w:themeColor="text1"/>
        </w:rPr>
        <w:t xml:space="preserve"> dramatically; and with them the urban demand for wild meat</w:t>
      </w:r>
      <w:r w:rsidR="00352684" w:rsidRPr="0070404D">
        <w:rPr>
          <w:color w:val="000000" w:themeColor="text1"/>
        </w:rPr>
        <w:t xml:space="preserve">. Fifty four percent of the world’s people lived in urban areas in 2016, a rise from 34% in 1960 </w:t>
      </w:r>
      <w:r w:rsidR="003867F0">
        <w:rPr>
          <w:color w:val="000000" w:themeColor="text1"/>
        </w:rPr>
        <w:fldChar w:fldCharType="begin" w:fldLock="1"/>
      </w:r>
      <w:r w:rsidR="00566AAF">
        <w:rPr>
          <w:color w:val="000000" w:themeColor="text1"/>
        </w:rPr>
        <w:instrText>ADDIN CSL_CITATION {"citationItems":[{"id":"ITEM-1","itemData":{"author":[{"dropping-particle":"","family":"World Bank","given":"","non-dropping-particle":"","parse-names":false,"suffix":""}],"id":"ITEM-1","issued":{"date-parts":[["2017"]]},"title":"World Bank Data: Population density. https://data.worldbank.org/indicator/EN.POP.DNST","type":"webpage"},"uris":["http://www.mendeley.com/documents/?uuid=8d45b76a-18cb-46b9-95d5-d2104f0a2fa2"]}],"mendeley":{"formattedCitation":"(World Bank 2017)","plainTextFormattedCitation":"(World Bank 2017)","previouslyFormattedCitation":"(World Bank 2017)"},"properties":{"noteIndex":0},"schema":"https://github.com/citation-style-language/schema/raw/master/csl-citation.json"}</w:instrText>
      </w:r>
      <w:r w:rsidR="003867F0">
        <w:rPr>
          <w:color w:val="000000" w:themeColor="text1"/>
        </w:rPr>
        <w:fldChar w:fldCharType="separate"/>
      </w:r>
      <w:r w:rsidR="003867F0" w:rsidRPr="003867F0">
        <w:rPr>
          <w:noProof/>
          <w:color w:val="000000" w:themeColor="text1"/>
        </w:rPr>
        <w:t>(World Bank 2017)</w:t>
      </w:r>
      <w:r w:rsidR="003867F0">
        <w:rPr>
          <w:color w:val="000000" w:themeColor="text1"/>
        </w:rPr>
        <w:fldChar w:fldCharType="end"/>
      </w:r>
      <w:r w:rsidR="00352684" w:rsidRPr="0070404D">
        <w:rPr>
          <w:color w:val="000000" w:themeColor="text1"/>
        </w:rPr>
        <w:t>.</w:t>
      </w:r>
      <w:r w:rsidR="00AC1710">
        <w:rPr>
          <w:color w:val="000000" w:themeColor="text1"/>
        </w:rPr>
        <w:t xml:space="preserve"> </w:t>
      </w:r>
      <w:r w:rsidR="00AC1710">
        <w:rPr>
          <w:rFonts w:eastAsiaTheme="minorHAnsi"/>
          <w:lang w:eastAsia="en-GB"/>
        </w:rPr>
        <w:t xml:space="preserve">An estimated 83% of the population of South America lived in urban areas in 2014 </w:t>
      </w:r>
      <w:r w:rsidR="00AC1710">
        <w:rPr>
          <w:rFonts w:eastAsiaTheme="minorHAnsi"/>
          <w:lang w:eastAsia="en-GB"/>
        </w:rPr>
        <w:fldChar w:fldCharType="begin" w:fldLock="1"/>
      </w:r>
      <w:r w:rsidR="00B2630D">
        <w:rPr>
          <w:rFonts w:eastAsiaTheme="minorHAnsi"/>
          <w:lang w:eastAsia="en-GB"/>
        </w:rPr>
        <w:instrText>ADDIN CSL_CITATION {"citationItems":[{"id":"ITEM-1","itemData":{"DOI":"10.2991/978-94-91216-05-3_14","abstract":"This article examines the makings of post-traditional environments through processes of urban ethnogenesis among the Ese Eja, an indigenous Amazonian group living in the border areas of Peru and Bolivia. We argue that the use of “tradition” as social currency by the envi- ronmental service sector, particularly by a thriving international ecotourism industry, has exac- erbated processes of urbanization, dislocation, and social and ecological alienation of indigenous peoples. We examine how an Ese Eja “past” is selectively reinvented through dis- course and appropriated by “participatory” projects and development. This unearthing and reburial of history is then used to “authenticate” the present and its environmental agenda in a postglobal world of environmental moral righteousness","author":[{"dropping-particle":"","family":"Peluso","given":"Daniela M","non-dropping-particle":"","parse-names":false,"suffix":""},{"dropping-particle":"","family":"Alexiades","given":"Miguel N","non-dropping-particle":"","parse-names":false,"suffix":""}],"container-title":"Traditional Dwellings and Settlements Review","id":"ITEM-1","issue":"2","issued":{"date-parts":[["2005"]]},"page":"1-10","title":"Urban ethnogenesis begins at home: the making of self and place amidst Amazonia’s environmental economy","type":"article-journal","volume":"16"},"uris":["http://www.mendeley.com/documents/?uuid=c10be5b5-4be4-4bff-98e7-8b3341032362"]},{"id":"ITEM-2","itemData":{"DOI":"10.1111/j.2008.0908-8857.04271.x","author":[{"dropping-particle":"","family":"Padoch","given":"C","non-dropping-particle":"","parse-names":false,"suffix":""},{"dropping-particle":"","family":"Brondizio","given":"E","non-dropping-particle":"","parse-names":false,"suffix":""},{"dropping-particle":"","family":"Costa","given":"S","non-dropping-particle":"","parse-names":false,"suffix":""},{"dropping-particle":"","family":"Pinedo-Vasquez","given":"M","non-dropping-particle":"","parse-names":false,"suffix":""},{"dropping-particle":"","family":"Sears","given":"R R","non-dropping-particle":"","parse-names":false,"suffix":""},{"dropping-particle":"","family":"Siqueira","given":"A","non-dropping-particle":"","parse-names":false,"suffix":""}],"container-title":"Ecology and Society","id":"ITEM-2","issue":"2","issued":{"date-parts":[["2008"]]},"page":"2","title":"Urban forest and rural cities: multi-sited households, consumption patterns, and forest resources in Amazonia","type":"article-journal","volume":"13"},"uris":["http://www.mendeley.com/documents/?uuid=bdd143a1-5872-4d28-98f1-e29c9241a3c4"]},{"id":"ITEM-3","itemData":{"author":[{"dropping-particle":"","family":"UNDESA","given":"","non-dropping-particle":"","parse-names":false,"suffix":""}],"id":"ITEM-3","issued":{"date-parts":[["2014"]]},"publisher-place":"UNDESA (United Nations, Department of Economic and Social Affairs)","title":"World urbanization prospects: The 2014 revision","type":"report"},"uris":["http://www.mendeley.com/documents/?uuid=74916401-bfa7-4a38-b1d6-d0b4fa86e4af"]}],"mendeley":{"formattedCitation":"(Peluso &amp; Alexiades 2005; Padoch et al. 2008; UNDESA 2014)","plainTextFormattedCitation":"(Peluso &amp; Alexiades 2005; Padoch et al. 2008; UNDESA 2014)","previouslyFormattedCitation":"(Peluso &amp; Alexiades 2005; Padoch et al. 2008; UNDESA 2014)"},"properties":{"noteIndex":0},"schema":"https://github.com/citation-style-language/schema/raw/master/csl-citation.json"}</w:instrText>
      </w:r>
      <w:r w:rsidR="00AC1710">
        <w:rPr>
          <w:rFonts w:eastAsiaTheme="minorHAnsi"/>
          <w:lang w:eastAsia="en-GB"/>
        </w:rPr>
        <w:fldChar w:fldCharType="separate"/>
      </w:r>
      <w:r w:rsidR="00AC1710" w:rsidRPr="00AC1710">
        <w:rPr>
          <w:rFonts w:eastAsiaTheme="minorHAnsi"/>
          <w:noProof/>
          <w:lang w:eastAsia="en-GB"/>
        </w:rPr>
        <w:t>(Peluso &amp; Alexiades 2005; Padoch et al. 2008; UNDESA 2014)</w:t>
      </w:r>
      <w:r w:rsidR="00AC1710">
        <w:rPr>
          <w:rFonts w:eastAsiaTheme="minorHAnsi"/>
          <w:lang w:eastAsia="en-GB"/>
        </w:rPr>
        <w:fldChar w:fldCharType="end"/>
      </w:r>
      <w:r w:rsidR="00AC1710">
        <w:rPr>
          <w:rFonts w:eastAsiaTheme="minorHAnsi"/>
          <w:lang w:eastAsia="en-GB"/>
        </w:rPr>
        <w:t xml:space="preserve">. In comparison urban populations of South East Asia and Africa </w:t>
      </w:r>
      <w:r w:rsidR="005006CF">
        <w:rPr>
          <w:rFonts w:eastAsiaTheme="minorHAnsi"/>
          <w:lang w:eastAsia="en-GB"/>
        </w:rPr>
        <w:t>represent</w:t>
      </w:r>
      <w:r w:rsidR="00AC1710">
        <w:rPr>
          <w:rFonts w:eastAsiaTheme="minorHAnsi"/>
          <w:lang w:eastAsia="en-GB"/>
        </w:rPr>
        <w:t xml:space="preserve"> 46% and 40% of their total populations, respectively </w:t>
      </w:r>
      <w:r w:rsidR="005006CF">
        <w:rPr>
          <w:rFonts w:eastAsiaTheme="minorHAnsi"/>
          <w:lang w:eastAsia="en-GB"/>
        </w:rPr>
        <w:fldChar w:fldCharType="begin" w:fldLock="1"/>
      </w:r>
      <w:r w:rsidR="005006CF">
        <w:rPr>
          <w:rFonts w:eastAsiaTheme="minorHAnsi"/>
          <w:lang w:eastAsia="en-GB"/>
        </w:rPr>
        <w:instrText>ADDIN CSL_CITATION {"citationItems":[{"id":"ITEM-1","itemData":{"author":[{"dropping-particle":"","family":"UNDESA","given":"","non-dropping-particle":"","parse-names":false,"suffix":""}],"id":"ITEM-1","issued":{"date-parts":[["2014"]]},"publisher-place":"UNDESA (United Nations, Department of Economic and Social Affairs)","title":"World urbanization prospects: The 2014 revision","type":"report"},"uris":["http://www.mendeley.com/documents/?uuid=74916401-bfa7-4a38-b1d6-d0b4fa86e4af"]}],"mendeley":{"formattedCitation":"(UNDESA 2014)","plainTextFormattedCitation":"(UNDESA 2014)","previouslyFormattedCitation":"(UNDESA 2014)"},"properties":{"noteIndex":0},"schema":"https://github.com/citation-style-language/schema/raw/master/csl-citation.json"}</w:instrText>
      </w:r>
      <w:r w:rsidR="005006CF">
        <w:rPr>
          <w:rFonts w:eastAsiaTheme="minorHAnsi"/>
          <w:lang w:eastAsia="en-GB"/>
        </w:rPr>
        <w:fldChar w:fldCharType="separate"/>
      </w:r>
      <w:r w:rsidR="005006CF" w:rsidRPr="005006CF">
        <w:rPr>
          <w:rFonts w:eastAsiaTheme="minorHAnsi"/>
          <w:noProof/>
          <w:lang w:eastAsia="en-GB"/>
        </w:rPr>
        <w:t>(UNDESA 2014)</w:t>
      </w:r>
      <w:r w:rsidR="005006CF">
        <w:rPr>
          <w:rFonts w:eastAsiaTheme="minorHAnsi"/>
          <w:lang w:eastAsia="en-GB"/>
        </w:rPr>
        <w:fldChar w:fldCharType="end"/>
      </w:r>
      <w:r w:rsidR="00AC1710">
        <w:rPr>
          <w:rFonts w:eastAsiaTheme="minorHAnsi"/>
          <w:noProof/>
          <w:lang w:eastAsia="en-GB"/>
        </w:rPr>
        <w:t>.</w:t>
      </w:r>
      <w:r w:rsidR="00AC1710">
        <w:rPr>
          <w:rFonts w:eastAsiaTheme="minorHAnsi"/>
          <w:lang w:eastAsia="en-GB"/>
        </w:rPr>
        <w:t xml:space="preserve"> </w:t>
      </w:r>
      <w:r w:rsidR="00E86047">
        <w:rPr>
          <w:color w:val="000000" w:themeColor="text1"/>
        </w:rPr>
        <w:t xml:space="preserve">However, </w:t>
      </w:r>
      <w:r w:rsidR="00352684" w:rsidRPr="004904D8">
        <w:rPr>
          <w:color w:val="000000" w:themeColor="text1"/>
        </w:rPr>
        <w:t xml:space="preserve">Africa and Asia </w:t>
      </w:r>
      <w:r w:rsidR="00E86047">
        <w:rPr>
          <w:color w:val="000000" w:themeColor="text1"/>
        </w:rPr>
        <w:t xml:space="preserve">are </w:t>
      </w:r>
      <w:r w:rsidR="00352684" w:rsidRPr="004904D8">
        <w:rPr>
          <w:color w:val="000000" w:themeColor="text1"/>
        </w:rPr>
        <w:t>urbanising more rapidly than anywhere else across the globe</w:t>
      </w:r>
      <w:r w:rsidR="00352684" w:rsidRPr="005512D2">
        <w:rPr>
          <w:color w:val="000000" w:themeColor="text1"/>
        </w:rPr>
        <w:t xml:space="preserve"> </w:t>
      </w:r>
      <w:r w:rsidR="002D2BCA">
        <w:rPr>
          <w:color w:val="000000" w:themeColor="text1"/>
        </w:rPr>
        <w:fldChar w:fldCharType="begin" w:fldLock="1"/>
      </w:r>
      <w:r w:rsidR="002D2BCA">
        <w:rPr>
          <w:color w:val="000000" w:themeColor="text1"/>
        </w:rPr>
        <w:instrText>ADDIN CSL_CITATION {"citationItems":[{"id":"ITEM-1","itemData":{"DOI":"10.1016/j.foodres.2015.03.025","ISBN":"0963-9969","ISSN":"09639969","abstract":"Wild meat or 'bushmeat' has long served as a principal source of protein and a key contributor to the food security of millions of people across the developing world, most notably in Africa, Latin America and Asia. More recently, however, growing human populations, technological elaborations and the emergence of a booming commercial bushmeat trade have culminated in unprecedented harvest rates and the consequent decline of numerous wildlife populations. Most research efforts aimed at tackling this problem to date have been rooted in the biological disciplines, focused on quantifying the trade and measuring its level of destruction on wildlife and ecosystems. Comparatively little effort, on the other hand, has been expended on illuminating the role of bushmeat in human livelihoods and in providing alternative sources of food and income, as well as the infrastructure to make these feasible. This paper aims to shift the focus to the human dimension, emphasising the true contributions of bushmeat to food security, nutrition and well-being, while balancing this perspective by considering the far-reaching impacts of overexploitation. What emerges from this synthesis is that bushmeat management will ultimately depend on understanding and working with people, with any approaches focused too narrowly on biodiversity preservation running the risk of failure in the long term. If wildlife is to survive and be utilised in the future, there is undoubtedly a need to relax adherence to unswerving biocentric or anthropocentric convictions, to appreciate the necessity for certain trade-offs and to develop integrated and flexible approaches that reconcile the requirements of both the animals and the people.","author":[{"dropping-particle":"","family":"Cawthorn","given":"Donna-Mareè","non-dropping-particle":"","parse-names":false,"suffix":""},{"dropping-particle":"","family":"Hoffman","given":"Louwrens C.","non-dropping-particle":"","parse-names":false,"suffix":""}],"container-title":"Food Research International","id":"ITEM-1","issued":{"date-parts":[["2015"]]},"page":"906-925","publisher":"Elsevier Ltd","title":"The bushmeat and food security nexus: a global account of the contributions, conundrums and ethical collisions","type":"article-journal","volume":"76"},"uris":["http://www.mendeley.com/documents/?uuid=c61d12b7-b7bb-44d8-854e-7bf9e14efad2"]},{"id":"ITEM-2","itemData":{"author":[{"dropping-particle":"","family":"Elmqvist","given":"T.","non-dropping-particle":"","parse-names":false,"suffix":""},{"dropping-particle":"","family":"Zipperer","given":"W.","non-dropping-particle":"","parse-names":false,"suffix":""},{"dropping-particle":"","family":"Güneralp","given":"B.","non-dropping-particle":"","parse-names":false,"suffix":""}],"container-title":"The Routledge Handbook of Urbanization and Global Environmental Change","editor":[{"dropping-particle":"","family":"Seto","given":"K.C.","non-dropping-particle":"","parse-names":false,"suffix":""},{"dropping-particle":"","family":"Solecki","given":"W.D.","non-dropping-particle":"","parse-names":false,"suffix":""},{"dropping-particle":"","family":"Griffith","given":"C.A.","non-dropping-particle":"","parse-names":false,"suffix":""}],"id":"ITEM-2","issued":{"date-parts":[["2016"]]},"page":"139 - 151","publisher":"Routledge","publisher-place":"Oxford, UK.","title":"Urbanization, habitat loss, biodiversity decline: Solution pathways to break the cycle","type":"chapter"},"uris":["http://www.mendeley.com/documents/?uuid=3de914b2-5132-42be-969c-2400c19690fb"]},{"id":"ITEM-3","itemData":{"author":[{"dropping-particle":"","family":"Secretariat of the Convention on Biological Diversity","given":"","non-dropping-particle":"","parse-names":false,"suffix":""}],"id":"ITEM-3","issued":{"date-parts":[["2017"]]},"number-of-pages":"64","publisher-place":"Montreal, Camada","title":"Cities and Biodversity Outlook. Action and Policy","type":"report"},"uris":["http://www.mendeley.com/documents/?uuid=8e98178d-8c8f-4bf6-8c3e-0eda270a1ad3"]}],"mendeley":{"formattedCitation":"(Cawthorn &amp; Hoffman 2015; Elmqvist et al. 2016; Secretariat of the Convention on Biological Diversity 2017)","plainTextFormattedCitation":"(Cawthorn &amp; Hoffman 2015; Elmqvist et al. 2016; Secretariat of the Convention on Biological Diversity 2017)","previouslyFormattedCitation":"(Cawthorn &amp; Hoffman 2015; Elmqvist et al. 2016; Secretariat of the Convention on Biological Diversity 2017)"},"properties":{"noteIndex":0},"schema":"https://github.com/citation-style-language/schema/raw/master/csl-citation.json"}</w:instrText>
      </w:r>
      <w:r w:rsidR="002D2BCA">
        <w:rPr>
          <w:color w:val="000000" w:themeColor="text1"/>
        </w:rPr>
        <w:fldChar w:fldCharType="separate"/>
      </w:r>
      <w:r w:rsidR="002D2BCA" w:rsidRPr="002D2BCA">
        <w:rPr>
          <w:noProof/>
          <w:color w:val="000000" w:themeColor="text1"/>
        </w:rPr>
        <w:t>(Cawthorn &amp; Hoffman 2015; Elmqvist et al. 2016; Secretariat of the Convention on Biological Diversity 2017)</w:t>
      </w:r>
      <w:r w:rsidR="002D2BCA">
        <w:rPr>
          <w:color w:val="000000" w:themeColor="text1"/>
        </w:rPr>
        <w:fldChar w:fldCharType="end"/>
      </w:r>
      <w:r w:rsidR="0074431F" w:rsidRPr="00E10EE1">
        <w:rPr>
          <w:color w:val="000000" w:themeColor="text1"/>
        </w:rPr>
        <w:t xml:space="preserve"> </w:t>
      </w:r>
      <w:r w:rsidR="002D2BCA">
        <w:rPr>
          <w:color w:val="000000" w:themeColor="text1"/>
        </w:rPr>
        <w:t>(</w:t>
      </w:r>
      <w:r w:rsidR="00DC7F1B" w:rsidRPr="00E10EE1">
        <w:rPr>
          <w:color w:val="000000" w:themeColor="text1"/>
        </w:rPr>
        <w:fldChar w:fldCharType="begin"/>
      </w:r>
      <w:r w:rsidR="00DC7F1B" w:rsidRPr="00E10EE1">
        <w:rPr>
          <w:color w:val="000000" w:themeColor="text1"/>
        </w:rPr>
        <w:instrText xml:space="preserve"> REF _Ref519761680 \h </w:instrText>
      </w:r>
      <w:r w:rsidR="00DC7F1B" w:rsidRPr="00E10EE1">
        <w:rPr>
          <w:color w:val="000000" w:themeColor="text1"/>
        </w:rPr>
      </w:r>
      <w:r w:rsidR="00DC7F1B" w:rsidRPr="00E10EE1">
        <w:rPr>
          <w:color w:val="000000" w:themeColor="text1"/>
        </w:rPr>
        <w:fldChar w:fldCharType="separate"/>
      </w:r>
      <w:r w:rsidR="007034F1">
        <w:t xml:space="preserve">Figure </w:t>
      </w:r>
      <w:r w:rsidR="007034F1">
        <w:rPr>
          <w:noProof/>
        </w:rPr>
        <w:t>5</w:t>
      </w:r>
      <w:r w:rsidR="00DC7F1B" w:rsidRPr="00E10EE1">
        <w:rPr>
          <w:color w:val="000000" w:themeColor="text1"/>
        </w:rPr>
        <w:fldChar w:fldCharType="end"/>
      </w:r>
      <w:r w:rsidR="00352684" w:rsidRPr="00E10EE1">
        <w:rPr>
          <w:color w:val="000000" w:themeColor="text1"/>
        </w:rPr>
        <w:t xml:space="preserve">). </w:t>
      </w:r>
      <w:r w:rsidR="00436408" w:rsidRPr="00E10EE1">
        <w:rPr>
          <w:color w:val="000000" w:themeColor="text1"/>
        </w:rPr>
        <w:t>Th</w:t>
      </w:r>
      <w:r w:rsidR="00436408">
        <w:rPr>
          <w:color w:val="000000" w:themeColor="text1"/>
        </w:rPr>
        <w:t>e</w:t>
      </w:r>
      <w:r w:rsidR="00352684" w:rsidRPr="005512D2">
        <w:rPr>
          <w:color w:val="000000" w:themeColor="text1"/>
        </w:rPr>
        <w:t xml:space="preserve"> population of S</w:t>
      </w:r>
      <w:r w:rsidR="00E86047">
        <w:rPr>
          <w:color w:val="000000" w:themeColor="text1"/>
        </w:rPr>
        <w:t xml:space="preserve">outh </w:t>
      </w:r>
      <w:r w:rsidR="00352684" w:rsidRPr="005512D2">
        <w:rPr>
          <w:color w:val="000000" w:themeColor="text1"/>
        </w:rPr>
        <w:t>E</w:t>
      </w:r>
      <w:r w:rsidR="00E86047">
        <w:rPr>
          <w:color w:val="000000" w:themeColor="text1"/>
        </w:rPr>
        <w:t>ast</w:t>
      </w:r>
      <w:r w:rsidR="00352684" w:rsidRPr="005512D2">
        <w:rPr>
          <w:color w:val="000000" w:themeColor="text1"/>
        </w:rPr>
        <w:t xml:space="preserve"> Asian cities doubled from 760 million </w:t>
      </w:r>
      <w:r w:rsidR="00AC1710">
        <w:rPr>
          <w:color w:val="000000" w:themeColor="text1"/>
        </w:rPr>
        <w:t xml:space="preserve">in 1985 to 1.6 billion in 2010 </w:t>
      </w:r>
      <w:r w:rsidR="002D2BCA">
        <w:rPr>
          <w:color w:val="000000" w:themeColor="text1"/>
        </w:rPr>
        <w:fldChar w:fldCharType="begin" w:fldLock="1"/>
      </w:r>
      <w:r w:rsidR="002D2BCA">
        <w:rPr>
          <w:color w:val="000000" w:themeColor="text1"/>
        </w:rPr>
        <w:instrText>ADDIN CSL_CITATION {"citationItems":[{"id":"ITEM-1","itemData":{"author":[{"dropping-particle":"","family":"Ismail","given":"R.","non-dropping-particle":"","parse-names":false,"suffix":""}],"container-title":"Environmental Policy and Law","id":"ITEM-1","issue":"55","issued":{"date-parts":[["2014"]]},"title":"Southeast Asian urbanisation and the challenge to sustainability: implications for the environment and health","type":"article-journal","volume":"44"},"uris":["http://www.mendeley.com/documents/?uuid=aab8e584-8b33-41a8-a0d7-ef005037474c"]}],"mendeley":{"formattedCitation":"(Ismail 2014)","plainTextFormattedCitation":"(Ismail 2014)","previouslyFormattedCitation":"(Ismail 2014)"},"properties":{"noteIndex":0},"schema":"https://github.com/citation-style-language/schema/raw/master/csl-citation.json"}</w:instrText>
      </w:r>
      <w:r w:rsidR="002D2BCA">
        <w:rPr>
          <w:color w:val="000000" w:themeColor="text1"/>
        </w:rPr>
        <w:fldChar w:fldCharType="separate"/>
      </w:r>
      <w:r w:rsidR="002D2BCA" w:rsidRPr="002D2BCA">
        <w:rPr>
          <w:noProof/>
          <w:color w:val="000000" w:themeColor="text1"/>
        </w:rPr>
        <w:t>(Ismail 2014)</w:t>
      </w:r>
      <w:r w:rsidR="002D2BCA">
        <w:rPr>
          <w:color w:val="000000" w:themeColor="text1"/>
        </w:rPr>
        <w:fldChar w:fldCharType="end"/>
      </w:r>
      <w:r w:rsidR="00AC1710">
        <w:rPr>
          <w:color w:val="000000" w:themeColor="text1"/>
        </w:rPr>
        <w:t xml:space="preserve">. </w:t>
      </w:r>
    </w:p>
    <w:p w14:paraId="554E26CD" w14:textId="77777777" w:rsidR="000C5673" w:rsidRPr="00444AF5" w:rsidRDefault="000C5673" w:rsidP="00C258BC">
      <w:pPr>
        <w:jc w:val="both"/>
        <w:rPr>
          <w:rFonts w:eastAsiaTheme="minorHAnsi"/>
          <w:color w:val="000000" w:themeColor="text1"/>
          <w:lang w:eastAsia="en-GB"/>
        </w:rPr>
      </w:pPr>
    </w:p>
    <w:p w14:paraId="1A499B9D" w14:textId="323371D9" w:rsidR="000C5673" w:rsidRPr="00444AF5" w:rsidRDefault="000C5673" w:rsidP="000C5673">
      <w:pPr>
        <w:jc w:val="center"/>
        <w:rPr>
          <w:b/>
          <w:color w:val="000000" w:themeColor="text1"/>
        </w:rPr>
      </w:pPr>
      <w:r w:rsidRPr="00444AF5">
        <w:rPr>
          <w:b/>
          <w:color w:val="000000" w:themeColor="text1"/>
        </w:rPr>
        <w:t>FIGURE 5 AROUND HERE</w:t>
      </w:r>
    </w:p>
    <w:p w14:paraId="14E39E0C" w14:textId="77777777" w:rsidR="000C5673" w:rsidRDefault="000C5673" w:rsidP="00C258BC">
      <w:pPr>
        <w:jc w:val="both"/>
        <w:rPr>
          <w:color w:val="000000" w:themeColor="text1"/>
        </w:rPr>
      </w:pPr>
    </w:p>
    <w:p w14:paraId="15948F24" w14:textId="0FF302D3" w:rsidR="00797821" w:rsidRPr="009B72BE" w:rsidRDefault="00797821" w:rsidP="009B72BE">
      <w:pPr>
        <w:spacing w:after="0"/>
        <w:jc w:val="both"/>
        <w:rPr>
          <w:color w:val="000000" w:themeColor="text1"/>
        </w:rPr>
      </w:pPr>
      <w:r>
        <w:rPr>
          <w:color w:val="000000" w:themeColor="text1"/>
        </w:rPr>
        <w:t>Urban growth is set to continue, and by</w:t>
      </w:r>
      <w:r w:rsidRPr="00797821">
        <w:rPr>
          <w:color w:val="000000" w:themeColor="text1"/>
        </w:rPr>
        <w:t xml:space="preserve"> 2030 the total urban area is expected </w:t>
      </w:r>
      <w:r>
        <w:rPr>
          <w:color w:val="000000" w:themeColor="text1"/>
        </w:rPr>
        <w:t>be three times greater than in 2000</w:t>
      </w:r>
      <w:r w:rsidRPr="00797821">
        <w:rPr>
          <w:color w:val="000000" w:themeColor="text1"/>
        </w:rPr>
        <w:t xml:space="preserve">, while urban populations are expected to nearly double, increasing from 2.84 to 4.9 billion </w:t>
      </w:r>
      <w:r w:rsidR="002D2BCA">
        <w:rPr>
          <w:color w:val="000000" w:themeColor="text1"/>
        </w:rPr>
        <w:fldChar w:fldCharType="begin" w:fldLock="1"/>
      </w:r>
      <w:r w:rsidR="002D2BCA">
        <w:rPr>
          <w:color w:val="000000" w:themeColor="text1"/>
        </w:rPr>
        <w:instrText>ADDIN CSL_CITATION {"citationItems":[{"id":"ITEM-1","itemData":{"author":[{"dropping-particle":"","family":"Secretariat of the Convention on Biological Diversity","given":"","non-dropping-particle":"","parse-names":false,"suffix":""}],"id":"ITEM-1","issued":{"date-parts":[["2017"]]},"number-of-pages":"64","publisher-place":"Montreal, Camada","title":"Cities and Biodversity Outlook. Action and Policy","type":"report"},"uris":["http://www.mendeley.com/documents/?uuid=8e98178d-8c8f-4bf6-8c3e-0eda270a1ad3"]}],"mendeley":{"formattedCitation":"(Secretariat of the Convention on Biological Diversity 2017)","plainTextFormattedCitation":"(Secretariat of the Convention on Biological Diversity 2017)","previouslyFormattedCitation":"(Secretariat of the Convention on Biological Diversity 2017)"},"properties":{"noteIndex":0},"schema":"https://github.com/citation-style-language/schema/raw/master/csl-citation.json"}</w:instrText>
      </w:r>
      <w:r w:rsidR="002D2BCA">
        <w:rPr>
          <w:color w:val="000000" w:themeColor="text1"/>
        </w:rPr>
        <w:fldChar w:fldCharType="separate"/>
      </w:r>
      <w:r w:rsidR="002D2BCA" w:rsidRPr="002D2BCA">
        <w:rPr>
          <w:noProof/>
          <w:color w:val="000000" w:themeColor="text1"/>
        </w:rPr>
        <w:t>(Secretariat of the Convention on Biological Diversity 2017)</w:t>
      </w:r>
      <w:r w:rsidR="002D2BCA">
        <w:rPr>
          <w:color w:val="000000" w:themeColor="text1"/>
        </w:rPr>
        <w:fldChar w:fldCharType="end"/>
      </w:r>
      <w:r>
        <w:rPr>
          <w:color w:val="000000" w:themeColor="text1"/>
        </w:rPr>
        <w:t xml:space="preserve">, and representing 70% of the </w:t>
      </w:r>
      <w:r w:rsidR="00A479D2">
        <w:rPr>
          <w:color w:val="000000" w:themeColor="text1"/>
        </w:rPr>
        <w:t>world’s</w:t>
      </w:r>
      <w:r>
        <w:rPr>
          <w:color w:val="000000" w:themeColor="text1"/>
        </w:rPr>
        <w:t xml:space="preserve"> population</w:t>
      </w:r>
      <w:r w:rsidRPr="00797821">
        <w:rPr>
          <w:color w:val="000000" w:themeColor="text1"/>
        </w:rPr>
        <w:t>.</w:t>
      </w:r>
      <w:r w:rsidR="009B72BE">
        <w:rPr>
          <w:color w:val="000000" w:themeColor="text1"/>
        </w:rPr>
        <w:t xml:space="preserve"> </w:t>
      </w:r>
      <w:r>
        <w:rPr>
          <w:color w:val="000000" w:themeColor="text1"/>
        </w:rPr>
        <w:t>Ninety percent</w:t>
      </w:r>
      <w:r w:rsidR="00352684" w:rsidRPr="004904D8">
        <w:rPr>
          <w:color w:val="000000" w:themeColor="text1"/>
        </w:rPr>
        <w:t xml:space="preserve"> of this</w:t>
      </w:r>
      <w:r>
        <w:rPr>
          <w:color w:val="000000" w:themeColor="text1"/>
        </w:rPr>
        <w:t xml:space="preserve"> population</w:t>
      </w:r>
      <w:r w:rsidR="00352684" w:rsidRPr="004904D8">
        <w:rPr>
          <w:color w:val="000000" w:themeColor="text1"/>
        </w:rPr>
        <w:t xml:space="preserve"> increase is set to take place in African and Asian urban regions </w:t>
      </w:r>
      <w:r w:rsidR="002D2BCA">
        <w:rPr>
          <w:color w:val="000000" w:themeColor="text1"/>
        </w:rPr>
        <w:fldChar w:fldCharType="begin" w:fldLock="1"/>
      </w:r>
      <w:r w:rsidR="002D2BCA">
        <w:rPr>
          <w:color w:val="000000" w:themeColor="text1"/>
        </w:rPr>
        <w:instrText>ADDIN CSL_CITATION {"citationItems":[{"id":"ITEM-1","itemData":{"author":[{"dropping-particle":"","family":"UNDESA","given":"","non-dropping-particle":"","parse-names":false,"suffix":""}],"id":"ITEM-1","issued":{"date-parts":[["2014"]]},"publisher-place":"UNDESA (United Nations, Department of Economic and Social Affairs)","title":"World urbanization prospects: The 2014 revision","type":"report"},"uris":["http://www.mendeley.com/documents/?uuid=74916401-bfa7-4a38-b1d6-d0b4fa86e4af"]}],"mendeley":{"formattedCitation":"(UNDESA 2014)","plainTextFormattedCitation":"(UNDESA 2014)","previouslyFormattedCitation":"(UNDESA 2014)"},"properties":{"noteIndex":0},"schema":"https://github.com/citation-style-language/schema/raw/master/csl-citation.json"}</w:instrText>
      </w:r>
      <w:r w:rsidR="002D2BCA">
        <w:rPr>
          <w:color w:val="000000" w:themeColor="text1"/>
        </w:rPr>
        <w:fldChar w:fldCharType="separate"/>
      </w:r>
      <w:r w:rsidR="002D2BCA" w:rsidRPr="002D2BCA">
        <w:rPr>
          <w:noProof/>
          <w:color w:val="000000" w:themeColor="text1"/>
        </w:rPr>
        <w:t>(UNDESA 2014)</w:t>
      </w:r>
      <w:r w:rsidR="002D2BCA">
        <w:rPr>
          <w:color w:val="000000" w:themeColor="text1"/>
        </w:rPr>
        <w:fldChar w:fldCharType="end"/>
      </w:r>
      <w:r w:rsidR="00352684" w:rsidRPr="004904D8">
        <w:rPr>
          <w:color w:val="000000" w:themeColor="text1"/>
        </w:rPr>
        <w:t xml:space="preserve">. </w:t>
      </w:r>
      <w:r w:rsidR="000724EC" w:rsidRPr="005512D2">
        <w:rPr>
          <w:color w:val="000000" w:themeColor="text1"/>
        </w:rPr>
        <w:t>For many countries</w:t>
      </w:r>
      <w:r w:rsidR="002E7C91" w:rsidRPr="005512D2">
        <w:rPr>
          <w:color w:val="000000" w:themeColor="text1"/>
        </w:rPr>
        <w:t xml:space="preserve"> where wild meat consumption is already significant</w:t>
      </w:r>
      <w:r w:rsidR="000724EC" w:rsidRPr="003E3238">
        <w:rPr>
          <w:color w:val="000000" w:themeColor="text1"/>
        </w:rPr>
        <w:t xml:space="preserve">, </w:t>
      </w:r>
      <w:r w:rsidR="00F578B1">
        <w:rPr>
          <w:color w:val="000000" w:themeColor="text1"/>
        </w:rPr>
        <w:t xml:space="preserve">it is unlikely that </w:t>
      </w:r>
      <w:r w:rsidR="000724EC" w:rsidRPr="003E3238">
        <w:rPr>
          <w:color w:val="000000" w:themeColor="text1"/>
        </w:rPr>
        <w:t>wildlife populations will be able to support urban consum</w:t>
      </w:r>
      <w:r w:rsidR="0046426E" w:rsidRPr="003E3238">
        <w:rPr>
          <w:color w:val="000000" w:themeColor="text1"/>
        </w:rPr>
        <w:t>p</w:t>
      </w:r>
      <w:r w:rsidR="000724EC" w:rsidRPr="003E3238">
        <w:rPr>
          <w:color w:val="000000" w:themeColor="text1"/>
        </w:rPr>
        <w:t xml:space="preserve">tion </w:t>
      </w:r>
      <w:r w:rsidR="0046426E" w:rsidRPr="00EE2428">
        <w:rPr>
          <w:color w:val="000000" w:themeColor="text1"/>
        </w:rPr>
        <w:t>of meat</w:t>
      </w:r>
      <w:r w:rsidR="000724EC" w:rsidRPr="00EE2428">
        <w:rPr>
          <w:color w:val="000000" w:themeColor="text1"/>
        </w:rPr>
        <w:t xml:space="preserve"> at the current per-capita rates</w:t>
      </w:r>
      <w:r w:rsidR="00F578B1">
        <w:rPr>
          <w:color w:val="000000" w:themeColor="text1"/>
        </w:rPr>
        <w:t>.</w:t>
      </w:r>
      <w:r w:rsidR="0046426E" w:rsidRPr="0070404D">
        <w:rPr>
          <w:color w:val="000000" w:themeColor="text1"/>
        </w:rPr>
        <w:t xml:space="preserve"> </w:t>
      </w:r>
      <w:r w:rsidR="00352684" w:rsidRPr="0070404D">
        <w:rPr>
          <w:color w:val="000000" w:themeColor="text1"/>
        </w:rPr>
        <w:t>The consequences of urbanisation for food production are emphasised in the most recent ‘State of Food a</w:t>
      </w:r>
      <w:r w:rsidR="00606F8E" w:rsidRPr="0070404D">
        <w:rPr>
          <w:color w:val="000000" w:themeColor="text1"/>
        </w:rPr>
        <w:t>n</w:t>
      </w:r>
      <w:r w:rsidR="00352684" w:rsidRPr="0070404D">
        <w:rPr>
          <w:color w:val="000000" w:themeColor="text1"/>
        </w:rPr>
        <w:t xml:space="preserve">d Agriculture’ report </w:t>
      </w:r>
      <w:r w:rsidR="002D2BCA">
        <w:rPr>
          <w:color w:val="000000" w:themeColor="text1"/>
        </w:rPr>
        <w:fldChar w:fldCharType="begin" w:fldLock="1"/>
      </w:r>
      <w:r w:rsidR="00B2630D">
        <w:rPr>
          <w:color w:val="000000" w:themeColor="text1"/>
        </w:rPr>
        <w:instrText>ADDIN CSL_CITATION {"citationItems":[{"id":"ITEM-1","itemData":{"DOI":"10.1227/NEU.0b013e31825d20c0","ISBN":"978-92-5-109873-8","ISSN":"1524-4040","PMID":"22596038","author":[{"dropping-particle":"","family":"FAO","given":"","non-dropping-particle":"","parse-names":false,"suffix":""}],"id":"ITEM-1","issue":"7929","issued":{"date-parts":[["2017"]]},"number-of-pages":"160","publisher-place":"Food and Agriculture Organization of the United Nations (FAO), Rome, Italy","title":"The State of Food and Agriculture: Leveraging Food Systems for Inclusive Rural Transformation","type":"report","volume":"2"},"uris":["http://www.mendeley.com/documents/?uuid=43983d90-7ee7-4f59-823b-76dd6310b335"]}],"mendeley":{"formattedCitation":"(FAO 2017)","plainTextFormattedCitation":"(FAO 2017)","previouslyFormattedCitation":"(FAO 2017)"},"properties":{"noteIndex":0},"schema":"https://github.com/citation-style-language/schema/raw/master/csl-citation.json"}</w:instrText>
      </w:r>
      <w:r w:rsidR="002D2BCA">
        <w:rPr>
          <w:color w:val="000000" w:themeColor="text1"/>
        </w:rPr>
        <w:fldChar w:fldCharType="separate"/>
      </w:r>
      <w:r w:rsidR="007F6C0B" w:rsidRPr="007F6C0B">
        <w:rPr>
          <w:noProof/>
          <w:color w:val="000000" w:themeColor="text1"/>
        </w:rPr>
        <w:t>(FAO 2017)</w:t>
      </w:r>
      <w:r w:rsidR="002D2BCA">
        <w:rPr>
          <w:color w:val="000000" w:themeColor="text1"/>
        </w:rPr>
        <w:fldChar w:fldCharType="end"/>
      </w:r>
      <w:r w:rsidR="00352684" w:rsidRPr="0070404D">
        <w:rPr>
          <w:color w:val="000000" w:themeColor="text1"/>
        </w:rPr>
        <w:t>:</w:t>
      </w:r>
    </w:p>
    <w:p w14:paraId="2B7BA7D0" w14:textId="77777777" w:rsidR="00A05660" w:rsidRDefault="00352684" w:rsidP="00C258BC">
      <w:pPr>
        <w:pStyle w:val="NormalWeb"/>
        <w:jc w:val="both"/>
        <w:rPr>
          <w:i/>
          <w:color w:val="000000" w:themeColor="text1"/>
        </w:rPr>
      </w:pPr>
      <w:r w:rsidRPr="0070404D">
        <w:rPr>
          <w:color w:val="000000" w:themeColor="text1"/>
        </w:rPr>
        <w:t>“</w:t>
      </w:r>
      <w:r w:rsidRPr="0070404D">
        <w:rPr>
          <w:i/>
          <w:color w:val="000000" w:themeColor="text1"/>
        </w:rPr>
        <w:t>Urbanization and rising affluence are driving a “nutrition transition” in developing countries towards higher consumption of animal protein, which will require large increases in livestock production and its intensive use of resources. These increases have implications for agriculture and food systems – they need to adapt significantly to become more productive and diversified, while coping with unprecedented climate change and natural- resource constraints. Producing more with less, while preserving and enhancing the livelihoods of farmers, is a global challenge.”</w:t>
      </w:r>
    </w:p>
    <w:p w14:paraId="45141332" w14:textId="2ECAA87E" w:rsidR="0074431F" w:rsidRDefault="0074431F" w:rsidP="00C258BC">
      <w:pPr>
        <w:pStyle w:val="NormalWeb"/>
        <w:jc w:val="both"/>
        <w:rPr>
          <w:i/>
          <w:color w:val="000000" w:themeColor="text1"/>
        </w:rPr>
      </w:pPr>
      <w:r w:rsidRPr="00436408">
        <w:rPr>
          <w:i/>
          <w:noProof/>
          <w:color w:val="000000" w:themeColor="text1"/>
          <w:lang w:val="en-US"/>
        </w:rPr>
        <w:lastRenderedPageBreak/>
        <w:drawing>
          <wp:inline distT="0" distB="0" distL="0" distR="0" wp14:anchorId="4D4F18B8" wp14:editId="047009F6">
            <wp:extent cx="4025900" cy="3054151"/>
            <wp:effectExtent l="0" t="0" r="0" b="0"/>
            <wp:docPr id="20" name="Picture 20" descr="../../../../Screenshots/Screenshot%202018-07-18%2018.26.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shots/Screenshot%202018-07-18%2018.26.03.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25900" cy="3054151"/>
                    </a:xfrm>
                    <a:prstGeom prst="rect">
                      <a:avLst/>
                    </a:prstGeom>
                    <a:noFill/>
                    <a:ln>
                      <a:noFill/>
                    </a:ln>
                  </pic:spPr>
                </pic:pic>
              </a:graphicData>
            </a:graphic>
          </wp:inline>
        </w:drawing>
      </w:r>
    </w:p>
    <w:p w14:paraId="420D04B3" w14:textId="40E73FCC" w:rsidR="0074431F" w:rsidRPr="00FD680C" w:rsidRDefault="0074431F" w:rsidP="00C258BC">
      <w:pPr>
        <w:pStyle w:val="Caption"/>
        <w:jc w:val="both"/>
        <w:rPr>
          <w:i/>
          <w:color w:val="000000" w:themeColor="text1"/>
        </w:rPr>
      </w:pPr>
      <w:bookmarkStart w:id="102" w:name="_Ref519761680"/>
      <w:r>
        <w:t xml:space="preserve">Figure </w:t>
      </w:r>
      <w:r>
        <w:fldChar w:fldCharType="begin"/>
      </w:r>
      <w:r>
        <w:instrText xml:space="preserve"> SEQ Figure \* ARABIC </w:instrText>
      </w:r>
      <w:r>
        <w:fldChar w:fldCharType="separate"/>
      </w:r>
      <w:r w:rsidR="004873F0">
        <w:rPr>
          <w:noProof/>
        </w:rPr>
        <w:t>5</w:t>
      </w:r>
      <w:r>
        <w:fldChar w:fldCharType="end"/>
      </w:r>
      <w:bookmarkEnd w:id="102"/>
      <w:r>
        <w:t xml:space="preserve">: Historic and projected increases in global urban </w:t>
      </w:r>
      <w:r w:rsidRPr="00FD680C">
        <w:t xml:space="preserve">populations </w:t>
      </w:r>
      <w:r w:rsidR="00FD680C" w:rsidRPr="00FD680C">
        <w:fldChar w:fldCharType="begin" w:fldLock="1"/>
      </w:r>
      <w:r w:rsidR="00D25024">
        <w:instrText>ADDIN CSL_CITATION {"citationItems":[{"id":"ITEM-1","itemData":{"author":[{"dropping-particle":"","family":"Holden","given":"Patrick","non-dropping-particle":"","parse-names":false,"suffix":""},{"dropping-particle":"","family":"Hudson","given":"Ursula","non-dropping-particle":"","parse-names":false,"suffix":""},{"dropping-particle":"","family":"Jensen","given":"Annette","non-dropping-particle":"","parse-names":false,"suffix":""},{"dropping-particle":"","family":"Mathias","given":"Evelyn","non-dropping-particle":"","parse-names":false,"suffix":""}],"id":"ITEM-1","issued":{"date-parts":[["2014"]]},"publisher-place":"Berlin, Germany","title":"MEAT ATLAS - Facts and figures about the animals we eat","type":"report"},"uris":["http://www.mendeley.com/documents/?uuid=8b0fad6e-38e5-4f56-9b7a-19d8c535d3f8"]}],"mendeley":{"formattedCitation":"(Holden et al. 2014)","plainTextFormattedCitation":"(Holden et al. 2014)","previouslyFormattedCitation":"(Holden et al. 2014)"},"properties":{"noteIndex":0},"schema":"https://github.com/citation-style-language/schema/raw/master/csl-citation.json"}</w:instrText>
      </w:r>
      <w:r w:rsidR="00FD680C" w:rsidRPr="00FD680C">
        <w:fldChar w:fldCharType="separate"/>
      </w:r>
      <w:r w:rsidR="00FD680C" w:rsidRPr="00FD680C">
        <w:rPr>
          <w:noProof/>
        </w:rPr>
        <w:t>(Holden et al. 2014)</w:t>
      </w:r>
      <w:r w:rsidR="00FD680C" w:rsidRPr="00FD680C">
        <w:fldChar w:fldCharType="end"/>
      </w:r>
    </w:p>
    <w:p w14:paraId="1E448C9E" w14:textId="257F50A8" w:rsidR="00866CC0" w:rsidRPr="00785A38" w:rsidRDefault="00AA5EBD" w:rsidP="001C1D6E">
      <w:pPr>
        <w:pStyle w:val="Heading3"/>
      </w:pPr>
      <w:bookmarkStart w:id="103" w:name="_Toc517693748"/>
      <w:r w:rsidRPr="00785A38">
        <w:t>Increased t</w:t>
      </w:r>
      <w:r w:rsidR="00866CC0" w:rsidRPr="00785A38">
        <w:t>rade in wild meat</w:t>
      </w:r>
      <w:bookmarkEnd w:id="103"/>
    </w:p>
    <w:p w14:paraId="46D35766" w14:textId="2205A5A7" w:rsidR="00866CC0" w:rsidRPr="004904D8" w:rsidRDefault="00866CC0" w:rsidP="00C258BC">
      <w:pPr>
        <w:pStyle w:val="NormalWeb"/>
        <w:jc w:val="both"/>
      </w:pPr>
      <w:r w:rsidRPr="0070404D">
        <w:rPr>
          <w:color w:val="000000" w:themeColor="text1"/>
        </w:rPr>
        <w:t xml:space="preserve">Wild meat is consumed in </w:t>
      </w:r>
      <w:r w:rsidRPr="004904D8">
        <w:rPr>
          <w:color w:val="000000" w:themeColor="text1"/>
        </w:rPr>
        <w:t xml:space="preserve">cities and large towns less for its nutritional importance and more as a luxury item and status symbol </w:t>
      </w:r>
      <w:r w:rsidR="00D25024">
        <w:rPr>
          <w:color w:val="000000" w:themeColor="text1"/>
        </w:rPr>
        <w:fldChar w:fldCharType="begin" w:fldLock="1"/>
      </w:r>
      <w:r w:rsidR="00A11C8C">
        <w:rPr>
          <w:color w:val="000000" w:themeColor="text1"/>
        </w:rPr>
        <w:instrText xml:space="preserve">ADDIN CSL_CITATION {"citationItems":[{"id":"ITEM-1","itemData":{"DOI":"10.1111/aje.12392","ISBN":"1365-2028","ISSN":"13652028","abstract":"In Africa, overhunting of tropical wildlife for food remains an intractable issue. Donors and governments remain committed to invest in efforts to both conserve and allow the sustainable use of wildlife. Four principal barriers need to be overcome: (i) communities are not motivated to conserve wildlife long-term because they have no formal rights to benefit from wildlife, or to exclude others from taking it on their land; (ii) multispecies harvests, typical of bushmeat hunting scenarios, place large-bodied species at risk of extinction; (iii) wildlife production cannot expand, in the same way that livestock farming can, to meet the expected growth in consumer demand; and (iv) wildlife habitat is lost through conversion to agriculture, housing, transportation networks and extractive industries. In this review, we examine the actors involved in the use of wildlife as food and discuss the possible solutions required to address urban and rural bushmeat consumption. Interventions must tackle use and conservation of wildlife through the application of context-relevant interventions in a variety of geographies across Africa. That said, for any bushmeat solution to work, there needs to be concurrent and comparable investment in strengthening the effectiveness of protected area management and enforcement of wildlife conservation laws.","author":[{"dropping-particle":"","family":"Wilkie","given":"David S.","non-dropping-particle":"","parse-names":false,"suffix":""},{"dropping-particle":"","family":"Wieland","given":"Michelle","non-dropping-particle":"","parse-names":false,"suffix":""},{"dropping-particle":"","family":"Boulet","given":"Hubert","non-dropping-particle":"","parse-names":false,"suffix":""},{"dropping-particle":"","family":"Bel","given":"Sebastien","non-dropping-particle":"Le","parse-names":false,"suffix":""},{"dropping-particle":"","family":"Vliet","given":"Nathalie","non-dropping-particle":"van","parse-names":false,"suffix":""},{"dropping-particle":"","family":"Cornelis","given":"Daniel","non-dropping-particle":"","parse-names":false,"suffix":""},{"dropping-particle":"","family":"BriacWarnon","given":"Vincent","non-dropping-particle":"","parse-names":false,"suffix":""},{"dropping-particle":"","family":"Nasi","given":"Robert","non-dropping-particle":"","parse-names":false,"suffix":""},{"dropping-particle":"","family":"Fa","given":"John E.","non-dropping-particle":"","parse-names":false,"suffix":""}],"container-title":"African Journal of Ecology","id":"ITEM-1","issue":"4","issued":{"date-parts":[["2016"]]},"page":"402-414","title":"Eating and conserving bushmeat in Africa","type":"article-journal","volume":"54"},"uris":["http://www.mendeley.com/documents/?uuid=b0006714-6b96-4f89-88f4-f75bc78df712"]},{"id":"ITEM-2","itemData":{"DOI":"10.1371/journal.pone.0134787","ISSN":"1932-6203","PMID":"26752642","abstract":"Vietnam is a significant consumer of wildlife, particularly wild meat, in urban restaurant settings. To meet this demand, poaching of wildlife is widespread, threatening regional and international biodiversity. Previous interventions to tackle illegal and potentially unsustainable consumption of wild meat in Vietnam have generally focused on limiting supply. While critical, they have been impeded by a lack of resources, the presence of increasingly organised criminal networks and corruption. Attention is, therefore, turning to the consumer, but a paucity of research investigating consumer demand for wild meat will impede the creation of effective consumer-centred interventions. Here we used a mixed-methods research approach comprising a hypothetical choice modelling survey and qualitative interviews to explore the drivers of wild meat consumption and consumer preferences among residents of Ho Chi Minh City, Vietnam. Our findings indicate that demand for wild meat is heterogeneous and highly context specific. Wild-sourced, rare, and expensive wild meat-types are eaten by those situated towards the top of the societal hierarchy to convey wealth and status and are commonly consumed in lucrative business contexts. Cheaper, legal and farmed substitutes for wild-sourced meats are also consumed, but typically in more casual consumption or social drinking settings. We explore the implications of our results for current conservation interventions in Vietnam that attempt to tackle illegal and potentially unsustainable trade in and consumption of wild meat and detail how our research informs future consumer-centric conservation actions.","author":[{"dropping-particle":"","family":"Shairp","given":"Rachel","non-dropping-particle":"","parse-names":false,"suffix":""},{"dropping-particle":"","family":"Veríssimo","given":"Diogo","non-dropping-particle":"","parse-names":false,"suffix":""},{"dropping-particle":"","family":"Fraser","given":"Iain","non-dropping-particle":"","parse-names":false,"suffix":""},{"dropping-particle":"","family":"Challender","given":"Daniel","non-dropping-particle":"","parse-names":false,"suffix":""},{"dropping-particle":"","family":"MacMillan","given":"Douglas","non-dropping-particle":"","parse-names":false,"suffix":""}],"container-title":"PloS one","id":"ITEM-2","issue":"1","issued":{"date-parts":[["2016","1"]]},"page":"e0134787","title":"Understanding urban demand for wild meat in Vietnam: implications for conservation actions","type":"article-journal","volume":"11"},"uris":["http://www.mendeley.com/documents/?uuid=16f60f29-219d-4b47-9cb9-2bab352ca360"]},{"id":"ITEM-3","itemData":{"DOI":"10.1007/s11417-012-9154-y","author":[{"dropping-particle":"","family":"Ngoc","given":"Anh Cao","non-dropping-particle":"","parse-names":false,"suffix":""},{"dropping-particle":"","family":"Wyatt","given":"Tanya","non-dropping-particle":"","parse-names":false,"suffix":""}],"container-title":"Asian Criminology","id":"ITEM-3","issued":{"date-parts":[["2013"]]},"page":"129-142","title":"A green criminological exploration of illegal wildlife trade in Vietnam","type":"article-journal","volume":"8"},"uris":["http://www.mendeley.com/documents/?uuid=2be7bdd4-1239-4afd-a86a-c27354a1e690"]},{"id":"ITEM-4","itemData":{"DOI":"10.4103/0972-4923.86995","ISBN":"0972-4923; 0975-3133","ISSN":"0972-4923","abstract":"Rising urban prosperity is escalating demand for wild animal products in Vietnam. Conservation interventions seek to influence consumer demand, but are based on a limited understanding of consumers and consumption behaviour. This report presents key findings of a structured survey (n=915) and semi-structured interviews (n=78) to investigate the social context of consumption of wild animal-derived products among the population of central Hanoi. Wildmeat is the product most commonly reported consumed predominantly by successful, high-income, high-status males of all ages and educational levels and is used as a medium to communicate prestige and obtain social leverage. As Vietnam's economy grows and its population ages, demand for wildmeat and medicinal products is likely to rise. Given the difficulties of acting on personal rather than collective interests and the symbolic role of wildmeat in an extremely status-conscious society, reducing demand is challenging. Influencing consumer behaviour over the long term requires social marketing expertise and has to be informed by an in-depth understanding, achieved using appropriate methods, of the social drivers of const uer demand for wild animal products. In the meantime, strengthened enforcement is needed to prevent the dem d being met from consumers prepared to pay the rising costs of finding the last individuals of a species. </w:instrText>
      </w:r>
      <w:r w:rsidR="00A11C8C">
        <w:rPr>
          <w:rFonts w:ascii="Tahoma" w:hAnsi="Tahoma" w:cs="Tahoma"/>
          <w:color w:val="000000" w:themeColor="text1"/>
        </w:rPr>
        <w:instrText>����</w:instrText>
      </w:r>
      <w:r w:rsidR="00A11C8C">
        <w:rPr>
          <w:color w:val="000000" w:themeColor="text1"/>
        </w:rPr>
        <w:instrText>.</w:instrText>
      </w:r>
      <w:r w:rsidR="00A11C8C">
        <w:rPr>
          <w:rFonts w:ascii="Tahoma" w:hAnsi="Tahoma" w:cs="Tahoma"/>
          <w:color w:val="000000" w:themeColor="text1"/>
        </w:rPr>
        <w:instrText>����</w:instrText>
      </w:r>
      <w:r w:rsidR="00A11C8C">
        <w:rPr>
          <w:color w:val="000000" w:themeColor="text1"/>
        </w:rPr>
        <w:instrText>.</w:instrText>
      </w:r>
      <w:r w:rsidR="00A11C8C">
        <w:rPr>
          <w:rFonts w:ascii="Tahoma" w:hAnsi="Tahoma" w:cs="Tahoma"/>
          <w:color w:val="000000" w:themeColor="text1"/>
        </w:rPr>
        <w:instrText>����</w:instrText>
      </w:r>
      <w:r w:rsidR="00A11C8C">
        <w:rPr>
          <w:color w:val="000000" w:themeColor="text1"/>
        </w:rPr>
        <w:instrText>.","author":[{"dropping-particle":"","family":"Drury","given":"Rebecca","non-dropping-particle":"","parse-names":false,"suffix":""}],"container-title":"Conservation and Society","id":"ITEM-4","issue":"3","issued":{"date-parts":[["2011"]]},"page":"247","title":"Hungry for success: urban consumer demand for wild animal products in Vietnam","type":"article-journal","volume":"9"},"uris":["http://www.mendeley.com/documents/?uuid=8ecd702d-e1ea-4bc7-80e6-72111531630c"]}],"mendeley":{"formattedCitation":"(Drury 2011; Ngoc &amp; Wyatt 2013; Shairp et al. 2016; Wilkie et al. 2016)","plainTextFormattedCitation":"(Drury 2011; Ngoc &amp; Wyatt 2013; Shairp et al. 2016; Wilkie et al. 2016)","previouslyFormattedCitation":"(Drury 2011; Ngoc &amp; Wyatt 2013; Shairp et al. 2016; Wilkie et al. 2016)"},"properties":{"noteIndex":0},"schema":"https://github.com/citation-style-language/schema/raw/master/csl-citation.json"}</w:instrText>
      </w:r>
      <w:r w:rsidR="00D25024">
        <w:rPr>
          <w:color w:val="000000" w:themeColor="text1"/>
        </w:rPr>
        <w:fldChar w:fldCharType="separate"/>
      </w:r>
      <w:r w:rsidR="00A11C8C" w:rsidRPr="00A11C8C">
        <w:rPr>
          <w:noProof/>
          <w:color w:val="000000" w:themeColor="text1"/>
        </w:rPr>
        <w:t>(Drury 2011; Ngoc &amp; Wyatt 2013; Shairp et al. 2016; Wilkie et al. 2016)</w:t>
      </w:r>
      <w:r w:rsidR="00D25024">
        <w:rPr>
          <w:color w:val="000000" w:themeColor="text1"/>
        </w:rPr>
        <w:fldChar w:fldCharType="end"/>
      </w:r>
      <w:r w:rsidRPr="0070404D">
        <w:rPr>
          <w:color w:val="000000" w:themeColor="text1"/>
        </w:rPr>
        <w:t xml:space="preserve">. </w:t>
      </w:r>
      <w:r w:rsidRPr="004904D8">
        <w:rPr>
          <w:color w:val="000000" w:themeColor="text1"/>
        </w:rPr>
        <w:t>This is a key factor driving over-exploitation</w:t>
      </w:r>
      <w:r w:rsidR="00F5671A">
        <w:rPr>
          <w:color w:val="000000" w:themeColor="text1"/>
        </w:rPr>
        <w:t xml:space="preserve"> by</w:t>
      </w:r>
      <w:r w:rsidR="00F5671A" w:rsidRPr="004904D8">
        <w:rPr>
          <w:color w:val="000000" w:themeColor="text1"/>
        </w:rPr>
        <w:t xml:space="preserve"> urban populations</w:t>
      </w:r>
      <w:r w:rsidRPr="004904D8">
        <w:rPr>
          <w:color w:val="000000" w:themeColor="text1"/>
        </w:rPr>
        <w:t xml:space="preserve">. </w:t>
      </w:r>
      <w:r w:rsidR="00CF08F2" w:rsidRPr="004904D8">
        <w:rPr>
          <w:color w:val="000000" w:themeColor="text1"/>
        </w:rPr>
        <w:t>As a</w:t>
      </w:r>
      <w:r w:rsidRPr="004904D8">
        <w:rPr>
          <w:color w:val="000000" w:themeColor="text1"/>
        </w:rPr>
        <w:t xml:space="preserve"> luxury commodity</w:t>
      </w:r>
      <w:r w:rsidR="00CF08F2" w:rsidRPr="005512D2">
        <w:rPr>
          <w:color w:val="000000" w:themeColor="text1"/>
        </w:rPr>
        <w:t>,</w:t>
      </w:r>
      <w:r w:rsidRPr="005512D2">
        <w:rPr>
          <w:color w:val="000000" w:themeColor="text1"/>
        </w:rPr>
        <w:t xml:space="preserve"> city dwellers will pay higher prices for the same animal than rural consumers. This economic draw </w:t>
      </w:r>
      <w:r w:rsidR="00FB4952" w:rsidRPr="003E3238">
        <w:rPr>
          <w:color w:val="000000" w:themeColor="text1"/>
        </w:rPr>
        <w:t>encourages</w:t>
      </w:r>
      <w:r w:rsidR="00FB4952" w:rsidRPr="003E3238">
        <w:t xml:space="preserve"> rural village hunters to increase the amount they take </w:t>
      </w:r>
      <w:r w:rsidR="00FC652E" w:rsidRPr="003E3238">
        <w:t xml:space="preserve">and the proportion that they sell </w:t>
      </w:r>
      <w:r w:rsidR="00FB4952" w:rsidRPr="00EE2428">
        <w:t>in order to gain income as well as food</w:t>
      </w:r>
      <w:r w:rsidR="00FB4952" w:rsidRPr="0070404D">
        <w:t xml:space="preserve">, </w:t>
      </w:r>
      <w:r w:rsidR="000C5211">
        <w:t>as well as encouraging</w:t>
      </w:r>
      <w:r w:rsidR="00FB4952" w:rsidRPr="0070404D">
        <w:t xml:space="preserve"> the establishment and proliferation of external commercial hunters or commercial hunter groups.</w:t>
      </w:r>
    </w:p>
    <w:p w14:paraId="09003EA2" w14:textId="75A740B5" w:rsidR="00FC6940" w:rsidRPr="00814265" w:rsidRDefault="00866CC0" w:rsidP="00C258BC">
      <w:pPr>
        <w:jc w:val="both"/>
        <w:rPr>
          <w:color w:val="000000" w:themeColor="text1"/>
          <w:lang w:val="pt-BR"/>
        </w:rPr>
      </w:pPr>
      <w:r w:rsidRPr="004904D8">
        <w:rPr>
          <w:color w:val="000000" w:themeColor="text1"/>
        </w:rPr>
        <w:t>Increased urban demand</w:t>
      </w:r>
      <w:r w:rsidRPr="005512D2">
        <w:rPr>
          <w:color w:val="000000" w:themeColor="text1"/>
        </w:rPr>
        <w:t xml:space="preserve"> for </w:t>
      </w:r>
      <w:r w:rsidR="008806AC" w:rsidRPr="005512D2">
        <w:rPr>
          <w:color w:val="000000" w:themeColor="text1"/>
        </w:rPr>
        <w:t>wild meat</w:t>
      </w:r>
      <w:r w:rsidRPr="005512D2">
        <w:rPr>
          <w:color w:val="000000" w:themeColor="text1"/>
        </w:rPr>
        <w:t xml:space="preserve"> as a cash crop has heavily increased wild meat offtakes in West and Central Africa </w:t>
      </w:r>
      <w:r w:rsidR="00342C67">
        <w:rPr>
          <w:color w:val="000000" w:themeColor="text1"/>
        </w:rPr>
        <w:fldChar w:fldCharType="begin" w:fldLock="1"/>
      </w:r>
      <w:r w:rsidR="00B2630D">
        <w:rPr>
          <w:color w:val="000000" w:themeColor="text1"/>
        </w:rPr>
        <w:instrText>ADDIN CSL_CITATION {"citationItems":[{"id":"ITEM-1","itemData":{"DOI":"10.1371/journal.pone.0134464","ISBN":"1932-6203","ISSN":"19326203","PMID":"26230504","abstract":"Bushmeat hunting is extensive in west and central Africa as both a means for subsistence and for commercial gain. Commercial hunting represents one of the primary threats to wildlife in the region, and confounding factors have made it challenging to examine how external factors influence the commercial bushmeat trade. Bioko Island, Equatorial Guinea is a small island with large tracts of intact forest that support sizeable populations of commercially valuable vertebrates, especially endemic primates. The island also has a low human population and has experienced dramatic economic growth and rapid development since the mid-1990’s. From October 1997 – September 2010, we monitored the largest bushmeat market on Bioko in Malabo, recording over 197,000 carcasses for sale. We used these data to analyze the dynamics of the market in relation to political events, environmental legislation, and rapid economic growth. Our findings suggest that bushmeat hunting and availability increased in parallel with the growth of Equatorial Guinea’s GDP and disposable income of its citizens. During this 13-year study, the predominant mode of capture shifted from trapping to shotguns. Consequently, carcass volume and rates of taxa typically captured with shotguns increased significantly, most notably including intensified hunting of Bioko's unique and endangered monkey fauna. Attempts to limit bushmeat sales, including a 2007 ban on primate hunting and trade, were only transiently effective. The hunting ban was not enforced, and was quickly followed by a marked increase in bushmeat hunting compared to hunting rates prior to the ban. Our results emphasize the negative impact that rapid development and unenforced legislation have had on Bioko’s wildlife, and demonstrate the need for strong governmental support if conservation strategies are to be successful at preventing extinctions of tropical wildlife.","author":[{"dropping-particle":"","family":"Cronin","given":"Drew T.","non-dropping-particle":"","parse-names":false,"suffix":""},{"dropping-particle":"","family":"Woloszynek","given":"Stephen","non-dropping-particle":"","parse-names":false,"suffix":""},{"dropping-particle":"","family":"Morra","given":"Wayne A.","non-dropping-particle":"","parse-names":false,"suffix":""},{"dropping-particle":"","family":"Honarvar","given":"Shaya","non-dropping-particle":"","parse-names":false,"suffix":""},{"dropping-particle":"","family":"Linder","given":"Joshua M.","non-dropping-particle":"","parse-names":false,"suffix":""},{"dropping-particle":"","family":"Gonder","given":"Mary Katherine","non-dropping-particle":"","parse-names":false,"suffix":""},{"dropping-particle":"","family":"O'Connor","given":"Michael P.","non-dropping-particle":"","parse-names":false,"suffix":""},{"dropping-particle":"","family":"Hearn","given":"Gail W.","non-dropping-particle":"","parse-names":false,"suffix":""}],"container-title":"PLoS ONE","id":"ITEM-1","issue":"7","issued":{"date-parts":[["2015"]]},"page":"e0134464","title":"Long-term urban market dynamics reveal increased bushmeat carcass volume despite economic growth and proactive environmental legislation on Bioko Island, Equatorial Guinea","type":"article-journal","volume":"10"},"uris":["http://www.mendeley.com/documents/?uuid=986cc03f-8dcc-457d-859c-5bc40e906b96"]},{"id":"ITEM-2","itemData":{"DOI":"10.1111/j.1523-1739.2005.00372.x","ISBN":"0888-8892","ISSN":"08888892","abstract":"Unsustainable hunting of wildlife for food is often a more immediate and significant threat to the conservation of biological diversity in tropical forests than deforestation. Why people eat wildlife is debated. Some may eat bushmeat because they can afford it; othersmay eat it because it is familiar, traditional, confers prestige, tastes good, or adds variety. We completed a survey of 1208 rural and urban households in Gabon, Africa, in 2002–2003 to estimate the effect of wealth and prices on the consumption of wildlife and other sources of animal protein. Consumption of bushmeat, fish, chicken, and livestock increased with increasing household wealth, and as the price of these commodities rose, consumption declined. Although the prices of substitutes for bushmeat did not significantly, in statistical terms, influence bushmeat consumption, as the price of wildlife increased and its consumption fell, the consumption of fish rose, indicating that fish and bushmeat were dietary substitutes. Our results suggest that policy makers can use economic levers such as taxation or supply reduction through better law enforcement to change demand for wildlife. These measures will help to regulate unsustainable exploitation and reduce the risk of irreversible loss of large-bodied and slow-reproducing wildlife species. If policy makers focus solely on reducing the unsustainable consumption of wildlife, they may see adverse impacts on the exploitation of fish. Furthermore, policy makers must ensure that raising household wealth through development assistance does not result in undesirable impacts on the conservation status of wildlife and fish.","author":[{"dropping-particle":"","family":"Wilkie","given":"David S.","non-dropping-particle":"","parse-names":false,"suffix":""},{"dropping-particle":"","family":"Starkey","given":"Malcolm","non-dropping-particle":"","parse-names":false,"suffix":""},{"dropping-particle":"","family":"Abernethy","given":"Kate","non-dropping-particle":"","parse-names":false,"suffix":""},{"dropping-particle":"","family":"Effa","given":"Ernestine Nstame","non-dropping-particle":"","parse-names":false,"suffix":""},{"dropping-particle":"","family":"Telfer","given":"Paul","non-dropping-particle":"","parse-names":false,"suffix":""},{"dropping-particle":"","family":"Godoy","given":"Ricardo","non-dropping-particle":"","parse-names":false,"suffix":""}],"container-title":"Conservation Biology","id":"ITEM-2","issue":"1","issued":{"date-parts":[["2005"]]},"page":"268-274","title":"Role of prices and wealth in consumer demand for bushmeat in Gabon, Central Africa","type":"article-journal","volume":"19"},"uris":["http://www.mendeley.com/documents/?uuid=f47a699c-8e33-4ebf-812d-391d540a3466"]}],"mendeley":{"formattedCitation":"(Wilkie et al. 2005; Cronin et al. 2015)","plainTextFormattedCitation":"(Wilkie et al. 2005; Cronin et al. 2015)","previouslyFormattedCitation":"(Wilkie et al. 2005; Cronin et al. 2015)"},"properties":{"noteIndex":0},"schema":"https://github.com/citation-style-language/schema/raw/master/csl-citation.json"}</w:instrText>
      </w:r>
      <w:r w:rsidR="00342C67">
        <w:rPr>
          <w:color w:val="000000" w:themeColor="text1"/>
        </w:rPr>
        <w:fldChar w:fldCharType="separate"/>
      </w:r>
      <w:r w:rsidR="00A11C8C" w:rsidRPr="00A11C8C">
        <w:rPr>
          <w:noProof/>
          <w:color w:val="000000" w:themeColor="text1"/>
        </w:rPr>
        <w:t>(Wilkie et al. 2005; Cronin et al. 2015)</w:t>
      </w:r>
      <w:r w:rsidR="00342C67">
        <w:rPr>
          <w:color w:val="000000" w:themeColor="text1"/>
        </w:rPr>
        <w:fldChar w:fldCharType="end"/>
      </w:r>
      <w:r w:rsidRPr="005512D2">
        <w:rPr>
          <w:color w:val="000000" w:themeColor="text1"/>
        </w:rPr>
        <w:t xml:space="preserve">, East and Southern Africa </w:t>
      </w:r>
      <w:r w:rsidR="00342C67">
        <w:rPr>
          <w:color w:val="000000" w:themeColor="text1"/>
        </w:rPr>
        <w:fldChar w:fldCharType="begin" w:fldLock="1"/>
      </w:r>
      <w:r w:rsidR="00B2630D">
        <w:rPr>
          <w:color w:val="000000" w:themeColor="text1"/>
        </w:rPr>
        <w:instrText>ADDIN CSL_CITATION {"citationItems":[{"id":"ITEM-1","itemData":{"author":[{"dropping-particle":"","family":"Barnett","given":"R","non-dropping-particle":"","parse-names":false,"suffix":""}],"id":"ITEM-1","issued":{"date-parts":[["1997"]]},"number-of-pages":"287","publisher-place":"TRAFFIC East/Southern Africa, Nairobi, Kenya","title":"Food for Thought: the utilization of wild meat in Eastern and Southern Africa","type":"report"},"uris":["http://www.mendeley.com/documents/?uuid=96d633c3-469d-4b95-b791-5654821ed574"]},{"id":"ITEM-2","itemData":{"abstract":"Bushmeat can be an important component of household food security and income in West and Central Africa. However, there is growing concern that current levels of bushmeat extraction are unsustainable and will lead to the loss of bushmeat as a natural resource and to the extinction of many threatened species. Policy development to mitigate this risk is impeded by a dearth of information on the structure of the bushmeat trade and its biological sustainability. In this study, we tackle these problems by exploring the structure and sustainability of a bushmeat commodity chain supplying the city of Takoradi in Ghana.","author":[{"dropping-particle":"","family":"Cowlishaw","given":"Guy","non-dropping-particle":"","parse-names":false,"suffix":""},{"dropping-particle":"","family":"Mendelson","given":"Samantha","non-dropping-particle":"","parse-names":false,"suffix":""},{"dropping-particle":"","family":"Rowcliffe","given":"J Marcus","non-dropping-particle":"","parse-names":false,"suffix":""}],"container-title":"Wildlife Policy","id":"ITEM-2","issue":"7","issued":{"date-parts":[["2004"]]},"page":"1-4","title":"The bushmeat commodity chain: patterns of trade and sustainability in a mature urban market in West Africa","type":"article-journal","volume":"7"},"uris":["http://www.mendeley.com/documents/?uuid=af071412-ab60-4521-9c8a-d19c3d263ad6"]},{"id":"ITEM-3","itemData":{"author":[{"dropping-particle":"","family":"Lindsey","given":"P","non-dropping-particle":"","parse-names":false,"suffix":""},{"dropping-particle":"","family":"Bento","given":"C","non-dropping-particle":"","parse-names":false,"suffix":""}],"id":"ITEM-3","issued":{"date-parts":[["2012"]]},"publisher-place":"TRAFFIC East/Southern Africa, Harare, Zimbabwe","title":"Illegal hunting and the bushmeat trade in Central Mozambique. a case-study from Coutada 9, Manica Province","type":"report"},"uris":["http://www.mendeley.com/documents/?uuid=6f23fd86-e890-4ca3-bb82-5a9d718ab441"]}],"mendeley":{"formattedCitation":"(Barnett 1997; Cowlishaw et al. 2004; Lindsey &amp; Bento 2012)","plainTextFormattedCitation":"(Barnett 1997; Cowlishaw et al. 2004; Lindsey &amp; Bento 2012)","previouslyFormattedCitation":"(Barnett 1997; Cowlishaw et al. 2004; Lindsey &amp; Bento 2012)"},"properties":{"noteIndex":0},"schema":"https://github.com/citation-style-language/schema/raw/master/csl-citation.json"}</w:instrText>
      </w:r>
      <w:r w:rsidR="00342C67">
        <w:rPr>
          <w:color w:val="000000" w:themeColor="text1"/>
        </w:rPr>
        <w:fldChar w:fldCharType="separate"/>
      </w:r>
      <w:r w:rsidR="00EF6EFF" w:rsidRPr="00EF6EFF">
        <w:rPr>
          <w:noProof/>
          <w:color w:val="000000" w:themeColor="text1"/>
        </w:rPr>
        <w:t>(Barnett 1997; Cowlishaw et al. 2004; Lindsey &amp; Bento 2012)</w:t>
      </w:r>
      <w:r w:rsidR="00342C67">
        <w:rPr>
          <w:color w:val="000000" w:themeColor="text1"/>
        </w:rPr>
        <w:fldChar w:fldCharType="end"/>
      </w:r>
      <w:r w:rsidRPr="005512D2">
        <w:rPr>
          <w:color w:val="000000" w:themeColor="text1"/>
        </w:rPr>
        <w:t xml:space="preserve">, and in </w:t>
      </w:r>
      <w:r w:rsidRPr="009A6ACD">
        <w:rPr>
          <w:color w:val="000000" w:themeColor="text1"/>
        </w:rPr>
        <w:t xml:space="preserve">Asia </w:t>
      </w:r>
      <w:r w:rsidR="009A6ACD" w:rsidRPr="009A6ACD">
        <w:rPr>
          <w:color w:val="000000" w:themeColor="text1"/>
        </w:rPr>
        <w:fldChar w:fldCharType="begin" w:fldLock="1"/>
      </w:r>
      <w:r w:rsidR="00EF6EFF">
        <w:rPr>
          <w:color w:val="000000" w:themeColor="text1"/>
        </w:rPr>
        <w:instrText>ADDIN CSL_CITATION {"citationItems":[{"id":"ITEM-1","itemData":{"author":[{"dropping-particle":"","family":"Bennett","given":"E L","non-dropping-particle":"","parse-names":false,"suffix":""},{"dropping-particle":"","family":"Rao","given":"M","non-dropping-particle":"","parse-names":false,"suffix":""}],"chapter-number":"3","container-title":"Links between Biodiversity Conservation, Livelihoods and Food Security: The sustainable use of wild species for meat","editor":[{"dropping-particle":"","family":"Mainka","given":"S A","non-dropping-particle":"","parse-names":false,"suffix":""},{"dropping-particle":"","family":"Trivedi","given":"M","non-dropping-particle":"","parse-names":false,"suffix":""}],"id":"ITEM-1","issued":{"date-parts":[["2002"]]},"page":"39-44","publisher-place":"Gland, Switzerland and Cambridge, UK","title":"Wild meat consumption in Asian tropical forest countries: is this a glimpse of the future for Africa?","type":"chapter"},"uris":["http://www.mendeley.com/documents/?uuid=aa54f523-a4b3-408c-a98b-e9faae286b4a"]},{"id":"ITEM-2","itemData":{"author":[{"dropping-particle":"","family":"Bennett","given":"E L","non-dropping-particle":"","parse-names":false,"suffix":""},{"dropping-particle":"","family":"Rao","given":"M","non-dropping-particle":"","parse-names":false,"suffix":""}],"id":"ITEM-2","issued":{"date-parts":[["2002"]]},"publisher-place":"Wildlife Conservation Society, Bangkok, Thailand","title":"Hunting and wildlife trade in tropical and sub-tropical Asia: identifying gaps and developing strategies. Report of a meeting held in Khao Yai National Park","type":"report"},"uris":["http://www.mendeley.com/documents/?uuid=435603e4-1059-4b1d-bd99-9622ccb66bda"]},{"id":"ITEM-3","itemData":{"DOI":"10.1579/0044-7447-31.1.49","ISBN":"0044-7447","ISSN":"0044-7447","PMID":"11928358","abstract":"Hunting by local communities is among the most widespread threats to Indian wildlife, yet, the understanding of its nature, extent, and impacts on wildlife has been poor. We surveyed 2 protected areas--Kudremukha and Nagara-holé--in southern India to assess the impacts of local hunting on large mammals. Detailed interviews with retired and active hunters were employed to describe hunting patterns. Impacts of hunting were assessed by comparing large-mammal abundance in adjacent sites differing in their vulnerability to hunting. In Kudremukha, at least 26 species of mammals were hunted, mostly with guns, at an estimated intensity of 216 hunter-days per month per village. In Nagaraholé, 6 of the 9 focal species of large mammals occurred at significantly lower densities at the heavily hunted site where enforcement capabilities were poorer. Our data underscore the importance of preservationist programs in the conservation of large mammals in a context of extensive local hunting.","author":[{"dropping-particle":"","family":"Madhusudan","given":"M. D.","non-dropping-particle":"","parse-names":false,"suffix":""},{"dropping-particle":"","family":"Karanth","given":"K. Ullas","non-dropping-particle":"","parse-names":false,"suffix":""}],"container-title":"AMBIO: A Journal of the Human Environment","id":"ITEM-3","issue":"1","issued":{"date-parts":[["2002"]]},"page":"49-54","title":"Local hunting and the conservation of large mammals in India","type":"article-journal","volume":"31"},"uris":["http://www.mendeley.com/documents/?uuid=18e49a06-25f4-4ef4-a270-86671445d8bf"]},{"id":"ITEM-4","itemData":{"DOI":"10.1007/s10531-009-9758-4","ISBN":"0960-3115","ISSN":"09603115","abstract":"Wildlife trade is the very heart of biodiversity conservation and sustainable development providing an income for some of the least economically affluent people and it generates considerable revenue nationally. In Asia the unsustainable trade in wildlife has been identified as one of the main conservation challenges. Internationally, wildlife trade is regulated through the Convention on International Trade in Endangered Species of wild fauna and flora (CITES) to which all Southeast Asian nations are signatory. I obtained data on international trade in CITES-listed animals in the period 1998-2007. In all &gt; 35 million animals (0.3 million butterflies; 16.0 million seahorses; 0.1 million other fish; 17.4 million reptiles; 0.4 million mammals; 1.0 million birds) were exported in this period, 30 million (similar to 300 species) of them being wild-caught. In addition 18 million pieces and 2 million kg of live corals were exported. Malaysia, Vietnam, Indonesia and China are the major exporters of wild-caught animals and the European Union and Japan are the most significant importers. Over this period exports in birds significantly decreased, trade in the other taxa either increased or remained stable. For all taxa but butterflies the vast majority of individuals represent wild-caught individuals. Records of illegal or undeclared international trade are scant but can be significantly larger than levels of official exports. It is concluded that there is an urgent need for better assessments of what levels of exploitation are sustainable (including exploring appropriate proxies for Non Detriment Findings), for initiatives to make regulatory mechanisms more effective (including the introduction of minimum mandatory standards and monitoring selected wildlife trade hubs), and for better licensing and registration. Funding for at least some of these initiatives can be obtained by imposing small levies on exports of CITES-listed wildlife.","author":[{"dropping-particle":"","family":"Nijman","given":"Vincent","non-dropping-particle":"","parse-names":false,"suffix":""}],"container-title":"Biodiversity and Conservation","id":"ITEM-4","issue":"4","issued":{"date-parts":[["2010"]]},"page":"1101-1114","title":"An overview of international wildlife trade from Southeast Asia","type":"article-journal","volume":"19"},"uris":["http://www.mendeley.com/documents/?uuid=65ed3862-1f46-46e4-8997-6fc130a7d558"]},{"id":"ITEM-5","itemData":{"DOI":"10.1371/journal.pone.0134787","ISSN":"1932-6203","PMID":"26752642","abstract":"Vietnam is a significant consumer of wildlife, particularly wild meat, in urban restaurant settings. To meet this demand, poaching of wildlife is widespread, threatening regional and international biodiversity. Previous interventions to tackle illegal and potentially unsustainable consumption of wild meat in Vietnam have generally focused on limiting supply. While critical, they have been impeded by a lack of resources, the presence of increasingly organised criminal networks and corruption. Attention is, therefore, turning to the consumer, but a paucity of research investigating consumer demand for wild meat will impede the creation of effective consumer-centred interventions. Here we used a mixed-methods research approach comprising a hypothetical choice modelling survey and qualitative interviews to explore the drivers of wild meat consumption and consumer preferences among residents of Ho Chi Minh City, Vietnam. Our findings indicate that demand for wild meat is heterogeneous and highly context specific. Wild-sourced, rare, and expensive wild meat-types are eaten by those situated towards the top of the societal hierarchy to convey wealth and status and are commonly consumed in lucrative business contexts. Cheaper, legal and farmed substitutes for wild-sourced meats are also consumed, but typically in more casual consumption or social drinking settings. We explore the implications of our results for current conservation interventions in Vietnam that attempt to tackle illegal and potentially unsustainable trade in and consumption of wild meat and detail how our research informs future consumer-centric conservation actions.","author":[{"dropping-particle":"","family":"Shairp","given":"Rachel","non-dropping-particle":"","parse-names":false,"suffix":""},{"dropping-particle":"","family":"Veríssimo","given":"Diogo","non-dropping-particle":"","parse-names":false,"suffix":""},{"dropping-particle":"","family":"Fraser","given":"Iain","non-dropping-particle":"","parse-names":false,"suffix":""},{"dropping-particle":"","family":"Challender","given":"Daniel","non-dropping-particle":"","parse-names":false,"suffix":""},{"dropping-particle":"","family":"MacMillan","given":"Douglas","non-dropping-particle":"","parse-names":false,"suffix":""}],"container-title":"PloS one","id":"ITEM-5","issue":"1","issued":{"date-parts":[["2016","1"]]},"page":"e0134787","title":"Understanding urban demand for wild meat in Vietnam: implications for conservation actions","type":"article-journal","volume":"11"},"uris":["http://www.mendeley.com/documents/?uuid=16f60f29-219d-4b47-9cb9-2bab352ca360"]},{"id":"ITEM-6","itemData":{"author":[{"dropping-particle":"","family":"TRAFFIC","given":"","non-dropping-particle":"","parse-names":false,"suffix":""}],"id":"ITEM-6","issued":{"date-parts":[["2008"]]},"publisher-place":"The World Bank, Washington","title":"What's driving the wildlife trade?","type":"report"},"uris":["http://www.mendeley.com/documents/?uuid=63b0c165-988f-4243-bb35-18e2718bb412"]}],"mendeley":{"formattedCitation":"(Bennett &amp; Rao 2002a, 2002b; Madhusudan &amp; Karanth 2002; TRAFFIC 2008; Nijman 2010; Shairp et al. 2016)","plainTextFormattedCitation":"(Bennett &amp; Rao 2002a, 2002b; Madhusudan &amp; Karanth 2002; TRAFFIC 2008; Nijman 2010; Shairp et al. 2016)","previouslyFormattedCitation":"(Bennett &amp; Rao 2002a, 2002b; Madhusudan &amp; Karanth 2002; TRAFFIC 2008; Nijman 2010; Shairp et al. 2016)"},"properties":{"noteIndex":0},"schema":"https://github.com/citation-style-language/schema/raw/master/csl-citation.json"}</w:instrText>
      </w:r>
      <w:r w:rsidR="009A6ACD" w:rsidRPr="009A6ACD">
        <w:rPr>
          <w:color w:val="000000" w:themeColor="text1"/>
        </w:rPr>
        <w:fldChar w:fldCharType="separate"/>
      </w:r>
      <w:r w:rsidR="00EF6EFF" w:rsidRPr="00EF6EFF">
        <w:rPr>
          <w:noProof/>
          <w:color w:val="000000" w:themeColor="text1"/>
        </w:rPr>
        <w:t>(Bennett &amp; Rao 2002a, 2002b; Madhusudan &amp; Karanth 2002; TRAFFIC 2008; Nijman 2010; Shairp et al. 2016)</w:t>
      </w:r>
      <w:r w:rsidR="009A6ACD" w:rsidRPr="009A6ACD">
        <w:rPr>
          <w:color w:val="000000" w:themeColor="text1"/>
        </w:rPr>
        <w:fldChar w:fldCharType="end"/>
      </w:r>
      <w:r w:rsidRPr="009A6ACD">
        <w:rPr>
          <w:color w:val="000000" w:themeColor="text1"/>
        </w:rPr>
        <w:t xml:space="preserve">. </w:t>
      </w:r>
      <w:r w:rsidR="00AC11E4" w:rsidRPr="009A6ACD">
        <w:rPr>
          <w:color w:val="000000" w:themeColor="text1"/>
        </w:rPr>
        <w:t xml:space="preserve">Traders </w:t>
      </w:r>
      <w:r w:rsidR="00F5671A" w:rsidRPr="009A6ACD">
        <w:rPr>
          <w:color w:val="000000" w:themeColor="text1"/>
        </w:rPr>
        <w:t xml:space="preserve">supplying the urban market </w:t>
      </w:r>
      <w:r w:rsidR="00AC11E4" w:rsidRPr="009A6ACD">
        <w:rPr>
          <w:color w:val="000000" w:themeColor="text1"/>
        </w:rPr>
        <w:t>penetrate even the most remote areas</w:t>
      </w:r>
      <w:r w:rsidR="00AC11E4" w:rsidRPr="00EE2428">
        <w:rPr>
          <w:color w:val="000000" w:themeColor="text1"/>
        </w:rPr>
        <w:t xml:space="preserve"> and actively encourage the hunting of species for which there is a demand </w:t>
      </w:r>
      <w:r w:rsidR="00DA6272">
        <w:rPr>
          <w:color w:val="000000" w:themeColor="text1"/>
        </w:rPr>
        <w:fldChar w:fldCharType="begin" w:fldLock="1"/>
      </w:r>
      <w:r w:rsidR="00EF6EFF">
        <w:rPr>
          <w:color w:val="000000" w:themeColor="text1"/>
        </w:rPr>
        <w:instrText>ADDIN CSL_CITATION {"citationItems":[{"id":"ITEM-1","itemData":{"DOI":"10.1007/s10531-009-9758-4","ISBN":"0960-3115","ISSN":"09603115","abstract":"Wildlife trade is the very heart of biodiversity conservation and sustainable development providing an income for some of the least economically affluent people and it generates considerable revenue nationally. In Asia the unsustainable trade in wildlife has been identified as one of the main conservation challenges. Internationally, wildlife trade is regulated through the Convention on International Trade in Endangered Species of wild fauna and flora (CITES) to which all Southeast Asian nations are signatory. I obtained data on international trade in CITES-listed animals in the period 1998-2007. In all &gt; 35 million animals (0.3 million butterflies; 16.0 million seahorses; 0.1 million other fish; 17.4 million reptiles; 0.4 million mammals; 1.0 million birds) were exported in this period, 30 million (similar to 300 species) of them being wild-caught. In addition 18 million pieces and 2 million kg of live corals were exported. Malaysia, Vietnam, Indonesia and China are the major exporters of wild-caught animals and the European Union and Japan are the most significant importers. Over this period exports in birds significantly decreased, trade in the other taxa either increased or remained stable. For all taxa but butterflies the vast majority of individuals represent wild-caught individuals. Records of illegal or undeclared international trade are scant but can be significantly larger than levels of official exports. It is concluded that there is an urgent need for better assessments of what levels of exploitation are sustainable (including exploring appropriate proxies for Non Detriment Findings), for initiatives to make regulatory mechanisms more effective (including the introduction of minimum mandatory standards and monitoring selected wildlife trade hubs), and for better licensing and registration. Funding for at least some of these initiatives can be obtained by imposing small levies on exports of CITES-listed wildlife.","author":[{"dropping-particle":"","family":"Nijman","given":"Vincent","non-dropping-particle":"","parse-names":false,"suffix":""}],"container-title":"Biodiversity and Conservation","id":"ITEM-1","issue":"4","issued":{"date-parts":[["2010"]]},"page":"1101-1114","title":"An overview of international wildlife trade from Southeast Asia","type":"article-journal","volume":"19"},"uris":["http://www.mendeley.com/documents/?uuid=65ed3862-1f46-46e4-8997-6fc130a7d558"]},{"id":"ITEM-2","itemData":{"DOI":"10.1111/conl.12082","ISBN":"1755-263X","ISSN":"1755263X","PMID":"18313793","abstract":"Today record levels of funding are being invested in enforcement and an- tipoaching measures to tackle the “war on poaching,” but many species are on the path to extinction. In our view, intensifying enforcement effort is cru- cial, but will ultimately prove an inadequate long-term strategy with which to conserve high-value species. This is because: regulatory approaches are be- ing overwhelmed by the drivers of poaching and trade, financial incentives for poaching are increasing due to rising prices and growing relative poverty be- tween areas of supply and centers of demand, and aggressive enforcement of trade controls, in particular bans, can increase profits and lead to the involve- ment of organized criminals with the capacity to operate even under increased enforcement effort. With prices for high-value wildlife rising, we argue that interventions need to go beyond regulation and that new and bold strategies are needed urgently. In the immediate future, we should incentivize and build capacity within local communities to conserve wildlife. In the medium term, we should drive prices down by reexamining sustainable off-take mechanisms such as regulated trade, ranching and wildlife farming, using economic levers such as taxation to fund conservation efforts, and in the long-term reduce demand through social marketing programs.","author":[{"dropping-particle":"","family":"Challender","given":"Daniel W.S.","non-dropping-particle":"","parse-names":false,"suffix":""},{"dropping-particle":"","family":"MacMillan","given":"Douglas C.","non-dropping-particle":"","parse-names":false,"suffix":""}],"container-title":"Conservation Letters","id":"ITEM-2","issue":"5","issued":{"date-parts":[["2014"]]},"page":"484-494","title":"Poaching is more than an enforcement problem","type":"article-journal","volume":"7"},"uris":["http://www.mendeley.com/documents/?uuid=aa8b9a9f-b713-4e50-b7ab-0dd3359b5f05"]}],"mendeley":{"formattedCitation":"(Nijman 2010; Challender &amp; MacMillan 2014)","plainTextFormattedCitation":"(Nijman 2010; Challender &amp; MacMillan 2014)","previouslyFormattedCitation":"(Nijman 2010; Challender &amp; MacMillan 2014)"},"properties":{"noteIndex":0},"schema":"https://github.com/citation-style-language/schema/raw/master/csl-citation.json"}</w:instrText>
      </w:r>
      <w:r w:rsidR="00DA6272">
        <w:rPr>
          <w:color w:val="000000" w:themeColor="text1"/>
        </w:rPr>
        <w:fldChar w:fldCharType="separate"/>
      </w:r>
      <w:r w:rsidR="00DA6272" w:rsidRPr="00DA6272">
        <w:rPr>
          <w:noProof/>
          <w:color w:val="000000" w:themeColor="text1"/>
        </w:rPr>
        <w:t>(Nijman 2010; Challender &amp; MacMillan 2014)</w:t>
      </w:r>
      <w:r w:rsidR="00DA6272">
        <w:rPr>
          <w:color w:val="000000" w:themeColor="text1"/>
        </w:rPr>
        <w:fldChar w:fldCharType="end"/>
      </w:r>
      <w:r w:rsidR="00AC11E4" w:rsidRPr="00EE2428">
        <w:rPr>
          <w:color w:val="000000" w:themeColor="text1"/>
        </w:rPr>
        <w:t>. In</w:t>
      </w:r>
      <w:r w:rsidR="00AC11E4" w:rsidRPr="0070404D">
        <w:rPr>
          <w:color w:val="000000" w:themeColor="text1"/>
        </w:rPr>
        <w:t xml:space="preserve"> some areas, professional hunters from outside the </w:t>
      </w:r>
      <w:r w:rsidR="00B26804" w:rsidRPr="0070404D">
        <w:rPr>
          <w:color w:val="000000" w:themeColor="text1"/>
        </w:rPr>
        <w:t>province</w:t>
      </w:r>
      <w:r w:rsidR="00B26804">
        <w:rPr>
          <w:color w:val="000000" w:themeColor="text1"/>
        </w:rPr>
        <w:t xml:space="preserve"> or even the country</w:t>
      </w:r>
      <w:r w:rsidR="00AC11E4" w:rsidRPr="0070404D">
        <w:rPr>
          <w:color w:val="000000" w:themeColor="text1"/>
        </w:rPr>
        <w:t xml:space="preserve"> are </w:t>
      </w:r>
      <w:r w:rsidR="00F578B1">
        <w:rPr>
          <w:color w:val="000000" w:themeColor="text1"/>
        </w:rPr>
        <w:t>a</w:t>
      </w:r>
      <w:r w:rsidR="00F578B1" w:rsidRPr="0070404D">
        <w:rPr>
          <w:color w:val="000000" w:themeColor="text1"/>
        </w:rPr>
        <w:t xml:space="preserve"> </w:t>
      </w:r>
      <w:r w:rsidR="00FD42C3">
        <w:rPr>
          <w:color w:val="000000" w:themeColor="text1"/>
        </w:rPr>
        <w:t xml:space="preserve">major threat, e.g. Vietnamese hunters in Lao </w:t>
      </w:r>
      <w:r w:rsidR="00FD42C3" w:rsidRPr="000A7365">
        <w:rPr>
          <w:color w:val="000000" w:themeColor="text1"/>
        </w:rPr>
        <w:t>People's Democratic Republic (</w:t>
      </w:r>
      <w:r w:rsidR="00FD42C3">
        <w:rPr>
          <w:color w:val="000000" w:themeColor="text1"/>
        </w:rPr>
        <w:t>PDR)</w:t>
      </w:r>
      <w:r w:rsidR="00250772">
        <w:rPr>
          <w:color w:val="000000" w:themeColor="text1"/>
        </w:rPr>
        <w:t xml:space="preserve"> </w:t>
      </w:r>
      <w:r w:rsidR="00DA6272">
        <w:rPr>
          <w:color w:val="000000" w:themeColor="text1"/>
        </w:rPr>
        <w:fldChar w:fldCharType="begin" w:fldLock="1"/>
      </w:r>
      <w:r w:rsidR="00EF6EFF">
        <w:rPr>
          <w:color w:val="000000" w:themeColor="text1"/>
        </w:rPr>
        <w:instrText>ADDIN CSL_CITATION {"citationItems":[{"id":"ITEM-1","itemData":{"author":[{"dropping-particle":"","family":"Nooren","given":"H","non-dropping-particle":"","parse-names":false,"suffix":""},{"dropping-particle":"","family":"Claridge","given":"G","non-dropping-particle":"","parse-names":false,"suffix":""}],"id":"ITEM-1","issued":{"date-parts":[["2001"]]},"number-of-pages":"304","publisher":"IUCN-The World Conservation Union","publisher-place":"Gland, Switzerland","title":"Wildlife trade in Laos: the end of the game","type":"book"},"uris":["http://www.mendeley.com/documents/?uuid=51dbd72c-8d9c-4c48-878a-b3c11151445f"]}],"mendeley":{"formattedCitation":"(Nooren &amp; Claridge 2001)","plainTextFormattedCitation":"(Nooren &amp; Claridge 2001)","previouslyFormattedCitation":"(Nooren &amp; Claridge 2001)"},"properties":{"noteIndex":0},"schema":"https://github.com/citation-style-language/schema/raw/master/csl-citation.json"}</w:instrText>
      </w:r>
      <w:r w:rsidR="00DA6272">
        <w:rPr>
          <w:color w:val="000000" w:themeColor="text1"/>
        </w:rPr>
        <w:fldChar w:fldCharType="separate"/>
      </w:r>
      <w:r w:rsidR="00DA6272" w:rsidRPr="00DA6272">
        <w:rPr>
          <w:noProof/>
          <w:color w:val="000000" w:themeColor="text1"/>
        </w:rPr>
        <w:t>(Nooren &amp; Claridge 2001)</w:t>
      </w:r>
      <w:r w:rsidR="00DA6272">
        <w:rPr>
          <w:color w:val="000000" w:themeColor="text1"/>
        </w:rPr>
        <w:fldChar w:fldCharType="end"/>
      </w:r>
      <w:r w:rsidR="00AC11E4" w:rsidRPr="0070404D">
        <w:rPr>
          <w:color w:val="000000" w:themeColor="text1"/>
        </w:rPr>
        <w:t xml:space="preserve">. </w:t>
      </w:r>
      <w:r w:rsidR="002E7C91" w:rsidRPr="0070404D">
        <w:rPr>
          <w:color w:val="000000" w:themeColor="text1"/>
        </w:rPr>
        <w:t>As cities grow and develop economically, this demand will grow.</w:t>
      </w:r>
      <w:r w:rsidR="002E7C91" w:rsidRPr="004904D8">
        <w:rPr>
          <w:color w:val="000000" w:themeColor="text1"/>
        </w:rPr>
        <w:t xml:space="preserve"> </w:t>
      </w:r>
      <w:r w:rsidR="000C5211">
        <w:rPr>
          <w:color w:val="000000" w:themeColor="text1"/>
        </w:rPr>
        <w:t>Extreme</w:t>
      </w:r>
      <w:r w:rsidR="002E7C91" w:rsidRPr="004904D8">
        <w:rPr>
          <w:color w:val="000000" w:themeColor="text1"/>
        </w:rPr>
        <w:t xml:space="preserve"> urban demand can ultimately affect local rural food security </w:t>
      </w:r>
      <w:r w:rsidR="000C5211">
        <w:rPr>
          <w:color w:val="000000" w:themeColor="text1"/>
        </w:rPr>
        <w:t>in supply areas</w:t>
      </w:r>
      <w:r w:rsidR="002E7C91" w:rsidRPr="004904D8">
        <w:rPr>
          <w:color w:val="000000" w:themeColor="text1"/>
        </w:rPr>
        <w:t xml:space="preserve">, reducing available wildlife resources and moving rural communities from subsistence to market-based economies </w:t>
      </w:r>
      <w:r w:rsidR="00DA6272">
        <w:rPr>
          <w:color w:val="000000" w:themeColor="text1"/>
        </w:rPr>
        <w:fldChar w:fldCharType="begin" w:fldLock="1"/>
      </w:r>
      <w:r w:rsidR="00DA6272">
        <w:rPr>
          <w:color w:val="000000" w:themeColor="text1"/>
        </w:rPr>
        <w:instrText>ADDIN CSL_CITATION {"citationItems":[{"id":"ITEM-1","itemData":{"DOI":"10.1111/j.1523-1739.2006.00595.x","ISBN":"0888-8892","ISSN":"08888892","PMID":"17531066","abstract":"From both conservation and development perspectives, there is a bushmeat crisis. Yet there have been divergent opinions among conservation and development agencies","author":[{"dropping-particle":"","family":"Bennett","given":"Elizabeth L.","non-dropping-particle":"","parse-names":false,"suffix":""},{"dropping-particle":"","family":"Blencowe","given":"Eric","non-dropping-particle":"","parse-names":false,"suffix":""},{"dropping-particle":"","family":"Brandon","given":"Katrina","non-dropping-particle":"","parse-names":false,"suffix":""},{"dropping-particle":"","family":"Brown","given":"David","non-dropping-particle":"","parse-names":false,"suffix":""},{"dropping-particle":"","family":"Burn","given":"Robert W.","non-dropping-particle":"","parse-names":false,"suffix":""},{"dropping-particle":"","family":"Cowlishaw","given":"Guy","non-dropping-particle":"","parse-names":false,"suffix":""},{"dropping-particle":"","family":"Davies","given":"Glyn","non-dropping-particle":"","parse-names":false,"suffix":""},{"dropping-particle":"","family":"Dublin","given":"Holly","non-dropping-particle":"","parse-names":false,"suffix":""},{"dropping-particle":"","family":"Fa","given":"John E.","non-dropping-particle":"","parse-names":false,"suffix":""},{"dropping-particle":"","family":"Milner-Gulland","given":"E. J.","non-dropping-particle":"","parse-names":false,"suffix":""},{"dropping-particle":"","family":"Robinson","given":"John G.","non-dropping-particle":"","parse-names":false,"suffix":""},{"dropping-particle":"","family":"Rowcliffe","given":"J. Marcus","non-dropping-particle":"","parse-names":false,"suffix":""},{"dropping-particle":"","family":"Underwood","given":"Fiona M.","non-dropping-particle":"","parse-names":false,"suffix":""},{"dropping-particle":"","family":"Wilkie","given":"David S.","non-dropping-particle":"","parse-names":false,"suffix":""}],"container-title":"Conservation Biology","id":"ITEM-1","issue":"3","issued":{"date-parts":[["2007"]]},"page":"884-887","title":"Hunting for consensus: Reconciling bushmeat harvest, conservation, and development policy in West and Central Africa","type":"article-journal","volume":"21"},"uris":["http://www.mendeley.com/documents/?uuid=a1f9b1b2-f11d-40af-9329-d1f212e9ad82"]},{"id":"ITEM-2","itemData":{"DOI":"10.1111/aje.12260","ISBN":"0141-6707","ISSN":"13652028","abstract":"The blue duiker (Philantomba monticola) is an abundant and widely distributed ungulate in continental sub-Saharan Africa. High hunting pressure throughout its range may be particularly threatening to the persistence of island populations of the species. In this study, we assessed offtake of blue duikers in Pico Basilé, Bioko Island, Equatorial Guinea. We recorded the number of animals shot or snared by 46 commercial hunters over a 33-month period, and the location (elevation) of each animal hunted. From this, we estimated catch per hunter (CH), catch per hunting day (CD) and catch per unit effort (CPUE). The number of duikers shot or snared across the study period, significantly declined within the mid-altitude range (901–1500 m). There were no significant drops in CH or CPUE at low or high altitudes for snared animals. The ratio of immature-to-adult animals hunted increased significantly over time within the mid-altitude range. We suggest that these trends in offtake, especially in the more heavily hunted mid-altitudes of the study area, indicate a decline in the population within this range. If this situation is widespread throughout the island, it is likely that unregulated bushmeat hunting will have devastating consequences to the biodiversity of Bioko Island, particularly for heavily hunted species that are naturally less abundant.","author":[{"dropping-particle":"","family":"Grande-Vega","given":"María","non-dropping-particle":"","parse-names":false,"suffix":""},{"dropping-particle":"","family":"Farfán","given":"Miguel Ángel","non-dropping-particle":"","parse-names":false,"suffix":""},{"dropping-particle":"","family":"Ondo","given":"Ambrosio","non-dropping-particle":"","parse-names":false,"suffix":""},{"dropping-particle":"","family":"Fa","given":"John E.","non-dropping-particle":"","parse-names":false,"suffix":""}],"container-title":"African Journal of Ecology","id":"ITEM-2","issue":"1","issued":{"date-parts":[["2015"]]},"page":"49-58","title":"Decline in hunter offtake of blue duikers in Bioko Island, Equatorial Guinea","type":"article-journal","volume":"54"},"uris":["http://www.mendeley.com/documents/?uuid=2bc8139a-f250-460f-83bb-4686f8ae8d91"]},{"id":"ITEM-3","itemData":{"DOI":"10.1016/j.biocon.2003.10.005","ISBN":"0006-3207","ISSN":"00063207","abstract":"We examine the relationship between poverty and the use of wild foods, namely bushmeat, fish and wild plants, within a Congolese agricultural community. A sample of 121 households were monitored over a 16-month period, using a combination of participatory and quantitative survey techniques, to assess their wealth and their production, consumption and market sales of wild foods. Households varied in wealth but all could be considered subject to extreme poverty (income below US$1 per capita per day). Our analyses indicate that wild foods play a small role in household consumption but a major role in household income. Hence, over 90% of both bushmeat and fish production is sold at market. In addition, the value of wild foods increases in the \"lean season\" when agricultural production is low. We also find that the poorest households in this community are unable to capitalise on the most valuable wild foods, bushmeat and fish, as a source of food or cash income. We use an entitlements framework to explain the factors that determine such wealth-related variation between households, indicating that household use of wild foods is dete</w:instrText>
      </w:r>
      <w:r w:rsidR="00DA6272" w:rsidRPr="00814265">
        <w:rPr>
          <w:color w:val="000000" w:themeColor="text1"/>
          <w:lang w:val="pt-BR"/>
        </w:rPr>
        <w:instrText>rmined more by social and economic constraints than by resource abundance in this community. Nevertheless, our findings show that overall the small-scale commercialisation of wild foods provides a vital source of income for rural households living in extreme poverty. © 2004 Elsevier Ltd. All rights reserved.","author":[{"dropping-particle":"","family":"Merode","given":"Emmanuel","non-dropping-particle":"De","parse-names":false,"suffix":""},{"dropping-particle":"","family":"Homewood","given":"Katherine","non-dropping-particle":"","parse-names":false,"suffix":""},{"dropping-particle":"","family":"Cowlishaw","given":"Guy","non-dropping-particle":"","parse-names":false,"suffix":""}],"container-title":"Biological Conservation","id":"ITEM-3","issue":"5","issued":{"date-parts":[["2004"]]},"page":"573-581","title":"The value of bushmeat and other wild foods to rural households living in extreme poverty in Democratic Republic of Congo","type":"article-journal","volume":"118"},"uris":["http://www.mendeley.com/documents/?uuid=02bda19c-68d1-41d8-b870-377986c985b9"]}],"mendeley":{"formattedCitation":"(De Merode et al. 2004; Bennett et al. 2007; Grande-Vega et al. 2015)","plainTextFormattedCitation":"(De Merode et al. 2004; Bennett et al. 2007; Grande-Vega et al. 2015)","previouslyFormattedCitation":"(De Merode et al. 2004; Bennett et al. 2007; Grande-Vega et al. 2015)"},"properties":{"noteIndex":0},"schema":"https://github.com/citation-style-language/schema/raw/master/csl-citation.json"}</w:instrText>
      </w:r>
      <w:r w:rsidR="00DA6272">
        <w:rPr>
          <w:color w:val="000000" w:themeColor="text1"/>
        </w:rPr>
        <w:fldChar w:fldCharType="separate"/>
      </w:r>
      <w:r w:rsidR="00DA6272" w:rsidRPr="00814265">
        <w:rPr>
          <w:noProof/>
          <w:color w:val="000000" w:themeColor="text1"/>
          <w:lang w:val="pt-BR"/>
        </w:rPr>
        <w:t>(De Merode et al. 2004; Bennett et al. 2007; Grande-Vega et al. 2015)</w:t>
      </w:r>
      <w:r w:rsidR="00DA6272">
        <w:rPr>
          <w:color w:val="000000" w:themeColor="text1"/>
        </w:rPr>
        <w:fldChar w:fldCharType="end"/>
      </w:r>
      <w:r w:rsidR="00DA6272" w:rsidRPr="00814265">
        <w:rPr>
          <w:color w:val="000000" w:themeColor="text1"/>
          <w:lang w:val="pt-BR"/>
        </w:rPr>
        <w:t>.</w:t>
      </w:r>
    </w:p>
    <w:p w14:paraId="0EC6A216" w14:textId="0560C139" w:rsidR="00FC6940" w:rsidRPr="0045467F" w:rsidRDefault="0045467F" w:rsidP="00C258BC">
      <w:pPr>
        <w:jc w:val="both"/>
      </w:pPr>
      <w:r>
        <w:t>While the bulk of international trade in</w:t>
      </w:r>
      <w:r w:rsidR="00F5671A">
        <w:t xml:space="preserve"> wildlife is for non-food uses, such as fashion, medicine and pets</w:t>
      </w:r>
      <w:r>
        <w:t>, animals used for food are also traded internationally</w:t>
      </w:r>
      <w:r w:rsidR="00A34815">
        <w:rPr>
          <w:color w:val="000000" w:themeColor="text1"/>
        </w:rPr>
        <w:t xml:space="preserve">. </w:t>
      </w:r>
      <w:r w:rsidR="00A34815" w:rsidRPr="003E3238">
        <w:rPr>
          <w:color w:val="000000" w:themeColor="text1"/>
        </w:rPr>
        <w:t xml:space="preserve">Estimates of annual inflows of illegal wild meat in passenger luggage to major airports in </w:t>
      </w:r>
      <w:r>
        <w:rPr>
          <w:color w:val="000000" w:themeColor="text1"/>
        </w:rPr>
        <w:t>Europe</w:t>
      </w:r>
      <w:r w:rsidR="00A34815" w:rsidRPr="003E3238">
        <w:rPr>
          <w:color w:val="000000" w:themeColor="text1"/>
        </w:rPr>
        <w:t xml:space="preserve"> </w:t>
      </w:r>
      <w:r w:rsidR="00A34815">
        <w:rPr>
          <w:color w:val="000000" w:themeColor="text1"/>
        </w:rPr>
        <w:t xml:space="preserve">at the start </w:t>
      </w:r>
      <w:r>
        <w:rPr>
          <w:color w:val="000000" w:themeColor="text1"/>
        </w:rPr>
        <w:t>o</w:t>
      </w:r>
      <w:r w:rsidR="00A34815">
        <w:rPr>
          <w:color w:val="000000" w:themeColor="text1"/>
        </w:rPr>
        <w:t>f the decade were</w:t>
      </w:r>
      <w:r w:rsidR="00A34815" w:rsidRPr="003E3238">
        <w:rPr>
          <w:color w:val="000000" w:themeColor="text1"/>
        </w:rPr>
        <w:t xml:space="preserve"> </w:t>
      </w:r>
      <w:r w:rsidR="000C5211">
        <w:rPr>
          <w:color w:val="000000" w:themeColor="text1"/>
        </w:rPr>
        <w:t>up to</w:t>
      </w:r>
      <w:r>
        <w:rPr>
          <w:color w:val="000000" w:themeColor="text1"/>
        </w:rPr>
        <w:t xml:space="preserve"> 300 tonnes</w:t>
      </w:r>
      <w:r w:rsidR="00A34815" w:rsidRPr="003E3238">
        <w:rPr>
          <w:color w:val="000000" w:themeColor="text1"/>
        </w:rPr>
        <w:t>, with the bulk originating from Central and West African countri</w:t>
      </w:r>
      <w:r w:rsidR="00A34815" w:rsidRPr="00EE2428">
        <w:rPr>
          <w:color w:val="000000" w:themeColor="text1"/>
        </w:rPr>
        <w:t xml:space="preserve">es </w:t>
      </w:r>
      <w:r w:rsidR="00DA6272">
        <w:rPr>
          <w:color w:val="000000" w:themeColor="text1"/>
        </w:rPr>
        <w:fldChar w:fldCharType="begin" w:fldLock="1"/>
      </w:r>
      <w:r w:rsidR="00ED4338">
        <w:rPr>
          <w:color w:val="000000" w:themeColor="text1"/>
        </w:rPr>
        <w:instrText>ADDIN CSL_CITATION {"citationItems":[{"id":"ITEM-1","itemData":{"DOI":"10.1111/j.1755-263X.2010.00121.x","ISBN":"1755-263X","ISSN":"1755263X","abstract":"Concerns have been raised about the illegal import of bushmeat from Africa into Europe, particularly regarding the health risks posed to people and livestock. The role of international trade in driving unsustainable hunting in source countries is unknown, but generally assumed to be limited. Here, we present the first systematic study of the scale and nature of this international trade. We estimate that around five tonnes of bushmeat per week is smuggled in personal baggage through Paris Roissy-Charles de Gaulle airport. Bushmeat is not only imported for personal consumption but is part of a lucrative organized trade, with high prices indicating luxury status. A wide range of species is carried, many of which are CITES-listed. Based on these findings, we suggest ways in which customs, airlines, and airport authorities could reduce imports, focussing on raising awareness of regulations, and improving surveillance and deterrence, particularly where CITES-listed species are concerned.","author":[{"dropping-particle":"","family":"Chaber","given":"Anne Lise","non-dropping-particle":"","parse-names":false,"suffix":""},{"dropping-particle":"","family":"Allebone-Webb","given":"Sophie","non-dropping-particle":"","parse-names":false,"suffix":""},{"dropping-particle":"","family":"Lignereux","given":"Yves","non-dropping-particle":"","parse-names":false,"suffix":""},{"dropping-particle":"","family":"Cunningham","given":"Andrew A.","non-dropping-particle":"","parse-names":false,"suffix":""},{"dropping-particle":"","family":"Marcus Rowcliffe","given":"J.","non-dropping-particle":"","parse-names":false,"suffix":""}],"container-title":"Conservation Letters","id":"ITEM-1","issue":"5","issued":{"date-parts":[["2010"]]},"page":"317-321","title":"The scale of illegal meat importation from Africa to Europe via Paris","type":"article-journal","volume":"3"},"uris":["http://www.mendeley.com/documents/?uuid=f66c634a-1b9b-4a6d-9498-88ba2e7473d2"]},{"id":"ITEM-2","itemData":{"ISSN":"16080645","abstract":"Illegal imports of meat can present substantial risks to public and animal health. Several European countries have reported considerable quantities of meat imported on commercial passenger flights. The objective of this study was to estimate the quantity of meat illegally imported into Switzerland, with a separate estimation for bushmeat. Data were obtained by participation in intervention exercises at Swiss international airports and by analysing data on seizures during the four-year period 2008 to 2011. The study revealed that a wide array of animal species was imported into Switzerland. From the database, the average annual weight of meat seized during the period analysed was 5.5 tonnes, of which 1.4% was bushmeat. However, in a stochastic model the total annual inflow of illegal meat imports was estimated at 1,013 tonnes (95% CI 226 to 4,192) for meat and 8.6 tonnes (95% CI 0.8 to 68.8) for bushmeat. Thus, even for a small European country such as Switzerland the quantities of illegally imported meat and meat products are substantial and the consequences for public and animal health could be high. To reduce the risk, it is essential that surveillance at European airports is harmonised and that passenger information campaigns clarify the consequences of the illegal import of meat, particularly bushmeat.","author":[{"dropping-particle":"","family":"Falk","given":"H","non-dropping-particle":"","parse-names":false,"suffix":""},{"dropping-particle":"","family":"Dürr","given":"Salome","non-dropping-particle":"","parse-names":false,"suffix":""},{"dropping-particle":"","family":"Hauser","given":"Ruth","non-dropping-particle":"","parse-names":false,"suffix":""},{"dropping-particle":"","family":"Wood","given":"Kris","non-dropping-particle":"","parse-names":false,"suffix":""},{"dropping-particle":"","family":"Tenger","given":"B","non-dropping-particle":"","parse-names":false,"suffix":""},{"dropping-particle":"","family":"Lörtscher","given":"M","non-dropping-particle":"","parse-names":false,"suffix":""},{"dropping-particle":"","family":"Schüpbach-Regula","given":"G","non-dropping-particle":"","parse-names":false,"suffix":""}],"container-title":"Rev. Sci. Tech. Off. Int. Epizoot","id":"ITEM-2","issue":"3","issued":{"date-parts":[["2016"]]},"page":"727-739","title":"Illegal import of bushmeat and other meat products into Switzerland on commercial passenger flights","type":"article-journal","volume":"32"},"uris":["http://www.mendeley.com/documents/?uuid=73395b36-bf82-4ea8-b656-890261583ef5"]}],"mendeley":{"formattedCitation":"(Chaber et al. 2010; Falk et al. 2016)","plainTextFormattedCitation":"(Chaber et al. 2010; Falk et al. 2016)","previouslyFormattedCitation":"(Chaber et al. 2010; Falk et al. 2016)"},"properties":{"noteIndex":0},"schema":"https://github.com/citation-style-language/schema/raw/master/csl-citation.json"}</w:instrText>
      </w:r>
      <w:r w:rsidR="00DA6272">
        <w:rPr>
          <w:color w:val="000000" w:themeColor="text1"/>
        </w:rPr>
        <w:fldChar w:fldCharType="separate"/>
      </w:r>
      <w:r w:rsidR="00DA6272" w:rsidRPr="00DA6272">
        <w:rPr>
          <w:noProof/>
          <w:color w:val="000000" w:themeColor="text1"/>
        </w:rPr>
        <w:t>(Chaber et al. 2010; Falk et al. 2016)</w:t>
      </w:r>
      <w:r w:rsidR="00DA6272">
        <w:rPr>
          <w:color w:val="000000" w:themeColor="text1"/>
        </w:rPr>
        <w:fldChar w:fldCharType="end"/>
      </w:r>
      <w:r w:rsidR="00F5671A">
        <w:rPr>
          <w:color w:val="000000" w:themeColor="text1"/>
        </w:rPr>
        <w:t xml:space="preserve">. However, </w:t>
      </w:r>
      <w:r w:rsidR="00906DD4">
        <w:rPr>
          <w:color w:val="000000" w:themeColor="text1"/>
        </w:rPr>
        <w:t>t</w:t>
      </w:r>
      <w:r w:rsidR="00A34815" w:rsidRPr="00EE2428">
        <w:rPr>
          <w:color w:val="000000" w:themeColor="text1"/>
        </w:rPr>
        <w:t>hese figures are insignificant in comparison with the amounts extracted within the producer countries</w:t>
      </w:r>
      <w:r w:rsidR="009B72BE">
        <w:rPr>
          <w:color w:val="000000" w:themeColor="text1"/>
        </w:rPr>
        <w:t xml:space="preserve"> (See S</w:t>
      </w:r>
      <w:r w:rsidR="00171910">
        <w:rPr>
          <w:color w:val="000000" w:themeColor="text1"/>
        </w:rPr>
        <w:t>ection 3)</w:t>
      </w:r>
      <w:r w:rsidR="00A34815" w:rsidRPr="00EE2428">
        <w:rPr>
          <w:color w:val="000000" w:themeColor="text1"/>
        </w:rPr>
        <w:t xml:space="preserve">. </w:t>
      </w:r>
      <w:r w:rsidR="00F578B1">
        <w:t>Nevertheless</w:t>
      </w:r>
      <w:r w:rsidR="00A34815">
        <w:t xml:space="preserve">, </w:t>
      </w:r>
      <w:r w:rsidR="00866CC0" w:rsidRPr="0045467F">
        <w:t xml:space="preserve">as </w:t>
      </w:r>
      <w:r w:rsidR="00866CC0" w:rsidRPr="0045467F">
        <w:lastRenderedPageBreak/>
        <w:t xml:space="preserve">wildlife in Asia </w:t>
      </w:r>
      <w:r>
        <w:t>declines, demand from China for wildlife products (</w:t>
      </w:r>
      <w:r w:rsidR="000A27CB">
        <w:t xml:space="preserve">although </w:t>
      </w:r>
      <w:r w:rsidR="00013187">
        <w:t>mainly for traditional medicines and trophies rather than meat</w:t>
      </w:r>
      <w:r>
        <w:t>)</w:t>
      </w:r>
      <w:r w:rsidR="00866CC0" w:rsidRPr="0045467F">
        <w:t xml:space="preserve"> is</w:t>
      </w:r>
      <w:r>
        <w:t xml:space="preserve"> being increasingly</w:t>
      </w:r>
      <w:r w:rsidR="00866CC0" w:rsidRPr="0045467F">
        <w:t xml:space="preserve"> met from Africa </w:t>
      </w:r>
      <w:r w:rsidR="00ED4338">
        <w:fldChar w:fldCharType="begin" w:fldLock="1"/>
      </w:r>
      <w:r w:rsidR="00ED4338">
        <w:instrText>ADDIN CSL_CITATION {"citationItems":[{"id":"ITEM-1","itemData":{"author":[{"dropping-particle":"","family":"Challender","given":"D.W.S.","non-dropping-particle":"","parse-names":false,"suffix":""},{"dropping-particle":"","family":"Hywood","given":"L.","non-dropping-particle":"","parse-names":false,"suffix":""}],"container-title":"TRAFFIC Bulletin","id":"ITEM-1","issue":"2","issued":{"date-parts":[["2012"]]},"page":"53 - 55","title":"African pangolins under increased pressure from poaching and intercontinental trade.","type":"article-journal","volume":"24"},"uris":["http://www.mendeley.com/documents/?uuid=63c18396-4567-4041-b703-7760c6417837"]}],"mendeley":{"formattedCitation":"(Challender &amp; Hywood 2012)","plainTextFormattedCitation":"(Challender &amp; Hywood 2012)","previouslyFormattedCitation":"(Challender &amp; Hywood 2012)"},"properties":{"noteIndex":0},"schema":"https://github.com/citation-style-language/schema/raw/master/csl-citation.json"}</w:instrText>
      </w:r>
      <w:r w:rsidR="00ED4338">
        <w:fldChar w:fldCharType="separate"/>
      </w:r>
      <w:r w:rsidR="00ED4338" w:rsidRPr="00ED4338">
        <w:rPr>
          <w:noProof/>
        </w:rPr>
        <w:t>(Challender &amp; Hywood 2012)</w:t>
      </w:r>
      <w:r w:rsidR="00ED4338">
        <w:fldChar w:fldCharType="end"/>
      </w:r>
      <w:r w:rsidR="00866CC0" w:rsidRPr="0045467F">
        <w:t xml:space="preserve">. </w:t>
      </w:r>
      <w:bookmarkStart w:id="104" w:name="_Ref517782482"/>
      <w:r>
        <w:t xml:space="preserve">For example, </w:t>
      </w:r>
      <w:r w:rsidR="00F5671A">
        <w:t xml:space="preserve">a database </w:t>
      </w:r>
      <w:r w:rsidR="00F5671A" w:rsidRPr="0045467F">
        <w:t>record</w:t>
      </w:r>
      <w:r w:rsidR="00F5671A">
        <w:t>ing</w:t>
      </w:r>
      <w:r w:rsidR="00F5671A" w:rsidRPr="0045467F">
        <w:t xml:space="preserve"> seizures of illegally trafficked wildlife</w:t>
      </w:r>
      <w:r w:rsidR="00F5671A">
        <w:t xml:space="preserve">, the </w:t>
      </w:r>
      <w:hyperlink r:id="rId40" w:history="1">
        <w:r w:rsidR="00F5671A" w:rsidRPr="00F578B1">
          <w:rPr>
            <w:rStyle w:val="Hyperlink"/>
          </w:rPr>
          <w:t>World WISE database</w:t>
        </w:r>
      </w:hyperlink>
      <w:r w:rsidR="00F5671A">
        <w:rPr>
          <w:rStyle w:val="Hyperlink"/>
        </w:rPr>
        <w:t xml:space="preserve">, </w:t>
      </w:r>
      <w:r w:rsidRPr="0045467F">
        <w:t xml:space="preserve">recorded </w:t>
      </w:r>
      <w:r w:rsidR="00906DD4">
        <w:t xml:space="preserve">shipment </w:t>
      </w:r>
      <w:r w:rsidRPr="0045467F">
        <w:t>seizure</w:t>
      </w:r>
      <w:r w:rsidR="00906DD4">
        <w:t>s</w:t>
      </w:r>
      <w:r w:rsidRPr="0045467F">
        <w:t xml:space="preserve"> equal to more than 120,000 live pa</w:t>
      </w:r>
      <w:r>
        <w:t>ngo</w:t>
      </w:r>
      <w:r w:rsidRPr="0045467F">
        <w:t xml:space="preserve">lins between 2007 and 2015, of which 55,000 were </w:t>
      </w:r>
      <w:r w:rsidR="00F578B1">
        <w:t xml:space="preserve">thought to be </w:t>
      </w:r>
      <w:r w:rsidRPr="0045467F">
        <w:t xml:space="preserve">for </w:t>
      </w:r>
      <w:r w:rsidR="00013187">
        <w:t>consumption (although for medicinal purposes rather than as a simple source of food)</w:t>
      </w:r>
      <w:r w:rsidRPr="0045467F">
        <w:t xml:space="preserve">. Most of these shipments </w:t>
      </w:r>
      <w:r w:rsidR="00F5671A" w:rsidRPr="0045467F">
        <w:t xml:space="preserve">(92%) </w:t>
      </w:r>
      <w:r>
        <w:t>were destined for China or Viet</w:t>
      </w:r>
      <w:r w:rsidR="00F578B1">
        <w:t>n</w:t>
      </w:r>
      <w:r w:rsidRPr="0045467F">
        <w:t>am</w:t>
      </w:r>
      <w:r w:rsidR="00F578B1">
        <w:t>, and while most originated from o</w:t>
      </w:r>
      <w:r w:rsidRPr="0045467F">
        <w:t>ther Asian countries</w:t>
      </w:r>
      <w:r w:rsidR="00F578B1">
        <w:t>, 20% were from Africa</w:t>
      </w:r>
      <w:r w:rsidRPr="0045467F">
        <w:t xml:space="preserve"> </w:t>
      </w:r>
      <w:r w:rsidR="00ED4338">
        <w:fldChar w:fldCharType="begin" w:fldLock="1"/>
      </w:r>
      <w:r w:rsidR="00194F35">
        <w:instrText>ADDIN CSL_CITATION {"citationItems":[{"id":"ITEM-1","itemData":{"ISBN":"9789211482881","author":[{"dropping-particle":"","family":"UNODC","given":"","non-dropping-particle":"","parse-names":false,"suffix":""}],"id":"ITEM-1","issued":{"date-parts":[["2016"]]},"number-of-pages":"1-98","publisher-place":"United Nations Office on Drugs and Crime, Vienna, Austria.","title":"World Wildlife Crime Report: Trafficking in protected species","type":"report"},"uris":["http://www.mendeley.com/documents/?uuid=9e2b0450-bded-4362-b4a5-0a59c875e505"]}],"mendeley":{"formattedCitation":"(UNODC 2016)","plainTextFormattedCitation":"(UNODC 2016)","previouslyFormattedCitation":"(UNODC 2016)"},"properties":{"noteIndex":0},"schema":"https://github.com/citation-style-language/schema/raw/master/csl-citation.json"}</w:instrText>
      </w:r>
      <w:r w:rsidR="00ED4338">
        <w:fldChar w:fldCharType="separate"/>
      </w:r>
      <w:r w:rsidR="00ED4338" w:rsidRPr="00ED4338">
        <w:rPr>
          <w:noProof/>
        </w:rPr>
        <w:t>(UNODC 2016)</w:t>
      </w:r>
      <w:r w:rsidR="00ED4338">
        <w:fldChar w:fldCharType="end"/>
      </w:r>
      <w:r w:rsidRPr="0045467F">
        <w:t xml:space="preserve">. </w:t>
      </w:r>
    </w:p>
    <w:p w14:paraId="26B0F233" w14:textId="3434483D" w:rsidR="00866CC0" w:rsidRPr="00785A38" w:rsidRDefault="00866CC0" w:rsidP="001C1D6E">
      <w:pPr>
        <w:pStyle w:val="Heading3"/>
      </w:pPr>
      <w:bookmarkStart w:id="105" w:name="_Ref519696142"/>
      <w:r w:rsidRPr="00785A38">
        <w:t>Increasing offtakes with modern hunting technologies</w:t>
      </w:r>
      <w:bookmarkEnd w:id="104"/>
      <w:bookmarkEnd w:id="105"/>
      <w:r w:rsidRPr="00785A38">
        <w:t xml:space="preserve"> </w:t>
      </w:r>
    </w:p>
    <w:p w14:paraId="2AAEEA59" w14:textId="240190E2" w:rsidR="00FC6940" w:rsidRPr="007C54B0" w:rsidRDefault="00866CC0" w:rsidP="00C258BC">
      <w:pPr>
        <w:jc w:val="both"/>
      </w:pPr>
      <w:r w:rsidRPr="005512D2">
        <w:rPr>
          <w:color w:val="000000" w:themeColor="text1"/>
        </w:rPr>
        <w:t xml:space="preserve">The </w:t>
      </w:r>
      <w:r w:rsidR="000635B7" w:rsidRPr="005512D2">
        <w:rPr>
          <w:color w:val="000000" w:themeColor="text1"/>
        </w:rPr>
        <w:t>use of new</w:t>
      </w:r>
      <w:r w:rsidRPr="003E3238">
        <w:rPr>
          <w:color w:val="000000" w:themeColor="text1"/>
        </w:rPr>
        <w:t xml:space="preserve"> hunting technologies has greatly increased the efficacy of wildlife exploitation </w:t>
      </w:r>
      <w:r w:rsidR="00180C5E">
        <w:rPr>
          <w:color w:val="000000" w:themeColor="text1"/>
        </w:rPr>
        <w:t xml:space="preserve">over the past </w:t>
      </w:r>
      <w:r w:rsidR="00171910">
        <w:rPr>
          <w:color w:val="000000" w:themeColor="text1"/>
        </w:rPr>
        <w:t>century</w:t>
      </w:r>
      <w:r w:rsidR="00180C5E">
        <w:rPr>
          <w:color w:val="000000" w:themeColor="text1"/>
        </w:rPr>
        <w:t xml:space="preserve"> </w:t>
      </w:r>
      <w:r w:rsidR="00194F35">
        <w:rPr>
          <w:color w:val="000000" w:themeColor="text1"/>
        </w:rPr>
        <w:fldChar w:fldCharType="begin" w:fldLock="1"/>
      </w:r>
      <w:r w:rsidR="00B2630D">
        <w:rPr>
          <w:color w:val="000000" w:themeColor="text1"/>
        </w:rPr>
        <w:instrText>ADDIN CSL_CITATION {"citationItems":[{"id":"ITEM-1","itemData":{"DOI":"ISBN 92-9225-083-3","ISBN":"9292250833","abstract":"2008. Conservation and use of wildlife-based resources: The bushmeat crisis. Technical series No. 33. Montreal: Secretariat of the Convention on Biological Diversity; and Bogor, Indonesia: Centre on International Forestry Research.","author":[{"dropping-particle":"","family":"Nasi","given":"R","non-dropping-particle":"","parse-names":false,"suffix":""},{"dropping-particle":"","family":"Brown","given":"D","non-dropping-particle":"","parse-names":false,"suffix":""},{"dropping-particle":"","family":"Wilkie","given":"D","non-dropping-particle":"","parse-names":false,"suffix":""},{"dropping-particle":"","family":"Bennett","given":"E","non-dropping-particle":"","parse-names":false,"suffix":""},{"dropping-particle":"","family":"Tutin","given":"C","non-dropping-particle":"","parse-names":false,"suffix":""},{"dropping-particle":"","family":"Tol","given":"G","non-dropping-particle":"Van","parse-names":false,"suffix":""},{"dropping-particle":"","family":"Christophersen","given":"T","non-dropping-particle":"","parse-names":false,"suffix":""}],"id":"ITEM-1","issued":{"date-parts":[["2008"]]},"number-of-pages":"50","publisher-place":"Secretariat of the Convention on Biological Diversity, Montreal, Canada, and Centre for International Forestry Research (CIFOR), Bogor, Indonesia.","title":"Conservation and use of wildlife-based resources: the bushmeat crisis. CBD Technical Series No. 33","type":"report"},"uris":["http://www.mendeley.com/documents/?uuid=820bb019-82b3-449a-b6b2-fbc4d35d17d6"]}],"mendeley":{"formattedCitation":"(Nasi et al. 2008)","plainTextFormattedCitation":"(Nasi et al. 2008)","previouslyFormattedCitation":"(Nasi et al. 2008)"},"properties":{"noteIndex":0},"schema":"https://github.com/citation-style-language/schema/raw/master/csl-citation.json"}</w:instrText>
      </w:r>
      <w:r w:rsidR="00194F35">
        <w:rPr>
          <w:color w:val="000000" w:themeColor="text1"/>
        </w:rPr>
        <w:fldChar w:fldCharType="separate"/>
      </w:r>
      <w:r w:rsidR="00194F35" w:rsidRPr="00194F35">
        <w:rPr>
          <w:noProof/>
          <w:color w:val="000000" w:themeColor="text1"/>
        </w:rPr>
        <w:t>(Nasi et al. 2008)</w:t>
      </w:r>
      <w:r w:rsidR="00194F35">
        <w:rPr>
          <w:color w:val="000000" w:themeColor="text1"/>
        </w:rPr>
        <w:fldChar w:fldCharType="end"/>
      </w:r>
      <w:r w:rsidRPr="003E3238">
        <w:rPr>
          <w:color w:val="000000" w:themeColor="text1"/>
        </w:rPr>
        <w:t xml:space="preserve">. The most commonly employed hunting techniques are </w:t>
      </w:r>
      <w:r w:rsidR="00180C5E">
        <w:rPr>
          <w:color w:val="000000" w:themeColor="text1"/>
        </w:rPr>
        <w:t>now steel</w:t>
      </w:r>
      <w:r w:rsidR="0086465D">
        <w:rPr>
          <w:color w:val="000000" w:themeColor="text1"/>
        </w:rPr>
        <w:t>/nylon</w:t>
      </w:r>
      <w:r w:rsidR="00180C5E">
        <w:rPr>
          <w:color w:val="000000" w:themeColor="text1"/>
        </w:rPr>
        <w:t xml:space="preserve"> </w:t>
      </w:r>
      <w:r w:rsidRPr="003E3238">
        <w:rPr>
          <w:color w:val="000000" w:themeColor="text1"/>
        </w:rPr>
        <w:t xml:space="preserve">cable snares and shotguns. </w:t>
      </w:r>
    </w:p>
    <w:p w14:paraId="0756FFFA" w14:textId="508B8C4D" w:rsidR="00FC6940" w:rsidRDefault="00CF08F2" w:rsidP="00C258BC">
      <w:pPr>
        <w:jc w:val="both"/>
        <w:rPr>
          <w:color w:val="000000" w:themeColor="text1"/>
        </w:rPr>
      </w:pPr>
      <w:r w:rsidRPr="003E3238">
        <w:rPr>
          <w:color w:val="000000" w:themeColor="text1"/>
        </w:rPr>
        <w:t>Before the intr</w:t>
      </w:r>
      <w:r w:rsidRPr="00EE2428">
        <w:rPr>
          <w:color w:val="000000" w:themeColor="text1"/>
        </w:rPr>
        <w:t>oduction of cable</w:t>
      </w:r>
      <w:r w:rsidR="00B41939" w:rsidRPr="00EE2428">
        <w:rPr>
          <w:color w:val="000000" w:themeColor="text1"/>
        </w:rPr>
        <w:t xml:space="preserve"> </w:t>
      </w:r>
      <w:r w:rsidRPr="0070404D">
        <w:rPr>
          <w:color w:val="000000" w:themeColor="text1"/>
        </w:rPr>
        <w:t xml:space="preserve">snares in the last century, snares were traditionally made of liana, rattan and other natural fibres, which limited their lifespan and </w:t>
      </w:r>
      <w:r w:rsidRPr="00960EBB">
        <w:rPr>
          <w:color w:val="000000" w:themeColor="text1"/>
        </w:rPr>
        <w:t xml:space="preserve">the number of snares set at one time. By contrast, </w:t>
      </w:r>
      <w:r w:rsidR="00B41939" w:rsidRPr="00960EBB">
        <w:rPr>
          <w:color w:val="000000" w:themeColor="text1"/>
        </w:rPr>
        <w:t xml:space="preserve">both </w:t>
      </w:r>
      <w:r w:rsidR="001852CB" w:rsidRPr="00960EBB">
        <w:rPr>
          <w:color w:val="000000" w:themeColor="text1"/>
        </w:rPr>
        <w:t>cable</w:t>
      </w:r>
      <w:r w:rsidRPr="00960EBB">
        <w:rPr>
          <w:color w:val="000000" w:themeColor="text1"/>
        </w:rPr>
        <w:t xml:space="preserve"> snares are quick and cheap to make </w:t>
      </w:r>
      <w:r w:rsidR="00194F35" w:rsidRPr="00960EBB">
        <w:rPr>
          <w:color w:val="000000" w:themeColor="text1"/>
        </w:rPr>
        <w:fldChar w:fldCharType="begin" w:fldLock="1"/>
      </w:r>
      <w:r w:rsidR="00960EBB">
        <w:rPr>
          <w:color w:val="000000" w:themeColor="text1"/>
        </w:rPr>
        <w:instrText>ADDIN CSL_CITATION {"citationItems":[{"id":"ITEM-1","itemData":{"DOI":"10.1016/j.biocon.2012.08.017","ISBN":"0006-3207","ISSN":"00063207","abstract":"Wire snare poaching is widespread in Africa yet snaring trends, patterns and the impacts of by-catch on non-target threatened species such as elephant (Loxodonta africana), lion (Panthera leo) and African wild dog (Lycaon pictus) are poorly understood. We conducted retrospective analyses of data from 1038 anti-poaching patrols conducted in Zambia's Luangwa valley from December 2005 to November 2010, to evaluate snaring dynamics and the effect of season, patrol size and length on snare detection. We also assessed impacts of by-catch on elephant, lion, and wild dog populations critical to the area's wildlife tourism-based economy. Snaring mortality increased overall elephant poaching offtake by 32%. Approximately 11.5% of the adult and subadult lion population and 20% of the adult (&gt;4. years) males were snared. Snared dogs occurred in 67% of packs (n= 6), comprising 14-50% of adult and yearling pack members (median = 20%) and 6-16% of a resident population (median = 6%) already at minimum viable pack size (mean = 5.6). Evidence for seasonal and annual trends differed by patrol type, yet substantial evidence of positive interannual and seasonal trends in snaring existed and there was no evidence of a decreasing trend. Because patrols are intended to reduce poaching and enforcement is adaptive toward increasing snare detection, evaluations of snaring trends from patrol data are potentially confounded; thus we recommend that a portion of the overall patrol effort for anti-poaching should be devoted to non-adaptive surveys under fixed, well-designed protocols to enable unbiased tracking of snaring trends over time and objective evaluation of anti-poaching and community conservation efforts. In addition precautionary management emphasizing increased law enforcement is essential to protect existing wildlife-based economies and resources. © 2012 Elsevier Ltd.","author":[{"dropping-particle":"","family":"Becker","given":"Matthew","non-dropping-particle":"","parse-names":false,"suffix":""},{"dropping-particle":"","family":"McRobb","given":"Rachel","non-dropping-particle":"","parse-names":false,"suffix":""},{"dropping-particle":"","family":"Watson","given":"Fred","non-dropping-particle":"","parse-names":false,"suffix":""},{"dropping-particle":"","family":"Droge","given":"Egil","non-dropping-particle":"","parse-names":false,"suffix":""},{"dropping-particle":"","family":"Kanyembo","given":"Benson","non-dropping-particle":"","parse-names":false,"suffix":""},{"dropping-particle":"","family":"Murdoch","given":"James","non-dropping-particle":"","parse-names":false,"suffix":""},{"dropping-particle":"","family":"Kakumbi","given":"Catherine","non-dropping-particle":"","parse-names":false,"suffix":""}],"container-title":"Biological Conservation","id":"ITEM-1","issued":{"date-parts":[["2013"]]},"page":"26-36","title":"Evaluating wire-snare poaching trends and the impacts of by-catch on elephants and large carnivores","type":"article-journal","volume":"158"},"uris":["http://www.mendeley.com/documents/?uuid=96044a95-36db-46d6-bc71-a25f457660a3"]},{"id":"ITEM-2","itemData":{"DOI":"10.1017/S0030605310000153","ISBN":"0030-6053","ISSN":"0030-6053","abstract":"Under conditions of political instability and economic decline illegal bushmeat hunting has emerged as a serious conservation threat in Zimbabwe. Following settlement of game ranches by subsistence farming com- munities, wildlife populations have been eradicated over large areas. In several areas still being managed as game ranches illegal hunting is causing further declines of wildlife populations (including threatened species such as the wild dog Lycaon pictus and black rhinoceros Diceros bicornis), threatening the viability of wildlife-based land uses. From August 2001 to July 2009 in Save ´ Valley Conservancy 10,520 illegal hunting incidents were re- corded, 84,396 wire snares removed, 4,148 hunters caught, 2,126 hunting dogs eliminated and at least 6,454 wild animals killed. Estimated future financial losses from illegal hunting in the Conservancy exceed USD 1.1 million year-1. Illegal hunters’ earnings account for 0.31–0.52% of the financial losses that they impose and the bushmeat trade is an inefficient use of wildlife resources. Illegal hunting peaks during the late dry season and is more frequent close to the boundary, near areas resettled during land reform and close to water. Illegal hunting with dogs peaks during moonlight periods. Our study highlights several management and land-use planning steps required to maximize the efficacy of anti-poaching and to reduce the likelihood of high impacts of illegal hunting. Anti-poaching efforts should be aligned with the regular temporal and spatial patterns of illegal hunting. Leases for hunting and tourism concessions should ensure minimum adequate investment by operators in anti-poaching. Reserve designers should minimize the surface area to volume ratio of parks. Fences should not be constructed using wire that can be made into snares. Land reform involving game ranches should integrate communities in wildlife-based land uses and ensure spatial separation between land for wildlife and human settlement. Means are required to create stake- holdings for communities in wildlife and disincentives for illegal hunting.","author":[{"dropping-particle":"","family":"Lindsey","given":"P.A.","non-dropping-particle":"","parse-names":false,"suffix":""},{"dropping-particle":"","family":"Romañach","given":"S.S.","non-dropping-particle":"","parse-names":false,"suffix":""},{"dropping-particle":"","family":"Tambling","given":"C.J.","non-dropping-particle":"","parse-names":false,"suffix":""},{"dropping-particle":"","family":"Chartier","given":"K.","non-dropping-particle":"","parse-names":false,"suffix":""},{"dropping-particle":"","family":"Groom","given":"R.","non-dropping-particle":"","parse-names":false,"suffix":""}],"container-title":"Oryx","id":"ITEM-2","issue":"01","issued":{"date-parts":[["2011"]]},"page":"96-111","title":"Ecological and financial impacts of illegal bushmeat trade in Zimbabwe","type":"article-journal","volume":"45"},"uris":["http://www.mendeley.com/documents/?uuid=e2feaeeb-a977-407b-a9a3-08f7a85d5065"]},{"id":"ITEM-3","itemData":{"DOI":"10.1017/S0030605310001274","ISBN":"0030-6053\\r1365-3008","ISSN":"0030-6053","abstract":"The prevalence and impacts of the illegal trade in bushmeat are under appreciated in Southern Africa, de- spite indications that it constitutes a serious conservation threat in parts of the region. Bushmeat trade has emerged as a severe threat to wildlife conservation and the viability of wildlife-based land uses in Zimbabwe during a period of political instability and severe economic decline. We conducted a study around Save ´ Valley Conservancy in the South-East Lowveld of Zimbabwe to investigate the dynamics and underlying causes of the bushmeat trade, with the objective of developing solutions. We found that bushmeat hunting is conducted mainly by unemployed young men to generate cash income, used mostly to purchase food. Bushmeat is mainly sold to people with cash incomes in adjacent communal lands and population centres and is popular by virtue of its affordability and availability. Key drivers of the bushmeat trade in the South-East Lowveld include: poverty, unemployment and food shortages, settlement of wildlife areas by impover- ished communities that provided open access to wildlife resources, failure to provide stakes for communities in wildlife-based land uses, absence of affordable protein sources other than illegally sourced bushmeat, inadequate investment in anti-poaching in areas remaining under wildlife management, and weak penal systems that do not provide sufficient deterrents to illegal bushmeat hunt- ers. Each of these underlying causes needs to be addressed for the bushmeat trade to be tackled effectively. However, in the absence of political and economic stability, control- ling illegal bushmeat hunting will remain extremely diffi- cult and the future of wildlife-based land uses will remain bleak. P.","author":[{"dropping-particle":"","family":"Lindsey","given":"P. A.","non-dropping-particle":"","parse-names":false,"suffix":""},{"dropping-particle":"","family":"Romañach","given":"S.S.","non-dropping-particle":"","parse-names":false,"suffix":""},{"dropping-particle":"","family":"Matema","given":"S.","non-dropping-particle":"","parse-names":false,"suffix":""},{"dropping-particle":"","family":"Matema","given":"C.","non-dropping-particle":"","parse-names":false,"suffix":""},{"dropping-particle":"","family":"Mupamhadzi","given":"I.","non-dropping-particle":"","parse-names":false,"suffix":""},{"dropping-particle":"","family":"Muvengwi","given":"J.","non-dropping-particle":"","parse-names":false,"suffix":""}],"container-title":"Oryx","id":"ITEM-3","issue":"01","issued":{"date-parts":[["2011"]]},"page":"84-95","title":"Dynamics and underlying causes of illegal bushmeat trade in Zimbabwe","type":"article-journal","volume":"45"},"uris":["http://www.mendeley.com/documents/?uuid=dae9e01b-08b9-434b-85ba-f54dd0b3c141"]}],"mendeley":{"formattedCitation":"(Lindsey et al. 2011b, 2011a; Becker et al. 2013)","plainTextFormattedCitation":"(Lindsey et al. 2011b, 2011a; Becker et al. 2013)","previouslyFormattedCitation":"(Lindsey et al. 2011b, 2011a; Becker et al. 2013)"},"properties":{"noteIndex":0},"schema":"https://github.com/citation-style-language/schema/raw/master/csl-citation.json"}</w:instrText>
      </w:r>
      <w:r w:rsidR="00194F35" w:rsidRPr="00960EBB">
        <w:rPr>
          <w:color w:val="000000" w:themeColor="text1"/>
        </w:rPr>
        <w:fldChar w:fldCharType="separate"/>
      </w:r>
      <w:r w:rsidR="00960EBB" w:rsidRPr="00960EBB">
        <w:rPr>
          <w:noProof/>
          <w:color w:val="000000" w:themeColor="text1"/>
        </w:rPr>
        <w:t>(Lindsey et al. 2011b, 2011a; Becker et al. 2013)</w:t>
      </w:r>
      <w:r w:rsidR="00194F35" w:rsidRPr="00960EBB">
        <w:rPr>
          <w:color w:val="000000" w:themeColor="text1"/>
        </w:rPr>
        <w:fldChar w:fldCharType="end"/>
      </w:r>
      <w:r w:rsidRPr="00960EBB">
        <w:rPr>
          <w:color w:val="000000" w:themeColor="text1"/>
        </w:rPr>
        <w:t>, and can last in the forest for over a year (Coad</w:t>
      </w:r>
      <w:r w:rsidR="00C90E0C" w:rsidRPr="00960EBB">
        <w:rPr>
          <w:color w:val="000000" w:themeColor="text1"/>
        </w:rPr>
        <w:t>,</w:t>
      </w:r>
      <w:r w:rsidRPr="00960EBB">
        <w:rPr>
          <w:color w:val="000000" w:themeColor="text1"/>
        </w:rPr>
        <w:t xml:space="preserve"> pers obs). </w:t>
      </w:r>
      <w:r w:rsidR="001852CB" w:rsidRPr="00960EBB">
        <w:rPr>
          <w:color w:val="000000" w:themeColor="text1"/>
        </w:rPr>
        <w:t>Cable</w:t>
      </w:r>
      <w:r w:rsidR="008806AC" w:rsidRPr="00960EBB">
        <w:rPr>
          <w:color w:val="000000" w:themeColor="text1"/>
        </w:rPr>
        <w:t xml:space="preserve"> snares, contrary to many traditional ones </w:t>
      </w:r>
      <w:r w:rsidR="00194F35" w:rsidRPr="00960EBB">
        <w:rPr>
          <w:color w:val="000000" w:themeColor="text1"/>
        </w:rPr>
        <w:fldChar w:fldCharType="begin" w:fldLock="1"/>
      </w:r>
      <w:r w:rsidR="00B2630D">
        <w:rPr>
          <w:color w:val="000000" w:themeColor="text1"/>
        </w:rPr>
        <w:instrText>ADDIN CSL_CITATION {"citationItems":[{"id":"ITEM-1","itemData":{"author":[{"dropping-particle":"","family":"Dounias","given":"Edmond","non-dropping-particle":"","parse-names":false,"suffix":""}],"container-title":"L’homme et la Forêt Tropicale","id":"ITEM-1","issued":{"date-parts":[["1999"]]},"publisher":"Travaux Société Ecologie Humaine, Paris.","title":"Le câble pris au piège de la conservation. Technologie du piégeage et production cynégétique chez les Mvae du sud Cameroun forestier","type":"chapter"},"uris":["http://www.mendeley.com/documents/?uuid=ea098640-c5aa-41fa-ac3e-2533e798861f"]}],"mendeley":{"formattedCitation":"(Dounias 1999)","plainTextFormattedCitation":"(Dounias 1999)","previouslyFormattedCitation":"(Dounias 1999)"},"properties":{"noteIndex":0},"schema":"https://github.com/citation-style-language/schema/raw/master/csl-citation.json"}</w:instrText>
      </w:r>
      <w:r w:rsidR="00194F35" w:rsidRPr="00960EBB">
        <w:rPr>
          <w:color w:val="000000" w:themeColor="text1"/>
        </w:rPr>
        <w:fldChar w:fldCharType="separate"/>
      </w:r>
      <w:r w:rsidR="00194F35" w:rsidRPr="00960EBB">
        <w:rPr>
          <w:noProof/>
          <w:color w:val="000000" w:themeColor="text1"/>
        </w:rPr>
        <w:t>(Dounias 1999)</w:t>
      </w:r>
      <w:r w:rsidR="00194F35" w:rsidRPr="00960EBB">
        <w:rPr>
          <w:color w:val="000000" w:themeColor="text1"/>
        </w:rPr>
        <w:fldChar w:fldCharType="end"/>
      </w:r>
      <w:r w:rsidR="008806AC" w:rsidRPr="00960EBB">
        <w:rPr>
          <w:color w:val="000000" w:themeColor="text1"/>
        </w:rPr>
        <w:t>, are generally unselective,</w:t>
      </w:r>
      <w:r w:rsidR="008806AC" w:rsidRPr="003E3238">
        <w:rPr>
          <w:color w:val="000000" w:themeColor="text1"/>
        </w:rPr>
        <w:t xml:space="preserve"> capable of capturing virtually all</w:t>
      </w:r>
      <w:r w:rsidR="008806AC" w:rsidRPr="00EE2428">
        <w:rPr>
          <w:color w:val="000000" w:themeColor="text1"/>
        </w:rPr>
        <w:t xml:space="preserve"> small</w:t>
      </w:r>
      <w:r w:rsidR="008806AC">
        <w:rPr>
          <w:color w:val="000000" w:themeColor="text1"/>
        </w:rPr>
        <w:t>-</w:t>
      </w:r>
      <w:r w:rsidR="008806AC" w:rsidRPr="00EE2428">
        <w:rPr>
          <w:color w:val="000000" w:themeColor="text1"/>
        </w:rPr>
        <w:t xml:space="preserve"> and medium-bodied </w:t>
      </w:r>
      <w:r w:rsidR="00A479D2" w:rsidRPr="00EE2428">
        <w:rPr>
          <w:color w:val="000000" w:themeColor="text1"/>
        </w:rPr>
        <w:t>animals and</w:t>
      </w:r>
      <w:r w:rsidR="008806AC" w:rsidRPr="00EE2428">
        <w:rPr>
          <w:color w:val="000000" w:themeColor="text1"/>
        </w:rPr>
        <w:t xml:space="preserve"> generate </w:t>
      </w:r>
      <w:r w:rsidR="00194F35">
        <w:rPr>
          <w:color w:val="000000" w:themeColor="text1"/>
        </w:rPr>
        <w:t xml:space="preserve">significant amounts of wastage </w:t>
      </w:r>
      <w:r w:rsidR="00194F35">
        <w:rPr>
          <w:color w:val="000000" w:themeColor="text1"/>
        </w:rPr>
        <w:fldChar w:fldCharType="begin" w:fldLock="1"/>
      </w:r>
      <w:r w:rsidR="00B2630D">
        <w:rPr>
          <w:color w:val="000000" w:themeColor="text1"/>
        </w:rPr>
        <w:instrText>ADDIN CSL_CITATION {"citationItems":[{"id":"ITEM-1","itemData":{"DOI":"10.1111/j.1523-1739.1998.96027.x","ISSN":"08888892","author":[{"dropping-particle":"","family":"Noss","given":"Andrew J.","non-dropping-particle":"","parse-names":false,"suffix":""}],"container-title":"Conservation Biology","id":"ITEM-1","issue":"2","issued":{"date-parts":[["1998","7","7"]]},"page":"390-398","title":"The impacts of cable snare hunting on wildlife populations in the forests of the Central African Republic","type":"article-journal","volume":"12"},"uris":["http://www.mendeley.com/documents/?uuid=16208071-be57-4c41-9457-c8f1a7b465a8"]},{"id":"ITEM-2","itemData":{"author":[{"dropping-particle":"","family":"Noss","given":"A J","non-dropping-particle":"","parse-names":false,"suffix":""}],"container-title":"Hunting for Sustainability in Tropical Forests","editor":[{"dropping-particle":"","family":"Robinson","given":"J G","non-dropping-particle":"","parse-names":false,"suffix":""},{"dropping-particle":"","family":"Bennett","given":"E L","non-dropping-particle":"","parse-names":false,"suffix":""}],"id":"ITEM-2","issued":{"date-parts":[["2000"]]},"page":"282-304","publisher":"Columbia University Press, New York, USA","title":"Cable snares and nets in the Central African Republic","type":"chapter"},"uris":["http://www.mendeley.com/documents/?uuid=61c63fab-aec6-49ad-9fac-2d1f73183e3d"]},{"id":"ITEM-3","itemData":{"author":[{"dropping-particle":"","family":"Muchaal","given":"Pia K","non-dropping-particle":"","parse-names":false,"suffix":""},{"dropping-particle":"","family":"Ngandjui","given":"Germain","non-dropping-particle":"","parse-names":false,"suffix":""}],"container-title":"Conservation Biology","id":"ITEM-3","issue":"2","issued":{"date-parts":[["1999"]]},"page":"385-396","title":"Impact of village hunting on wildlife populations in the Western Dja Reserve, Cameroon","type":"article-journal","volume":"13"},"uris":["http://www.mendeley.com/documents/?uuid=53717abb-19ea-4d13-8d7f-7066b575dde0"]}],"mendeley":{"formattedCitation":"(Noss 1998, 2000; Muchaal &amp; Ngandjui 1999)","manualFormatting":"(6% - 27% of catch: Noss 1998, 2000; Muchaal &amp; Ngandjui 1999)","plainTextFormattedCitation":"(Noss 1998, 2000; Muchaal &amp; Ngandjui 1999)","previouslyFormattedCitation":"(Noss 1998, 2000; Muchaal &amp; Ngandjui 1999)"},"properties":{"noteIndex":0},"schema":"https://github.com/citation-style-language/schema/raw/master/csl-citation.json"}</w:instrText>
      </w:r>
      <w:r w:rsidR="00194F35">
        <w:rPr>
          <w:color w:val="000000" w:themeColor="text1"/>
        </w:rPr>
        <w:fldChar w:fldCharType="separate"/>
      </w:r>
      <w:r w:rsidR="00194F35" w:rsidRPr="00194F35">
        <w:rPr>
          <w:noProof/>
          <w:color w:val="000000" w:themeColor="text1"/>
        </w:rPr>
        <w:t>(</w:t>
      </w:r>
      <w:r w:rsidR="00194F35" w:rsidRPr="00EE2428">
        <w:rPr>
          <w:noProof/>
          <w:color w:val="000000" w:themeColor="text1"/>
        </w:rPr>
        <w:t>6</w:t>
      </w:r>
      <w:r w:rsidR="00194F35">
        <w:rPr>
          <w:noProof/>
          <w:color w:val="000000" w:themeColor="text1"/>
        </w:rPr>
        <w:t xml:space="preserve">% - </w:t>
      </w:r>
      <w:r w:rsidR="00194F35" w:rsidRPr="00EE2428">
        <w:rPr>
          <w:noProof/>
          <w:color w:val="000000" w:themeColor="text1"/>
        </w:rPr>
        <w:t xml:space="preserve">27% of catch: </w:t>
      </w:r>
      <w:r w:rsidR="00194F35" w:rsidRPr="00194F35">
        <w:rPr>
          <w:noProof/>
          <w:color w:val="000000" w:themeColor="text1"/>
        </w:rPr>
        <w:t>Noss 1998, 2000; Muchaal &amp; Ngandjui 1999)</w:t>
      </w:r>
      <w:r w:rsidR="00194F35">
        <w:rPr>
          <w:color w:val="000000" w:themeColor="text1"/>
        </w:rPr>
        <w:fldChar w:fldCharType="end"/>
      </w:r>
      <w:r w:rsidR="008806AC" w:rsidRPr="00EE2428">
        <w:rPr>
          <w:color w:val="000000" w:themeColor="text1"/>
        </w:rPr>
        <w:t xml:space="preserve">. </w:t>
      </w:r>
      <w:r w:rsidRPr="00EE2428">
        <w:rPr>
          <w:color w:val="000000" w:themeColor="text1"/>
        </w:rPr>
        <w:t xml:space="preserve">The ease of access to </w:t>
      </w:r>
      <w:r w:rsidR="00180C5E">
        <w:rPr>
          <w:color w:val="000000" w:themeColor="text1"/>
        </w:rPr>
        <w:t xml:space="preserve">steel and plastic </w:t>
      </w:r>
      <w:r w:rsidRPr="00EE2428">
        <w:rPr>
          <w:color w:val="000000" w:themeColor="text1"/>
        </w:rPr>
        <w:t>cable in many African countries has undoubtedly enabled more snaring to take place</w:t>
      </w:r>
      <w:r w:rsidR="00180C5E">
        <w:rPr>
          <w:color w:val="000000" w:themeColor="text1"/>
        </w:rPr>
        <w:t xml:space="preserve"> over the past 50 years;</w:t>
      </w:r>
      <w:r w:rsidR="00194F35">
        <w:rPr>
          <w:color w:val="000000" w:themeColor="text1"/>
        </w:rPr>
        <w:t xml:space="preserve"> Coad</w:t>
      </w:r>
      <w:r w:rsidRPr="00EE2428">
        <w:rPr>
          <w:color w:val="000000" w:themeColor="text1"/>
        </w:rPr>
        <w:t xml:space="preserve"> </w:t>
      </w:r>
      <w:r w:rsidR="00194F35">
        <w:rPr>
          <w:color w:val="000000" w:themeColor="text1"/>
        </w:rPr>
        <w:fldChar w:fldCharType="begin" w:fldLock="1"/>
      </w:r>
      <w:r w:rsidR="0049489E">
        <w:rPr>
          <w:color w:val="000000" w:themeColor="text1"/>
        </w:rPr>
        <w:instrText>ADDIN CSL_CITATION {"citationItems":[{"id":"ITEM-1","itemData":{"author":[{"dropping-particle":"","family":"Coad","given":"Lauren","non-dropping-particle":"","parse-names":false,"suffix":""}],"id":"ITEM-1","issued":{"date-parts":[["2007"]]},"number-of-pages":"1-347","publisher":"PhD Thesis, University of Cambridge, UK","title":"Bushmeat hunting in Gabon: socio-economics and hunter behaviour","type":"book"},"uris":["http://www.mendeley.com/documents/?uuid=d233ab1b-d72c-4b6a-b7af-0f580a2c5a50"]}],"mendeley":{"formattedCitation":"(Coad 2007)","manualFormatting":"(2007)","plainTextFormattedCitation":"(Coad 2007)","previouslyFormattedCitation":"(Coad 2007)"},"properties":{"noteIndex":0},"schema":"https://github.com/citation-style-language/schema/raw/master/csl-citation.json"}</w:instrText>
      </w:r>
      <w:r w:rsidR="00194F35">
        <w:rPr>
          <w:color w:val="000000" w:themeColor="text1"/>
        </w:rPr>
        <w:fldChar w:fldCharType="separate"/>
      </w:r>
      <w:r w:rsidR="00194F35">
        <w:rPr>
          <w:noProof/>
          <w:color w:val="000000" w:themeColor="text1"/>
        </w:rPr>
        <w:t>(</w:t>
      </w:r>
      <w:r w:rsidR="00194F35" w:rsidRPr="00194F35">
        <w:rPr>
          <w:noProof/>
          <w:color w:val="000000" w:themeColor="text1"/>
        </w:rPr>
        <w:t>2007)</w:t>
      </w:r>
      <w:r w:rsidR="00194F35">
        <w:rPr>
          <w:color w:val="000000" w:themeColor="text1"/>
        </w:rPr>
        <w:fldChar w:fldCharType="end"/>
      </w:r>
      <w:r w:rsidRPr="00EE2428">
        <w:rPr>
          <w:color w:val="000000" w:themeColor="text1"/>
        </w:rPr>
        <w:t xml:space="preserve"> recorded over 9000 snares set per year in two rural villages in Central Gabon. </w:t>
      </w:r>
      <w:r w:rsidR="001852CB">
        <w:rPr>
          <w:color w:val="000000" w:themeColor="text1"/>
        </w:rPr>
        <w:t>Cable</w:t>
      </w:r>
      <w:r w:rsidR="00B41939" w:rsidRPr="0064175F">
        <w:rPr>
          <w:color w:val="000000" w:themeColor="text1"/>
        </w:rPr>
        <w:t xml:space="preserve"> </w:t>
      </w:r>
      <w:r w:rsidRPr="0070404D">
        <w:rPr>
          <w:color w:val="000000" w:themeColor="text1"/>
        </w:rPr>
        <w:t>snares are also employed in increasingly high densities in South</w:t>
      </w:r>
      <w:r w:rsidR="00F5671A">
        <w:rPr>
          <w:color w:val="000000" w:themeColor="text1"/>
        </w:rPr>
        <w:t>-E</w:t>
      </w:r>
      <w:r w:rsidRPr="0070404D">
        <w:rPr>
          <w:color w:val="000000" w:themeColor="text1"/>
        </w:rPr>
        <w:t xml:space="preserve">ast Asia </w:t>
      </w:r>
      <w:r w:rsidR="0049489E">
        <w:rPr>
          <w:color w:val="000000" w:themeColor="text1"/>
        </w:rPr>
        <w:fldChar w:fldCharType="begin" w:fldLock="1"/>
      </w:r>
      <w:r w:rsidR="0049489E">
        <w:rPr>
          <w:color w:val="000000" w:themeColor="text1"/>
        </w:rPr>
        <w:instrText>ADDIN CSL_CITATION {"citationItems":[{"id":"ITEM-1","itemData":{"DOI":"10.1126/science.aal4811","ISSN":"10959203","author":[{"dropping-particle":"","family":"Gray","given":"T N E","non-dropping-particle":"","parse-names":false,"suffix":""},{"dropping-particle":"","family":"Lynam","given":"A J","non-dropping-particle":"","parse-names":false,"suffix":""},{"dropping-particle":"","family":"Seng","given":"T","non-dropping-particle":"","parse-names":false,"suffix":""},{"dropping-particle":"","family":"Laurance","given":"W F","non-dropping-particle":"","parse-names":false,"suffix":""},{"dropping-particle":"","family":"Long","given":"B","non-dropping-particle":"","parse-names":false,"suffix":""},{"dropping-particle":"","family":"Scotson","given":"L","non-dropping-particle":"","parse-names":false,"suffix":""},{"dropping-particle":"","family":"Ripple","given":"W J","non-dropping-particle":"","parse-names":false,"suffix":""}],"container-title":"Science","id":"ITEM-1","issue":"6322","issued":{"date-parts":[["2017"]]},"page":"255-256","title":"Wildlife-snaring crisis in Asian forests","type":"article-journal","volume":"355"},"uris":["http://www.mendeley.com/documents/?uuid=388dd6ff-56b1-484e-abca-e0711c34f539"]},{"id":"ITEM-2","itemData":{"author":[{"dropping-particle":"","family":"Wutty","given":"C","non-dropping-particle":"","parse-names":false,"suffix":""},{"dropping-particle":"","family":"Simms","given":"A","non-dropping-particle":"","parse-names":false,"suffix":""}],"id":"ITEM-2","issued":{"date-parts":[["2005"]]},"publisher-place":"Conservation International, Natural Resource Protection Group and Fauna and Flora International","title":"Intelligence-led investigation into illegal wildlife hunting and trade in southwest Cambodia.","type":"report"},"uris":["http://www.mendeley.com/documents/?uuid=ce493be6-b656-446c-9014-c6b7bf099ef8"]}],"mendeley":{"formattedCitation":"(Wutty &amp; Simms 2005; Gray et al. 2017)","plainTextFormattedCitation":"(Wutty &amp; Simms 2005; Gray et al. 2017)","previouslyFormattedCitation":"(Wutty &amp; Simms 2005; Gray et al. 2017)"},"properties":{"noteIndex":0},"schema":"https://github.com/citation-style-language/schema/raw/master/csl-citation.json"}</w:instrText>
      </w:r>
      <w:r w:rsidR="0049489E">
        <w:rPr>
          <w:color w:val="000000" w:themeColor="text1"/>
        </w:rPr>
        <w:fldChar w:fldCharType="separate"/>
      </w:r>
      <w:r w:rsidR="0049489E" w:rsidRPr="0049489E">
        <w:rPr>
          <w:noProof/>
          <w:color w:val="000000" w:themeColor="text1"/>
        </w:rPr>
        <w:t>(Wutty &amp; Simms 2005; Gray et al. 2017)</w:t>
      </w:r>
      <w:r w:rsidR="0049489E">
        <w:rPr>
          <w:color w:val="000000" w:themeColor="text1"/>
        </w:rPr>
        <w:fldChar w:fldCharType="end"/>
      </w:r>
      <w:r w:rsidRPr="004904D8">
        <w:rPr>
          <w:color w:val="000000" w:themeColor="text1"/>
        </w:rPr>
        <w:t>, especially where gun control laws are more strictly enforced</w:t>
      </w:r>
      <w:r w:rsidR="00F5671A">
        <w:rPr>
          <w:color w:val="000000" w:themeColor="text1"/>
        </w:rPr>
        <w:t>, such as in Indonesia and Vietnam</w:t>
      </w:r>
      <w:r w:rsidRPr="004904D8">
        <w:rPr>
          <w:color w:val="000000" w:themeColor="text1"/>
        </w:rPr>
        <w:t xml:space="preserve">. </w:t>
      </w:r>
      <w:r w:rsidR="00A45934" w:rsidRPr="00A45934">
        <w:rPr>
          <w:color w:val="000000" w:themeColor="text1"/>
        </w:rPr>
        <w:t>In Southern Cardamom National Park, Cambodia, 27,714</w:t>
      </w:r>
      <w:r w:rsidR="00A45934">
        <w:rPr>
          <w:color w:val="000000" w:themeColor="text1"/>
        </w:rPr>
        <w:t xml:space="preserve"> </w:t>
      </w:r>
      <w:r w:rsidR="00A45934" w:rsidRPr="00A45934">
        <w:rPr>
          <w:color w:val="000000" w:themeColor="text1"/>
        </w:rPr>
        <w:t xml:space="preserve">snares </w:t>
      </w:r>
      <w:r w:rsidR="00A45934">
        <w:rPr>
          <w:color w:val="000000" w:themeColor="text1"/>
        </w:rPr>
        <w:t xml:space="preserve">were </w:t>
      </w:r>
      <w:r w:rsidR="00A45934" w:rsidRPr="00A45934">
        <w:rPr>
          <w:color w:val="000000" w:themeColor="text1"/>
        </w:rPr>
        <w:t>removed by law enforcement patrols</w:t>
      </w:r>
      <w:r w:rsidR="00A45934">
        <w:rPr>
          <w:color w:val="000000" w:themeColor="text1"/>
        </w:rPr>
        <w:t xml:space="preserve"> in</w:t>
      </w:r>
      <w:r w:rsidR="0049489E">
        <w:rPr>
          <w:color w:val="000000" w:themeColor="text1"/>
        </w:rPr>
        <w:t xml:space="preserve"> 2015</w:t>
      </w:r>
      <w:r w:rsidR="00A45934">
        <w:rPr>
          <w:color w:val="000000" w:themeColor="text1"/>
        </w:rPr>
        <w:t xml:space="preserve"> </w:t>
      </w:r>
      <w:r w:rsidR="0049489E">
        <w:rPr>
          <w:color w:val="000000" w:themeColor="text1"/>
        </w:rPr>
        <w:fldChar w:fldCharType="begin" w:fldLock="1"/>
      </w:r>
      <w:r w:rsidR="0049489E">
        <w:rPr>
          <w:color w:val="000000" w:themeColor="text1"/>
        </w:rPr>
        <w:instrText>ADDIN CSL_CITATION {"citationItems":[{"id":"ITEM-1","itemData":{"DOI":"10.1126/science.aal4811","ISSN":"10959203","author":[{"dropping-particle":"","family":"Gray","given":"T N E","non-dropping-particle":"","parse-names":false,"suffix":""},{"dropping-particle":"","family":"Lynam","given":"A J","non-dropping-particle":"","parse-names":false,"suffix":""},{"dropping-particle":"","family":"Seng","given":"T","non-dropping-particle":"","parse-names":false,"suffix":""},{"dropping-particle":"","family":"Laurance","given":"W F","non-dropping-particle":"","parse-names":false,"suffix":""},{"dropping-particle":"","family":"Long","given":"B","non-dropping-particle":"","parse-names":false,"suffix":""},{"dropping-particle":"","family":"Scotson","given":"L","non-dropping-particle":"","parse-names":false,"suffix":""},{"dropping-particle":"","family":"Ripple","given":"W J","non-dropping-particle":"","parse-names":false,"suffix":""}],"container-title":"Science","id":"ITEM-1","issue":"6322","issued":{"date-parts":[["2017"]]},"page":"255-256","title":"Wildlife-snaring crisis in Asian forests","type":"article-journal","volume":"355"},"uris":["http://www.mendeley.com/documents/?uuid=388dd6ff-56b1-484e-abca-e0711c34f539"]}],"mendeley":{"formattedCitation":"(Gray et al. 2017)","plainTextFormattedCitation":"(Gray et al. 2017)","previouslyFormattedCitation":"(Gray et al. 2017)"},"properties":{"noteIndex":0},"schema":"https://github.com/citation-style-language/schema/raw/master/csl-citation.json"}</w:instrText>
      </w:r>
      <w:r w:rsidR="0049489E">
        <w:rPr>
          <w:color w:val="000000" w:themeColor="text1"/>
        </w:rPr>
        <w:fldChar w:fldCharType="separate"/>
      </w:r>
      <w:r w:rsidR="0049489E" w:rsidRPr="0049489E">
        <w:rPr>
          <w:noProof/>
          <w:color w:val="000000" w:themeColor="text1"/>
        </w:rPr>
        <w:t>(Gray et al. 2017)</w:t>
      </w:r>
      <w:r w:rsidR="0049489E">
        <w:rPr>
          <w:color w:val="000000" w:themeColor="text1"/>
        </w:rPr>
        <w:fldChar w:fldCharType="end"/>
      </w:r>
      <w:r w:rsidR="00A45934">
        <w:rPr>
          <w:color w:val="000000" w:themeColor="text1"/>
        </w:rPr>
        <w:t xml:space="preserve">. </w:t>
      </w:r>
      <w:r w:rsidR="00461FE2">
        <w:rPr>
          <w:color w:val="000000" w:themeColor="text1"/>
        </w:rPr>
        <w:t>H</w:t>
      </w:r>
      <w:r w:rsidR="00461FE2" w:rsidRPr="004904D8">
        <w:rPr>
          <w:color w:val="000000" w:themeColor="text1"/>
        </w:rPr>
        <w:t>ighly</w:t>
      </w:r>
      <w:r w:rsidRPr="004904D8">
        <w:rPr>
          <w:color w:val="000000" w:themeColor="text1"/>
        </w:rPr>
        <w:t xml:space="preserve"> efficient drift fences that stretch several kilometres and contain hundreds </w:t>
      </w:r>
      <w:r w:rsidRPr="005512D2">
        <w:rPr>
          <w:color w:val="000000" w:themeColor="text1"/>
        </w:rPr>
        <w:t xml:space="preserve">of cable snares </w:t>
      </w:r>
      <w:r w:rsidR="00461FE2">
        <w:rPr>
          <w:color w:val="000000" w:themeColor="text1"/>
        </w:rPr>
        <w:t>can rapidly harvest c</w:t>
      </w:r>
      <w:r w:rsidRPr="004904D8">
        <w:rPr>
          <w:color w:val="000000" w:themeColor="text1"/>
        </w:rPr>
        <w:t>ommon species</w:t>
      </w:r>
      <w:r w:rsidR="00461FE2">
        <w:rPr>
          <w:color w:val="000000" w:themeColor="text1"/>
        </w:rPr>
        <w:t xml:space="preserve"> </w:t>
      </w:r>
      <w:r w:rsidR="0049489E">
        <w:rPr>
          <w:color w:val="000000" w:themeColor="text1"/>
        </w:rPr>
        <w:fldChar w:fldCharType="begin" w:fldLock="1"/>
      </w:r>
      <w:r w:rsidR="00B2630D">
        <w:rPr>
          <w:color w:val="000000" w:themeColor="text1"/>
        </w:rPr>
        <w:instrText>ADDIN CSL_CITATION {"citationItems":[{"id":"ITEM-1","itemData":{"author":[{"dropping-particle":"","family":"O'Kelly","given":"Hannah J.","non-dropping-particle":"","parse-names":false,"suffix":""}],"id":"ITEM-1","issued":{"date-parts":[["2013"]]},"number-of-pages":"149","publisher-place":"PhD Thesis, Imperial College London, UK","title":"Monitoring conservation threats, interventions and impacts on wildlife in a Cambodian tropical forest","type":"book"},"uris":["http://www.mendeley.com/documents/?uuid=873a5525-b6ca-4665-bca0-2bfef230dcd3"]}],"mendeley":{"formattedCitation":"(O’Kelly 2013)","plainTextFormattedCitation":"(O’Kelly 2013)","previouslyFormattedCitation":"(O’Kelly 2013)"},"properties":{"noteIndex":0},"schema":"https://github.com/citation-style-language/schema/raw/master/csl-citation.json"}</w:instrText>
      </w:r>
      <w:r w:rsidR="0049489E">
        <w:rPr>
          <w:color w:val="000000" w:themeColor="text1"/>
        </w:rPr>
        <w:fldChar w:fldCharType="separate"/>
      </w:r>
      <w:r w:rsidR="0049489E" w:rsidRPr="0049489E">
        <w:rPr>
          <w:noProof/>
          <w:color w:val="000000" w:themeColor="text1"/>
        </w:rPr>
        <w:t>(O’Kelly 2013)</w:t>
      </w:r>
      <w:r w:rsidR="0049489E">
        <w:rPr>
          <w:color w:val="000000" w:themeColor="text1"/>
        </w:rPr>
        <w:fldChar w:fldCharType="end"/>
      </w:r>
      <w:r w:rsidR="0049489E">
        <w:rPr>
          <w:color w:val="000000" w:themeColor="text1"/>
        </w:rPr>
        <w:t>.</w:t>
      </w:r>
    </w:p>
    <w:p w14:paraId="7D2A98EB" w14:textId="79038E0A" w:rsidR="006453AC" w:rsidRPr="00785A38" w:rsidRDefault="00CF08F2" w:rsidP="002C0EF9">
      <w:pPr>
        <w:jc w:val="both"/>
      </w:pPr>
      <w:r w:rsidRPr="005512D2">
        <w:rPr>
          <w:color w:val="000000" w:themeColor="text1"/>
        </w:rPr>
        <w:t xml:space="preserve">As the commercial demand for </w:t>
      </w:r>
      <w:r w:rsidR="008806AC" w:rsidRPr="005512D2">
        <w:rPr>
          <w:color w:val="000000" w:themeColor="text1"/>
        </w:rPr>
        <w:t>wil</w:t>
      </w:r>
      <w:r w:rsidR="008806AC" w:rsidRPr="003E3238">
        <w:rPr>
          <w:color w:val="000000" w:themeColor="text1"/>
        </w:rPr>
        <w:t>d meat</w:t>
      </w:r>
      <w:r w:rsidR="00A8497B">
        <w:rPr>
          <w:color w:val="000000" w:themeColor="text1"/>
        </w:rPr>
        <w:t xml:space="preserve"> increases, and/</w:t>
      </w:r>
      <w:r w:rsidR="00A8497B" w:rsidRPr="001E3BCA">
        <w:rPr>
          <w:color w:val="000000" w:themeColor="text1"/>
        </w:rPr>
        <w:t>or the Catch Per Unit E</w:t>
      </w:r>
      <w:r w:rsidRPr="001E3BCA">
        <w:rPr>
          <w:color w:val="000000" w:themeColor="text1"/>
        </w:rPr>
        <w:t xml:space="preserve">ffort </w:t>
      </w:r>
      <w:r w:rsidR="00A8497B" w:rsidRPr="001E3BCA">
        <w:rPr>
          <w:color w:val="000000" w:themeColor="text1"/>
        </w:rPr>
        <w:t xml:space="preserve">(CPUE) </w:t>
      </w:r>
      <w:r w:rsidRPr="001E3BCA">
        <w:rPr>
          <w:color w:val="000000" w:themeColor="text1"/>
        </w:rPr>
        <w:t xml:space="preserve">from snaring declines in a region, hunters are more likely to use firearms </w:t>
      </w:r>
      <w:r w:rsidR="0049489E">
        <w:rPr>
          <w:color w:val="000000" w:themeColor="text1"/>
        </w:rPr>
        <w:fldChar w:fldCharType="begin" w:fldLock="1"/>
      </w:r>
      <w:r w:rsidR="00B2630D">
        <w:rPr>
          <w:color w:val="000000" w:themeColor="text1"/>
        </w:rPr>
        <w:instrText>ADDIN CSL_CITATION {"citationItems":[{"id":"ITEM-1","itemData":{"DOI":"10.1111/cobi.12012","ISBN":"1523-1739","ISSN":"08888892","PMID":"23369059","abstract":"Despite widespread recognition of the major threat to tropical forest biological diversity and local food security posed by unsustainable bushmeat hunting, virtually no long-term studies tracking the socioecological dynamics of hunting systems have been conducted. We interviewed local hunters and collected detailed hunting data to investigate changes in offtake and hunter characteristics over 10 years (2001-2010) in Dibouka and Kouagna villages, central Gabon, in the context of hunter recollections of longer term trends since the 1950s. To control for changes in hunter behavior, such as trap location and characteristics, we report hunting offtake data per trap. Our results suggest the hunting area was already highly depleted by 2001; local hunters reported that 16 large-bodied prey species had become rare or locally extirpated over the last 60 years. Overall, we observed no significant declines in hunting offtake or changes in species composition from 2001 to 2010, and offtakes per trap increased slightly between 2004 and 2010. However, trapping distance from the villages increased, and there was a switch in hunting techniques; a larger proportion of the catch was hunted with guns in 2010. The number of hunters declined by 20% from 2004 to 2010, and male livelihood activities shifted away from hunting. Hunters with the lowest hunting incomes in 2004 were more likely than successful hunters to have moved away from the village by 2010 (often in response to alternative employment opportunities). Therefore, changes in trap success (potentially related to biological factors) were interacting with system-level changes in hunter number and composition (related to external socioeconomic factors) to produce a relatively static overall offtake. Our results highlight the importance of understanding the small-scale context of hunting to correctly interpret changes or apparent stasis in hunting effort and offtake over time.","author":[{"dropping-particle":"","family":"Coad","given":"L.","non-dropping-particle":"","parse-names":false,"suffix":""},{"dropping-particle":"","family":"Schleicher","given":"J.","non-dropping-particle":"","parse-names":false,"suffix":""},{"dropping-particle":"","family":"Milner-Gulland","given":"E. J.","non-dropping-particle":"","parse-names":false,"suffix":""},{"dropping-particle":"","family":"Marthews","given":"T. R.","non-dropping-particle":"","parse-names":false,"suffix":""},{"dropping-particle":"","family":"Starkey","given":"M.","non-dropping-particle":"","parse-names":false,"suffix":""},{"dropping-particle":"","family":"Manica","given":"A.","non-dropping-particle":"","parse-names":false,"suffix":""},{"dropping-particle":"","family":"Balmford","given":"A.","non-dropping-particle":"","parse-names":false,"suffix":""},{"dropping-particle":"","family":"Mbombe","given":"W.","non-dropping-particle":"","parse-names":false,"suffix":""},{"dropping-particle":"","family":"Diop Bineni","given":"T. R.","non-dropping-particle":"","parse-names":false,"suffix":""},{"dropping-particle":"","family":"Abernethy","given":"K. A.","non-dropping-particle":"","parse-names":false,"suffix":""}],"container-title":"Conservation Biology","id":"ITEM-1","issue":"2","issued":{"date-parts":[["2013"]]},"page":"270-280","title":"Social and ecological change over a decade in a village hunting system, Central Gabon","type":"article-journal","volume":"27"},"uris":["http://www.mendeley.com/documents/?uuid=2487128a-cfb3-488a-90a8-01aebd4969c4"]},{"id":"ITEM-2","itemData":{"abstract":"Bushmeat hunting is thought to be becoming increasingly unsustainable in west and central Africa, but true assessment of sustainability, and consequently appropriate management, is constrained by poor understanding of cause and effect. This cross-disciplinary study considers the complex and dynamic interactions between market, hunter and prey along an entire bushmeat chain in continental Equatorial Guinea, thus enabling evaluation of the sustainability of the system under different policy scenarios. Fieldwork was undertaken over a period of 18 months from 2002-2004. Market surveys and consumer interviews in Bata, the regional capital, were used to evaluate the determinants of urban bushmeat consumption: people preferred fresh meat and fish, including bushmeat, but tended to consume cheaper frozen foods more often. Bushmeat consumption increased with income. 1607 household and 72 hunter interviews were conducted in the village of Sendje, gateway to the forested Monte Alén National Park and major source of bushmeat to Bata. Men hunt for income because there are few other livelihood options. A village offtake survey estimated over 10,000 animals hunted per year (90% by trapping), hunted using a long-term rotation of camps up to 30 km from the village. Hunter behaviour, prey choice and animal encounter rates were recorded during 77 trapper and 48 gun-hunter follows. Trapping is currently preferred to gunhunting due to lower costs and relatively high returns. However, as the availability and affordability of guns and cartridges increases, and trapping success decreases, hunters are switching to shooting arboreal prey. Population densities of key primate prey species were estimated in two sites with differing gun-hunting histories, using 408 km of line transects. Whereas some of the guenon monkey species were still numerous in the heavily hunted village site, the absence of Colobus satanus suggests they are more vulnerable to hunting pressure. Extremely high densities of Colobus satanus were found inside the park, suggesting it should be an urgent conservation priority. The current oil boom in Equatorial Guinea is increasing urban wealth and subsequent demand for bushmeat. In the absence of alternative foods and rural livelihoods, and proper enforcement of protected areas, people will continue to hunt for the commercial bushmeat trade until many vulnerable species become at least locally extinct.","author":[{"dropping-particle":"","family":"Kümpel","given":"Noëlle Francesca","non-dropping-particle":"","parse-names":false,"suffix":""}],"id":"ITEM-2","issued":{"date-parts":[["2006"]]},"number-of-pages":"247","publisher":"PhD Thesis, Imperial College London, UK","publisher-place":"PhD Thesis, Imperial College London, UK","title":"Incentives for sustainable hunting of bushmeat in Río Muni, Equatorial Guinea","type":"book"},"uris":["http://www.mendeley.com/documents/?uuid=788befdd-0bff-48ba-8bc7-4515dc3b1e67"]},{"id":"ITEM-3","itemData":{"DOI":"10.1111/j.1365-2907.2009.00149.x","ISBN":"0305-1838","ISSN":"13652907","abstract":"Available information on the consumption of wild meat in West and Central Africa is reviewed. We show that mammals are the prime source of bushmeat, and that ungulates and rodents make up the highest proportion of biomass extracted. We present data on current knowledge of extraction patterns of wild mammals in West and Central Africa, and evidence that at current off-take levels, within the range states, mammals as bushmeat are being depleted on an unprecedented scale. Extraction rates are orders of magnitude higher there than in comparable ecosystems like the Amazon, and much less likely to be sustainable. However, basic knowledge of the biology of harvestable tropical moist forest mammals, and the consequences of hunting on mammalian communities, which permits accurate estimation of maximal production rate (the excess of growth over replacement rate), is largely unavailable, and this hinders estimation of hunting quotas and sustainability. Comparisons are made with the existing information available on Amazon basin mammals and hunting patterns reported there.","author":[{"dropping-particle":"","family":"Fa","given":"John E.","non-dropping-particle":"","parse-names":false,"suffix":""},{"dropping-particle":"","family":"Brown","given":"David","non-dropping-particle":"","parse-names":false,"suffix":""}],"container-title":"Mammal Review","id":"ITEM-3","issue":"4","issued":{"date-parts":[["2009"]]},"page":"231-264","title":"Impacts of hunting on mammals in African tropical moist forests: a review and synthesis","type":"article-journal","volume":"39"},"uris":["http://www.mendeley.com/documents/?uuid=fa2ec957-0355-4f82-b4c3-5602496006e3"]}],"mendeley":{"formattedCitation":"(Kümpel 2006; Fa &amp; Brown 2009; Coad et al. 2013)","plainTextFormattedCitation":"(Kümpel 2006; Fa &amp; Brown 2009; Coad et al. 2013)","previouslyFormattedCitation":"(Kümpel 2006; Fa &amp; Brown 2009; Coad et al. 2013)"},"properties":{"noteIndex":0},"schema":"https://github.com/citation-style-language/schema/raw/master/csl-citation.json"}</w:instrText>
      </w:r>
      <w:r w:rsidR="0049489E">
        <w:rPr>
          <w:color w:val="000000" w:themeColor="text1"/>
        </w:rPr>
        <w:fldChar w:fldCharType="separate"/>
      </w:r>
      <w:r w:rsidR="00A11C8C" w:rsidRPr="00A11C8C">
        <w:rPr>
          <w:noProof/>
          <w:color w:val="000000" w:themeColor="text1"/>
        </w:rPr>
        <w:t>(Kümpel 2006; Fa &amp; Brown 2009; Coad et al. 2013)</w:t>
      </w:r>
      <w:r w:rsidR="0049489E">
        <w:rPr>
          <w:color w:val="000000" w:themeColor="text1"/>
        </w:rPr>
        <w:fldChar w:fldCharType="end"/>
      </w:r>
      <w:r w:rsidRPr="001E3BCA">
        <w:rPr>
          <w:color w:val="000000" w:themeColor="text1"/>
        </w:rPr>
        <w:t xml:space="preserve">. The precolonial Atlantic trade introduced guns into Central Africa as early as the late 1800s, though guns only became common in the </w:t>
      </w:r>
      <w:r w:rsidR="00B41EE5">
        <w:rPr>
          <w:color w:val="000000" w:themeColor="text1"/>
        </w:rPr>
        <w:fldChar w:fldCharType="begin" w:fldLock="1"/>
      </w:r>
      <w:r w:rsidR="00B41EE5">
        <w:rPr>
          <w:color w:val="000000" w:themeColor="text1"/>
        </w:rPr>
        <w:instrText>ADDIN CSL_CITATION {"citationItems":[{"id":"ITEM-1","itemData":{"author":[{"dropping-particle":"","family":"Bernault","given":"F.","non-dropping-particle":"","parse-names":false,"suffix":""}],"id":"ITEM-1","issued":{"date-parts":[["1996"]]},"publisher":"Karthala","publisher-place":"Paris, France","title":"Démocraties ambigües en Afrique Centrale: Congo-Brazzaville et Gabon, 1945-1965","type":"book"},"uris":["http://www.mendeley.com/documents/?uuid=64661bb7-62f7-47ef-9899-06d768c0006c"]},{"id":"ITEM-2","itemData":{"DOI":"10.5751/ES-08047-200431","ISSN":"17083087","abstract":"©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Society","id":"ITEM-2","issue":"4","issued":{"date-parts":[["2015"]]},"title":"Evolving hunting practices in gabon: Lessons for community-based conservation interventions","type":"article-journal","volume":"20"},"uris":["http://www.mendeley.com/documents/?uuid=929a2061-e229-4516-9546-6b6fcea8cade"]}],"mendeley":{"formattedCitation":"(Bernault 1996; Walters et al. 2015)","plainTextFormattedCitation":"(Bernault 1996; Walters et al. 2015)","previouslyFormattedCitation":"(Bernault 1996; Walters et al. 2015)"},"properties":{"noteIndex":0},"schema":"https://github.com/citation-style-language/schema/raw/master/csl-citation.json"}</w:instrText>
      </w:r>
      <w:r w:rsidR="00B41EE5">
        <w:rPr>
          <w:color w:val="000000" w:themeColor="text1"/>
        </w:rPr>
        <w:fldChar w:fldCharType="separate"/>
      </w:r>
      <w:r w:rsidR="00B41EE5" w:rsidRPr="00B41EE5">
        <w:rPr>
          <w:noProof/>
          <w:color w:val="000000" w:themeColor="text1"/>
        </w:rPr>
        <w:t>(Bernault 1996; Walters et al. 2015)</w:t>
      </w:r>
      <w:r w:rsidR="00B41EE5">
        <w:rPr>
          <w:color w:val="000000" w:themeColor="text1"/>
        </w:rPr>
        <w:fldChar w:fldCharType="end"/>
      </w:r>
      <w:r w:rsidRPr="001E3BCA">
        <w:rPr>
          <w:color w:val="000000" w:themeColor="text1"/>
        </w:rPr>
        <w:t xml:space="preserve">. </w:t>
      </w:r>
      <w:r w:rsidR="00F5671A" w:rsidRPr="001E3BCA">
        <w:rPr>
          <w:color w:val="000000" w:themeColor="text1"/>
        </w:rPr>
        <w:t xml:space="preserve">The transition from snaring to hunting with guns has been documented in some Central African communities. </w:t>
      </w:r>
      <w:r w:rsidRPr="001E3BCA">
        <w:rPr>
          <w:color w:val="000000" w:themeColor="text1"/>
        </w:rPr>
        <w:t xml:space="preserve">When interviewed, older members </w:t>
      </w:r>
      <w:r w:rsidRPr="003E3238">
        <w:rPr>
          <w:color w:val="000000" w:themeColor="text1"/>
        </w:rPr>
        <w:t>of</w:t>
      </w:r>
      <w:r w:rsidRPr="00EE2428">
        <w:rPr>
          <w:color w:val="000000" w:themeColor="text1"/>
        </w:rPr>
        <w:t xml:space="preserve"> Central African forest communities often cite the introduction of guns as resulting in sharp declines in animal abundance, especially arboreal primates </w:t>
      </w:r>
      <w:r w:rsidR="00AB268B">
        <w:rPr>
          <w:color w:val="000000" w:themeColor="text1"/>
        </w:rPr>
        <w:fldChar w:fldCharType="begin" w:fldLock="1"/>
      </w:r>
      <w:r w:rsidR="00C51889">
        <w:rPr>
          <w:color w:val="000000" w:themeColor="text1"/>
        </w:rPr>
        <w:instrText>ADDIN CSL_CITATION {"citationItems":[{"id":"ITEM-1","itemData":{"DOI":"10.1111/j.1523-1739.2010.01525.x","author":[{"dropping-particle":"","family":"Coad","given":"L.","non-dropping-particle":"","parse-names":false,"suffix":""},{"dropping-particle":"","family":"Abernethy","given":"K.A.","non-dropping-particle":"","parse-names":false,"suffix":""},{"dropping-particle":"","family":"Balmford","given":"A.","non-dropping-particle":"","parse-names":false,"suffix":""},{"dropping-particle":"","family":"Manica","given":"A.","non-dropping-particle":"","parse-names":false,"suffix":""},{"dropping-particle":"","family":"Airey","given":"L.","non-dropping-particle":"","parse-names":false,"suffix":""},{"dropping-particle":"","family":"Milner-Gulland","given":"E.J.","non-dropping-particle":"","parse-names":false,"suffix":""}],"container-title":"Conservation Biology","id":"ITEM-1","issued":{"date-parts":[["2010"]]},"page":"1510-1518","title":"Distribution and use of income from bushmeat in a rural village, Central Gabon","type":"article-journal","volume":"24"},"uris":["http://www.mendeley.com/documents/?uuid=1613662d-7cac-4308-b879-4bfff838b077"]},{"id":"ITEM-2","itemData":{"DOI":"10.1007/s10764-008-9254-9","ISBN":"1076400892","ISSN":"0164-0291","author":[{"dropping-particle":"","family":"Kümpel","given":"Noëlle F.","non-dropping-particle":"","parse-names":false,"suffix":""},{"dropping-particle":"","family":"Milner-Gulland","given":"E. J.","non-dropping-particle":"","parse-names":false,"suffix":""},{"dropping-particle":"","family":"Rowcliffe","given":"J. Marcus","non-dropping-particle":"","parse-names":false,"suffix":""},{"dropping-particle":"","family":"Cowlishaw","given":"Guy","non-dropping-particle":"","parse-names":false,"suffix":""}],"container-title":"International Journal of Primatology","id":"ITEM-2","issue":"4","issued":{"date-parts":[["2008","6","11"]]},"page":"1065-1082","title":"Impact of gun-hunting on diurnal primates in continental Equatorial Guinea","type":"article-journal","volume":"29"},"uris":["http://www.mendeley.com/documents/?uuid=f161fc9d-fa81-4792-a669-73480f096c0a"]},{"id":"ITEM-3","itemData":{"DOI":"10.5751/ES-08047-200431","ISSN":"17083087","abstract":"©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Society","id":"ITEM-3","issue":"4","issued":{"date-parts":[["2015"]]},"title":"Evolving hunting practices in gabon: Lessons for community-based conservation interventions","type":"article-journal","volume":"20"},"uris":["http://www.mendeley.com/documents/?uuid=929a2061-e229-4516-9546-6b6fcea8cade"]}],"mendeley":{"formattedCitation":"(Kümpel et al. 2008; Coad et al. 2010; Walters et al. 2015)","plainTextFormattedCitation":"(Kümpel et al. 2008; Coad et al. 2010; Walters et al. 2015)","previouslyFormattedCitation":"(Kümpel et al. 2008; Coad et al. 2010; Walters et al. 2015)"},"properties":{"noteIndex":0},"schema":"https://github.com/citation-style-language/schema/raw/master/csl-citation.json"}</w:instrText>
      </w:r>
      <w:r w:rsidR="00AB268B">
        <w:rPr>
          <w:color w:val="000000" w:themeColor="text1"/>
        </w:rPr>
        <w:fldChar w:fldCharType="separate"/>
      </w:r>
      <w:r w:rsidR="004821B4" w:rsidRPr="004821B4">
        <w:rPr>
          <w:noProof/>
          <w:color w:val="000000" w:themeColor="text1"/>
        </w:rPr>
        <w:t>(Kümpel et al. 2008; Coad et al. 2010; Walters et al. 2015)</w:t>
      </w:r>
      <w:r w:rsidR="00AB268B">
        <w:rPr>
          <w:color w:val="000000" w:themeColor="text1"/>
        </w:rPr>
        <w:fldChar w:fldCharType="end"/>
      </w:r>
      <w:r w:rsidR="00A115A2" w:rsidRPr="00960EBB">
        <w:rPr>
          <w:color w:val="000000" w:themeColor="text1"/>
        </w:rPr>
        <w:t xml:space="preserve"> which were previously far more inaccessible to hunters</w:t>
      </w:r>
      <w:r w:rsidRPr="00960EBB">
        <w:rPr>
          <w:color w:val="000000" w:themeColor="text1"/>
        </w:rPr>
        <w:t xml:space="preserve">. </w:t>
      </w:r>
      <w:r w:rsidR="006D7D74" w:rsidRPr="00960EBB">
        <w:t xml:space="preserve">In villages in north-eastern Gabon, Van Vliet </w:t>
      </w:r>
      <w:r w:rsidR="00C90E0C" w:rsidRPr="00960EBB">
        <w:t>and</w:t>
      </w:r>
      <w:r w:rsidR="006D7D74" w:rsidRPr="00960EBB">
        <w:t xml:space="preserve"> Nasi </w:t>
      </w:r>
      <w:r w:rsidR="00B41EE5" w:rsidRPr="00960EBB">
        <w:fldChar w:fldCharType="begin" w:fldLock="1"/>
      </w:r>
      <w:r w:rsidR="00B41EE5" w:rsidRPr="00960EBB">
        <w:instrText>ADDIN CSL_CITATION {"citationItems":[{"id":"ITEM-1","itemData":{"DOI":"10.1017/S0030605308000288","ISBN":"0030-6053","ISSN":"00306053","abstract":"Hunting of wildlife in Central Africa is largely considered to be unsustainable. Several studies indicate that most mammal species should already have disap- peared from many Central African forests but markets continue to be supplied with bushmeat, with no sign of large scale extinction of the most common species. Most studies of the sustainability of duiker (Cephalophus spp.) hunting in Central Africa are based on the same index of hunting. We illustrate how uncertainty is accumulated in these estimations of sustainability. We show that the results obtained in different sites are not comparable because a variety of methods have been used to calculate the parameters of the model and each of the methods has different sources of error. For the assessment of maximum sustainable harvest for duikers, the studies reviewed differ mainly in the value chosen for the hypothetical adjustment factor, and the method used to calculate the rate of maximum population increase and to estimate duiker population densities. For the assessment of annual hunting offtake the studies differ mainly in the scale at which they were conducted (village or regional), and sampling and extrapolation methods. Without evaluation of accuracy and standardization of methods for the estimation of maximum sustainable harvest and annual offtake, conclu- sions regarding harvesting based on biological indices should be treated with extreme caution.","author":[{"dropping-particle":"","family":"Vliet","given":"Nathalie","non-dropping-particle":"Van","parse-names":false,"suffix":""},{"dropping-particle":"","family":"Nasi","given":"Robert","non-dropping-particle":"","parse-names":false,"suffix":""}],"container-title":"Oryx","id":"ITEM-1","issue":"3","issued":{"date-parts":[["2008"]]},"page":"392-399","title":"Why do models fail to assess properly the sustainability of duiker (Cephalophus spp.) hunting in Central Africa?","type":"article-journal","volume":"42"},"uris":["http://www.mendeley.com/documents/?uuid=8ab0c790-73f3-45e5-8438-5c7204245abd"]}],"mendeley":{"formattedCitation":"(Van Vliet &amp; Nasi 2008)","manualFormatting":"(2008)","plainTextFormattedCitation":"(Van Vliet &amp; Nasi 2008)","previouslyFormattedCitation":"(Van Vliet &amp; Nasi 2008)"},"properties":{"noteIndex":0},"schema":"https://github.com/citation-style-language/schema/raw/master/csl-citation.json"}</w:instrText>
      </w:r>
      <w:r w:rsidR="00B41EE5" w:rsidRPr="00960EBB">
        <w:fldChar w:fldCharType="separate"/>
      </w:r>
      <w:r w:rsidR="00B41EE5" w:rsidRPr="00960EBB">
        <w:rPr>
          <w:noProof/>
        </w:rPr>
        <w:t>(2008)</w:t>
      </w:r>
      <w:r w:rsidR="00B41EE5" w:rsidRPr="00960EBB">
        <w:fldChar w:fldCharType="end"/>
      </w:r>
      <w:r w:rsidR="006D7D74" w:rsidRPr="00960EBB">
        <w:t xml:space="preserve"> showed that hunting patterns changed rapidly</w:t>
      </w:r>
      <w:r w:rsidR="00F5671A" w:rsidRPr="00960EBB">
        <w:t xml:space="preserve"> between the 1980s and 2006</w:t>
      </w:r>
      <w:r w:rsidR="006D7D74" w:rsidRPr="00960EBB">
        <w:t xml:space="preserve">, mainly because of </w:t>
      </w:r>
      <w:r w:rsidR="008806AC" w:rsidRPr="00960EBB">
        <w:t>the spread</w:t>
      </w:r>
      <w:r w:rsidR="006D7D74" w:rsidRPr="00960EBB">
        <w:t xml:space="preserve"> of gun hunting. Whereas snares were more commonly used than guns in the late 1980s, </w:t>
      </w:r>
      <w:r w:rsidR="000635B7" w:rsidRPr="00960EBB">
        <w:t xml:space="preserve">when </w:t>
      </w:r>
      <w:r w:rsidR="006D7D74" w:rsidRPr="00960EBB">
        <w:t>each hunter had an average of 105 cable</w:t>
      </w:r>
      <w:r w:rsidR="006D7D74" w:rsidRPr="00785A38">
        <w:t xml:space="preserve"> snares</w:t>
      </w:r>
      <w:r w:rsidR="000635B7" w:rsidRPr="00785A38">
        <w:t>/year</w:t>
      </w:r>
      <w:r w:rsidR="006D7D74" w:rsidRPr="00785A38">
        <w:t>, by 2006–2007, the mean number of snares per hunter had fallen to 15</w:t>
      </w:r>
      <w:r w:rsidR="000635B7" w:rsidRPr="00785A38">
        <w:t>/year</w:t>
      </w:r>
      <w:r w:rsidR="006D7D74" w:rsidRPr="00785A38">
        <w:t>, and 85% of th</w:t>
      </w:r>
      <w:r w:rsidR="007B7082" w:rsidRPr="00785A38">
        <w:t xml:space="preserve">e registered hunting trips used </w:t>
      </w:r>
      <w:r w:rsidR="006D7D74" w:rsidRPr="00785A38">
        <w:t xml:space="preserve">guns. A </w:t>
      </w:r>
      <w:r w:rsidR="007B7082" w:rsidRPr="00785A38">
        <w:t>shift</w:t>
      </w:r>
      <w:r w:rsidR="006D7D74" w:rsidRPr="00785A38">
        <w:t xml:space="preserve"> from snaring to gun hunting was also recorded in Cameroon between 2003 and 2016</w:t>
      </w:r>
      <w:r w:rsidR="006453AC" w:rsidRPr="00785A38">
        <w:t xml:space="preserve"> </w:t>
      </w:r>
      <w:r w:rsidR="00B41EE5">
        <w:fldChar w:fldCharType="begin" w:fldLock="1"/>
      </w:r>
      <w:r w:rsidR="00B41EE5">
        <w:instrText>ADDIN CSL_CITATION {"citationItems":[{"id":"ITEM-1","itemData":{"DOI":"10.1016/j.actao.2017.09.007","author":[{"dropping-particle":"","family":"Avila","given":"Eva","non-dropping-particle":"","parse-names":false,"suffix":""},{"dropping-particle":"","family":"Vargas","given":"J Mario","non-dropping-particle":"","parse-names":false,"suffix":""},{"dropping-particle":"","family":"Bonat","given":"Wagner H","non-dropping-particle":"","parse-names":false,"suffix":""},{"dropping-particle":"","family":"Dupain","given":"Jef","non-dropping-particle":"","parse-names":false,"suffix":""},{"dropping-particle":"","family":"Epanda","given":"Manfred A","non-dropping-particle":"","parse-names":false,"suffix":""},{"dropping-particle":"","family":"Luyten","given":"Inge","non-dropping-particle":"","parse-names":false,"suffix":""},{"dropping-particle":"","family":"Tedonzong","given":"Luc","non-dropping-particle":"","parse-names":false,"suffix":""},{"dropping-particle":"","family":"Peeters","given":"Martine","non-dropping-particle":"","parse-names":false,"suffix":""},{"dropping-particle":"","family":"Fa","given":"John E","non-dropping-particle":"","parse-names":false,"suffix":""}],"container-title":"Acta Oecologica","id":"ITEM-1","issued":{"date-parts":[["2017"]]},"page":"1-9","title":"Interpreting long-term trends in bushmeat harvest in southeast Cameroon","type":"article-journal"},"uris":["http://www.mendeley.com/documents/?uuid=ed9e40ec-0743-469c-b8c1-d4c84a42d0f9"]}],"mendeley":{"formattedCitation":"(Avila et al. 2017)","plainTextFormattedCitation":"(Avila et al. 2017)","previouslyFormattedCitation":"(Avila et al. 2017)"},"properties":{"noteIndex":0},"schema":"https://github.com/citation-style-language/schema/raw/master/csl-citation.json"}</w:instrText>
      </w:r>
      <w:r w:rsidR="00B41EE5">
        <w:fldChar w:fldCharType="separate"/>
      </w:r>
      <w:r w:rsidR="00B41EE5" w:rsidRPr="00B41EE5">
        <w:rPr>
          <w:noProof/>
        </w:rPr>
        <w:t>(Avila et al. 2017)</w:t>
      </w:r>
      <w:r w:rsidR="00B41EE5">
        <w:fldChar w:fldCharType="end"/>
      </w:r>
      <w:r w:rsidR="006453AC" w:rsidRPr="00785A38">
        <w:t xml:space="preserve">. </w:t>
      </w:r>
    </w:p>
    <w:p w14:paraId="538A8747" w14:textId="4596639F" w:rsidR="00F5671A" w:rsidRDefault="00F5671A" w:rsidP="002C0EF9">
      <w:pPr>
        <w:jc w:val="both"/>
        <w:rPr>
          <w:color w:val="000000" w:themeColor="text1"/>
        </w:rPr>
      </w:pPr>
      <w:r w:rsidRPr="0070404D">
        <w:rPr>
          <w:color w:val="000000" w:themeColor="text1"/>
        </w:rPr>
        <w:t xml:space="preserve">Similarly, </w:t>
      </w:r>
      <w:r>
        <w:rPr>
          <w:color w:val="000000" w:themeColor="text1"/>
        </w:rPr>
        <w:t>the Neotropics has</w:t>
      </w:r>
      <w:r w:rsidRPr="005512D2">
        <w:rPr>
          <w:color w:val="000000" w:themeColor="text1"/>
        </w:rPr>
        <w:t xml:space="preserve"> seen an almost universal exchange of traditional weapons with guns</w:t>
      </w:r>
      <w:r w:rsidRPr="0070404D" w:rsidDel="002F1590">
        <w:rPr>
          <w:color w:val="000000" w:themeColor="text1"/>
        </w:rPr>
        <w:t xml:space="preserve"> </w:t>
      </w:r>
      <w:r>
        <w:rPr>
          <w:color w:val="000000" w:themeColor="text1"/>
        </w:rPr>
        <w:t>in the last two decades.</w:t>
      </w:r>
      <w:r w:rsidRPr="0070404D" w:rsidDel="002F1590">
        <w:rPr>
          <w:color w:val="000000" w:themeColor="text1"/>
        </w:rPr>
        <w:t xml:space="preserve"> </w:t>
      </w:r>
      <w:r w:rsidRPr="004904D8">
        <w:rPr>
          <w:color w:val="000000" w:themeColor="text1"/>
        </w:rPr>
        <w:t xml:space="preserve"> </w:t>
      </w:r>
      <w:r w:rsidR="00A479D2">
        <w:rPr>
          <w:color w:val="000000" w:themeColor="text1"/>
        </w:rPr>
        <w:t>W</w:t>
      </w:r>
      <w:r w:rsidR="00A479D2" w:rsidRPr="004904D8">
        <w:rPr>
          <w:color w:val="000000" w:themeColor="text1"/>
        </w:rPr>
        <w:t xml:space="preserve">hile certain indigenous groups </w:t>
      </w:r>
      <w:r w:rsidR="00A479D2" w:rsidRPr="0070404D">
        <w:rPr>
          <w:color w:val="000000" w:themeColor="text1"/>
        </w:rPr>
        <w:t>in the Neotropi</w:t>
      </w:r>
      <w:r w:rsidR="00A479D2" w:rsidRPr="004904D8">
        <w:rPr>
          <w:color w:val="000000" w:themeColor="text1"/>
        </w:rPr>
        <w:t>cs still use blow pipes and</w:t>
      </w:r>
      <w:r w:rsidR="00A479D2" w:rsidRPr="005512D2">
        <w:rPr>
          <w:color w:val="000000" w:themeColor="text1"/>
        </w:rPr>
        <w:t xml:space="preserve"> bows an</w:t>
      </w:r>
      <w:r w:rsidR="00A479D2">
        <w:rPr>
          <w:color w:val="000000" w:themeColor="text1"/>
        </w:rPr>
        <w:t xml:space="preserve">d arrows to capture their prey, </w:t>
      </w:r>
      <w:r w:rsidR="00A479D2" w:rsidRPr="005512D2">
        <w:rPr>
          <w:color w:val="000000" w:themeColor="text1"/>
        </w:rPr>
        <w:t xml:space="preserve">guns have a wider target area and a longer </w:t>
      </w:r>
      <w:r w:rsidR="00A479D2" w:rsidRPr="005512D2">
        <w:rPr>
          <w:color w:val="000000" w:themeColor="text1"/>
        </w:rPr>
        <w:lastRenderedPageBreak/>
        <w:t>range than the traditional methods</w:t>
      </w:r>
      <w:r w:rsidR="00A479D2">
        <w:rPr>
          <w:color w:val="000000" w:themeColor="text1"/>
        </w:rPr>
        <w:t>.</w:t>
      </w:r>
      <w:r w:rsidR="00A479D2" w:rsidRPr="005512D2">
        <w:rPr>
          <w:color w:val="000000" w:themeColor="text1"/>
        </w:rPr>
        <w:t xml:space="preserve"> </w:t>
      </w:r>
      <w:r>
        <w:rPr>
          <w:color w:val="000000" w:themeColor="text1"/>
        </w:rPr>
        <w:t xml:space="preserve">This use of guns </w:t>
      </w:r>
      <w:r w:rsidRPr="005512D2">
        <w:rPr>
          <w:color w:val="000000" w:themeColor="text1"/>
        </w:rPr>
        <w:t>vastly increas</w:t>
      </w:r>
      <w:r>
        <w:rPr>
          <w:color w:val="000000" w:themeColor="text1"/>
        </w:rPr>
        <w:t>ed</w:t>
      </w:r>
      <w:r w:rsidRPr="005512D2">
        <w:rPr>
          <w:color w:val="000000" w:themeColor="text1"/>
        </w:rPr>
        <w:t xml:space="preserve"> the variety of target species that may be harvested </w:t>
      </w:r>
      <w:r w:rsidR="00B41EE5">
        <w:rPr>
          <w:color w:val="000000" w:themeColor="text1"/>
        </w:rPr>
        <w:fldChar w:fldCharType="begin" w:fldLock="1"/>
      </w:r>
      <w:r w:rsidR="00B2630D">
        <w:rPr>
          <w:color w:val="000000" w:themeColor="text1"/>
        </w:rPr>
        <w:instrText>ADDIN CSL_CITATION {"citationItems":[{"id":"ITEM-1","itemData":{"DOI":"10.1111/j.1469-1795.2009.00330.x","ISBN":"1367-9430","ISSN":"13679430","abstract":"Over the last decades, native Amazonians have put increasing pressure on animal wildlife owing to growth in demand. Across societies, household monetary income and wealth shape food consumption; hence, so it is natural to ask what effect might these variables have on the demand for wildlife consumption among native Amazonians, particularly as they gain a stronger foothold in the market economy and increasing de jure stewardship over their territories. Prior estimates of the effects of household monetary income and household wealth on wildlife consumption among native Amazonians have relied on cross-sectional data and produced unclear results. The goal of this research was to improve the precision of previous estimates by drawing on a larger sample and on longitudinal data. The analysis draws on a dataset composed of five consecutive annual surveys (2002–2006, inclusive) from 324 households in a native Amazonian society of foragers and farmers in Bolivia (Tsimane'). Multiple regression analysis is used to estimate the association between wildlife consumption and monetary income and wealth. Wildlife consumption bore a positive association with the level of household wealth and no significant association with household monetary income. Among Tsimane', the main internal threat to wildlife conservation in the short run will likely arise from increases in wealth, probably from the enhanced capacity that selected physical assets (e.g. guns) have in the capture of animal wildlife.","author":[{"dropping-particle":"","family":"Godoy","given":"R.","non-dropping-particle":"","parse-names":false,"suffix":""},{"dropping-particle":"","family":"Undurraga","given":"E. A.","non-dropping-particle":"","parse-names":false,"suffix":""},{"dropping-particle":"","family":"Wilkie","given":"D.","non-dropping-particle":"","parse-names":false,"suffix":""},{"dropping-particle":"","family":"Reyes-Garc??a","given":"V.","non-dropping-particle":"","parse-names":false,"suffix":""},{"dropping-particle":"","family":"Huanca","given":"T.","non-dropping-particle":"","parse-names":false,"suffix":""},{"dropping-particle":"","family":"Leonard","given":"W. R.","non-dropping-particle":"","parse-names":false,"suffix":""},{"dropping-particle":"","family":"McDade","given":"T.","non-dropping-particle":"","parse-names":false,"suffix":""},{"dropping-particle":"","family":"Tanner","given":"S.","non-dropping-particle":"","parse-names":false,"suffix":""},{"dropping-particle":"","family":"Vadez","given":"V.","non-dropping-particle":"","parse-names":false,"suffix":""}],"container-title":"Animal Conservation","id":"ITEM-1","issue":"3","issued":{"date-parts":[["2010"]]},"page":"265-274","title":"The effect of wealth and real income on wildlife consumption among native Amazonians in Bolivia: estimates of annual trends with longitudinal household data (2002-2006)","type":"article-journal","volume":"13"},"uris":["http://www.mendeley.com/documents/?uuid=3c399487-e5c0-4e2a-ba53-0886526b4469"]},{"id":"ITEM-2","itemData":{"DOI":"10.1177/0169796X0902400404","ISBN":"0169-796X","ISSN":"0169796X","abstract":"This article explores to what extent poverty, markets and entitlements act as incentives or deterrents for more intensive use of wildlife. Taking into consideration neoliberal 'Fuji-shock' of 1990 that eliminated subsidies and support for small-scale agriculture in Peru, I use data on wildlife use in two communities in Loreto that have different entitlements to natural resources and different access to markets and landforms. Results show the community with better entitlements and access to markets makes more intensive use of wildlife and forest products, which challenges the easy association between poverty and resource degradation, and the need to consider access to markets. In a context of low and volatile prices for agriculture and vulnerable livelihoods, extraction of wildlife and forest resources has become more intensive and includes protected wildlife species. Analysis suggests the strong environmental implications of neoliberal globalization at the micro level and the need to frame wildlife use in the context of adaptive livelihoods and macroeconomic changes. © 2008 SAGE Publications.","author":[{"dropping-particle":"","family":"Espinosa","given":"M. C.","non-dropping-particle":"","parse-names":false,"suffix":""}],"container-title":"Journal of Developing Societies","id":"ITEM-2","issue":"4","issued":{"date-parts":[["2008"]]},"page":"489-521","title":"What has globalization to do with wildlife use in the remote amazon? exploring the links between macroeconomic changes, markets and community entitlements","type":"article-journal","volume":"24"},"uris":["http://www.mendeley.com/documents/?uuid=56cba273-c7b8-4245-acbc-6854d22364f6"]},{"id":"ITEM-3","itemData":{"author":[{"dropping-particle":"","family":"Jerozolimski","given":"Adriano","non-dropping-particle":"","parse-names":false,"suffix":""},{"dropping-particle":"","family":"Peres","given":"Carlos A","non-dropping-particle":"","parse-names":false,"suffix":""}],"container-title":"Biological Conservation","id":"ITEM-3","issued":{"date-parts":[["2003"]]},"page":"415-425","title":"Bringing home the biggest bacon: a cross-site analysis of the structure of hunter-kill profiles in Neotropical forests","type":"article-journal","volume":"111"},"uris":["http://www.mendeley.com/documents/?uuid=6bf3a22a-7b0e-4dfb-be28-6ec52b7815da"]}],"mendeley":{"formattedCitation":"(Jerozolimski &amp; Peres 2003; Espinosa 2008; Godoy et al. 2010)","plainTextFormattedCitation":"(Jerozolimski &amp; Peres 2003; Espinosa 2008; Godoy et al. 2010)","previouslyFormattedCitation":"(Jerozolimski &amp; Peres 2003; Espinosa 2008; Godoy et al. 2010)"},"properties":{"noteIndex":0},"schema":"https://github.com/citation-style-language/schema/raw/master/csl-citation.json"}</w:instrText>
      </w:r>
      <w:r w:rsidR="00B41EE5">
        <w:rPr>
          <w:color w:val="000000" w:themeColor="text1"/>
        </w:rPr>
        <w:fldChar w:fldCharType="separate"/>
      </w:r>
      <w:r w:rsidR="00496039" w:rsidRPr="00496039">
        <w:rPr>
          <w:noProof/>
          <w:color w:val="000000" w:themeColor="text1"/>
        </w:rPr>
        <w:t>(Jerozolimski &amp; Peres 2003; Espinosa 2008; Godoy et al. 2010)</w:t>
      </w:r>
      <w:r w:rsidR="00B41EE5">
        <w:rPr>
          <w:color w:val="000000" w:themeColor="text1"/>
        </w:rPr>
        <w:fldChar w:fldCharType="end"/>
      </w:r>
      <w:r w:rsidRPr="003E3238">
        <w:rPr>
          <w:color w:val="000000" w:themeColor="text1"/>
        </w:rPr>
        <w:t>.</w:t>
      </w:r>
    </w:p>
    <w:p w14:paraId="2106A0E6" w14:textId="01F38C59" w:rsidR="00A115A2" w:rsidRDefault="0091335C" w:rsidP="00C258BC">
      <w:pPr>
        <w:autoSpaceDE w:val="0"/>
        <w:autoSpaceDN w:val="0"/>
        <w:adjustRightInd w:val="0"/>
        <w:jc w:val="both"/>
        <w:rPr>
          <w:color w:val="000000" w:themeColor="text1"/>
        </w:rPr>
      </w:pPr>
      <w:r w:rsidRPr="003E3238">
        <w:rPr>
          <w:color w:val="000000" w:themeColor="text1"/>
        </w:rPr>
        <w:t xml:space="preserve">A shift towards gun </w:t>
      </w:r>
      <w:r w:rsidR="008806AC" w:rsidRPr="003E3238">
        <w:rPr>
          <w:color w:val="000000" w:themeColor="text1"/>
        </w:rPr>
        <w:t>hunting</w:t>
      </w:r>
      <w:r w:rsidRPr="003E3238">
        <w:rPr>
          <w:color w:val="000000" w:themeColor="text1"/>
        </w:rPr>
        <w:t xml:space="preserve"> has been documented in many Asian countries.</w:t>
      </w:r>
      <w:r w:rsidR="0086465D">
        <w:rPr>
          <w:color w:val="000000" w:themeColor="text1"/>
        </w:rPr>
        <w:t xml:space="preserve"> </w:t>
      </w:r>
      <w:r w:rsidR="0086465D" w:rsidRPr="005512D2">
        <w:rPr>
          <w:color w:val="000000" w:themeColor="text1"/>
        </w:rPr>
        <w:t>While commercial hunting groups, targeting larger commercial species, use high-powered rifles or automatic weapons</w:t>
      </w:r>
      <w:r w:rsidR="0086465D">
        <w:rPr>
          <w:color w:val="000000" w:themeColor="text1"/>
        </w:rPr>
        <w:t>, village hunters often used shotguns or locally-made guns</w:t>
      </w:r>
      <w:r w:rsidR="0086465D" w:rsidRPr="0070404D">
        <w:rPr>
          <w:color w:val="000000" w:themeColor="text1"/>
        </w:rPr>
        <w:t xml:space="preserve"> </w:t>
      </w:r>
      <w:r w:rsidR="007D5690">
        <w:rPr>
          <w:color w:val="000000" w:themeColor="text1"/>
        </w:rPr>
        <w:fldChar w:fldCharType="begin" w:fldLock="1"/>
      </w:r>
      <w:r w:rsidR="007D5690">
        <w:rPr>
          <w:color w:val="000000" w:themeColor="text1"/>
        </w:rPr>
        <w:instrText>ADDIN CSL_CITATION {"citationItems":[{"id":"ITEM-1","itemData":{"DOI":"10.1111/cobi.12785","ISBN":"9788578110796","ISSN":"15231739","PMID":"25246403","abstract":"Although deforestation and forest degradation have long been considered the most significant threats to tropical biodiversity, across Southeast Asia (Northeast India, Indochina, Sundaland, Philippines) substantial areas of natural habitat have few wild animals (&gt;1 kg), bar a few hunting-tolerant species. To document hunting impacts on vertebrate populations regionally,we conducted an extensive literature review, including papers in local journals and reports of governmental and nongovernmental agencies. Evidence from multiple sites indicated animal populations declined precipitously across the region since approximately 1980, and many species are now extirpated from substantial portions of their former ranges. Hunting is by far the greatest immediate threat to the survival of most of the region’s endangered vertebrates. Causes of recent overhunting include improved access to forests and markets, improved hunting technology, and escalating demand for wildmeat, wildlife-derived medicinal products, and wild animals as pets. Although hunters often take common species, such as pigs or rats, for their own consumption, they take rarer species opportunistically and sell surplus meat and commercially valuable products. There is also widespread targeted hunting of high-value species. Consequently, as currently practiced, hunting cannot be considered sustainable anywhere in the region, and in most places enforcement of protected-area and protected-species legislation is weak. The international community’s focus on cross-border trade fails to address overexploitation of wildlife because hunting and the sale of wildmeat is largely a local issue and most of the harvest is consumed in villages, rural towns, and nearby cities. In addition to improved enforcement, efforts to engage hunters and manage wildlife populations through sustainable hunting practices are urgently needed. Unless there is a step change in efforts to reduce wildlife exploitation to sustainable levels, the region will likely lose most of its iconic species, and many others besides, within the next few years. Keywords:","author":[{"dropping-particle":"","family":"Harrison","given":"Rhett D.","non-dropping-particle":"","parse-names":false,"suffix":""},{"dropping-particle":"","family":"Sreekar","given":"Rachakonda","non-dropping-particle":"","parse-names":false,"suffix":""},{"dropping-particle":"","family":"Brodie","given":"Jedediah F.","non-dropping-particle":"","parse-names":false,"suffix":""},{"dropping-particle":"","family":"Brook","given":"Sarah","non-dropping-particle":"","parse-names":false,"suffix":""},{"dropping-particle":"","family":"Luskin","given":"Matthew","non-dropping-particle":"","parse-names":false,"suffix":""},{"dropping-particle":"","family":"O'Kelly","given":"Hannah","non-dropping-particle":"","parse-names":false,"suffix":""},{"dropping-particle":"","family":"Rao","given":"Madhu","non-dropping-particle":"","parse-names":false,"suffix":""},{"dropping-particle":"","family":"Scheffers","given":"Brett","non-dropping-particle":"","parse-names":false,"suffix":""},{"dropping-particle":"","family":"Velho","given":"Nandini","non-dropping-particle":"","parse-names":false,"suffix":""}],"container-title":"Conservation Biology","id":"ITEM-1","issue":"5","issued":{"date-parts":[["2016"]]},"page":"972-981","title":"Impacts of hunting on tropical forests in Southeast Asia","type":"article-journal","volume":"30"},"uris":["http://www.mendeley.com/documents/?uuid=9156a739-3962-4575-aeb8-3bbb3e13bd98"]}],"mendeley":{"formattedCitation":"(Harrison et al. 2016)","plainTextFormattedCitation":"(Harrison et al. 2016)","previouslyFormattedCitation":"(Harrison et al. 2016)"},"properties":{"noteIndex":0},"schema":"https://github.com/citation-style-language/schema/raw/master/csl-citation.json"}</w:instrText>
      </w:r>
      <w:r w:rsidR="007D5690">
        <w:rPr>
          <w:color w:val="000000" w:themeColor="text1"/>
        </w:rPr>
        <w:fldChar w:fldCharType="separate"/>
      </w:r>
      <w:r w:rsidR="007D5690" w:rsidRPr="007D5690">
        <w:rPr>
          <w:noProof/>
          <w:color w:val="000000" w:themeColor="text1"/>
        </w:rPr>
        <w:t>(Harrison et al. 2016)</w:t>
      </w:r>
      <w:r w:rsidR="007D5690">
        <w:rPr>
          <w:color w:val="000000" w:themeColor="text1"/>
        </w:rPr>
        <w:fldChar w:fldCharType="end"/>
      </w:r>
      <w:r w:rsidR="009B72BE">
        <w:rPr>
          <w:color w:val="000000" w:themeColor="text1"/>
        </w:rPr>
        <w:t xml:space="preserve">. </w:t>
      </w:r>
      <w:r w:rsidRPr="003E3238">
        <w:rPr>
          <w:color w:val="000000" w:themeColor="text1"/>
        </w:rPr>
        <w:t>In</w:t>
      </w:r>
      <w:r w:rsidR="000635B7" w:rsidRPr="00EE2428">
        <w:rPr>
          <w:color w:val="000000" w:themeColor="text1"/>
        </w:rPr>
        <w:t xml:space="preserve"> villages </w:t>
      </w:r>
      <w:r w:rsidR="00F5671A">
        <w:rPr>
          <w:color w:val="000000" w:themeColor="text1"/>
        </w:rPr>
        <w:t>close</w:t>
      </w:r>
      <w:r w:rsidR="000635B7" w:rsidRPr="00EE2428">
        <w:rPr>
          <w:color w:val="000000" w:themeColor="text1"/>
        </w:rPr>
        <w:t xml:space="preserve"> to fast-growing </w:t>
      </w:r>
      <w:r w:rsidR="00F5671A">
        <w:rPr>
          <w:color w:val="000000" w:themeColor="text1"/>
        </w:rPr>
        <w:t>urban centres</w:t>
      </w:r>
      <w:r w:rsidR="000635B7" w:rsidRPr="00EE2428">
        <w:rPr>
          <w:color w:val="000000" w:themeColor="text1"/>
        </w:rPr>
        <w:t xml:space="preserve"> in</w:t>
      </w:r>
      <w:r w:rsidRPr="00EE2428">
        <w:rPr>
          <w:color w:val="000000" w:themeColor="text1"/>
        </w:rPr>
        <w:t xml:space="preserve"> </w:t>
      </w:r>
      <w:r w:rsidR="000635B7" w:rsidRPr="00EE2428">
        <w:rPr>
          <w:color w:val="000000" w:themeColor="text1"/>
        </w:rPr>
        <w:t xml:space="preserve">the </w:t>
      </w:r>
      <w:r w:rsidRPr="00EE2428">
        <w:rPr>
          <w:color w:val="000000" w:themeColor="text1"/>
        </w:rPr>
        <w:t>We</w:t>
      </w:r>
      <w:r w:rsidR="000635B7" w:rsidRPr="00EE2428">
        <w:rPr>
          <w:color w:val="000000" w:themeColor="text1"/>
        </w:rPr>
        <w:t>s</w:t>
      </w:r>
      <w:r w:rsidRPr="0064175F">
        <w:rPr>
          <w:color w:val="000000" w:themeColor="text1"/>
        </w:rPr>
        <w:t>tern Gh</w:t>
      </w:r>
      <w:r w:rsidRPr="0070404D">
        <w:rPr>
          <w:color w:val="000000" w:themeColor="text1"/>
        </w:rPr>
        <w:t xml:space="preserve">ats, India, </w:t>
      </w:r>
      <w:r w:rsidR="007D5690" w:rsidRPr="007D5690">
        <w:rPr>
          <w:noProof/>
          <w:color w:val="000000" w:themeColor="text1"/>
        </w:rPr>
        <w:t>(Madhusudan &amp; Karanth</w:t>
      </w:r>
      <w:r w:rsidR="007D5690">
        <w:rPr>
          <w:color w:val="000000" w:themeColor="text1"/>
        </w:rPr>
        <w:t xml:space="preserve"> </w:t>
      </w:r>
      <w:r w:rsidR="007D5690">
        <w:rPr>
          <w:color w:val="000000" w:themeColor="text1"/>
        </w:rPr>
        <w:fldChar w:fldCharType="begin" w:fldLock="1"/>
      </w:r>
      <w:r w:rsidR="00EF6EFF">
        <w:rPr>
          <w:color w:val="000000" w:themeColor="text1"/>
        </w:rPr>
        <w:instrText>ADDIN CSL_CITATION {"citationItems":[{"id":"ITEM-1","itemData":{"DOI":"10.1579/0044-7447-31.1.49","ISBN":"0044-7447","ISSN":"0044-7447","PMID":"11928358","abstract":"Hunting by local communities is among the most widespread threats to Indian wildlife, yet, the understanding of its nature, extent, and impacts on wildlife has been poor. We surveyed 2 protected areas--Kudremukha and Nagara-holé--in southern India to assess the impacts of local hunting on large mammals. Detailed interviews with retired and active hunters were employed to describe hunting patterns. Impacts of hunting were assessed by comparing large-mammal abundance in adjacent sites differing in their vulnerability to hunting. In Kudremukha, at least 26 species of mammals were hunted, mostly with guns, at an estimated intensity of 216 hunter-days per month per village. In Nagaraholé, 6 of the 9 focal species of large mammals occurred at significantly lower densities at the heavily hunted site where enforcement capabilities were poorer. Our data underscore the importance of preservationist programs in the conservation of large mammals in a context of extensive local hunting.","author":[{"dropping-particle":"","family":"Madhusudan","given":"M. D.","non-dropping-particle":"","parse-names":false,"suffix":""},{"dropping-particle":"","family":"Karanth","given":"K. Ullas","non-dropping-particle":"","parse-names":false,"suffix":""}],"container-title":"AMBIO: A Journal of the Human Environment","id":"ITEM-1","issue":"1","issued":{"date-parts":[["2002"]]},"page":"49-54","title":"Local hunting and the conservation of large mammals in India","type":"article-journal","volume":"31"},"uris":["http://www.mendeley.com/documents/?uuid=18e49a06-25f4-4ef4-a270-86671445d8bf"]}],"mendeley":{"formattedCitation":"(Madhusudan &amp; Karanth 2002)","manualFormatting":"(2002)","plainTextFormattedCitation":"(Madhusudan &amp; Karanth 2002)","previouslyFormattedCitation":"(Madhusudan &amp; Karanth 2002)"},"properties":{"noteIndex":0},"schema":"https://github.com/citation-style-language/schema/raw/master/csl-citation.json"}</w:instrText>
      </w:r>
      <w:r w:rsidR="007D5690">
        <w:rPr>
          <w:color w:val="000000" w:themeColor="text1"/>
        </w:rPr>
        <w:fldChar w:fldCharType="separate"/>
      </w:r>
      <w:r w:rsidR="007D5690">
        <w:rPr>
          <w:noProof/>
          <w:color w:val="000000" w:themeColor="text1"/>
        </w:rPr>
        <w:t>(</w:t>
      </w:r>
      <w:r w:rsidR="007D5690" w:rsidRPr="007D5690">
        <w:rPr>
          <w:noProof/>
          <w:color w:val="000000" w:themeColor="text1"/>
        </w:rPr>
        <w:t>2002)</w:t>
      </w:r>
      <w:r w:rsidR="007D5690">
        <w:rPr>
          <w:color w:val="000000" w:themeColor="text1"/>
        </w:rPr>
        <w:fldChar w:fldCharType="end"/>
      </w:r>
      <w:r w:rsidR="007D5690">
        <w:rPr>
          <w:color w:val="000000" w:themeColor="text1"/>
        </w:rPr>
        <w:t xml:space="preserve"> </w:t>
      </w:r>
      <w:r w:rsidR="00D44814" w:rsidRPr="004904D8">
        <w:rPr>
          <w:color w:val="000000" w:themeColor="text1"/>
        </w:rPr>
        <w:t>report</w:t>
      </w:r>
      <w:r w:rsidR="006453AC" w:rsidRPr="004904D8">
        <w:rPr>
          <w:color w:val="000000" w:themeColor="text1"/>
        </w:rPr>
        <w:t xml:space="preserve"> a near-total replacement of traditional techniques with gun hunting, using locally-crafted muzzle-loading </w:t>
      </w:r>
      <w:r w:rsidR="000635B7" w:rsidRPr="005512D2">
        <w:rPr>
          <w:color w:val="000000" w:themeColor="text1"/>
        </w:rPr>
        <w:t>guns</w:t>
      </w:r>
      <w:r w:rsidR="00D44814" w:rsidRPr="005512D2">
        <w:rPr>
          <w:color w:val="000000" w:themeColor="text1"/>
        </w:rPr>
        <w:t>. In comparison, a study of 19 remote indigenous communities in the</w:t>
      </w:r>
      <w:r w:rsidR="005A2CEA" w:rsidRPr="00EE2428">
        <w:rPr>
          <w:color w:val="000000" w:themeColor="text1"/>
        </w:rPr>
        <w:t xml:space="preserve"> Wes</w:t>
      </w:r>
      <w:r w:rsidR="005A2CEA" w:rsidRPr="0064175F">
        <w:rPr>
          <w:color w:val="000000" w:themeColor="text1"/>
        </w:rPr>
        <w:t>tern Gh</w:t>
      </w:r>
      <w:r w:rsidR="005A2CEA" w:rsidRPr="0070404D">
        <w:rPr>
          <w:color w:val="000000" w:themeColor="text1"/>
        </w:rPr>
        <w:t>ats</w:t>
      </w:r>
      <w:r w:rsidR="00D44814" w:rsidRPr="005512D2">
        <w:rPr>
          <w:color w:val="000000" w:themeColor="text1"/>
        </w:rPr>
        <w:t xml:space="preserve">, where hunting is still mainly or own consumption, found that </w:t>
      </w:r>
      <w:r w:rsidR="00D44814" w:rsidRPr="003E3238">
        <w:rPr>
          <w:color w:val="000000" w:themeColor="text1"/>
        </w:rPr>
        <w:t>traditional hunting techniques still dominate</w:t>
      </w:r>
      <w:r w:rsidR="00A115A2">
        <w:rPr>
          <w:color w:val="000000" w:themeColor="text1"/>
        </w:rPr>
        <w:t>d</w:t>
      </w:r>
      <w:r w:rsidR="00D44814" w:rsidRPr="003E3238">
        <w:rPr>
          <w:color w:val="000000" w:themeColor="text1"/>
        </w:rPr>
        <w:t xml:space="preserve"> </w:t>
      </w:r>
      <w:r w:rsidR="007D5690">
        <w:rPr>
          <w:color w:val="000000" w:themeColor="text1"/>
        </w:rPr>
        <w:fldChar w:fldCharType="begin" w:fldLock="1"/>
      </w:r>
      <w:r w:rsidR="00EF6EFF">
        <w:rPr>
          <w:color w:val="000000" w:themeColor="text1"/>
        </w:rPr>
        <w:instrText>ADDIN CSL_CITATION {"citationItems":[{"id":"ITEM-1","itemData":{"DOI":"10.1016/j.japb.2016.04.003","ISSN":"22879544","abstract":"Wildlife utilization in the tropics is massive, with nearly 5 million tons of bushmeat consumed by local communities. In India, a megadiversity nation, hunting—although illegal—is widespread among indigenous communities. However, the extent, frequency, and rationale for hunting, and factors influencing wildlife utilization are poorly known. Our study, based on 19 different indigenous communities in the Western Ghats region, revealed the utilization of 54 wild species/taxa. Although freshwater fish, herpetofauna, and small mammals were most frequently utilized, enforcement by the Forest Department was largely focused on large mammals. Gender, land ownership, number of domestic meats consumed, distance to markets, time spent hunting, and distance to hunting areas were major factors that affected wild meat utilization in the region. Although conservation needs to be focused on the most utilized groups, increasing access to domestic meats at remote settlements and integrating utilization of common, culturally prominent species can improve conservation of threatened fauna.","author":[{"dropping-particle":"","family":"Kanagavel","given":"Arun","non-dropping-particle":"","parse-names":false,"suffix":""},{"dropping-particle":"","family":"Parvathy","given":"Sethu","non-dropping-particle":"","parse-names":false,"suffix":""},{"dropping-particle":"","family":"Nameer","given":"Paingamadathil Ommer","non-dropping-particle":"","parse-names":false,"suffix":""},{"dropping-particle":"","family":"Raghavan","given":"Rajeev","non-dropping-particle":"","parse-names":false,"suffix":""}],"container-title":"Journal of Asia-Pacific Biodiversity","id":"ITEM-1","issue":"3","issued":{"date-parts":[["2016"]]},"page":"271-279","publisher":"Elsevier Ltd","title":"Conservation implications of wildlife utilization by indigenous communities in the southern Western Ghats of India","type":"article-journal","volume":"9"},"uris":["http://www.mendeley.com/documents/?uuid=48f5d379-5f23-4a74-9e57-1a3794464d43"]}],"mendeley":{"formattedCitation":"(Kanagavel et al. 2016)","plainTextFormattedCitation":"(Kanagavel et al. 2016)","previouslyFormattedCitation":"(Kanagavel et al. 2016)"},"properties":{"noteIndex":0},"schema":"https://github.com/citation-style-language/schema/raw/master/csl-citation.json"}</w:instrText>
      </w:r>
      <w:r w:rsidR="007D5690">
        <w:rPr>
          <w:color w:val="000000" w:themeColor="text1"/>
        </w:rPr>
        <w:fldChar w:fldCharType="separate"/>
      </w:r>
      <w:r w:rsidR="007D5690" w:rsidRPr="007D5690">
        <w:rPr>
          <w:noProof/>
          <w:color w:val="000000" w:themeColor="text1"/>
        </w:rPr>
        <w:t>(Kanagavel et al. 2016)</w:t>
      </w:r>
      <w:r w:rsidR="007D5690">
        <w:rPr>
          <w:color w:val="000000" w:themeColor="text1"/>
        </w:rPr>
        <w:fldChar w:fldCharType="end"/>
      </w:r>
      <w:r w:rsidR="006453AC" w:rsidRPr="0070404D">
        <w:rPr>
          <w:color w:val="000000" w:themeColor="text1"/>
        </w:rPr>
        <w:t xml:space="preserve">. </w:t>
      </w:r>
      <w:r w:rsidR="00CF08F2" w:rsidRPr="004904D8">
        <w:rPr>
          <w:color w:val="000000" w:themeColor="text1"/>
        </w:rPr>
        <w:t xml:space="preserve">In Cambodia, guns were widely available during the civil war, but </w:t>
      </w:r>
      <w:r w:rsidR="00A115A2">
        <w:rPr>
          <w:color w:val="000000" w:themeColor="text1"/>
        </w:rPr>
        <w:t xml:space="preserve">were </w:t>
      </w:r>
      <w:r w:rsidR="00CF08F2" w:rsidRPr="004904D8">
        <w:rPr>
          <w:color w:val="000000" w:themeColor="text1"/>
        </w:rPr>
        <w:t>confiscated from villages as the w</w:t>
      </w:r>
      <w:r w:rsidR="005A2CEA">
        <w:rPr>
          <w:color w:val="000000" w:themeColor="text1"/>
        </w:rPr>
        <w:t xml:space="preserve">ar came to an end in the 1990s, </w:t>
      </w:r>
      <w:r w:rsidR="00CF08F2" w:rsidRPr="004904D8">
        <w:rPr>
          <w:color w:val="000000" w:themeColor="text1"/>
        </w:rPr>
        <w:t>although m</w:t>
      </w:r>
      <w:r w:rsidR="005A2CEA">
        <w:rPr>
          <w:color w:val="000000" w:themeColor="text1"/>
        </w:rPr>
        <w:t>any guns probably remain hidden</w:t>
      </w:r>
      <w:r w:rsidR="00CF08F2" w:rsidRPr="004904D8">
        <w:rPr>
          <w:color w:val="000000" w:themeColor="text1"/>
        </w:rPr>
        <w:t xml:space="preserve">. Now local hunters often make homemade ‘pumpguns’ from cheap and easily available bike parts and loose shot, which can kill most small and medium-bodied animals </w:t>
      </w:r>
      <w:r w:rsidR="007D5690">
        <w:rPr>
          <w:color w:val="000000" w:themeColor="text1"/>
        </w:rPr>
        <w:fldChar w:fldCharType="begin" w:fldLock="1"/>
      </w:r>
      <w:r w:rsidR="007D5690">
        <w:rPr>
          <w:color w:val="000000" w:themeColor="text1"/>
        </w:rPr>
        <w:instrText>ADDIN CSL_CITATION {"citationItems":[{"id":"ITEM-1","itemData":{"author":[{"dropping-particle":"","family":"TRAFFIC","given":"","non-dropping-particle":"","parse-names":false,"suffix":""}],"id":"ITEM-1","issued":{"date-parts":[["2008"]]},"publisher-place":"The World Bank, Washington","title":"What's driving the wildlife trade?","type":"report"},"uris":["http://www.mendeley.com/documents/?uuid=63b0c165-988f-4243-bb35-18e2718bb412"]}],"mendeley":{"formattedCitation":"(TRAFFIC 2008)","plainTextFormattedCitation":"(TRAFFIC 2008)","previouslyFormattedCitation":"(TRAFFIC 2008)"},"properties":{"noteIndex":0},"schema":"https://github.com/citation-style-language/schema/raw/master/csl-citation.json"}</w:instrText>
      </w:r>
      <w:r w:rsidR="007D5690">
        <w:rPr>
          <w:color w:val="000000" w:themeColor="text1"/>
        </w:rPr>
        <w:fldChar w:fldCharType="separate"/>
      </w:r>
      <w:r w:rsidR="007D5690" w:rsidRPr="007D5690">
        <w:rPr>
          <w:noProof/>
          <w:color w:val="000000" w:themeColor="text1"/>
        </w:rPr>
        <w:t>(TRAFFIC 2008)</w:t>
      </w:r>
      <w:r w:rsidR="007D5690">
        <w:rPr>
          <w:color w:val="000000" w:themeColor="text1"/>
        </w:rPr>
        <w:fldChar w:fldCharType="end"/>
      </w:r>
      <w:r w:rsidR="00CF08F2" w:rsidRPr="004904D8">
        <w:rPr>
          <w:color w:val="000000" w:themeColor="text1"/>
        </w:rPr>
        <w:t xml:space="preserve">. </w:t>
      </w:r>
    </w:p>
    <w:p w14:paraId="7E2B0EDE" w14:textId="73B75C54" w:rsidR="006453AC" w:rsidRPr="005512D2" w:rsidRDefault="005A2CEA" w:rsidP="00C258BC">
      <w:pPr>
        <w:autoSpaceDE w:val="0"/>
        <w:autoSpaceDN w:val="0"/>
        <w:adjustRightInd w:val="0"/>
        <w:jc w:val="both"/>
        <w:rPr>
          <w:color w:val="000000" w:themeColor="text1"/>
        </w:rPr>
      </w:pPr>
      <w:r>
        <w:rPr>
          <w:color w:val="000000" w:themeColor="text1"/>
        </w:rPr>
        <w:t>A</w:t>
      </w:r>
      <w:r w:rsidRPr="004904D8">
        <w:rPr>
          <w:color w:val="000000" w:themeColor="text1"/>
        </w:rPr>
        <w:t>nother relatively recent development</w:t>
      </w:r>
      <w:r>
        <w:rPr>
          <w:color w:val="000000" w:themeColor="text1"/>
        </w:rPr>
        <w:t xml:space="preserve"> is p</w:t>
      </w:r>
      <w:r w:rsidR="00866CC0" w:rsidRPr="004904D8">
        <w:rPr>
          <w:color w:val="000000" w:themeColor="text1"/>
        </w:rPr>
        <w:t xml:space="preserve">oisoning using readily available pesticides and herbicides. </w:t>
      </w:r>
      <w:r w:rsidR="00A115A2">
        <w:rPr>
          <w:color w:val="000000" w:themeColor="text1"/>
        </w:rPr>
        <w:t>A</w:t>
      </w:r>
      <w:r w:rsidR="00A115A2" w:rsidRPr="004904D8">
        <w:rPr>
          <w:color w:val="000000" w:themeColor="text1"/>
        </w:rPr>
        <w:t xml:space="preserve"> survey in Ghana revealed that over 30% of wild meat entering local markets contained pestic</w:t>
      </w:r>
      <w:r w:rsidR="00A115A2" w:rsidRPr="005512D2">
        <w:rPr>
          <w:color w:val="000000" w:themeColor="text1"/>
        </w:rPr>
        <w:t xml:space="preserve">ide residues, likely the result of using pesticides to poison and harvest animals </w:t>
      </w:r>
      <w:r w:rsidR="007D5690">
        <w:rPr>
          <w:color w:val="000000" w:themeColor="text1"/>
        </w:rPr>
        <w:fldChar w:fldCharType="begin" w:fldLock="1"/>
      </w:r>
      <w:r w:rsidR="007D5690">
        <w:rPr>
          <w:color w:val="000000" w:themeColor="text1"/>
        </w:rPr>
        <w:instrText>ADDIN CSL_CITATION {"citationItems":[{"id":"ITEM-1","itemData":{"author":[{"dropping-particle":"","family":"FAO/CIG","given":"","non-dropping-particle":"","parse-names":false,"suffix":""}],"id":"ITEM-1","issued":{"date-parts":[["2002"]]},"publisher-place":"Conservation International, Accra, Ghana","title":"Assessment of bushmeat trade during the annual closed season on hunting in Ghana (1st August–1st December 2001)","type":"report"},"uris":["http://www.mendeley.com/documents/?uuid=8655f7da-06eb-4464-8755-44a6019fba1c"]}],"mendeley":{"formattedCitation":"(FAO/CIG 2002)","plainTextFormattedCitation":"(FAO/CIG 2002)","previouslyFormattedCitation":"(FAO/CIG 2002)"},"properties":{"noteIndex":0},"schema":"https://github.com/citation-style-language/schema/raw/master/csl-citation.json"}</w:instrText>
      </w:r>
      <w:r w:rsidR="007D5690">
        <w:rPr>
          <w:color w:val="000000" w:themeColor="text1"/>
        </w:rPr>
        <w:fldChar w:fldCharType="separate"/>
      </w:r>
      <w:r w:rsidR="007D5690" w:rsidRPr="007D5690">
        <w:rPr>
          <w:noProof/>
          <w:color w:val="000000" w:themeColor="text1"/>
        </w:rPr>
        <w:t>(FAO/CIG 2002)</w:t>
      </w:r>
      <w:r w:rsidR="007D5690">
        <w:rPr>
          <w:color w:val="000000" w:themeColor="text1"/>
        </w:rPr>
        <w:fldChar w:fldCharType="end"/>
      </w:r>
      <w:r w:rsidR="00A115A2" w:rsidRPr="005512D2">
        <w:rPr>
          <w:color w:val="000000" w:themeColor="text1"/>
        </w:rPr>
        <w:t xml:space="preserve">. </w:t>
      </w:r>
      <w:r w:rsidR="00866CC0" w:rsidRPr="004904D8">
        <w:rPr>
          <w:color w:val="000000" w:themeColor="text1"/>
        </w:rPr>
        <w:t xml:space="preserve">Herbicide and pesticide poisoning </w:t>
      </w:r>
      <w:r w:rsidR="00A479D2" w:rsidRPr="004904D8">
        <w:rPr>
          <w:color w:val="000000" w:themeColor="text1"/>
        </w:rPr>
        <w:t>have</w:t>
      </w:r>
      <w:r w:rsidR="00866CC0" w:rsidRPr="004904D8">
        <w:rPr>
          <w:color w:val="000000" w:themeColor="text1"/>
        </w:rPr>
        <w:t xml:space="preserve"> deleterious impacts on non-target species</w:t>
      </w:r>
      <w:r>
        <w:rPr>
          <w:color w:val="000000" w:themeColor="text1"/>
        </w:rPr>
        <w:t xml:space="preserve">, such as hyenas and vultures </w:t>
      </w:r>
      <w:r w:rsidR="00866CC0" w:rsidRPr="004904D8">
        <w:rPr>
          <w:color w:val="000000" w:themeColor="text1"/>
        </w:rPr>
        <w:t>that scavenge on tainted carcasses</w:t>
      </w:r>
      <w:r>
        <w:rPr>
          <w:color w:val="000000" w:themeColor="text1"/>
        </w:rPr>
        <w:t>. It</w:t>
      </w:r>
      <w:r w:rsidR="00866CC0" w:rsidRPr="004904D8">
        <w:rPr>
          <w:color w:val="000000" w:themeColor="text1"/>
        </w:rPr>
        <w:t xml:space="preserve"> also poses substantial risks to human health </w:t>
      </w:r>
      <w:r w:rsidR="007D5690">
        <w:rPr>
          <w:color w:val="000000" w:themeColor="text1"/>
        </w:rPr>
        <w:fldChar w:fldCharType="begin" w:fldLock="1"/>
      </w:r>
      <w:r w:rsidR="007D5690">
        <w:rPr>
          <w:color w:val="000000" w:themeColor="text1"/>
        </w:rPr>
        <w:instrText>ADDIN CSL_CITATION {"citationItems":[{"id":"ITEM-1","itemData":{"DOI":"10.1177/194008291100400407","ISBN":"1940-0829","ISSN":"19400829","PMID":"20628353","abstract":"Illegal hunting of wildlife is a major issue in today’s society, particularly in tropical ecosystems. In this study, a total of 114 local residents from eight villages located in four wards adjacent to the northern Gonarezhou National Park, south-eastern Zimbabwe were interviewed in 2009, using semi-structured questionnaires. The study aimed to answer the following questions: (i) what is the prevalence of illegal hunting and what are commonly used hunting methods? (ii) Which wild animal species are commonly hunted illegally? (iii) What are the main reasons for illegal hunting? (iv) What strategies or mechanisms are currently in place to minimize illegal hunting? Overall, 59% of the respondents reported that they saw bushmeat, meat derived from wild animals, and/or wild animal products being sold at least once every six months, whereas 41% of the respondents reported that they had never seen bushmeat and/or wild animal products being sold in their villages and/or wards. About 18% of the respondents perceived that illegal hunting had increased between 2000 and 2008, whereas 62% of the respondents perceived that illegal hunting had declined, and 20% perceived that it remained the same. Snaring (79%) and hunting with dogs (53%) were reportedly the most common hunting methods. A total of 24 wild animal species were reportedly hunted, with African buffalo (Syncerus caffer) (18%), Burchell’s zebra (Equus quagga) (21%), kudu (Tragelaphus strepsiceros) (25%) and impala (Aepyceros melampus) (27%) amongst the most targeted and preferred animal species. In addition, large carnivores, including spotted hyena (Crocuta crocuta) (11%), leopard (Panthera pardus) (10%) and African lion (Panthera leo) (8%), were reportedly hunted illegally. The need for bushmeat, for household consumption (68%), and raising money through selling of wild animal products (55%) were reported as being the main reasons for illegal hunting. Strengthening law enforcement, increasing awareness and environmental education, and developing mechanisms to reduce human-wildlife conflicts will assist in further minimizing illegal hunting activities in the Gonarezhou ecosystem.","author":[{"dropping-particle":"","family":"Gandiwa","given":"Edson","non-dropping-particle":"","parse-names":false,"suffix":""}],"container-title":"Tropical Conservation Science","id":"ITEM-1","issue":"4","issued":{"date-parts":[["2011"]]},"page":"445-467","title":"Preliminary assessment of illegal hunting by communities adjacent to the northern Gonarezhou National Park, Zimbabwe","type":"article-journal","volume":"4"},"uris":["http://www.mendeley.com/documents/?uuid=834fbdd7-83b1-4a2a-9896-de6aa2a3d274"]},{"id":"ITEM-2","itemData":{"DOI":"10.1111/nyas.12405","ISBN":"1749-6632 (Electronic)\\r0077-8923 (Linking)","ISSN":"17496632","PMID":"24716788","abstract":"Poisons have long been used to kill wildlife throughout the world. An evolution has occurred from the use of plant- and animal-based toxins to synthetic pesticides to kill wildlife, a method that is silent, cheap, easy, and effective. The use of pesticides to poison wildlife began in southern Africa, and predator populations were widely targeted and eliminated. A steep increase has recently been observed in the intensity of wildlife poisonings, with corresponding population declines. However, the majority of poisonings go unreported. Under national laws, it is illegal to hunt wildlife using poisons in 83% of African countries. Pesticide regulations are inadequate, and enforcement of existing legislation is poor. Few countries have forensic field protocols, and most lack storage and testing facilities. Methods used to poison wildlife include baiting carcasses, soaking grains in pesticide solution, mixing pesticides to form salt licks, and tainting waterholes. Carbofuran is the most widely abused pesticide in Africa. Common reasons for poisoning are control of damage-causing animals, harvesting fish and bushmeat, harvesting animals for traditional medicine, poaching for wildlife products, and killing wildlife sentinels (e.g., vultures because their aerial circling alerts authorities to poachers' activities). Populations of scavengers, particularly vultures, have been decimated by poisoning. Recommendations include banning pesticides, improving pesticide regulations and controlling distribution, better enforcement and stiffer penalties for offenders, increasing international support and awareness, and developing regional pesticide centers.","author":[{"dropping-particle":"","family":"Ogada","given":"Darcy L.","non-dropping-particle":"","parse-names":false,"suffix":""}],"container-title":"Annals of the New York Academy of Sciences","id":"ITEM-2","issue":"1","issued":{"date-parts":[["2014"]]},"page":"1-20","title":"The power of poison: pesticide poisoning of Africa's wildlife","type":"article-journal","volume":"1322"},"uris":["http://www.mendeley.com/documents/?uuid=28f73ee3-03d7-4f83-b584-e457211ede08"]}],"mendeley":{"formattedCitation":"(Gandiwa 2011; Ogada 2014)","plainTextFormattedCitation":"(Gandiwa 2011; Ogada 2014)","previouslyFormattedCitation":"(Gandiwa 2011; Ogada 2014)"},"properties":{"noteIndex":0},"schema":"https://github.com/citation-style-language/schema/raw/master/csl-citation.json"}</w:instrText>
      </w:r>
      <w:r w:rsidR="007D5690">
        <w:rPr>
          <w:color w:val="000000" w:themeColor="text1"/>
        </w:rPr>
        <w:fldChar w:fldCharType="separate"/>
      </w:r>
      <w:r w:rsidR="007D5690" w:rsidRPr="007D5690">
        <w:rPr>
          <w:noProof/>
          <w:color w:val="000000" w:themeColor="text1"/>
        </w:rPr>
        <w:t>(Gandiwa 2011; Ogada 2014)</w:t>
      </w:r>
      <w:r w:rsidR="007D5690">
        <w:rPr>
          <w:color w:val="000000" w:themeColor="text1"/>
        </w:rPr>
        <w:fldChar w:fldCharType="end"/>
      </w:r>
      <w:r w:rsidR="00866CC0" w:rsidRPr="004904D8">
        <w:rPr>
          <w:color w:val="000000" w:themeColor="text1"/>
        </w:rPr>
        <w:t xml:space="preserve">. </w:t>
      </w:r>
    </w:p>
    <w:p w14:paraId="18A04EBE" w14:textId="4E157D65" w:rsidR="006D7D74" w:rsidRPr="0070404D" w:rsidRDefault="009553F1" w:rsidP="00C258BC">
      <w:pPr>
        <w:jc w:val="both"/>
        <w:rPr>
          <w:color w:val="000000" w:themeColor="text1"/>
        </w:rPr>
      </w:pPr>
      <w:r>
        <w:rPr>
          <w:color w:val="000000" w:themeColor="text1"/>
        </w:rPr>
        <w:t>Other</w:t>
      </w:r>
      <w:r w:rsidR="006D7D74" w:rsidRPr="003E3238">
        <w:rPr>
          <w:color w:val="000000" w:themeColor="text1"/>
        </w:rPr>
        <w:t xml:space="preserve"> </w:t>
      </w:r>
      <w:r>
        <w:rPr>
          <w:color w:val="000000" w:themeColor="text1"/>
        </w:rPr>
        <w:t>technology advances</w:t>
      </w:r>
      <w:r w:rsidR="006D7D74" w:rsidRPr="003E3238">
        <w:rPr>
          <w:color w:val="000000" w:themeColor="text1"/>
        </w:rPr>
        <w:t xml:space="preserve"> are </w:t>
      </w:r>
      <w:r>
        <w:rPr>
          <w:color w:val="000000" w:themeColor="text1"/>
        </w:rPr>
        <w:t xml:space="preserve">also </w:t>
      </w:r>
      <w:r w:rsidR="006D7D74" w:rsidRPr="003E3238">
        <w:rPr>
          <w:color w:val="000000" w:themeColor="text1"/>
        </w:rPr>
        <w:t>facilitating hunting and commercial trade. For instance, LED flashlights facil</w:t>
      </w:r>
      <w:r w:rsidR="005A2CEA">
        <w:rPr>
          <w:color w:val="000000" w:themeColor="text1"/>
        </w:rPr>
        <w:t xml:space="preserve">itate more cost-effective </w:t>
      </w:r>
      <w:r w:rsidR="006D7D74" w:rsidRPr="003E3238">
        <w:rPr>
          <w:color w:val="000000" w:themeColor="text1"/>
        </w:rPr>
        <w:t>hunting</w:t>
      </w:r>
      <w:r w:rsidR="005A2CEA">
        <w:rPr>
          <w:color w:val="000000" w:themeColor="text1"/>
        </w:rPr>
        <w:t xml:space="preserve"> at night</w:t>
      </w:r>
      <w:r w:rsidR="006D7D74" w:rsidRPr="003E3238">
        <w:rPr>
          <w:color w:val="000000" w:themeColor="text1"/>
        </w:rPr>
        <w:t xml:space="preserve"> </w:t>
      </w:r>
      <w:r w:rsidR="007D5690">
        <w:rPr>
          <w:color w:val="000000" w:themeColor="text1"/>
        </w:rPr>
        <w:fldChar w:fldCharType="begin" w:fldLock="1"/>
      </w:r>
      <w:r w:rsidR="00B2630D">
        <w:rPr>
          <w:color w:val="000000" w:themeColor="text1"/>
        </w:rPr>
        <w:instrText>ADDIN CSL_CITATION {"citationItems":[{"id":"ITEM-1","itemData":{"DOI":"10.1590/S1981-81222012000200010","ISBN":"1981-8122","ISSN":"19818122","abstract":"Indigenous Reserves have played an indispensable role in maintaining forest areas in the Neotropics. In the Amazon there is a clear correlation between these reserves and the presence of forest cover; however, the simple presence of uninterrupted vegetation is no guarantee for the conservation of biodiversity, especially where hunting is practiced. This study describes hunting practices among the Awá-Guajá people from 1993 through 1994, also identifying socio- cultural, technological, and demographic changes that have influenced their resource acquisition strategies over the last two decades. The data was obtained through ethnographic fieldwork, recording 78 days of foraging returns, with follow-up visits through 2010. This work provides useful information for an effective diachronic analysis of hunting in this community, by revealing foraging patterns of the early to mid-1990s, and describing community transformations over the last two decades in this locale","author":[{"dropping-particle":"","family":"Prado","given":"Helbert Medeiros","non-dropping-particle":"","parse-names":false,"suffix":""},{"dropping-particle":"","family":"Forline","given":"Louis Carlos","non-dropping-particle":"","parse-names":false,"suffix":""},{"dropping-particle":"","family":"Kipnis","given":"Renato","non-dropping-particle":"","parse-names":false,"suffix":""}],"container-title":"Boletimdo Museu Paraense Emilio Goeldi: Ciencias Humanas","id":"ITEM-1","issue":"2","issued":{"date-parts":[["2012"]]},"page":"479-491","title":"Hunting practices among the Awá-Guajá: towards a long-term analysis of sustainability in an Amazonian indigenous community","type":"article-journal","volume":"7"},"uris":["http://www.mendeley.com/documents/?uuid=986a83bc-305b-41a1-88cf-8554235b7980"]},{"id":"ITEM-2","itemData":{"DOI":"10.1177/1940082917689898","ISBN":"1940-0829","ISSN":"19400829","abstract":"Illegal bird-keeping and pet trade are some of the major threats to Neotropical birds. The aim of the present study was to detail aspects of the use and trade of wild Passeriformes as pets in an ecotonal zone of Caatinga-Cerrado domains in middle-north of Brazil, a western subregion of northeastern (NE) Brazil which also is a road hub interconnecting this region to the Amazon and other Brazilian areas. Information on the use of avifauna was obtained through semistructured interviews with 61 bird-keepers or trappers and investigations in the municipal market of Floriano, Piauí State. Our results reveal that at least 39 passerine species are targeted as pets in surveyed areas. Based on Use-Value (UV) index, the main recorded species were Sporophila lineola, Charitospiza eucosma, Sporophila nigricollis, Sporophila plumbea, Paroaria dominicana, Sicalis flaveola, Gnorimopsar chopi, Sicalis columbiana, Mimus saturninus, and Turdus rufiventris. In general, younger respondents (&lt;30 years old) trapping more specie...","author":[{"dropping-particle":"","family":"Souto","given":"Wedson Medeiros Silva","non-dropping-particle":"","parse-names":false,"suffix":""},{"dropping-particle":"","family":"Torres","given":"Mauro Aparecido Ribeiro","non-dropping-particle":"","parse-names":false,"suffix":""},{"dropping-particle":"","family":"Sousa","given":"Breno Fernando Cunha Freitas","non-dropping-particle":"","parse-names":false,"suffix":""},{"dropping-particle":"","family":"Lima","given":"Katyelle Gonçalves Guimarães Carvalho","non-dropping-particle":"","parse-names":false,"suffix":""},{"dropping-particle":"","family":"Vieira","given":"Lorena Tupinambá Serra","non-dropping-particle":"","parse-names":false,"suffix":""},{"dropping-particle":"","family":"Pereira","given":"Glauco Alves","non-dropping-particle":"","parse-names":false,"suffix":""},{"dropping-particle":"","family":"Guzzi","given":"Anderson","non-dropping-particle":"","parse-names":false,"suffix":""},{"dropping-particle":"","family":"Silva","given":"Mateus Vieira","non-dropping-particle":"","parse-names":false,"suffix":""},{"dropping-particle":"","family":"Pralon","given":"Bruno Gabriel Nunes","non-dropping-particle":"","parse-names":false,"suffix":""}],"container-title":"Tropical Conservation Science","id":"ITEM-2","issued":{"date-parts":[["2017"]]},"title":"Singing for cages: the use and trade of Passeriformes as wild pets in an economic center of the Amazon—NE Brazil route","type":"article-journal","volume":"10"},"uris":["http://www.mendeley.com/documents/?uuid=c2e697dd-38bf-4c96-8761-b014925b6a29"]},{"id":"ITEM-3","itemData":{"DOI":"10.1590/bjb.2014.0098","ISBN":"1519-6984","ISSN":"1519-6984","PMID":"25296203","abstract":"&lt;p&gt;Ungulates, large primates and caviomorfs are cited by Amazonian hunters as preferred species. In this research, paca (Cuniculus paca) hunting was investigated in relation to water levels and the lunar cycle. In eight years of monitoring in the Amanã Sustainable Development Reserve, the killing of 625 pacas was registered in five monitored communities. Paca hunting took place mainly at night and the most commonly used method is “spotlighting”. A positive correlation between the number of pacas killed and water level (rs=0.890; p&amp;lt;0.0001) was found. At least 37% of the pacas were hunted when moon illumination level was less than 10%, before moonrise or after moonset. In the Boa Esperança community, capture of paca tended to decrease on nights with high moon illumination (rs= −0.663; p=0.067). At the same time, an expressive catch-per-unity-effort decrease was also observed in this community (r2= −0.881; p&amp;lt;0.001), allowing us to predict unsustainable hunting levels for the next decade. The stock of animals in these areas could be continuously replaced if surrounding areas consisted of continuous forests. However, continuous hunting and deforestation force local hunters to travel longer distances to kill prey such as pacas. The confirmation of the relation between paca habits and lunar illumination and water level, a pattern described by local hunters, demonstrates the potential value of participatory research and the possibility of integrating traditional knowledge into scientific knowledge.&lt;/p&gt;","author":[{"dropping-particle":"","family":"Valsecchi","given":"J","non-dropping-particle":"","parse-names":false,"suffix":""},{"dropping-particle":"","family":"Bizri","given":"HR","non-dropping-particle":"El","parse-names":false,"suffix":""},{"dropping-particle":"","family":"Figueira","given":"JEC","non-dropping-particle":"","parse-names":false,"suffix":""}],"container-title":"Brazilian Journal of Biology","id":"ITEM-3","issue":"3","issued":{"date-parts":[["2014"]]},"page":"560-568","title":"Subsistence hunting of Cuniculus pacain the middle of the Solimões River, Amazonas, Brazil","type":"article-journal","volume":"74"},"uris":["http://www.mendeley.com/documents/?uuid=199d7e59-2fb8-4857-8957-667ca4525d43"]}],"mendeley":{"formattedCitation":"(Prado et al. 2012; Valsecchi et al. 2014; Souto et al. 2017)","plainTextFormattedCitation":"(Prado et al. 2012; Valsecchi et al. 2014; Souto et al. 2017)","previouslyFormattedCitation":"(Prado et al. 2012; Valsecchi et al. 2014; Souto et al. 2017)"},"properties":{"noteIndex":0},"schema":"https://github.com/citation-style-language/schema/raw/master/csl-citation.json"}</w:instrText>
      </w:r>
      <w:r w:rsidR="007D5690">
        <w:rPr>
          <w:color w:val="000000" w:themeColor="text1"/>
        </w:rPr>
        <w:fldChar w:fldCharType="separate"/>
      </w:r>
      <w:r w:rsidR="007D5690" w:rsidRPr="007D5690">
        <w:rPr>
          <w:noProof/>
          <w:color w:val="000000" w:themeColor="text1"/>
        </w:rPr>
        <w:t>(Prado et al. 2012; Valsecchi et al. 2014; Souto et al. 2017)</w:t>
      </w:r>
      <w:r w:rsidR="007D5690">
        <w:rPr>
          <w:color w:val="000000" w:themeColor="text1"/>
        </w:rPr>
        <w:fldChar w:fldCharType="end"/>
      </w:r>
      <w:r w:rsidR="007D5690">
        <w:rPr>
          <w:color w:val="000000" w:themeColor="text1"/>
        </w:rPr>
        <w:t xml:space="preserve"> </w:t>
      </w:r>
      <w:r w:rsidR="007B41DB">
        <w:rPr>
          <w:color w:val="000000" w:themeColor="text1"/>
        </w:rPr>
        <w:t xml:space="preserve">and </w:t>
      </w:r>
      <w:r w:rsidR="006D7D74" w:rsidRPr="004904D8">
        <w:rPr>
          <w:color w:val="000000" w:themeColor="text1"/>
        </w:rPr>
        <w:t xml:space="preserve">solar power and refrigeration technologies enable longer periods </w:t>
      </w:r>
      <w:r w:rsidR="006D7D74" w:rsidRPr="005512D2">
        <w:rPr>
          <w:color w:val="000000" w:themeColor="text1"/>
        </w:rPr>
        <w:t>for transport to mark</w:t>
      </w:r>
      <w:r w:rsidR="007B41DB">
        <w:rPr>
          <w:color w:val="000000" w:themeColor="text1"/>
        </w:rPr>
        <w:t>et</w:t>
      </w:r>
      <w:r w:rsidR="00216C74">
        <w:rPr>
          <w:color w:val="000000" w:themeColor="text1"/>
        </w:rPr>
        <w:t xml:space="preserve"> </w:t>
      </w:r>
      <w:r w:rsidR="007D5690">
        <w:rPr>
          <w:color w:val="000000" w:themeColor="text1"/>
        </w:rPr>
        <w:fldChar w:fldCharType="begin" w:fldLock="1"/>
      </w:r>
      <w:r w:rsidR="00B2630D">
        <w:rPr>
          <w:color w:val="000000" w:themeColor="text1"/>
        </w:rPr>
        <w:instrText>ADDIN CSL_CITATION {"citationItems":[{"id":"ITEM-1","itemData":{"DOI":"10.1590/S1981-81222012000200010","ISBN":"1981-8122","ISSN":"19818122","abstract":"Indigenous Reserves have played an indispensable role in maintaining forest areas in the Neotropics. In the Amazon there is a clear correlation between these reserves and the presence of forest cover; however, the simple presence of uninterrupted vegetation is no guarantee for the conservation of biodiversity, especially where hunting is practiced. This study describes hunting practices among the Awá-Guajá people from 1993 through 1994, also identifying socio- cultural, technological, and demographic changes that have influenced their resource acquisition strategies over the last two decades. The data was obtained through ethnographic fieldwork, recording 78 days of foraging returns, with follow-up visits through 2010. This work provides useful information for an effective diachronic analysis of hunting in this community, by revealing foraging patterns of the early to mid-1990s, and describing community transformations over the last two decades in this locale","author":[{"dropping-particle":"","family":"Prado","given":"Helbert Medeiros","non-dropping-particle":"","parse-names":false,"suffix":""},{"dropping-particle":"","family":"Forline","given":"Louis Carlos","non-dropping-particle":"","parse-names":false,"suffix":""},{"dropping-particle":"","family":"Kipnis","given":"Renato","non-dropping-particle":"","parse-names":false,"suffix":""}],"container-title":"Boletimdo Museu Paraense Emilio Goeldi: Ciencias Humanas","id":"ITEM-1","issue":"2","issued":{"date-parts":[["2012"]]},"page":"479-491","title":"Hunting practices among the Awá-Guajá: towards a long-term analysis of sustainability in an Amazonian indigenous community","type":"article-journal","volume":"7"},"uris":["http://www.mendeley.com/documents/?uuid=986a83bc-305b-41a1-88cf-8554235b7980"]},{"id":"ITEM-2","itemData":{"author":[{"dropping-particle":"","family":"Vliet","given":"N","non-dropping-particle":"Van","parse-names":false,"suffix":""},{"dropping-particle":"","family":"Gomez","given":"J","non-dropping-particle":"","parse-names":false,"suffix":""},{"dropping-particle":"","family":"Quiceno-Mesa","given":"M P","non-dropping-particle":"","parse-names":false,"suffix":""},{"dropping-particle":"","family":"Escobar","given":"J F","non-dropping-particle":"","parse-names":false,"suffix":""},{"dropping-particle":"","family":"Andrade","given":"G","non-dropping-particle":"","parse-names":false,"suffix":""},{"dropping-particle":"","family":"Vanegas","given":"L A","non-dropping-particle":"","parse-names":false,"suffix":""},{"dropping-particle":"","family":"Nasi","given":"R","non-dropping-particle":"","parse-names":false,"suffix":""}],"container-title":"International Forestry Review","id":"ITEM-2","issue":"4","issued":{"date-parts":[["2015"]]},"page":"438-447","title":"Sustainable wildlife management and legal commercial use of bushmeat in Colombia: the resource remains at the cross-road","type":"article-journal","volume":"17"},"uris":["http://www.mendeley.com/documents/?uuid=0c01781f-2002-4d81-845f-9ecf58a3564f"]}],"mendeley":{"formattedCitation":"(Prado et al. 2012; Van Vliet et al. 2015c)","plainTextFormattedCitation":"(Prado et al. 2012; Van Vliet et al. 2015c)","previouslyFormattedCitation":"(Prado et al. 2012; Van Vliet et al. 2015c)"},"properties":{"noteIndex":0},"schema":"https://github.com/citation-style-language/schema/raw/master/csl-citation.json"}</w:instrText>
      </w:r>
      <w:r w:rsidR="007D5690">
        <w:rPr>
          <w:color w:val="000000" w:themeColor="text1"/>
        </w:rPr>
        <w:fldChar w:fldCharType="separate"/>
      </w:r>
      <w:r w:rsidR="00763BF5" w:rsidRPr="00763BF5">
        <w:rPr>
          <w:noProof/>
          <w:color w:val="000000" w:themeColor="text1"/>
        </w:rPr>
        <w:t>(Prado et al. 2012; Van Vliet et al. 2015c)</w:t>
      </w:r>
      <w:r w:rsidR="007D5690">
        <w:rPr>
          <w:color w:val="000000" w:themeColor="text1"/>
        </w:rPr>
        <w:fldChar w:fldCharType="end"/>
      </w:r>
      <w:r w:rsidR="007D5690">
        <w:rPr>
          <w:color w:val="000000" w:themeColor="text1"/>
        </w:rPr>
        <w:t xml:space="preserve">. </w:t>
      </w:r>
      <w:r w:rsidR="00192DF1" w:rsidRPr="003E3238">
        <w:rPr>
          <w:color w:val="000000" w:themeColor="text1"/>
        </w:rPr>
        <w:t>The rise of mobile</w:t>
      </w:r>
      <w:r w:rsidR="00192DF1" w:rsidRPr="00EE2428">
        <w:rPr>
          <w:color w:val="000000" w:themeColor="text1"/>
        </w:rPr>
        <w:t xml:space="preserve"> phone ownership</w:t>
      </w:r>
      <w:r w:rsidR="00C44F33" w:rsidRPr="00EE2428">
        <w:rPr>
          <w:color w:val="000000" w:themeColor="text1"/>
        </w:rPr>
        <w:t xml:space="preserve"> and social media</w:t>
      </w:r>
      <w:r w:rsidR="00192DF1" w:rsidRPr="00EE2428">
        <w:rPr>
          <w:color w:val="000000" w:themeColor="text1"/>
        </w:rPr>
        <w:t xml:space="preserve">, and the ability to </w:t>
      </w:r>
      <w:r w:rsidR="006D7D74" w:rsidRPr="00EE2428">
        <w:rPr>
          <w:color w:val="000000" w:themeColor="text1"/>
        </w:rPr>
        <w:t xml:space="preserve">transfer funds </w:t>
      </w:r>
      <w:r w:rsidR="00F620D3">
        <w:rPr>
          <w:color w:val="000000" w:themeColor="text1"/>
        </w:rPr>
        <w:t>online</w:t>
      </w:r>
      <w:r w:rsidR="00192DF1" w:rsidRPr="00EE2428">
        <w:rPr>
          <w:color w:val="000000" w:themeColor="text1"/>
        </w:rPr>
        <w:t>, has facilitated</w:t>
      </w:r>
      <w:r w:rsidR="006D7D74" w:rsidRPr="0064175F">
        <w:rPr>
          <w:color w:val="000000" w:themeColor="text1"/>
        </w:rPr>
        <w:t xml:space="preserve"> easy ordering of </w:t>
      </w:r>
      <w:r w:rsidR="00192DF1" w:rsidRPr="0070404D">
        <w:rPr>
          <w:color w:val="000000" w:themeColor="text1"/>
        </w:rPr>
        <w:t xml:space="preserve">and payment for </w:t>
      </w:r>
      <w:r w:rsidR="008806AC" w:rsidRPr="0070404D">
        <w:rPr>
          <w:color w:val="000000" w:themeColor="text1"/>
        </w:rPr>
        <w:t>wild meat</w:t>
      </w:r>
      <w:r w:rsidR="006D7D74" w:rsidRPr="0070404D">
        <w:rPr>
          <w:color w:val="000000" w:themeColor="text1"/>
        </w:rPr>
        <w:t>, between urban traders and rural hunter</w:t>
      </w:r>
      <w:r w:rsidR="00C44F33" w:rsidRPr="0070404D">
        <w:rPr>
          <w:color w:val="000000" w:themeColor="text1"/>
        </w:rPr>
        <w:t>s</w:t>
      </w:r>
      <w:r w:rsidR="006D7D74" w:rsidRPr="0070404D">
        <w:rPr>
          <w:color w:val="000000" w:themeColor="text1"/>
        </w:rPr>
        <w:t xml:space="preserve"> </w:t>
      </w:r>
      <w:r w:rsidR="002324AE">
        <w:rPr>
          <w:color w:val="000000" w:themeColor="text1"/>
        </w:rPr>
        <w:fldChar w:fldCharType="begin" w:fldLock="1"/>
      </w:r>
      <w:r w:rsidR="00D72B40">
        <w:rPr>
          <w:color w:val="000000" w:themeColor="text1"/>
        </w:rPr>
        <w:instrText>ADDIN CSL_CITATION {"citationItems":[{"id":"ITEM-1","itemData":{"DOI":"10.1016/j.ecolecon.2009.06.026","ISSN":"0921-8009","author":[{"dropping-particle":"","family":"Kramer","given":"Daniel B","non-dropping-particle":"","parse-names":false,"suffix":""},{"dropping-particle":"","family":"Urquhart","given":"Gerald","non-dropping-particle":"","parse-names":false,"suffix":""},{"dropping-particle":"","family":"Schmitt","given":"Kristen","non-dropping-particle":"","parse-names":false,"suffix":""}],"container-title":"Ecological Economics","id":"ITEM-1","issue":"12","issued":{"date-parts":[["2009"]]},"page":"2897-2909","publisher":"Elsevier B.V.","title":"Globalization and the connection of remote communities: a review of household effects and their biodiversity implications","type":"article-journal","volume":"68"},"uris":["http://www.mendeley.com/documents/?uuid=c59fd07d-96c4-41fe-a5fb-bbc896e9c38b"]},{"id":"ITEM-2","itemData":{"DOI":"10.5751/ES-07669-200307","ISSN":"17083087","abstract":"Despite the fact that sustainability of bushmeat hunting in tropical areas is of major concern for conservation and development practitioners, we still know very little about how to measure sustainability and how to put in place sustainable bushmeat hunting systems. We review the current limits of traditional methods used to investigate sustainability of bushmeat hunting, discuss the need to incorporate the characteristics of complex systems into sustainability assessments, and suggest how resilience theories could assist in understanding bushmeat sustainability and more effective conservation of wildlife in tropical areas. Traditional methods used to assess the sustainability of bushmeat hunting include demographic models of population growth, one-off biological indicators, population trend methods, harvest-based indicators, and comparisons of demographic parameters between sites. These traditional biological sustainability indices have proved inadequate for measuring the impact of bushmeat hunting because sustainability is treated as a static, binary (yes or no) question, thus ignoring stochastic processes, the inherent variability of natural systems, and the complexity of hunting systems. We suggest that bushmeat hunting systems in tropical areas should be regarded as social-ecological systems in which the impacts of hunting on prey populations are not the only focus. Instead, the analysis of resilience aims at understanding the complex and dynamic relationships between the hunting ground, its resources, the stakeholders, and the different exogenous drivers of change that affect the components of the system at different scales. The main implication of using the resilience theory in the context of bushmeat hunting is the shift from the need to assess stocks with imprecise measures to the incorporation of the uncertainty and stochasticity inherent to complex systems in participatory and adaptive management processes. As such, the resilience analysis provides an unprecedented opportunity for the sustainable use of bushmeat and allows the identification of strategies to strengthen resilience when the system is found to be close to a given threshold, instead of reinforcing fortress conservation.","author":[{"dropping-particle":"","family":"Vliet","given":"Nathalie","non-dropping-particle":"Van","parse-names":false,"suffix":""},{"dropping-particle":"","family":"Fa","given":"John","non-dropping-particle":"","parse-names":false,"suffix":""},{"dropping-particle":"","family":"Nasi","given":"Robert","non-dropping-particle":"","parse-names":false,"suffix":""}],"container-title":"Ecology and Society","id":"ITEM-2","issue":"3","issued":{"date-parts":[["2015"]]},"page":"7","title":"Managing hunting under uncertainty: From one-off ecological indicators to esilience approaches in assessing the sustainability of bushmeat hunting","type":"article-journal","volume":"20"},"uris":["http://www.mendeley.com/documents/?uuid=63ea7aac-44c4-4ee2-8c11-494c6110b601"]},{"id":"ITEM-3","itemData":{"ISBN":"9789833393756","author":[{"dropping-particle":"","family":"Sy","given":"Emerson Y","non-dropping-particle":"","parse-names":false,"suffix":""}],"id":"ITEM-3","issued":{"date-parts":[["2018"]]},"publisher":"TRAFFIC Report, Petaling Jaya, Selangor, Malaysia","publisher-place":"Petaling Jaya, Selangor, Malaysia","title":"Utilisation of Facebook to trade live reptiles in the Philippines","type":"book"},"uris":["http://www.mendeley.com/documents/?uuid=a59475a8-6e27-472f-b6d9-cae827dd6028"]}],"mendeley":{"formattedCitation":"(Kramer et al. 2009; Van Vliet et al. 2015a; Sy 2018)","manualFormatting":"(Kramer et al., 2009; Van Vliet et al., 2015a; Sy, 2018)","plainTextFormattedCitation":"(Kramer et al. 2009; Van Vliet et al. 2015a; Sy 2018)","previouslyFormattedCitation":"(Kramer et al. 2009; Van Vliet et al. 2015a; Sy 2018)"},"properties":{"noteIndex":0},"schema":"https://github.com/citation-style-language/schema/raw/master/csl-citation.json"}</w:instrText>
      </w:r>
      <w:r w:rsidR="002324AE">
        <w:rPr>
          <w:color w:val="000000" w:themeColor="text1"/>
        </w:rPr>
        <w:fldChar w:fldCharType="separate"/>
      </w:r>
      <w:r w:rsidR="006844AD" w:rsidRPr="006844AD">
        <w:rPr>
          <w:noProof/>
          <w:color w:val="000000" w:themeColor="text1"/>
        </w:rPr>
        <w:t>(Kramer et al.</w:t>
      </w:r>
      <w:r w:rsidR="008806AC">
        <w:rPr>
          <w:noProof/>
          <w:color w:val="000000" w:themeColor="text1"/>
        </w:rPr>
        <w:t>,</w:t>
      </w:r>
      <w:r w:rsidR="006844AD" w:rsidRPr="006844AD">
        <w:rPr>
          <w:noProof/>
          <w:color w:val="000000" w:themeColor="text1"/>
        </w:rPr>
        <w:t xml:space="preserve"> 2009; </w:t>
      </w:r>
      <w:r w:rsidR="008806AC">
        <w:rPr>
          <w:noProof/>
          <w:color w:val="000000" w:themeColor="text1"/>
        </w:rPr>
        <w:t>V</w:t>
      </w:r>
      <w:r w:rsidR="006844AD" w:rsidRPr="006844AD">
        <w:rPr>
          <w:noProof/>
          <w:color w:val="000000" w:themeColor="text1"/>
        </w:rPr>
        <w:t>an Vliet et al.</w:t>
      </w:r>
      <w:r w:rsidR="008806AC">
        <w:rPr>
          <w:noProof/>
          <w:color w:val="000000" w:themeColor="text1"/>
        </w:rPr>
        <w:t>,</w:t>
      </w:r>
      <w:r w:rsidR="006844AD" w:rsidRPr="006844AD">
        <w:rPr>
          <w:noProof/>
          <w:color w:val="000000" w:themeColor="text1"/>
        </w:rPr>
        <w:t xml:space="preserve"> 2015a; Sy</w:t>
      </w:r>
      <w:r w:rsidR="008806AC">
        <w:rPr>
          <w:noProof/>
          <w:color w:val="000000" w:themeColor="text1"/>
        </w:rPr>
        <w:t>,</w:t>
      </w:r>
      <w:r w:rsidR="006844AD" w:rsidRPr="006844AD">
        <w:rPr>
          <w:noProof/>
          <w:color w:val="000000" w:themeColor="text1"/>
        </w:rPr>
        <w:t xml:space="preserve"> 2018)</w:t>
      </w:r>
      <w:r w:rsidR="002324AE">
        <w:rPr>
          <w:color w:val="000000" w:themeColor="text1"/>
        </w:rPr>
        <w:fldChar w:fldCharType="end"/>
      </w:r>
      <w:r w:rsidR="006D7D74" w:rsidRPr="0070404D">
        <w:rPr>
          <w:color w:val="000000" w:themeColor="text1"/>
        </w:rPr>
        <w:t>. These technologies may</w:t>
      </w:r>
      <w:r w:rsidR="0024025E">
        <w:rPr>
          <w:color w:val="000000" w:themeColor="text1"/>
        </w:rPr>
        <w:t xml:space="preserve"> </w:t>
      </w:r>
      <w:r w:rsidR="006D7D74" w:rsidRPr="0070404D">
        <w:rPr>
          <w:color w:val="000000" w:themeColor="text1"/>
        </w:rPr>
        <w:t>be increasing the extraction of wildlife throughout the tropics</w:t>
      </w:r>
      <w:r w:rsidR="005A2CEA">
        <w:rPr>
          <w:color w:val="000000" w:themeColor="text1"/>
        </w:rPr>
        <w:t xml:space="preserve"> and sub-tropics</w:t>
      </w:r>
      <w:r w:rsidR="006D7D74" w:rsidRPr="0070404D">
        <w:rPr>
          <w:color w:val="000000" w:themeColor="text1"/>
        </w:rPr>
        <w:t>, but impacts are yet to be fully studied.</w:t>
      </w:r>
    </w:p>
    <w:p w14:paraId="75EAFAC2" w14:textId="77777777" w:rsidR="00AA5EBD" w:rsidRPr="00785A38" w:rsidRDefault="00AA5EBD" w:rsidP="001C1D6E">
      <w:pPr>
        <w:pStyle w:val="Heading3"/>
      </w:pPr>
      <w:r w:rsidRPr="00785A38">
        <w:t>National economic crisis, poverty and conflict</w:t>
      </w:r>
    </w:p>
    <w:p w14:paraId="52A2CBF4" w14:textId="52820863" w:rsidR="00AA5EBD" w:rsidRPr="004904D8" w:rsidRDefault="00AA5EBD" w:rsidP="00C258BC">
      <w:pPr>
        <w:jc w:val="both"/>
        <w:rPr>
          <w:color w:val="000000" w:themeColor="text1"/>
        </w:rPr>
      </w:pPr>
      <w:r w:rsidRPr="0070404D">
        <w:t>Financial</w:t>
      </w:r>
      <w:r w:rsidRPr="004904D8">
        <w:t xml:space="preserve"> crises at national level can cause rapid demographic shifts within a country. </w:t>
      </w:r>
      <w:r w:rsidRPr="005512D2">
        <w:rPr>
          <w:color w:val="000000" w:themeColor="text1"/>
        </w:rPr>
        <w:t xml:space="preserve">Economic hardship and conflict may temporarily place people in a situation of food insecurity where </w:t>
      </w:r>
      <w:r w:rsidR="00725DD9">
        <w:rPr>
          <w:color w:val="000000" w:themeColor="text1"/>
        </w:rPr>
        <w:t>they will turn to wild meat use to supply food or income</w:t>
      </w:r>
      <w:r w:rsidRPr="005512D2">
        <w:rPr>
          <w:color w:val="000000" w:themeColor="text1"/>
        </w:rPr>
        <w:t xml:space="preserve">. </w:t>
      </w:r>
      <w:r w:rsidR="00EB72AB">
        <w:rPr>
          <w:color w:val="000000" w:themeColor="text1"/>
        </w:rPr>
        <w:t>The g</w:t>
      </w:r>
      <w:r w:rsidR="00EB72AB" w:rsidRPr="005512D2">
        <w:rPr>
          <w:color w:val="000000" w:themeColor="text1"/>
        </w:rPr>
        <w:t>overnance</w:t>
      </w:r>
      <w:r w:rsidRPr="005512D2">
        <w:rPr>
          <w:color w:val="000000" w:themeColor="text1"/>
        </w:rPr>
        <w:t xml:space="preserve"> of people using wildlife under crisis is extremely difficult </w:t>
      </w:r>
      <w:r w:rsidR="007D5690">
        <w:rPr>
          <w:color w:val="000000" w:themeColor="text1"/>
        </w:rPr>
        <w:fldChar w:fldCharType="begin" w:fldLock="1"/>
      </w:r>
      <w:r w:rsidR="009A6ACD">
        <w:rPr>
          <w:color w:val="000000" w:themeColor="text1"/>
        </w:rPr>
        <w:instrText>ADDIN CSL_CITATION {"citationItems":[{"id":"ITEM-1","itemData":{"ISBN":"0099002280","ISSN":"00189235","author":[{"dropping-particle":"","family":"Shambaugh","given":"J","non-dropping-particle":"","parse-names":false,"suffix":""},{"dropping-particle":"","family":"Oglethorpe","given":"J","non-dropping-particle":"","parse-names":false,"suffix":""},{"dropping-particle":"","family":"Ham","given":"R","non-dropping-particle":"","parse-names":false,"suffix":""},{"dropping-particle":"","family":"Tognetti","given":"S","non-dropping-particle":"","parse-names":false,"suffix":""}],"id":"ITEM-1","issue":"1","issued":{"date-parts":[["2001"]]},"number-of-pages":"94","publisher-place":"Biodiversity Support Program, Washington DC, USA","title":"The trampled grass. Mitigating the impacts of armed conflict on the environment","type":"report","volume":"34"},"uris":["http://www.mendeley.com/documents/?uuid=a8e605de-a78b-4f01-a4df-947978518e7b"]}],"mendeley":{"formattedCitation":"(Shambaugh et al. 2001)","plainTextFormattedCitation":"(Shambaugh et al. 2001)","previouslyFormattedCitation":"(Shambaugh et al. 2001)"},"properties":{"noteIndex":0},"schema":"https://github.com/citation-style-language/schema/raw/master/csl-citation.json"}</w:instrText>
      </w:r>
      <w:r w:rsidR="007D5690">
        <w:rPr>
          <w:color w:val="000000" w:themeColor="text1"/>
        </w:rPr>
        <w:fldChar w:fldCharType="separate"/>
      </w:r>
      <w:r w:rsidR="007D5690" w:rsidRPr="007D5690">
        <w:rPr>
          <w:noProof/>
          <w:color w:val="000000" w:themeColor="text1"/>
        </w:rPr>
        <w:t>(Shambaugh et al. 2001)</w:t>
      </w:r>
      <w:r w:rsidR="007D5690">
        <w:rPr>
          <w:color w:val="000000" w:themeColor="text1"/>
        </w:rPr>
        <w:fldChar w:fldCharType="end"/>
      </w:r>
      <w:r w:rsidR="007B24AB" w:rsidRPr="004904D8">
        <w:rPr>
          <w:color w:val="000000" w:themeColor="text1"/>
        </w:rPr>
        <w:t>.</w:t>
      </w:r>
    </w:p>
    <w:p w14:paraId="251FAF0A" w14:textId="6E99DBBC" w:rsidR="003B6FE0" w:rsidRPr="004904D8" w:rsidRDefault="00AA5EBD" w:rsidP="00C258BC">
      <w:pPr>
        <w:jc w:val="both"/>
      </w:pPr>
      <w:r w:rsidRPr="00E10EE1">
        <w:t>Plummeting crop prices</w:t>
      </w:r>
      <w:r w:rsidR="000E4C8E">
        <w:t>, or difficulties in transporting harvests to market,</w:t>
      </w:r>
      <w:r w:rsidRPr="00E10EE1">
        <w:t xml:space="preserve"> can compel rural farmers to pursue alternative income if crops cannot be sold</w:t>
      </w:r>
      <w:r w:rsidR="000A27CB" w:rsidRPr="00E10EE1">
        <w:t xml:space="preserve"> </w:t>
      </w:r>
      <w:r w:rsidR="009A6ACD">
        <w:fldChar w:fldCharType="begin" w:fldLock="1"/>
      </w:r>
      <w:r w:rsidR="00B2630D">
        <w:instrText>ADDIN CSL_CITATION {"citationItems":[{"id":"ITEM-1","itemData":{"author":[{"dropping-particle":"","family":"Dupain","given":"Jef","non-dropping-particle":"","parse-names":false,"suffix":""},{"dropping-particle":"","family":"Bwebwe","given":"Florence","non-dropping-particle":"","parse-names":false,"suffix":""},{"dropping-particle":"","family":"Elliott","given":"Joanna","non-dropping-particle":"","parse-names":false,"suffix":""},{"dropping-particle":"","family":"Sebunya","given":"Kaddu","non-dropping-particle":"","parse-names":false,"suffix":""},{"dropping-particle":"","family":"Williams","given":"David","non-dropping-particle":"","parse-names":false,"suffix":""},{"dropping-particle":"","family":"Nackoney","given":"Janet","non-dropping-particle":"","parse-names":false,"suffix":""}],"chapter-number":"5","container-title":"Landscape-Scale Conservation in the Congo Basin: Lessons Learned from the Central Africa Regional Program for the Environment (CARPE)","editor":[{"dropping-particle":"","family":"Tanggen","given":"D","non-dropping-particle":"","parse-names":false,"suffix":""},{"dropping-particle":"","family":"Angu","given":"K","non-dropping-particle":"","parse-names":false,"suffix":""},{"dropping-particle":"","family":"Tchamou","given":"N","non-dropping-particle":"","parse-names":false,"suffix":""}],"id":"ITEM-1","issued":{"date-parts":[["2008"]]},"page":"193-202","title":"Case study 2 - The role of alternative livelihoods in conservation: lessons learned from the Maringa-Lopori-Wamba Landscape","type":"chapter"},"uris":["http://www.mendeley.com/documents/?uuid=5275f7f7-1a4a-47ee-9174-9d209c8f591b"]},{"id":"ITEM-2","itemData":{"author":[{"dropping-particle":"","family":"Wicander","given":"S.","non-dropping-particle":"","parse-names":false,"suffix":""},{"dropping-particle":"","family":"Coad","given":"L.","non-dropping-particle":"","parse-names":false,"suffix":""}],"container-title":"Conservation and Society","id":"ITEM-2","issue":"4","issued":{"date-parts":[["2018"]]},"page":"441-458","title":"Can the provision of alternative livelihoods reduce the impact of wild meat hunting in West and Central Africa?","type":"article-journal","volume":"16"},"uris":["http://www.mendeley.com/documents/?uuid=8af76451-bff9-4fa3-a9a5-18e294a3d629"]}],"mendeley":{"formattedCitation":"(Dupain et al. 2008; Wicander &amp; Coad 2018)","plainTextFormattedCitation":"(Dupain et al. 2008; Wicander &amp; Coad 2018)","previouslyFormattedCitation":"(Dupain et al. 2008; Wicander &amp; Coad 2018)"},"properties":{"noteIndex":0},"schema":"https://github.com/citation-style-language/schema/raw/master/csl-citation.json"}</w:instrText>
      </w:r>
      <w:r w:rsidR="009A6ACD">
        <w:fldChar w:fldCharType="separate"/>
      </w:r>
      <w:r w:rsidR="009A6ACD" w:rsidRPr="009A6ACD">
        <w:rPr>
          <w:noProof/>
        </w:rPr>
        <w:t>(Dupain et al. 2008; Wicander &amp; Coad 2018)</w:t>
      </w:r>
      <w:r w:rsidR="009A6ACD">
        <w:fldChar w:fldCharType="end"/>
      </w:r>
      <w:r w:rsidRPr="00E10EE1">
        <w:t xml:space="preserve">. Unemployment can drive urbanites back to rural areas, in search of both food and income from hunting </w:t>
      </w:r>
      <w:r w:rsidR="00D00854">
        <w:fldChar w:fldCharType="begin" w:fldLock="1"/>
      </w:r>
      <w:r w:rsidR="00B2630D">
        <w:instrText>ADDIN CSL_CITATION {"citationItems":[{"id":"ITEM-1","itemData":{"DOI":"10.1080/00369220601100075","ISBN":"9781450326056","ISSN":"0931-0509","PMID":"10069175","author":[{"dropping-particle":"","family":"Newing","given":"H","non-dropping-particle":"","parse-names":false,"suffix":""}],"chapter-number":"5","container-title":"Mobility and Migration in Indigenous Amazonia: Contemporary Ethnoecological Perspectives","editor":[{"dropping-particle":"","family":"Alexiades","given":"M","non-dropping-particle":"","parse-names":false,"suffix":""}],"id":"ITEM-1","issued":{"date-parts":[["2009"]]},"page":"97-114","publisher":"Berghahn Books, New York, USA","title":"Unpicking 'Community' in community conservation: Implications of changing settlement patterns and individial mobility for the Tamshiyacu Tahuayo Communal Reserve, Peru.","type":"chapter"},"uris":["http://www.mendeley.com/documents/?uuid=4892ba75-d691-4369-87a1-3c66846835cb"]},{"id":"ITEM-2","itemData":{"author":[{"dropping-particle":"","family":"Nadakavukaren","given":"Anne","non-dropping-particle":"","parse-names":false,"suffix":""}],"id":"ITEM-2","issued":{"date-parts":[["2011"]]},"publisher":"Waveland Press","publisher-place":"Long Grove, Illinois, USA","title":"Our global environment","type":"book"},"uris":["http://www.mendeley.com/documents/?uuid=2594dfbc-01fb-47c4-a392-304e07cdacc3"]}],"mendeley":{"formattedCitation":"(Newing 2009; Nadakavukaren 2011)","plainTextFormattedCitation":"(Newing 2009; Nadakavukaren 2011)","previouslyFormattedCitation":"(Newing 2009; Nadakavukaren 2011)"},"properties":{"noteIndex":0},"schema":"https://github.com/citation-style-language/schema/raw/master/csl-citation.json"}</w:instrText>
      </w:r>
      <w:r w:rsidR="00D00854">
        <w:fldChar w:fldCharType="separate"/>
      </w:r>
      <w:r w:rsidR="00DD7745" w:rsidRPr="00DD7745">
        <w:rPr>
          <w:noProof/>
        </w:rPr>
        <w:t>(Newing 2009; Nadakavukaren 2011)</w:t>
      </w:r>
      <w:r w:rsidR="00D00854">
        <w:fldChar w:fldCharType="end"/>
      </w:r>
      <w:r w:rsidRPr="00E10EE1">
        <w:t xml:space="preserve">. This is particularly likely to happen in newly-urbanised </w:t>
      </w:r>
      <w:r w:rsidR="000E4C8E">
        <w:t>areas</w:t>
      </w:r>
      <w:r w:rsidRPr="00E10EE1">
        <w:t xml:space="preserve">, where urban populations still retain the skills necessary for rural harvesting. </w:t>
      </w:r>
    </w:p>
    <w:p w14:paraId="51383F8E" w14:textId="5FE954B4" w:rsidR="00AA5EBD" w:rsidRPr="0064175F" w:rsidRDefault="00AA5EBD" w:rsidP="00C258BC">
      <w:pPr>
        <w:jc w:val="both"/>
        <w:rPr>
          <w:color w:val="000000" w:themeColor="text1"/>
        </w:rPr>
      </w:pPr>
      <w:r w:rsidRPr="004904D8">
        <w:rPr>
          <w:color w:val="000000" w:themeColor="text1"/>
        </w:rPr>
        <w:t xml:space="preserve">Human populations that are displaced by </w:t>
      </w:r>
      <w:r w:rsidRPr="005512D2">
        <w:rPr>
          <w:color w:val="000000" w:themeColor="text1"/>
        </w:rPr>
        <w:t>conflict often become reliant on wild meat due to the loss of their normal sources of food and income, and an absence of alternatives</w:t>
      </w:r>
      <w:r w:rsidR="00E82AF1">
        <w:rPr>
          <w:color w:val="000000" w:themeColor="text1"/>
        </w:rPr>
        <w:t xml:space="preserve"> </w:t>
      </w:r>
      <w:r w:rsidR="00E82AF1">
        <w:rPr>
          <w:color w:val="000000" w:themeColor="text1"/>
        </w:rPr>
        <w:fldChar w:fldCharType="begin" w:fldLock="1"/>
      </w:r>
      <w:r w:rsidR="00FA72F7">
        <w:rPr>
          <w:color w:val="000000" w:themeColor="text1"/>
        </w:rPr>
        <w:instrText>ADDIN CSL_CITATION {"citationItems":[{"id":"ITEM-1","itemData":{"DOI":"10.1111/j.1523-1739.2006.00425.x","ISBN":"0888-8892","ISSN":"08888892","PMID":"16922242","abstract":"Our understanding of the linkages between the bushmeat trade and the wider informal economy is limited. This lack of knowledge is particularly problematic for conservation under conditions of political instability, when the informal economy can be highly dynamic and impacts on wildlife populations can be severe. To explore these interlinked processes, we conducted a study of the bushmeat trade in Garamba National Park, Democratic Republic of Congo, through a combination of market surveys, semistructured interviews, and direct observation. We focused on the sale of protected and unprotected species in urban and rural markets, and the bushmeat commodity chains that supplied these markets, under conditions of political stability and armed conflict. During peacetime, protected species from the park (predominantly elephant and buffalo) rarely appeared in the rural markets, but they comprised more than half of all bushmeat sales in the urban markets. This pattern reflected differences in the rural and urban commodity chains. Automatic weapons were urban trade. The use of such weapons was discouraged by the traditional chiefs, who administered the village markets. During wartime, the sales of protected species in the urban markets increased fivefold because the military officers fled, leaving behind an open-access system that led to a massive increase in the exploitation of protected species. In contrast, the rural markets remained relatively stable because of the continued authority of the village chiefs. Our results indicate that sociopolitical factors can be an important determinant of species offtake and, therefore, that knowledge of the bushmeat commodity chain can be vital to controlling theprocesses that drive species extraction. In addition, our findings suggest that traditional authorities can be potentially valuable partners for bushmeat management.","author":[{"dropping-particle":"","family":"Merode","given":"Emmanuel","non-dropping-particle":"De","parse-names":false,"suffix":""},{"dropping-particle":"","family":"Cowlishaw","given":"Guy","non-dropping-particle":"","parse-names":false,"suffix":""}],"container-title":"Conservation Biology","id":"ITEM-1","issue":"4","issued":{"date-parts":[["2006"]]},"page":"1262-1271","title":"Species protection, the changing informal economy, and the politics of access to the bushmeat trade in the Democratic Republic of Congo","type":"article-journal","volume":"20"},"uris":["http://www.mendeley.com/documents/?uuid=c712581b-3a9e-4d18-9c62-434e5ea5039a"]},{"id":"ITEM-2","itemData":{"DOI":"10.1111/j.1755-263X.2008.00044.x","author":[{"dropping-particle":"","family":"Loucks","given":"Colby","non-dropping-particle":"","parse-names":false,"suffix":""},{"dropping-particle":"","family":"Mascia","given":"Michael B","non-dropping-particle":"","parse-names":false,"suffix":""},{"dropping-particle":"","family":"Maxwell","given":"Andy","non-dropping-particle":"","parse-names":false,"suffix":""},{"dropping-particle":"","family":"Huy","given":"Keavuth","non-dropping-particle":"","parse-names":false,"suffix":""},{"dropping-particle":"","family":"Duong","given":"Kong","non-dropping-particle":"","parse-names":false,"suffix":""},{"dropping-particle":"","family":"Chea","given":"Nareth","non-dropping-particle":"","parse-names":false,"suffix":""},{"dropping-particle":"","family":"Long","given":"Barney","non-dropping-particle":"","parse-names":false,"suffix":""},{"dropping-particle":"","family":"Cox","given":"Nick","non-dropping-particle":"","parse-names":false,"suffix":""},{"dropping-particle":"","family":"Seng","given":"Teak","non-dropping-particle":"","parse-names":false,"suffix":""}],"container-title":"Conservation Letters","id":"ITEM-2","issued":{"date-parts":[["2009"]]},"page":"82-92","title":"Wildlife decline in Cambodia, 1953 – 2005: exploring the legacy of armed conflict","type":"article-journal","volume":"2"},"uris":["http://www.mendeley.com/documents/?uuid=6e6e1831-cb26-40ee-a8cd-204cf33f84f0"]},{"id":"ITEM-3","itemData":{"DOI":"10.1016/j.biocon.2013.12.033","ISSN":"0006-3207","author":[{"dropping-particle":"","family":"Nackoney","given":"Janet","non-dropping-particle":"","parse-names":false,"suffix":""},{"dropping-particle":"","family":"Molinario","given":"Giuseppe","non-dropping-particle":"","parse-names":false,"suffix":""},{"dropping-particle":"","family":"Potapov","given":"Peter","non-dropping-particle":"","parse-names":false,"suffix":""},{"dropping-particle":"","family":"Turubanova","given":"Svetlana","non-dropping-particle":"","parse-names":false,"suffix":""},{"dropping-particle":"","family":"Hansen","given":"Matthew C","non-dropping-particle":"","parse-names":false,"suffix":""},{"dropping-particle":"","family":"Furuichi","given":"Takeshi","non-dropping-particle":"","parse-names":false,"suffix":""}],"container-title":"Biological Conservation","id":"ITEM-3","issued":{"date-parts":[["2014"]]},"page":"321-328","publisher":"Elsevier Ltd","title":"Impacts of civil conflict on primary forest habitat in northern Democratic Republic of the Congo, 1990 – 2010","type":"article-journal","volume":"170"},"uris":["http://www.mendeley.com/documents/?uuid=9ce25afe-a269-4260-9aa9-7551f88bdf26"]},{"id":"ITEM-4","itemData":{"DOI":"10.15451/ec2018","author":[{"dropping-particle":"","family":"Vliet","given":"Nathalie","non-dropping-particle":"Van","parse-names":false,"suffix":""},{"dropping-particle":"","family":"Schulte-Herbruggen","given":"Björn","non-dropping-particle":"","parse-names":false,"suffix":""},{"dropping-particle":"","family":"Vanegas","given":"Liliana","non-dropping-particle":"","parse-names":false,"suffix":""},{"dropping-particle":"","family":"Yair-Cuesta","given":"Eric","non-dropping-particle":"","parse-names":false,"suffix":""},{"dropping-particle":"","family":"Sandrin","given":"Francois","non-dropping-particle":"","parse-names":false,"suffix":""},{"dropping-particle":"","family":"Nasi","given":"Robert","non-dropping-particle":"","parse-names":false,"suffix":""}],"container-title":"Ethnobiology and Conservation","id":"ITEM-4","issue":"2","issued":{"date-parts":[["2018"]]},"page":"1-15","title":"Wild animals (fish and wildmeat) contribute to dietary diversity among food insecure urban teenagers the case of Quibdó, Colombia","type":"article-journal","volume":"7"},"uris":["http://www.mendeley.com/documents/?uuid=71e2bbf4-9637-4afa-8d29-2cd96c34dc49"]},{"id":"ITEM-5","itemData":{"author":[{"dropping-particle":"","family":"Takamura","given":"Shingo","non-dropping-particle":"","parse-names":false,"suffix":""}],"container-title":"African Study Monographs","id":"ITEM-5","issued":{"date-parts":[["2015"]]},"page":"77-91","title":"Reorganizing the distribution system in post-conflict society: a study of Orientale Province, the Democratic Republic of the Congo","type":"article-journal","volume":"51"},"uris":["http://www.mendeley.com/documents/?uuid=e9606e20-6d62-4de1-ba89-0a504a0d0208"]},{"id":"ITEM-6","itemData":{"author":[{"dropping-particle":"","family":"Vliet","given":"Nathalie","non-dropping-particle":"Van","parse-names":false,"suffix":""},{"dropping-particle":"","family":"Muhindo","given":"Jonas","non-dropping-particle":"","parse-names":false,"suffix":""},{"dropping-particle":"","family":"Nebesse","given":"Casimir","non-dropping-particle":"","parse-names":false,"suffix":""},{"dropping-particle":"","family":"Gambalemoke","given":"Sylvestre","non-dropping-particle":"","parse-names":false,"suffix":""},{"dropping-particle":"","family":"Nasi","given":"Robert","non-dropping-particle":"","parse-names":false,"suffix":""}],"container-title":"Ecology and Society","id":"ITEM-6","issue":"4","issued":{"date-parts":[["2017"]]},"page":"35","title":"Trends in bushmeat trade in a postconflict forest town: implications for food","type":"article-journal","volume":"22"},"uris":["http://www.mendeley.com/documents/?uuid=92d7dfb3-aafb-4212-893e-9e778d421cbe"]}],"mendeley":{"formattedCitation":"(De Merode &amp; Cowlishaw 2006; Loucks et al. 2009; Nackoney et al. 2014; Takamura 2015; Van Vliet et al. 2017b, 2018b)","manualFormatting":"(de Merode and Cowlishaw, 2006; Loucks et al., 2009; Nackoney et al., 2014; Takamura, 2015; Van Vliet et al., 2017b, 2018)","plainTextFormattedCitation":"(De Merode &amp; Cowlishaw 2006; Loucks et al. 2009; Nackoney et al. 2014; Takamura 2015; Van Vliet et al. 2017b, 2018b)","previouslyFormattedCitation":"(De Merode &amp; Cowlishaw 2006; Loucks et al. 2009; Nackoney et al. 2014; Takamura 2015; Van Vliet et al. 2017b, 2018b)"},"properties":{"noteIndex":0},"schema":"https://github.com/citation-style-language/schema/raw/master/csl-citation.json"}</w:instrText>
      </w:r>
      <w:r w:rsidR="00E82AF1">
        <w:rPr>
          <w:color w:val="000000" w:themeColor="text1"/>
        </w:rPr>
        <w:fldChar w:fldCharType="separate"/>
      </w:r>
      <w:r w:rsidR="00976189" w:rsidRPr="00976189">
        <w:rPr>
          <w:noProof/>
          <w:color w:val="000000" w:themeColor="text1"/>
        </w:rPr>
        <w:t xml:space="preserve">(de Merode </w:t>
      </w:r>
      <w:r w:rsidR="00037F04">
        <w:rPr>
          <w:noProof/>
          <w:color w:val="000000" w:themeColor="text1"/>
        </w:rPr>
        <w:t>and</w:t>
      </w:r>
      <w:r w:rsidR="00976189" w:rsidRPr="00976189">
        <w:rPr>
          <w:noProof/>
          <w:color w:val="000000" w:themeColor="text1"/>
        </w:rPr>
        <w:t xml:space="preserve"> Cowlishaw</w:t>
      </w:r>
      <w:r w:rsidR="00037F04">
        <w:rPr>
          <w:noProof/>
          <w:color w:val="000000" w:themeColor="text1"/>
        </w:rPr>
        <w:t>,</w:t>
      </w:r>
      <w:r w:rsidR="00976189" w:rsidRPr="00976189">
        <w:rPr>
          <w:noProof/>
          <w:color w:val="000000" w:themeColor="text1"/>
        </w:rPr>
        <w:t xml:space="preserve"> 2006; Loucks </w:t>
      </w:r>
      <w:r w:rsidR="00475918">
        <w:rPr>
          <w:noProof/>
          <w:color w:val="000000" w:themeColor="text1"/>
        </w:rPr>
        <w:t xml:space="preserve">et al., </w:t>
      </w:r>
      <w:r w:rsidR="00976189" w:rsidRPr="00976189">
        <w:rPr>
          <w:noProof/>
          <w:color w:val="000000" w:themeColor="text1"/>
        </w:rPr>
        <w:t xml:space="preserve">2009; Nackoney </w:t>
      </w:r>
      <w:r w:rsidR="00475918">
        <w:rPr>
          <w:noProof/>
          <w:color w:val="000000" w:themeColor="text1"/>
        </w:rPr>
        <w:t xml:space="preserve">et al., </w:t>
      </w:r>
      <w:r w:rsidR="00976189" w:rsidRPr="00976189">
        <w:rPr>
          <w:noProof/>
          <w:color w:val="000000" w:themeColor="text1"/>
        </w:rPr>
        <w:t>2014; Takamura</w:t>
      </w:r>
      <w:r w:rsidR="00037F04">
        <w:rPr>
          <w:noProof/>
          <w:color w:val="000000" w:themeColor="text1"/>
        </w:rPr>
        <w:t>,</w:t>
      </w:r>
      <w:r w:rsidR="00976189" w:rsidRPr="00976189">
        <w:rPr>
          <w:noProof/>
          <w:color w:val="000000" w:themeColor="text1"/>
        </w:rPr>
        <w:t xml:space="preserve"> 2015; </w:t>
      </w:r>
      <w:r w:rsidR="00463F14">
        <w:rPr>
          <w:noProof/>
          <w:color w:val="000000" w:themeColor="text1"/>
        </w:rPr>
        <w:t xml:space="preserve">Van </w:t>
      </w:r>
      <w:r w:rsidR="00976189" w:rsidRPr="00976189">
        <w:rPr>
          <w:noProof/>
          <w:color w:val="000000" w:themeColor="text1"/>
        </w:rPr>
        <w:t xml:space="preserve">Vliet </w:t>
      </w:r>
      <w:r w:rsidR="00475918">
        <w:rPr>
          <w:noProof/>
          <w:color w:val="000000" w:themeColor="text1"/>
        </w:rPr>
        <w:t xml:space="preserve">et al., </w:t>
      </w:r>
      <w:r w:rsidR="00976189" w:rsidRPr="00976189">
        <w:rPr>
          <w:noProof/>
          <w:color w:val="000000" w:themeColor="text1"/>
        </w:rPr>
        <w:t>2017b, 2018)</w:t>
      </w:r>
      <w:r w:rsidR="00E82AF1">
        <w:rPr>
          <w:color w:val="000000" w:themeColor="text1"/>
        </w:rPr>
        <w:fldChar w:fldCharType="end"/>
      </w:r>
      <w:r w:rsidRPr="005512D2">
        <w:rPr>
          <w:color w:val="000000" w:themeColor="text1"/>
        </w:rPr>
        <w:t xml:space="preserve">. For instance, a sizable illegal wild meat trade has emerged in Tanzania owing to the influx of refugees from </w:t>
      </w:r>
      <w:r w:rsidRPr="001E3BCA">
        <w:rPr>
          <w:color w:val="000000" w:themeColor="text1"/>
        </w:rPr>
        <w:t xml:space="preserve">neighbouring Burundi, DRC and Rwanda, since other sources of </w:t>
      </w:r>
      <w:r w:rsidRPr="001E3BCA">
        <w:rPr>
          <w:color w:val="000000" w:themeColor="text1"/>
        </w:rPr>
        <w:lastRenderedPageBreak/>
        <w:t xml:space="preserve">protein are </w:t>
      </w:r>
      <w:r w:rsidR="00B35287" w:rsidRPr="001E3BCA">
        <w:rPr>
          <w:color w:val="000000" w:themeColor="text1"/>
        </w:rPr>
        <w:t>scarce</w:t>
      </w:r>
      <w:r w:rsidRPr="001E3BCA">
        <w:rPr>
          <w:color w:val="000000" w:themeColor="text1"/>
        </w:rPr>
        <w:t xml:space="preserve"> in the refugee camps </w:t>
      </w:r>
      <w:r w:rsidR="004D71C6">
        <w:rPr>
          <w:color w:val="000000" w:themeColor="text1"/>
        </w:rPr>
        <w:fldChar w:fldCharType="begin" w:fldLock="1"/>
      </w:r>
      <w:r w:rsidR="004D71C6">
        <w:rPr>
          <w:color w:val="000000" w:themeColor="text1"/>
        </w:rPr>
        <w:instrText>ADDIN CSL_CITATION {"citationItems":[{"id":"ITEM-1","itemData":{"author":[{"dropping-particle":"","family":"Jambiya","given":"J","non-dropping-particle":"","parse-names":false,"suffix":""},{"dropping-particle":"","family":"Milledge","given":"S","non-dropping-particle":"","parse-names":false,"suffix":""},{"dropping-particle":"","family":"Mtango","given":"N","non-dropping-particle":"","parse-names":false,"suffix":""}],"id":"ITEM-1","issued":{"date-parts":[["2007"]]},"publisher-place":"TRAFFIC East-southern Africa, Dar Es Salaam, Tanzania","title":"Night time spinach: conservation and livelihood implications of wild meat use in refugee situations in north-western Tanzania","type":"report"},"uris":["http://www.mendeley.com/documents/?uuid=534e5a34-23d1-4af2-9326-bd6a499dd194"]}],"mendeley":{"formattedCitation":"(Jambiya et al. 2007)","plainTextFormattedCitation":"(Jambiya et al. 2007)","previouslyFormattedCitation":"(Jambiya et al. 2007)"},"properties":{"noteIndex":0},"schema":"https://github.com/citation-style-language/schema/raw/master/csl-citation.json"}</w:instrText>
      </w:r>
      <w:r w:rsidR="004D71C6">
        <w:rPr>
          <w:color w:val="000000" w:themeColor="text1"/>
        </w:rPr>
        <w:fldChar w:fldCharType="separate"/>
      </w:r>
      <w:r w:rsidR="004D71C6" w:rsidRPr="004D71C6">
        <w:rPr>
          <w:noProof/>
          <w:color w:val="000000" w:themeColor="text1"/>
        </w:rPr>
        <w:t>(Jambiya et al. 2007)</w:t>
      </w:r>
      <w:r w:rsidR="004D71C6">
        <w:rPr>
          <w:color w:val="000000" w:themeColor="text1"/>
        </w:rPr>
        <w:fldChar w:fldCharType="end"/>
      </w:r>
      <w:r w:rsidRPr="001E3BCA">
        <w:rPr>
          <w:color w:val="000000" w:themeColor="text1"/>
        </w:rPr>
        <w:t xml:space="preserve">. </w:t>
      </w:r>
      <w:r w:rsidR="005A2CEA" w:rsidRPr="001E3BCA">
        <w:rPr>
          <w:color w:val="000000" w:themeColor="text1"/>
        </w:rPr>
        <w:t>In Mozambique,</w:t>
      </w:r>
      <w:r w:rsidR="000A27CB" w:rsidRPr="001E3BCA">
        <w:rPr>
          <w:color w:val="000000" w:themeColor="text1"/>
        </w:rPr>
        <w:t xml:space="preserve"> the period of</w:t>
      </w:r>
      <w:r w:rsidR="005A2CEA" w:rsidRPr="001E3BCA">
        <w:rPr>
          <w:color w:val="000000" w:themeColor="text1"/>
        </w:rPr>
        <w:t xml:space="preserve"> civil conflict from 1980 – 1992 </w:t>
      </w:r>
      <w:r w:rsidR="000A27CB" w:rsidRPr="001E3BCA">
        <w:rPr>
          <w:color w:val="000000" w:themeColor="text1"/>
        </w:rPr>
        <w:t>saw</w:t>
      </w:r>
      <w:r w:rsidR="005A2CEA" w:rsidRPr="001E3BCA">
        <w:rPr>
          <w:color w:val="000000" w:themeColor="text1"/>
        </w:rPr>
        <w:t xml:space="preserve"> substantial declines in the wildlife of the Gornongosa National Park: e</w:t>
      </w:r>
      <w:r w:rsidR="009B72BE" w:rsidRPr="001E3BCA">
        <w:rPr>
          <w:color w:val="000000" w:themeColor="text1"/>
        </w:rPr>
        <w:t>lephant (</w:t>
      </w:r>
      <w:r w:rsidR="009B72BE" w:rsidRPr="001E3BCA">
        <w:rPr>
          <w:i/>
          <w:color w:val="000000" w:themeColor="text1"/>
        </w:rPr>
        <w:t>Loxodonta africana</w:t>
      </w:r>
      <w:r w:rsidR="009B72BE" w:rsidRPr="001E3BCA">
        <w:rPr>
          <w:color w:val="000000" w:themeColor="text1"/>
        </w:rPr>
        <w:t>)</w:t>
      </w:r>
      <w:r w:rsidRPr="001E3BCA">
        <w:rPr>
          <w:color w:val="000000" w:themeColor="text1"/>
        </w:rPr>
        <w:t xml:space="preserve"> populations fell from 3000 in 1979 to 108 in 1994, buffalo from 14,000 to 0 and hippo </w:t>
      </w:r>
      <w:r w:rsidR="009B72BE" w:rsidRPr="001E3BCA">
        <w:rPr>
          <w:color w:val="000000" w:themeColor="text1"/>
        </w:rPr>
        <w:t>(</w:t>
      </w:r>
      <w:r w:rsidR="009B72BE" w:rsidRPr="001E3BCA">
        <w:rPr>
          <w:i/>
          <w:color w:val="000000" w:themeColor="text1"/>
        </w:rPr>
        <w:t>Hippotamus amphibius</w:t>
      </w:r>
      <w:r w:rsidR="009B72BE" w:rsidRPr="001E3BCA">
        <w:rPr>
          <w:color w:val="000000" w:themeColor="text1"/>
        </w:rPr>
        <w:t xml:space="preserve">) </w:t>
      </w:r>
      <w:r w:rsidRPr="001E3BCA">
        <w:rPr>
          <w:color w:val="000000" w:themeColor="text1"/>
        </w:rPr>
        <w:t xml:space="preserve">from 4800 to 0 </w:t>
      </w:r>
      <w:r w:rsidR="004D71C6">
        <w:rPr>
          <w:color w:val="000000" w:themeColor="text1"/>
        </w:rPr>
        <w:fldChar w:fldCharType="begin" w:fldLock="1"/>
      </w:r>
      <w:r w:rsidR="004D71C6">
        <w:rPr>
          <w:color w:val="000000" w:themeColor="text1"/>
        </w:rPr>
        <w:instrText>ADDIN CSL_CITATION {"citationItems":[{"id":"ITEM-1","itemData":{"author":[{"dropping-particle":"","family":"Hatton","given":"J","non-dropping-particle":"","parse-names":false,"suffix":""},{"dropping-particle":"","family":"Couto","given":"M","non-dropping-particle":"","parse-names":false,"suffix":""},{"dropping-particle":"","family":"Oglethorpe","given":"J","non-dropping-particle":"","parse-names":false,"suffix":""}],"id":"ITEM-1","issued":{"date-parts":[["2001"]]},"publisher-place":"WWF Biodiversity Support Program, Washington DC, USA","title":"Biodiversity and war: A case study of Mozambique","type":"report"},"uris":["http://www.mendeley.com/documents/?uuid=0cd44918-fe3e-4a65-84d8-845453c894b2"]}],"mendeley":{"formattedCitation":"(Hatton et al. 2001)","plainTextFormattedCitation":"(Hatton et al. 2001)","previouslyFormattedCitation":"(Hatton et al. 2001)"},"properties":{"noteIndex":0},"schema":"https://github.com/citation-style-language/schema/raw/master/csl-citation.json"}</w:instrText>
      </w:r>
      <w:r w:rsidR="004D71C6">
        <w:rPr>
          <w:color w:val="000000" w:themeColor="text1"/>
        </w:rPr>
        <w:fldChar w:fldCharType="separate"/>
      </w:r>
      <w:r w:rsidR="004D71C6" w:rsidRPr="004D71C6">
        <w:rPr>
          <w:noProof/>
          <w:color w:val="000000" w:themeColor="text1"/>
        </w:rPr>
        <w:t>(Hatton et al. 2001)</w:t>
      </w:r>
      <w:r w:rsidR="004D71C6">
        <w:rPr>
          <w:color w:val="000000" w:themeColor="text1"/>
        </w:rPr>
        <w:fldChar w:fldCharType="end"/>
      </w:r>
      <w:r w:rsidRPr="001E3BCA">
        <w:rPr>
          <w:color w:val="000000" w:themeColor="text1"/>
        </w:rPr>
        <w:t>.</w:t>
      </w:r>
      <w:r w:rsidR="000A27CB" w:rsidRPr="001E3BCA">
        <w:rPr>
          <w:color w:val="000000" w:themeColor="text1"/>
        </w:rPr>
        <w:t xml:space="preserve"> During t</w:t>
      </w:r>
      <w:r w:rsidRPr="001E3BCA">
        <w:rPr>
          <w:color w:val="000000" w:themeColor="text1"/>
        </w:rPr>
        <w:t xml:space="preserve">he civil conflict in DRC </w:t>
      </w:r>
      <w:r w:rsidR="000A27CB" w:rsidRPr="001E3BCA">
        <w:rPr>
          <w:color w:val="000000" w:themeColor="text1"/>
        </w:rPr>
        <w:t>there was</w:t>
      </w:r>
      <w:r w:rsidRPr="001E3BCA">
        <w:rPr>
          <w:color w:val="000000" w:themeColor="text1"/>
        </w:rPr>
        <w:t xml:space="preserve"> an estimated 500% increase in the urban sales of protected wildlife </w:t>
      </w:r>
      <w:r w:rsidR="004D71C6">
        <w:rPr>
          <w:color w:val="000000" w:themeColor="text1"/>
        </w:rPr>
        <w:fldChar w:fldCharType="begin" w:fldLock="1"/>
      </w:r>
      <w:r w:rsidR="00B2630D">
        <w:rPr>
          <w:color w:val="000000" w:themeColor="text1"/>
        </w:rPr>
        <w:instrText>ADDIN CSL_CITATION {"citationItems":[{"id":"ITEM-1","itemData":{"DOI":"10.1111/j.1523-1739.2006.00425.x","ISBN":"0888-8892","ISSN":"08888892","PMID":"16922242","abstract":"Our understanding of the linkages between the bushmeat trade and the wider informal economy is limited. This lack of knowledge is particularly problematic for conservation under conditions of political instability, when the informal economy can be highly dynamic and impacts on wildlife populations can be severe. To explore these interlinked processes, we conducted a study of the bushmeat trade in Garamba National Park, Democratic Republic of Congo, through a combination of market surveys, semistructured interviews, and direct observation. We focused on the sale of protected and unprotected species in urban and rural markets, and the bushmeat commodity chains that supplied these markets, under conditions of political stability and armed conflict. During peacetime, protected species from the park (predominantly elephant and buffalo) rarely appeared in the rural markets, but they comprised more than half of all bushmeat sales in the urban markets. This pattern reflected differences in the rural and urban commodity chains. Automatic weapons were urban trade. The use of such weapons was discouraged by the traditional chiefs, who administered the village markets. During wartime, the sales of protected species in the urban markets increased fivefold because the military officers fled, leaving behind an open-access system that led to a massive increase in the exploitation of protected species. In contrast, the rural markets remained relatively stable because of the continued authority of the village chiefs. Our results indicate that sociopolitical factors can be an important determinant of species offtake and, therefore, that knowledge of the bushmeat commodity chain can be vital to controlling theprocesses that drive species extraction. In addition, our findings suggest that traditional authorities can be potentially valuable partners for bushmeat management.","author":[{"dropping-particle":"","family":"Merode","given":"Emmanuel","non-dropping-particle":"De","parse-names":false,"suffix":""},{"dropping-particle":"","family":"Cowlishaw","given":"Guy","non-dropping-particle":"","parse-names":false,"suffix":""}],"container-title":"Conservation Biology","id":"ITEM-1","issue":"4","issued":{"date-parts":[["2006"]]},"page":"1262-1271","title":"Species protection, the changing informal economy, and the politics of access to the bushmeat trade in the Democratic Republic of Congo","type":"article-journal","volume":"20"},"uris":["http://www.mendeley.com/documents/?uuid=c712581b-3a9e-4d18-9c62-434e5ea5039a"]}],"mendeley":{"formattedCitation":"(De Merode &amp; Cowlishaw 2006)","plainTextFormattedCitation":"(De Merode &amp; Cowlishaw 2006)","previouslyFormattedCitation":"(De Merode &amp; Cowlishaw 2006)"},"properties":{"noteIndex":0},"schema":"https://github.com/citation-style-language/schema/raw/master/csl-citation.json"}</w:instrText>
      </w:r>
      <w:r w:rsidR="004D71C6">
        <w:rPr>
          <w:color w:val="000000" w:themeColor="text1"/>
        </w:rPr>
        <w:fldChar w:fldCharType="separate"/>
      </w:r>
      <w:r w:rsidR="004D71C6" w:rsidRPr="004D71C6">
        <w:rPr>
          <w:noProof/>
          <w:color w:val="000000" w:themeColor="text1"/>
        </w:rPr>
        <w:t>(De Merode &amp; Cowlishaw 2006)</w:t>
      </w:r>
      <w:r w:rsidR="004D71C6">
        <w:rPr>
          <w:color w:val="000000" w:themeColor="text1"/>
        </w:rPr>
        <w:fldChar w:fldCharType="end"/>
      </w:r>
      <w:r w:rsidRPr="001E3BCA">
        <w:rPr>
          <w:color w:val="000000" w:themeColor="text1"/>
        </w:rPr>
        <w:t xml:space="preserve">, helped by the increased availability of firearms. Furthermore, the disruption of transport routes and food supplies to numerous </w:t>
      </w:r>
      <w:r w:rsidRPr="00EE2428">
        <w:rPr>
          <w:color w:val="000000" w:themeColor="text1"/>
        </w:rPr>
        <w:t xml:space="preserve">vulnerable communities </w:t>
      </w:r>
      <w:r w:rsidR="004D71C6">
        <w:rPr>
          <w:color w:val="000000" w:themeColor="text1"/>
        </w:rPr>
        <w:fldChar w:fldCharType="begin" w:fldLock="1"/>
      </w:r>
      <w:r w:rsidR="004D71C6">
        <w:rPr>
          <w:color w:val="000000" w:themeColor="text1"/>
        </w:rPr>
        <w:instrText>ADDIN CSL_CITATION {"citationItems":[{"id":"ITEM-1","itemData":{"DOI":"10.1017/S0030605301000011","author":[{"dropping-particle":"","family":"Draulans","given":"Dirk","non-dropping-particle":"","parse-names":false,"suffix":""},{"dropping-particle":"Van","family":"Krunkelsven","given":"Ellen","non-dropping-particle":"","parse-names":false,"suffix":""}],"container-title":"Oryx","id":"ITEM-1","issue":"1","issued":{"date-parts":[["2002"]]},"page":"35-40","title":"The impact of war on forest areas in the Democratic Republic of Congo","type":"article-journal","volume":"36"},"uris":["http://www.mendeley.com/documents/?uuid=e9fe0482-719c-452f-904f-e1fd2b7a1716"]},{"id":"ITEM-2","itemData":{"author":[{"dropping-particle":"","family":"Redmond","given":"I","non-dropping-particle":"","parse-names":false,"suffix":""},{"dropping-particle":"","family":"Aldred","given":"T","non-dropping-particle":"","parse-names":false,"suffix":""},{"dropping-particle":"","family":"Jedamzik","given":"K","non-dropping-particle":"","parse-names":false,"suffix":""},{"dropping-particle":"","family":"Westwood","given":"M","non-dropping-particle":"","parse-names":false,"suffix":""}],"id":"ITEM-2","issued":{"date-parts":[["2006"]]},"publisher":"Ape Alliance and World Society for the Protection of Animals, London, UK","title":"Recipes for survival: controlling the bushmeat trade","type":"book"},"uris":["http://www.mendeley.com/documents/?uuid=2fea57b6-61b5-4611-ada7-db12804da924"]}],"mendeley":{"formattedCitation":"(Draulans &amp; Krunkelsven 2002; Redmond et al. 2006)","plainTextFormattedCitation":"(Draulans &amp; Krunkelsven 2002; Redmond et al. 2006)","previouslyFormattedCitation":"(Draulans &amp; Krunkelsven 2002; Redmond et al. 2006)"},"properties":{"noteIndex":0},"schema":"https://github.com/citation-style-language/schema/raw/master/csl-citation.json"}</w:instrText>
      </w:r>
      <w:r w:rsidR="004D71C6">
        <w:rPr>
          <w:color w:val="000000" w:themeColor="text1"/>
        </w:rPr>
        <w:fldChar w:fldCharType="separate"/>
      </w:r>
      <w:r w:rsidR="004D71C6" w:rsidRPr="004D71C6">
        <w:rPr>
          <w:noProof/>
          <w:color w:val="000000" w:themeColor="text1"/>
        </w:rPr>
        <w:t>(Draulans &amp; Krunkelsven 2002; Redmond et al. 2006)</w:t>
      </w:r>
      <w:r w:rsidR="004D71C6">
        <w:rPr>
          <w:color w:val="000000" w:themeColor="text1"/>
        </w:rPr>
        <w:fldChar w:fldCharType="end"/>
      </w:r>
      <w:r w:rsidRPr="00EE2428">
        <w:rPr>
          <w:color w:val="000000" w:themeColor="text1"/>
        </w:rPr>
        <w:t xml:space="preserve">, and the seizure of livestock from local communities by armed militia </w:t>
      </w:r>
      <w:r w:rsidR="004D71C6">
        <w:rPr>
          <w:color w:val="000000" w:themeColor="text1"/>
        </w:rPr>
        <w:fldChar w:fldCharType="begin" w:fldLock="1"/>
      </w:r>
      <w:r w:rsidR="00566AAF">
        <w:rPr>
          <w:color w:val="000000" w:themeColor="text1"/>
        </w:rPr>
        <w:instrText>ADDIN CSL_CITATION {"citationItems":[{"id":"ITEM-1","itemData":{"ISBN":"9782831717036","author":[{"dropping-particle":"","family":"Wicander","given":"S","non-dropping-particle":"","parse-names":false,"suffix":""},{"dropping-particle":"","family":"Coad","given":"L","non-dropping-particle":"","parse-names":false,"suffix":""}],"id":"ITEM-1","issued":{"date-parts":[["2015"]]},"publisher-place":"University of Oxford, Oxford, UK, and IUCN, Gland, Switzerland","title":"Learning our Lessons. A review of alternative livelihood projects in Central Africa","type":"book"},"uris":["http://www.mendeley.com/documents/?uuid=db689e0c-f6fe-47d3-9cfd-84380720b447"]}],"mendeley":{"formattedCitation":"(Wicander &amp; Coad 2015)","plainTextFormattedCitation":"(Wicander &amp; Coad 2015)","previouslyFormattedCitation":"(Wicander &amp; Coad 2015)"},"properties":{"noteIndex":0},"schema":"https://github.com/citation-style-language/schema/raw/master/csl-citation.json"}</w:instrText>
      </w:r>
      <w:r w:rsidR="004D71C6">
        <w:rPr>
          <w:color w:val="000000" w:themeColor="text1"/>
        </w:rPr>
        <w:fldChar w:fldCharType="separate"/>
      </w:r>
      <w:r w:rsidR="004D71C6" w:rsidRPr="004D71C6">
        <w:rPr>
          <w:noProof/>
          <w:color w:val="000000" w:themeColor="text1"/>
        </w:rPr>
        <w:t>(Wicander &amp; Coad 2015)</w:t>
      </w:r>
      <w:r w:rsidR="004D71C6">
        <w:rPr>
          <w:color w:val="000000" w:themeColor="text1"/>
        </w:rPr>
        <w:fldChar w:fldCharType="end"/>
      </w:r>
      <w:r w:rsidRPr="00EE2428">
        <w:rPr>
          <w:color w:val="000000" w:themeColor="text1"/>
        </w:rPr>
        <w:t xml:space="preserve">, left communities dependant on wildlife. In Cambodia, the greatest declines in wildlife since the 1970s </w:t>
      </w:r>
      <w:r w:rsidR="000A27CB">
        <w:rPr>
          <w:color w:val="000000" w:themeColor="text1"/>
        </w:rPr>
        <w:t>were during</w:t>
      </w:r>
      <w:r w:rsidRPr="00EE2428">
        <w:rPr>
          <w:color w:val="000000" w:themeColor="text1"/>
        </w:rPr>
        <w:t xml:space="preserve"> the conflict eras of Lon Nol and Pol Pot, due to a proliferation of guns and demand for </w:t>
      </w:r>
      <w:r w:rsidR="00B35287">
        <w:rPr>
          <w:color w:val="000000" w:themeColor="text1"/>
        </w:rPr>
        <w:t>meat</w:t>
      </w:r>
      <w:r w:rsidRPr="00EE2428">
        <w:rPr>
          <w:color w:val="000000" w:themeColor="text1"/>
        </w:rPr>
        <w:t xml:space="preserve"> from military camps, establi</w:t>
      </w:r>
      <w:r w:rsidRPr="0064175F">
        <w:rPr>
          <w:color w:val="000000" w:themeColor="text1"/>
        </w:rPr>
        <w:t xml:space="preserve">shing the commercial trade in wildlife as a livelihood activity which persisted after the conflict was over </w:t>
      </w:r>
      <w:r w:rsidR="004D71C6">
        <w:rPr>
          <w:color w:val="000000" w:themeColor="text1"/>
        </w:rPr>
        <w:fldChar w:fldCharType="begin" w:fldLock="1"/>
      </w:r>
      <w:r w:rsidR="004D71C6">
        <w:rPr>
          <w:color w:val="000000" w:themeColor="text1"/>
        </w:rPr>
        <w:instrText>ADDIN CSL_CITATION {"citationItems":[{"id":"ITEM-1","itemData":{"DOI":"10.1111/j.1755-263X.2008.00044.x","author":[{"dropping-particle":"","family":"Loucks","given":"Colby","non-dropping-particle":"","parse-names":false,"suffix":""},{"dropping-particle":"","family":"Mascia","given":"Michael B","non-dropping-particle":"","parse-names":false,"suffix":""},{"dropping-particle":"","family":"Maxwell","given":"Andy","non-dropping-particle":"","parse-names":false,"suffix":""},{"dropping-particle":"","family":"Huy","given":"Keavuth","non-dropping-particle":"","parse-names":false,"suffix":""},{"dropping-particle":"","family":"Duong","given":"Kong","non-dropping-particle":"","parse-names":false,"suffix":""},{"dropping-particle":"","family":"Chea","given":"Nareth","non-dropping-particle":"","parse-names":false,"suffix":""},{"dropping-particle":"","family":"Long","given":"Barney","non-dropping-particle":"","parse-names":false,"suffix":""},{"dropping-particle":"","family":"Cox","given":"Nick","non-dropping-particle":"","parse-names":false,"suffix":""},{"dropping-particle":"","family":"Seng","given":"Teak","non-dropping-particle":"","parse-names":false,"suffix":""}],"container-title":"Conservation Letters","id":"ITEM-1","issued":{"date-parts":[["2009"]]},"page":"82-92","title":"Wildlife decline in Cambodia, 1953 – 2005: exploring the legacy of armed conflict","type":"article-journal","volume":"2"},"uris":["http://www.mendeley.com/documents/?uuid=6e6e1831-cb26-40ee-a8cd-204cf33f84f0"]}],"mendeley":{"formattedCitation":"(Loucks et al. 2009)","plainTextFormattedCitation":"(Loucks et al. 2009)","previouslyFormattedCitation":"(Loucks et al. 2009)"},"properties":{"noteIndex":0},"schema":"https://github.com/citation-style-language/schema/raw/master/csl-citation.json"}</w:instrText>
      </w:r>
      <w:r w:rsidR="004D71C6">
        <w:rPr>
          <w:color w:val="000000" w:themeColor="text1"/>
        </w:rPr>
        <w:fldChar w:fldCharType="separate"/>
      </w:r>
      <w:r w:rsidR="004D71C6" w:rsidRPr="004D71C6">
        <w:rPr>
          <w:noProof/>
          <w:color w:val="000000" w:themeColor="text1"/>
        </w:rPr>
        <w:t>(Loucks et al. 2009)</w:t>
      </w:r>
      <w:r w:rsidR="004D71C6">
        <w:rPr>
          <w:color w:val="000000" w:themeColor="text1"/>
        </w:rPr>
        <w:fldChar w:fldCharType="end"/>
      </w:r>
      <w:r w:rsidRPr="0064175F">
        <w:rPr>
          <w:color w:val="000000" w:themeColor="text1"/>
        </w:rPr>
        <w:t>.</w:t>
      </w:r>
    </w:p>
    <w:p w14:paraId="2E7739CB" w14:textId="77777777" w:rsidR="00866CC0" w:rsidRPr="0070404D" w:rsidRDefault="00866CC0" w:rsidP="00DF57F3">
      <w:pPr>
        <w:pStyle w:val="Heading2"/>
      </w:pPr>
      <w:bookmarkStart w:id="106" w:name="_Toc517693749"/>
      <w:bookmarkStart w:id="107" w:name="_Toc519156093"/>
      <w:bookmarkStart w:id="108" w:name="_Ref520122619"/>
      <w:bookmarkStart w:id="109" w:name="_Toc529390349"/>
      <w:r w:rsidRPr="006F5EBC">
        <w:t>Current governance</w:t>
      </w:r>
      <w:r w:rsidRPr="0070404D">
        <w:t xml:space="preserve"> issues in curbing over-exploitation</w:t>
      </w:r>
      <w:bookmarkEnd w:id="106"/>
      <w:bookmarkEnd w:id="107"/>
      <w:bookmarkEnd w:id="108"/>
      <w:bookmarkEnd w:id="109"/>
    </w:p>
    <w:p w14:paraId="35585D02" w14:textId="0C6F57B1" w:rsidR="00AA5EBD" w:rsidRPr="00785A38" w:rsidRDefault="00AA5EBD" w:rsidP="001C1D6E">
      <w:pPr>
        <w:pStyle w:val="Heading3"/>
      </w:pPr>
      <w:bookmarkStart w:id="110" w:name="_Ref518901129"/>
      <w:r w:rsidRPr="00785A38">
        <w:t>Social change and weakening customary hunting laws in rural populations</w:t>
      </w:r>
      <w:bookmarkEnd w:id="110"/>
    </w:p>
    <w:p w14:paraId="2B13E581" w14:textId="088AD201" w:rsidR="00AA5EBD" w:rsidRPr="003E3238" w:rsidRDefault="007C2151" w:rsidP="00C258BC">
      <w:pPr>
        <w:pStyle w:val="NormalWeb"/>
        <w:jc w:val="both"/>
        <w:rPr>
          <w:color w:val="000000" w:themeColor="text1"/>
        </w:rPr>
      </w:pPr>
      <w:r>
        <w:rPr>
          <w:color w:val="000000" w:themeColor="text1"/>
        </w:rPr>
        <w:t>Local</w:t>
      </w:r>
      <w:r w:rsidR="00AA5EBD" w:rsidRPr="0070404D">
        <w:rPr>
          <w:color w:val="000000" w:themeColor="text1"/>
        </w:rPr>
        <w:t xml:space="preserve"> communities have used customary systems to manage their hunting activities for </w:t>
      </w:r>
      <w:r w:rsidR="008806AC" w:rsidRPr="0070404D">
        <w:rPr>
          <w:color w:val="000000" w:themeColor="text1"/>
        </w:rPr>
        <w:t>millennia</w:t>
      </w:r>
      <w:r w:rsidR="005A2CEA">
        <w:rPr>
          <w:color w:val="000000" w:themeColor="text1"/>
        </w:rPr>
        <w:t xml:space="preserve">. This includes </w:t>
      </w:r>
      <w:r>
        <w:rPr>
          <w:color w:val="000000" w:themeColor="text1"/>
        </w:rPr>
        <w:t xml:space="preserve">taboos on the hunting of specific species, and the </w:t>
      </w:r>
      <w:r w:rsidR="00F1154C">
        <w:rPr>
          <w:color w:val="000000" w:themeColor="text1"/>
        </w:rPr>
        <w:t>use of strictly enforced</w:t>
      </w:r>
      <w:r>
        <w:rPr>
          <w:color w:val="000000" w:themeColor="text1"/>
        </w:rPr>
        <w:t xml:space="preserve"> hunting grounds for ethnic groups </w:t>
      </w:r>
      <w:r w:rsidR="00B35287">
        <w:rPr>
          <w:color w:val="000000" w:themeColor="text1"/>
        </w:rPr>
        <w:t>or</w:t>
      </w:r>
      <w:r>
        <w:rPr>
          <w:color w:val="000000" w:themeColor="text1"/>
        </w:rPr>
        <w:t xml:space="preserve"> families and clans (</w:t>
      </w:r>
      <w:r w:rsidR="00F1154C">
        <w:rPr>
          <w:color w:val="000000" w:themeColor="text1"/>
        </w:rPr>
        <w:t>Discussed further in Section</w:t>
      </w:r>
      <w:r w:rsidR="000E4C8E">
        <w:rPr>
          <w:color w:val="000000" w:themeColor="text1"/>
        </w:rPr>
        <w:t xml:space="preserve"> </w:t>
      </w:r>
      <w:r w:rsidR="000E4C8E">
        <w:rPr>
          <w:color w:val="000000" w:themeColor="text1"/>
        </w:rPr>
        <w:fldChar w:fldCharType="begin"/>
      </w:r>
      <w:r w:rsidR="000E4C8E">
        <w:rPr>
          <w:color w:val="000000" w:themeColor="text1"/>
        </w:rPr>
        <w:instrText xml:space="preserve"> REF _Ref528677766 \r \h </w:instrText>
      </w:r>
      <w:r w:rsidR="000E4C8E">
        <w:rPr>
          <w:color w:val="000000" w:themeColor="text1"/>
        </w:rPr>
      </w:r>
      <w:r w:rsidR="000E4C8E">
        <w:rPr>
          <w:color w:val="000000" w:themeColor="text1"/>
        </w:rPr>
        <w:fldChar w:fldCharType="separate"/>
      </w:r>
      <w:r w:rsidR="007034F1">
        <w:rPr>
          <w:color w:val="000000" w:themeColor="text1"/>
        </w:rPr>
        <w:t>7.5</w:t>
      </w:r>
      <w:r w:rsidR="000E4C8E">
        <w:rPr>
          <w:color w:val="000000" w:themeColor="text1"/>
        </w:rPr>
        <w:fldChar w:fldCharType="end"/>
      </w:r>
      <w:r>
        <w:rPr>
          <w:color w:val="000000" w:themeColor="text1"/>
        </w:rPr>
        <w:t>)</w:t>
      </w:r>
      <w:r w:rsidR="00AA5EBD" w:rsidRPr="0070404D">
        <w:rPr>
          <w:color w:val="000000" w:themeColor="text1"/>
        </w:rPr>
        <w:t>. However</w:t>
      </w:r>
      <w:r w:rsidR="00AA5EBD" w:rsidRPr="004904D8">
        <w:rPr>
          <w:color w:val="000000" w:themeColor="text1"/>
        </w:rPr>
        <w:t xml:space="preserve">, the influence of these </w:t>
      </w:r>
      <w:r w:rsidR="00AA5EBD" w:rsidRPr="005512D2">
        <w:rPr>
          <w:color w:val="000000" w:themeColor="text1"/>
        </w:rPr>
        <w:t xml:space="preserve">customary hunting systems </w:t>
      </w:r>
      <w:r w:rsidR="00FA77FE">
        <w:rPr>
          <w:color w:val="000000" w:themeColor="text1"/>
        </w:rPr>
        <w:t>has been</w:t>
      </w:r>
      <w:r w:rsidR="00AA5EBD" w:rsidRPr="005512D2">
        <w:rPr>
          <w:color w:val="000000" w:themeColor="text1"/>
        </w:rPr>
        <w:t xml:space="preserve"> </w:t>
      </w:r>
      <w:r w:rsidR="0036746C">
        <w:rPr>
          <w:color w:val="000000" w:themeColor="text1"/>
        </w:rPr>
        <w:t>weakened</w:t>
      </w:r>
      <w:r w:rsidR="00AA5EBD" w:rsidRPr="005512D2">
        <w:rPr>
          <w:color w:val="000000" w:themeColor="text1"/>
        </w:rPr>
        <w:t>, due to colonial land-rights policies, socio-economic modernisation, migration patterns, the spread of organised religions, a lack of alternative protein sources, as well as the potential profitability of hunting for the bo</w:t>
      </w:r>
      <w:r w:rsidR="00AA5EBD" w:rsidRPr="003E3238">
        <w:rPr>
          <w:color w:val="000000" w:themeColor="text1"/>
        </w:rPr>
        <w:t>oming commercial wild meat trade</w:t>
      </w:r>
      <w:r w:rsidR="00327CC3">
        <w:rPr>
          <w:color w:val="000000" w:themeColor="text1"/>
        </w:rPr>
        <w:t xml:space="preserve"> </w:t>
      </w:r>
      <w:r w:rsidR="0034199F">
        <w:rPr>
          <w:color w:val="000000" w:themeColor="text1"/>
        </w:rPr>
        <w:fldChar w:fldCharType="begin" w:fldLock="1"/>
      </w:r>
      <w:r w:rsidR="00B2630D">
        <w:rPr>
          <w:color w:val="000000" w:themeColor="text1"/>
        </w:rPr>
        <w:instrText>ADDIN CSL_CITATION {"citationItems":[{"id":"ITEM-1","itemData":{"DOI":"10.5751/ES-08047-200431","ISSN":"17083087","abstract":"©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Society","id":"ITEM-1","issue":"4","issued":{"date-parts":[["2015"]]},"title":"Evolving hunting practices in gabon: Lessons for community-based conservation interventions","type":"article-journal","volume":"20"},"uris":["http://www.mendeley.com/documents/?uuid=929a2061-e229-4516-9546-6b6fcea8cade"]},{"id":"ITEM-2","itemData":{"DOI":"10.1007/s10745-012-9492-5","ISBN":"0300-7839","ISSN":"03007839","abstract":"It is well known that wild game provides a significant proportion of the dietary protein of the indigenous people of the eastern half of New Guinea (PNG), but almost nothing is known of its importance in the western half (the Indonesian province of Papua or Irian Jaya). We quantified hunting effort, harvest rates and wild meat consumption and sale in the Jayapura region of north-east Papua through interviews with 147 hunters from 21 villages and meal surveys in 93 households. Ten species of mammals, seven species of birds and at least two species of reptiles were harvested in our study area, but the introduced wild pig and rusa deer were the major target species. Hunting in our study area has shifted from a purely subsistence activity towards a more commercial form at least partly due to the emergence of markets created by Indonesian transmigrants. Although the hunting of non-indigenous and certain native species might be sustainable, the maintenance of populations of large threatened species will require sensitive management.","author":[{"dropping-particle":"","family":"Pangau-Adam","given":"Margaretha","non-dropping-particle":"","parse-names":false,"suffix":""},{"dropping-particle":"","family":"Noske","given":"Richard","non-dropping-particle":"","parse-names":false,"suffix":""},{"dropping-particle":"","family":"Muehlenberg","given":"Michael","non-dropping-particle":"","parse-names":false,"suffix":""}],"container-title":"Human Ecology","id":"ITEM-2","issue":"4","issued":{"date-parts":[["2012"]]},"page":"611-621","title":"Wildmeat or bushmeat? Subsistence hunting and commercial harvesting in Papua (West New Guinea), Indonesia","type":"article-journal","volume":"40"},"uris":["http://www.mendeley.com/documents/?uuid=71e3de21-44c9-483b-9864-7f0ce47a0131"]},{"id":"ITEM-3","itemData":{"abstract":"Bushmeat hunting is thought to be becoming increasingly unsustainable in west and central Africa, but true assessment of sustainability, and consequently appropriate management, is constrained by poor understanding of cause and effect. This cross-disciplinary study considers the complex and dynamic interactions between market, hunter and prey along an entire bushmeat chain in continental Equatorial Guinea, thus enabling evaluation of the sustainability of the system under different policy scenarios. Fieldwork was undertaken over a period of 18 months from 2002-2004. Market surveys and consumer interviews in Bata, the regional capital, were used to evaluate the determinants of urban bushmeat consumption: people preferred fresh meat and fish, including bushmeat, but tended to consume cheaper frozen foods more often. Bushmeat consumption increased with income. 1607 household and 72 hunter interviews were conducted in the village of Sendje, gateway to the forested Monte Alén National Park and major source of bushmeat to Bata. Men hunt for income because there are few other livelihood options. A village offtake survey estimated over 10,000 animals hunted per year (90% by trapping), hunted using a long-term rotation of camps up to 30 km from the village. Hunter behaviour, prey choice and animal encounter rates were recorded during 77 trapper and 48 gun-hunter follows. Trapping is currently preferred to gunhunting due to lower costs and relatively high returns. However, as the availability and affordability of guns and cartridges increases, and trapping success decreases, hunters are switching to shooting arboreal prey. Population densities of key primate prey species were estimated in two sites with differing gun-hunting histories, using 408 km of line transects. Whereas some of the guenon monkey species were still numerous in the heavily hunted village site, the absence of Colobus satanus suggests they are more vulnerable to hunting pressure. Extremely high densities of Colobus satanus were found inside the park, suggesting it should be an urgent conservation priority. The current oil boom in Equatorial Guinea is increasing urban wealth and subsequent demand for bushmeat. In the absence of alternative foods and rural livelihoods, and proper enforcement of protected areas, people will continue to hunt for the commercial bushmeat trade until many vulnerable species become at least locally extinct.","author":[{"dropping-particle":"","family":"Kümpel","given":"Noëlle Francesca","non-dropping-particle":"","parse-names":false,"suffix":""}],"id":"ITEM-3","issued":{"date-parts":[["2006"]]},"number-of-pages":"247","publisher":"PhD Thesis, Imperial College London, UK","publisher-place":"PhD Thesis, Imperial College London, UK","title":"Incentives for sustainable hunting of bushmeat in Río Muni, Equatorial Guinea","type":"book"},"uris":["http://www.mendeley.com/documents/?uuid=788befdd-0bff-48ba-8bc7-4515dc3b1e67"]},{"id":"ITEM-4","itemData":{"DOI":"10.1111/j.1523-1739.2008.00970.x","ISBN":"0888-8892","ISSN":"08888892","PMID":"18616743","abstract":"Informal institutions governing the use of wild species are present in many societies. A system of prohibitions known as fady is central to Malagasy culture. We examined whether fady that relate to the use of natural resources in the eastern rainforests of Madagascar play an important conservation role. Prohibitions ranged from strict taboos in which a species or area was forbidden by the ancestors to social norms that concerned acceptable behavior when harvesting wild species. Strict taboos offered real protection to threatened species, such as the lemur Propithecus edwardsi and the carnivore Cryptoprocta ferox. Taboos also reduced pressure on some economically important endemic species by preventing their sale or limiting the harvest season. Despite their value for conservation, the taboos did not appear to originate from attempts to sustainably manage resources. Nevertheless, social norms, in which the sanction was social disapproval rather than supernatural retribution, encouraged sustainable harvesting practices for tenrecs (Tenrec ecudatus) and pandans (Pandanus spp.). Unfortunately, the social norms concerning methods of harvesting pandans appeared to be breaking down in villages surrounding Ranomafana National Park, and we suggest that the imposition of external conservation rules is weakening traditional management. Informal institutions are important to conservation because they suggest ways of improving cultural understanding and conservation communication. Food taboos influence societal preferences, which affect the wider demand for a species. Most important, where capacity to enforce external conservation rules is limited, informal institutions may provide the only effective regulations. Informal institutions should receive greater attention from conservation biologists so that local people's conservation roles can be acknowledged fairly and so that potential synergies with conservation objectives can be realized.","author":[{"dropping-particle":"","family":"Jones","given":"Julia P.G.","non-dropping-particle":"","parse-names":false,"suffix":""},{"dropping-particle":"","family":"Andriamarovololona","given":"Mijasoa M.","non-dropping-particle":"","parse-names":false,"suffix":""},{"dropping-particle":"","family":"Hockley","given":"Neal","non-dropping-particle":"","parse-names":false,"suffix":""}],"container-title":"Conservation Biology","id":"ITEM-4","issue":"4","issued":{"date-parts":[["2008"]]},"page":"976-986","title":"The importance of taboos and social norms to conservation in Madagascar","type":"article-journal","volume":"22"},"uris":["http://www.mendeley.com/documents/?uuid=daac4ed4-6288-4d14-8112-fbd2b4225d84"]},{"id":"ITEM-5","itemData":{"DOI":"10.1080/09709274.2006.11905897","ISBN":"0970-9274","ISSN":"0970-9274","abstract":"An analysis of a series of biodiversity related areas in Ghana, including ecosystem, water and soil management, farming, fishing and hunting practices and the collection of herbal medicines, shows that indigenous knowledge has the potential to contribute to the conservation of species, genes and ecosystems. Moreover, as these traditional rules are owned by the locals, they might be implemented more rigorously than governmental laws. However, in the contemporary fast changing societies of sub Saharan Africa IK is less and less applied and at risk of disappearance. In spite of important paradigmatic differences between IKS and modern science, traditional knowledge is at its best when it is matched with scientific approaches. Eminent examples of this can be found in the development of medical drugs that stem from herbal medicines. Similar approaches are needed and possible for biodiversity conservation. They should focus on questions on effectiveness, efficiency and monitoring of situations where IK is brought in into biodiversity conservation and management. At the governmental policy level it is remarkable that IK has currently no place in biodiversity conservation strategies. Nevertheless there is a high need to involve local communities in such policies. This is illustrated by providing two examples: the urgent need to curb fundamentally Ghana’s logging policy of its tropical forest and the need to involve local communities in the management of the Kakum Conservation area.","author":[{"dropping-particle":"","family":"Hens","given":"Luc","non-dropping-particle":"","parse-names":false,"suffix":""}],"container-title":"Journal of Human Ecology","id":"ITEM-5","issue":"1","issued":{"date-parts":[["2006"]]},"page":"21-30","title":"Indigenous knowledge and biodiversity conservation and management in Ghana","type":"article-journal","volume":"20"},"uris":["http://www.mendeley.com/documents/?uuid=5348c7bf-49b0-4538-b624-8492161c2de7"]},{"id":"ITEM-6","itemData":{"author":[{"dropping-particle":"","family":"Caldecott","given":"J O","non-dropping-particle":"","parse-names":false,"suffix":""},{"dropping-particle":"","family":"Miles","given":"L","non-dropping-particle":"","parse-names":false,"suffix":""}],"id":"ITEM-6","issued":{"date-parts":[["2005"]]},"publisher":"California University Press, California, USA","publisher-place":"California University Press, California, USA","title":"World Atlas of Great Apes and their Conservation","type":"book"},"uris":["http://www.mendeley.com/documents/?uuid=fecf461b-a6f2-4838-bb4f-cc83d507dee4"]},{"id":"ITEM-7","itemData":{"DOI":"10.1579/0044-7447(2007)36","ISBN":"0044-7447","ISSN":"0044-7447","PMID":"17626466","abstract":"There are two diverging views of the status and future of the world's fisheries. One group represented largely by academic marine ecologists sees almost universal failure of fisheries management and calls for the use of marine-protected areas as the central tool of a new approach to rebuilding the marine ecosystems of the world. The scientists working in fisheries agencies and many academic scientists see a more complex picture, with many failed fisheries but also numerous successes. This group argues that we need to apply the lessons from the successful fisheries to stop the decline and rebuild those fisheries threatened by excess fishing. These lessons are stopping the competitive race to fish by appropriate incentives for fishing fleets and good governance. The major tool of resetting incentives is granting various forms of dedicated access, including community-based fishing rights, allocation to cooperatives, and individual fishing quotas. Many of the failed fisheries of the world occur in jurisdictions where central governments are not functional, and local control of fisheries is an essential part of the solution.","author":[{"dropping-particle":"","family":"Tengo","given":"M","non-dropping-particle":"","parse-names":false,"suffix":""},{"dropping-particle":"","family":"Johansson","given":"K","non-dropping-particle":"","parse-names":false,"suffix":""},{"dropping-particle":"","family":"Rakotondrasoa","given":"F","non-dropping-particle":"","parse-names":false,"suffix":""},{"dropping-particle":"","family":"Lundberg","given":"J","non-dropping-particle":"","parse-names":false,"suffix":""},{"dropping-particle":"","family":"Andriamaherilala","given":"J-A","non-dropping-particle":"","parse-names":false,"suffix":""},{"dropping-particle":"","family":"Rakotoarisoa","given":"J-A","non-dropping-particle":"","parse-names":false,"suffix":""},{"dropping-particle":"","family":"Elmqvist","given":"T","non-dropping-particle":"","parse-names":false,"suffix":""}],"container-title":"Ambio","id":"ITEM-7","issue":"4","issued":{"date-parts":[["2007"]]},"page":"683-691","title":"Taboos and forest governance: informal protection of hot spot dry forest in southern Madagascar","type":"article-journal","volume":"36"},"uris":["http://www.mendeley.com/documents/?uuid=c9ac8ab7-aeb0-4787-b100-dc62b58e75f8"]},{"id":"ITEM-8","itemData":{"DOI":"10.5751/ES-07589-200241","ISBN":"0758920024","ISSN":"17083087","abstract":"bushmeat; conservation policy; cultural change; hunting; immigration; migration; modernization; religion; wildlife","author":[{"dropping-particle":"","family":"Golden","given":"Christopher D","non-dropping-particle":"","parse-names":false,"suffix":""},{"dropping-particle":"","family":"Comaroff","given":"Jean","non-dropping-particle":"","parse-names":false,"suffix":""}],"container-title":"Ecology and Society","id":"ITEM-8","issue":"2","issued":{"date-parts":[["2015"]]},"page":"41","title":"Effects of social change on wildlife consumption taboos in northeastern Madagascar","type":"article-journal","volume":"20"},"uris":["http://www.mendeley.com/documents/?uuid=9d618cfd-0312-495f-a2c1-c07ee9fc16c7"]}],"mendeley":{"formattedCitation":"(Caldecott &amp; Miles 2005; Hens 2006; Kümpel 2006; Tengo et al. 2007; Jones et al. 2008a; Pangau-Adam et al. 2012; Golden &amp; Comaroff 2015; Walters et al. 2015)","manualFormatting":"(Caldecott &amp; Miles 2005; Hens 2006; Kümpel 2006; Tengo et al. 2007; Jones et al. 2008a; Pangau-Adam et al. 2012; Walters et al. 2015; but see also Golden &amp; Comaroff 2015)","plainTextFormattedCitation":"(Caldecott &amp; Miles 2005; Hens 2006; Kümpel 2006; Tengo et al. 2007; Jones et al. 2008a; Pangau-Adam et al. 2012; Golden &amp; Comaroff 2015; Walters et al. 2015)","previouslyFormattedCitation":"(Caldecott &amp; Miles 2005; Hens 2006; Kümpel 2006; Tengo et al. 2007; Jones et al. 2008a; Pangau-Adam et al. 2012; Golden &amp; Comaroff 2015; Walters et al. 2015)"},"properties":{"noteIndex":0},"schema":"https://github.com/citation-style-language/schema/raw/master/csl-citation.json"}</w:instrText>
      </w:r>
      <w:r w:rsidR="0034199F">
        <w:rPr>
          <w:color w:val="000000" w:themeColor="text1"/>
        </w:rPr>
        <w:fldChar w:fldCharType="separate"/>
      </w:r>
      <w:r w:rsidR="0034199F" w:rsidRPr="0034199F">
        <w:rPr>
          <w:noProof/>
          <w:color w:val="000000" w:themeColor="text1"/>
        </w:rPr>
        <w:t>(Caldecott &amp; Miles 2005; Hens 2006; Kümpel 2006; Tengo et al. 2007; Jones et al. 2008a; Pangau-Adam et al. 2012;</w:t>
      </w:r>
      <w:r w:rsidR="0034199F">
        <w:rPr>
          <w:noProof/>
          <w:color w:val="000000" w:themeColor="text1"/>
        </w:rPr>
        <w:t xml:space="preserve"> </w:t>
      </w:r>
      <w:r w:rsidR="0034199F" w:rsidRPr="0034199F">
        <w:rPr>
          <w:noProof/>
          <w:color w:val="000000" w:themeColor="text1"/>
        </w:rPr>
        <w:t>Walters et al. 2015</w:t>
      </w:r>
      <w:r w:rsidR="0034199F">
        <w:rPr>
          <w:noProof/>
          <w:color w:val="000000" w:themeColor="text1"/>
        </w:rPr>
        <w:t xml:space="preserve">; but see also </w:t>
      </w:r>
      <w:r w:rsidR="0034199F" w:rsidRPr="0034199F">
        <w:rPr>
          <w:noProof/>
          <w:color w:val="000000" w:themeColor="text1"/>
        </w:rPr>
        <w:t>Golden &amp; Comaroff 2015)</w:t>
      </w:r>
      <w:r w:rsidR="0034199F">
        <w:rPr>
          <w:color w:val="000000" w:themeColor="text1"/>
        </w:rPr>
        <w:fldChar w:fldCharType="end"/>
      </w:r>
      <w:r w:rsidR="0034199F">
        <w:rPr>
          <w:color w:val="000000" w:themeColor="text1"/>
        </w:rPr>
        <w:t xml:space="preserve">. </w:t>
      </w:r>
      <w:r w:rsidR="00AA5EBD" w:rsidRPr="00444AF5">
        <w:rPr>
          <w:color w:val="000000" w:themeColor="text1"/>
        </w:rPr>
        <w:t xml:space="preserve">This has </w:t>
      </w:r>
      <w:r w:rsidR="00A479D2" w:rsidRPr="00444AF5">
        <w:rPr>
          <w:color w:val="000000" w:themeColor="text1"/>
        </w:rPr>
        <w:t>led</w:t>
      </w:r>
      <w:r w:rsidR="00AA5EBD" w:rsidRPr="00444AF5">
        <w:rPr>
          <w:color w:val="000000" w:themeColor="text1"/>
        </w:rPr>
        <w:t xml:space="preserve"> to increasing ‘open-</w:t>
      </w:r>
      <w:r w:rsidR="00A479D2" w:rsidRPr="00444AF5">
        <w:rPr>
          <w:color w:val="000000" w:themeColor="text1"/>
        </w:rPr>
        <w:t>access</w:t>
      </w:r>
      <w:r w:rsidR="00AA5EBD" w:rsidRPr="00444AF5">
        <w:rPr>
          <w:color w:val="000000" w:themeColor="text1"/>
        </w:rPr>
        <w:t xml:space="preserve">’ hunting, where traditional familial hunting territories are no longer recognised or enforced </w:t>
      </w:r>
      <w:r w:rsidR="0034199F">
        <w:rPr>
          <w:color w:val="000000" w:themeColor="text1"/>
        </w:rPr>
        <w:fldChar w:fldCharType="begin" w:fldLock="1"/>
      </w:r>
      <w:r w:rsidR="0034199F">
        <w:rPr>
          <w:color w:val="000000" w:themeColor="text1"/>
        </w:rPr>
        <w:instrText>ADDIN CSL_CITATION {"citationItems":[{"id":"ITEM-1","itemData":{"DOI":"10.5751/ES-08047-200431","ISSN":"17083087","abstract":"©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Society","id":"ITEM-1","issue":"4","issued":{"date-parts":[["2015"]]},"title":"Evolving hunting practices in gabon: Lessons for community-based conservation interventions","type":"article-journal","volume":"20"},"uris":["http://www.mendeley.com/documents/?uuid=929a2061-e229-4516-9546-6b6fcea8cade"]}],"mendeley":{"formattedCitation":"(Walters et al. 2015)","plainTextFormattedCitation":"(Walters et al. 2015)","previouslyFormattedCitation":"(Walters et al. 2015)"},"properties":{"noteIndex":0},"schema":"https://github.com/citation-style-language/schema/raw/master/csl-citation.json"}</w:instrText>
      </w:r>
      <w:r w:rsidR="0034199F">
        <w:rPr>
          <w:color w:val="000000" w:themeColor="text1"/>
        </w:rPr>
        <w:fldChar w:fldCharType="separate"/>
      </w:r>
      <w:r w:rsidR="0034199F" w:rsidRPr="0034199F">
        <w:rPr>
          <w:noProof/>
          <w:color w:val="000000" w:themeColor="text1"/>
        </w:rPr>
        <w:t>(Walters et al. 2015)</w:t>
      </w:r>
      <w:r w:rsidR="0034199F">
        <w:rPr>
          <w:color w:val="000000" w:themeColor="text1"/>
        </w:rPr>
        <w:fldChar w:fldCharType="end"/>
      </w:r>
      <w:r w:rsidR="00AA5EBD" w:rsidRPr="00444AF5">
        <w:rPr>
          <w:color w:val="000000" w:themeColor="text1"/>
        </w:rPr>
        <w:t>, and the over-exploitation of traditionally taboo species (such as the indri (</w:t>
      </w:r>
      <w:r w:rsidR="00AA5EBD" w:rsidRPr="00444AF5">
        <w:rPr>
          <w:i/>
          <w:color w:val="000000" w:themeColor="text1"/>
        </w:rPr>
        <w:t>Indri indri</w:t>
      </w:r>
      <w:r w:rsidR="00AA5EBD" w:rsidRPr="00444AF5">
        <w:rPr>
          <w:color w:val="000000" w:themeColor="text1"/>
        </w:rPr>
        <w:t>) and sifaka lemurs (</w:t>
      </w:r>
      <w:r w:rsidR="00AA5EBD" w:rsidRPr="00444AF5">
        <w:rPr>
          <w:i/>
          <w:color w:val="000000" w:themeColor="text1"/>
        </w:rPr>
        <w:t>Propithecus</w:t>
      </w:r>
      <w:r w:rsidR="00AA5EBD" w:rsidRPr="00444AF5">
        <w:rPr>
          <w:color w:val="000000" w:themeColor="text1"/>
        </w:rPr>
        <w:t xml:space="preserve"> spp.) in Madagascar), which are being hunted, consumed and sold</w:t>
      </w:r>
      <w:r w:rsidR="005A2CEA" w:rsidRPr="00444AF5">
        <w:rPr>
          <w:color w:val="000000" w:themeColor="text1"/>
        </w:rPr>
        <w:t xml:space="preserve"> in increasing numbers</w:t>
      </w:r>
      <w:r w:rsidR="00AA5EBD" w:rsidRPr="00444AF5">
        <w:rPr>
          <w:color w:val="000000" w:themeColor="text1"/>
        </w:rPr>
        <w:t xml:space="preserve"> </w:t>
      </w:r>
      <w:r w:rsidR="0034199F">
        <w:rPr>
          <w:color w:val="000000" w:themeColor="text1"/>
        </w:rPr>
        <w:fldChar w:fldCharType="begin" w:fldLock="1"/>
      </w:r>
      <w:r w:rsidR="00B2630D">
        <w:rPr>
          <w:color w:val="000000" w:themeColor="text1"/>
        </w:rPr>
        <w:instrText>ADDIN CSL_CITATION {"citationItems":[{"id":"ITEM-1","itemData":{"DOI":"10.1371/journal.pone.0027570","ISBN":"1932-6203","ISSN":"19326203","PMID":"22194787","abstract":"Understanding the patterns of wild meat consumption from tropical forests is important for designing approaches to address this major threat to biodiversity and mitigate potential pathways for transmission of emerging diseases. Bushmeat consumption has been particularly poorly studied in Madagascar, one of the world’s hottest biodiversity hotspots. Studying bushmeat consumption is challenging as many species are protected and researchers must consider the incentives faced by informants. Using interviews with 1154 households in 12 communes in eastern Madagascar, as well as local monitoring data, we investigated the importance of socio-economic variables, taste preference and traditional taboos on consumption of 50 wild and domestic species. The majority of meals contain no animal protein. However, respondents consume a wide range of wild species and 95% of respondents have eaten at least one protected species (and nearly 45% have eaten more than 10). The rural/urban divide and wealth are important predictors of bushmeat consumption, but the magnitude and direction of the effect varies between species. Bushmeat species are not preferred and are considered inferior to fish and domestic animals. Taboos have provided protection to some species, particularly the Endangered Indri, but we present evidence that this taboo is rapidly eroding. By considering a variety of potential influences on consumption in a single study we have improved understanding of who is eating bushmeat and why. Evidence that bushmeat species are not generally preferred meats suggest that projects which increase the availability of domestic meat and fish may have success at reducing demand. We also suggest that enforcement of existing wildlife and firearm laws should be a priority, particularly in areas undergoing rapid social change. The issue of hunting as an important threat to biodiversity in Madagascar is only now being fully recognised. Urgent action is required to ensure that heavily hunted species are adequately protected.","author":[{"dropping-particle":"","family":"Jenkins","given":"Richard K.B.","non-dropping-particle":"","parse-names":false,"suffix":""},{"dropping-particle":"","family":"Keane","given":"Aidan","non-dropping-particle":"","parse-names":false,"suffix":""},{"dropping-particle":"","family":"Rakotoarivelo","given":"Andrinajoro R.","non-dropping-particle":"","parse-names":false,"suffix":""},{"dropping-particle":"","family":"Rakotomboavonjy","given":"Victor","non-dropping-particle":"","parse-names":false,"suffix":""},{"dropping-particle":"","family":"Randrianandrianina","given":"Felicien H.","non-dropping-particle":"","parse-names":false,"suffix":""},{"dropping-particle":"","family":"Razafimanahaka","given":"H. Julie","non-dropping-particle":"","parse-names":false,"suffix":""},{"dropping-particle":"","family":"Ralaiarimalala","given":"Sylvain R.","non-dropping-particle":"","parse-names":false,"suffix":""},{"dropping-particle":"","family":"Jones","given":"Julia P.G.","non-dropping-particle":"","parse-names":false,"suffix":""}],"container-title":"PLoS ONE","id":"ITEM-1","issue":"12","issued":{"date-parts":[["2011"]]},"page":"e27570","title":"Analysis of patterns of bushmeat consumption reveals extensive exploitation of protected species in eastern madagascar","type":"article-journal","volume":"6"},"uris":["http://www.mendeley.com/documents/?uuid=627fd0f9-b92d-42b2-be2a-45198b1e6167"]},{"id":"ITEM-2","itemData":{"author":[{"dropping-particle":"","family":"Sodikoff","given":"G M","non-dropping-particle":"","parse-names":false,"suffix":""}],"container-title":"The Anthropology of Extinction: Essays on Culture and Species Death","editor":[{"dropping-particle":"","family":"Sodikoff","given":"G M","non-dropping-particle":"","parse-names":false,"suffix":""}],"id":"ITEM-2","issued":{"date-parts":[["2012"]]},"page":"67-88","publisher":"The anthropology of extinction: Essays on culture and species death","title":"Totem and taboo reconsidered: endangered species and moral practice in Madagascar","type":"chapter"},"uris":["http://www.mendeley.com/documents/?uuid=73f4c6f9-32dc-4b5e-9dfe-c8a670151029"]}],"mendeley":{"formattedCitation":"(Jenkins et al. 2011; Sodikoff 2012)","plainTextFormattedCitation":"(Jenkins et al. 2011; Sodikoff 2012)","previouslyFormattedCitation":"(Jenkins et al. 2011; Sodikoff 2012)"},"properties":{"noteIndex":0},"schema":"https://github.com/citation-style-language/schema/raw/master/csl-citation.json"}</w:instrText>
      </w:r>
      <w:r w:rsidR="0034199F">
        <w:rPr>
          <w:color w:val="000000" w:themeColor="text1"/>
        </w:rPr>
        <w:fldChar w:fldCharType="separate"/>
      </w:r>
      <w:r w:rsidR="0034199F" w:rsidRPr="0034199F">
        <w:rPr>
          <w:noProof/>
          <w:color w:val="000000" w:themeColor="text1"/>
        </w:rPr>
        <w:t>(Jenkins et al. 2011; Sodikoff 2012)</w:t>
      </w:r>
      <w:r w:rsidR="0034199F">
        <w:rPr>
          <w:color w:val="000000" w:themeColor="text1"/>
        </w:rPr>
        <w:fldChar w:fldCharType="end"/>
      </w:r>
      <w:r w:rsidR="00AA5EBD" w:rsidRPr="00444AF5">
        <w:rPr>
          <w:color w:val="000000" w:themeColor="text1"/>
        </w:rPr>
        <w:t xml:space="preserve">. One of the factors </w:t>
      </w:r>
      <w:r w:rsidR="00F77E3A" w:rsidRPr="00444AF5">
        <w:rPr>
          <w:color w:val="000000" w:themeColor="text1"/>
        </w:rPr>
        <w:t xml:space="preserve">thought to </w:t>
      </w:r>
      <w:r w:rsidR="00AA5EBD" w:rsidRPr="00444AF5">
        <w:rPr>
          <w:color w:val="000000" w:themeColor="text1"/>
        </w:rPr>
        <w:t>influenc</w:t>
      </w:r>
      <w:r w:rsidR="00F77E3A" w:rsidRPr="00444AF5">
        <w:rPr>
          <w:color w:val="000000" w:themeColor="text1"/>
        </w:rPr>
        <w:t>e change</w:t>
      </w:r>
      <w:r w:rsidR="00AA5EBD" w:rsidRPr="00444AF5">
        <w:rPr>
          <w:color w:val="000000" w:themeColor="text1"/>
        </w:rPr>
        <w:t xml:space="preserve"> in local hunting governance is</w:t>
      </w:r>
      <w:r w:rsidR="00AA5EBD" w:rsidRPr="005512D2">
        <w:rPr>
          <w:color w:val="000000" w:themeColor="text1"/>
        </w:rPr>
        <w:t xml:space="preserve"> the movement of </w:t>
      </w:r>
      <w:r w:rsidR="00FA77FE">
        <w:rPr>
          <w:color w:val="000000" w:themeColor="text1"/>
        </w:rPr>
        <w:t xml:space="preserve">new </w:t>
      </w:r>
      <w:r w:rsidR="00AA5EBD" w:rsidRPr="005512D2">
        <w:rPr>
          <w:color w:val="000000" w:themeColor="text1"/>
        </w:rPr>
        <w:t>peoples</w:t>
      </w:r>
      <w:r w:rsidR="00EE2428">
        <w:rPr>
          <w:color w:val="000000" w:themeColor="text1"/>
        </w:rPr>
        <w:t xml:space="preserve"> into rural areas</w:t>
      </w:r>
      <w:r w:rsidR="00AA5EBD" w:rsidRPr="005512D2">
        <w:rPr>
          <w:color w:val="000000" w:themeColor="text1"/>
        </w:rPr>
        <w:t>, who can bring different hunting practices and pref</w:t>
      </w:r>
      <w:r w:rsidR="008A5C8B">
        <w:rPr>
          <w:color w:val="000000" w:themeColor="text1"/>
        </w:rPr>
        <w:t xml:space="preserve">erences, and may not adhere to </w:t>
      </w:r>
      <w:r w:rsidR="00AA5EBD" w:rsidRPr="005512D2">
        <w:rPr>
          <w:color w:val="000000" w:themeColor="text1"/>
        </w:rPr>
        <w:t xml:space="preserve">local hunting customs and rules. </w:t>
      </w:r>
      <w:r w:rsidR="00A479D2">
        <w:rPr>
          <w:color w:val="000000" w:themeColor="text1"/>
        </w:rPr>
        <w:t xml:space="preserve">An </w:t>
      </w:r>
      <w:r w:rsidR="00A479D2" w:rsidRPr="005512D2">
        <w:rPr>
          <w:color w:val="000000" w:themeColor="text1"/>
        </w:rPr>
        <w:t>example</w:t>
      </w:r>
      <w:r w:rsidR="005A2CEA">
        <w:rPr>
          <w:color w:val="000000" w:themeColor="text1"/>
        </w:rPr>
        <w:t xml:space="preserve"> includes </w:t>
      </w:r>
      <w:r w:rsidR="005A2CEA" w:rsidRPr="005512D2">
        <w:rPr>
          <w:color w:val="000000" w:themeColor="text1"/>
        </w:rPr>
        <w:t>the arrival of immigrant populations in villages belonging to the Geyem peoples in Papua</w:t>
      </w:r>
      <w:r w:rsidR="002656D6">
        <w:rPr>
          <w:color w:val="000000" w:themeColor="text1"/>
        </w:rPr>
        <w:t>, a</w:t>
      </w:r>
      <w:r w:rsidR="005A2CEA" w:rsidRPr="005512D2">
        <w:rPr>
          <w:color w:val="000000" w:themeColor="text1"/>
        </w:rPr>
        <w:t>s part of transmigration pro</w:t>
      </w:r>
      <w:r w:rsidR="005A2CEA" w:rsidRPr="003E3238">
        <w:rPr>
          <w:color w:val="000000" w:themeColor="text1"/>
        </w:rPr>
        <w:t>grams enacted to enco</w:t>
      </w:r>
      <w:r w:rsidR="002656D6">
        <w:rPr>
          <w:color w:val="000000" w:themeColor="text1"/>
        </w:rPr>
        <w:t>urage agricultural development. T</w:t>
      </w:r>
      <w:r w:rsidR="005A2CEA">
        <w:rPr>
          <w:color w:val="000000" w:themeColor="text1"/>
        </w:rPr>
        <w:t xml:space="preserve">he newcomers </w:t>
      </w:r>
      <w:r w:rsidR="005A2CEA" w:rsidRPr="003E3238">
        <w:rPr>
          <w:color w:val="000000" w:themeColor="text1"/>
        </w:rPr>
        <w:t xml:space="preserve">have increased the use of snares and commercial </w:t>
      </w:r>
      <w:r w:rsidR="00A479D2">
        <w:rPr>
          <w:color w:val="000000" w:themeColor="text1"/>
        </w:rPr>
        <w:t>hunting and</w:t>
      </w:r>
      <w:r w:rsidR="005A2CEA">
        <w:rPr>
          <w:color w:val="000000" w:themeColor="text1"/>
        </w:rPr>
        <w:t xml:space="preserve"> may have weakened </w:t>
      </w:r>
      <w:r w:rsidR="005A2CEA" w:rsidRPr="003E3238">
        <w:rPr>
          <w:color w:val="000000" w:themeColor="text1"/>
        </w:rPr>
        <w:t xml:space="preserve">local hunting taboos for certain species </w:t>
      </w:r>
      <w:r w:rsidR="005A2CEA">
        <w:rPr>
          <w:color w:val="000000" w:themeColor="text1"/>
        </w:rPr>
        <w:t xml:space="preserve">such as </w:t>
      </w:r>
      <w:r w:rsidR="005A2CEA" w:rsidRPr="003E3238">
        <w:rPr>
          <w:color w:val="000000" w:themeColor="text1"/>
        </w:rPr>
        <w:t xml:space="preserve">cassowaries, </w:t>
      </w:r>
      <w:r w:rsidR="005A2CEA">
        <w:rPr>
          <w:color w:val="000000" w:themeColor="text1"/>
        </w:rPr>
        <w:t xml:space="preserve">and </w:t>
      </w:r>
      <w:r w:rsidR="005A2CEA" w:rsidRPr="003E3238">
        <w:rPr>
          <w:color w:val="000000" w:themeColor="text1"/>
        </w:rPr>
        <w:t>birds-of-paradise</w:t>
      </w:r>
      <w:r w:rsidR="005A2CEA">
        <w:rPr>
          <w:color w:val="000000" w:themeColor="text1"/>
        </w:rPr>
        <w:t xml:space="preserve"> </w:t>
      </w:r>
      <w:r w:rsidR="0034199F">
        <w:rPr>
          <w:color w:val="000000" w:themeColor="text1"/>
        </w:rPr>
        <w:fldChar w:fldCharType="begin" w:fldLock="1"/>
      </w:r>
      <w:r w:rsidR="0034199F">
        <w:rPr>
          <w:color w:val="000000" w:themeColor="text1"/>
        </w:rPr>
        <w:instrText>ADDIN CSL_CITATION {"citationItems":[{"id":"ITEM-1","itemData":{"DOI":"10.1007/s10745-012-9492-5","ISBN":"0300-7839","ISSN":"03007839","abstract":"It is well known that wild game provides a significant proportion of the dietary protein of the indigenous people of the eastern half of New Guinea (PNG), but almost nothing is known of its importance in the western half (the Indonesian province of Papua or Irian Jaya). We quantified hunting effort, harvest rates and wild meat consumption and sale in the Jayapura region of north-east Papua through interviews with 147 hunters from 21 villages and meal surveys in 93 households. Ten species of mammals, seven species of birds and at least two species of reptiles were harvested in our study area, but the introduced wild pig and rusa deer were the major target species. Hunting in our study area has shifted from a purely subsistence activity towards a more commercial form at least partly due to the emergence of markets created by Indonesian transmigrants. Although the hunting of non-indigenous and certain native species might be sustainable, the maintenance of populations of large threatened species will require sensitive management.","author":[{"dropping-particle":"","family":"Pangau-Adam","given":"Margaretha","non-dropping-particle":"","parse-names":false,"suffix":""},{"dropping-particle":"","family":"Noske","given":"Richard","non-dropping-particle":"","parse-names":false,"suffix":""},{"dropping-particle":"","family":"Muehlenberg","given":"Michael","non-dropping-particle":"","parse-names":false,"suffix":""}],"container-title":"Human Ecology","id":"ITEM-1","issue":"4","issued":{"date-parts":[["2012"]]},"page":"611-621","title":"Wildmeat or bushmeat? Subsistence hunting and commercial harvesting in Papua (West New Guinea), Indonesia","type":"article-journal","volume":"40"},"uris":["http://www.mendeley.com/documents/?uuid=71e3de21-44c9-483b-9864-7f0ce47a0131"]}],"mendeley":{"formattedCitation":"(Pangau-Adam et al. 2012)","plainTextFormattedCitation":"(Pangau-Adam et al. 2012)","previouslyFormattedCitation":"(Pangau-Adam et al. 2012)"},"properties":{"noteIndex":0},"schema":"https://github.com/citation-style-language/schema/raw/master/csl-citation.json"}</w:instrText>
      </w:r>
      <w:r w:rsidR="0034199F">
        <w:rPr>
          <w:color w:val="000000" w:themeColor="text1"/>
        </w:rPr>
        <w:fldChar w:fldCharType="separate"/>
      </w:r>
      <w:r w:rsidR="0034199F" w:rsidRPr="0034199F">
        <w:rPr>
          <w:noProof/>
          <w:color w:val="000000" w:themeColor="text1"/>
        </w:rPr>
        <w:t>(Pangau-Adam et al. 2012)</w:t>
      </w:r>
      <w:r w:rsidR="0034199F">
        <w:rPr>
          <w:color w:val="000000" w:themeColor="text1"/>
        </w:rPr>
        <w:fldChar w:fldCharType="end"/>
      </w:r>
      <w:r w:rsidR="005A2CEA">
        <w:rPr>
          <w:color w:val="000000" w:themeColor="text1"/>
        </w:rPr>
        <w:t>.</w:t>
      </w:r>
    </w:p>
    <w:p w14:paraId="2EF0F232" w14:textId="206EC4D9" w:rsidR="00866CC0" w:rsidRPr="00785A38" w:rsidRDefault="0040485D" w:rsidP="001C1D6E">
      <w:pPr>
        <w:pStyle w:val="Heading3"/>
      </w:pPr>
      <w:bookmarkStart w:id="111" w:name="_Ref520454648"/>
      <w:r>
        <w:t>Unclear user rights, unenforceable laws, and weak law enforcement capacity</w:t>
      </w:r>
      <w:bookmarkEnd w:id="111"/>
    </w:p>
    <w:p w14:paraId="69BD7576" w14:textId="0DA2FD88" w:rsidR="003B6FE0" w:rsidRDefault="00866CC0" w:rsidP="00C258BC">
      <w:pPr>
        <w:jc w:val="both"/>
        <w:rPr>
          <w:color w:val="000000" w:themeColor="text1"/>
        </w:rPr>
      </w:pPr>
      <w:r w:rsidRPr="0070404D">
        <w:rPr>
          <w:color w:val="000000" w:themeColor="text1"/>
        </w:rPr>
        <w:t xml:space="preserve">Wild meat hunting is </w:t>
      </w:r>
      <w:r w:rsidR="00B02010" w:rsidRPr="004904D8">
        <w:rPr>
          <w:color w:val="000000" w:themeColor="text1"/>
        </w:rPr>
        <w:t>a key</w:t>
      </w:r>
      <w:r w:rsidRPr="004904D8">
        <w:rPr>
          <w:color w:val="000000" w:themeColor="text1"/>
        </w:rPr>
        <w:t xml:space="preserve"> means by which </w:t>
      </w:r>
      <w:r w:rsidR="00FB6534" w:rsidRPr="004904D8">
        <w:rPr>
          <w:color w:val="000000" w:themeColor="text1"/>
        </w:rPr>
        <w:t>rural</w:t>
      </w:r>
      <w:r w:rsidRPr="005512D2">
        <w:rPr>
          <w:color w:val="000000" w:themeColor="text1"/>
        </w:rPr>
        <w:t xml:space="preserve"> communities benefit from wildlife. Yet, the</w:t>
      </w:r>
      <w:r w:rsidR="002C0BFD" w:rsidRPr="005512D2">
        <w:rPr>
          <w:color w:val="000000" w:themeColor="text1"/>
        </w:rPr>
        <w:t xml:space="preserve"> same</w:t>
      </w:r>
      <w:r w:rsidRPr="003E3238">
        <w:rPr>
          <w:color w:val="000000" w:themeColor="text1"/>
        </w:rPr>
        <w:t xml:space="preserve"> </w:t>
      </w:r>
      <w:r w:rsidR="00B02010" w:rsidRPr="003E3238">
        <w:rPr>
          <w:color w:val="000000" w:themeColor="text1"/>
        </w:rPr>
        <w:t>characteristics</w:t>
      </w:r>
      <w:r w:rsidRPr="00EE2428">
        <w:rPr>
          <w:color w:val="000000" w:themeColor="text1"/>
        </w:rPr>
        <w:t xml:space="preserve"> of this resource</w:t>
      </w:r>
      <w:r w:rsidR="00FB6534" w:rsidRPr="00EE2428">
        <w:rPr>
          <w:color w:val="000000" w:themeColor="text1"/>
        </w:rPr>
        <w:t xml:space="preserve"> that </w:t>
      </w:r>
      <w:r w:rsidR="00B02010" w:rsidRPr="00EE2428">
        <w:rPr>
          <w:color w:val="000000" w:themeColor="text1"/>
        </w:rPr>
        <w:t>enable</w:t>
      </w:r>
      <w:r w:rsidR="00FB6534" w:rsidRPr="00EE2428">
        <w:rPr>
          <w:color w:val="000000" w:themeColor="text1"/>
        </w:rPr>
        <w:t xml:space="preserve"> these benefits to be </w:t>
      </w:r>
      <w:r w:rsidR="00A479D2" w:rsidRPr="00EE2428">
        <w:rPr>
          <w:color w:val="000000" w:themeColor="text1"/>
        </w:rPr>
        <w:t>accessed –</w:t>
      </w:r>
      <w:r w:rsidRPr="00EE2428">
        <w:rPr>
          <w:color w:val="000000" w:themeColor="text1"/>
        </w:rPr>
        <w:t xml:space="preserve"> a common</w:t>
      </w:r>
      <w:r w:rsidR="00B02010" w:rsidRPr="00EE2428">
        <w:rPr>
          <w:color w:val="000000" w:themeColor="text1"/>
        </w:rPr>
        <w:t xml:space="preserve">, </w:t>
      </w:r>
      <w:r w:rsidR="002C0BFD" w:rsidRPr="0064175F">
        <w:rPr>
          <w:color w:val="000000" w:themeColor="text1"/>
        </w:rPr>
        <w:t>open</w:t>
      </w:r>
      <w:r w:rsidR="00B02010" w:rsidRPr="006F5EBC">
        <w:rPr>
          <w:color w:val="000000" w:themeColor="text1"/>
        </w:rPr>
        <w:t>-</w:t>
      </w:r>
      <w:r w:rsidR="00FB6534" w:rsidRPr="0070404D">
        <w:rPr>
          <w:color w:val="000000" w:themeColor="text1"/>
        </w:rPr>
        <w:t xml:space="preserve">access and free commodity </w:t>
      </w:r>
      <w:r w:rsidR="00B02010" w:rsidRPr="0070404D">
        <w:rPr>
          <w:color w:val="000000" w:themeColor="text1"/>
        </w:rPr>
        <w:t>–</w:t>
      </w:r>
      <w:r w:rsidR="00FB6534" w:rsidRPr="0070404D">
        <w:rPr>
          <w:color w:val="000000" w:themeColor="text1"/>
        </w:rPr>
        <w:t xml:space="preserve"> </w:t>
      </w:r>
      <w:r w:rsidR="00B02010" w:rsidRPr="0070404D">
        <w:rPr>
          <w:color w:val="000000" w:themeColor="text1"/>
        </w:rPr>
        <w:t>are also those which result in its</w:t>
      </w:r>
      <w:r w:rsidRPr="0070404D">
        <w:rPr>
          <w:color w:val="000000" w:themeColor="text1"/>
        </w:rPr>
        <w:t xml:space="preserve"> over-exploitation </w:t>
      </w:r>
      <w:r w:rsidR="0034199F">
        <w:rPr>
          <w:color w:val="000000" w:themeColor="text1"/>
        </w:rPr>
        <w:fldChar w:fldCharType="begin" w:fldLock="1"/>
      </w:r>
      <w:r w:rsidR="00B2630D">
        <w:rPr>
          <w:color w:val="000000" w:themeColor="text1"/>
        </w:rPr>
        <w:instrText>ADDIN CSL_CITATION {"citationItems":[{"id":"ITEM-1","itemData":{"DOI":"ISBN 92-9225-083-3","ISBN":"9292250833","abstract":"2008. Conservation and use of wildlife-based resources: The bushmeat crisis. Technical series No. 33. Montreal: Secretariat of the Convention on Biological Diversity; and Bogor, Indonesia: Centre on International Forestry Research.","author":[{"dropping-particle":"","family":"Nasi","given":"R","non-dropping-particle":"","parse-names":false,"suffix":""},{"dropping-particle":"","family":"Brown","given":"D","non-dropping-particle":"","parse-names":false,"suffix":""},{"dropping-particle":"","family":"Wilkie","given":"D","non-dropping-particle":"","parse-names":false,"suffix":""},{"dropping-particle":"","family":"Bennett","given":"E","non-dropping-particle":"","parse-names":false,"suffix":""},{"dropping-particle":"","family":"Tutin","given":"C","non-dropping-particle":"","parse-names":false,"suffix":""},{"dropping-particle":"","family":"Tol","given":"G","non-dropping-particle":"Van","parse-names":false,"suffix":""},{"dropping-particle":"","family":"Christophersen","given":"T","non-dropping-particle":"","parse-names":false,"suffix":""}],"id":"ITEM-1","issued":{"date-parts":[["2008"]]},"number-of-pages":"50","publisher-place":"Secretariat of the Convention on Biological Diversity, Montreal, Canada, and Centre for International Forestry Research (CIFOR), Bogor, Indonesia.","title":"Conservation and use of wildlife-based resources: the bushmeat crisis. CBD Technical Series No. 33","type":"report"},"uris":["http://www.mendeley.com/documents/?uuid=820bb019-82b3-449a-b6b2-fbc4d35d17d6"]}],"mendeley":{"formattedCitation":"(Nasi et al. 2008)","plainTextFormattedCitation":"(Nasi et al. 2008)","previouslyFormattedCitation":"(Nasi et al. 2008)"},"properties":{"noteIndex":0},"schema":"https://github.com/citation-style-language/schema/raw/master/csl-citation.json"}</w:instrText>
      </w:r>
      <w:r w:rsidR="0034199F">
        <w:rPr>
          <w:color w:val="000000" w:themeColor="text1"/>
        </w:rPr>
        <w:fldChar w:fldCharType="separate"/>
      </w:r>
      <w:r w:rsidR="0034199F" w:rsidRPr="0034199F">
        <w:rPr>
          <w:noProof/>
          <w:color w:val="000000" w:themeColor="text1"/>
        </w:rPr>
        <w:t>(Nasi et al. 2008)</w:t>
      </w:r>
      <w:r w:rsidR="0034199F">
        <w:rPr>
          <w:color w:val="000000" w:themeColor="text1"/>
        </w:rPr>
        <w:fldChar w:fldCharType="end"/>
      </w:r>
      <w:r w:rsidRPr="0070404D">
        <w:rPr>
          <w:color w:val="000000" w:themeColor="text1"/>
        </w:rPr>
        <w:t xml:space="preserve">. </w:t>
      </w:r>
      <w:r w:rsidR="00F1154C">
        <w:rPr>
          <w:color w:val="000000" w:themeColor="text1"/>
        </w:rPr>
        <w:t xml:space="preserve">In </w:t>
      </w:r>
      <w:r w:rsidR="00F1154C" w:rsidRPr="0070404D">
        <w:rPr>
          <w:color w:val="000000" w:themeColor="text1"/>
        </w:rPr>
        <w:t xml:space="preserve">many countries in sub-Saharan Africa wildlife is </w:t>
      </w:r>
      <w:r w:rsidR="002353B6">
        <w:rPr>
          <w:color w:val="000000" w:themeColor="text1"/>
        </w:rPr>
        <w:t xml:space="preserve">legally </w:t>
      </w:r>
      <w:r w:rsidR="002353B6" w:rsidRPr="0070404D">
        <w:rPr>
          <w:color w:val="000000" w:themeColor="text1"/>
        </w:rPr>
        <w:t xml:space="preserve">the property of the state </w:t>
      </w:r>
      <w:r w:rsidR="0034199F">
        <w:rPr>
          <w:color w:val="000000" w:themeColor="text1"/>
        </w:rPr>
        <w:fldChar w:fldCharType="begin" w:fldLock="1"/>
      </w:r>
      <w:r w:rsidR="00AB268B">
        <w:rPr>
          <w:color w:val="000000" w:themeColor="text1"/>
        </w:rPr>
        <w:instrText>ADDIN CSL_CITATION {"citationItems":[{"id":"ITEM-1","itemData":{"DOI":"10.1016/j.biocon.2012.12.020","ISBN":"00063207","ISSN":"00063207","PMID":"25246403","abstract":"The bushmeat trade, or the illegal acquisition and exchange of wild meat, has long been recognised as a severe problem in forest biomes, but receives little attention in savannas, perhaps due to a misconception that bushmeat hunting is a low-impact subsistence activity. Though data on impacts are scarce, indications are that bushmeat hunting is a widespread problem in savannas, with severe impacts on wildlife populations and wildlife-based land uses. The impacts of the bushmeat trade in savannas vary from edge-effects around protected areas, to disproportionate declines of some species, to severe wildlife declines in areas with inadequate anti-poaching. In some areas, bushmeat contributes significantly to food security, but these benefits are unsustainable, and hunting is wasteful, utilising a fraction of the wildlife killed or of its financial value obtainable through tourism, trophy hunting and/or legal game meat production. The bushmeat trade appears to be becoming increasingly commercialised due to elevated demand in rural areas, urban centres and even overseas cities. Other drivers for the trade include human encroachment of wildlife areas; poverty and food insecurity; and inadequate legal frameworks to enable communities to benefit legally from wildlife, and to create incentives for people to desist from illegal bushmeat hunting. These drivers are exacerbated by inadequate wildlife laws and enforcement and in some areas, political instability. Urgent efforts are needed to address these drivers and raise awareness among local and international governments of the seriousness of the threat. Failure to address this will result in severe wildlife declines widely in African savannas, with significant ecological, economic and social impacts. © 2012 Elsevier Ltd.","author":[{"dropping-particle":"","family":"Lindsey","given":"Peter Andrew","non-dropping-particle":"","parse-names":false,"suffix":""},{"dropping-particle":"","family":"Balme","given":"Guy","non-dropping-particle":"","parse-names":false,"suffix":""},{"dropping-particle":"","family":"Becker","given":"Matthew","non-dropping-particle":"","parse-names":false,"suffix":""},{"dropping-particle":"","family":"Begg","given":"Colleen","non-dropping-particle":"","parse-names":false,"suffix":""},{"dropping-particle":"","family":"Bento","given":"Carlos","non-dropping-particle":"","parse-names":false,"suffix":""},{"dropping-particle":"","family":"Bocchino","given":"Clara","non-dropping-particle":"","parse-names":false,"suffix":""},{"dropping-particle":"","family":"Dickman","given":"Amy","non-dropping-particle":"","parse-names":false,"suffix":""},{"dropping-particle":"","family":"Diggle","given":"Richard W.","non-dropping-particle":"","parse-names":false,"suffix":""},{"dropping-particle":"","family":"Eves","given":"Heather","non-dropping-particle":"","parse-names":false,"suffix":""},{"dropping-particle":"","family":"Henschel","given":"Philipp","non-dropping-particle":"","parse-names":false,"suffix":""},{"dropping-particle":"","family":"Lewis","given":"Dale","non-dropping-particle":"","parse-names":false,"suffix":""},{"dropping-particle":"","family":"Marnewick","given":"Kelly","non-dropping-particle":"","parse-names":false,"suffix":""},{"dropping-particle":"","family":"Mattheus","given":"Jaco","non-dropping-particle":"","parse-names":false,"suffix":""},{"dropping-particle":"","family":"Weldon McNutt","given":"J.","non-dropping-particle":"","parse-names":false,"suffix":""},{"dropping-particle":"","family":"McRobb","given":"Rachel","non-dropping-particle":"","parse-names":false,"suffix":""},{"dropping-particle":"","family":"Midlane","given":"Neil","non-dropping-particle":"","parse-names":false,"suffix":""},{"dropping-particle":"","family":"Milanzi","given":"James","non-dropping-particle":"","parse-names":false,"suffix":""},{"dropping-particle":"","family":"Morley","given":"Robert","non-dropping-particle":"","parse-names":false,"suffix":""},{"dropping-particle":"","family":"Murphree","given":"Michael","non-dropping-particle":"","parse-names":false,"suffix":""},{"dropping-particle":"","family":"Opyene","given":"Vincent","non-dropping-particle":"","parse-names":false,"suffix":""},{"dropping-particle":"","family":"Phadima","given":"Joe","non-dropping-particle":"","parse-names":false,"suffix":""},{"dropping-particle":"","family":"Purchase","given":"Gianetta","non-dropping-particle":"","parse-names":false,"suffix":""},{"dropping-particle":"","family":"Rentsch","given":"Dennis","non-dropping-particle":"","parse-names":false,"suffix":""},{"dropping-particle":"","family":"Roche","given":"Christopher","non-dropping-particle":"","parse-names":false,"suffix":""},{"dropping-particle":"","family":"Shaw","given":"Joanne","non-dropping-particle":"","parse-names":false,"suffix":""},{"dropping-particle":"van der","family":"Westhuizen","given":"Hugo","non-dropping-particle":"","parse-names":false,"suffix":""},{"dropping-particle":"Van","family":"Vliet","given":"Nathalie","non-dropping-particle":"","parse-names":false,"suffix":""},{"dropping-particle":"","family":"Zisadza-Gandiwa","given":"Patience","non-dropping-particle":"","parse-names":false,"suffix":""}],"container-title":"Biological Conservation","id":"ITEM-1","issued":{"date-parts":[["2013"]]},"page":"80-96","title":"The bushmeat trade in African savannas: Impacts, drivers, and possible solutions","type":"article-journal","volume":"160"},"uris":["http://www.mendeley.com/documents/?uuid=c895dd6c-1f97-4744-b4cc-30da58bbc9b4"]}],"mendeley":{"formattedCitation":"(Lindsey et al. 2013a)","plainTextFormattedCitation":"(Lindsey et al. 2013a)","previouslyFormattedCitation":"(Lindsey et al. 2013a)"},"properties":{"noteIndex":0},"schema":"https://github.com/citation-style-language/schema/raw/master/csl-citation.json"}</w:instrText>
      </w:r>
      <w:r w:rsidR="0034199F">
        <w:rPr>
          <w:color w:val="000000" w:themeColor="text1"/>
        </w:rPr>
        <w:fldChar w:fldCharType="separate"/>
      </w:r>
      <w:r w:rsidR="00730F44" w:rsidRPr="00730F44">
        <w:rPr>
          <w:noProof/>
          <w:color w:val="000000" w:themeColor="text1"/>
        </w:rPr>
        <w:t>(Lindsey et al. 2013a)</w:t>
      </w:r>
      <w:r w:rsidR="0034199F">
        <w:rPr>
          <w:color w:val="000000" w:themeColor="text1"/>
        </w:rPr>
        <w:fldChar w:fldCharType="end"/>
      </w:r>
      <w:r w:rsidR="002353B6">
        <w:rPr>
          <w:color w:val="000000" w:themeColor="text1"/>
        </w:rPr>
        <w:t>, but</w:t>
      </w:r>
      <w:r w:rsidR="002353B6" w:rsidRPr="0070404D">
        <w:rPr>
          <w:color w:val="000000" w:themeColor="text1"/>
        </w:rPr>
        <w:t xml:space="preserve"> </w:t>
      </w:r>
      <w:r w:rsidR="00F1154C" w:rsidRPr="0070404D">
        <w:rPr>
          <w:color w:val="000000" w:themeColor="text1"/>
        </w:rPr>
        <w:t>is often regarded as ‘res nullius’ (without ownership)</w:t>
      </w:r>
      <w:r w:rsidR="002353B6">
        <w:rPr>
          <w:color w:val="000000" w:themeColor="text1"/>
        </w:rPr>
        <w:t>.</w:t>
      </w:r>
      <w:r w:rsidR="00F1154C" w:rsidRPr="0070404D">
        <w:rPr>
          <w:color w:val="000000" w:themeColor="text1"/>
        </w:rPr>
        <w:t xml:space="preserve"> </w:t>
      </w:r>
      <w:r w:rsidR="00F1154C">
        <w:rPr>
          <w:color w:val="000000" w:themeColor="text1"/>
        </w:rPr>
        <w:t>Hunting</w:t>
      </w:r>
      <w:r w:rsidR="00D965C4" w:rsidRPr="004904D8">
        <w:rPr>
          <w:color w:val="000000" w:themeColor="text1"/>
        </w:rPr>
        <w:t xml:space="preserve"> laws in many tropical and sub-tropical regions currently</w:t>
      </w:r>
      <w:r w:rsidR="00D965C4" w:rsidRPr="005512D2">
        <w:rPr>
          <w:color w:val="000000" w:themeColor="text1"/>
        </w:rPr>
        <w:t xml:space="preserve"> include regulations which are difficult </w:t>
      </w:r>
      <w:r w:rsidR="00721BC0" w:rsidRPr="005512D2">
        <w:rPr>
          <w:color w:val="000000" w:themeColor="text1"/>
        </w:rPr>
        <w:t>for local communities</w:t>
      </w:r>
      <w:r w:rsidR="0040485D">
        <w:rPr>
          <w:color w:val="000000" w:themeColor="text1"/>
        </w:rPr>
        <w:t xml:space="preserve"> </w:t>
      </w:r>
      <w:r w:rsidR="00D965C4" w:rsidRPr="003E3238">
        <w:rPr>
          <w:color w:val="000000" w:themeColor="text1"/>
        </w:rPr>
        <w:t xml:space="preserve">to abide by or </w:t>
      </w:r>
      <w:r w:rsidR="00721BC0" w:rsidRPr="003E3238">
        <w:rPr>
          <w:color w:val="000000" w:themeColor="text1"/>
        </w:rPr>
        <w:t>na</w:t>
      </w:r>
      <w:r w:rsidR="00721BC0" w:rsidRPr="00EE2428">
        <w:rPr>
          <w:color w:val="000000" w:themeColor="text1"/>
        </w:rPr>
        <w:t xml:space="preserve">tional agencies to </w:t>
      </w:r>
      <w:r w:rsidR="00D965C4" w:rsidRPr="00EE2428">
        <w:rPr>
          <w:color w:val="000000" w:themeColor="text1"/>
        </w:rPr>
        <w:t>enforce, such as restrictions on the number of animals hunt</w:t>
      </w:r>
      <w:r w:rsidR="00721BC0" w:rsidRPr="00EE2428">
        <w:rPr>
          <w:color w:val="000000" w:themeColor="text1"/>
        </w:rPr>
        <w:t>ed</w:t>
      </w:r>
      <w:r w:rsidR="00D965C4" w:rsidRPr="00EE2428">
        <w:rPr>
          <w:color w:val="000000" w:themeColor="text1"/>
        </w:rPr>
        <w:t xml:space="preserve"> in one trip, or allowances for subsistence use </w:t>
      </w:r>
      <w:r w:rsidR="002353B6">
        <w:rPr>
          <w:color w:val="000000" w:themeColor="text1"/>
        </w:rPr>
        <w:t>without a concurrent definition of what ‘subsistence use’ covers</w:t>
      </w:r>
      <w:r w:rsidR="002353B6">
        <w:rPr>
          <w:snapToGrid w:val="0"/>
          <w:color w:val="000000" w:themeColor="text1"/>
          <w:lang w:eastAsia="ja-JP" w:bidi="th-TH"/>
        </w:rPr>
        <w:t>. Laws</w:t>
      </w:r>
      <w:r w:rsidR="00D965C4" w:rsidRPr="0064175F">
        <w:rPr>
          <w:snapToGrid w:val="0"/>
          <w:color w:val="000000" w:themeColor="text1"/>
          <w:lang w:eastAsia="ja-JP" w:bidi="th-TH"/>
        </w:rPr>
        <w:t xml:space="preserve"> </w:t>
      </w:r>
      <w:r w:rsidR="002353B6">
        <w:rPr>
          <w:snapToGrid w:val="0"/>
          <w:color w:val="000000" w:themeColor="text1"/>
          <w:lang w:eastAsia="ja-JP" w:bidi="th-TH"/>
        </w:rPr>
        <w:t>unclear to either enforcers or subjects</w:t>
      </w:r>
      <w:r w:rsidR="00D965C4" w:rsidRPr="00EE2428">
        <w:rPr>
          <w:color w:val="000000" w:themeColor="text1"/>
        </w:rPr>
        <w:t xml:space="preserve"> are </w:t>
      </w:r>
      <w:r w:rsidR="002353B6">
        <w:rPr>
          <w:snapToGrid w:val="0"/>
          <w:color w:val="000000" w:themeColor="text1"/>
          <w:lang w:eastAsia="ja-JP" w:bidi="th-TH"/>
        </w:rPr>
        <w:t>highly</w:t>
      </w:r>
      <w:r w:rsidR="00D965C4" w:rsidRPr="0064175F">
        <w:rPr>
          <w:snapToGrid w:val="0"/>
          <w:color w:val="000000" w:themeColor="text1"/>
          <w:lang w:eastAsia="ja-JP" w:bidi="th-TH"/>
        </w:rPr>
        <w:t xml:space="preserve"> unlikely to be successf</w:t>
      </w:r>
      <w:r w:rsidR="00D965C4" w:rsidRPr="006F5EBC">
        <w:rPr>
          <w:snapToGrid w:val="0"/>
          <w:color w:val="000000" w:themeColor="text1"/>
          <w:lang w:eastAsia="ja-JP" w:bidi="th-TH"/>
        </w:rPr>
        <w:t>ul in reducing hunting pressure on key species and ecosystems</w:t>
      </w:r>
      <w:r w:rsidR="00D23B36">
        <w:rPr>
          <w:snapToGrid w:val="0"/>
          <w:color w:val="000000" w:themeColor="text1"/>
          <w:lang w:eastAsia="ja-JP" w:bidi="th-TH"/>
        </w:rPr>
        <w:t xml:space="preserve"> (</w:t>
      </w:r>
      <w:r w:rsidR="00D23B36">
        <w:rPr>
          <w:color w:val="000000" w:themeColor="text1"/>
        </w:rPr>
        <w:t xml:space="preserve">a </w:t>
      </w:r>
      <w:r w:rsidR="00D23B36">
        <w:rPr>
          <w:color w:val="000000" w:themeColor="text1"/>
        </w:rPr>
        <w:lastRenderedPageBreak/>
        <w:t xml:space="preserve">more detailed examination of current national hunting laws for case study countries in Africa, South America and Asia, is provided in Section </w:t>
      </w:r>
      <w:r w:rsidR="00D23B36">
        <w:rPr>
          <w:color w:val="000000" w:themeColor="text1"/>
        </w:rPr>
        <w:fldChar w:fldCharType="begin"/>
      </w:r>
      <w:r w:rsidR="00D23B36">
        <w:rPr>
          <w:color w:val="000000" w:themeColor="text1"/>
        </w:rPr>
        <w:instrText xml:space="preserve"> REF _Ref520219448 \r \h </w:instrText>
      </w:r>
      <w:r w:rsidR="00D23B36">
        <w:rPr>
          <w:color w:val="000000" w:themeColor="text1"/>
        </w:rPr>
      </w:r>
      <w:r w:rsidR="00D23B36">
        <w:rPr>
          <w:color w:val="000000" w:themeColor="text1"/>
        </w:rPr>
        <w:fldChar w:fldCharType="separate"/>
      </w:r>
      <w:r w:rsidR="007034F1">
        <w:rPr>
          <w:color w:val="000000" w:themeColor="text1"/>
        </w:rPr>
        <w:t>7.4</w:t>
      </w:r>
      <w:r w:rsidR="00D23B36">
        <w:rPr>
          <w:color w:val="000000" w:themeColor="text1"/>
        </w:rPr>
        <w:fldChar w:fldCharType="end"/>
      </w:r>
      <w:r w:rsidR="00D23B36">
        <w:rPr>
          <w:color w:val="000000" w:themeColor="text1"/>
        </w:rPr>
        <w:t>)</w:t>
      </w:r>
      <w:r w:rsidR="00D965C4" w:rsidRPr="006F5EBC">
        <w:rPr>
          <w:snapToGrid w:val="0"/>
          <w:color w:val="000000" w:themeColor="text1"/>
          <w:lang w:eastAsia="ja-JP" w:bidi="th-TH"/>
        </w:rPr>
        <w:t xml:space="preserve">. </w:t>
      </w:r>
      <w:r w:rsidR="00D965C4" w:rsidRPr="0070404D">
        <w:rPr>
          <w:color w:val="000000" w:themeColor="text1"/>
        </w:rPr>
        <w:t xml:space="preserve">In addition, </w:t>
      </w:r>
      <w:r w:rsidR="00D965C4" w:rsidRPr="0070404D">
        <w:rPr>
          <w:snapToGrid w:val="0"/>
          <w:color w:val="000000" w:themeColor="text1"/>
          <w:kern w:val="22"/>
          <w:lang w:eastAsia="ja-JP" w:bidi="th-TH"/>
        </w:rPr>
        <w:t xml:space="preserve">many countries lack adequate staff, resources, and motivation to effectively and fairly enforce wildlife laws </w:t>
      </w:r>
      <w:r w:rsidR="0034199F">
        <w:rPr>
          <w:snapToGrid w:val="0"/>
          <w:color w:val="000000" w:themeColor="text1"/>
          <w:kern w:val="22"/>
          <w:lang w:eastAsia="ja-JP" w:bidi="th-TH"/>
        </w:rPr>
        <w:fldChar w:fldCharType="begin" w:fldLock="1"/>
      </w:r>
      <w:r w:rsidR="00AB268B">
        <w:rPr>
          <w:snapToGrid w:val="0"/>
          <w:color w:val="000000" w:themeColor="text1"/>
          <w:kern w:val="22"/>
          <w:lang w:eastAsia="ja-JP" w:bidi="th-TH"/>
        </w:rPr>
        <w:instrText>ADDIN CSL_CITATION {"citationItems":[{"id":"ITEM-1","itemData":{"DOI":"10.1111/j.1744-7429.2007.00271.x","ISBN":"00063606","ISSN":"00063606","abstract":"People have hunted mammals in tropical Asian forests for at least 40,000 yr. This period has seen one confirmed global extinction (the giant pangolin, Manis palaeojavanica) and range restrictions for several large mammals, but there is no strong evidence for unsustainable hunting pressure until the last 2000–3000 yr, when elephants, rhinoceroses, and several other species were progressively eliminated from the large parts of their ranges. Regional declines in most species have occurred largely within the last 50 yr. Recent subsistence hunting has typically focused on pigs and deer (hunted with dogs and spears or with snares), monkeys and other arboreal mammals (often caught with blowpipes), and porcupines and other rodents (smoked or dug out of burrows). Over the last 50 yr, the importance of hunting for subsistence has been increasingly outweighed by hunting for the market. The hunted biomass is dominated by the same species as before, sold mostly for local consumption, but numerous additional species are targeted for the colossal regional trade in wild animals and their parts for food, medicines, raw materials, and pets. Many populations of mammalian dispersers of large seeds and understory browsers have been depleted or eliminated, while seed predators have had a more variable fate.Most of this hunting is now illegal, but the law enforcement is generally weak. However, examples of successful enforcement show that hunting impacts can be greatly reduced where there is sufficient political will. Ending the trade in wild animals and their parts should have the highest regional conservation priority","author":[{"dropping-particle":"","family":"Corlett","given":"Richard T.","non-dropping-particle":"","parse-names":false,"suffix":""}],"container-title":"Biotropica","id":"ITEM-1","issue":"3","issued":{"date-parts":[["2007"]]},"page":"292-303","title":"The impact of hunting on the mammalian fauna of tropical Asian forests","type":"article-journal","volume":"39"},"uris":["http://www.mendeley.com/documents/?uuid=822c279d-e311-4945-8bd6-c6262466157b"]},{"id":"ITEM-2","itemData":{"DOI":"10.1111/cobi.12785","ISBN":"9788578110796","ISSN":"15231739","PMID":"25246403","abstract":"Although deforestation and forest degradation have long been considered the most significant threats to tropical biodiversity, across Southeast Asia (Northeast India, Indochina, Sundaland, Philippines) substantial areas of natural habitat have few wild animals (&gt;1 kg), bar a few hunting-tolerant species. To document hunting impacts on vertebrate populations regionally,we conducted an extensive literature review, including papers in local journals and reports of governmental and nongovernmental agencies. Evidence from multiple sites indicated animal populations declined precipitously across the region since approximately 1980, and many species are now extirpated from substantial portions of their former ranges. Hunting is by far the greatest immediate threat to the survival of most of the region’s endangered vertebrates. Causes of recent overhunting include improved access to forests and markets, improved hunting technology, and escalating demand for wildmeat, wildlife-derived medicinal products, and wild animals as pets. Although hunters often take common species, such as pigs or rats, for their own consumption, they take rarer species opportunistically and sell surplus meat and commercially valuable products. There is also widespread targeted hunting of high-value species. Consequently, as currently practiced, hunting cannot be considered sustainable anywhere in the region, and in most places enforcement of protected-area and protected-species legislation is weak. The international community’s focus on cross-border trade fails to address overexploitation of wildlife because hunting and the sale of wildmeat is largely a local issue and most of the harvest is consumed in villages, rural towns, and nearby cities. In addition to improved enforcement, efforts to engage hunters and manage wildlife populations through sustainable hunting practices are urgently needed. Unless there is a step change in efforts to reduce wildlife exploitation to sustainable levels, the region will likely lose most of its iconic species, and many others besides, within the next few years. Keywords:","author":[{"dropping-particle":"","family":"Harrison","given":"Rhett D.","non-dropping-particle":"","parse-names":false,"suffix":""},{"dropping-particle":"","family":"Sreekar","given":"Rachakonda","non-dropping-particle":"","parse-names":false,"suffix":""},{"dropping-particle":"","family":"Brodie","given":"Jedediah F.","non-dropping-particle":"","parse-names":false,"suffix":""},{"dropping-particle":"","family":"Brook","given":"Sarah","non-dropping-particle":"","parse-names":false,"suffix":""},{"dropping-particle":"","family":"Luskin","given":"Matthew","non-dropping-particle":"","parse-names":false,"suffix":""},{"dropping-particle":"","family":"O'Kelly","given":"Hannah","non-dropping-particle":"","parse-names":false,"suffix":""},{"dropping-particle":"","family":"Rao","given":"Madhu","non-dropping-particle":"","parse-names":false,"suffix":""},{"dropping-particle":"","family":"Scheffers","given":"Brett","non-dropping-particle":"","parse-names":false,"suffix":""},{"dropping-particle":"","family":"Velho","given":"Nandini","non-dropping-particle":"","parse-names":false,"suffix":""}],"container-title":"Conservation Biology","id":"ITEM-2","issue":"5","issued":{"date-parts":[["2016"]]},"page":"972-981","title":"Impacts of hunting on tropical forests in Southeast Asia","type":"article-journal","volume":"30"},"uris":["http://www.mendeley.com/documents/?uuid=9156a739-3962-4575-aeb8-3bbb3e13bd98"]},{"id":"ITEM-3","itemData":{"DOI":"10.1016/j.biocon.2012.12.020","ISBN":"00063207","ISSN":"00063207","PMID":"25246403","abstract":"The bushmeat trade, or the illegal acquisition and exchange of wild meat, has long been recognised as a severe problem in forest biomes, but receives little attention in savannas, perhaps due to a misconception that bushmeat hunting is a low-impact subsistence activity. Though data on impacts are scarce, indications are that bushmeat hunting is a widespread problem in savannas, with severe impacts on wildlife populations and wildlife-based land uses. The impacts of the bushmeat trade in savannas vary from edge-effects around protected areas, to disproportionate declines of some species, to severe wildlife declines in areas with inadequate anti-poaching. In some areas, bushmeat contributes significantly to food security, but these benefits are unsustainable, and hunting is wasteful, utilising a fraction of the wildlife killed or of its financial value obtainable through tourism, trophy hunting and/or legal game meat production. The bushmeat trade appears to be becoming increasingly commercialised due to elevated demand in rural areas, urban centres and even overseas cities. Other drivers for the trade include human encroachment of wildlife areas; poverty and food insecurity; and inadequate legal frameworks to enable communities to benefit legally from wildlife, and to create incentives for people to desist from illegal bushmeat hunting. These drivers are exacerbated by inadequate wildlife laws and enforcement and in some areas, political instability. Urgent efforts are needed to address these drivers and raise awareness among local and international governments of the seriousness of the threat. Failure to address this will result in severe wildlife declines widely in African savannas, with significant ecological, economic and social impacts. © 2012 Elsevier Ltd.","author":[{"dropping-particle":"","family":"Lindsey","given":"Peter Andrew","non-dropping-particle":"","parse-names":false,"suffix":""},{"dropping-particle":"","family":"Balme","given":"Guy","non-dropping-particle":"","parse-names":false,"suffix":""},{"dropping-particle":"","family":"Becker","given":"Matthew","non-dropping-particle":"","parse-names":false,"suffix":""},{"dropping-particle":"","family":"Begg","given":"Colleen","non-dropping-particle":"","parse-names":false,"suffix":""},{"dropping-particle":"","family":"Bento","given":"Carlos","non-dropping-particle":"","parse-names":false,"suffix":""},{"dropping-particle":"","family":"Bocchino","given":"Clara","non-dropping-particle":"","parse-names":false,"suffix":""},{"dropping-particle":"","family":"Dickman","given":"Amy","non-dropping-particle":"","parse-names":false,"suffix":""},{"dropping-particle":"","family":"Diggle","given":"Richard W.","non-dropping-particle":"","parse-names":false,"suffix":""},{"dropping-particle":"","family":"Eves","given":"Heather","non-dropping-particle":"","parse-names":false,"suffix":""},{"dropping-particle":"","family":"Henschel","given":"Philipp","non-dropping-particle":"","parse-names":false,"suffix":""},{"dropping-particle":"","family":"Lewis","given":"Dale","non-dropping-particle":"","parse-names":false,"suffix":""},{"dropping-particle":"","family":"Marnewick","given":"Kelly","non-dropping-particle":"","parse-names":false,"suffix":""},{"dropping-particle":"","family":"Mattheus","given":"Jaco","non-dropping-particle":"","parse-names":false,"suffix":""},{"dropping-particle":"","family":"Weldon McNutt","given":"J.","non-dropping-particle":"","parse-names":false,"suffix":""},{"dropping-particle":"","family":"McRobb","given":"Rachel","non-dropping-particle":"","parse-names":false,"suffix":""},{"dropping-particle":"","family":"Midlane","given":"Neil","non-dropping-particle":"","parse-names":false,"suffix":""},{"dropping-particle":"","family":"Milanzi","given":"James","non-dropping-particle":"","parse-names":false,"suffix":""},{"dropping-particle":"","family":"Morley","given":"Robert","non-dropping-particle":"","parse-names":false,"suffix":""},{"dropping-particle":"","family":"Murphree","given":"Michael","non-dropping-particle":"","parse-names":false,"suffix":""},{"dropping-particle":"","family":"Opyene","given":"Vincent","non-dropping-particle":"","parse-names":false,"suffix":""},{"dropping-particle":"","family":"Phadima","given":"Joe","non-dropping-particle":"","parse-names":false,"suffix":""},{"dropping-particle":"","family":"Purchase","given":"Gianetta","non-dropping-particle":"","parse-names":false,"suffix":""},{"dropping-particle":"","family":"Rentsch","given":"Dennis","non-dropping-particle":"","parse-names":false,"suffix":""},{"dropping-particle":"","family":"Roche","given":"Christopher","non-dropping-particle":"","parse-names":false,"suffix":""},{"dropping-particle":"","family":"Shaw","given":"Joanne","non-dropping-particle":"","parse-names":false,"suffix":""},{"dropping-particle":"van der","family":"Westhuizen","given":"Hugo","non-dropping-particle":"","parse-names":false,"suffix":""},{"dropping-particle":"Van","family":"Vliet","given":"Nathalie","non-dropping-particle":"","parse-names":false,"suffix":""},{"dropping-particle":"","family":"Zisadza-Gandiwa","given":"Patience","non-dropping-particle":"","parse-names":false,"suffix":""}],"container-title":"Biological Conservation","id":"ITEM-3","issued":{"date-parts":[["2013"]]},"page":"80-96","title":"The bushmeat trade in African savannas: Impacts, drivers, and possible solutions","type":"article-journal","volume":"160"},"uris":["http://www.mendeley.com/documents/?uuid=c895dd6c-1f97-4744-b4cc-30da58bbc9b4"]},{"id":"ITEM-4","itemData":{"DOI":"10.1111/conl.12151","ISBN":"1755-263X","ISSN":"1755263X","abstract":"Urbanization of forested wilderness could threaten biodiversity if expanding cities drive demand for wildlife as food. We examined the scale and drivers of urban wildlife consumption in the forested prefrontier of Brazilian Amazonia, defined as municipalities (n = 73) with over 90% of their original forest cover still intact. A representative survey of two prefrontier cities indicated that virtually all urban households consume wildlife, including fish (99%), bushmeat (mammals and birds; 79%), chelonians (48%) and caimans (28%)—alarming evidence of an underreported wild-meat crisis in the heart of Amazonia. We also report rapid growth of cities and inadequate resources to deter illegal consumption in this urbanized wilderness covering 1.86 million km2. We evaluate relevant policy levers and conclude that poverty-alleviation programs may accelerate a long-term transition from consumption of wildlife as an economical source of protein for the poor to luxury food for the wealthy. We argue that innovative environmental governance could limit wildlife consumption to only harvest-tolerant species. Researchers and policy-makers should engage with policies and ideas that promote poverty alleviation and supply poor citydwellers with affordable alternatives to eating wildlife.","author":[{"dropping-particle":"","family":"Parry","given":"Luke","non-dropping-particle":"","parse-names":false,"suffix":""},{"dropping-particle":"","family":"Barlow","given":"Jos","non-dropping-particle":"","parse-names":false,"suffix":""},{"dropping-particle":"","family":"Pereira","given":"Heloisa","non-dropping-particle":"","parse-names":false,"suffix":""}],"container-title":"Conservation Letters","id":"ITEM-4","issue":"6","issued":{"date-parts":[["2014"]]},"page":"565-574","title":"Wildlife harvest and consumption in Amazonia's urbanized wilderness","type":"article-journal","volume":"7"},"uris":["http://www.mendeley.com/documents/?uuid=7bbfad8d-9fa0-4d25-9412-8229fba9016b"]},{"id":"ITEM-5","itemData":{"DOI":"10.1080/19390450903350820","ISBN":"1939-0459","ISSN":"19390467","abstract":"This paper relates the key findings of the optimal economic enforcement literature to practical issues of enforcing forest and wildlife management access restrictions in developing countries. Our experiences, particularly from Tanzania and eastern India, provide detail of the key pragmatic issues facing those responsible for protecting natural resources. We identify large gaps in the theoretical literature that limit its ability to inform practical management, including issues of limited funding and cost recovery, multiple tiers of enforcement and the incentives facing enforcement officers, and conflict between protected area managers and rural people's needs.","author":[{"dropping-particle":"","family":"Robinson","given":"Elizabeth J.Z.","non-dropping-particle":"","parse-names":false,"suffix":""},{"dropping-particle":"","family":"Kumar","given":"Ajay M.","non-dropping-particle":"","parse-names":false,"suffix":""},{"dropping-particle":"","family":"Albers","given":"Heidi J.","non-dropping-particle":"","parse-names":false,"suffix":""}],"container-title":"Journal of Natural Resources Policy Research","id":"ITEM-5","issue":"1","issued":{"date-parts":[["2010"]]},"page":"25-38","title":"Protecting developing countries’ forests: enforcement in theory and practice","type":"article-journal","volume":"2"},"uris":["http://www.mendeley.com/documents/?uuid=b7012de3-bd79-45dc-9d99-8e0d666516c7"]},{"id":"ITEM-6","itemData":{"DOI":"10.1007/s10661-011-2475-y","ISBN":"1066101124","ISSN":"01676369","PMID":"22170159","abstract":"The wildlife populations of northern Central African Republic (CAR) have long suffered intense uncontrolled hunting. Socio-political turmoil in northern CAR that started in 2002 resulted in a rebellion in 2006. An aerial sample count was carried out in northern CAR after the ceasefire to assess the impact of this troubled period on wildlife. The survey was flown at the end of the dry season in February-March 2010. It covered a landscape complex of 95,000 km² comprising national parks, hunting reserves and community hunting areas. Comparison with earlier surveys revealed a dramatic decline of wildlife: the numbers of large mammals fell by 94% in 30 years, probably due to poaching, loss of habitat and diseases brought by illegal movements of cattle. Elephant (Loxodonta africana), Reduncinae and topi (Damaliscus lunatus) populations showed the greatest decline (each over 90%). Other species declined by 70-80% during the same period. The future of wildlife in this area is dark without a strong commitment to provide adequate funding and quickly implement of determined field management. Reinforced cooperation with neighbouring Chad and Sudan is required since they are facing similar problems.","author":[{"dropping-particle":"","family":"Bouché","given":"Philippe","non-dropping-particle":"","parse-names":false,"suffix":""},{"dropping-particle":"","family":"Nzapa Mbeti Mange","given":"Roland","non-dropping-particle":"","parse-names":false,"suffix":""},{"dropping-particle":"","family":"Tankalet","given":"Floride","non-dropping-particle":"","parse-names":false,"suffix":""},{"dropping-particle":"","family":"Zowoya","given":"Florent","non-dropping-particle":"","parse-names":false,"suffix":""},{"dropping-particle":"","family":"Lejeune","given":"Philippe","non-dropping-particle":"","parse-names":false,"suffix":""},{"dropping-particle":"","family":"Vermeulen","given":"Cédric","non-dropping-particle":"","parse-names":false,"suffix":""}],"container-title":"Environmental Monitoring and Assessment","id":"ITEM-6","issue":"11","issued":{"date-parts":[["2012"]]},"page":"7001-7011","title":"Game over! Wildlife collapse in northern Central African Republic","type":"article-journal","volume":"184"},"uris":["http://www.mendeley.com/documents/?uuid=c9fae0f3-b5fa-4abe-9f96-6eec369f5a20"]},{"id":"ITEM-7","itemData":{"DOI":"10.1017/S0376892914000198","ISBN":"0376-8929","ISSN":"14694387","abstract":"SUMMARY Bushmeat hunting in the savannah biomes of East Africa is often considered to be subsistence oriented and undertaken as a gap-filler in the lean agricultural season. The price of bushmeat is furthermore often thought uniform regardless of species, but if hunting is commercially oriented and price premiums are paid for particular species this needs to be considered. This paper investigates these issues in the Kilombero Valley of Tanzania, based on one year of market data and interviews with 80 hunters, 169 traders and 67 retailers. Motivations were overwhelmingly commercial and the bushmeat trade constituted a year-round income generating activity. Monte Carlo simulations based on the deterrence model revealed average cost-benefit ratios of 0.15–0.43 for hunters, 0.56–0.62 for traders and 0.88 for retailers, and a 12–401 fold increase in likelihood of apprehension may be required to render the trade unprofitable. Willingness-to-pay data showed that elephant, buffalo, hippopotamus, puku, bushpig and warthog meat were preferred. Enhanced enforcement may thus drive prices for these species higher, encouraging hunters to seek ways around constraints. Community-based wildlife management and improved firearms control may be the most pragmatic ways to regulate the trade.","author":[{"dropping-particle":"","family":"Nielsen","given":"Martin Reinhardt","non-dropping-particle":"","parse-names":false,"suffix":""},{"dropping-particle":"","family":"Meilby","given":"Henrik","non-dropping-particle":"","parse-names":false,"suffix":""}],"container-title":"Environmental Conservation","id":"ITEM-7","issue":"1","issued":{"date-parts":[["2015"]]},"page":"61-72","title":"Hunting and trading bushmeat in the Kilombero Valley, Tanzania: motivations, cost-benefit ratios and meat prices","type":"article-journal","volume":"42"},"uris":["http://www.mendeley.com/documents/?uuid=6bffb591-2b2f-4d70-bc01-e25c91ca0056"]},{"id":"ITEM-8","itemData":{"DOI":"10.1016/j.biocon.2015.12.018","ISBN":"0006-3207","ISSN":"00063207","abstract":"Increasing urban wild meat consumption in Vietnam poses a major threat to faunal biodiversity. However, little is known about the numbers, demand, social status, and frequency of wildlife meat consumers in Thua Thien Hue province, where wild meat consumption appears to be common. We combined the results of 329 semi-structured interviews of male Hue citizens in Thua Thien Hue province, Vietnam, with interviews in 20 restaurants to quantify the supply and demand of urban wildlife consumption. We found that 58% of respondents were current wild meat consumers. The most common species reported (in 30% of the cases) was wild pig (Sus scrofa). Our results described a typical consumer as a student or being unemployed, usually with higher education, and eating wild meat three times a year. Most (72%) wild meat consumption in Hue city took place in restaurants. Restaurant surveys showed that government staff were the most observed customers in restaurants. Farmed wild meat consumption in Hue was rarely reported (in 23% of the cases); and a typical consumer of farmed wild meat had high education levels. Missing legal mechanisms such as the inability to punish and fining the wild meat consumers was claimed to be an important reason why wild meat consumption has not yet declined. Our combination of survey methods provided different stakeholder views and highlighted the urgent need to monitor the patterns and frequenc</w:instrText>
      </w:r>
      <w:r w:rsidR="00AB268B" w:rsidRPr="00DF57F3">
        <w:rPr>
          <w:snapToGrid w:val="0"/>
          <w:color w:val="000000" w:themeColor="text1"/>
          <w:kern w:val="22"/>
          <w:lang w:val="fr-FR" w:eastAsia="ja-JP" w:bidi="th-TH"/>
        </w:rPr>
        <w:instrText>y of wild meat consumption for further law amendments.","author":[{"dropping-particle":"","family":"Sandalj","given":"Milica","non-dropping-particle":"","parse-names":false,"suffix":""},{"dropping-particle":"","family":"Treydte","given":"Anna C.","non-dropping-particle":"","parse-names":false,"suffix":""},{"dropping-particle":"","family":"Ziegler","given":"Stefan","non-dropping-particle":"","parse-names":false,"suffix":""}],"container-title":"Biological Conservation","id":"ITEM-8","issued":{"date-parts":[["2016"]]},"page":"105-112","publisher":"Elsevier B.V.","title":"Is wild meat luxury? Quantifying wild meat demand and availability in Hue, Vietnam","type":"article-journal","volume":"194"},"uris":["http://www.mendeley.com/documents/?uuid=f2002549-0b15-46ac-8696-c352f24b4560"]}],"mendeley":{"formattedCitation":"(Corlett 2007; Robinson et al. 2010; Bouché et al. 2012; Lindsey et al. 2013a; Parry et al. 2014; Nielsen &amp; Meilby 2015; Harrison et al. 2016; Sandalj et al. 2016)","plainTextFormattedCitation":"(Corlett 2007; Robinson et al. 2010; Bouché et al. 2012; Lindsey et al. 2013a; Parry et al. 2014; Nielsen &amp; Meilby 2015; Harrison et al. 2016; Sandalj et al. 2016)","previouslyFormattedCitation":"(Corlett 2007; Robinson et al. 2010; Bouché et al. 2012; Lindsey et al. 2013a; Parry et al. 2014; Nielsen &amp; Meilby 2015; Harrison et al. 2016; Sandalj et al. 2016)"},"properties":{"noteIndex":0},"schema":"https://github.com/citation-style-language/schema/raw/master/csl-citation.json"}</w:instrText>
      </w:r>
      <w:r w:rsidR="0034199F">
        <w:rPr>
          <w:snapToGrid w:val="0"/>
          <w:color w:val="000000" w:themeColor="text1"/>
          <w:kern w:val="22"/>
          <w:lang w:eastAsia="ja-JP" w:bidi="th-TH"/>
        </w:rPr>
        <w:fldChar w:fldCharType="separate"/>
      </w:r>
      <w:r w:rsidR="00730F44" w:rsidRPr="00DF57F3">
        <w:rPr>
          <w:noProof/>
          <w:snapToGrid w:val="0"/>
          <w:color w:val="000000" w:themeColor="text1"/>
          <w:kern w:val="22"/>
          <w:lang w:val="fr-FR" w:eastAsia="ja-JP" w:bidi="th-TH"/>
        </w:rPr>
        <w:t>(Corlett 2007; Robinson et al. 2010; Bouché et al. 2012; Lindsey et al. 2013a; Parry et al. 2014; Nielsen &amp; Meilby 2015; Harrison et al. 2016; Sandalj et al. 2016)</w:t>
      </w:r>
      <w:r w:rsidR="0034199F">
        <w:rPr>
          <w:snapToGrid w:val="0"/>
          <w:color w:val="000000" w:themeColor="text1"/>
          <w:kern w:val="22"/>
          <w:lang w:eastAsia="ja-JP" w:bidi="th-TH"/>
        </w:rPr>
        <w:fldChar w:fldCharType="end"/>
      </w:r>
      <w:r w:rsidR="0034199F" w:rsidRPr="00DF57F3">
        <w:rPr>
          <w:snapToGrid w:val="0"/>
          <w:color w:val="000000" w:themeColor="text1"/>
          <w:kern w:val="22"/>
          <w:lang w:val="fr-FR" w:eastAsia="ja-JP" w:bidi="th-TH"/>
        </w:rPr>
        <w:t xml:space="preserve">. </w:t>
      </w:r>
      <w:r w:rsidR="005A2CEA">
        <w:rPr>
          <w:color w:val="000000" w:themeColor="text1"/>
        </w:rPr>
        <w:t>U</w:t>
      </w:r>
      <w:r w:rsidR="005A2CEA" w:rsidRPr="004904D8">
        <w:rPr>
          <w:color w:val="000000" w:themeColor="text1"/>
        </w:rPr>
        <w:t>nenforced national laws can erode the authority of local, traditional power</w:t>
      </w:r>
      <w:r w:rsidR="005A2CEA">
        <w:rPr>
          <w:color w:val="000000" w:themeColor="text1"/>
        </w:rPr>
        <w:t xml:space="preserve"> </w:t>
      </w:r>
      <w:r w:rsidR="005A2CEA" w:rsidRPr="004904D8">
        <w:rPr>
          <w:color w:val="000000" w:themeColor="text1"/>
        </w:rPr>
        <w:t>structures</w:t>
      </w:r>
      <w:r w:rsidR="005A2CEA">
        <w:rPr>
          <w:color w:val="000000" w:themeColor="text1"/>
        </w:rPr>
        <w:t>,</w:t>
      </w:r>
      <w:r w:rsidR="005A2CEA" w:rsidRPr="004904D8">
        <w:rPr>
          <w:color w:val="000000" w:themeColor="text1"/>
        </w:rPr>
        <w:t xml:space="preserve"> </w:t>
      </w:r>
      <w:r w:rsidR="005A2CEA">
        <w:rPr>
          <w:color w:val="000000" w:themeColor="text1"/>
        </w:rPr>
        <w:t xml:space="preserve">further </w:t>
      </w:r>
      <w:r w:rsidR="005A2CEA" w:rsidRPr="004904D8">
        <w:rPr>
          <w:color w:val="000000" w:themeColor="text1"/>
        </w:rPr>
        <w:t>weaken</w:t>
      </w:r>
      <w:r w:rsidR="005A2CEA">
        <w:rPr>
          <w:color w:val="000000" w:themeColor="text1"/>
        </w:rPr>
        <w:t>ing</w:t>
      </w:r>
      <w:r w:rsidR="005A2CEA" w:rsidRPr="004904D8">
        <w:rPr>
          <w:color w:val="000000" w:themeColor="text1"/>
        </w:rPr>
        <w:t xml:space="preserve"> the local governance of wildlife resources</w:t>
      </w:r>
      <w:r w:rsidR="005A2CEA">
        <w:rPr>
          <w:color w:val="000000" w:themeColor="text1"/>
        </w:rPr>
        <w:t xml:space="preserve"> </w:t>
      </w:r>
      <w:r w:rsidR="0034199F">
        <w:rPr>
          <w:color w:val="000000" w:themeColor="text1"/>
        </w:rPr>
        <w:fldChar w:fldCharType="begin" w:fldLock="1"/>
      </w:r>
      <w:r w:rsidR="0034199F">
        <w:rPr>
          <w:color w:val="000000" w:themeColor="text1"/>
        </w:rPr>
        <w:instrText>ADDIN CSL_CITATION {"citationItems":[{"id":"ITEM-1","itemData":{"DOI":"10.5751/ES-08047-200431","ISSN":"17083087","abstract":"©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Society","id":"ITEM-1","issue":"4","issued":{"date-parts":[["2015"]]},"title":"Evolving hunting practices in gabon: Lessons for community-based conservation interventions","type":"article-journal","volume":"20"},"uris":["http://www.mendeley.com/documents/?uuid=929a2061-e229-4516-9546-6b6fcea8cade"]}],"mendeley":{"formattedCitation":"(Walters et al. 2015)","plainTextFormattedCitation":"(Walters et al. 2015)","previouslyFormattedCitation":"(Walters et al. 2015)"},"properties":{"noteIndex":0},"schema":"https://github.com/citation-style-language/schema/raw/master/csl-citation.json"}</w:instrText>
      </w:r>
      <w:r w:rsidR="0034199F">
        <w:rPr>
          <w:color w:val="000000" w:themeColor="text1"/>
        </w:rPr>
        <w:fldChar w:fldCharType="separate"/>
      </w:r>
      <w:r w:rsidR="0034199F" w:rsidRPr="0034199F">
        <w:rPr>
          <w:noProof/>
          <w:color w:val="000000" w:themeColor="text1"/>
        </w:rPr>
        <w:t>(Walters et al. 2015)</w:t>
      </w:r>
      <w:r w:rsidR="0034199F">
        <w:rPr>
          <w:color w:val="000000" w:themeColor="text1"/>
        </w:rPr>
        <w:fldChar w:fldCharType="end"/>
      </w:r>
      <w:r w:rsidR="005A2CEA" w:rsidRPr="005512D2">
        <w:rPr>
          <w:color w:val="000000" w:themeColor="text1"/>
        </w:rPr>
        <w:t>.</w:t>
      </w:r>
    </w:p>
    <w:p w14:paraId="036D8FCC" w14:textId="2A5232D4" w:rsidR="00D965C4" w:rsidRDefault="0040485D" w:rsidP="00C258BC">
      <w:pPr>
        <w:jc w:val="both"/>
        <w:rPr>
          <w:color w:val="000000" w:themeColor="text1"/>
        </w:rPr>
      </w:pPr>
      <w:r w:rsidRPr="0064175F">
        <w:rPr>
          <w:color w:val="000000" w:themeColor="text1"/>
        </w:rPr>
        <w:t>Where local people have few righ</w:t>
      </w:r>
      <w:r w:rsidRPr="0070404D">
        <w:rPr>
          <w:color w:val="000000" w:themeColor="text1"/>
        </w:rPr>
        <w:t>ts over their wildlife</w:t>
      </w:r>
      <w:r w:rsidRPr="0064175F">
        <w:rPr>
          <w:color w:val="000000" w:themeColor="text1"/>
        </w:rPr>
        <w:t xml:space="preserve">, </w:t>
      </w:r>
      <w:r w:rsidRPr="0070404D">
        <w:rPr>
          <w:color w:val="000000" w:themeColor="text1"/>
        </w:rPr>
        <w:t xml:space="preserve">there is </w:t>
      </w:r>
      <w:r>
        <w:rPr>
          <w:color w:val="000000" w:themeColor="text1"/>
        </w:rPr>
        <w:t>little</w:t>
      </w:r>
      <w:r w:rsidRPr="0070404D">
        <w:rPr>
          <w:color w:val="000000" w:themeColor="text1"/>
        </w:rPr>
        <w:t xml:space="preserve"> incentive for sustainable management </w:t>
      </w:r>
      <w:r w:rsidRPr="004904D8">
        <w:rPr>
          <w:color w:val="000000" w:themeColor="text1"/>
        </w:rPr>
        <w:fldChar w:fldCharType="begin"/>
      </w:r>
      <w:r w:rsidRPr="0070404D">
        <w:rPr>
          <w:color w:val="000000" w:themeColor="text1"/>
        </w:rPr>
        <w:instrText xml:space="preserve"> ADDIN EN.CITE &lt;EndNote&gt;&lt;Cite&gt;&lt;Author&gt;Kabiri&lt;/Author&gt;&lt;Year&gt;2014&lt;/Year&gt;&lt;RecNum&gt;7475&lt;/RecNum&gt;&lt;DisplayText&gt;(Kabiri and Child 2014)&lt;/DisplayText&gt;&lt;record&gt;&lt;rec-number&gt;7475&lt;/rec-number&gt;&lt;foreign-keys&gt;&lt;key app="EN" db-id="99f9d2024rrsptevpzoptt05re9wrz9pw9pa" timestamp="0"&gt;7475&lt;/key&gt;&lt;/foreign-keys&gt;&lt;ref-type name="Book Section"&gt;5&lt;/ref-type&gt;&lt;contributors&gt;&lt;authors&gt;&lt;author&gt;Kabiri, Ngeta&lt;/author&gt;&lt;author&gt;Child, Brian&lt;/author&gt;&lt;/authors&gt;&lt;secondary-authors&gt;&lt;author&gt;Barnes, G.&lt;/author&gt;&lt;author&gt;Child, Brian&lt;/author&gt;&lt;/secondary-authors&gt;&lt;/contributors&gt;&lt;titles&gt;&lt;title&gt;Wildlife governance in Africa&lt;/title&gt;&lt;secondary-title&gt;Adaptive Cross-scalar Governance of Natural Resources&lt;/secondary-title&gt;&lt;/titles&gt;&lt;pages&gt;102-129&lt;/pages&gt;&lt;section&gt;7&lt;/section&gt;&lt;dates&gt;&lt;year&gt;2014&lt;/year&gt;&lt;/dates&gt;&lt;pub-location&gt;London&lt;/pub-location&gt;&lt;publisher&gt;Earthscan&lt;/publisher&gt;&lt;isbn&gt;1317916468&lt;/isbn&gt;&lt;urls&gt;&lt;/urls&gt;&lt;/record&gt;&lt;/Cite&gt;&lt;/EndNote&gt;</w:instrText>
      </w:r>
      <w:r w:rsidRPr="004904D8">
        <w:rPr>
          <w:color w:val="000000" w:themeColor="text1"/>
        </w:rPr>
        <w:fldChar w:fldCharType="separate"/>
      </w:r>
      <w:r w:rsidRPr="004904D8">
        <w:rPr>
          <w:color w:val="000000" w:themeColor="text1"/>
        </w:rPr>
        <w:t xml:space="preserve">(Kabiri </w:t>
      </w:r>
      <w:r w:rsidR="00037F04">
        <w:rPr>
          <w:color w:val="000000" w:themeColor="text1"/>
        </w:rPr>
        <w:t xml:space="preserve">and </w:t>
      </w:r>
      <w:r w:rsidRPr="004904D8">
        <w:rPr>
          <w:color w:val="000000" w:themeColor="text1"/>
        </w:rPr>
        <w:t>Child 2014)</w:t>
      </w:r>
      <w:r w:rsidRPr="004904D8">
        <w:rPr>
          <w:color w:val="000000" w:themeColor="text1"/>
        </w:rPr>
        <w:fldChar w:fldCharType="end"/>
      </w:r>
      <w:r w:rsidRPr="0070404D">
        <w:rPr>
          <w:color w:val="000000" w:themeColor="text1"/>
        </w:rPr>
        <w:t>.</w:t>
      </w:r>
      <w:r w:rsidRPr="004904D8">
        <w:rPr>
          <w:color w:val="000000" w:themeColor="text1"/>
        </w:rPr>
        <w:t xml:space="preserve"> </w:t>
      </w:r>
      <w:r w:rsidR="005A2CEA">
        <w:rPr>
          <w:color w:val="000000" w:themeColor="text1"/>
        </w:rPr>
        <w:t>Additionally,</w:t>
      </w:r>
      <w:r w:rsidR="006134CF">
        <w:rPr>
          <w:color w:val="000000" w:themeColor="text1"/>
        </w:rPr>
        <w:t xml:space="preserve"> </w:t>
      </w:r>
      <w:r w:rsidRPr="0070404D">
        <w:rPr>
          <w:color w:val="000000" w:themeColor="text1"/>
        </w:rPr>
        <w:t>wild meat hunting may signify a form of protes</w:t>
      </w:r>
      <w:r w:rsidR="0038663E">
        <w:rPr>
          <w:color w:val="000000" w:themeColor="text1"/>
        </w:rPr>
        <w:t>t; persons opting to hunt illegally</w:t>
      </w:r>
      <w:r w:rsidRPr="0070404D">
        <w:rPr>
          <w:color w:val="000000" w:themeColor="text1"/>
        </w:rPr>
        <w:t xml:space="preserve"> are not only attaining the benefits from the harvested animal, but they might </w:t>
      </w:r>
      <w:r w:rsidR="002656D6">
        <w:rPr>
          <w:color w:val="000000" w:themeColor="text1"/>
        </w:rPr>
        <w:t>also</w:t>
      </w:r>
      <w:r w:rsidRPr="0070404D">
        <w:rPr>
          <w:color w:val="000000" w:themeColor="text1"/>
        </w:rPr>
        <w:t xml:space="preserve"> be making an implicit statement that they have the right to kill that animal </w:t>
      </w:r>
      <w:r w:rsidR="0034199F">
        <w:rPr>
          <w:color w:val="000000" w:themeColor="text1"/>
        </w:rPr>
        <w:fldChar w:fldCharType="begin" w:fldLock="1"/>
      </w:r>
      <w:r w:rsidR="0034199F">
        <w:rPr>
          <w:color w:val="000000" w:themeColor="text1"/>
        </w:rPr>
        <w:instrText>ADDIN CSL_CITATION {"citationItems":[{"id":"ITEM-1","itemData":{"ISBN":"0972-4923","ISSN":"0315162X","PMID":"9263134","abstract":"This paper presents a framework to understand how conservation, in particular protected areas and national parks, are resisted, based on theo- ries of subaltern politics and a review of thirty-four published case studies. It is informed largely by Scotts concept of everyday resistance, which considers the informal subtle politics involved in social conflicts where there are con- straints on the ability of some people to take open, formal action. These ideas are critiqued and adapted to the particular context of conservation regula- tion, which is distinct from many other types of rural conflict. In particular, it recognises the importance of continuing banned livelihood practices such as hunting or farming in resistance, and the particular symbolism this has in conflicts. It also shows the importance of not just social factors in these con- flicts, but also the role of physical properties of natural resources in deter- mining the form of resistance. As well as the theoretical contribution, by showing the variety of responses to this resistance this paper aims to make conservation practitioners more aware of the forms local resistance can take. Rather than being a simple call for a more socially just conservation, it goes beyond this to provide a tool to make conservation better for both local com- munities and biodiversity.","author":[{"dropping-particle":"","family":"Holmes","given":"G","non-dropping-particle":"","parse-names":false,"suffix":""}],"container-title":"Conservation and Society","id":"ITEM-1","issue":"2","issued":{"date-parts":[["2007"]]},"page":"184-201","title":"Protection, politics and protest: understanding resistance to conservation","type":"article-journal","volume":"5"},"uris":["http://www.mendeley.com/documents/?uuid=6481ca1d-14ef-4dd3-80e1-084f18f5464e"]}],"mendeley":{"formattedCitation":"(Holmes 2007)","plainTextFormattedCitation":"(Holmes 2007)","previouslyFormattedCitation":"(Holmes 2007)"},"properties":{"noteIndex":0},"schema":"https://github.com/citation-style-language/schema/raw/master/csl-citation.json"}</w:instrText>
      </w:r>
      <w:r w:rsidR="0034199F">
        <w:rPr>
          <w:color w:val="000000" w:themeColor="text1"/>
        </w:rPr>
        <w:fldChar w:fldCharType="separate"/>
      </w:r>
      <w:r w:rsidR="0034199F" w:rsidRPr="0034199F">
        <w:rPr>
          <w:noProof/>
          <w:color w:val="000000" w:themeColor="text1"/>
        </w:rPr>
        <w:t>(Holmes 2007)</w:t>
      </w:r>
      <w:r w:rsidR="0034199F">
        <w:rPr>
          <w:color w:val="000000" w:themeColor="text1"/>
        </w:rPr>
        <w:fldChar w:fldCharType="end"/>
      </w:r>
      <w:r w:rsidRPr="0070404D">
        <w:rPr>
          <w:color w:val="000000" w:themeColor="text1"/>
        </w:rPr>
        <w:t>.</w:t>
      </w:r>
      <w:r>
        <w:rPr>
          <w:color w:val="000000" w:themeColor="text1"/>
        </w:rPr>
        <w:t xml:space="preserve"> </w:t>
      </w:r>
      <w:r w:rsidR="00D23B36">
        <w:rPr>
          <w:color w:val="000000" w:themeColor="text1"/>
        </w:rPr>
        <w:t xml:space="preserve">Conversely, </w:t>
      </w:r>
      <w:r w:rsidR="00D23B36">
        <w:rPr>
          <w:snapToGrid w:val="0"/>
          <w:color w:val="000000" w:themeColor="text1"/>
          <w:kern w:val="22"/>
          <w:lang w:eastAsia="ja-JP" w:bidi="th-TH"/>
        </w:rPr>
        <w:t>w</w:t>
      </w:r>
      <w:r w:rsidR="00D965C4" w:rsidRPr="00EE2428">
        <w:rPr>
          <w:snapToGrid w:val="0"/>
          <w:color w:val="000000" w:themeColor="text1"/>
          <w:kern w:val="22"/>
          <w:lang w:eastAsia="ja-JP" w:bidi="th-TH"/>
        </w:rPr>
        <w:t xml:space="preserve">hen local communities </w:t>
      </w:r>
      <w:r w:rsidR="005B61CF">
        <w:rPr>
          <w:snapToGrid w:val="0"/>
          <w:color w:val="000000" w:themeColor="text1"/>
          <w:kern w:val="22"/>
          <w:lang w:eastAsia="ja-JP" w:bidi="th-TH"/>
        </w:rPr>
        <w:t>are enfranchised to</w:t>
      </w:r>
      <w:r w:rsidR="00D965C4" w:rsidRPr="00EE2428">
        <w:rPr>
          <w:snapToGrid w:val="0"/>
          <w:color w:val="000000" w:themeColor="text1"/>
          <w:kern w:val="22"/>
          <w:lang w:eastAsia="ja-JP" w:bidi="th-TH"/>
        </w:rPr>
        <w:t xml:space="preserve"> benefit from hunting, consuming and trading wildlife from their lands, they see external hunters as stealing from them, and are highly motived to </w:t>
      </w:r>
      <w:r w:rsidR="005B61CF">
        <w:rPr>
          <w:snapToGrid w:val="0"/>
          <w:color w:val="000000" w:themeColor="text1"/>
          <w:kern w:val="22"/>
          <w:lang w:eastAsia="ja-JP" w:bidi="th-TH"/>
        </w:rPr>
        <w:t>c</w:t>
      </w:r>
      <w:r w:rsidR="008A3103">
        <w:rPr>
          <w:snapToGrid w:val="0"/>
          <w:color w:val="000000" w:themeColor="text1"/>
          <w:kern w:val="22"/>
          <w:lang w:eastAsia="ja-JP" w:bidi="th-TH"/>
        </w:rPr>
        <w:t>ollaborate</w:t>
      </w:r>
      <w:r w:rsidR="005B61CF">
        <w:rPr>
          <w:snapToGrid w:val="0"/>
          <w:color w:val="000000" w:themeColor="text1"/>
          <w:kern w:val="22"/>
          <w:lang w:eastAsia="ja-JP" w:bidi="th-TH"/>
        </w:rPr>
        <w:t xml:space="preserve"> with national authorities to </w:t>
      </w:r>
      <w:r w:rsidR="00D965C4" w:rsidRPr="00EE2428">
        <w:rPr>
          <w:snapToGrid w:val="0"/>
          <w:color w:val="000000" w:themeColor="text1"/>
          <w:kern w:val="22"/>
          <w:lang w:eastAsia="ja-JP" w:bidi="th-TH"/>
        </w:rPr>
        <w:t>halt the illegal or illegitimate use of their wildlife</w:t>
      </w:r>
      <w:r w:rsidR="00D965C4" w:rsidRPr="0064175F">
        <w:rPr>
          <w:color w:val="000000" w:themeColor="text1"/>
        </w:rPr>
        <w:t xml:space="preserve"> </w:t>
      </w:r>
      <w:r w:rsidR="0034199F">
        <w:rPr>
          <w:color w:val="000000" w:themeColor="text1"/>
        </w:rPr>
        <w:fldChar w:fldCharType="begin" w:fldLock="1"/>
      </w:r>
      <w:r w:rsidR="00D00854">
        <w:rPr>
          <w:color w:val="000000" w:themeColor="text1"/>
        </w:rPr>
        <w:instrText>ADDIN CSL_CITATION {"citationItems":[{"id":"ITEM-1","itemData":{"DOI":"10.1111/conl.12294","ISBN":"2375-2548","ISSN":"1755263X","PMID":"27313045","abstract":"Hydroxyapatite (HAp) has been successfully synthesized by hydrothermal treatment of calcite crystals in H3PO4 suspensions at 120 or 180 ??C. Synthesis of HAp crystals under different H3PO4 concentrations and time conditions were studied. The results showed that HAp can be produced by the hydrothermal conversion of calcite crystals in the presence of a neutral suspension consisted of Ca 50 mM and PO4 60 mM, at 120 and 180 ??C for 6 h. Unreacted CaCO3 remained when PO4 concentration was less than this at lower temperature. The major formation mechanism of HAp seems to be dissolution/precipitation. ?? 2004 Elsevier B.V. All rights reserved.","author":[{"dropping-particle":"","family":"Cooney","given":"Rosie","non-dropping-particle":"","parse-names":false,"suffix":""},{"dropping-particle":"","family":"Roe","given":"Dilys","non-dropping-particle":"","parse-names":false,"suffix":""},{"dropping-particle":"","family":"Dublin","given":"Holly","non-dropping-particle":"","parse-names":false,"suffix":""},{"dropping-particle":"","family":"Phelps","given":"Jacob","non-dropping-particle":"","parse-names":false,"suffix":""},{"dropping-particle":"","family":"Wilkie","given":"David","non-dropping-particle":"","parse-names":false,"suffix":""},{"dropping-particle":"","family":"Keane","given":"Aidan","non-dropping-particle":"","parse-names":false,"suffix":""},{"dropping-particle":"","family":"Travers","given":"Henry","non-dropping-particle":"","parse-names":false,"suffix":""},{"dropping-particle":"","family":"Skinner","given":"Diane","non-dropping-particle":"","parse-names":false,"suffix":""},{"dropping-particle":"","family":"Challender","given":"Daniel W.S.","non-dropping-particle":"","parse-names":false,"suffix":""},{"dropping-particle":"","family":"Allan","given":"James R.","non-dropping-particle":"","parse-names":false,"suffix":""},{"dropping-particle":"","family":"Biggs","given":"Duan","non-dropping-particle":"","parse-names":false,"suffix":""}],"container-title":"Conservation Letters","id":"ITEM-1","issue":"3","issued":{"date-parts":[["2017"]]},"page":"367-374","title":"From poachers to protectors: engaging local communities in solutions to illegal wildlife trade","type":"article-journal","volume":"10"},"uris":["http://www.mendeley.com/documents/?uuid=bfe81fa4-61cd-43da-84e9-59605db58e18"]}],"mendeley":{"formattedCitation":"(Cooney et al. 2017)","plainTextFormattedCitation":"(Cooney et al. 2017)","previouslyFormattedCitation":"(Cooney et al. 2017)"},"properties":{"noteIndex":0},"schema":"https://github.com/citation-style-language/schema/raw/master/csl-citation.json"}</w:instrText>
      </w:r>
      <w:r w:rsidR="0034199F">
        <w:rPr>
          <w:color w:val="000000" w:themeColor="text1"/>
        </w:rPr>
        <w:fldChar w:fldCharType="separate"/>
      </w:r>
      <w:r w:rsidR="0034199F" w:rsidRPr="0034199F">
        <w:rPr>
          <w:noProof/>
          <w:color w:val="000000" w:themeColor="text1"/>
        </w:rPr>
        <w:t>(Cooney et al. 2017)</w:t>
      </w:r>
      <w:r w:rsidR="0034199F">
        <w:rPr>
          <w:color w:val="000000" w:themeColor="text1"/>
        </w:rPr>
        <w:fldChar w:fldCharType="end"/>
      </w:r>
      <w:r w:rsidR="00E10EE1">
        <w:rPr>
          <w:color w:val="000000" w:themeColor="text1"/>
        </w:rPr>
        <w:t>.</w:t>
      </w:r>
    </w:p>
    <w:p w14:paraId="43AD7FFD" w14:textId="77777777" w:rsidR="00E10EE1" w:rsidRPr="005512D2" w:rsidRDefault="00E10EE1" w:rsidP="00C258BC">
      <w:pPr>
        <w:jc w:val="both"/>
        <w:rPr>
          <w:color w:val="000000" w:themeColor="text1"/>
        </w:rPr>
        <w:sectPr w:rsidR="00E10EE1" w:rsidRPr="005512D2">
          <w:footerReference w:type="default" r:id="rId41"/>
          <w:pgSz w:w="11906" w:h="16838"/>
          <w:pgMar w:top="1440" w:right="1440" w:bottom="1440" w:left="1440" w:header="708" w:footer="708" w:gutter="0"/>
          <w:cols w:space="708"/>
          <w:docGrid w:linePitch="360"/>
        </w:sectPr>
      </w:pPr>
    </w:p>
    <w:p w14:paraId="47452515" w14:textId="307E96D7" w:rsidR="009C0863" w:rsidRPr="005512D2" w:rsidRDefault="009C0863" w:rsidP="00C258BC">
      <w:pPr>
        <w:jc w:val="both"/>
        <w:rPr>
          <w:color w:val="000000" w:themeColor="text1"/>
        </w:rPr>
      </w:pPr>
    </w:p>
    <w:p w14:paraId="42AC69A6" w14:textId="6AB470D9" w:rsidR="009C0863" w:rsidRDefault="009C0863" w:rsidP="00DF57F3">
      <w:pPr>
        <w:pStyle w:val="Heading1"/>
      </w:pPr>
      <w:bookmarkStart w:id="112" w:name="_Toc519156094"/>
      <w:bookmarkStart w:id="113" w:name="_Ref520206175"/>
      <w:bookmarkStart w:id="114" w:name="_Toc529390350"/>
      <w:bookmarkStart w:id="115" w:name="_Toc516213968"/>
      <w:bookmarkStart w:id="116" w:name="_Toc517693750"/>
      <w:bookmarkStart w:id="117" w:name="_Ref518893031"/>
      <w:r w:rsidRPr="00785A38">
        <w:t>IMPACTS OF WILD MEAT OVER-EXPLOITATION</w:t>
      </w:r>
      <w:bookmarkEnd w:id="112"/>
      <w:bookmarkEnd w:id="113"/>
      <w:bookmarkEnd w:id="114"/>
      <w:r w:rsidRPr="00785A38">
        <w:t xml:space="preserve"> </w:t>
      </w:r>
      <w:bookmarkEnd w:id="115"/>
      <w:bookmarkEnd w:id="116"/>
      <w:bookmarkEnd w:id="117"/>
    </w:p>
    <w:p w14:paraId="275A2D18" w14:textId="429537FA" w:rsidR="00D904E1" w:rsidRPr="00710CCC" w:rsidRDefault="00F66442" w:rsidP="00C258BC">
      <w:pPr>
        <w:jc w:val="both"/>
      </w:pPr>
      <w:r>
        <w:rPr>
          <w:lang w:val="en-US"/>
        </w:rPr>
        <w:t xml:space="preserve">While the primary impacts of over-exploitation are reductions in prey populations, </w:t>
      </w:r>
      <w:r w:rsidR="002563BC">
        <w:rPr>
          <w:lang w:val="en-US"/>
        </w:rPr>
        <w:t xml:space="preserve">the loss of certain species </w:t>
      </w:r>
      <w:r w:rsidR="006118F5">
        <w:rPr>
          <w:lang w:val="en-US"/>
        </w:rPr>
        <w:t>has</w:t>
      </w:r>
      <w:r>
        <w:rPr>
          <w:lang w:val="en-US"/>
        </w:rPr>
        <w:t xml:space="preserve"> knock-on impacts on food webs and wider ecosystem </w:t>
      </w:r>
      <w:r w:rsidR="002563BC">
        <w:rPr>
          <w:lang w:val="en-US"/>
        </w:rPr>
        <w:t>processes and functions. In addition, reductions in the amount of prey available to local communities can have significant impacts on human livelihoods and health. In this section we outline the impact of over-exploitation on wild</w:t>
      </w:r>
      <w:r w:rsidR="006118F5">
        <w:rPr>
          <w:lang w:val="en-US"/>
        </w:rPr>
        <w:t>life</w:t>
      </w:r>
      <w:r w:rsidR="002563BC">
        <w:rPr>
          <w:lang w:val="en-US"/>
        </w:rPr>
        <w:t xml:space="preserve"> populations and assemblages, wider ecosystem function, rural food security and economic stability. We also discuss the evidence for post-depletion sustainability, where ecosystems that have lost a proportion of their species may still provide socio-economically sustainable levels of hunting offtakes. </w:t>
      </w:r>
    </w:p>
    <w:p w14:paraId="6B5DE908" w14:textId="77777777" w:rsidR="009C0863" w:rsidRPr="004904D8" w:rsidRDefault="009C0863" w:rsidP="00DF57F3">
      <w:pPr>
        <w:pStyle w:val="Heading2"/>
      </w:pPr>
      <w:bookmarkStart w:id="118" w:name="_Toc516213969"/>
      <w:bookmarkStart w:id="119" w:name="_Toc517693751"/>
      <w:bookmarkStart w:id="120" w:name="_Toc519156095"/>
      <w:bookmarkStart w:id="121" w:name="_Toc529390351"/>
      <w:r w:rsidRPr="0070404D">
        <w:t>Impacts on wildlife populations</w:t>
      </w:r>
      <w:bookmarkEnd w:id="118"/>
      <w:bookmarkEnd w:id="119"/>
      <w:bookmarkEnd w:id="120"/>
      <w:bookmarkEnd w:id="121"/>
      <w:r w:rsidRPr="0070404D">
        <w:t xml:space="preserve"> </w:t>
      </w:r>
    </w:p>
    <w:p w14:paraId="0CC1CF0C" w14:textId="77777777" w:rsidR="009C0863" w:rsidRPr="00785A38" w:rsidRDefault="009C0863" w:rsidP="001C1D6E">
      <w:pPr>
        <w:pStyle w:val="Heading3"/>
      </w:pPr>
      <w:r w:rsidRPr="00785A38">
        <w:t>Hunting influences the ratio of large and small species in the community</w:t>
      </w:r>
    </w:p>
    <w:p w14:paraId="4DB6F060" w14:textId="331F2D9B" w:rsidR="000C1494" w:rsidRDefault="009C0863" w:rsidP="00C258BC">
      <w:pPr>
        <w:jc w:val="both"/>
        <w:rPr>
          <w:color w:val="000000" w:themeColor="text1"/>
        </w:rPr>
      </w:pPr>
      <w:r w:rsidRPr="0070404D">
        <w:rPr>
          <w:color w:val="000000" w:themeColor="text1"/>
        </w:rPr>
        <w:t>Significant r</w:t>
      </w:r>
      <w:r w:rsidRPr="004904D8">
        <w:rPr>
          <w:color w:val="000000" w:themeColor="text1"/>
        </w:rPr>
        <w:t xml:space="preserve">eductions in </w:t>
      </w:r>
      <w:r w:rsidRPr="005512D2">
        <w:rPr>
          <w:color w:val="000000" w:themeColor="text1"/>
        </w:rPr>
        <w:t>populations of tropical mammals, due to over-hunting, have been increasingly documented</w:t>
      </w:r>
      <w:r w:rsidR="004E0348" w:rsidRPr="005512D2">
        <w:rPr>
          <w:color w:val="000000" w:themeColor="text1"/>
        </w:rPr>
        <w:t xml:space="preserve"> in Africa, Asia and Latin America</w:t>
      </w:r>
      <w:r w:rsidRPr="003E3238">
        <w:rPr>
          <w:color w:val="000000" w:themeColor="text1"/>
        </w:rPr>
        <w:t xml:space="preserve"> over the past 25 years </w:t>
      </w:r>
      <w:r w:rsidR="005006CF">
        <w:rPr>
          <w:color w:val="000000" w:themeColor="text1"/>
        </w:rPr>
        <w:fldChar w:fldCharType="begin" w:fldLock="1"/>
      </w:r>
      <w:r w:rsidR="00566AAF">
        <w:rPr>
          <w:color w:val="000000" w:themeColor="text1"/>
        </w:rPr>
        <w:instrText>ADDIN CSL_CITATION {"citationItems":[{"id":"ITEM-1","itemData":{"DOI":"10.1111/j.1744-7429.2007.00272.x","ISBN":"1744-7429","ISSN":"00063606","author":[{"dropping-particle":"","family":"Peres","given":"Carlos A","non-dropping-particle":"","parse-names":false,"suffix":""},{"dropping-particle":"","family":"Palacios","given":"E","non-dropping-particle":"","parse-names":false,"suffix":""}],"container-title":"Biotropica","id":"ITEM-1","issue":"3","issued":{"date-parts":[["2007"]]},"page":"304-315","title":"Basin‐wide effects of game harvest on vertebrate population densities in Amazonian forests: implications for animal‐mediated seed dispersal","type":"article-journal","volume":"39"},"uris":["http://www.mendeley.com/documents/?uuid=1fec3cc3-0ce3-4421-ac91-93fdbe6bf50f"]},{"id":"ITEM-2","itemData":{"author":[{"dropping-particle":"","family":"Peres","given":"C A","non-dropping-particle":"","parse-names":false,"suffix":""}],"container-title":"Hunting for sustainability in tropical forests","editor":[{"dropping-particle":"","family":"Robinson","given":"J G","non-dropping-particle":"","parse-names":false,"suffix":""},{"dropping-particle":"","family":"Bennett","given":"E L","non-dropping-particle":"","parse-names":false,"suffix":""}],"id":"ITEM-2","issued":{"date-parts":[["2000"]]},"page":"31-56","publisher":"Columbia University Press, New York, USA","title":"Evaluating the impact and sustainability of subsistence hunting at multiple Amazonian forest sites","type":"chapter"},"uris":["http://www.mendeley.com/documents/?uuid=a84d43d0-d341-4eb5-8fc7-e76331fcc322"]},{"id":"ITEM-3","itemData":{"DOI":"10.1371/journal.pone.0162697","ISBN":"0022-541X","ISSN":"19326203","PMID":"27760201","abstract":"Grauer’s gorilla (Gorilla beringei graueri), the World’s largest primate, is confined to eastern Democratic Republic of Congo (DRC) and is threatened by civil war and insecurity. During the war, armed groups in mining camps relied on hunting bushmeat, including gorillas. Insecurity and the presence of several militia groups across Grauer’s gorilla’s range made it very difficult to assess their population size. Here we use a novel method that enables rigorous assessment of local community and ranger-collected data on gorilla occupancy to evaluate the impacts of civil war on Grauer’s gorilla, which prior to the war was estimated to number 16,900 individuals. We show that gorilla numbers in their stronghold of Kahuzi-Biega National Park have declined by 87%. Encounter rate data of gorilla nests at 10 sites across its range indicate declines of 82–100% at six of these sites. Spatial occupancy analysis identifies three key areas as the most critical sites for the remaining populations of this ape and that the range of this taxon is around 19,700 km2.We estimate that only 3,800 Grauer’s gorillas remain in the wild, a 77% decline in one generation, justifying its elevation to Critically Endangered status on the IUCN Red List of Threatened Species.","author":[{"dropping-particle":"","family":"Plumptre","given":"Andrew J.","non-dropping-particle":"","parse-names":false,"suffix":""},{"dropping-particle":"","family":"Nixon","given":"Stuart","non-dropping-particle":"","parse-names":false,"suffix":""},{"dropping-particle":"","family":"Kujirakwinja","given":"Deo K.","non-dropping-particle":"","parse-names":false,"suffix":""},{"dropping-particle":"","family":"Vieilledent","given":"Ghislain","non-dropping-particle":"","parse-names":false,"suffix":""},{"dropping-particle":"","family":"Critchlow","given":"Rob","non-dropping-particle":"","parse-names":false,"suffix":""},{"dropping-particle":"","family":"Williamson","given":"Elizabeth A.","non-dropping-particle":"","parse-names":false,"suffix":""},{"dropping-particle":"","family":"Nishuli","given":"Radar","non-dropping-particle":"","parse-names":false,"suffix":""},{"dropping-particle":"","family":"Kirkby","given":"Andrew E.","non-dropping-particle":"","parse-names":false,"suffix":""},{"dropping-particle":"","family":"Hall","given":"Jefferson S.","non-dropping-particle":"","parse-names":false,"suffix":""}],"container-title":"PLoS ONE","id":"ITEM-3","issue":"10","issued":{"date-parts":[["2016"]]},"page":"1-13","title":"Catastrophic decline of world's largest primate: 80% loss of grauer's gorilla (Gorilla beringei graueri) population justifies critically endangered status","type":"article-journal","volume":"11"},"uris":["http://www.mendeley.com/documents/?uuid=148b2470-ea4e-4357-a50f-fe5717f78116"]},{"id":"ITEM-4","itemData":{"DOI":"10.1371/journal.pone.0059469","ISSN":"1932-6203","PMID":"23469289","abstract":"African forest elephants- taxonomically and functionally unique-are being poached at accelerating rates, but we lack range-wide information on the repercussions. Analysis of the largest survey dataset ever assembled for forest elephants (80 foot-surveys; covering 13,000 km; 91,600 person-days of fieldwork) revealed that population size declined by ca. 62% between 2002-2011, and the taxon lost 30% of its geographical range. The population is now less than 10% of its potential size, occupying less than 25% of its potential range. High human population density, hunting intensity, absence of law enforcement, poor governance, and proximity to expanding infrastructure are the strongest predictors of decline. To save the remaining African forest elephants, illegal poaching for ivory and encroachment into core elephant habitat must be stopped. In addition, the international demand for ivory, which fuels illegal trade, must be dramatically reduced.","author":[{"dropping-particle":"","family":"Maisels","given":"Fiona","non-dropping-particle":"","parse-names":false,"suffix":""},{"dropping-particle":"","family":"Strindberg","given":"Samantha","non-dropping-particle":"","parse-names":false,"suffix":""},{"dropping-particle":"","family":"Blake","given":"Stephen","non-dropping-particle":"","parse-names":false,"suffix":""},{"dropping-particle":"","family":"Wittemyer","given":"George","non-dropping-particle":"","parse-names":false,"suffix":""},{"dropping-particle":"","family":"Hart","given":"John","non-dropping-particle":"","parse-names":false,"suffix":""},{"dropping-particle":"","family":"Williamson","given":"Elizabeth a","non-dropping-particle":"","parse-names":false,"suffix":""},{"dropping-particle":"","family":"Aba'a","given":"Rostand","non-dropping-particle":"","parse-names":false,"suffix":""},{"dropping-particle":"","family":"Abitsi","given":"Gaspard","non-dropping-particle":"","parse-names":false,"suffix":""},{"dropping-particle":"","family":"Ambahe","given":"Ruffin D","non-dropping-particle":"","parse-names":false,"suffix":""},{"dropping-particle":"","family":"Amsini","given":"Fidèl","non-dropping-particle":"","parse-names":false,"suffix":""},{"dropping-particle":"","family":"Bakabana","given":"Parfait C","non-dropping-particle":"","parse-names":false,"suffix":""},{"dropping-particle":"","family":"Hicks","given":"Thurston Cleveland","non-dropping-particle":"","parse-names":false,"suffix":""},{"dropping-particle":"","family":"Bayogo","given":"Rosine E","non-dropping-particle":"","parse-names":false,"suffix":""},{"dropping-particle":"","family":"Bechem","given":"Martha","non-dropping-particle":"","parse-names":false,"suffix":""},{"dropping-particle":"","family":"Beyers","given":"Rene L","non-dropping-particle":"","parse-names":false,"suffix":""},{"dropping-particle":"","family":"Bezangoye","given":"Anicet N","non-dropping-particle":"","parse-names":false,"suffix":""},{"dropping-particle":"","family":"Boundja","given":"Patrick","non-dropping-particle":"","parse-names":false,"suffix":""},{"dropping-particle":"","family":"Bout","given":"Nicolas","non-dropping-particle":"","parse-names":false,"suffix":""},{"dropping-particle":"","family":"Akou","given":"Marc Ella","non-dropping-particle":"","parse-names":false,"suffix":""},{"dropping-particle":"","family":"Bene","given":"Lambert Bene","non-dropping-particle":"","parse-names":false,"suffix":""},{"dropping-particle":"","family":"Fosso","given":"Bernard","non-dropping-particle":"","parse-names":false,"suffix":""},{"dropping-particle":"","family":"Greengrass","given":"Elizabeth","non-dropping-particle":"","parse-names":false,"suffix":""},{"dropping-particle":"","family":"Grossmann","given":"Falk","non-dropping-particle":"","parse-names":false,"suffix":""},{"dropping-particle":"","family":"Ikamba-Nkulu","given":"Clement","non-dropping-particle":"","parse-names":false,"suffix":""},{"dropping-particle":"","family":"Ilambu","given":"Omari","non-dropping-particle":"","parse-names":false,"suffix":""},{"dropping-particle":"","family":"Inogwabini","given":"Bila-Isia","non-dropping-particle":"","parse-names":false,"suffix":""},{"dropping-particle":"","family":"Iyenguet","given":"Fortune","non-dropping-particle":"","parse-names":false,"suffix":""},{"dropping-particle":"","family":"Kiminou","given":"Franck","non-dropping-particle":"","parse-names":false,"suffix":""},{"dropping-particle":"","family":"Kokangoye","given":"Max","non-dropping-particle":"","parse-names":false,"suffix":""},{"dropping-particle":"","family":"Kujirakwinja","given":"Deo","non-dropping-particle":"","parse-names":false,"suffix":""},{"dropping-particle":"","family":"Latour","given":"Stephanie","non-dropping-particle":"","parse-names":false,"suffix":""},{"dropping-particle":"","family":"Liengola","given":"Innocent","non-dropping-particle":"","parse-names":false,"suffix":""},{"dropping-particle":"","family":"Mackaya","given":"Quevain","non-dropping-particle":"","parse-names":false,"suffix":""},{"dropping-particle":"","family":"Madidi","given":"Jacob","non-dropping-particle":"","parse-names":false,"suffix":""},{"dropping-particle":"","family":"Madzoke","given":"Bola","non-dropping-particle":"","parse-names":false,"suffix":""},{"dropping-particle":"","family":"Makoumbou","given":"Calixte","non-dropping-particle":"","parse-names":false,"suffix":""},{"dropping-particle":"","family":"Malanda","given":"Guy-Aimé","non-dropping-particle":"","parse-names":false,"suffix":""},{"dropping-particle":"","family":"Malonga","given":"Richard","non-dropping-particle":"","parse-names":false,"suffix":""},{"dropping-particle":"","family":"Mbani","given":"Olivier","non-dropping-particle":"","parse-names":false,"suffix":""},{"dropping-particle":"","family":"Mbendzo","given":"Valentin a","non-dropping-particle":"","parse-names":false,"suffix":""},{"dropping-particle":"","family":"Ambassa","given":"Edgar","non-dropping-particle":"","parse-names":false,"suffix":""},{"dropping-particle":"","family":"Ekinde","given":"Albert","non-dropping-particle":"","parse-names":false,"suffix":""},{"dropping-particle":"","family":"Mihindou","given":"Yves","non-dropping-particle":"","parse-names":false,"suffix":""},{"dropping-particle":"","family":"Morgan","given":"Bethan J","non-dropping-particle":"","parse-names":false,"suffix":""},{"dropping-particle":"","family":"Motsaba","given":"Prosper","non-dropping-particle":"","parse-names":false,"suffix":""},{"dropping-particle":"","family":"Moukala","given":"Gabin","non-dropping-particle":"","parse-names":false,"suffix":""},{"dropping-particle":"","family":"Mounguengui","given":"Anselme","non-dropping-particle":"","parse-names":false,"suffix":""},{"dropping-particle":"","family":"Mowawa","given":"Brice S","non-dropping-particle":"","parse-names":false,"suffix":""},{"dropping-particle":"","family":"Ndzai","given":"Christian","non-dropping-particle":"","parse-names":false,"suffix":""},{"dropping-particle":"","family":"Nixon","given":"Stuart","non-dropping-particle":"","parse-names":false,"suffix":""},{"dropping-particle":"","family":"Nkumu","given":"Pele","non-dropping-particle":"","parse-names":false,"suffix":""},{"dropping-particle":"","family":"Nzolani","given":"Fabian","non-dropping-particle":"","parse-names":false,"suffix":""},{"dropping-particle":"","family":"Pintea","given":"Lilian","non-dropping-particle":"","parse-names":false,"suffix":""},{"dropping-particle":"","family":"Plumptre","given":"Andrew","non-dropping-particle":"","parse-names":false,"suffix":""},{"dropping-particle":"","family":"Rainey","given":"Hugo","non-dropping-particle":"","parse-names":false,"suffix":""},{"dropping-particle":"","family":"Semboli","given":"Bruno Bokoto","non-dropping-particle":"de","parse-names":false,"suffix":""},{"dropping-particle":"","family":"Serckx","given":"Adeline","non-dropping-particle":"","parse-names":false,"suffix":""},{"dropping-particle":"","family":"Stokes","given":"Emma","non-dropping-particle":"","parse-names":false,"suffix":""},{"dropping-particle":"","family":"Turkalo","given":"Andrea","non-dropping-particle":"","parse-names":false,"suffix":""},{"dropping-particle":"","family":"Vanleeuwe","given":"Hilde","non-dropping-particle":"","parse-names":false,"suffix":""},{"dropping-particle":"","family":"Vosper","given":"Ashley","non-dropping-particle":"","parse-names":false,"suffix":""},{"dropping-particle":"","family":"Warren","given":"Ymke","non-dropping-particle":"","parse-names":false,"suffix":""}],"container-title":"PloS one","id":"ITEM-4","issue":"3","issued":{"date-parts":[["2013","1"]]},"page":"e59469","title":"Devastating decline of forest elephants in Central Africa","type":"article-journal","volume":"8"},"uris":["http://www.mendeley.com/documents/?uuid=e792b8cd-6a73-453e-a9b6-e33144c1c9ef"]},{"id":"ITEM-5","itemData":{"DOI":"10.1017/S1367943004001532","author":[{"dropping-particle":"","family":"Robinson","given":"John G","non-dropping-particle":"","parse-names":false,"suffix":""},{"dropping-particle":"","family":"Bennett","given":"Elizabeth L","non-dropping-particle":"","parse-names":false,"suffix":""}],"container-title":"Animal Conservation","id":"ITEM-5","issued":{"date-parts":[["2004"]]},"page":"397-408","title":"Having your wildlife and eating it too: an analysis of hunting sustainability across tropical ecosystems","type":"article-journal","volume":"7"},"uris":["http://www.mendeley.com/documents/?uuid=081b2359-707f-4126-8bc5-61422cfc0683"]},{"id":"ITEM-6","itemData":{"DOI":"10.1038/nature01472.1.","author":[{"dropping-particle":"","family":"Walsh","given":"Peter D","non-dropping-particle":"","parse-names":false,"suffix":""},{"dropping-particle":"","family":"Abernethy","given":"Kate A","non-dropping-particle":"","parse-names":</w:instrText>
      </w:r>
      <w:r w:rsidR="00566AAF" w:rsidRPr="00DF57F3">
        <w:rPr>
          <w:color w:val="000000" w:themeColor="text1"/>
          <w:lang w:val="fr-FR"/>
        </w:rPr>
        <w:instrText>false,"suffix":""},{"dropping-particle":"","family":"Bermejo","given":"Magdalena","non-dropping-particle":"","parse-names":false,"suffix":""},{"dropping-particle":"","family":"Beyers","given":"Rene","non-dropping-particle":"","parse-names":false,"suffix":""},{"dropping-particle":"De","family":"Wachter","given":"Pauwel","non-dropping-particle":"","parse-names":false,"suffix":""},{"dropping-particle":"","family":"Akou","given":"Marc Ella","non-dropping-particle":"","parse-names":false,"suffix":""},{"dropping-particle":"","family":"Huijbregts","given":"Bas","non-dropping-particle":"","parse-names":false,"suffix":""}],"container-title":"Nature","id":"ITEM-6","issued":{"date-parts":[["2003"]]},"page":"611-614","title":"Catastrophic ape decline in western equatorial Africa","type":"article-journal","volume":"422"},"uris":["http://www.mendeley.com/documents/?uuid=1f0849aa-be86-42a2-a267-edbe3c9126f4"]}],"mendeley":{"formattedCitation":"(Peres 2000a; Walsh et al. 2003; Robinson &amp; Bennett 2004; Peres &amp; Palacios 2007; Maisels et al. 2013; Plumptre et al. 2016)","plainTextFormattedCitation":"(Peres 2000a; Walsh et al. 2003; Robinson &amp; Bennett 2004; Peres &amp; Palacios 2007; Maisels et al. 2013; Plumptre et al. 2016)","previouslyFormattedCitation":"(Peres 2000a; Walsh et al. 2003; Robinson &amp; Bennett 2004; Peres &amp; Palacios 2007; Maisels et al. 2013; Plumptre et al. 2016)"},"properties":{"noteIndex":0},"schema":"https://github.com/citation-style-language/schema/raw/master/csl-citation.json"}</w:instrText>
      </w:r>
      <w:r w:rsidR="005006CF">
        <w:rPr>
          <w:color w:val="000000" w:themeColor="text1"/>
        </w:rPr>
        <w:fldChar w:fldCharType="separate"/>
      </w:r>
      <w:r w:rsidR="00AA5190" w:rsidRPr="00DF57F3">
        <w:rPr>
          <w:noProof/>
          <w:color w:val="000000" w:themeColor="text1"/>
          <w:lang w:val="fr-FR"/>
        </w:rPr>
        <w:t>(Peres 2000a; Walsh et al. 2003; Robinson &amp; Bennett 2004; Peres &amp; Palacios 2007; Maisels et al. 2013; Plumptre et al. 2016)</w:t>
      </w:r>
      <w:r w:rsidR="005006CF">
        <w:rPr>
          <w:color w:val="000000" w:themeColor="text1"/>
        </w:rPr>
        <w:fldChar w:fldCharType="end"/>
      </w:r>
      <w:r w:rsidR="005006CF" w:rsidRPr="00DF57F3">
        <w:rPr>
          <w:color w:val="000000" w:themeColor="text1"/>
          <w:lang w:val="fr-FR"/>
        </w:rPr>
        <w:t xml:space="preserve">. </w:t>
      </w:r>
      <w:r w:rsidRPr="004904D8">
        <w:rPr>
          <w:color w:val="000000" w:themeColor="text1"/>
        </w:rPr>
        <w:t>A recent meta-analysis of 176</w:t>
      </w:r>
      <w:r w:rsidRPr="005512D2">
        <w:rPr>
          <w:color w:val="000000" w:themeColor="text1"/>
        </w:rPr>
        <w:t xml:space="preserve"> studies showed that tropical mammal and bird relative abundance is estimated to be 83% and 58% lower, respectively, in hunted areas compared with areas with no hunting </w:t>
      </w:r>
      <w:r w:rsidR="00D00854">
        <w:rPr>
          <w:color w:val="000000" w:themeColor="text1"/>
        </w:rPr>
        <w:fldChar w:fldCharType="begin" w:fldLock="1"/>
      </w:r>
      <w:r w:rsidR="00D00854">
        <w:rPr>
          <w:color w:val="000000" w:themeColor="text1"/>
        </w:rPr>
        <w:instrText>ADDIN CSL_CITATION {"citationItems":[{"id":"ITEM-1","itemData":{"author":[{"dropping-particle":"","family":"Benítez-López","given":"A.","non-dropping-particle":"","parse-names":false,"suffix":""},{"dropping-particle":"","family":"Alkemade","given":"J. R. M.","non-dropping-particle":"","parse-names":false,"suffix":""},{"dropping-particle":"","family":"Schipper","given":"A. M.","non-dropping-particle":"","parse-names":false,"suffix":""},{"dropping-particle":"","family":"Ingram","given":"D. J.","non-dropping-particle":"","parse-names":false,"suffix":""},{"dropping-particle":"","family":"Verweij","given":"P. A.","non-dropping-particle":"","parse-names":false,"suffix":""},{"dropping-particle":"","family":"Eikelboom","given":"J.","non-dropping-particle":"","parse-names":false,"suffix":""},{"dropping-particle":"","family":"Huijbregts","given":"M.","non-dropping-particle":"","parse-names":false,"suffix":""}],"container-title":"Science","id":"ITEM-1","issued":{"date-parts":[["2017"]]},"page":"180-183","title":"The impact of hunting on tropical mammal and bird populations","type":"article-journal","volume":"356"},"uris":["http://www.mendeley.com/documents/?uuid=33a33e13-a73a-4638-b742-479f8b6af55c"]}],"mendeley":{"formattedCitation":"(Benítez-López et al. 2017)","plainTextFormattedCitation":"(Benítez-López et al. 2017)","previouslyFormattedCitation":"(Benítez-López et al. 2017)"},"properties":{"noteIndex":0},"schema":"https://github.com/citation-style-language/schema/raw/master/csl-citation.json"}</w:instrText>
      </w:r>
      <w:r w:rsidR="00D00854">
        <w:rPr>
          <w:color w:val="000000" w:themeColor="text1"/>
        </w:rPr>
        <w:fldChar w:fldCharType="separate"/>
      </w:r>
      <w:r w:rsidR="00D00854" w:rsidRPr="00D00854">
        <w:rPr>
          <w:noProof/>
          <w:color w:val="000000" w:themeColor="text1"/>
        </w:rPr>
        <w:t>(Benítez-López et al. 2017)</w:t>
      </w:r>
      <w:r w:rsidR="00D00854">
        <w:rPr>
          <w:color w:val="000000" w:themeColor="text1"/>
        </w:rPr>
        <w:fldChar w:fldCharType="end"/>
      </w:r>
      <w:r w:rsidRPr="005512D2">
        <w:rPr>
          <w:color w:val="000000" w:themeColor="text1"/>
        </w:rPr>
        <w:t xml:space="preserve">. </w:t>
      </w:r>
      <w:r w:rsidR="0049101E" w:rsidRPr="004904D8">
        <w:rPr>
          <w:color w:val="000000" w:themeColor="text1"/>
        </w:rPr>
        <w:t xml:space="preserve">These patterns of resource use by humans throughout the world can eventually lead to the extinction of species, and examples of this </w:t>
      </w:r>
      <w:r w:rsidR="0049101E" w:rsidRPr="005512D2">
        <w:rPr>
          <w:color w:val="000000" w:themeColor="text1"/>
        </w:rPr>
        <w:t>include</w:t>
      </w:r>
      <w:r w:rsidR="0049101E" w:rsidRPr="005512D2" w:rsidDel="009069E5">
        <w:rPr>
          <w:color w:val="000000" w:themeColor="text1"/>
        </w:rPr>
        <w:t xml:space="preserve"> the Javan rhino </w:t>
      </w:r>
      <w:r w:rsidR="0049101E" w:rsidRPr="003E3238">
        <w:rPr>
          <w:color w:val="000000" w:themeColor="text1"/>
        </w:rPr>
        <w:t xml:space="preserve">in Vietnam </w:t>
      </w:r>
      <w:r w:rsidR="00D00854">
        <w:rPr>
          <w:color w:val="000000" w:themeColor="text1"/>
        </w:rPr>
        <w:fldChar w:fldCharType="begin" w:fldLock="1"/>
      </w:r>
      <w:r w:rsidR="00D00854">
        <w:rPr>
          <w:color w:val="000000" w:themeColor="text1"/>
        </w:rPr>
        <w:instrText>ADDIN CSL_CITATION {"citationItems":[{"id":"ITEM-1","itemData":{"DOI":"10.1016/j.biocon.2014.03.014","ISBN":"0006-3207","ISSN":"00063207","abstract":"The extinction of the Javan rhinoceros (Rhinoceros sondaicus) from Vietnam in 2010 was a conservation tragedy. Hunting has been the primary driver of the catastrophic decline of Javan rhinoceros throughout its range. The last individual from Vietnam was poached in 2010. To help avert repeating such outcomes with similarly imperiled species, this case study presents a state-pressure-response framework, considering the rhinoceros's historical and current status, the pressures it faced, and the adequacy of the conservation response. The failure at the site level to protect the rhinoceros population ultimately resulted in its demise. Low political will to take decisions required to recover the species and inadequate focus from the conservation and donor community further contributed to the subspecies's extinction, in part due to a lack of knowledge on population status. Lessons from this example should inform the conservation of other very threatened large vertebrates, particularly in Southeast Asia. © 2014 Elsevier Ltd.","author":[{"dropping-particle":"","family":"Brook","given":"Sarah Maria","non-dropping-particle":"","parse-names":false,"suffix":""},{"dropping-particle":"","family":"Dudley","given":"Nigel","non-dropping-particle":"","parse-names":false,"suffix":""},{"dropping-particle":"","family":"Mahood","given":"Simon Peter","non-dropping-particle":"","parse-names":false,"suffix":""},{"dropping-particle":"","family":"Polet","given":"Gert","non-dropping-particle":"","parse-names":false,"suffix":""},{"dropping-particle":"","family":"Williams","given":"A. Christy","non-dropping-particle":"","parse-names":false,"suffix":""},{"dropping-particle":"","family":"Duckworth","given":"J. W.","non-dropping-particle":"","parse-names":false,"suffix":""},{"dropping-particle":"","family":"Ngoc","given":"Thinh","non-dropping-particle":"Van","parse-names":false,"suffix":""},{"dropping-particle":"","family":"Long","given":"Barney","non-dropping-particle":"","parse-names":false,"suffix":""}],"container-title":"Biological Conservation","id":"ITEM-1","issued":{"date-parts":[["2014"]]},"page":"21-29","publisher":"Elsevier Ltd","title":"Lessons learned from the loss of a flagship: the extinction of the Javan rhinoceros Rhinoceros sondaicus annamiticus from Vietnam","type":"article-journal","volume":"174"},"uris":["http://www.mendeley.com/documents/?uuid=bcf35ac5-4d39-4243-b2de-75d943398ee1"]}],"mendeley":{"formattedCitation":"(Brook et al. 2014)","plainTextFormattedCitation":"(Brook et al. 2014)","previouslyFormattedCitation":"(Brook et al. 2014)"},"properties":{"noteIndex":0},"schema":"https://github.com/citation-style-language/schema/raw/master/csl-citation.json"}</w:instrText>
      </w:r>
      <w:r w:rsidR="00D00854">
        <w:rPr>
          <w:color w:val="000000" w:themeColor="text1"/>
        </w:rPr>
        <w:fldChar w:fldCharType="separate"/>
      </w:r>
      <w:r w:rsidR="00D00854" w:rsidRPr="00D00854">
        <w:rPr>
          <w:noProof/>
          <w:color w:val="000000" w:themeColor="text1"/>
        </w:rPr>
        <w:t>(Brook et al. 2014)</w:t>
      </w:r>
      <w:r w:rsidR="00D00854">
        <w:rPr>
          <w:color w:val="000000" w:themeColor="text1"/>
        </w:rPr>
        <w:fldChar w:fldCharType="end"/>
      </w:r>
      <w:r w:rsidR="0049101E" w:rsidRPr="003E3238">
        <w:rPr>
          <w:color w:val="000000" w:themeColor="text1"/>
        </w:rPr>
        <w:t xml:space="preserve">, </w:t>
      </w:r>
      <w:r w:rsidR="006134CF">
        <w:rPr>
          <w:color w:val="000000" w:themeColor="text1"/>
        </w:rPr>
        <w:t xml:space="preserve">and </w:t>
      </w:r>
      <w:r w:rsidR="0049101E" w:rsidRPr="003E3238">
        <w:rPr>
          <w:color w:val="000000" w:themeColor="text1"/>
        </w:rPr>
        <w:t xml:space="preserve">at least 12 </w:t>
      </w:r>
      <w:r w:rsidR="00E84BB5">
        <w:rPr>
          <w:color w:val="000000" w:themeColor="text1"/>
        </w:rPr>
        <w:t xml:space="preserve">other </w:t>
      </w:r>
      <w:r w:rsidR="0049101E" w:rsidRPr="003E3238">
        <w:rPr>
          <w:color w:val="000000" w:themeColor="text1"/>
        </w:rPr>
        <w:t xml:space="preserve">large vertebrate species </w:t>
      </w:r>
      <w:r w:rsidR="00641A4E">
        <w:rPr>
          <w:color w:val="000000" w:themeColor="text1"/>
        </w:rPr>
        <w:t xml:space="preserve">in Vietnam since 1975 </w:t>
      </w:r>
      <w:r w:rsidR="00D00854">
        <w:rPr>
          <w:color w:val="000000" w:themeColor="text1"/>
        </w:rPr>
        <w:fldChar w:fldCharType="begin" w:fldLock="1"/>
      </w:r>
      <w:r w:rsidR="00D00854">
        <w:rPr>
          <w:color w:val="000000" w:themeColor="text1"/>
        </w:rPr>
        <w:instrText>ADDIN CSL_CITATION {"citationItems":[{"id":"ITEM-1","itemData":{"author":[{"dropping-particle":"","family":"Bennett","given":"E L","non-dropping-particle":"","parse-names":false,"suffix":""},{"dropping-particle":"","family":"Rao","given":"M","non-dropping-particle":"","parse-names":false,"suffix":""}],"chapter-number":"3","container-title":"Links between Biodiversity Conservation, Livelihoods and Food Security: The sustainable use of wild species for meat","editor":[{"dropping-particle":"","family":"Mainka","given":"S A","non-dropping-particle":"","parse-names":false,"suffix":""},{"dropping-particle":"","family":"Trivedi","given":"M","non-dropping-particle":"","parse-names":false,"suffix":""}],"id":"ITEM-1","issued":{"date-parts":[["2002"]]},"page":"39-44","publisher-place":"Gland, Switzerland and Cambridge, UK","title":"Wild meat consumption in Asian tropical forest countries: is this a glimpse of the future for Africa?","type":"chapter"},"uris":["http://www.mendeley.com/documents/?uuid=aa54f523-a4b3-408c-a98b-e9faae286b4a"]}],"mendeley":{"formattedCitation":"(Bennett &amp; Rao 2002a)","plainTextFormattedCitation":"(Bennett &amp; Rao 2002a)","previouslyFormattedCitation":"(Bennett &amp; Rao 2002a)"},"properties":{"noteIndex":0},"schema":"https://github.com/citation-style-language/schema/raw/master/csl-citation.json"}</w:instrText>
      </w:r>
      <w:r w:rsidR="00D00854">
        <w:rPr>
          <w:color w:val="000000" w:themeColor="text1"/>
        </w:rPr>
        <w:fldChar w:fldCharType="separate"/>
      </w:r>
      <w:r w:rsidR="00D00854" w:rsidRPr="00D00854">
        <w:rPr>
          <w:noProof/>
          <w:color w:val="000000" w:themeColor="text1"/>
        </w:rPr>
        <w:t>(Bennett &amp; Rao 2002a)</w:t>
      </w:r>
      <w:r w:rsidR="00D00854">
        <w:rPr>
          <w:color w:val="000000" w:themeColor="text1"/>
        </w:rPr>
        <w:fldChar w:fldCharType="end"/>
      </w:r>
      <w:r w:rsidR="006134CF">
        <w:rPr>
          <w:color w:val="000000" w:themeColor="text1"/>
        </w:rPr>
        <w:t>. Twenty-five</w:t>
      </w:r>
      <w:r w:rsidR="0049101E" w:rsidRPr="003E3238">
        <w:rPr>
          <w:color w:val="000000" w:themeColor="text1"/>
        </w:rPr>
        <w:t xml:space="preserve"> of India’s large mammal species are likely heading in a similar direction </w:t>
      </w:r>
      <w:r w:rsidR="00D00854">
        <w:rPr>
          <w:color w:val="000000" w:themeColor="text1"/>
        </w:rPr>
        <w:fldChar w:fldCharType="begin" w:fldLock="1"/>
      </w:r>
      <w:r w:rsidR="00D00854">
        <w:rPr>
          <w:color w:val="000000" w:themeColor="text1"/>
        </w:rPr>
        <w:instrText>ADDIN CSL_CITATION {"citationItems":[{"id":"ITEM-1","itemData":{"DOI":"10.1098/rspb.2010.0171","ISBN":"0962-8452","ISSN":"14712970","PMID":"20219736","abstract":"Mammal extinctions are widespread globally, with South Asian species being most threatened. We examine local extinctions of 25 mammals in India. We use historical records to obtain a set of locations at which each species was known to have been present at some time in the last 200 years. We then use occupancy estimation models to draw inferences about current presence at these same locations based on field observations of local experts. We examine predictions about the influence of key factors such as protected areas, forest cover, elevation, human population density and cultural tolerance on species extinction. For all 25 species, estimated local extinction probabilities (referenced to a 100 year time frame) range between 0.14 and 0.96. Time elapsed since the historical occurrence record was an important determinant of extinction probability for 14 species. Protected areas are positively associated with lower extinction of 18 species, although many species occur outside them. We find evidence that higher proportion of forest cover is associated with lower extinction probabilities for seven species. However, for species that prefer open habitats (which have experienced intensive land-use change), forest cover alone appears insufficient to ensure persistence (the complement of extinction). We find that higher altitude is positively associated with lower extinction for eight species. Human population density is positively associated with extinction of 13 species. We find that 'culturally tolerated' species do exhibit higher persistence. Overall, large-bodied, rare and habitat specialist mammals tend to have higher extinction probabilities.","author":[{"dropping-particle":"","family":"Karanth","given":"Krithi K.","non-dropping-particle":"","parse-names":false,"suffix":""},{"dropping-particle":"","family":"Nichols","given":"James D.","non-dropping-particle":"","parse-names":false,"suffix":""},{"dropping-particle":"","family":"Ullas Karanth","given":"K.","non-dropping-particle":"","parse-names":false,"suffix":""},{"dropping-particle":"","family":"Hines","given":"James E.","non-dropping-particle":"","parse-names":false,"suffix":""},{"dropping-particle":"","family":"Christensen","given":"Norman L.","non-dropping-particle":"","parse-names":false,"suffix":""}],"container-title":"Proceedings of the Royal Society B: Biological Sciences","id":"ITEM-1","issue":"1690","issued":{"date-parts":[["2010"]]},"page":"1971-1979","title":"The shrinking ark: patterns of large mammal extinctions in India","type":"article-journal","volume":"277"},"uris":["http://www.mendeley.com/documents/?uuid=49e09b00-ccf0-4544-9c30-ac08091fd2e0"]}],"mendeley":{"formattedCitation":"(Karanth et al. 2010)","plainTextFormattedCitation":"(Karanth et al. 2010)","previouslyFormattedCitation":"(Karanth et al. 2010)"},"properties":{"noteIndex":0},"schema":"https://github.com/citation-style-language/schema/raw/master/csl-citation.json"}</w:instrText>
      </w:r>
      <w:r w:rsidR="00D00854">
        <w:rPr>
          <w:color w:val="000000" w:themeColor="text1"/>
        </w:rPr>
        <w:fldChar w:fldCharType="separate"/>
      </w:r>
      <w:r w:rsidR="00D00854" w:rsidRPr="00D00854">
        <w:rPr>
          <w:noProof/>
          <w:color w:val="000000" w:themeColor="text1"/>
        </w:rPr>
        <w:t>(Karanth et al. 2010)</w:t>
      </w:r>
      <w:r w:rsidR="00D00854">
        <w:rPr>
          <w:color w:val="000000" w:themeColor="text1"/>
        </w:rPr>
        <w:fldChar w:fldCharType="end"/>
      </w:r>
      <w:r w:rsidR="0049101E" w:rsidRPr="003E3238">
        <w:rPr>
          <w:color w:val="000000" w:themeColor="text1"/>
        </w:rPr>
        <w:t>.</w:t>
      </w:r>
    </w:p>
    <w:p w14:paraId="43969EB5" w14:textId="4AD0B2F8" w:rsidR="000C1494" w:rsidRPr="00BC1092" w:rsidRDefault="004E0348" w:rsidP="00C258BC">
      <w:pPr>
        <w:jc w:val="both"/>
        <w:rPr>
          <w:color w:val="000000" w:themeColor="text1"/>
        </w:rPr>
      </w:pPr>
      <w:r w:rsidRPr="0064175F">
        <w:rPr>
          <w:color w:val="000000" w:themeColor="text1"/>
        </w:rPr>
        <w:t>C</w:t>
      </w:r>
      <w:r w:rsidR="00D170C7" w:rsidRPr="006F5EBC">
        <w:rPr>
          <w:color w:val="000000" w:themeColor="text1"/>
        </w:rPr>
        <w:t xml:space="preserve">omparisons of mammal species densities between 101 unhunted and 25 matched hunted sites in Amazonia showed </w:t>
      </w:r>
      <w:r w:rsidR="00063F16">
        <w:rPr>
          <w:color w:val="000000" w:themeColor="text1"/>
        </w:rPr>
        <w:t xml:space="preserve">significant </w:t>
      </w:r>
      <w:r w:rsidR="00D170C7" w:rsidRPr="006F5EBC">
        <w:rPr>
          <w:color w:val="000000" w:themeColor="text1"/>
        </w:rPr>
        <w:t>population declines for 22 of the 30 considered species</w:t>
      </w:r>
      <w:r w:rsidR="00D170C7" w:rsidRPr="0070404D">
        <w:rPr>
          <w:color w:val="000000" w:themeColor="text1"/>
        </w:rPr>
        <w:t xml:space="preserve"> at high levels of hunting, with an 11-fold decrease in population biomass for the 11 largest-bodied species </w:t>
      </w:r>
      <w:r w:rsidR="00D00854">
        <w:rPr>
          <w:color w:val="000000" w:themeColor="text1"/>
        </w:rPr>
        <w:fldChar w:fldCharType="begin" w:fldLock="1"/>
      </w:r>
      <w:r w:rsidR="00D00854">
        <w:rPr>
          <w:color w:val="000000" w:themeColor="text1"/>
        </w:rPr>
        <w:instrText>ADDIN CSL_CITATION {"citationItems":[{"id":"ITEM-1","itemData":{"DOI":"10.1111/j.1744-7429.2007.00272.x","ISBN":"1744-7429","ISSN":"00063606","author":[{"dropping-particle":"","family":"Peres","given":"Carlos A","non-dropping-particle":"","parse-names":false,"suffix":""},{"dropping-particle":"","family":"Palacios","given":"E","non-dropping-particle":"","parse-names":false,"suffix":""}],"container-title":"Biotropica","id":"ITEM-1","issue":"3","issued":{"date-parts":[["2007"]]},"page":"304-315","title":"Basin‐wide effects of game harvest on vertebrate population densities in Amazonian forests: implications for animal‐mediated seed dispersal","type":"article-journal","volume":"39"},"uris":["http://www.mendeley.com/documents/?uuid=1fec3cc3-0ce3-4421-ac91-93fdbe6bf50f"]}],"mendeley":{"formattedCitation":"(Peres &amp; Palacios 2007)","plainTextFormattedCitation":"(Peres &amp; Palacios 2007)","previouslyFormattedCitation":"(Peres &amp; Palacios 2007)"},"properties":{"noteIndex":0},"schema":"https://github.com/citation-style-language/schema/raw/master/csl-citation.json"}</w:instrText>
      </w:r>
      <w:r w:rsidR="00D00854">
        <w:rPr>
          <w:color w:val="000000" w:themeColor="text1"/>
        </w:rPr>
        <w:fldChar w:fldCharType="separate"/>
      </w:r>
      <w:r w:rsidR="00D00854" w:rsidRPr="00D00854">
        <w:rPr>
          <w:noProof/>
          <w:color w:val="000000" w:themeColor="text1"/>
        </w:rPr>
        <w:t>(Peres &amp; Palacios 2007)</w:t>
      </w:r>
      <w:r w:rsidR="00D00854">
        <w:rPr>
          <w:color w:val="000000" w:themeColor="text1"/>
        </w:rPr>
        <w:fldChar w:fldCharType="end"/>
      </w:r>
      <w:r w:rsidR="00D00854">
        <w:rPr>
          <w:color w:val="000000" w:themeColor="text1"/>
        </w:rPr>
        <w:t xml:space="preserve">. </w:t>
      </w:r>
      <w:r w:rsidR="00D170C7" w:rsidRPr="001E3BCA">
        <w:rPr>
          <w:color w:val="000000" w:themeColor="text1"/>
        </w:rPr>
        <w:t xml:space="preserve">In Africa, gorilla populations in DRC have declined by 87% from 1994 to 2015 </w:t>
      </w:r>
      <w:r w:rsidR="00D00854">
        <w:rPr>
          <w:color w:val="000000" w:themeColor="text1"/>
        </w:rPr>
        <w:fldChar w:fldCharType="begin" w:fldLock="1"/>
      </w:r>
      <w:r w:rsidR="00B60A1D">
        <w:rPr>
          <w:color w:val="000000" w:themeColor="text1"/>
        </w:rPr>
        <w:instrText>ADDIN CSL_CITATION {"citationItems":[{"id":"ITEM-1","itemData":{"DOI":"10.1371/journal.pone.0162697","ISBN":"0022-541X","ISSN":"19326203","PMID":"27760201","abstract":"Grauer’s gorilla (Gorilla beringei graueri), the World’s largest primate, is confined to eastern Democratic Republic of Congo (DRC) and is threatened by civil war and insecurity. During the war, armed groups in mining camps relied on hunting bushmeat, including gorillas. Insecurity and the presence of several militia groups across Grauer’s gorilla’s range made it very difficult to assess their population size. Here we use a novel method that enables rigorous assessment of local community and ranger-collected data on gorilla occupancy to evaluate the impacts of civil war on Grauer’s gorilla, which prior to the war was estimated to number 16,900 individuals. We show that gorilla numbers in their stronghold of Kahuzi-Biega National Park have declined by 87%. Encounter rate data of gorilla nests at 10 sites across its range indicate declines of 82–100% at six of these sites. Spatial occupancy analysis identifies three key areas as the most critical sites for the remaining populations of this ape and that the range of this taxon is around 19,700 km2.We estimate that only 3,800 Grauer’s gorillas remain in the wild, a 77% decline in one generation, justifying its elevation to Critically Endangered status on the IUCN Red List of Threatened Species.","author":[{"dropping-particle":"","family":"Plumptre","given":"Andrew J.","non-dropping-particle":"","parse-names":false,"suffix":""},{"dropping-particle":"","family":"Nixon","given":"Stuart","non-dropping-particle":"","parse-names":false,"suffix":""},{"dropping-particle":"","family":"Kujirakwinja","given":"Deo K.","non-dropping-particle":"","parse-names":false,"suffix":""},{"dropping-particle":"","family":"Vieilledent","given":"Ghislain","non-dropping-particle":"","parse-names":false,"suffix":""},{"dropping-particle":"","family":"Critchlow","given":"Rob","non-dropping-particle":"","parse-names":false,"suffix":""},{"dropping-particle":"","family":"Williamson","given":"Elizabeth A.","non-dropping-particle":"","parse-names":false,"suffix":""},{"dropping-particle":"","family":"Nishuli","given":"Radar","non-dropping-particle":"","parse-names":false,"suffix":""},{"dropping-particle":"","family":"Kirkby","given":"Andrew E.","non-dropping-particle":"","parse-names":false,"suffix":""},{"dropping-particle":"","family":"Hall","given":"Jefferson S.","non-dropping-particle":"","parse-names":false,"suffix":""}],"container-title":"PLoS ONE","id":"ITEM-1","issue":"10","issued":{"date-parts":[["2016"]]},"page":"1-13","title":"Catastrophic decline of world's largest primate: 80% loss of grauer's gorilla (Gorilla beringei graueri) population justifies critically endangered status","type":"article-journal","volume":"11"},"uris":["http://www.mendeley.com/documents/?uuid=148b2470-ea4e-4357-a50f-fe5717f78116"]}],"mendeley":{"formattedCitation":"(Plumptre et al. 2016)","plainTextFormattedCitation":"(Plumptre et al. 2016)","previouslyFormattedCitation":"(Plumptre et al. 2016)"},"properties":{"noteIndex":0},"schema":"https://github.com/citation-style-language/schema/raw/master/csl-citation.json"}</w:instrText>
      </w:r>
      <w:r w:rsidR="00D00854">
        <w:rPr>
          <w:color w:val="000000" w:themeColor="text1"/>
        </w:rPr>
        <w:fldChar w:fldCharType="separate"/>
      </w:r>
      <w:r w:rsidR="00D00854" w:rsidRPr="00D00854">
        <w:rPr>
          <w:noProof/>
          <w:color w:val="000000" w:themeColor="text1"/>
        </w:rPr>
        <w:t>(Plumptre et al. 2016)</w:t>
      </w:r>
      <w:r w:rsidR="00D00854">
        <w:rPr>
          <w:color w:val="000000" w:themeColor="text1"/>
        </w:rPr>
        <w:fldChar w:fldCharType="end"/>
      </w:r>
      <w:r w:rsidR="00D170C7" w:rsidRPr="001E3BCA">
        <w:rPr>
          <w:color w:val="000000" w:themeColor="text1"/>
        </w:rPr>
        <w:t>, mainly due to hunting, exacerbated by civil conflict</w:t>
      </w:r>
      <w:r w:rsidR="00B57336" w:rsidRPr="001E3BCA">
        <w:rPr>
          <w:color w:val="000000" w:themeColor="text1"/>
        </w:rPr>
        <w:t>.</w:t>
      </w:r>
      <w:r w:rsidR="00D170C7" w:rsidRPr="001E3BCA">
        <w:rPr>
          <w:color w:val="000000" w:themeColor="text1"/>
        </w:rPr>
        <w:t xml:space="preserve"> </w:t>
      </w:r>
      <w:r w:rsidR="00F96AB7" w:rsidRPr="001E3BCA">
        <w:rPr>
          <w:color w:val="000000" w:themeColor="text1"/>
        </w:rPr>
        <w:t>Western lowland gorilla (Gorilla gorilla gorilla) and central chimpanzee (</w:t>
      </w:r>
      <w:r w:rsidR="00F96AB7" w:rsidRPr="001E3BCA">
        <w:rPr>
          <w:i/>
          <w:color w:val="000000" w:themeColor="text1"/>
        </w:rPr>
        <w:t>Pan troglodytes troglodytes</w:t>
      </w:r>
      <w:r w:rsidR="00F96AB7" w:rsidRPr="001E3BCA">
        <w:rPr>
          <w:color w:val="000000" w:themeColor="text1"/>
        </w:rPr>
        <w:t xml:space="preserve">) </w:t>
      </w:r>
      <w:r w:rsidR="00A479D2" w:rsidRPr="001E3BCA">
        <w:rPr>
          <w:color w:val="000000" w:themeColor="text1"/>
        </w:rPr>
        <w:t>populations</w:t>
      </w:r>
      <w:r w:rsidR="00D170C7" w:rsidRPr="001E3BCA">
        <w:rPr>
          <w:color w:val="000000" w:themeColor="text1"/>
        </w:rPr>
        <w:t xml:space="preserve"> </w:t>
      </w:r>
      <w:r w:rsidR="008806AC" w:rsidRPr="001E3BCA">
        <w:rPr>
          <w:color w:val="000000" w:themeColor="text1"/>
        </w:rPr>
        <w:t>across</w:t>
      </w:r>
      <w:r w:rsidR="00D170C7" w:rsidRPr="001E3BCA">
        <w:rPr>
          <w:color w:val="000000" w:themeColor="text1"/>
        </w:rPr>
        <w:t xml:space="preserve"> the Congo Basin are significantly negatively correlated with hunting </w:t>
      </w:r>
      <w:r w:rsidR="005006CF" w:rsidRPr="00424E9D">
        <w:rPr>
          <w:color w:val="000000" w:themeColor="text1"/>
        </w:rPr>
        <w:fldChar w:fldCharType="begin" w:fldLock="1"/>
      </w:r>
      <w:r w:rsidR="00424E9D">
        <w:rPr>
          <w:color w:val="000000" w:themeColor="text1"/>
        </w:rPr>
        <w:instrText>ADDIN CSL_CITATION {"citationItems":[{"id":"ITEM-1","itemData":{"DOI":"10.1126/sciadv.aar2964","ISSN":"23752548","PMID":"29707637","abstract":"We present a range-wide assessment of sympatric western lowland gorillas Gorilla gorilla gorilla and central chimpanzees Pan troglodytes troglodytes using the largest survey data set ever assembled for these taxa: 59 sites in five countries surveyed between 2003 and 2013, totaling 61,000 person-days of fieldwork. We used spatial modeling to investigate major drivers of great ape distribution and population trends. We predicted density across each taxon’s geographic range, allowing us to estimate overall abundance: 361,900 gorillas and 128,700 chimpanzees in Western Equatorial Africa—substantially higher than previous estimates. These two subspecies represent close to 99% of all gorillas and one-third of all chimpanzees. Annual population decline of gorillas was estimated at 2.7%, maintaining them as Critically Endangered on the International Union for Conservation of Nature and Natural Resources (IUCN) Red List. We quantified the threats to each taxon, of which the three greatest were poaching, disease, and habitat degradation. Gorillas and chimpanzees are found at higher densities where forest is intact, wildlife laws are enforced, human influence is low, and disease impacts have been low. Strategic use of the results of these analyses could conserve the majority of gorillas and chimpanzees. With around 80% of both subspecies occurring outside protected areas, their conservation requires reinforcement of anti-poaching efforts both inside and outside protected areas (particularly where habitat quality is high and human impact is low), diligent disease control measures (including training, advocacy, and research into Ebola virus disease), and the preservation of high-quality habitat through integrated land-use planning and implementation of best practices by the extractive and agricultural industries.","author":[{"dropping-particle":"","family":"Strindberg","given":"Samantha","non-dropping-particle":"","parse-names":false,"suffix":""},{"dropping-particle":"","family":"Maisels","given":"Fiona","non-dropping-particle":"","parse-names":false,"suffix":""},{"dropping-particle":"","family":"Williamson","given":"Elizabeth A.","non-dropping-particle":"","parse-names":false,"suffix":""},{"dropping-particle":"","family":"Blake","given":"Stephen","non-dropping-particle":"","parse-names":false,"suffix":""},{"dropping-particle":"","family":"Stokes","given":"Emma J.","non-dropping-particle":"","parse-names":false,"suffix":""},{"dropping-particle":"","family":"Aba'a","given":"Rostand","non-dropping-particle":"","parse-names":false,"suffix":""},{"dropping-particle":"","family":"Abitsi","given":"Gaspard","non-dropping-particle":"","parse-names":false,"suffix":""},{"dropping-particle":"","family":"Agbor","given":"Anthony","non-dropping-particle":"","parse-names":false,"suffix":""},{"dropping-particle":"","family":"Ambahe","given":"Ruffin D.","non-dropping-particle":"","parse-names":false,"suffix":""},{"dropping-particle":"","family":"Bakabana","given":"Parfait C.","non-dropping-particle":"","parse-names":false,"suffix":""},{"dropping-particle":"","family":"Bechem","given":"Martha","non-dropping-particle":"","parse-names":false,"suffix":""},{"dropping-particle":"","family":"Berlemont","given":"Antoine","non-dropping-particle":"","parse-names":false,"suffix":""},{"dropping-particle":"","family":"Semboli","given":"Bruno Bokoto","non-dropping-particle":"De","parse-names":false,"suffix":""},{"dropping-particle":"","family":"Boundja","given":"Patrick R.","non-dropping-particle":"","parse-names":false,"suffix":""},{"dropping-particle":"","family":"Bout","given":"Nicolas","non-dropping-particle":"","parse-names":false,"suffix":""},{"dropping-particle":"","family":"Breuer","given":"Thomas","non-dropping-particle":"","parse-names":false,"suffix":""},{"dropping-particle":"","family":"Campbell","given":"Genevieve","non-dropping-particle":"","parse-names":false,"suffix":""},{"dropping-particle":"","family":"Wachter","given":"Pauwel","non-dropping-particle":"De","parse-names":false,"suffix":""},{"dropping-particle":"","family":"Akou","given":"Marc Ella","non-dropping-particle":"","parse-names":false,"suffix":""},{"dropping-particle":"","family":"Mba","given":"Fidel Esono","non-dropping-particle":"","parse-names":false,"suffix":""},{"dropping-particle":"","family":"Feistner","given":"Anna T.C.","non-dropping-particle":"","parse-names":false,"suffix":""},{"dropping-particle":"","family":"Fosso","given":"Bernard","non-dropping-particle":"","parse-names":false,"suffix":""},{"dropping-particle":"","family":"Fotso","given":"Roger","non-dropping-particle":"","parse-names":false,"suffix":""},{"dropping-particle":"","family":"Greer","given":"David","non-dropping-particle":"","parse-names":false,"suffix":""},{"dropping-particle":"","family":"Inkamba-Nkulu","given":"Clement","non-dropping-particle":"","parse-names":false,"suffix":""},{"dropping-particle":"","family":"Iyenguet","given":"Calixte F.","non-dropping-particle":"","parse-names":false,"suffix":""},{"dropping-particle":"","family":"Jeffery","given":"Kathryn J.","non-dropping-particle":"","parse-names":false,"suffix":""},{"dropping-particle":"","family":"Kokangoye","given":"Max","non-dropping-particle":"","parse-names":false,"suffix":""},{"dropping-particle":"","family":"Kühl","given":"Hjalmar S.","non-dropping-particle":"","parse-names":false,"suffix":""},{"dropping-particle":"","family":"Latour","given":"Stephanie","non-dropping-particle":"","parse-names":false,"suffix":""},{"dropping-particle":"","family":"Madzoke","given":"Bola","non-dropping-particle":"","parse-names":false,"suffix":""},{"dropping-particle":"","family":"Makoumbou","given":"Calixte","non-dropping-particle":"","parse-names":false,"suffix":""},{"dropping-particle":"","family":"Malanda","given":"Guy Aimé F.","non-dropping-particle":"","parse-names":false,"suffix":""},{"dropping-particle":"","family":"Malonga","given":"Richard","non-dropping-particle":"","parse-names":false,"suffix":""},{"dropping-particle":"","family":"Mbolo","given":"Victor","non-dropping-particle":"","parse-names":false,"suffix":""},{"dropping-particle":"","family":"Morgan","given":"David B.","non-dropping-particle":"","parse-names":false,"suffix":""},{"dropping-particle":"","family":"Motsaba","given":"Prosper","non-dropping-particle":"","parse-names":false,"suffix":""},{"dropping-particle":"","family":"Moukala","given":"Gabin","non-dropping-particle":"","parse-names":false,"suffix":""},{"dropping-particle":"","family":"Mowawa","given":"Brice S.","non-dropping-particle":"","parse-names":false,"suffix":""},{"dropping-particle":"","family":"Murai","given":"Mizuki","non-dropping-particle":"","parse-names":false,"suffix":""},{"dropping-particle":"","family":"Ndzai","given":"Christian","non-dropping-particle":"","parse-names":false,"suffix":""},{"dropping-particle":"","family":"Nishihara","given":"Tomoaki","non-dropping-particle":"","parse-names":false,"suffix":""},{"dropping-particle":"","family":"Nzooh","given":"Zacharie","non-dropping-particle":"","parse-names":false,"suffix":""},{"dropping-particle":"","family":"Pintea","given":"Lilian","non-dropping-particle":"","parse-names":false,"suffix":""},{"dropping-particle":"","family":"Pokempner","given":"Amy","non-dropping-particle":"","parse-names":false,"suffix":""},{"dropping-particle":"","family":"Rainey","given":"Hugo J.","non-dropping-particle":"","parse-names":false,"suffix":""},{"dropping-particle":"","family":"Rayden","given":"Tim","non-dropping-particle":"","parse-names":false,"suffix":""},{"dropping-particle":"","family":"Ruffler","given":"Heidi","non-dropping-particle":"","parse-names":false,"suffix":""},{"dropping-particle":"","family":"Sanz","given":"Crickette M.","non-dropping-particle":"","parse-names":false,"suffix":""},{"dropping-particle":"","family":"Todd","given":"Angelique","non-dropping-particle":"","parse-names":false,"suffix":""},{"dropping-particle":"","family":"Vanleeuwe","given":"Hilde","non-dropping-particle":"","parse-names":false,"suffix":""},{"dropping-particle":"","family":"Vosper","given":"Ashley","non-dropping-particle":"","parse-names":false,"suffix":""},{"dropping-particle":"","family":"Warren","given":"Ymke","non-dropping-particle":"","parse-names":false,"suffix":""},{"dropping-particle":"","family":"Wilkie","given":"David S.","non-dropping-particle":"","parse-names":false,"suffix":""}],"container-title":"Science Advances","id":"ITEM-1","issued":{"date-parts":[["2018"]]},"page":"eaar2964","title":"Guns, germs, and trees determine density and distribution of gorillas and chimpanzees in Western Equatorial Africa","type":"article-journal","volume":"4"},"uris":["http://www.mendeley.com/documents/?uuid=9e443096-fa1c-49fd-b8d8-a20a696f6ba6"]}],"mendeley":{"formattedCitation":"(Strindberg et al. 2018)","plainTextFormattedCitation":"(Strindberg et al. 2018)","previouslyFormattedCitation":"(Strindberg et al. 2018)"},"properties":{"noteIndex":0},"schema":"https://github.com/citation-style-language/schema/raw/master/csl-citation.json"}</w:instrText>
      </w:r>
      <w:r w:rsidR="005006CF" w:rsidRPr="00424E9D">
        <w:rPr>
          <w:color w:val="000000" w:themeColor="text1"/>
        </w:rPr>
        <w:fldChar w:fldCharType="separate"/>
      </w:r>
      <w:r w:rsidR="005006CF" w:rsidRPr="00424E9D">
        <w:rPr>
          <w:noProof/>
          <w:color w:val="000000" w:themeColor="text1"/>
        </w:rPr>
        <w:t>(Strindberg et al. 2018)</w:t>
      </w:r>
      <w:r w:rsidR="005006CF" w:rsidRPr="00424E9D">
        <w:rPr>
          <w:color w:val="000000" w:themeColor="text1"/>
        </w:rPr>
        <w:fldChar w:fldCharType="end"/>
      </w:r>
      <w:r w:rsidR="00D170C7" w:rsidRPr="00424E9D">
        <w:rPr>
          <w:color w:val="000000" w:themeColor="text1"/>
        </w:rPr>
        <w:t>. In</w:t>
      </w:r>
      <w:r w:rsidR="00D170C7" w:rsidRPr="00BC1092">
        <w:rPr>
          <w:color w:val="000000" w:themeColor="text1"/>
        </w:rPr>
        <w:t xml:space="preserve"> West Africa, where forests are fragmented and intensively hunted, Miss Waldron’s red colobus (</w:t>
      </w:r>
      <w:r w:rsidR="00D170C7" w:rsidRPr="00BC1092">
        <w:rPr>
          <w:i/>
          <w:color w:val="000000" w:themeColor="text1"/>
        </w:rPr>
        <w:t>Piliocolobus badius waldronae</w:t>
      </w:r>
      <w:r w:rsidR="00D170C7" w:rsidRPr="00BC1092">
        <w:rPr>
          <w:color w:val="000000" w:themeColor="text1"/>
        </w:rPr>
        <w:t xml:space="preserve">) may have been hunted to extinction in the last decades </w:t>
      </w:r>
      <w:r w:rsidR="00B60A1D">
        <w:rPr>
          <w:color w:val="000000" w:themeColor="text1"/>
        </w:rPr>
        <w:fldChar w:fldCharType="begin" w:fldLock="1"/>
      </w:r>
      <w:r w:rsidR="00B60A1D">
        <w:rPr>
          <w:color w:val="000000" w:themeColor="text1"/>
        </w:rPr>
        <w:instrText>ADDIN CSL_CITATION {"citationItems":[{"id":"ITEM-1","itemData":{"DOI":"10.1046/j.1523-1739.2000.99230.x","ISBN":"0888-8892","ISSN":"08888892","PMID":"5472457","abstract":"We provide the first documented case of the extinction in the twentieth century of a widely recognized primate taxon. During surveys in Ghana and Cote d'Ivoire in 1993-1999, we were unable to find any surviving populations of Miss Waldron's red colobus monkey (Procolobus badius waldroni) a primate taxon endemic to the forests of this part of West Africa We conclude that this monkey, which at least one authority considers worthy of species status, is probably extinct. Hunting by humans appears to be the ultimate cause of the extinction. Until our surveys began, little attention had been paid to the plight of this red colobus monkey, despite its listing as endangered by the World Conservation Union. The extinction of other large animals in the Upper Guinea rainforest region is likely to follow soon unless more attention is paid to the full range of endangered forms and more resources are devoted to their rigorous protection.","author":[{"dropping-particle":"","family":"Oates","given":"John F.","non-dropping-particle":"","parse-names":false,"suffix":""},{"dropping-particle":"","family":"Abedi-Lartey","given":"Michael","non-dropping-particle":"","parse-names":false,"suffix":""},{"dropping-particle":"","family":"McGraw","given":"W. Scott","non-dropping-particle":"","parse-names":false,"suffix":""},{"dropping-particle":"","family":"Struhsaker","given":"Thomas T.","non-dropping-particle":"","parse-names":false,"suffix":""},{"dropping-particle":"","family":"Whitesides","given":"George H.","non-dropping-particle":"","parse-names":false,"suffix":""}],"container-title":"Conservation Biology","id":"ITEM-1","issue":"5","issued":{"date-parts":[["2000"]]},"page":"1526-1532","title":"Extinction of a West African red colobus monkey","type":"article-journal","volume":"14"},"uris":["http://www.mendeley.com/documents/?uuid=f5d7210a-61d4-4f1c-ac7c-e62d74816cce"]}],"mendeley":{"formattedCitation":"(Oates et al. 2000)","plainTextFormattedCitation":"(Oates et al. 2000)","previouslyFormattedCitation":"(Oates et al. 2000)"},"properties":{"noteIndex":0},"schema":"https://github.com/citation-style-language/schema/raw/master/csl-citation.json"}</w:instrText>
      </w:r>
      <w:r w:rsidR="00B60A1D">
        <w:rPr>
          <w:color w:val="000000" w:themeColor="text1"/>
        </w:rPr>
        <w:fldChar w:fldCharType="separate"/>
      </w:r>
      <w:r w:rsidR="00B60A1D" w:rsidRPr="00B60A1D">
        <w:rPr>
          <w:noProof/>
          <w:color w:val="000000" w:themeColor="text1"/>
        </w:rPr>
        <w:t>(Oates et al. 2000)</w:t>
      </w:r>
      <w:r w:rsidR="00B60A1D">
        <w:rPr>
          <w:color w:val="000000" w:themeColor="text1"/>
        </w:rPr>
        <w:fldChar w:fldCharType="end"/>
      </w:r>
      <w:r w:rsidR="00D170C7" w:rsidRPr="00BC1092">
        <w:rPr>
          <w:color w:val="000000" w:themeColor="text1"/>
        </w:rPr>
        <w:t>.</w:t>
      </w:r>
      <w:r w:rsidRPr="00BC1092">
        <w:rPr>
          <w:color w:val="000000" w:themeColor="text1"/>
        </w:rPr>
        <w:t xml:space="preserve"> </w:t>
      </w:r>
    </w:p>
    <w:p w14:paraId="31F42E8C" w14:textId="6C6B940C" w:rsidR="000C1494" w:rsidRPr="00E40BE4" w:rsidRDefault="009C0863" w:rsidP="00C258BC">
      <w:pPr>
        <w:jc w:val="both"/>
      </w:pPr>
      <w:r w:rsidRPr="00BC1092">
        <w:rPr>
          <w:color w:val="000000" w:themeColor="text1"/>
        </w:rPr>
        <w:t>Species respond to hunting pressure in different ways</w:t>
      </w:r>
      <w:r w:rsidR="00A25943" w:rsidRPr="00BC1092">
        <w:rPr>
          <w:color w:val="000000" w:themeColor="text1"/>
        </w:rPr>
        <w:t>. L</w:t>
      </w:r>
      <w:r w:rsidRPr="00BC1092">
        <w:rPr>
          <w:color w:val="000000" w:themeColor="text1"/>
        </w:rPr>
        <w:t>arge-bodied and long</w:t>
      </w:r>
      <w:r w:rsidRPr="0064175F">
        <w:rPr>
          <w:color w:val="000000" w:themeColor="text1"/>
        </w:rPr>
        <w:t>-lived species with low reproductive rates and long generation times</w:t>
      </w:r>
      <w:r w:rsidR="00A25943" w:rsidRPr="0070404D">
        <w:rPr>
          <w:color w:val="000000" w:themeColor="text1"/>
        </w:rPr>
        <w:t xml:space="preserve"> are especially </w:t>
      </w:r>
      <w:r w:rsidR="008806AC" w:rsidRPr="0070404D">
        <w:rPr>
          <w:color w:val="000000" w:themeColor="text1"/>
        </w:rPr>
        <w:t>vulnerable</w:t>
      </w:r>
      <w:r w:rsidR="00A25943" w:rsidRPr="0070404D">
        <w:rPr>
          <w:color w:val="000000" w:themeColor="text1"/>
        </w:rPr>
        <w:t xml:space="preserve"> to over-hunting </w:t>
      </w:r>
      <w:r w:rsidR="00B60A1D">
        <w:rPr>
          <w:color w:val="000000" w:themeColor="text1"/>
        </w:rPr>
        <w:fldChar w:fldCharType="begin" w:fldLock="1"/>
      </w:r>
      <w:r w:rsidR="00B60A1D">
        <w:rPr>
          <w:color w:val="000000" w:themeColor="text1"/>
        </w:rPr>
        <w:instrText>ADDIN CSL_CITATION {"citationItems":[{"id":"ITEM-1","itemData":{"DOI":"10.1126/science.1241484","ISBN":"1095-9203 (Electronic) 0036-8075 (Linking)","ISSN":"1095-9203","PMID":"24408439","abstract":"Large carnivores face serious threats and are experiencing massive declines in their populations and geographic ranges around the world. We highlight how these threats have affected the conservation status and ecological functioning of the 31 largest mammalian carnivores on Earth. Consistent with theory, empirical studies increasingly show that large carnivores have substantial effects on the structure and function of diverse ecosystems. Significant cascading trophic interactions, mediated by their prey or sympatric mesopredators, arise when some of these carnivores are extirpated from or repatriated to ecosystems. Unexpected effects of trophic cascades on various taxa and processes include changes to bird, mammal, invertebrate, and herpetofauna abundance or richness; subsidies to scavengers; altered disease dynamics; carbon sequestration; modified stream morphology; and crop damage. Promoting tolerance and coexistence with large carnivores is a crucial societal challenge that will ultimately determine the fate of Earth's largest carnivores and all that depends upon them, including humans.","author":[{"dropping-particle":"","family":"Ripple","given":"William J","non-dropping-particle":"","parse-names":false,"suffix":""},{"dropping-particle":"","family":"Estes","given":"James a","non-dropping-particle":"","parse-names":false,"suffix":""},{"dropping-particle":"","family":"Beschta","given":"Robert L","non-dropping-particle":"","parse-names":false,"suffix":""},{"dropping-particle":"","family":"Wilmers","given":"Christopher C","non-dropping-particle":"","parse-names":false,"suffix":""},{"dropping-particle":"","family":"Ritchie","given":"Euan G","non-dropping-particle":"","parse-names":false,"suffix":""},{"dropping-particle":"","family":"Hebblewhite","given":"Mark","non-dropping-particle":"","parse-names":false,"suffix":""},{"dropping-particle":"","family":"Berger","given":"Joel","non-dropping-particle":"","parse-names":false,"suffix":""},{"dropping-particle":"","family":"Elmhagen","given":"Bodil","non-dropping-particle":"","parse-names":false,"suffix":""},{"dropping-particle":"","family":"Letnic","given":"Mike","non-dropping-particle":"","parse-names":false,"suffix":""},{"dropping-particle":"","family":"Nelson","given":"Michael P","non-dropping-particle":"","parse-names":false,"suffix":""},{"dropping-particle":"","family":"Schmitz","given":"O.J.","non-dropping-particle":"","parse-names":false,"suffix":""},{"dropping-particle":"","family":"Smith","given":"Douglas W.","non-dropping-particle":"","parse-names":false,"suffix":""},{"dropping-particle":"","family":"Wallach","given":"A.D.","non-dropping-particle":"","parse-names":false,"suffix":""},{"dropping-particle":"","family":"Wirsing","given":"A.J.","non-dropping-particle":"","parse-names":false,"suffix":""}],"container-title":"Science","id":"ITEM-1","issue":"6167","issued":{"date-parts":[["2014"]]},"title":"Status and ecological effects of the world’s largest carnivores","type":"article-journal","volume":"343"},"uris":["http://www.mendeley.com/documents/?uuid=0dd067fd-5234-45c2-a940-88839dcdb30d"]},{"id":"ITEM-2","itemData":{"DOI":"10.1126/sciadv.1400103","ISBN":"DOI: 10.1126/sciadv.1400103","ISSN":"2375-2548","PMID":"26601172","abstract":"Large wild herbivores are crucial to ecosystems and human societies. We highlight the 74 largest terrestrial herbivore species on Earth (body mass ≥100 kg), the threats they face, their important and often overlooked ecosystem effects, and the conservation efforts needed to save them and their predators from extinction. Large herbivores are generally facing dramatic population declines and range contractions, such that ~60% are threatened with extinction. Nearly all threatened species are in developing countries, where major threats include hunting, land-use change, and resource depression by livestock. Loss of large herbivores can have cascading effects on other species including large carnivores, scavengers, mesoherbivores, small mammals, and ecological processes involving vegetation, hydrology, nutrient cycling, and fire regimes. The rate of large herbivore decline suggests that ever-larger swaths of the world will soon lack many of the vital ecological services these animals provide, resulting in enormous ecological and social costs.","author":[{"dropping-particle":"","family":"Ripple","given":"W. J.","non-dropping-particle":"","parse-names":false,"suffix":""},{"dropping-particle":"","family":"Newsome","given":"T. M.","non-dropping-particle":"","parse-names":false,"suffix":""},{"dropping-particle":"","family":"Wolf","given":"C.","non-dropping-particle":"","parse-names":false,"suffix":""},{"dropping-particle":"","family":"Dirzo","given":"R.","non-dropping-particle":"","parse-names":false,"suffix":""},{"dropping-particle":"","family":"Everatt","given":"K. T.","non-dropping-particle":"","parse-names":false,"suffix":""},{"dropping-particle":"","family":"Galetti","given":"M.","non-dropping-particle":"","parse-names":false,"suffix":""},{"dropping-particle":"","family":"Hayward","given":"M. W.","non-dropping-particle":"","parse-names":false,"suffix":""},{"dropping-particle":"","family":"Kerley","given":"G. I. H.","non-dropping-particle":"","parse-names":false,"suffix":""},{"dropping-particle":"","family":"Levi","given":"T.","non-dropping-particle":"","parse-names":false,"suffix":""},{"dropping-particle":"","family":"Lindsey","given":"P. A.","non-dropping-particle":"","parse-names":false,"suffix":""},{"dropping-particle":"","family":"Macdonald","given":"D. W.","non-dropping-particle":"","parse-names":false,"suffix":""},{"dropping-particle":"","family":"Malhi","given":"Y.","non-dropping-particle":"","parse-names":false,"suffix":""},{"dropping-particle":"","family":"Painter","given":"L. E.","non-dropping-particle":"","parse-names":false,"suffix":""},{"dropping-particle":"","family":"Sandom","given":"C. J.","non-dropping-particle":"","parse-names":false,"suffix":""},{"dropping-particle":"","family":"Terborgh","given":"J.","non-dropping-particle":"","parse-names":false,"suffix":""},{"dropping-particle":"","family":"Valkenburgh","given":"B.","non-dropping-particle":"Van","parse-names":false,"suffix":""}],"container-title":"Science Advances","id":"ITEM-2","issue":"4","issued":{"date-parts":[["2015"]]},"page":"e1400103","title":"Collapse of the world's largest herbivores","type":"article-journal","volume":"1"},"uris":["http://www.mendeley.com/documents/?uuid=b5af3a47-b57d-46c7-bfe2-5a8b36d1a625"]}],"mendeley":{"formattedCitation":"(Ripple et al. 2014, 2015)","plainTextFormattedCitation":"(Ripple et al. 2014, 2015)","previouslyFormattedCitation":"(Ripple et al. 2014, 2015)"},"properties":{"noteIndex":0},"schema":"https://github.com/citation-style-language/schema/raw/master/csl-citation.json"}</w:instrText>
      </w:r>
      <w:r w:rsidR="00B60A1D">
        <w:rPr>
          <w:color w:val="000000" w:themeColor="text1"/>
        </w:rPr>
        <w:fldChar w:fldCharType="separate"/>
      </w:r>
      <w:r w:rsidR="00B60A1D" w:rsidRPr="00B60A1D">
        <w:rPr>
          <w:noProof/>
          <w:color w:val="000000" w:themeColor="text1"/>
        </w:rPr>
        <w:t>(Ripple et al. 2014, 2015)</w:t>
      </w:r>
      <w:r w:rsidR="00B60A1D">
        <w:rPr>
          <w:color w:val="000000" w:themeColor="text1"/>
        </w:rPr>
        <w:fldChar w:fldCharType="end"/>
      </w:r>
      <w:r w:rsidR="008D1462" w:rsidRPr="0070404D">
        <w:rPr>
          <w:color w:val="000000" w:themeColor="text1"/>
        </w:rPr>
        <w:t xml:space="preserve">, and are typically targeted </w:t>
      </w:r>
      <w:r w:rsidR="008D1462" w:rsidRPr="00B60A1D">
        <w:rPr>
          <w:color w:val="000000" w:themeColor="text1"/>
        </w:rPr>
        <w:t>first by hunters (</w:t>
      </w:r>
      <w:r w:rsidR="00F7436F" w:rsidRPr="00B60A1D">
        <w:rPr>
          <w:color w:val="000000" w:themeColor="text1"/>
        </w:rPr>
        <w:t xml:space="preserve">see Section </w:t>
      </w:r>
      <w:r w:rsidR="00F7436F" w:rsidRPr="00B60A1D">
        <w:rPr>
          <w:color w:val="000000" w:themeColor="text1"/>
        </w:rPr>
        <w:fldChar w:fldCharType="begin"/>
      </w:r>
      <w:r w:rsidR="00F7436F" w:rsidRPr="00B60A1D">
        <w:rPr>
          <w:color w:val="000000" w:themeColor="text1"/>
        </w:rPr>
        <w:instrText xml:space="preserve"> REF _Ref519009399 \r \h  \* MERGEFORMAT </w:instrText>
      </w:r>
      <w:r w:rsidR="00F7436F" w:rsidRPr="00B60A1D">
        <w:rPr>
          <w:color w:val="000000" w:themeColor="text1"/>
        </w:rPr>
      </w:r>
      <w:r w:rsidR="00F7436F" w:rsidRPr="00B60A1D">
        <w:rPr>
          <w:color w:val="000000" w:themeColor="text1"/>
        </w:rPr>
        <w:fldChar w:fldCharType="separate"/>
      </w:r>
      <w:r w:rsidR="007034F1" w:rsidRPr="00B60A1D">
        <w:rPr>
          <w:color w:val="000000" w:themeColor="text1"/>
        </w:rPr>
        <w:t>2.1</w:t>
      </w:r>
      <w:r w:rsidR="00F7436F" w:rsidRPr="00B60A1D">
        <w:rPr>
          <w:color w:val="000000" w:themeColor="text1"/>
        </w:rPr>
        <w:fldChar w:fldCharType="end"/>
      </w:r>
      <w:r w:rsidR="00F7436F" w:rsidRPr="00B60A1D">
        <w:rPr>
          <w:color w:val="000000" w:themeColor="text1"/>
        </w:rPr>
        <w:t>)</w:t>
      </w:r>
      <w:r w:rsidR="00A25943" w:rsidRPr="00B60A1D">
        <w:rPr>
          <w:color w:val="000000" w:themeColor="text1"/>
        </w:rPr>
        <w:t xml:space="preserve">. Smaller species with higher reproductive rates are more resilient </w:t>
      </w:r>
      <w:r w:rsidR="00B60A1D" w:rsidRPr="00B60A1D">
        <w:rPr>
          <w:color w:val="000000" w:themeColor="text1"/>
        </w:rPr>
        <w:fldChar w:fldCharType="begin" w:fldLock="1"/>
      </w:r>
      <w:r w:rsidR="00B2630D">
        <w:rPr>
          <w:color w:val="000000" w:themeColor="text1"/>
        </w:rPr>
        <w:instrText>ADDIN CSL_CITATION {"citationItems":[{"id":"ITEM-1","itemData":{"author":[{"dropping-particle":"","family":"Jerozolimski","given":"Adriano","non-dropping-particle":"","parse-names":false,"suffix":""},{"dropping-particle":"","family":"Peres","given":"Carlos A","non-dropping-particle":"","parse-names":false,"suffix":""}],"container-title":"Biological Conservation","id":"ITEM-1","issued":{"date-parts":[["2003"]]},"page":"415-425","title":"Bringing home the biggest bacon: a cross-site analysis of the structure of hunter-kill profiles in Neotropical forests","type":"article-journal","volume":"111"},"uris":["http://www.mendeley.com/documents/?uuid=6bf3a22a-7b0e-4dfb-be28-6ec52b7815da"]},{"id":"ITEM-2","itemData":{"DOI":"ISBN 92-9225-083-3","ISBN":"9292250833","abstract":"2008. Conservation and use of wildlife-based resources: The bushmeat crisis. Technical series No. 33. Montreal: Secretariat of the Convention on Biological Diversity; and Bogor, Indonesia: Centre on International Forestry Research.","author":[{"dropping-particle":"","family":"Nasi","given":"R","non-dropping-particle":"","parse-names":false,"suffix":""},{"dropping-particle":"","family":"Brown","given":"D","non-dropping-particle":"","parse-names":false,"suffix":""},{"dropping-particle":"","family":"Wilkie","given":"D","non-dropping-particle":"","parse-names":false,"suffix":""},{"dropping-particle":"","family":"Bennett","given":"E","non-dropping-particle":"","parse-names":false,"suffix":""},{"dropping-particle":"","family":"Tutin","given":"C","non-dropping-particle":"","parse-names":false,"suffix":""},{"dropping-particle":"","family":"Tol","given":"G","non-dropping-particle":"Van","parse-names":false,"suffix":""},{"dropping-particle":"","family":"Christophersen","given":"T","non-dropping-particle":"","parse-names":false,"suffix":""}],"id":"ITEM-2","issued":{"date-parts":[["2008"]]},"number-of-pages":"50","publisher-place":"Secretariat of the Convention on Biological Diversity, Montreal, Canada, and Centre for International Forestry Research (CIFOR), Bogor, Indonesia.","title":"Conservation and use of wildlife-based resources: the bushmeat crisis. CBD Technical Series No. 33","type":"report"},"uris":["http://www.mendeley.com/documents/?uuid=820bb019-82b3-449a-b6b2-fbc4d35d17d6"]},{"id":"ITEM-3","itemData":{"author":[{"dropping-particle":"","family":"Peres","given":"C A","non-dropping-particle":"","parse-names":false,"suffix":""}],"container-title":"Hunting for sustainability in tropical forests","editor":[{"dropping-particle":"","family":"Robinson","given":"J G","non-dropping-particle":"","parse-names":false,"suffix":""},{"dropping-particle":"","family":"Bennett","given":"E L","non-dropping-particle":"","parse-names":false,"suffix":""}],"id":"ITEM-3","issued":{"date-parts":[["2000"]]},"page":"31-56","publisher":"Columbia University Press, New York, USA","title":"Evaluating the impact and sustainability of subsistence hunting at multiple Amazonian forest sites","type":"chapter"},"uris":["http://www.mendeley.com/documents/?uuid=a84d43d0-d341-4eb5-8fc7-e76331fcc322"]}],"mendeley":{"formattedCitation":"(Peres 2000a; Jerozolimski &amp; Peres 2003; Nasi et al. 2008)","plainTextFormattedCitation":"(Peres 2000a; Jerozolimski &amp; Peres 2003; Nasi et al. 2008)","previouslyFormattedCitation":"(Peres 2000a; Jerozolimski &amp; Peres 2003; Nasi et al. 2008)"},"properties":{"noteIndex":0},"schema":"https://github.com/citation-style-language/schema/raw/master/csl-citation.json"}</w:instrText>
      </w:r>
      <w:r w:rsidR="00B60A1D" w:rsidRPr="00B60A1D">
        <w:rPr>
          <w:color w:val="000000" w:themeColor="text1"/>
        </w:rPr>
        <w:fldChar w:fldCharType="separate"/>
      </w:r>
      <w:r w:rsidR="00AA5190" w:rsidRPr="00AA5190">
        <w:rPr>
          <w:noProof/>
          <w:color w:val="000000" w:themeColor="text1"/>
        </w:rPr>
        <w:t>(Peres 2000a; Jerozolimski &amp; Peres 2003; Nasi et al. 2008)</w:t>
      </w:r>
      <w:r w:rsidR="00B60A1D" w:rsidRPr="00B60A1D">
        <w:rPr>
          <w:color w:val="000000" w:themeColor="text1"/>
        </w:rPr>
        <w:fldChar w:fldCharType="end"/>
      </w:r>
      <w:r w:rsidR="00A25943" w:rsidRPr="00B60A1D">
        <w:rPr>
          <w:color w:val="000000" w:themeColor="text1"/>
        </w:rPr>
        <w:t>, and a handful of taxa</w:t>
      </w:r>
      <w:r w:rsidR="00063F16" w:rsidRPr="00B60A1D">
        <w:rPr>
          <w:color w:val="000000" w:themeColor="text1"/>
        </w:rPr>
        <w:t>, such as rodents,</w:t>
      </w:r>
      <w:r w:rsidR="00A25943" w:rsidRPr="00B60A1D">
        <w:rPr>
          <w:color w:val="000000" w:themeColor="text1"/>
        </w:rPr>
        <w:t xml:space="preserve"> may even be locally advantaged by hunting owing to their ecological adaptability, population</w:t>
      </w:r>
      <w:r w:rsidR="00A25943" w:rsidRPr="005512D2">
        <w:rPr>
          <w:color w:val="000000" w:themeColor="text1"/>
        </w:rPr>
        <w:t xml:space="preserve"> biology, and the removal or reduction of predators</w:t>
      </w:r>
      <w:r w:rsidRPr="005512D2">
        <w:rPr>
          <w:color w:val="000000" w:themeColor="text1"/>
        </w:rPr>
        <w:t xml:space="preserve"> </w:t>
      </w:r>
      <w:r w:rsidR="00B60A1D">
        <w:rPr>
          <w:color w:val="000000" w:themeColor="text1"/>
        </w:rPr>
        <w:fldChar w:fldCharType="begin" w:fldLock="1"/>
      </w:r>
      <w:r w:rsidR="00B60A1D">
        <w:rPr>
          <w:color w:val="000000" w:themeColor="text1"/>
        </w:rPr>
        <w:instrText>ADDIN CSL_CITATION {"citationItems":[{"id":"ITEM-1","itemData":{"DOI":"10.1098/rspb.2004.2724","ISBN":"0962-8452","ISSN":"14712970","PMID":"15306363","abstract":"It is well established that different species vary in their vulnerability to extinction risk and that species biology can underpin much of this variation. By contrast, very little is known about how the same species responds to different threat processes. The purpose of this paper is therefore twofold: to examine the extent to which a species' vulnerability to different types of threat might covary and to explore the biological traits that are associated with threat-specific responses. We use an objective and quantitative measure of local extinction risk to show that vulnerability to local population decline in primates varies substantially among species and between threat types. Our results show that a species' response to one threat type does not predict its response to others. Multivariate analyses also suggest that different mechanisms of decline are associated with each type of threat, since different biological traits are correlated with each threat-specific response. Primate species at risk from forestry tend to exhibit low ecological flexibility, while those species vulnerable to agriculture tend to live in the canopy and eat low-fruit diets; in further contrast, primates at risk from hunting tend to exhibit large body size. Our analyses therefore indicate that a species' vulnerability to local extinction can be highly variable and is likely to depend on both threat type and biology.","author":[{"dropping-particle":"","family":"Isaac","given":"Nick J.B.","non-dropping-particle":"","parse-names":false,"suffix":""},{"dropping-particle":"","family":"Cowlishaw","given":"Guy","non-dropping-particle":"","parse-names":false,"suffix":""}],"container-title":"Proceedings of the Royal Society B: Biological Sciences","id":"ITEM-1","issue":"1544","issued":{"date-parts":[["2004"]]},"page":"1135-1141","title":"How species respond to multiple extinction threats","type":"article-journal","volume":"271"},"uris":["http://www.mendeley.com/documents/?uuid=85847b3c-544a-437b-bc1a-f6641843ae61"]},{"id":"ITEM-2","itemData":{"DOI":"10.1111/j.1744-7429.2007.00272.x","ISBN":"1744-7429","ISSN":"00063606","author":[{"dropping-particle":"","family":"Peres","given":"Carlos A","non-dropping-particle":"","parse-names":false,"suffix":""},{"dropping-particle":"","family":"Palacios","given":"E","non-dropping-particle":"","parse-names":false,"suffix":""}],"container-title":"Biotropica","id":"ITEM-2","issue":"3","issued":{"date-parts":[["2007"]]},"page":"304-315","title":"Basin‐wide effects of game harvest on vertebrate population densities in Amazonian forests: implications for animal‐mediated seed dispersal","type":"article-journal","volume":"39"},"uris":["http://www.mendeley.com/documents/?uuid=1fec3cc3-0ce3-4421-ac91-93fdbe6bf50f"]}],"mendeley":{"formattedCitation":"(Isaac &amp; Cowlishaw 2004; Peres &amp; Palacios 2007)","plainTextFormattedCitation":"(Isaac &amp; Cowlishaw 2004; Peres &amp; Palacios 2007)","previouslyFormattedCitation":"(Isaac &amp; Cowlishaw 2004; Peres &amp; Palacios 2007)"},"properties":{"noteIndex":0},"schema":"https://github.com/citation-style-language/schema/raw/master/csl-citation.json"}</w:instrText>
      </w:r>
      <w:r w:rsidR="00B60A1D">
        <w:rPr>
          <w:color w:val="000000" w:themeColor="text1"/>
        </w:rPr>
        <w:fldChar w:fldCharType="separate"/>
      </w:r>
      <w:r w:rsidR="00B60A1D" w:rsidRPr="00B60A1D">
        <w:rPr>
          <w:noProof/>
          <w:color w:val="000000" w:themeColor="text1"/>
        </w:rPr>
        <w:t>(Isaac &amp; Cowlishaw 2004; Peres &amp; Palacios 2007)</w:t>
      </w:r>
      <w:r w:rsidR="00B60A1D">
        <w:rPr>
          <w:color w:val="000000" w:themeColor="text1"/>
        </w:rPr>
        <w:fldChar w:fldCharType="end"/>
      </w:r>
      <w:r w:rsidRPr="00EE2428">
        <w:rPr>
          <w:color w:val="000000" w:themeColor="text1"/>
        </w:rPr>
        <w:t>.</w:t>
      </w:r>
      <w:r w:rsidR="0056313F" w:rsidRPr="00EE2428">
        <w:rPr>
          <w:color w:val="000000" w:themeColor="text1"/>
        </w:rPr>
        <w:t xml:space="preserve"> </w:t>
      </w:r>
      <w:r w:rsidRPr="0064175F">
        <w:rPr>
          <w:color w:val="000000" w:themeColor="text1"/>
        </w:rPr>
        <w:t>Consequently, where modern hunting has been sust</w:t>
      </w:r>
      <w:r w:rsidRPr="006F5EBC">
        <w:rPr>
          <w:color w:val="000000" w:themeColor="text1"/>
        </w:rPr>
        <w:t xml:space="preserve">ained over decades, across tropical Asia, Amazonia and Africa, hunters are progressively catching a higher proportion of smaller species, such as rats, birds and squirrels </w:t>
      </w:r>
      <w:r w:rsidR="00B60A1D">
        <w:rPr>
          <w:color w:val="000000" w:themeColor="text1"/>
        </w:rPr>
        <w:fldChar w:fldCharType="begin" w:fldLock="1"/>
      </w:r>
      <w:r w:rsidR="00AA5190">
        <w:rPr>
          <w:color w:val="000000" w:themeColor="text1"/>
        </w:rPr>
        <w:instrText>ADDIN CSL_CITATION {"citationItems":[{"id":"ITEM-1","itemData":{"DOI":"10.1111/cobi.12389","ISBN":"1523-1739 (Electronic)\\r0888-8892 (Linking)","ISSN":"15231739","PMID":"25196079","abstract":"Humans influence tropical rainforest animals directly via exploitation and indirectly via habitat disturbance. Bushmeat hunting and logging occur extensively in tropical forests and have large effects on particular species. But how they alter animal diversity across landscape scales and whether their impacts are correlated across species remain less known. We used spatially widespread measurements of mammal occurrence across Malaysian Borneo and recently developed multispecies hierarchical models to assess the species richness of medium- to large-bodied terrestrial mammals while accounting for imperfect detection of all species. Hunting was associated with 31% lower species richness. Moreover, hunting remained high even where richness was very low, highlighting that hunting pressure persisted even in chronically overhunted areas. Newly logged sites had 11% lower species richness than unlogged sites, but sites logged &gt;10 years previously had richness levels similar to those in old-growth forest. Hunting was a more serious long-term threat than logging for 91% of primate and ungulate species. Hunting and logging impacts across species were not correlated across taxa. Negative impacts of hunting were the greatest for common mammalian species, but commonness versus rarity was not related to species-specific impacts of logging. Direct human impacts appeared highly persistent and lead to defaunation of certain areas. These impacts were particularly severe for species of ecological importance as seed dispersers and herbivores. Indirect impacts were also strong but appeared to attenuate more rapidly than previously thought. The lack of correlation between direct and indirect impacts across species highlights that multifaceted conservation strategies may be needed for mammal conservation in tropical rainforests, Earth's most biodiverse ecosystems. Correlación y Persistencia de los Impactos de la Caza y la Tala sobre los Mamíferos de los Bosques Tropicales.","author":[{"dropping-particle":"","family":"Brodie","given":"Jedediah F.","non-dropping-particle":"","parse-names":false,"suffix":""},{"dropping-particle":"","family":"Giordano","given":"Anthony J.","non-dropping-particle":"","parse-names":false,"suffix":""},{"dropping-particle":"","family":"Zipkin","given":"Elise F.","non-dropping-particle":"","parse-names":false,"suffix":""},{"dropping-particle":"","family":"Bernard","given":"Henry","non-dropping-particle":"","parse-names":false,"suffix":""},{"dropping-particle":"","family":"Mohd-Azlan","given":"Jayasilan","non-dropping-particle":"","parse-names":false,"suffix":""},{"dropping-particle":"","family":"Ambu","given":"Laurentius","non-dropping-particle":"","parse-names":false,"suffix":""}],"container-title":"Conservation Biology","id":"ITEM-1","issue":"1","issued":{"date-parts":[["2015"]]},"page":"110-121","title":"Correlation and persistence of hunting and logging impacts on tropical rainforest mammals","type":"article-journal","volume":"29"},"uris":["http://www.mendeley.com/documents/?uuid=d20d507b-7ef8-4d14-bc7e-10bbd7e7c96b"]},{"id":"ITEM-2","itemData":{"author":[{"dropping-particle":"","family":"Brodie","given":"Jedediah F","non-dropping-particle":"","parse-names":false,"suffix":""},{"dropping-particle":"","family":"Helmy","given":"Olga E","non-dropping-particle":"","parse-names":false,"suffix":""},{"dropping-particle":"","family":"Brockelman","given":"Warren Y","non-dropping-particle":"","parse-names":false,"suffix":""},{"dropping-particle":"","family":"Maron","given":"John L","non-dropping-particle":"","parse-names":false,"suffix":""}],"container-title":"Ecological Applications","id":"ITEM-2","issued":{"date-parts":[["2009"]]},"page":"854-863","title":"Bushmeat poaching reduces the seed dispersal and population growth rate of a mammal-dispersed tree","type":"article-journal","volume":"19"},"uris":["http://www.mendeley.com/documents/?uuid=e1fd5c17-fcc1-4690-aa1d-e76300851f10"]},{"id":"ITEM-3","itemData":{"DOI":"10.1126/sciadv.1600936","ISSN":"2375-2548","author":[{"dropping-particle":"","family":"Antunes","given":"A. P.","non-dropping-particle":"","parse-names":false,"suffix":""},{"dropping-particle":"","family":"Fewster","given":"R. M.","non-dropping-particle":"","parse-names":false,"suffix":""},{"dropping-particle":"","family":"Venticinque","given":"E. M.","non-dropping-particle":"","parse-names":false,"suffix":""},{"dropping-particle":"","family":"Peres","given":"C. A.","non-dropping-particle":"","parse-names":false,"suffix":""},{"dropping-particle":"","family":"Levi","given":"T.","non-dropping-particle":"","parse-names":false,"suffix":""},{"dropping-particle":"","family":"Rohe","given":"F.","non-dropping-particle":"","parse-names":false,"suffix":""},{"dropping-particle":"","family":"Shepard","given":"G. H.","non-dropping-particle":"","parse-names":false,"suffix":""}],"container-title":"Science Advances","id":"ITEM-3","issue":"10","issued":{"date-parts":[["2016"]]},"page":"e1600936-e1600936","title":"Empty forest or empty rivers? A century of commercial hunting in Amazonia","type":"article-journal","volume":"2"},"uris":["http://www.mendeley.com/documents/?uuid=79b506db-b003-481b-896d-146ce93cb91f"]},{"id":"ITEM-4","itemData":{"author":[{"dropping-particle":"","family":"Ingram","given":"D J","non-dropping-particle":"","parse-names":false,"suffix":""}],"id":"ITEM-4","issued":{"date-parts":[["2018"]]},"publisher":"PhD Thesis, University of Sussex, UK","title":"Quantifying the exploitation of terrestrial wildlife in Africa","type":"book"},"uris":["http://www.mendeley.com/documents/?uuid=451f4b9c-bb2f-42f4-a869-55128eb90dad"]},{"id":"ITEM-5","itemData":{"DOI":"10.1017/S0959270911000499","ISBN":"1474-0001","ISSN":"09592709","abstract":"Summary In China, many bird species are generally thought to be threatened mainly, or at least partly, by hunting. However, there have been few studies of bird hunting at a local scale. Bird hunting and trade in Nanmao, a remote mountainous village of Hainan Island, China, was investigated during March-July 2003 and September-October 2005. In total, 86 households were visited, of which 43% reported that they engaged in hunting of birds while 91% of households were seen to have hunted birds or hunting tools. This indicated that hunting by village people was widespread. Most hunters were male, and were between 12 and 68 years old. A total of 78 bird species were hunted, including 2 First Class and 19 Second Class national protected species. This extreme level of hunting has changed from a more moderate subsistence hunting tradition since about 1980, when local urban markets for wild meat started to develop. We outline a strategic plan designed to conserve birds, other wildlife and their forest habitats, whilst improving the livelihoods and preserving the minority tribal traditions of the people of Nanmao forest. [PUBLICATION ABSTRACT]","author":[{"dropping-particle":"","family":"Liang","given":"Wei","non-dropping-particle":"","parse-names":false,"suffix":""},{"dropping-particle":"","family":"Cai","given":"Yan","non-dropping-particle":"","parse-names":false,"suffix":""},{"dropping-particle":"","family":"Yang","given":"Can Chao","non-dropping-particle":"","parse-names":false,"suffix":""}],"container-title":"Bird Conservation International","id":"ITEM-5","issue":"1","issued":{"date-parts":[["2013"]]},"page":"45-52","title":"Extreme levels of hunting of birds in a remote village of Hainan Island, China","type":"article-journal","volume":"23"},"uris":["http://www.mendeley.com/documents/?uuid=486303ec-7ce7-405a-a2c6-3fde87c57424"]},{"id":"ITEM-6","itemData":{"DOI":"10.1111/ddi.12292","author":[{"dropping-particle":"","family":"Sreekar","given":"Rachakonda","non-dropping-particle":"","parse-names":false,"suffix":""},{"dropping-particle":"","family":"Huang","given":"Guohualing","non-dropping-particle":"","parse-names":false,"suffix":""},{"dropping-particle":"","family":"Zhao","given":"Jiang-bo","non-dropping-particle":"","parse-names":false,"suffix":""},{"dropping-particle":"","family":"Pasion","given":"Bonifacio O","non-dropping-particle":"","parse-names":false,"suffix":""},{"dropping-particle":"","family":"Yasuda","given":"Mika","non-dropping-particle":"","parse-names":false,"suffix":""},{"dropping-particle":"","family":"Zhang","given":"Kai","non-dropping-particle":"","parse-names":false,"suffix":""},{"dropping-particle":"","family":"Peabotuwage","given":"Indika","non-dropping-particle":"","parse-names":false,"suffix":""},{"dropping-particle":"","family":"Wang","given":"Ximin","non-dropping-particle":"","parse-names":false,"suffix":""},{"dropping-particle":""</w:instrText>
      </w:r>
      <w:r w:rsidR="00AA5190" w:rsidRPr="00DF57F3">
        <w:rPr>
          <w:color w:val="000000" w:themeColor="text1"/>
          <w:lang w:val="fr-FR"/>
        </w:rPr>
        <w:instrText>,"family":"Quan","given":"Rui-chang","non-dropping-particle":"","parse-names":false,"suffix":""},{"dropping-particle":"","family":"Slik","given":"J W Ferry","non-dropping-particle":"","parse-names":false,"suffix":""},{"dropping-particle":"","family":"Corlett","given":"Richard T","non-dropping-particle":"","parse-names":false,"suffix":""},{"dropping-particle":"","family":"Goodale","given":"Eben","non-dropping-particle":"","parse-names":false,"suffix":""},{"dropping-particle":"","family":"Harrison","given":"Rhett D","non-dropping-particle":"","parse-names":false,"suffix":""}],"container-title":"Diversity and Distributions","id":"ITEM-6","issued":{"date-parts":[["2015"]]},"page":"441-450","title":"The use of species – area relationships to partition the effects of hunting and deforestation on bird extirpations in a fragmented landscape","type":"article-journal","volume":"21"},"uris":["http://www.mendeley.com/documents/?uuid=42a5856b-c2b9-4304-b89f-baaf067eb4f1"]}],"mendeley":{"formattedCitation":"(Brodie et al. 2009, 2015; Liang et al. 2013; Sreekar et al. 2015a; Antunes et al. 2016; Ingram 2018)","plainTextFormattedCitation":"(Brodie et al. 2009, 2015; Liang et al. 2013; Sreekar et al. 2015a; Antunes et al. 2016; Ingram 2018)","previouslyFormattedCitation":"(Brodie et al. 2009, 2015; Liang et al. 2013; Sreekar et al. 2015a; Antunes et al. 2016; Ingram 2018)"},"properties":{"noteIndex":0},"schema":"https://github.com/citation-style-language/schema/raw/master/csl-citation.json"}</w:instrText>
      </w:r>
      <w:r w:rsidR="00B60A1D">
        <w:rPr>
          <w:color w:val="000000" w:themeColor="text1"/>
        </w:rPr>
        <w:fldChar w:fldCharType="separate"/>
      </w:r>
      <w:r w:rsidR="00AA5190" w:rsidRPr="00DF57F3">
        <w:rPr>
          <w:noProof/>
          <w:color w:val="000000" w:themeColor="text1"/>
          <w:lang w:val="fr-FR"/>
        </w:rPr>
        <w:t>(Brodie et al. 2009, 2015; Liang et al. 2013; Sreekar et al. 2015a; Antunes et al. 2016; Ingram 2018)</w:t>
      </w:r>
      <w:r w:rsidR="00B60A1D">
        <w:rPr>
          <w:color w:val="000000" w:themeColor="text1"/>
        </w:rPr>
        <w:fldChar w:fldCharType="end"/>
      </w:r>
      <w:r w:rsidRPr="00DF57F3">
        <w:rPr>
          <w:color w:val="000000" w:themeColor="text1"/>
          <w:lang w:val="fr-FR"/>
        </w:rPr>
        <w:t xml:space="preserve">. </w:t>
      </w:r>
      <w:r w:rsidRPr="0070404D">
        <w:rPr>
          <w:color w:val="000000" w:themeColor="text1"/>
        </w:rPr>
        <w:t xml:space="preserve">Even a decade ago, data from </w:t>
      </w:r>
      <w:r w:rsidRPr="00BC1092">
        <w:rPr>
          <w:color w:val="000000" w:themeColor="text1"/>
        </w:rPr>
        <w:t xml:space="preserve">certain locations, </w:t>
      </w:r>
      <w:r w:rsidR="00063F16" w:rsidRPr="00BC1092">
        <w:rPr>
          <w:color w:val="000000" w:themeColor="text1"/>
        </w:rPr>
        <w:t>such as</w:t>
      </w:r>
      <w:r w:rsidRPr="00BC1092">
        <w:rPr>
          <w:color w:val="000000" w:themeColor="text1"/>
        </w:rPr>
        <w:t xml:space="preserve"> </w:t>
      </w:r>
      <w:r w:rsidR="00063F16" w:rsidRPr="00BC1092">
        <w:rPr>
          <w:color w:val="000000" w:themeColor="text1"/>
        </w:rPr>
        <w:t>North Sulawesi, in Indonesia</w:t>
      </w:r>
      <w:r w:rsidRPr="00BC1092">
        <w:rPr>
          <w:color w:val="000000" w:themeColor="text1"/>
        </w:rPr>
        <w:t xml:space="preserve">, indicated that wild meat markets in </w:t>
      </w:r>
      <w:r w:rsidR="00A54B5F" w:rsidRPr="00BC1092">
        <w:rPr>
          <w:color w:val="000000" w:themeColor="text1"/>
        </w:rPr>
        <w:t xml:space="preserve">the region </w:t>
      </w:r>
      <w:r w:rsidRPr="00BC1092">
        <w:rPr>
          <w:color w:val="000000" w:themeColor="text1"/>
        </w:rPr>
        <w:t>were already dom</w:t>
      </w:r>
      <w:r w:rsidR="00A54B5F" w:rsidRPr="00BC1092">
        <w:rPr>
          <w:color w:val="000000" w:themeColor="text1"/>
        </w:rPr>
        <w:t>inated by small-</w:t>
      </w:r>
      <w:r w:rsidR="00A54B5F" w:rsidRPr="00BC1092">
        <w:rPr>
          <w:color w:val="000000" w:themeColor="text1"/>
        </w:rPr>
        <w:lastRenderedPageBreak/>
        <w:t>bodied mammals such as bats (</w:t>
      </w:r>
      <w:r w:rsidRPr="00BC1092">
        <w:rPr>
          <w:color w:val="000000" w:themeColor="text1"/>
        </w:rPr>
        <w:t>47%</w:t>
      </w:r>
      <w:r w:rsidR="00A54B5F" w:rsidRPr="00BC1092">
        <w:rPr>
          <w:color w:val="000000" w:themeColor="text1"/>
        </w:rPr>
        <w:t xml:space="preserve">) and </w:t>
      </w:r>
      <w:r w:rsidR="00A54B5F" w:rsidRPr="00424E9D">
        <w:rPr>
          <w:color w:val="000000" w:themeColor="text1"/>
        </w:rPr>
        <w:t>rodents</w:t>
      </w:r>
      <w:r w:rsidRPr="00424E9D">
        <w:rPr>
          <w:color w:val="000000" w:themeColor="text1"/>
        </w:rPr>
        <w:t xml:space="preserve"> </w:t>
      </w:r>
      <w:r w:rsidR="00A54B5F" w:rsidRPr="00424E9D">
        <w:rPr>
          <w:color w:val="000000" w:themeColor="text1"/>
        </w:rPr>
        <w:t>(</w:t>
      </w:r>
      <w:r w:rsidRPr="00424E9D">
        <w:rPr>
          <w:color w:val="000000" w:themeColor="text1"/>
        </w:rPr>
        <w:t>44%</w:t>
      </w:r>
      <w:r w:rsidR="002656D6" w:rsidRPr="00424E9D">
        <w:rPr>
          <w:color w:val="000000" w:themeColor="text1"/>
        </w:rPr>
        <w:t xml:space="preserve">) </w:t>
      </w:r>
      <w:r w:rsidR="00424E9D" w:rsidRPr="00424E9D">
        <w:rPr>
          <w:color w:val="000000" w:themeColor="text1"/>
        </w:rPr>
        <w:fldChar w:fldCharType="begin" w:fldLock="1"/>
      </w:r>
      <w:r w:rsidR="00B2630D">
        <w:rPr>
          <w:color w:val="000000" w:themeColor="text1"/>
        </w:rPr>
        <w:instrText>ADDIN CSL_CITATION {"citationItems":[{"id":"ITEM-1","itemData":{"DOI":"10.17528/cifor/005135","ISBN":"9786021504543","ISSN":"0854-9818","author":[{"dropping-particle":"","family":"Lee","given":"T.M.","non-dropping-particle":"","parse-names":false,"suffix":""},{"dropping-particle":"","family":"Sigouin","given":"A.","non-dropping-particle":"","parse-names":false,"suffix":""},{"dropping-particle":"","family":"Pinedo-Vasquez","given":"M.","non-dropping-particle":"","parse-names":false,"suffix":""},{"dropping-particle":"","family":"Nasi","given":"R.","non-dropping-particle":"","parse-names":false,"suffix":""}],"id":"ITEM-1","issued":{"date-parts":[["2014"]]},"number-of-pages":"56","publisher-place":"CIFOR, Bogor, Indonesia","title":"The harvest of wildlife for bushmeat and traditional medicine in East, South and Southeast Asia: current knowledge base, challenges, opportunities and areas for future research. Occasional Paper 115.","type":"report"},"uris":["http://www.mendeley.com/documents/?uuid=bae8b825-3458-4133-9106-48d41f41b7da"]}],"mendeley":{"formattedCitation":"(Lee et al. 2014)","plainTextFormattedCitation":"(Lee et al. 2014)","previouslyFormattedCitation":"(Lee et al. 2014)"},"properties":{"noteIndex":0},"schema":"https://github.com/citation-style-language/schema/raw/master/csl-citation.json"}</w:instrText>
      </w:r>
      <w:r w:rsidR="00424E9D" w:rsidRPr="00424E9D">
        <w:rPr>
          <w:color w:val="000000" w:themeColor="text1"/>
        </w:rPr>
        <w:fldChar w:fldCharType="separate"/>
      </w:r>
      <w:r w:rsidR="00424E9D" w:rsidRPr="00424E9D">
        <w:rPr>
          <w:noProof/>
          <w:color w:val="000000" w:themeColor="text1"/>
        </w:rPr>
        <w:t>(Lee et al. 2014)</w:t>
      </w:r>
      <w:r w:rsidR="00424E9D" w:rsidRPr="00424E9D">
        <w:rPr>
          <w:color w:val="000000" w:themeColor="text1"/>
        </w:rPr>
        <w:fldChar w:fldCharType="end"/>
      </w:r>
      <w:r w:rsidR="00424E9D" w:rsidRPr="00424E9D">
        <w:rPr>
          <w:color w:val="000000" w:themeColor="text1"/>
        </w:rPr>
        <w:t xml:space="preserve">, </w:t>
      </w:r>
      <w:r w:rsidRPr="00424E9D">
        <w:rPr>
          <w:color w:val="000000" w:themeColor="text1"/>
        </w:rPr>
        <w:t>reflecti</w:t>
      </w:r>
      <w:r w:rsidR="00063F16" w:rsidRPr="00424E9D">
        <w:rPr>
          <w:color w:val="000000" w:themeColor="text1"/>
        </w:rPr>
        <w:t xml:space="preserve">ng </w:t>
      </w:r>
      <w:r w:rsidRPr="00424E9D">
        <w:rPr>
          <w:color w:val="000000" w:themeColor="text1"/>
        </w:rPr>
        <w:t>local</w:t>
      </w:r>
      <w:r w:rsidRPr="00BC1092">
        <w:rPr>
          <w:color w:val="000000" w:themeColor="text1"/>
        </w:rPr>
        <w:t xml:space="preserve"> declines of many larger-bodie</w:t>
      </w:r>
      <w:r w:rsidR="00B57336" w:rsidRPr="00BC1092">
        <w:rPr>
          <w:color w:val="000000" w:themeColor="text1"/>
        </w:rPr>
        <w:t>d</w:t>
      </w:r>
      <w:r w:rsidRPr="00BC1092">
        <w:rPr>
          <w:color w:val="000000" w:themeColor="text1"/>
        </w:rPr>
        <w:t xml:space="preserve"> species </w:t>
      </w:r>
      <w:r w:rsidR="00B60A1D">
        <w:rPr>
          <w:color w:val="000000" w:themeColor="text1"/>
        </w:rPr>
        <w:fldChar w:fldCharType="begin" w:fldLock="1"/>
      </w:r>
      <w:r w:rsidR="00B60A1D">
        <w:rPr>
          <w:color w:val="000000" w:themeColor="text1"/>
        </w:rPr>
        <w:instrText>ADDIN CSL_CITATION {"citationItems":[{"id":"ITEM-1","itemData":{"DOI":"10.1111/j.1744-7429.2007.00271.x","ISBN":"00063606","ISSN":"00063606","abstract":"People have hunted mammals in tropical Asian forests for at least 40,000 yr. This period has seen one confirmed global extinction (the giant pangolin, Manis palaeojavanica) and range restrictions for several large mammals, but there is no strong evidence for unsustainable hunting pressure until the last 2000–3000 yr, when elephants, rhinoceroses, and several other species were progressively eliminated from the large parts of their ranges. Regional declines in most species have occurred largely within the last 50 yr. Recent subsistence hunting has typically focused on pigs and deer (hunted with dogs and spears or with snares), monkeys and other arboreal mammals (often caught with blowpipes), and porcupines and other rodents (smoked or dug out of burrows). Over the last 50 yr, the importance of hunting for subsistence has been increasingly outweighed by hunting for the market. The hunted biomass is dominated by the same species as before, sold mostly for local consumption, but numerous additional species are targeted for the colossal regional trade in wild animals and their parts for food, medicines, raw materials, and pets. Many populations of mammalian dispersers of large seeds and understory browsers have been depleted or eliminated, while seed predators have had a more variable fate.Most of this hunting is now illegal, but the law enforcement is generally weak. However, examples of successful enforcement show that hunting impacts can be greatly reduced where there is sufficient political will. Ending the trade in wild animals and their parts should have the highest regional conservation priority","author":[{"dropping-particle":"","family":"Corlett","given":"Richard T.","non-dropping-particle":"","parse-names":false,"suffix":""}],"container-title":"Biotropica","id":"ITEM-1","issue":"3","issued":{"date-parts":[["2007"]]},"page":"292-303","title":"The impact of hunting on the mammalian fauna of tropical Asian forests","type":"article-journal","volume":"39"},"uris":["http://www.mendeley.com/documents/?uuid=822c279d-e311-4945-8bd6-c6262466157b"]}],"mendeley":{"formattedCitation":"(Corlett 2007)","plainTextFormattedCitation":"(Corlett 2007)","previouslyFormattedCitation":"(Corlett 2007)"},"properties":{"noteIndex":0},"schema":"https://github.com/citation-style-language/schema/raw/master/csl-citation.json"}</w:instrText>
      </w:r>
      <w:r w:rsidR="00B60A1D">
        <w:rPr>
          <w:color w:val="000000" w:themeColor="text1"/>
        </w:rPr>
        <w:fldChar w:fldCharType="separate"/>
      </w:r>
      <w:r w:rsidR="00B60A1D" w:rsidRPr="00B60A1D">
        <w:rPr>
          <w:noProof/>
          <w:color w:val="000000" w:themeColor="text1"/>
        </w:rPr>
        <w:t>(Corlett 2007)</w:t>
      </w:r>
      <w:r w:rsidR="00B60A1D">
        <w:rPr>
          <w:color w:val="000000" w:themeColor="text1"/>
        </w:rPr>
        <w:fldChar w:fldCharType="end"/>
      </w:r>
      <w:r w:rsidRPr="00BC1092">
        <w:rPr>
          <w:color w:val="000000" w:themeColor="text1"/>
        </w:rPr>
        <w:t>.</w:t>
      </w:r>
      <w:r w:rsidR="00950208" w:rsidRPr="00BC1092">
        <w:rPr>
          <w:color w:val="000000" w:themeColor="text1"/>
        </w:rPr>
        <w:t xml:space="preserve"> Recently, analysis of primate </w:t>
      </w:r>
      <w:r w:rsidR="00950208">
        <w:rPr>
          <w:color w:val="000000" w:themeColor="text1"/>
        </w:rPr>
        <w:t xml:space="preserve">densities in </w:t>
      </w:r>
      <w:r w:rsidR="00950208" w:rsidRPr="00CE2DC4">
        <w:rPr>
          <w:color w:val="333333"/>
          <w:sz w:val="23"/>
          <w:szCs w:val="23"/>
          <w:shd w:val="clear" w:color="auto" w:fill="FFFFFF"/>
        </w:rPr>
        <w:t>166</w:t>
      </w:r>
      <w:r w:rsidR="00950208" w:rsidRPr="00950208">
        <w:t xml:space="preserve"> </w:t>
      </w:r>
      <w:r w:rsidR="00950208">
        <w:t>h</w:t>
      </w:r>
      <w:r w:rsidR="00950208">
        <w:rPr>
          <w:color w:val="000000" w:themeColor="text1"/>
        </w:rPr>
        <w:t>unted Amazonian sites demonstrated that hunting has a significant effect on primate assemblage, with large-bodied primate populations collapsing at higher levels of hunting pressure</w:t>
      </w:r>
      <w:r w:rsidR="00C10041">
        <w:rPr>
          <w:color w:val="000000" w:themeColor="text1"/>
        </w:rPr>
        <w:t xml:space="preserve"> </w:t>
      </w:r>
      <w:r w:rsidR="00B60A1D">
        <w:rPr>
          <w:color w:val="000000" w:themeColor="text1"/>
        </w:rPr>
        <w:fldChar w:fldCharType="begin" w:fldLock="1"/>
      </w:r>
      <w:r w:rsidR="00763BF5">
        <w:rPr>
          <w:color w:val="000000" w:themeColor="text1"/>
        </w:rPr>
        <w:instrText xml:space="preserve">ADDIN CSL_CITATION {"citationItems":[{"id":"ITEM-1","itemData":{"DOI":"10.1073/pnas.1516525113","ISBN":"1215421109","ISSN":"0027-8424","PMID":"22393313","abstract":"Tropical forests are the global cornerstone of biological diversity, and store 55% of the forest carbon stock globally, yet sustained provisioning of these forest ecosystem services may be threatened by hunting-induced extinctions of plant–animal mutualisms that maintain long-term forest dynamics. Large-bodied Atelinae primates and tapirs in particular offer nonredundant seed-dispersal services for many large-seeded Neotropical tree species, which on average have higher wood density than smaller-seeded and wind-dispersed trees. We used field data and models to project the spatial impact of hunting on large primates by </w:instrText>
      </w:r>
      <w:r w:rsidR="00763BF5">
        <w:rPr>
          <w:rFonts w:ascii="Cambria Math" w:hAnsi="Cambria Math" w:cs="Cambria Math"/>
          <w:color w:val="000000" w:themeColor="text1"/>
        </w:rPr>
        <w:instrText>∼</w:instrText>
      </w:r>
      <w:r w:rsidR="00763BF5">
        <w:rPr>
          <w:color w:val="000000" w:themeColor="text1"/>
        </w:rPr>
        <w:instrText>1 million rural households throughout the Brazilian Amazon. We then used a unique baseline dataset on 2,345 1-ha tree plots arrayed across the Brazilian Amazon to model changes in aboveground forest biomass under different scenarios of hunting-induced large-bodied frugivore extirpation. We project that defaunation of the most harvest-sensitive species will lead to losses in aboveground biomass of between 2.5–5.8% on average, with some losses as high as 26.5–37.8%. These findings highlight an urgent need to manage the sustainability of game hunting in both protected and unprotected tropical forests, and place full biodiversity integrity, including populations of large frugivorous vertebrates, firmly in the agenda of reducing emissions from deforestation and forest degradation (REDD+) programs.","author":[{"dropping-particle":"","family":"Peres","given":"Carlos A","non-dropping-particle":"","parse-names":false,"suffix":""},{"dropping-particle":"","family":"Thaise","given":"Emilio","non-dropping-particle":"","parse-names":false,"suffix":""},{"dropping-particle":"","family":"Schietti","given":"Juliana","non-dropping-particle":"","parse-names":false,"suffix":""},{"dropping-particle":"","family":"Desmoulieres","given":"S. J. M.","non-dropping-particle":"","parse-names":false,"suffix":""},{"dropping-particle":"","family":"Levi","given":"Taal","non-dropping-particle":"","parse-names":false,"suffix":""}],"container-title":"Proceedings of the National Academy of Sciences of the United States of America","id":"ITEM-1","issue":"4","issued":{"date-parts":[["2016"]]},"page":"892–897","title":"Dispersal limitation induces long-term biomass collapse in overhunted Amazonian forests","type":"article-journal","volume":"113"},"uris":["http://www.mendeley.com/documents/?uuid=dee9ce3b-561b-4b66-bea3-d8180c51a918"]}],"mendeley":{"formattedCitation":"(Peres et al. 2016)","plainTextFormattedCitation":"(Peres et al. 2016)","previouslyFormattedCitation":"(Peres et al. 2016)"},"properties":{"noteIndex":0},"schema":"https://github.com/citation-style-language/schema/raw/master/csl-citation.json"}</w:instrText>
      </w:r>
      <w:r w:rsidR="00B60A1D">
        <w:rPr>
          <w:color w:val="000000" w:themeColor="text1"/>
        </w:rPr>
        <w:fldChar w:fldCharType="separate"/>
      </w:r>
      <w:r w:rsidR="00763BF5" w:rsidRPr="00763BF5">
        <w:rPr>
          <w:noProof/>
          <w:color w:val="000000" w:themeColor="text1"/>
        </w:rPr>
        <w:t>(Peres et al. 2016)</w:t>
      </w:r>
      <w:r w:rsidR="00B60A1D">
        <w:rPr>
          <w:color w:val="000000" w:themeColor="text1"/>
        </w:rPr>
        <w:fldChar w:fldCharType="end"/>
      </w:r>
      <w:r w:rsidR="00950208">
        <w:rPr>
          <w:color w:val="000000" w:themeColor="text1"/>
        </w:rPr>
        <w:t xml:space="preserve"> (</w:t>
      </w:r>
      <w:r w:rsidR="00950208">
        <w:rPr>
          <w:color w:val="000000" w:themeColor="text1"/>
        </w:rPr>
        <w:fldChar w:fldCharType="begin"/>
      </w:r>
      <w:r w:rsidR="00950208">
        <w:rPr>
          <w:color w:val="000000" w:themeColor="text1"/>
        </w:rPr>
        <w:instrText xml:space="preserve"> REF _Ref520293822 \h </w:instrText>
      </w:r>
      <w:r w:rsidR="00950208">
        <w:rPr>
          <w:color w:val="000000" w:themeColor="text1"/>
        </w:rPr>
      </w:r>
      <w:r w:rsidR="00950208">
        <w:rPr>
          <w:color w:val="000000" w:themeColor="text1"/>
        </w:rPr>
        <w:fldChar w:fldCharType="separate"/>
      </w:r>
      <w:r w:rsidR="007034F1" w:rsidRPr="00D06CAC">
        <w:t xml:space="preserve">Figure </w:t>
      </w:r>
      <w:r w:rsidR="007034F1">
        <w:rPr>
          <w:noProof/>
        </w:rPr>
        <w:t>6</w:t>
      </w:r>
      <w:r w:rsidR="00950208">
        <w:rPr>
          <w:color w:val="000000" w:themeColor="text1"/>
        </w:rPr>
        <w:fldChar w:fldCharType="end"/>
      </w:r>
      <w:r w:rsidR="00950208">
        <w:rPr>
          <w:color w:val="000000" w:themeColor="text1"/>
        </w:rPr>
        <w:t>).</w:t>
      </w:r>
    </w:p>
    <w:p w14:paraId="0555E27A" w14:textId="4ADE0FF4" w:rsidR="000C1494" w:rsidRDefault="000C1494" w:rsidP="00C258BC">
      <w:pPr>
        <w:jc w:val="both"/>
        <w:rPr>
          <w:color w:val="000000" w:themeColor="text1"/>
        </w:rPr>
      </w:pPr>
    </w:p>
    <w:p w14:paraId="4416CEDE" w14:textId="16165B00" w:rsidR="000C1494" w:rsidRDefault="000C1494" w:rsidP="00C258BC">
      <w:pPr>
        <w:jc w:val="both"/>
        <w:rPr>
          <w:color w:val="000000" w:themeColor="text1"/>
        </w:rPr>
      </w:pPr>
      <w:r w:rsidRPr="00F50C62">
        <w:rPr>
          <w:noProof/>
          <w:color w:val="000000" w:themeColor="text1"/>
          <w:lang w:val="en-US"/>
        </w:rPr>
        <w:drawing>
          <wp:inline distT="0" distB="0" distL="0" distR="0" wp14:anchorId="72ADBB34" wp14:editId="25C62C02">
            <wp:extent cx="5359052" cy="4303986"/>
            <wp:effectExtent l="0" t="0" r="635"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371546" cy="4314020"/>
                    </a:xfrm>
                    <a:prstGeom prst="rect">
                      <a:avLst/>
                    </a:prstGeom>
                  </pic:spPr>
                </pic:pic>
              </a:graphicData>
            </a:graphic>
          </wp:inline>
        </w:drawing>
      </w:r>
    </w:p>
    <w:p w14:paraId="52779029" w14:textId="41B8957E" w:rsidR="000C1494" w:rsidRDefault="000C1494" w:rsidP="00C258BC">
      <w:pPr>
        <w:jc w:val="both"/>
        <w:rPr>
          <w:color w:val="000000" w:themeColor="text1"/>
        </w:rPr>
      </w:pPr>
    </w:p>
    <w:p w14:paraId="0FFD861F" w14:textId="301936E2" w:rsidR="001C1D6E" w:rsidRPr="00E86047" w:rsidRDefault="00D06CAC" w:rsidP="00E86047">
      <w:pPr>
        <w:pStyle w:val="Caption"/>
        <w:jc w:val="both"/>
        <w:rPr>
          <w:b w:val="0"/>
        </w:rPr>
      </w:pPr>
      <w:bookmarkStart w:id="122" w:name="_Ref520293822"/>
      <w:r w:rsidRPr="00D06CAC">
        <w:t xml:space="preserve">Figure </w:t>
      </w:r>
      <w:r w:rsidRPr="00D06CAC">
        <w:fldChar w:fldCharType="begin"/>
      </w:r>
      <w:r w:rsidRPr="00D06CAC">
        <w:instrText xml:space="preserve"> SEQ Figure \* ARABIC </w:instrText>
      </w:r>
      <w:r w:rsidRPr="00D06CAC">
        <w:fldChar w:fldCharType="separate"/>
      </w:r>
      <w:r w:rsidR="004873F0">
        <w:rPr>
          <w:noProof/>
        </w:rPr>
        <w:t>6</w:t>
      </w:r>
      <w:r w:rsidRPr="00D06CAC">
        <w:fldChar w:fldCharType="end"/>
      </w:r>
      <w:bookmarkEnd w:id="122"/>
      <w:r w:rsidRPr="00D06CAC">
        <w:t>: Relationships between primate body mass and population biomass density at 166 Amazonian forest sites surveyed to date, showing the local extirpation or population collapse of large-bodied</w:t>
      </w:r>
      <w:r w:rsidR="006740B0">
        <w:t xml:space="preserve"> monkeys</w:t>
      </w:r>
      <w:r w:rsidRPr="00D06CAC">
        <w:t xml:space="preserve"> in heavily hunted sites. </w:t>
      </w:r>
      <w:r w:rsidRPr="00D06CAC">
        <w:rPr>
          <w:b w:val="0"/>
        </w:rPr>
        <w:t>All forest sites were hunted to varying degrees but were otherwise structurally undisturbed at the time of line-transect surveys. Data are presented for four major classes of hunting pressure (none, light, moderate, and heavy) Black lines represent smoothers within 95% CI regions. Reproduced from</w:t>
      </w:r>
      <w:r w:rsidR="00B60A1D" w:rsidRPr="00B60A1D">
        <w:rPr>
          <w:b w:val="0"/>
          <w:noProof/>
        </w:rPr>
        <w:t xml:space="preserve"> Peres et al. </w:t>
      </w:r>
      <w:r w:rsidR="00B60A1D">
        <w:rPr>
          <w:b w:val="0"/>
        </w:rPr>
        <w:fldChar w:fldCharType="begin" w:fldLock="1"/>
      </w:r>
      <w:r w:rsidR="00763BF5">
        <w:rPr>
          <w:b w:val="0"/>
        </w:rPr>
        <w:instrText xml:space="preserve">ADDIN CSL_CITATION {"citationItems":[{"id":"ITEM-1","itemData":{"DOI":"10.1073/pnas.1516525113","ISBN":"1215421109","ISSN":"0027-8424","PMID":"22393313","abstract":"Tropical forests are the global cornerstone of biological diversity, and store 55% of the forest carbon stock globally, yet sustained provisioning of these forest ecosystem services may be threatened by hunting-induced extinctions of plant–animal mutualisms that maintain long-term forest dynamics. Large-bodied Atelinae primates and tapirs in particular offer nonredundant seed-dispersal services for many large-seeded Neotropical tree species, which on average have higher wood density than smaller-seeded and wind-dispersed trees. We used field data and models to project the spatial impact of hunting on large primates by </w:instrText>
      </w:r>
      <w:r w:rsidR="00763BF5">
        <w:rPr>
          <w:rFonts w:ascii="Cambria Math" w:hAnsi="Cambria Math" w:cs="Cambria Math"/>
          <w:b w:val="0"/>
        </w:rPr>
        <w:instrText>∼</w:instrText>
      </w:r>
      <w:r w:rsidR="00763BF5">
        <w:rPr>
          <w:b w:val="0"/>
        </w:rPr>
        <w:instrText>1 million rural households throughout the Brazilian Amazon. We then used a unique baseline dataset on 2,345 1-ha tree plots arrayed across the Brazilian Amazon to model changes in aboveground forest biomass under different scenarios of hunting-induced large-bodied frugivore extirpation. We project that defaunation of the most harvest-sensitive species will lead to losses in aboveground biomass of between 2.5–5.8% on average, with some losses as high as 26.5–37.8%. These findings highlight an urgent need to manage the sustainability of game hunting in both protected and unprotected tropical forests, and place full biodiversity integrity, including populations of large frugivorous vertebrates, firmly in the agenda of reducing emissions from deforestation and forest degradation (REDD+) programs.","author":[{"dropping-particle":"","family":"Peres","given":"Carlos A","non-dropping-particle":"","parse-names":false,"suffix":""},{"dropping-particle":"","family":"Thaise","given":"Emilio","non-dropping-particle":"","parse-names":false,"suffix":""},{"dropping-particle":"","family":"Schietti","given":"Juliana","non-dropping-particle":"","parse-names":false,"suffix":""},{"dropping-particle":"","family":"Desmoulieres","given":"S. J. M.","non-dropping-particle":"","parse-names":false,"suffix":""},{"dropping-particle":"","family":"Levi","given":"Taal","non-dropping-particle":"","parse-names":false,"suffix":""}],"container-title":"Proceedings of the National Academy of Sciences of the United States of America","id":"ITEM-1","issue":"4","issued":{"date-parts":[["2016"]]},"page":"892–897","title":"Dispersal limitation induces long-term biomass collapse in overhunted Amazonian forests","type":"article-journal","volume":"113"},"uris":["http://www.mendeley.com/documents/?uuid=dee9ce3b-561b-4b66-bea3-d8180c51a918"]}],"mendeley":{"formattedCitation":"(Peres et al. 2016)","manualFormatting":"( 2015)","plainTextFormattedCitation":"(Peres et al. 2016)","previouslyFormattedCitation":"(Peres et al. 2016)"},"properties":{"noteIndex":0},"schema":"https://github.com/citation-style-language/schema/raw/master/csl-citation.json"}</w:instrText>
      </w:r>
      <w:r w:rsidR="00B60A1D">
        <w:rPr>
          <w:b w:val="0"/>
        </w:rPr>
        <w:fldChar w:fldCharType="separate"/>
      </w:r>
      <w:r w:rsidR="00B60A1D" w:rsidRPr="00B60A1D">
        <w:rPr>
          <w:b w:val="0"/>
          <w:noProof/>
        </w:rPr>
        <w:t>( 2015)</w:t>
      </w:r>
      <w:r w:rsidR="00B60A1D">
        <w:rPr>
          <w:b w:val="0"/>
        </w:rPr>
        <w:fldChar w:fldCharType="end"/>
      </w:r>
      <w:r w:rsidR="00FC6940">
        <w:rPr>
          <w:b w:val="0"/>
        </w:rPr>
        <w:t>.</w:t>
      </w:r>
    </w:p>
    <w:p w14:paraId="0D2050A1" w14:textId="77777777" w:rsidR="009C0863" w:rsidRPr="0070404D" w:rsidRDefault="009C0863" w:rsidP="00DF57F3">
      <w:pPr>
        <w:pStyle w:val="Heading2"/>
      </w:pPr>
      <w:bookmarkStart w:id="123" w:name="_Toc517693752"/>
      <w:bookmarkStart w:id="124" w:name="_Toc519156096"/>
      <w:bookmarkStart w:id="125" w:name="_Toc529390352"/>
      <w:r w:rsidRPr="0070404D">
        <w:t>Impacts on wildlife distribution across the landscape</w:t>
      </w:r>
      <w:bookmarkEnd w:id="123"/>
      <w:bookmarkEnd w:id="124"/>
      <w:bookmarkEnd w:id="125"/>
    </w:p>
    <w:p w14:paraId="220A830C" w14:textId="439A40E5" w:rsidR="006E4807" w:rsidRDefault="007C1ED8" w:rsidP="00C258BC">
      <w:pPr>
        <w:jc w:val="both"/>
        <w:rPr>
          <w:shd w:val="clear" w:color="auto" w:fill="FFFFFF"/>
        </w:rPr>
      </w:pPr>
      <w:r>
        <w:rPr>
          <w:shd w:val="clear" w:color="auto" w:fill="FFFFFF"/>
        </w:rPr>
        <w:t>Local communities tend to</w:t>
      </w:r>
      <w:r w:rsidR="00434956">
        <w:rPr>
          <w:shd w:val="clear" w:color="auto" w:fill="FFFFFF"/>
        </w:rPr>
        <w:t xml:space="preserve"> gather food resources in a halo around the</w:t>
      </w:r>
      <w:r>
        <w:rPr>
          <w:shd w:val="clear" w:color="auto" w:fill="FFFFFF"/>
        </w:rPr>
        <w:t>ir</w:t>
      </w:r>
      <w:r w:rsidR="00434956">
        <w:rPr>
          <w:shd w:val="clear" w:color="auto" w:fill="FFFFFF"/>
        </w:rPr>
        <w:t xml:space="preserve"> village, and village hunters will usually travel less than 10 km from the village during a day</w:t>
      </w:r>
      <w:r w:rsidR="00BF318E">
        <w:rPr>
          <w:shd w:val="clear" w:color="auto" w:fill="FFFFFF"/>
        </w:rPr>
        <w:t xml:space="preserve"> trip </w:t>
      </w:r>
      <w:r w:rsidR="00BF318E">
        <w:rPr>
          <w:shd w:val="clear" w:color="auto" w:fill="FFFFFF"/>
        </w:rPr>
        <w:fldChar w:fldCharType="begin" w:fldLock="1"/>
      </w:r>
      <w:r w:rsidR="00B2630D">
        <w:rPr>
          <w:shd w:val="clear" w:color="auto" w:fill="FFFFFF"/>
        </w:rPr>
        <w:instrText>ADDIN CSL_CITATION {"citationItems":[{"id":"ITEM-1","itemData":{"DOI":"10.1098/rstb.2012.0303","ISBN":"1471-2970 (Electronic)\\n0962-8436 (Linking)","ISSN":"1471-2970","PMID":"23878333","abstract":"Humans have hunted wildlife in Central Africa for millennia. Today, however, many species are being rapidly extirpated and sanctuaries for wildlife are dwindling. Almost all Central Africa's forests are now accessible to hunters. Drastic declines of large mammals have been caused in the past 20 years by the commercial trade for meat or ivory. We review a growing body of empirical data which shows that trophic webs are significantly disrupted in the region, with knock-on effects for other ecological functions, including seed dispersal and forest regeneration. Plausible scenarios for land-use change indicate that increasing extraction pressure on Central African forests is likely to usher in new worker populations and to intensify the hunting impacts and trophic cascade disruption already in progress, unless serious efforts are made for hunting regulation. The profound ecological changes initiated by hunting will not mitigate and may even exacerbate the predicted effects of climate change for the region. We hypothesize that, in the near future, the trophic changes brought about by hunting will have a larger and more rapid impact on Central African rainforest structure and function than the direct impacts of climate change on the vegetation. Immediate hunting regulation is vital for the survival of the Central African rainforest ecosystem.","author":[{"dropping-particle":"","family":"Abernethy","given":"K.A.","non-dropping-particle":"","parse-names":false,"suffix":""},{"dropping-particle":"","family":"Coad","given":"L.","non-dropping-particle":"","parse-names":false,"suffix":""},{"dropping-particle":"","family":"Taylor","given":"G.","non-dropping-particle":"","parse-names":false,"suffix":""},{"dropping-particle":"","family":"Lee","given":"M E","non-dropping-particle":"","parse-names":false,"suffix":""},{"dropping-particle":"","family":"Maisels","given":"F.","non-dropping-particle":"","parse-names":false,"suffix":""}],"container-title":"Philosophical transactions of the Royal Society of London. Series B, Biological sciences","id":"ITEM-1","issued":{"date-parts":[["2013"]]},"page":"20120303","title":"Extent and ecological consequences of hunting in Central African rainforests in the twenty-first century.","type":"article-journal","volume":"368"},"uris":["http://www.mendeley.com/documents/?uuid=18796464-9ea5-47fb-afcb-938cbd1dcd95"]}],"mendeley":{"formattedCitation":"(Abernethy et al. 2013b)","plainTextFormattedCitation":"(Abernethy et al. 2013b)","previouslyFormattedCitation":"(Abernethy et al. 2013b)"},"properties":{"noteIndex":0},"schema":"https://github.com/citation-style-language/schema/raw/master/csl-citation.json"}</w:instrText>
      </w:r>
      <w:r w:rsidR="00BF318E">
        <w:rPr>
          <w:shd w:val="clear" w:color="auto" w:fill="FFFFFF"/>
        </w:rPr>
        <w:fldChar w:fldCharType="separate"/>
      </w:r>
      <w:r w:rsidR="008E47ED">
        <w:rPr>
          <w:noProof/>
          <w:shd w:val="clear" w:color="auto" w:fill="FFFFFF"/>
        </w:rPr>
        <w:t>(Abernethy et al. 2013</w:t>
      </w:r>
      <w:r w:rsidR="00BF318E" w:rsidRPr="00BF318E">
        <w:rPr>
          <w:noProof/>
          <w:shd w:val="clear" w:color="auto" w:fill="FFFFFF"/>
        </w:rPr>
        <w:t>)</w:t>
      </w:r>
      <w:r w:rsidR="00BF318E">
        <w:rPr>
          <w:shd w:val="clear" w:color="auto" w:fill="FFFFFF"/>
        </w:rPr>
        <w:fldChar w:fldCharType="end"/>
      </w:r>
      <w:r w:rsidR="00BF318E">
        <w:rPr>
          <w:shd w:val="clear" w:color="auto" w:fill="FFFFFF"/>
        </w:rPr>
        <w:t>.</w:t>
      </w:r>
      <w:r w:rsidR="00063F16">
        <w:rPr>
          <w:shd w:val="clear" w:color="auto" w:fill="FFFFFF"/>
        </w:rPr>
        <w:t xml:space="preserve"> This results </w:t>
      </w:r>
      <w:r w:rsidR="00F96266">
        <w:rPr>
          <w:shd w:val="clear" w:color="auto" w:fill="FFFFFF"/>
        </w:rPr>
        <w:t xml:space="preserve">in a depletion halo </w:t>
      </w:r>
      <w:r w:rsidR="00F3576B">
        <w:rPr>
          <w:shd w:val="clear" w:color="auto" w:fill="FFFFFF"/>
        </w:rPr>
        <w:t>for</w:t>
      </w:r>
      <w:r w:rsidR="00F96266">
        <w:rPr>
          <w:shd w:val="clear" w:color="auto" w:fill="FFFFFF"/>
        </w:rPr>
        <w:t xml:space="preserve"> harvest-sensitive (generally large- and medium-bodied</w:t>
      </w:r>
      <w:r w:rsidR="00441364">
        <w:rPr>
          <w:shd w:val="clear" w:color="auto" w:fill="FFFFFF"/>
        </w:rPr>
        <w:t>)</w:t>
      </w:r>
      <w:r w:rsidR="00F96266">
        <w:rPr>
          <w:shd w:val="clear" w:color="auto" w:fill="FFFFFF"/>
        </w:rPr>
        <w:t xml:space="preserve"> species </w:t>
      </w:r>
      <w:r w:rsidR="00A4761C">
        <w:rPr>
          <w:shd w:val="clear" w:color="auto" w:fill="FFFFFF"/>
        </w:rPr>
        <w:fldChar w:fldCharType="begin" w:fldLock="1"/>
      </w:r>
      <w:r w:rsidR="00184775">
        <w:rPr>
          <w:shd w:val="clear" w:color="auto" w:fill="FFFFFF"/>
        </w:rPr>
        <w:instrText>ADDIN CSL_CITATION {"citationItems":[{"id":"ITEM-1","itemData":{"author":[{"dropping-particle":"","family":"Parry","given":"Luke","non-dropping-particle":"","parse-names":false,"suffix":""},{"dropping-particle":"","family":"Peres","given":"Carlos A","non-dropping-particle":"","parse-names":false,"suffix":""}],"container-title":"Ecology and Society","id":"ITEM-1","issue":"3","issued":{"date-parts":[["2015"]]},"page":"15","title":"Evaluating the use of local ecological knowledge to monitor hunted tropical- forest wildlife over large spatial scales","type":"article-journal","volume":"20"},"uris":["http://www.mendeley.com/documents/?uuid=bafd867b-0b26-4cd3-90be-e0a258879d74"]},{"id":"ITEM-2","itemData":{"author":[{"dropping-particle":"","family":"Constantino","given":"Pedro de Araujo Lima","non-dropping-particle":"","parse-names":false,"suffix":""}],"container-title":"Ecology and Society","id":"ITEM-2","issue":"2","issued":{"date-parts":[["2016"]]},"page":"3","title":"Deforestation and hunting effects on wildlife across Amazonian indigenous lands","type":"article-journal","volume":"21"},"uris":["http://www.mendeley.com/documents/?uuid=1d81229c-f0bb-41c0-ac05-1ed648a34164"]},{"id":"ITEM-3","itemData":{"ISBN":"1111111111","author":[{"dropping-particle":"","family":"Abrahams","given":"Mark I","non-dropping-particle":"","parse-names":false,"suffix":""},{"dropping-particle":"","family":"Peres","given":"Carlos A","non-dropping-particle":"","parse-names":false,"suffix":""},{"dropping-particle":"","family":"Costa","given":"Hugo C M","non-dropping-particle":"","parse-names":false,"suffix":""}],"container-title":"PLoS ONE","id":"ITEM-3","issue":"10","issued":{"date-parts":[["2017"]]},"page":"e0186653","title":"Measuring local depletion of terrestrial game vertebrates by central-place hunters in rural Amazonia","type":"article-journal","volume":"12"},"uris":["http://www.mendeley.com/documents/?uuid=b0b3ea27-3016-48db-beb7-521ab920fe2a"]},{"id":"ITEM-4","itemData":{"author":[{"dropping-particle":"","family":"Benítez-López","given":"A.","non-dropping-particle":"","parse-names":false,"suffix":""},{"dropping-particle":"","family":"Alkemade","given":"J. R. M.","non-dropping-particle":"","parse-names":false,"suffix":""},{"dropping-particle":"","family":"Schipper","given":"A. M.","non-dropping-particle":"","parse-names":false,"suffix":""},{"dropping-particle":"","family":"Ingram","given":"D. J.","non-dropping-particle":"","parse-names":false,"suffix":""},{"dropping-particle":"","family":"Verweij","given":"P. A.","non-dropping-particle":"","parse-names":false,"suffix":""},{"dropping-particle":"","family":"Eikelboom","given":"J.","non-dropping-particle":"","parse-names":false,"suffix":""},{"dropping-particle":"","family":"Huijbregts","given":"M.","non-dropping-particle":"","parse-names":false,"suffix":""}],"container-title":"Science","id":"ITEM-4","issued":{"date-parts":[["2017"]]},"page":"180-183","title":"The impact of hunting on tropical mammal and bird populations","type":"article-journal","volume":"356"},"uris":["http://www.mendeley.com/documents/?uuid=33a33e13-a73a-4638-b742-479f8b6af55c"]}],"mendeley":{"formattedCitation":"(Parry &amp; Peres 2015; Constantino 2016; Abrahams et al. 2017; Benítez-López et al. 2017)","manualFormatting":"(Parry and Peres, 2015; Abrahams et al., 2017; Benítez-López et al., 2017; Constantino, 2018)","plainTextFormattedCitation":"(Parry &amp; Peres 2015; Constantino 2016; Abrahams et al. 2017; Benítez-López et al. 2017)","previouslyFormattedCitation":"(Parry &amp; Peres 2015; Constantino 2016; Abrahams et al. 2017; Benítez-López et al. 2017)"},"properties":{"noteIndex":0},"schema":"https://github.com/citation-style-language/schema/raw/master/csl-citation.json"}</w:instrText>
      </w:r>
      <w:r w:rsidR="00A4761C">
        <w:rPr>
          <w:shd w:val="clear" w:color="auto" w:fill="FFFFFF"/>
        </w:rPr>
        <w:fldChar w:fldCharType="separate"/>
      </w:r>
      <w:r w:rsidR="00A4761C" w:rsidRPr="006740B0">
        <w:rPr>
          <w:noProof/>
          <w:shd w:val="clear" w:color="auto" w:fill="FFFFFF"/>
        </w:rPr>
        <w:t xml:space="preserve">(Parry </w:t>
      </w:r>
      <w:r w:rsidR="008806AC" w:rsidRPr="006740B0">
        <w:rPr>
          <w:noProof/>
          <w:shd w:val="clear" w:color="auto" w:fill="FFFFFF"/>
        </w:rPr>
        <w:t>and</w:t>
      </w:r>
      <w:r w:rsidR="00A4761C" w:rsidRPr="006740B0">
        <w:rPr>
          <w:noProof/>
          <w:shd w:val="clear" w:color="auto" w:fill="FFFFFF"/>
        </w:rPr>
        <w:t xml:space="preserve"> Peres</w:t>
      </w:r>
      <w:r w:rsidR="008806AC" w:rsidRPr="006740B0">
        <w:rPr>
          <w:noProof/>
          <w:shd w:val="clear" w:color="auto" w:fill="FFFFFF"/>
        </w:rPr>
        <w:t>,</w:t>
      </w:r>
      <w:r w:rsidR="00A4761C" w:rsidRPr="006740B0">
        <w:rPr>
          <w:noProof/>
          <w:shd w:val="clear" w:color="auto" w:fill="FFFFFF"/>
        </w:rPr>
        <w:t xml:space="preserve"> 2015; Abrahams et al.</w:t>
      </w:r>
      <w:r w:rsidR="008806AC" w:rsidRPr="006740B0">
        <w:rPr>
          <w:noProof/>
          <w:shd w:val="clear" w:color="auto" w:fill="FFFFFF"/>
        </w:rPr>
        <w:t>,</w:t>
      </w:r>
      <w:r w:rsidR="00A4761C" w:rsidRPr="006740B0">
        <w:rPr>
          <w:noProof/>
          <w:shd w:val="clear" w:color="auto" w:fill="FFFFFF"/>
        </w:rPr>
        <w:t xml:space="preserve"> 2017; Benítez-López et al.</w:t>
      </w:r>
      <w:r w:rsidR="008806AC" w:rsidRPr="006740B0">
        <w:rPr>
          <w:noProof/>
          <w:shd w:val="clear" w:color="auto" w:fill="FFFFFF"/>
        </w:rPr>
        <w:t>,</w:t>
      </w:r>
      <w:r w:rsidR="00A4761C" w:rsidRPr="006740B0">
        <w:rPr>
          <w:noProof/>
          <w:shd w:val="clear" w:color="auto" w:fill="FFFFFF"/>
        </w:rPr>
        <w:t xml:space="preserve"> 2017; Constantino</w:t>
      </w:r>
      <w:r w:rsidR="008806AC" w:rsidRPr="006740B0">
        <w:rPr>
          <w:noProof/>
          <w:shd w:val="clear" w:color="auto" w:fill="FFFFFF"/>
        </w:rPr>
        <w:t>,</w:t>
      </w:r>
      <w:r w:rsidR="00A4761C" w:rsidRPr="006740B0">
        <w:rPr>
          <w:noProof/>
          <w:shd w:val="clear" w:color="auto" w:fill="FFFFFF"/>
        </w:rPr>
        <w:t xml:space="preserve"> 2018)</w:t>
      </w:r>
      <w:r w:rsidR="00A4761C">
        <w:rPr>
          <w:shd w:val="clear" w:color="auto" w:fill="FFFFFF"/>
        </w:rPr>
        <w:fldChar w:fldCharType="end"/>
      </w:r>
      <w:r w:rsidR="00F96266" w:rsidRPr="006740B0">
        <w:rPr>
          <w:shd w:val="clear" w:color="auto" w:fill="FFFFFF"/>
        </w:rPr>
        <w:t xml:space="preserve">. </w:t>
      </w:r>
      <w:r w:rsidR="002656D6">
        <w:rPr>
          <w:shd w:val="clear" w:color="auto" w:fill="FFFFFF"/>
        </w:rPr>
        <w:t>M</w:t>
      </w:r>
      <w:r w:rsidR="00EC2EB6">
        <w:rPr>
          <w:shd w:val="clear" w:color="auto" w:fill="FFFFFF"/>
        </w:rPr>
        <w:t>any studies</w:t>
      </w:r>
      <w:r w:rsidR="00434956">
        <w:rPr>
          <w:shd w:val="clear" w:color="auto" w:fill="FFFFFF"/>
        </w:rPr>
        <w:t xml:space="preserve"> also document villag</w:t>
      </w:r>
      <w:r>
        <w:rPr>
          <w:shd w:val="clear" w:color="auto" w:fill="FFFFFF"/>
        </w:rPr>
        <w:t>e hunters' use of hunting camps</w:t>
      </w:r>
      <w:r w:rsidR="00434956">
        <w:rPr>
          <w:shd w:val="clear" w:color="auto" w:fill="FFFFFF"/>
        </w:rPr>
        <w:t xml:space="preserve">, </w:t>
      </w:r>
      <w:r w:rsidR="00171910">
        <w:rPr>
          <w:shd w:val="clear" w:color="auto" w:fill="FFFFFF"/>
        </w:rPr>
        <w:t>which can be</w:t>
      </w:r>
      <w:r w:rsidR="00434956">
        <w:rPr>
          <w:shd w:val="clear" w:color="auto" w:fill="FFFFFF"/>
        </w:rPr>
        <w:t xml:space="preserve"> situated </w:t>
      </w:r>
      <w:r w:rsidR="009446F2">
        <w:rPr>
          <w:shd w:val="clear" w:color="auto" w:fill="FFFFFF"/>
        </w:rPr>
        <w:t>&gt;40</w:t>
      </w:r>
      <w:r w:rsidR="00434956">
        <w:rPr>
          <w:shd w:val="clear" w:color="auto" w:fill="FFFFFF"/>
        </w:rPr>
        <w:t xml:space="preserve"> km from the village, </w:t>
      </w:r>
      <w:r w:rsidR="00E84BB5">
        <w:rPr>
          <w:shd w:val="clear" w:color="auto" w:fill="FFFFFF"/>
        </w:rPr>
        <w:t xml:space="preserve">and </w:t>
      </w:r>
      <w:r>
        <w:rPr>
          <w:shd w:val="clear" w:color="auto" w:fill="FFFFFF"/>
        </w:rPr>
        <w:t xml:space="preserve">which </w:t>
      </w:r>
      <w:r w:rsidR="00434956">
        <w:rPr>
          <w:shd w:val="clear" w:color="auto" w:fill="FFFFFF"/>
        </w:rPr>
        <w:t>are used to catch larger bodied species favoured by the commercial trade</w:t>
      </w:r>
      <w:r>
        <w:rPr>
          <w:shd w:val="clear" w:color="auto" w:fill="FFFFFF"/>
        </w:rPr>
        <w:t xml:space="preserve"> that have become scare close to the village</w:t>
      </w:r>
      <w:r w:rsidR="00BF318E">
        <w:rPr>
          <w:shd w:val="clear" w:color="auto" w:fill="FFFFFF"/>
        </w:rPr>
        <w:fldChar w:fldCharType="begin" w:fldLock="1"/>
      </w:r>
      <w:r w:rsidR="008E47ED">
        <w:rPr>
          <w:shd w:val="clear" w:color="auto" w:fill="FFFFFF"/>
        </w:rPr>
        <w:instrText>ADDIN CSL_CITATION {"citationItems":[{"id":"ITEM-1","itemData":{"DOI":"10.1098/rstb.2012.0303","ISBN":"1471-2970 (Electronic)\\n0962-8436 (Linking)","ISSN":"1471-2970","PMID":"23878333","abstract":"Humans have hunted wildlife in Central Africa for millennia. Today, however, many species are being rapidly extirpated and sanctuaries for wildlife are dwindling. Almost all Central Africa's forests are now accessible to hunters. Drastic declines of large mammals have been caused in the past 20 years by the commercial trade for meat or ivory. We review a growing body of empirical data which shows that trophic webs are significantly disrupted in the region, with knock-on effects for other ecological functions, including seed dispersal and forest regeneration. Plausible scenarios for land-use change indicate that increasing extraction pressure on Central African forests is likely to usher in new worker populations and to intensify the hunting impacts and trophic cascade disruption already in progress, unless serious efforts are made for hunting regulation. The profound ecological changes initiated by hunting will not mitigate and may even exacerbate the predicted effects of climate change for the region. We hypothesize that, in the near future, the trophic changes brought about by hunting will have a larger and more rapid impact on Central African rainforest structure and function than the direct impacts of climate change on the vegetation. Immediate hunting regulation is vital for the survival of the Central African rainforest ecosystem.","author":[{"dropping-particle":"","family":"Abernethy","given":"K.A.","non-dropping-particle":"","parse-names":false,"suffix":""},{"dropping-particle":"","family":"Coad","given":"L.","non-dropping-particle":"","parse-names":false,"suffix":""},{"dropping-particle":"","family":"Taylor","given":"G.","non-dropping-particle":"","parse-names":false,"suffix":""},{"dropping-particle":"","family":"Lee","given":"M E","non-dropping-particle":"","parse-names":false,"suffix":""},{"dropping-particle":"","family":"Maisels","given":"F.","non-dropping-particle":"","parse-names":false,"suffix":""}],"container-title":"Philosophical transactions of the Royal Society of London. Series B, Biological sciences","id":"ITEM-1","issued":{"date-parts":[["2013"]]},"page":"20120303","title":"Extent and ecological consequences of hunting in Central African rainforests in the twenty-first century.","type":"article-journal","volume":"368"},"uris":["http://www.mendeley.com/documents/?uuid=18796464-9ea5-47fb-afcb-938cbd1dcd95"]}],"mendeley":{"formattedCitation":"(Abernethy et al. 2013b)","manualFormatting":"(Abernethy et al. 2013)","plainTextFormattedCitation":"(Abernethy et al. 2013b)","previouslyFormattedCitation":"(Abernethy et al. 2013b)"},"properties":{"noteIndex":0},"schema":"https://github.com/citation-style-language/schema/raw/master/csl-citation.json"}</w:instrText>
      </w:r>
      <w:r w:rsidR="00BF318E">
        <w:rPr>
          <w:shd w:val="clear" w:color="auto" w:fill="FFFFFF"/>
        </w:rPr>
        <w:fldChar w:fldCharType="separate"/>
      </w:r>
      <w:r w:rsidR="00BF318E" w:rsidRPr="00BF318E">
        <w:rPr>
          <w:noProof/>
          <w:shd w:val="clear" w:color="auto" w:fill="FFFFFF"/>
        </w:rPr>
        <w:t xml:space="preserve">(Abernethy et al. </w:t>
      </w:r>
      <w:r w:rsidR="008E47ED">
        <w:rPr>
          <w:noProof/>
          <w:shd w:val="clear" w:color="auto" w:fill="FFFFFF"/>
        </w:rPr>
        <w:lastRenderedPageBreak/>
        <w:t>2013</w:t>
      </w:r>
      <w:r w:rsidR="00BF318E" w:rsidRPr="00BF318E">
        <w:rPr>
          <w:noProof/>
          <w:shd w:val="clear" w:color="auto" w:fill="FFFFFF"/>
        </w:rPr>
        <w:t>)</w:t>
      </w:r>
      <w:r w:rsidR="00BF318E">
        <w:rPr>
          <w:shd w:val="clear" w:color="auto" w:fill="FFFFFF"/>
        </w:rPr>
        <w:fldChar w:fldCharType="end"/>
      </w:r>
      <w:r w:rsidR="00171910">
        <w:rPr>
          <w:shd w:val="clear" w:color="auto" w:fill="FFFFFF"/>
        </w:rPr>
        <w:t>. H</w:t>
      </w:r>
      <w:r w:rsidR="00441364">
        <w:rPr>
          <w:shd w:val="clear" w:color="auto" w:fill="FFFFFF"/>
        </w:rPr>
        <w:t>untin</w:t>
      </w:r>
      <w:r w:rsidR="00983A09">
        <w:rPr>
          <w:shd w:val="clear" w:color="auto" w:fill="FFFFFF"/>
        </w:rPr>
        <w:t xml:space="preserve">g along major roads and rivers </w:t>
      </w:r>
      <w:r w:rsidR="00983A09">
        <w:rPr>
          <w:shd w:val="clear" w:color="auto" w:fill="FFFFFF"/>
        </w:rPr>
        <w:fldChar w:fldCharType="begin" w:fldLock="1"/>
      </w:r>
      <w:r w:rsidR="00983A09">
        <w:rPr>
          <w:shd w:val="clear" w:color="auto" w:fill="FFFFFF"/>
        </w:rPr>
        <w:instrText>ADDIN CSL_CITATION {"citationItems":[{"id":"ITEM-1","itemData":{"author":[{"dropping-particle":"","family":"Parry","given":"Luke","non-dropping-particle":"","parse-names":false,"suffix":""},{"dropping-particle":"","family":"Peres","given":"Carlos A","non-dropping-particle":"","parse-names":false,"suffix":""}],"container-title":"Ecology and Society","id":"ITEM-1","issue":"3","issued":{"date-parts":[["2015"]]},"page":"15","title":"Evaluating the use of local ecological knowledge to monitor hunted tropical- forest wildlife over large spatial scales","type":"article-journal","volume":"20"},"uris":["http://www.mendeley.com/documents/?uuid=bafd867b-0b26-4cd3-90be-e0a258879d74"]}],"mendeley":{"formattedCitation":"(Parry &amp; Peres 2015)","plainTextFormattedCitation":"(Parry &amp; Peres 2015)","previouslyFormattedCitation":"(Parry &amp; Peres 2015)"},"properties":{"noteIndex":0},"schema":"https://github.com/citation-style-language/schema/raw/master/csl-citation.json"}</w:instrText>
      </w:r>
      <w:r w:rsidR="00983A09">
        <w:rPr>
          <w:shd w:val="clear" w:color="auto" w:fill="FFFFFF"/>
        </w:rPr>
        <w:fldChar w:fldCharType="separate"/>
      </w:r>
      <w:r w:rsidR="00983A09" w:rsidRPr="00983A09">
        <w:rPr>
          <w:noProof/>
          <w:shd w:val="clear" w:color="auto" w:fill="FFFFFF"/>
        </w:rPr>
        <w:t>(Parry &amp; Peres 2015)</w:t>
      </w:r>
      <w:r w:rsidR="00983A09">
        <w:rPr>
          <w:shd w:val="clear" w:color="auto" w:fill="FFFFFF"/>
        </w:rPr>
        <w:fldChar w:fldCharType="end"/>
      </w:r>
      <w:r w:rsidR="00983A09">
        <w:rPr>
          <w:shd w:val="clear" w:color="auto" w:fill="FFFFFF"/>
        </w:rPr>
        <w:t xml:space="preserve"> (</w:t>
      </w:r>
      <w:r w:rsidR="00441364">
        <w:rPr>
          <w:shd w:val="clear" w:color="auto" w:fill="FFFFFF"/>
        </w:rPr>
        <w:fldChar w:fldCharType="begin"/>
      </w:r>
      <w:r w:rsidR="00441364">
        <w:rPr>
          <w:shd w:val="clear" w:color="auto" w:fill="FFFFFF"/>
        </w:rPr>
        <w:instrText xml:space="preserve"> REF _Ref520290167 \h </w:instrText>
      </w:r>
      <w:r w:rsidR="00726B82">
        <w:rPr>
          <w:shd w:val="clear" w:color="auto" w:fill="FFFFFF"/>
        </w:rPr>
        <w:instrText xml:space="preserve"> \* MERGEFORMAT </w:instrText>
      </w:r>
      <w:r w:rsidR="00441364">
        <w:rPr>
          <w:shd w:val="clear" w:color="auto" w:fill="FFFFFF"/>
        </w:rPr>
      </w:r>
      <w:r w:rsidR="00441364">
        <w:rPr>
          <w:shd w:val="clear" w:color="auto" w:fill="FFFFFF"/>
        </w:rPr>
        <w:fldChar w:fldCharType="separate"/>
      </w:r>
      <w:r w:rsidR="007034F1" w:rsidRPr="00D06CAC">
        <w:t>Figure</w:t>
      </w:r>
      <w:r w:rsidR="007034F1" w:rsidRPr="00D06CAC">
        <w:rPr>
          <w:noProof/>
        </w:rPr>
        <w:t xml:space="preserve"> </w:t>
      </w:r>
      <w:r w:rsidR="007034F1">
        <w:rPr>
          <w:noProof/>
        </w:rPr>
        <w:t>7</w:t>
      </w:r>
      <w:r w:rsidR="00441364">
        <w:rPr>
          <w:shd w:val="clear" w:color="auto" w:fill="FFFFFF"/>
        </w:rPr>
        <w:fldChar w:fldCharType="end"/>
      </w:r>
      <w:r w:rsidR="00441364">
        <w:rPr>
          <w:shd w:val="clear" w:color="auto" w:fill="FFFFFF"/>
        </w:rPr>
        <w:t>)</w:t>
      </w:r>
      <w:r w:rsidR="00171910">
        <w:rPr>
          <w:shd w:val="clear" w:color="auto" w:fill="FFFFFF"/>
        </w:rPr>
        <w:t xml:space="preserve"> also extends the depletion halo</w:t>
      </w:r>
      <w:r w:rsidR="00441364">
        <w:rPr>
          <w:shd w:val="clear" w:color="auto" w:fill="FFFFFF"/>
        </w:rPr>
        <w:t>.</w:t>
      </w:r>
      <w:r w:rsidR="00434956">
        <w:rPr>
          <w:shd w:val="clear" w:color="auto" w:fill="FFFFFF"/>
        </w:rPr>
        <w:t xml:space="preserve"> There have been </w:t>
      </w:r>
      <w:r>
        <w:rPr>
          <w:shd w:val="clear" w:color="auto" w:fill="FFFFFF"/>
        </w:rPr>
        <w:t>few</w:t>
      </w:r>
      <w:r w:rsidR="00434956">
        <w:rPr>
          <w:shd w:val="clear" w:color="auto" w:fill="FFFFFF"/>
        </w:rPr>
        <w:t xml:space="preserve"> direct studies of forest use and offtake by </w:t>
      </w:r>
      <w:r>
        <w:rPr>
          <w:shd w:val="clear" w:color="auto" w:fill="FFFFFF"/>
        </w:rPr>
        <w:t>external</w:t>
      </w:r>
      <w:r w:rsidR="00434956">
        <w:rPr>
          <w:shd w:val="clear" w:color="auto" w:fill="FFFFFF"/>
        </w:rPr>
        <w:t xml:space="preserve"> commercial hunters</w:t>
      </w:r>
      <w:r>
        <w:rPr>
          <w:shd w:val="clear" w:color="auto" w:fill="FFFFFF"/>
        </w:rPr>
        <w:t xml:space="preserve">, due to the </w:t>
      </w:r>
      <w:r w:rsidR="00434956">
        <w:rPr>
          <w:shd w:val="clear" w:color="auto" w:fill="FFFFFF"/>
        </w:rPr>
        <w:t>illegal and therefore concealed</w:t>
      </w:r>
      <w:r>
        <w:rPr>
          <w:shd w:val="clear" w:color="auto" w:fill="FFFFFF"/>
        </w:rPr>
        <w:t xml:space="preserve"> nature of their hunting</w:t>
      </w:r>
      <w:r w:rsidR="00434956">
        <w:rPr>
          <w:shd w:val="clear" w:color="auto" w:fill="FFFFFF"/>
        </w:rPr>
        <w:t>. However, ec</w:t>
      </w:r>
      <w:r w:rsidR="00F96266">
        <w:rPr>
          <w:shd w:val="clear" w:color="auto" w:fill="FFFFFF"/>
        </w:rPr>
        <w:t xml:space="preserve">ological transect surveys that </w:t>
      </w:r>
      <w:r w:rsidR="00434956">
        <w:rPr>
          <w:shd w:val="clear" w:color="auto" w:fill="FFFFFF"/>
        </w:rPr>
        <w:t xml:space="preserve">record hunting </w:t>
      </w:r>
      <w:r w:rsidR="00F96266">
        <w:rPr>
          <w:shd w:val="clear" w:color="auto" w:fill="FFFFFF"/>
        </w:rPr>
        <w:t>sign</w:t>
      </w:r>
      <w:r w:rsidR="00B57336">
        <w:rPr>
          <w:shd w:val="clear" w:color="auto" w:fill="FFFFFF"/>
        </w:rPr>
        <w:t>s</w:t>
      </w:r>
      <w:r w:rsidR="00063F16">
        <w:rPr>
          <w:shd w:val="clear" w:color="auto" w:fill="FFFFFF"/>
        </w:rPr>
        <w:t xml:space="preserve">, such as cartridges </w:t>
      </w:r>
      <w:r w:rsidR="00A479D2">
        <w:rPr>
          <w:shd w:val="clear" w:color="auto" w:fill="FFFFFF"/>
        </w:rPr>
        <w:t>and snares</w:t>
      </w:r>
      <w:r w:rsidR="009446F2">
        <w:rPr>
          <w:shd w:val="clear" w:color="auto" w:fill="FFFFFF"/>
        </w:rPr>
        <w:t xml:space="preserve"> </w:t>
      </w:r>
      <w:r w:rsidR="00983A09">
        <w:rPr>
          <w:shd w:val="clear" w:color="auto" w:fill="FFFFFF"/>
        </w:rPr>
        <w:fldChar w:fldCharType="begin" w:fldLock="1"/>
      </w:r>
      <w:r w:rsidR="00566AAF">
        <w:rPr>
          <w:shd w:val="clear" w:color="auto" w:fill="FFFFFF"/>
        </w:rPr>
        <w:instrText>ADDIN CSL_CITATION {"citationItems":[{"id":"ITEM-1","itemData":{"DOI":"10.1371/journal.pone.0059469","ISSN":"1932-6203","PMID":"23469289","abstract":"African forest elephants- taxonomically and functionally unique-are being poached at accelerating rates, but we lack range-wide information on the repercussions. Analysis of the largest survey dataset ever assembled for forest elephants (80 foot-surveys; covering 13,000 km; 91,600 person-days of fieldwork) revealed that population size declined by ca. 62% between 2002-2011, and the taxon lost 30% of its geographical range. The population is now less than 10% of its potential size, occupying less than 25% of its potential range. High human population density, hunting intensity, absence of law enforcement, poor governance, and proximity to expanding infrastructure are the strongest predictors of decline. To save the remaining African forest elephants, illegal poaching for ivory and encroachment into core elephant habitat must be stopped. In addition, the international demand for ivory, which fuels illegal trade, must be dramatically reduced.","author":[{"dropping-particle":"","family":"Maisels","given":"Fiona","non-dropping-particle":"","parse-names":false,"suffix":""},{"dropping-particle":"","family":"Strindberg","given":"Samantha","non-dropping-particle":"","parse-names":false,"suffix":""},{"dropping-particle":"","family":"Blake","given":"Stephen","non-dropping-particle":"","parse-names":false,"suffix":""},{"dropping-particle":"","family":"Wittemyer","given":"George","non-dropping-particle":"","parse-names":false,"suffix":""},{"dropping-particle":"","family":"Hart","given":"John","non-dropping-particle":"","parse-names":false,"suffix":""},{"dropping-particle":"","family":"Williamson","given":"Elizabeth a","non-dropping-particle":"","parse-names":false,"suffix":""},{"dropping-particle":"","family":"Aba'a","given":"Rostand","non-dropping-particle":"","parse-names":false,"suffix":""},{"dropping-particle":"","family":"Abitsi","given":"Gaspard","non-dropping-particle":"","parse-names":false,"suffix":""},{"dropping-particle":"","family":"Ambahe","given":"Ruffin D","non-dropping-particle":"","parse-names":false,"suffix":""},{"dropping-particle":"","family":"Amsini","given":"Fidèl","non-dropping-particle":"","parse-names":false,"suffix":""},{"dropping-particle":"","family":"Bakabana","given":"Parfait C","non-dropping-particle":"","parse-names":false,"suffix":""},{"dropping-particle":"","family":"Hicks","given":"Thurston Cleveland","non-dropping-particle":"","parse-names":false,"suffix":""},{"dropping-particle":"","family":"Bayogo","given":"Rosine E","non-dropping-particle":"","parse-names":false,"suffix":""},{"dropping-particle":"","family":"Bechem","given":"Martha","non-dropping-particle":"","parse-names":false,"suffix":""},{"dropping-particle":"","family":"Beyers","given":"Rene L","non-dropping-particle":"","parse-names":false,"suffix":""},{"dropping-particle":"","family":"Bezangoye","given":"Anicet N","non-dropping-particle":"","parse-names":false,"suffix":""},{"dropping-particle":"","family":"Boundja","given":"Patrick","non-dropping-particle":"","parse-names":false,"suffix":""},{"dropping-particle":"","family":"Bout","given":"Nicolas","non-dropping-particle":"","parse-names":false,"suffix":""},{"dropping-particle":"","family":"Akou","given":"Marc Ella","non-dropping-particle":"","parse-names":false,"suffix":""},{"dropping-particle":"","family":"Bene","given":"Lambert Bene","non-dropping-particle":"","parse-names":false,"suffix":""},{"dropping-particle":"","family":"Fosso","given":"Bernard","non-dropping-particle":"","parse-names":false,"suffix":""},{"dropping-particle":"","family":"Greengrass","given":"Elizabeth","non-dropping-particle":"","parse-names":false,"suffix":""},{"dropping-particle":"","family":"Grossmann","given":"Falk","non-dropping-particle":"","parse-names":false,"suffix":""},{"dropping-particle":"","family":"Ikamba-Nkulu","given":"Clement","non-dropping-particle":"","parse-names":false,"suffix":""},{"dropping-particle":"","family":"Ilambu","given":"Omari","non-dropping-particle":"","parse-names":false,"suffix":""},{"dropping-particle":"","family":"Inogwabini","given":"Bila-Isia","non-dropping-particle":"","parse-names":false,"suffix":""},{"dropping-particle":"","family":"Iyenguet","given":"Fortune","non-dropping-particle":"","parse-names":false,"suffix":""},{"dropping-particle":"","family":"Kiminou","given":"Franck","non-dropping-particle":"","parse-names":false,"suffix":""},{"dropping-particle":"","family":"Kokangoye","given":"Max","non-dropping-particle":"","parse-names":false,"suffix":""},{"dropping-particle":"","family":"Kujirakwinja","given":"Deo","non-dropping-particle":"","parse-names":false,"suffix":""},{"dropping-particle":"","family":"Latour","given":"Stephanie","non-dropping-particle":"","parse-names":false,"suffix":""},{"dropping-particle":"","family":"Liengola","given":"Innocent","non-dropping-particle":"","parse-names":false,"suffix":""},{"dropping-particle":"","family":"Mackaya","given":"Quevain","non-dropping-particle":"","parse-names":false,"suffix":""},{"dropping-particle":"","family":"Madidi","given":"Jacob","non-dropping-particle":"","parse-names":false,"suffix":""},{"dropping-particle":"","family":"Madzoke","given":"Bola","non-dropping-particle":"","parse-names":false,"suffix":""},{"dropping-particle":"","family":"Makoumbou","given":"Calixte","non-dropping-particle":"","parse-names":false,"suffix":""},{"dropping-particle":"","family":"Malanda","given":"Guy-Aimé","non-dropping-particle":"","parse-names":false,"suffix":""},{"dropping-particle":"","family":"Malonga","given":"Richard","non-dropping-particle":"","parse-names":false,"suffix":""},{"dropping-particle":"","family":"Mbani","given":"Olivier","non-dropping-particle":"","parse-names":false,"suffix":""},{"dropping-particle":"","family":"Mbendzo","given":"Valentin a","non-dropping-particle":"","parse-names":false,"suffix":""},{"dropping-particle":"","family":"Ambassa","given":"Edgar","non-dropping-particle":"","parse-names":false,"suffix":""},{"dropping-particle":"","family":"Ekinde","given":"Albert","non-dropping-particle":"","parse-names":false,"suffix":""},{"dropping-particle":"","family":"Mihindou","given":"Yves","non-dropping-particle":"","parse-names":false,"suffix":""},{"dropping-particle":"","family":"Morgan","given":"Bethan J","non-dropping-particle":"","parse-names":false,"suffix":""},{"dropping-particle":"","family":"Motsaba","given":"Prosper","non-dropping-particle":"","parse-names":false,"suffix":""},{"dropping-particle":"","family":"Moukala","given":"Gabin","non-dropping-particle":"","parse-names":false,"suffix":""},{"dropping-particle":"","family":"Mounguengui","given":"Anselme","non-dropping-particle":"","parse-names":false,"suffix":""},{"dropping-particle":"","family":"Mowawa","given":"Brice S","non-dropping-particle":"","parse-names":false,"suffix":""},{"dropping-particle":"","family":"Ndzai","given":"Christian","non-dropping-particle":"","parse-names":false,"suffix":""},{"dropping-particle":"","family":"Nixon","given":"Stuart","non-dropping-particle":"","parse-names":false,"suffix":""},{"dropping-particle":"","family":"Nkumu","given":"Pele","non-dropping-particle":"","parse-names":false,"suffix":""},{"dropping-particle":"","family":"Nzolani","given":"Fabian","non-dropping-particle":"","parse-names":false,"suffix":""},{"dropping-particle":"","family":"Pintea","given":"Lilian","non-dropping-particle":"","parse-names":false,"suffix":""},{"dropping-particle":"","family":"Plumptre","given":"Andrew","non-dropping-particle":"","parse-names":false,"suffix":""},{"dropping-particle":"","family":"Rainey","given":"Hugo","non-dropping-particle":"","parse-names":false,"suffix":""},{"dropping-particle":"","family":"Semboli","given":"Bruno Bokoto","non-dropping-particle":"de","parse-names":false,"suffix":""},{"dropping-particle":"","family":"Serckx","given":"Adeline","non-dropping-particle":"","parse-names":false,"suffix":""},{"dropping-particle":"","family":"Stokes","given":"Emma","non-dropping-particle":"","parse-names":false,"suffix":""},{"dropping-particle":"","family":"Turkalo","given":"Andrea","non-dropping-particle":"","parse-names":false,"suffix":""},{"dropping-particle":"","family":"Vanleeuwe","given":"Hilde","non-dropping-particle":"","parse-names":false,"suffix":""},{"dropping-particle":"","family":"Vosper","given":"Ashley","non-dropping-particle":"","parse-names":false,"suffix":""},{"dropping-particle":"","family":"Warren","given":"Ymke","non-dropping-particle":"","parse-names":false,"suffix":""}],"container-title":"PloS one","id":"ITEM-1","issue":"3","issued":{"date-parts":[["2013","1"]]},"page":"e59469","title":"Devastating decline of forest elephants in Central Africa","type":"article-journal","volume":"8"},"uris":["http://www.mendeley.com/documents/?uuid=e792b8cd-6a73-453e-a9b6-e33144c1c9ef"]}],"mendeley":{"formattedCitation":"(Maisels et al. 2013)","plainTextFormattedCitation":"(Maisels et al. 2013)","previouslyFormattedCitation":"(Maisels et al. 2013)"},"properties":{"noteIndex":0},"schema":"https://github.com/citation-style-language/schema/raw/master/csl-citation.json"}</w:instrText>
      </w:r>
      <w:r w:rsidR="00983A09">
        <w:rPr>
          <w:shd w:val="clear" w:color="auto" w:fill="FFFFFF"/>
        </w:rPr>
        <w:fldChar w:fldCharType="separate"/>
      </w:r>
      <w:r w:rsidR="00983A09" w:rsidRPr="00983A09">
        <w:rPr>
          <w:noProof/>
          <w:shd w:val="clear" w:color="auto" w:fill="FFFFFF"/>
        </w:rPr>
        <w:t>(Maisels et al. 2013)</w:t>
      </w:r>
      <w:r w:rsidR="00983A09">
        <w:rPr>
          <w:shd w:val="clear" w:color="auto" w:fill="FFFFFF"/>
        </w:rPr>
        <w:fldChar w:fldCharType="end"/>
      </w:r>
      <w:r w:rsidR="009446F2">
        <w:rPr>
          <w:shd w:val="clear" w:color="auto" w:fill="FFFFFF"/>
        </w:rPr>
        <w:t>, combined with modelling of likely hunter depletion haloes</w:t>
      </w:r>
      <w:r w:rsidR="00434956">
        <w:rPr>
          <w:shd w:val="clear" w:color="auto" w:fill="FFFFFF"/>
        </w:rPr>
        <w:t xml:space="preserve"> </w:t>
      </w:r>
      <w:r w:rsidR="00983A09" w:rsidRPr="00BF318E">
        <w:rPr>
          <w:shd w:val="clear" w:color="auto" w:fill="FFFFFF"/>
        </w:rPr>
        <w:fldChar w:fldCharType="begin" w:fldLock="1"/>
      </w:r>
      <w:r w:rsidR="00983A09" w:rsidRPr="00BF318E">
        <w:rPr>
          <w:shd w:val="clear" w:color="auto" w:fill="FFFFFF"/>
        </w:rPr>
        <w:instrText>ADDIN CSL_CITATION {"citationItems":[{"id":"ITEM-1","itemData":{"DOI":"10.1111/btp.12286","ISBN":"1744-7429","ISSN":"17447429","abstract":"Hunting and trade of wild animals for their meat (bushmeat), especially mammals, is commonplace in tropical forests worldwide. In West and Central Africa, bushmeat extraction has increased substantially during recent decades. Currently, such levels of hunting pose a major threat to native wildlife. In this paper, we compiled published data on hunting offtake of mammals, from a number of studies conducted between 1990 and 2007 in Cameroon, Central African Republic, Democratic Republic of Congo, Equatorial Guinea, Gabon and Republic of Congo. From these data sources, we estimated annual extraction rates of all hunted species and analyzed the relationship between environmental and anthropogenic variables surrounding each hunting rate and levels of bushmeat extraction. We defined hunting pressure as a function of bushmeat offtake and number of hunted species and confirm that hunting pressure is significantly correlated with road density, distance to protected areas and population density. These correlations are then used to map hunting pressure across the Congo Basin. We show that predicted risk areas show a patchy distribution throughout the study region and that many protected areas are located in high-risk areas. We suggest that such a map can be used to identify areas of greatest impact of hunting to guide large-scale conservation planning initiatives for central Africa","author":[{"dropping-particle":"","family":"Ziegler","given":"Stefan","non-dropping-particle":"","parse-names":false,"suffix":""},{"dropping-particle":"","family":"Fa","given":"John E.","non-dropping-particle":"","parse-names":false,"suffix":""},{"dropping-particle":"","family":"Wohlfart","given":"Christian","non-dropping-particle":"","parse-names":false,"suffix":""},{"dropping-particle":"","family":"Streit","given":"Bruno","non-dropping-particle":"","parse-names":false,"suffix":""},{"dropping-particle":"","family":"Jacob","given":"Stefanie","non-dropping-particle":"","parse-names":false,"suffix":""},{"dropping-particle":"","family":"Wegmann","given":"Martin","non-dropping-particle":"","parse-names":false,"suffix":""}],"container-title":"Biotropica","id":"ITEM-1","issue":"3","issued":{"date-parts":[["2016"]]},"page":"405-412","title":"Mapping bushmeat hunting pressure in Central Africa","type":"article-journal","volume":"48"},"uris":["http://www.mendeley.com/documents/?uuid=60d51836-28f9-4d2b-8547-1ed8d923a45c"]}],"mendeley":{"formattedCitation":"(Ziegler et al. 2016)","plainTextFormattedCitation":"(Ziegler et al. 2016)","previouslyFormattedCitation":"(Ziegler et al. 2016)"},"properties":{"noteIndex":0},"schema":"https://github.com/citation-style-language/schema/raw/master/csl-citation.json"}</w:instrText>
      </w:r>
      <w:r w:rsidR="00983A09" w:rsidRPr="00BF318E">
        <w:rPr>
          <w:shd w:val="clear" w:color="auto" w:fill="FFFFFF"/>
        </w:rPr>
        <w:fldChar w:fldCharType="separate"/>
      </w:r>
      <w:r w:rsidR="00983A09" w:rsidRPr="00BF318E">
        <w:rPr>
          <w:noProof/>
          <w:shd w:val="clear" w:color="auto" w:fill="FFFFFF"/>
        </w:rPr>
        <w:t>(Ziegler et al. 2016)</w:t>
      </w:r>
      <w:r w:rsidR="00983A09" w:rsidRPr="00BF318E">
        <w:rPr>
          <w:shd w:val="clear" w:color="auto" w:fill="FFFFFF"/>
        </w:rPr>
        <w:fldChar w:fldCharType="end"/>
      </w:r>
      <w:r w:rsidR="009446F2" w:rsidRPr="00BF318E">
        <w:rPr>
          <w:shd w:val="clear" w:color="auto" w:fill="FFFFFF"/>
        </w:rPr>
        <w:t xml:space="preserve"> </w:t>
      </w:r>
      <w:r w:rsidR="00434956" w:rsidRPr="00BF318E">
        <w:rPr>
          <w:shd w:val="clear" w:color="auto" w:fill="FFFFFF"/>
        </w:rPr>
        <w:t>suggest that hunters</w:t>
      </w:r>
      <w:r w:rsidR="00441364" w:rsidRPr="00BF318E">
        <w:rPr>
          <w:shd w:val="clear" w:color="auto" w:fill="FFFFFF"/>
        </w:rPr>
        <w:t xml:space="preserve"> </w:t>
      </w:r>
      <w:r w:rsidR="009446F2" w:rsidRPr="00BF318E">
        <w:rPr>
          <w:shd w:val="clear" w:color="auto" w:fill="FFFFFF"/>
        </w:rPr>
        <w:t xml:space="preserve">in </w:t>
      </w:r>
      <w:r w:rsidR="00750DC8" w:rsidRPr="00BF318E">
        <w:rPr>
          <w:shd w:val="clear" w:color="auto" w:fill="FFFFFF"/>
        </w:rPr>
        <w:t xml:space="preserve">Central </w:t>
      </w:r>
      <w:r w:rsidR="009446F2" w:rsidRPr="00BF318E">
        <w:rPr>
          <w:shd w:val="clear" w:color="auto" w:fill="FFFFFF"/>
        </w:rPr>
        <w:t xml:space="preserve">Africa </w:t>
      </w:r>
      <w:r w:rsidR="00441364" w:rsidRPr="00BF318E">
        <w:rPr>
          <w:shd w:val="clear" w:color="auto" w:fill="FFFFFF"/>
        </w:rPr>
        <w:t>(whether external or from villages)</w:t>
      </w:r>
      <w:r w:rsidR="00434956" w:rsidRPr="00BF318E">
        <w:rPr>
          <w:shd w:val="clear" w:color="auto" w:fill="FFFFFF"/>
        </w:rPr>
        <w:t xml:space="preserve"> are </w:t>
      </w:r>
      <w:r w:rsidR="00750DC8" w:rsidRPr="00BF318E">
        <w:rPr>
          <w:shd w:val="clear" w:color="auto" w:fill="FFFFFF"/>
        </w:rPr>
        <w:t xml:space="preserve">now </w:t>
      </w:r>
      <w:r w:rsidR="009446F2" w:rsidRPr="00BF318E">
        <w:rPr>
          <w:shd w:val="clear" w:color="auto" w:fill="FFFFFF"/>
        </w:rPr>
        <w:t xml:space="preserve">using the majority of </w:t>
      </w:r>
      <w:r w:rsidR="00434956" w:rsidRPr="00BF318E">
        <w:rPr>
          <w:shd w:val="clear" w:color="auto" w:fill="FFFFFF"/>
        </w:rPr>
        <w:t xml:space="preserve">the forest </w:t>
      </w:r>
      <w:r w:rsidR="009446F2" w:rsidRPr="00BF318E">
        <w:rPr>
          <w:shd w:val="clear" w:color="auto" w:fill="FFFFFF"/>
        </w:rPr>
        <w:t>lands</w:t>
      </w:r>
      <w:r w:rsidR="00434956" w:rsidRPr="00BF318E">
        <w:rPr>
          <w:shd w:val="clear" w:color="auto" w:fill="FFFFFF"/>
        </w:rPr>
        <w:t xml:space="preserve"> and </w:t>
      </w:r>
      <w:r w:rsidR="009446F2" w:rsidRPr="00BF318E">
        <w:rPr>
          <w:shd w:val="clear" w:color="auto" w:fill="FFFFFF"/>
        </w:rPr>
        <w:t xml:space="preserve">even make significant intrusions into protected areas </w:t>
      </w:r>
      <w:r w:rsidR="00983A09" w:rsidRPr="00BF318E">
        <w:rPr>
          <w:shd w:val="clear" w:color="auto" w:fill="FFFFFF"/>
        </w:rPr>
        <w:fldChar w:fldCharType="begin" w:fldLock="1"/>
      </w:r>
      <w:r w:rsidR="008E47ED">
        <w:rPr>
          <w:shd w:val="clear" w:color="auto" w:fill="FFFFFF"/>
        </w:rPr>
        <w:instrText>ADDIN CSL_CITATION {"citationItems":[{"id":"ITEM-1","itemData":{"DOI":"10.1098/rstb.2012.0303","ISBN":"1471-2970 (Electronic)\\n0962-8436 (Linking)","ISSN":"1471-2970","PMID":"23878333","abstract":"Humans have hunted wildlife in Central Africa for millennia. Today, however, many species are being rapidly extirpated and sanctuaries for wildlife are dwindling. Almost all Central Africa's forests are now accessible to hunters. Drastic declines of large mammals have been caused in the past 20 years by the commercial trade for meat or ivory. We review a growing body of empirical data which shows that trophic webs are significantly disrupted in the region, with knock-on effects for other ecological functions, including seed dispersal and forest regeneration. Plausible scenarios for land-use change indicate that increasing extraction pressure on Central African forests is likely to usher in new worker populations and to intensify the hunting impacts and trophic cascade disruption already in progress, unless serious efforts are made for hunting regulation. The profound ecological changes initiated by hunting will not mitigate and may even exacerbate the predicted effects of climate change for the region. We hypothesize that, in the near future, the trophic changes brought about by hunting will have a larger and more rapid impact on Central African rainforest structure and function than the direct impacts of climate change on the vegetation. Immediate hunting regulation is vital for the survival of the Central African rainforest ecosystem.","author":[{"dropping-particle":"","family":"Abernethy","given":"K.A.","non-dropping-particle":"","parse-names":false,"suffix":""},{"dropping-particle":"","family":"Coad","given":"L.","non-dropping-particle":"","parse-names":false,"suffix":""},{"dropping-particle":"","family":"Taylor","given":"G.","non-dropping-particle":"","parse-names":false,"suffix":""},{"dropping-particle":"","family":"Lee","given":"M E","non-dropping-particle":"","parse-names":false,"suffix":""},{"dropping-particle":"","family":"Maisels","given":"F.","non-dropping-particle":"","parse-names":false,"suffix":""}],"container-title":"Philosophical transactions of the Royal Society of London. Series B, Biological sciences","id":"ITEM-1","issued":{"date-parts":[["2013"]]},"page":"20120303","title":"Extent and ecological consequences of hunting in Central African rainforests in the twenty-first century.","type":"article-journal","volume":"368"},"uris":["http://www.mendeley.com/documents/?uuid=18796464-9ea5-47fb-afcb-938cbd1dcd95"]}],"mendeley":{"formattedCitation":"(Abernethy et al. 2013b)","manualFormatting":"(Abernethy et al. 2013)","plainTextFormattedCitation":"(Abernethy et al. 2013b)","previouslyFormattedCitation":"(Abernethy et al. 2013b)"},"properties":{"noteIndex":0},"schema":"https://github.com/citation-style-language/schema/raw/master/csl-citation.json"}</w:instrText>
      </w:r>
      <w:r w:rsidR="00983A09" w:rsidRPr="00BF318E">
        <w:rPr>
          <w:shd w:val="clear" w:color="auto" w:fill="FFFFFF"/>
        </w:rPr>
        <w:fldChar w:fldCharType="separate"/>
      </w:r>
      <w:r w:rsidR="008E47ED">
        <w:rPr>
          <w:noProof/>
          <w:shd w:val="clear" w:color="auto" w:fill="FFFFFF"/>
        </w:rPr>
        <w:t>(Abernethy et al. 2013</w:t>
      </w:r>
      <w:r w:rsidR="00983A09" w:rsidRPr="00BF318E">
        <w:rPr>
          <w:noProof/>
          <w:shd w:val="clear" w:color="auto" w:fill="FFFFFF"/>
        </w:rPr>
        <w:t>)</w:t>
      </w:r>
      <w:r w:rsidR="00983A09" w:rsidRPr="00BF318E">
        <w:rPr>
          <w:shd w:val="clear" w:color="auto" w:fill="FFFFFF"/>
        </w:rPr>
        <w:fldChar w:fldCharType="end"/>
      </w:r>
      <w:r w:rsidR="00F3576B" w:rsidRPr="00BF318E">
        <w:rPr>
          <w:shd w:val="clear" w:color="auto" w:fill="FFFFFF"/>
        </w:rPr>
        <w:t>.</w:t>
      </w:r>
      <w:r w:rsidR="00F3576B">
        <w:rPr>
          <w:shd w:val="clear" w:color="auto" w:fill="FFFFFF"/>
        </w:rPr>
        <w:t xml:space="preserve"> </w:t>
      </w:r>
    </w:p>
    <w:p w14:paraId="1EEC6468" w14:textId="77777777" w:rsidR="000C5673" w:rsidRPr="00BC1092" w:rsidRDefault="000C5673" w:rsidP="00C258BC">
      <w:pPr>
        <w:jc w:val="both"/>
        <w:rPr>
          <w:color w:val="000000" w:themeColor="text1"/>
          <w:shd w:val="clear" w:color="auto" w:fill="FFFFFF"/>
        </w:rPr>
      </w:pPr>
    </w:p>
    <w:p w14:paraId="7AA35078" w14:textId="6DD4AB57" w:rsidR="000C5673" w:rsidRPr="00BC1092" w:rsidRDefault="000C5673" w:rsidP="000C5673">
      <w:pPr>
        <w:jc w:val="center"/>
        <w:rPr>
          <w:b/>
          <w:color w:val="000000" w:themeColor="text1"/>
        </w:rPr>
      </w:pPr>
      <w:r w:rsidRPr="00BC1092">
        <w:rPr>
          <w:b/>
          <w:color w:val="000000" w:themeColor="text1"/>
        </w:rPr>
        <w:t>FIGURE 7 AROUND HERE</w:t>
      </w:r>
    </w:p>
    <w:p w14:paraId="66530619" w14:textId="77777777" w:rsidR="000C5673" w:rsidRPr="00BC1092" w:rsidRDefault="000C5673" w:rsidP="00C258BC">
      <w:pPr>
        <w:jc w:val="both"/>
        <w:rPr>
          <w:color w:val="000000" w:themeColor="text1"/>
        </w:rPr>
      </w:pPr>
    </w:p>
    <w:p w14:paraId="1D95F1FE" w14:textId="4C911396" w:rsidR="00F96266" w:rsidRPr="000C1494" w:rsidRDefault="000C1494" w:rsidP="00C258BC">
      <w:pPr>
        <w:jc w:val="both"/>
        <w:rPr>
          <w:color w:val="000000"/>
          <w:shd w:val="clear" w:color="auto" w:fill="FFFFFF"/>
        </w:rPr>
      </w:pPr>
      <w:r w:rsidRPr="00BC1092">
        <w:rPr>
          <w:color w:val="000000" w:themeColor="text1"/>
          <w:shd w:val="clear" w:color="auto" w:fill="FFFFFF"/>
        </w:rPr>
        <w:t xml:space="preserve">As a result, it is thought that a significant proportion of </w:t>
      </w:r>
      <w:r w:rsidR="00750DC8" w:rsidRPr="00BC1092">
        <w:rPr>
          <w:color w:val="000000" w:themeColor="text1"/>
          <w:shd w:val="clear" w:color="auto" w:fill="FFFFFF"/>
        </w:rPr>
        <w:t xml:space="preserve">all </w:t>
      </w:r>
      <w:r w:rsidRPr="00BC1092">
        <w:rPr>
          <w:color w:val="000000" w:themeColor="text1"/>
          <w:shd w:val="clear" w:color="auto" w:fill="FFFFFF"/>
        </w:rPr>
        <w:t>tropical forest</w:t>
      </w:r>
      <w:r w:rsidR="006E4807" w:rsidRPr="00BC1092">
        <w:rPr>
          <w:color w:val="000000" w:themeColor="text1"/>
          <w:shd w:val="clear" w:color="auto" w:fill="FFFFFF"/>
        </w:rPr>
        <w:t xml:space="preserve"> landscapes are </w:t>
      </w:r>
      <w:r w:rsidR="00063F16" w:rsidRPr="00BC1092">
        <w:rPr>
          <w:color w:val="000000" w:themeColor="text1"/>
          <w:shd w:val="clear" w:color="auto" w:fill="FFFFFF"/>
        </w:rPr>
        <w:t>hunted</w:t>
      </w:r>
      <w:r w:rsidR="00063F16">
        <w:rPr>
          <w:color w:val="000000"/>
          <w:shd w:val="clear" w:color="auto" w:fill="FFFFFF"/>
        </w:rPr>
        <w:t>. F</w:t>
      </w:r>
      <w:r>
        <w:rPr>
          <w:color w:val="000000"/>
          <w:shd w:val="clear" w:color="auto" w:fill="FFFFFF"/>
        </w:rPr>
        <w:t xml:space="preserve">or </w:t>
      </w:r>
      <w:r w:rsidR="00A479D2">
        <w:rPr>
          <w:color w:val="000000"/>
          <w:shd w:val="clear" w:color="auto" w:fill="FFFFFF"/>
        </w:rPr>
        <w:t>example,</w:t>
      </w:r>
      <w:r>
        <w:rPr>
          <w:color w:val="000000"/>
          <w:shd w:val="clear" w:color="auto" w:fill="FFFFFF"/>
        </w:rPr>
        <w:t xml:space="preserve"> </w:t>
      </w:r>
      <w:r w:rsidRPr="000C1494">
        <w:rPr>
          <w:color w:val="000000"/>
          <w:shd w:val="clear" w:color="auto" w:fill="FFFFFF"/>
        </w:rPr>
        <w:t>Peres</w:t>
      </w:r>
      <w:r w:rsidRPr="000C1494">
        <w:rPr>
          <w:color w:val="000000"/>
        </w:rPr>
        <w:t> </w:t>
      </w:r>
      <w:r w:rsidRPr="00475918">
        <w:rPr>
          <w:iCs/>
          <w:color w:val="000000"/>
          <w:shd w:val="clear" w:color="auto" w:fill="FFFFFF"/>
        </w:rPr>
        <w:t>et al</w:t>
      </w:r>
      <w:r w:rsidRPr="00475918">
        <w:rPr>
          <w:color w:val="000000"/>
          <w:shd w:val="clear" w:color="auto" w:fill="FFFFFF"/>
        </w:rPr>
        <w:t xml:space="preserve">. </w:t>
      </w:r>
      <w:r w:rsidR="00AD36F4">
        <w:rPr>
          <w:color w:val="000000"/>
          <w:shd w:val="clear" w:color="auto" w:fill="FFFFFF"/>
        </w:rPr>
        <w:fldChar w:fldCharType="begin" w:fldLock="1"/>
      </w:r>
      <w:r w:rsidR="00763BF5">
        <w:rPr>
          <w:color w:val="000000"/>
          <w:shd w:val="clear" w:color="auto" w:fill="FFFFFF"/>
        </w:rPr>
        <w:instrText xml:space="preserve">ADDIN CSL_CITATION {"citationItems":[{"id":"ITEM-1","itemData":{"DOI":"10.1073/pnas.1516525113","ISBN":"1215421109","ISSN":"0027-8424","PMID":"22393313","abstract":"Tropical forests are the global cornerstone of biological diversity, and store 55% of the forest carbon stock globally, yet sustained provisioning of these forest ecosystem services may be threatened by hunting-induced extinctions of plant–animal mutualisms that maintain long-term forest dynamics. Large-bodied Atelinae primates and tapirs in particular offer nonredundant seed-dispersal services for many large-seeded Neotropical tree species, which on average have higher wood density than smaller-seeded and wind-dispersed trees. We used field data and models to project the spatial impact of hunting on large primates by </w:instrText>
      </w:r>
      <w:r w:rsidR="00763BF5">
        <w:rPr>
          <w:rFonts w:ascii="Cambria Math" w:hAnsi="Cambria Math" w:cs="Cambria Math"/>
          <w:color w:val="000000"/>
          <w:shd w:val="clear" w:color="auto" w:fill="FFFFFF"/>
        </w:rPr>
        <w:instrText>∼</w:instrText>
      </w:r>
      <w:r w:rsidR="00763BF5">
        <w:rPr>
          <w:color w:val="000000"/>
          <w:shd w:val="clear" w:color="auto" w:fill="FFFFFF"/>
        </w:rPr>
        <w:instrText>1 million rural households throughout the Brazilian Amazon. We then used a unique baseline dataset on 2,345 1-ha tree plots arrayed across the Brazilian Amazon to model changes in aboveground forest biomass under different scenarios of hunting-induced large-bodied frugivore extirpation. We project that defaunation of the most harvest-sensitive species will lead to losses in aboveground biomass of between 2.5–5.8% on average, with some losses as high as 26.5–37.8%. These findings highlight an urgent need to manage the sustainability of game hunting in both protected and unprotected tropical forests, and place full biodiversity integrity, including populations of large frugivorous vertebrates, firmly in the agenda of reducing emissions from deforestation and forest degradation (REDD+) programs.","author":[{"dropping-particle":"","family":"Peres","given":"Carlos A","non-dropping-particle":"","parse-names":false,"suffix":""},{"dropping-particle":"","family":"Thaise","given":"Emilio","non-dropping-particle":"","parse-names":false,"suffix":""},{"dropping-particle":"","family":"Schietti","given":"Juliana","non-dropping-particle":"","parse-names":false,"suffix":""},{"dropping-particle":"","family":"Desmoulieres","given":"S. J. M.","non-dropping-particle":"","parse-names":false,"suffix":""},{"dropping-particle":"","family":"Levi","given":"Taal","non-dropping-particle":"","parse-names":false,"suffix":""}],"container-title":"Proceedings of the National Academy of Sciences of the United States of America","id":"ITEM-1","issue":"4","issued":{"date-parts":[["2016"]]},"page":"892–897","title":"Dispersal limitation induces long-term biomass collapse in overhunted Amazonian forests","type":"article-journal","volume":"113"},"uris":["http://www.mendeley.com/documents/?uuid=dee9ce3b-561b-4b66-bea3-d8180c51a918"]}],"mendeley":{"formattedCitation":"(Peres et al. 2016)","manualFormatting":"( 2015)","plainTextFormattedCitation":"(Peres et al. 2016)","previouslyFormattedCitation":"(Peres et al. 2016)"},"properties":{"noteIndex":0},"schema":"https://github.com/citation-style-language/schema/raw/master/csl-citation.json"}</w:instrText>
      </w:r>
      <w:r w:rsidR="00AD36F4">
        <w:rPr>
          <w:color w:val="000000"/>
          <w:shd w:val="clear" w:color="auto" w:fill="FFFFFF"/>
        </w:rPr>
        <w:fldChar w:fldCharType="separate"/>
      </w:r>
      <w:r w:rsidR="00AD36F4" w:rsidRPr="00AD36F4">
        <w:rPr>
          <w:noProof/>
          <w:color w:val="000000"/>
          <w:shd w:val="clear" w:color="auto" w:fill="FFFFFF"/>
        </w:rPr>
        <w:t>( 2015)</w:t>
      </w:r>
      <w:r w:rsidR="00AD36F4">
        <w:rPr>
          <w:color w:val="000000"/>
          <w:shd w:val="clear" w:color="auto" w:fill="FFFFFF"/>
        </w:rPr>
        <w:fldChar w:fldCharType="end"/>
      </w:r>
      <w:r w:rsidRPr="000C1494">
        <w:rPr>
          <w:color w:val="000000"/>
          <w:shd w:val="clear" w:color="auto" w:fill="FFFFFF"/>
        </w:rPr>
        <w:t xml:space="preserve"> estimate that 32.4% of the remaining forest across the Brazilian Amazon (~1 million km</w:t>
      </w:r>
      <w:r w:rsidRPr="00475918">
        <w:rPr>
          <w:color w:val="000000"/>
          <w:shd w:val="clear" w:color="auto" w:fill="FFFFFF"/>
          <w:vertAlign w:val="superscript"/>
        </w:rPr>
        <w:t>2</w:t>
      </w:r>
      <w:r w:rsidRPr="000C1494">
        <w:rPr>
          <w:color w:val="000000"/>
          <w:shd w:val="clear" w:color="auto" w:fill="FFFFFF"/>
        </w:rPr>
        <w:t xml:space="preserve">) is affected by hunting on the basis of </w:t>
      </w:r>
      <w:r>
        <w:rPr>
          <w:color w:val="000000"/>
          <w:shd w:val="clear" w:color="auto" w:fill="FFFFFF"/>
        </w:rPr>
        <w:t>village hunting up to</w:t>
      </w:r>
      <w:r w:rsidRPr="000C1494">
        <w:rPr>
          <w:color w:val="000000"/>
          <w:shd w:val="clear" w:color="auto" w:fill="FFFFFF"/>
        </w:rPr>
        <w:t xml:space="preserve"> 6 km from settlements.</w:t>
      </w:r>
      <w:r w:rsidR="00093066">
        <w:rPr>
          <w:color w:val="000000"/>
          <w:shd w:val="clear" w:color="auto" w:fill="FFFFFF"/>
        </w:rPr>
        <w:t xml:space="preserve"> </w:t>
      </w:r>
      <w:r w:rsidR="00171910">
        <w:rPr>
          <w:color w:val="000000"/>
          <w:shd w:val="clear" w:color="auto" w:fill="FFFFFF"/>
        </w:rPr>
        <w:t xml:space="preserve">Ziegler et al </w:t>
      </w:r>
      <w:r w:rsidR="00AD36F4">
        <w:rPr>
          <w:color w:val="000000"/>
          <w:shd w:val="clear" w:color="auto" w:fill="FFFFFF"/>
        </w:rPr>
        <w:fldChar w:fldCharType="begin" w:fldLock="1"/>
      </w:r>
      <w:r w:rsidR="00BB0D42">
        <w:rPr>
          <w:color w:val="000000"/>
          <w:shd w:val="clear" w:color="auto" w:fill="FFFFFF"/>
        </w:rPr>
        <w:instrText>ADDIN CSL_CITATION {"citationItems":[{"id":"ITEM-1","itemData":{"DOI":"10.1111/btp.12286","ISBN":"1744-7429","ISSN":"17447429","abstract":"Hunting and trade of wild animals for their meat (bushmeat), especially mammals, is commonplace in tropical forests worldwide. In West and Central Africa, bushmeat extraction has increased substantially during recent decades. Currently, such levels of hunting pose a major threat to native wildlife. In this paper, we compiled published data on hunting offtake of mammals, from a number of studies conducted between 1990 and 2007 in Cameroon, Central African Republic, Democratic Republic of Congo, Equatorial Guinea, Gabon and Republic of Congo. From these data sources, we estimated annual extraction rates of all hunted species and analyzed the relationship between environmental and anthropogenic variables surrounding each hunting rate and levels of bushmeat extraction. We defined hunting pressure as a function of bushmeat offtake and number of hunted species and confirm that hunting pressure is significantly correlated with road density, distance to protected areas and population density. These correlations are then used to map hunting pressure across the Congo Basin. We show that predicted risk areas show a patchy distribution throughout the study region and that many protected areas are located in high-risk areas. We suggest that such a map can be used to identify areas of greatest impact of hunting to guide large-scale conservation planning initiatives for central Africa","author":[{"dropping-particle":"","family":"Ziegler","given":"Stefan","non-dropping-particle":"","parse-names":false,"suffix":""},{"dropping-particle":"","family":"Fa","given":"John E.","non-dropping-particle":"","parse-names":false,"suffix":""},{"dropping-particle":"","family":"Wohlfart","given":"Christian","non-dropping-particle":"","parse-names":false,"suffix":""},{"dropping-particle":"","family":"Streit","given":"Bruno","non-dropping-particle":"","parse-names":false,"suffix":""},{"dropping-particle":"","family":"Jacob","given":"Stefanie","non-dropping-particle":"","parse-names":false,"suffix":""},{"dropping-particle":"","family":"Wegmann","given":"Martin","non-dropping-particle":"","parse-names":false,"suffix":""}],"container-title":"Biotropica","id":"ITEM-1","issue":"3","issued":{"date-parts":[["2016"]]},"page":"405-412","title":"Mapping bushmeat hunting pressure in Central Africa","type":"article-journal","volume":"48"},"uris":["http://www.mendeley.com/documents/?uuid=60d51836-28f9-4d2b-8547-1ed8d923a45c"]}],"mendeley":{"formattedCitation":"(Ziegler et al. 2016)","manualFormatting":"(2016)","plainTextFormattedCitation":"(Ziegler et al. 2016)","previouslyFormattedCitation":"(Ziegler et al. 2016)"},"properties":{"noteIndex":0},"schema":"https://github.com/citation-style-language/schema/raw/master/csl-citation.json"}</w:instrText>
      </w:r>
      <w:r w:rsidR="00AD36F4">
        <w:rPr>
          <w:color w:val="000000"/>
          <w:shd w:val="clear" w:color="auto" w:fill="FFFFFF"/>
        </w:rPr>
        <w:fldChar w:fldCharType="separate"/>
      </w:r>
      <w:r w:rsidR="00AD36F4" w:rsidRPr="00AD36F4">
        <w:rPr>
          <w:noProof/>
          <w:color w:val="000000"/>
          <w:shd w:val="clear" w:color="auto" w:fill="FFFFFF"/>
        </w:rPr>
        <w:t>(2016)</w:t>
      </w:r>
      <w:r w:rsidR="00AD36F4">
        <w:rPr>
          <w:color w:val="000000"/>
          <w:shd w:val="clear" w:color="auto" w:fill="FFFFFF"/>
        </w:rPr>
        <w:fldChar w:fldCharType="end"/>
      </w:r>
      <w:r w:rsidR="00171910">
        <w:rPr>
          <w:color w:val="000000"/>
          <w:shd w:val="clear" w:color="auto" w:fill="FFFFFF"/>
        </w:rPr>
        <w:t xml:space="preserve"> estimate </w:t>
      </w:r>
      <w:r w:rsidR="00171910" w:rsidRPr="00BF318E">
        <w:rPr>
          <w:color w:val="000000"/>
          <w:shd w:val="clear" w:color="auto" w:fill="FFFFFF"/>
        </w:rPr>
        <w:t xml:space="preserve">that 39% of the Central Africa forests are under high pressure from village hunting, and that up to 75% of the area is under some level of pressure from village hunters. </w:t>
      </w:r>
      <w:r w:rsidR="006E4807" w:rsidRPr="00BF318E">
        <w:rPr>
          <w:color w:val="000000"/>
          <w:shd w:val="clear" w:color="auto" w:fill="FFFFFF"/>
        </w:rPr>
        <w:t>Using a similar method</w:t>
      </w:r>
      <w:r w:rsidR="00BB0D42" w:rsidRPr="00BF318E">
        <w:rPr>
          <w:color w:val="000000"/>
          <w:shd w:val="clear" w:color="auto" w:fill="FFFFFF"/>
        </w:rPr>
        <w:t xml:space="preserve">, Coad </w:t>
      </w:r>
      <w:r w:rsidR="00BB0D42" w:rsidRPr="00BF318E">
        <w:rPr>
          <w:color w:val="000000"/>
          <w:shd w:val="clear" w:color="auto" w:fill="FFFFFF"/>
        </w:rPr>
        <w:fldChar w:fldCharType="begin" w:fldLock="1"/>
      </w:r>
      <w:r w:rsidR="00BB0D42" w:rsidRPr="00BF318E">
        <w:rPr>
          <w:color w:val="000000"/>
          <w:shd w:val="clear" w:color="auto" w:fill="FFFFFF"/>
        </w:rPr>
        <w:instrText>ADDIN CSL_CITATION {"citationItems":[{"id":"ITEM-1","itemData":{"author":[{"dropping-particle":"","family":"Coad","given":"Lauren","non-dropping-particle":"","parse-names":false,"suffix":""}],"id":"ITEM-1","issued":{"date-parts":[["2007"]]},"number-of-pages":"1-347","publisher":"PhD Thesis, University of Cambridge, UK","title":"Bushmeat hunting in Gabon: socio-economics and hunter behaviour","type":"book"},"uris":["http://www.mendeley.com/documents/?uuid=d233ab1b-d72c-4b6a-b7af-0f580a2c5a50"]}],"mendeley":{"formattedCitation":"(Coad 2007)","manualFormatting":"( 2007)","plainTextFormattedCitation":"(Coad 2007)","previouslyFormattedCitation":"(Coad 2007)"},"properties":{"noteIndex":0},"schema":"https://github.com/citation-style-language/schema/raw/master/csl-citation.json"}</w:instrText>
      </w:r>
      <w:r w:rsidR="00BB0D42" w:rsidRPr="00BF318E">
        <w:rPr>
          <w:color w:val="000000"/>
          <w:shd w:val="clear" w:color="auto" w:fill="FFFFFF"/>
        </w:rPr>
        <w:fldChar w:fldCharType="separate"/>
      </w:r>
      <w:r w:rsidR="004873F0">
        <w:rPr>
          <w:noProof/>
          <w:color w:val="000000"/>
          <w:shd w:val="clear" w:color="auto" w:fill="FFFFFF"/>
        </w:rPr>
        <w:t>(</w:t>
      </w:r>
      <w:r w:rsidR="00BB0D42" w:rsidRPr="00BF318E">
        <w:rPr>
          <w:noProof/>
          <w:color w:val="000000"/>
          <w:shd w:val="clear" w:color="auto" w:fill="FFFFFF"/>
        </w:rPr>
        <w:t>2007)</w:t>
      </w:r>
      <w:r w:rsidR="00BB0D42" w:rsidRPr="00BF318E">
        <w:rPr>
          <w:color w:val="000000"/>
          <w:shd w:val="clear" w:color="auto" w:fill="FFFFFF"/>
        </w:rPr>
        <w:fldChar w:fldCharType="end"/>
      </w:r>
      <w:r w:rsidR="00BB0D42" w:rsidRPr="00BF318E">
        <w:rPr>
          <w:color w:val="000000"/>
          <w:shd w:val="clear" w:color="auto" w:fill="FFFFFF"/>
        </w:rPr>
        <w:t xml:space="preserve"> </w:t>
      </w:r>
      <w:r w:rsidR="00093066" w:rsidRPr="00BF318E">
        <w:rPr>
          <w:color w:val="000000"/>
          <w:shd w:val="clear" w:color="auto" w:fill="FFFFFF"/>
        </w:rPr>
        <w:t xml:space="preserve">estimated that </w:t>
      </w:r>
      <w:r w:rsidR="00171910" w:rsidRPr="00BF318E">
        <w:rPr>
          <w:color w:val="000000"/>
          <w:shd w:val="clear" w:color="auto" w:fill="FFFFFF"/>
        </w:rPr>
        <w:t xml:space="preserve">in Gabon, which has the lowest rural population density in the region </w:t>
      </w:r>
      <w:r w:rsidR="00BB0D42" w:rsidRPr="00BF318E">
        <w:rPr>
          <w:color w:val="000000"/>
          <w:shd w:val="clear" w:color="auto" w:fill="FFFFFF"/>
        </w:rPr>
        <w:fldChar w:fldCharType="begin" w:fldLock="1"/>
      </w:r>
      <w:r w:rsidR="00B2630D">
        <w:rPr>
          <w:color w:val="000000"/>
          <w:shd w:val="clear" w:color="auto" w:fill="FFFFFF"/>
        </w:rPr>
        <w:instrText>ADDIN CSL_CITATION {"citationItems":[{"id":"ITEM-1","itemData":{"DOI":"10.1098/rstb.2012.0303","ISBN":"1471-2970 (Electronic)\\n0962-8436 (Linking)","ISSN":"1471-2970","PMID":"23878333","abstract":"Humans have hunted wildlife in Central Africa for millennia. Today, however, many species are being rapidly extirpated and sanctuaries for wildlife are dwindling. Almost all Central Africa's forests are now accessible to hunters. Drastic declines of large mammals have been caused in the past 20 years by the commercial trade for meat or ivory. We review a growing body of empirical data which shows that trophic webs are significantly disrupted in the region, with knock-on effects for other ecological functions, including seed dispersal and forest regeneration. Plausible scenarios for land-use change indicate that increasing extraction pressure on Central African forests is likely to usher in new worker populations and to intensify the hunting impacts and trophic cascade disruption already in progress, unless serious efforts are made for hunting regulation. The profound ecological changes initiated by hunting will not mitigate and may even exacerbate the predicted effects of climate change for the region. We hypothesize that, in the near future, the trophic changes brought about by hunting will have a larger and more rapid impact on Central African rainforest structure and function than the direct impacts of climate change on the vegetation. Immediate hunting regulation is vital for the survival of the Central African rainforest ecosystem.","author":[{"dropping-particle":"","family":"Abernethy","given":"K.A.","non-dropping-particle":"","parse-names":false,"suffix":""},{"dropping-particle":"","family":"Coad","given":"L.","non-dropping-particle":"","parse-names":false,"suffix":""},{"dropping-particle":"","family":"Taylor","given":"G.","non-dropping-particle":"","parse-names":false,"suffix":""},{"dropping-particle":"","family":"Lee","given":"M E","non-dropping-particle":"","parse-names":false,"suffix":""},{"dropping-particle":"","family":"Maisels","given":"F.","non-dropping-particle":"","parse-names":false,"suffix":""}],"container-title":"Philosophical transactions of the Royal Society of London. Series B, Biological sciences","id":"ITEM-1","issued":{"date-parts":[["2013"]]},"page":"20120303","title":"Extent and ecological consequences of hunting in Central African rainforests in the twenty-first century.","type":"article-journal","volume":"368"},"uris":["http://www.mendeley.com/documents/?uuid=18796464-9ea5-47fb-afcb-938cbd1dcd95"]}],"mendeley":{"formattedCitation":"(Abernethy et al. 2013b)","plainTextFormattedCitation":"(Abernethy et al. 2013b)","previouslyFormattedCitation":"(Abernethy et al. 2013b)"},"properties":{"noteIndex":0},"schema":"https://github.com/citation-style-language/schema/raw/master/csl-citation.json"}</w:instrText>
      </w:r>
      <w:r w:rsidR="00BB0D42" w:rsidRPr="00BF318E">
        <w:rPr>
          <w:color w:val="000000"/>
          <w:shd w:val="clear" w:color="auto" w:fill="FFFFFF"/>
        </w:rPr>
        <w:fldChar w:fldCharType="separate"/>
      </w:r>
      <w:r w:rsidR="008E47ED">
        <w:rPr>
          <w:noProof/>
          <w:color w:val="000000"/>
          <w:shd w:val="clear" w:color="auto" w:fill="FFFFFF"/>
        </w:rPr>
        <w:t>(Abernethy et al. 2013</w:t>
      </w:r>
      <w:r w:rsidR="00BB0D42" w:rsidRPr="00BF318E">
        <w:rPr>
          <w:noProof/>
          <w:color w:val="000000"/>
          <w:shd w:val="clear" w:color="auto" w:fill="FFFFFF"/>
        </w:rPr>
        <w:t>)</w:t>
      </w:r>
      <w:r w:rsidR="00BB0D42" w:rsidRPr="00BF318E">
        <w:rPr>
          <w:color w:val="000000"/>
          <w:shd w:val="clear" w:color="auto" w:fill="FFFFFF"/>
        </w:rPr>
        <w:fldChar w:fldCharType="end"/>
      </w:r>
      <w:r w:rsidR="002656D6" w:rsidRPr="00BF318E">
        <w:rPr>
          <w:color w:val="000000"/>
          <w:shd w:val="clear" w:color="auto" w:fill="FFFFFF"/>
        </w:rPr>
        <w:t>,</w:t>
      </w:r>
      <w:r w:rsidR="00171910" w:rsidRPr="00BF318E">
        <w:rPr>
          <w:color w:val="000000"/>
          <w:shd w:val="clear" w:color="auto" w:fill="FFFFFF"/>
        </w:rPr>
        <w:t xml:space="preserve"> </w:t>
      </w:r>
      <w:r w:rsidR="00093066" w:rsidRPr="00BF318E">
        <w:rPr>
          <w:color w:val="000000"/>
          <w:shd w:val="clear" w:color="auto" w:fill="FFFFFF"/>
        </w:rPr>
        <w:t xml:space="preserve">over ¼ of Gabon’s area </w:t>
      </w:r>
      <w:r w:rsidR="006E4807" w:rsidRPr="00BF318E">
        <w:rPr>
          <w:color w:val="000000"/>
          <w:shd w:val="clear" w:color="auto" w:fill="FFFFFF"/>
        </w:rPr>
        <w:t>is</w:t>
      </w:r>
      <w:r w:rsidR="00093066" w:rsidRPr="00BF318E">
        <w:rPr>
          <w:color w:val="000000"/>
          <w:shd w:val="clear" w:color="auto" w:fill="FFFFFF"/>
        </w:rPr>
        <w:t xml:space="preserve"> affected by </w:t>
      </w:r>
      <w:r w:rsidR="006E4807" w:rsidRPr="00BF318E">
        <w:rPr>
          <w:color w:val="000000"/>
          <w:shd w:val="clear" w:color="auto" w:fill="FFFFFF"/>
        </w:rPr>
        <w:t xml:space="preserve">heavy hunting pressure, and over half is hunted to some extent. </w:t>
      </w:r>
      <w:r w:rsidR="00F3576B" w:rsidRPr="00BF318E">
        <w:rPr>
          <w:color w:val="000000"/>
          <w:shd w:val="clear" w:color="auto" w:fill="FFFFFF"/>
        </w:rPr>
        <w:t>Combined with habitat</w:t>
      </w:r>
      <w:r w:rsidR="004D003B" w:rsidRPr="00BF318E">
        <w:rPr>
          <w:color w:val="000000"/>
          <w:shd w:val="clear" w:color="auto" w:fill="FFFFFF"/>
        </w:rPr>
        <w:t xml:space="preserve"> fragmentation resulting from habitat</w:t>
      </w:r>
      <w:r w:rsidR="00F3576B" w:rsidRPr="00BF318E">
        <w:rPr>
          <w:color w:val="000000"/>
          <w:shd w:val="clear" w:color="auto" w:fill="FFFFFF"/>
        </w:rPr>
        <w:t xml:space="preserve"> conversion</w:t>
      </w:r>
      <w:r w:rsidR="004D003B" w:rsidRPr="00BF318E">
        <w:rPr>
          <w:color w:val="000000"/>
          <w:shd w:val="clear" w:color="auto" w:fill="FFFFFF"/>
        </w:rPr>
        <w:t xml:space="preserve"> and road network expansion</w:t>
      </w:r>
      <w:r w:rsidR="00F3576B" w:rsidRPr="00BF318E">
        <w:rPr>
          <w:color w:val="000000"/>
          <w:shd w:val="clear" w:color="auto" w:fill="FFFFFF"/>
        </w:rPr>
        <w:t xml:space="preserve">, </w:t>
      </w:r>
      <w:r w:rsidR="004D003B" w:rsidRPr="00BF318E">
        <w:rPr>
          <w:color w:val="000000"/>
          <w:shd w:val="clear" w:color="auto" w:fill="FFFFFF"/>
        </w:rPr>
        <w:t>this creates</w:t>
      </w:r>
      <w:r w:rsidR="00F3576B" w:rsidRPr="00BF318E">
        <w:rPr>
          <w:color w:val="000000"/>
          <w:shd w:val="clear" w:color="auto" w:fill="FFFFFF"/>
        </w:rPr>
        <w:t xml:space="preserve"> reducing pockets of unhunted forests, where </w:t>
      </w:r>
      <w:r w:rsidR="006059E9" w:rsidRPr="00BF318E">
        <w:rPr>
          <w:color w:val="000000"/>
          <w:shd w:val="clear" w:color="auto" w:fill="FFFFFF"/>
        </w:rPr>
        <w:t xml:space="preserve">small and isolated </w:t>
      </w:r>
      <w:r w:rsidR="00F3576B" w:rsidRPr="00BF318E">
        <w:rPr>
          <w:color w:val="000000"/>
          <w:shd w:val="clear" w:color="auto" w:fill="FFFFFF"/>
        </w:rPr>
        <w:t xml:space="preserve">species populations </w:t>
      </w:r>
      <w:r w:rsidR="003B6087" w:rsidRPr="00BF318E">
        <w:rPr>
          <w:color w:val="000000"/>
          <w:shd w:val="clear" w:color="auto" w:fill="FFFFFF"/>
        </w:rPr>
        <w:t xml:space="preserve">can </w:t>
      </w:r>
      <w:r w:rsidR="00F3576B" w:rsidRPr="00BF318E">
        <w:rPr>
          <w:color w:val="000000"/>
          <w:shd w:val="clear" w:color="auto" w:fill="FFFFFF"/>
        </w:rPr>
        <w:t xml:space="preserve">become </w:t>
      </w:r>
      <w:r w:rsidR="00A479D2" w:rsidRPr="00BF318E">
        <w:rPr>
          <w:color w:val="000000"/>
          <w:shd w:val="clear" w:color="auto" w:fill="FFFFFF"/>
        </w:rPr>
        <w:t>vulnerable</w:t>
      </w:r>
      <w:r w:rsidR="003B6087" w:rsidRPr="00BF318E">
        <w:rPr>
          <w:color w:val="000000"/>
          <w:shd w:val="clear" w:color="auto" w:fill="FFFFFF"/>
        </w:rPr>
        <w:t xml:space="preserve"> to</w:t>
      </w:r>
      <w:r w:rsidR="00944860" w:rsidRPr="00BF318E">
        <w:rPr>
          <w:color w:val="000000"/>
          <w:shd w:val="clear" w:color="auto" w:fill="FFFFFF"/>
        </w:rPr>
        <w:t xml:space="preserve"> stochastic extinctions </w:t>
      </w:r>
      <w:r w:rsidR="00BB0D42" w:rsidRPr="00BF318E">
        <w:rPr>
          <w:color w:val="000000"/>
          <w:shd w:val="clear" w:color="auto" w:fill="FFFFFF"/>
        </w:rPr>
        <w:fldChar w:fldCharType="begin" w:fldLock="1"/>
      </w:r>
      <w:r w:rsidR="00566AAF">
        <w:rPr>
          <w:color w:val="000000"/>
          <w:shd w:val="clear" w:color="auto" w:fill="FFFFFF"/>
        </w:rPr>
        <w:instrText>ADDIN CSL_CITATION {"citationItems":[{"id":"ITEM-1","itemData":{"DOI":"10.1111/j.1523-1739.2006.00420.x","ISBN":"0888-8892","ISSN":"08888892","PMID":"16922241","abstract":"Road expansion and associated increases in bunting pressure are a rapidly growing threat to African tropical wildlife. In the rainforests of southern Gabon, we compared abundances of larger (&gt;1 kg) mammal species at varying distances from forest roads and between hunted and unhunted treatments (comparing a 130-km2 oil concession that was almost entirely protected from bunting with nearby areas outside the concession that had moderate hunting pressure). At each of 12 study sites that were evenly divided between hunted and unhunted areas, we established standardized 1-km transects at five distances (50, 300, 600, 900, and 1200 m) from an unpaved road, and then repeatedly surveyed mammals during the 2004 dry and wet seasons. Hunting had the greatest impact on duikers (Cephalophus spp.), forest buffalo (Syncerus caffer nanus), and red river hogs (Potamochoerus porcus), which declined in abundance outside the oil concession, and lesser effects on lowland gorillas (Gorilla gorilla gorilla) and carnivores. Roads depressed abundances of duikers, sitatungas (Tragelaphus spekei gratus), and forest elephants (Loxondonta africana cyclotis), with avoidance of roads being stronger outside than inside the concession. Five monkey species showed little response to roads or hunting, whereas some rodents and pangolins increased in abundance outside the concession, possibly in response to greater forest disturbance. Our findings suggest that even moderate hunting pressure can markedly alter the structure of mammal communities in central Africa. Roads had the greatest impacts on large and small ungulates, with the magnitude of road avoidance increasing with local hunting pressure.","author":[{"dropping-particle":"","family":"Laurance","given":"William F.","non-dropping-particle":"","parse-names":false,"suffix":""},{"dropping-particle":"","family":"Croes","given":"Barbara M.","non-dropping-particle":"","parse-names":false,"suffix":""},{"dropping-particle":"","family":"Tchignoumba","given":"Landry","non-dropping-particle":"","parse-names":false,"suffix":""},{"dropping-particle":"","family":"Lahm","given":"Sally A.","non-dropping-particle":"","parse-names":false,"suffix":""},{"dropping-particle":"","family":"Alonso","given":"Alfonso","non-dropping-particle":"","parse-names":false,"suffix":""},{"dropping-particle":"","family":"Lee","given":"Michelle E.","non-dropping-particle":"","parse-names":false,"suffix":""},{"dropping-particle":"","family":"Campbell","given":"Patrick","non-dropping-particle":"","parse-names":false,"suffix":""},{"dropping-particle":"","family":"Ondzeano","given":"Claude","non-dropping-particle":"","parse-names":false,"suffix":""}],"container-title":"Conservation Biology","id":"ITEM-1","issue":"4","issued":{"date-parts":[["2006"]]},"page":"1251-1261","title":"Impacts of roads and hunting on Central African rainforest mammals","type":"article-journal","volume":"20"},"uris":["http://www.mendeley.com/documents/?uuid=000feec0-bc0e-449e-a6a9-e9c10ebd0d9c"]},{"id":"ITEM-2","itemData":{"DOI":"10.1371/journal.pone.0117920","ISSN":"19326203","PMID":"25668338","abstract":"The primary approach used to conserve tropical biodiversity is in the establishment of protected areas. However, many tropical nature reserves are performing poorly and interventions in the broader landscape may be essential for conserving biodiversity both within reserves and at large. Between October 2010 and 2012, we conducted bird surveys in and around a recently established nature reserve in Xishuangbanna, China. We constructed a checklist of observed species, previously recorded species, and species inferred to have occurred in the area from their distributions and habitat requirements. In addition, we assessed variation in community composition and habitat specificity at a landscape-scale. Despite the fact that the landscape supports a large area of natural forest habitat (~50,000 ha), we estimate that &gt;40% of the bird fauna has been extirpated and abundant evidence suggests hunting is the primary cause. A large proportion (52%) of the bigger birds (&gt;20 cm) were extirpated and for large birds there was a U-shaped relationship between habitat breadth and extirpation probability. Habitat specificity was low and bird communities were dominated by widespread species of limited conservation concern. We question whether extending tropical protected area networks will deliver desired conservation gains, unless much greater effort is channeled into addressing the hunting problem both within existing protected areas and in the broader landscape.","author":[{"dropping-particle":"","family":"Sreekar","given":"Rachakonda","non-dropping-particle":"","parse-names":false,"suffix":""},{"dropping-particle":"","family":"Zhang","given":"Kai","non-dropping-particle":"","parse-names":false,"suffix":""},{"dropping-particle":"","family":"Xu","given":"Jianchu","non-dropping-particle":"","parse-names":false,"suffix":""},{"dropping-particle":"","family":"Harrison","given":"Rhett D.","non-dropping-particle":"","parse-names":false,"suffix":""}],"container-title":"PLoS ONE","id":"ITEM-2","issue":"2","issued":{"date-parts":[["2015"]]},"page":"1-18","title":"Yet another empty forest: considering the conservation value of a recently established tropical nature reserve","type":"article-journal","volume":"10"},"uris":["http://www.mendeley.com/documents/?uuid=785b84e0-732e-46b6-9fb6-6e1099d62ca0"]}],"mendeley":{"formattedCitation":"(Laurance et al. 2006; Sreekar et al. 2015b)","plainTextFormattedCitation":"(Laurance et al. 2006; Sreekar et al. 2015b)","previouslyFormattedCitation":"(Laurance et al. 2006; Sreekar et al. 2015b)"},"properties":{"noteIndex":0},"schema":"https://github.com/citation-style-language/schema/raw/master/csl-citation.json"}</w:instrText>
      </w:r>
      <w:r w:rsidR="00BB0D42" w:rsidRPr="00BF318E">
        <w:rPr>
          <w:color w:val="000000"/>
          <w:shd w:val="clear" w:color="auto" w:fill="FFFFFF"/>
        </w:rPr>
        <w:fldChar w:fldCharType="separate"/>
      </w:r>
      <w:r w:rsidR="00BB0D42" w:rsidRPr="00BF318E">
        <w:rPr>
          <w:noProof/>
          <w:color w:val="000000"/>
          <w:shd w:val="clear" w:color="auto" w:fill="FFFFFF"/>
        </w:rPr>
        <w:t>(Laurance et al. 2006; Sreekar et al. 2015b)</w:t>
      </w:r>
      <w:r w:rsidR="00BB0D42" w:rsidRPr="00BF318E">
        <w:rPr>
          <w:color w:val="000000"/>
          <w:shd w:val="clear" w:color="auto" w:fill="FFFFFF"/>
        </w:rPr>
        <w:fldChar w:fldCharType="end"/>
      </w:r>
      <w:r w:rsidR="004D003B">
        <w:rPr>
          <w:color w:val="000000"/>
          <w:shd w:val="clear" w:color="auto" w:fill="FFFFFF"/>
        </w:rPr>
        <w:t>, reducing their populations even further.</w:t>
      </w:r>
      <w:r w:rsidR="00F3576B">
        <w:rPr>
          <w:color w:val="000000"/>
          <w:shd w:val="clear" w:color="auto" w:fill="FFFFFF"/>
        </w:rPr>
        <w:t xml:space="preserve"> </w:t>
      </w:r>
    </w:p>
    <w:p w14:paraId="7E8C8E9F" w14:textId="6C3137A6" w:rsidR="00A35EE8" w:rsidRPr="00F96266" w:rsidRDefault="00A35EE8" w:rsidP="00C258BC">
      <w:pPr>
        <w:pStyle w:val="NormalWeb"/>
        <w:jc w:val="both"/>
        <w:rPr>
          <w:color w:val="000000"/>
          <w:shd w:val="clear" w:color="auto" w:fill="FFFFFF"/>
        </w:rPr>
      </w:pPr>
      <w:r w:rsidRPr="003B6087">
        <w:rPr>
          <w:color w:val="000000"/>
          <w:shd w:val="clear" w:color="auto" w:fill="FFFFFF"/>
        </w:rPr>
        <w:t>Protected Areas (</w:t>
      </w:r>
      <w:r w:rsidRPr="00A54B5F">
        <w:rPr>
          <w:color w:val="000000"/>
          <w:shd w:val="clear" w:color="auto" w:fill="FFFFFF"/>
        </w:rPr>
        <w:t>PAs</w:t>
      </w:r>
      <w:r w:rsidRPr="003B6087">
        <w:rPr>
          <w:color w:val="000000"/>
          <w:shd w:val="clear" w:color="auto" w:fill="FFFFFF"/>
        </w:rPr>
        <w:t xml:space="preserve">) aim to provide a refuge from </w:t>
      </w:r>
      <w:r w:rsidR="00063F16">
        <w:rPr>
          <w:color w:val="000000"/>
          <w:shd w:val="clear" w:color="auto" w:fill="FFFFFF"/>
        </w:rPr>
        <w:t>human activities</w:t>
      </w:r>
      <w:r w:rsidRPr="003B6087">
        <w:rPr>
          <w:color w:val="000000"/>
          <w:shd w:val="clear" w:color="auto" w:fill="FFFFFF"/>
        </w:rPr>
        <w:t xml:space="preserve"> such as habitat conversion </w:t>
      </w:r>
      <w:r w:rsidR="00434956" w:rsidRPr="003B6087">
        <w:rPr>
          <w:color w:val="000000"/>
          <w:shd w:val="clear" w:color="auto" w:fill="FFFFFF"/>
        </w:rPr>
        <w:t>and hunting</w:t>
      </w:r>
      <w:r w:rsidRPr="003B6087">
        <w:rPr>
          <w:color w:val="000000"/>
          <w:shd w:val="clear" w:color="auto" w:fill="FFFFFF"/>
        </w:rPr>
        <w:t>, and have generally been successful in slowing species declines</w:t>
      </w:r>
      <w:r w:rsidR="00434956" w:rsidRPr="003B6087">
        <w:rPr>
          <w:color w:val="000000"/>
          <w:shd w:val="clear" w:color="auto" w:fill="FFFFFF"/>
        </w:rPr>
        <w:t xml:space="preserve"> </w:t>
      </w:r>
      <w:r w:rsidR="00A65C72">
        <w:rPr>
          <w:color w:val="000000"/>
          <w:shd w:val="clear" w:color="auto" w:fill="FFFFFF"/>
        </w:rPr>
        <w:fldChar w:fldCharType="begin" w:fldLock="1"/>
      </w:r>
      <w:r w:rsidR="00D72B40">
        <w:rPr>
          <w:color w:val="000000"/>
          <w:shd w:val="clear" w:color="auto" w:fill="FFFFFF"/>
        </w:rPr>
        <w:instrText>ADDIN CSL_CITATION {"citationItems":[{"id":"ITEM-1","itemData":{"DOI":"10.1038/nature11318","ISSN":"0028-0836","author":[{"dropping-particle":"","family":"Laurance","given":"W. F.","non-dropping-particle":"","parse-names":false,"suffix":""}],"container-title":"Nature","id":"ITEM-1","issue":"7415","issued":{"date-parts":[["2012"]]},"page":"290-294","publisher":"Nature Publishing Group","title":"Averting biodiversity collapse in tropical forest protected areas","type":"article-journal","volume":"489"},"uris":["http://www.mendeley.com/documents/?uuid=166db63d-7d21-4a93-81cf-d751a797af78"]},{"id":"ITEM-2","itemData":{"author":[{"dropping-particle":"","family":"Barnes","given":"Megan","non-dropping-particle":"","parse-names":false,"suffix":""}],"id":"ITEM-2","issued":{"date-parts":[["2013"]]},"number-of-pages":"332","publisher":"PhD Thesis, University of Queensland, Australia","title":"Protected area effectiveness: evaluation of biological outcomes in protected areas","type":"book"},"uris":["http://www.mendeley.com/documents/?uuid=5b975f71-5bf7-4ed1-929e-0d3ea144859a"]},{"id":"ITEM-3","itemData":{"DOI":"10.1038/nature21708","ISSN":"0028-0836","author":[{"dropping-particle":"","family":"Gill","given":"David A","non-dropping-particle":"","parse-names":false,"suffix":""},{"dropping-particle":"","family":"Mascia","given":"Michael B","non-dropping-particle":"","parse-names":false,"suffix":""},{"dropping-particle":"","family":"Ahmadia","given":"Gabby N","non-dropping-particle":"","parse-names":false,"suffix":""},{"dropping-particle":"","family":"Glew","given":"Louise","non-dropping-particle":"","parse-names":false,"suffix":""},{"dropping-particle":"","family":"Lester","given":"Sarah E","non-dropping-particle":"","parse-names":false,"suffix":""},{"dropping-particle":"","family":"Barnes","given":"Megan","non-dropping-particle":"","parse-names":false,"suffix":""},{"dropping-particle":"","family":"Craigie","given":"Ian","non-dropping-particle":"","parse-names":false,"suffix":""},{"dropping-particle":"","family":"Gates","given":"Ruth D","non-dropping-particle":"","parse-names":false,"suffix":""},{"dropping-particle":"","family":"Guannel","given":"Greg","non-dropping-particle":"","parse-names":false,"suffix":""},{"dropping-particle":"","family":"Mumby","given":"Peter J","non-dropping-particle":"","parse-names":false,"suffix":""},{"dropping-particle":"","family":"Thomas","given":"Hannah","non-dropping-particle":"","parse-names":false,"suffix":""},{"dropping-particle":"","family":"Whitmee","given":"Sarah","non-dropping-particle":"","parse-names":false,"suffix":""}],"container-title":"Nature","id":"ITEM-3","issue":"7647","issued":{"date-parts":[["2017"]]},"page":"665-669","publisher":"Nature Publishing Group","title":"Capacity shortfalls hinder the performance of marine protected areas globally","type":"article-journal","volume":"543"},"uris":["http://www.mendeley.com/documents/?uuid=04516c3d-d4b9-4cd1-9d8b-73e30f78661d"]}],"mendeley":{"formattedCitation":"(Laurance 2012; Barnes 2013; Gill et al. 2017)","manualFormatting":"(Laurance, 2012; Barnes, 2013; Gill et al., 2017)","plainTextFormattedCitation":"(Laurance 2012; Barnes 2013; Gill et al. 2017)","previouslyFormattedCitation":"(Laurance 2012; Barnes 2013; Gill et al. 2017)"},"properties":{"noteIndex":0},"schema":"https://github.com/citation-style-language/schema/raw/master/csl-citation.json"}</w:instrText>
      </w:r>
      <w:r w:rsidR="00A65C72">
        <w:rPr>
          <w:color w:val="000000"/>
          <w:shd w:val="clear" w:color="auto" w:fill="FFFFFF"/>
        </w:rPr>
        <w:fldChar w:fldCharType="separate"/>
      </w:r>
      <w:r w:rsidR="00A65C72" w:rsidRPr="00A65C72">
        <w:rPr>
          <w:noProof/>
          <w:color w:val="000000"/>
          <w:shd w:val="clear" w:color="auto" w:fill="FFFFFF"/>
        </w:rPr>
        <w:t>(Laurance</w:t>
      </w:r>
      <w:r w:rsidR="008806AC">
        <w:rPr>
          <w:noProof/>
          <w:color w:val="000000"/>
          <w:shd w:val="clear" w:color="auto" w:fill="FFFFFF"/>
        </w:rPr>
        <w:t>,</w:t>
      </w:r>
      <w:r w:rsidR="00A65C72" w:rsidRPr="00A65C72">
        <w:rPr>
          <w:noProof/>
          <w:color w:val="000000"/>
          <w:shd w:val="clear" w:color="auto" w:fill="FFFFFF"/>
        </w:rPr>
        <w:t xml:space="preserve"> 2012; Barnes</w:t>
      </w:r>
      <w:r w:rsidR="008806AC">
        <w:rPr>
          <w:noProof/>
          <w:color w:val="000000"/>
          <w:shd w:val="clear" w:color="auto" w:fill="FFFFFF"/>
        </w:rPr>
        <w:t>,</w:t>
      </w:r>
      <w:r w:rsidR="00A65C72" w:rsidRPr="00A65C72">
        <w:rPr>
          <w:noProof/>
          <w:color w:val="000000"/>
          <w:shd w:val="clear" w:color="auto" w:fill="FFFFFF"/>
        </w:rPr>
        <w:t xml:space="preserve"> 2013; Gill et al.</w:t>
      </w:r>
      <w:r w:rsidR="008806AC">
        <w:rPr>
          <w:noProof/>
          <w:color w:val="000000"/>
          <w:shd w:val="clear" w:color="auto" w:fill="FFFFFF"/>
        </w:rPr>
        <w:t>,</w:t>
      </w:r>
      <w:r w:rsidR="00A65C72" w:rsidRPr="00A65C72">
        <w:rPr>
          <w:noProof/>
          <w:color w:val="000000"/>
          <w:shd w:val="clear" w:color="auto" w:fill="FFFFFF"/>
        </w:rPr>
        <w:t xml:space="preserve"> 2017)</w:t>
      </w:r>
      <w:r w:rsidR="00A65C72">
        <w:rPr>
          <w:color w:val="000000"/>
          <w:shd w:val="clear" w:color="auto" w:fill="FFFFFF"/>
        </w:rPr>
        <w:fldChar w:fldCharType="end"/>
      </w:r>
      <w:r w:rsidRPr="003B6087">
        <w:rPr>
          <w:color w:val="000000"/>
          <w:shd w:val="clear" w:color="auto" w:fill="FFFFFF"/>
        </w:rPr>
        <w:t xml:space="preserve">. Where wildlife has been overexploited intensely, or for a long time, PAs may represent the only areas with high densities of wildlife, or the only remaining populations of certain species. However, </w:t>
      </w:r>
      <w:r w:rsidR="00434956" w:rsidRPr="003B6087">
        <w:rPr>
          <w:color w:val="000000"/>
          <w:shd w:val="clear" w:color="auto" w:fill="FFFFFF"/>
        </w:rPr>
        <w:t xml:space="preserve">many </w:t>
      </w:r>
      <w:r w:rsidRPr="003B6087">
        <w:rPr>
          <w:color w:val="000000"/>
          <w:shd w:val="clear" w:color="auto" w:fill="FFFFFF"/>
        </w:rPr>
        <w:t>PAs in tropical regions</w:t>
      </w:r>
      <w:r w:rsidR="006740B0">
        <w:rPr>
          <w:color w:val="000000"/>
          <w:shd w:val="clear" w:color="auto" w:fill="FFFFFF"/>
        </w:rPr>
        <w:t xml:space="preserve"> </w:t>
      </w:r>
      <w:r w:rsidR="00434956" w:rsidRPr="003B6087">
        <w:rPr>
          <w:color w:val="000000"/>
          <w:shd w:val="clear" w:color="auto" w:fill="FFFFFF"/>
        </w:rPr>
        <w:t xml:space="preserve">have </w:t>
      </w:r>
      <w:r w:rsidR="003D761C" w:rsidRPr="003B6087">
        <w:rPr>
          <w:color w:val="000000"/>
          <w:shd w:val="clear" w:color="auto" w:fill="FFFFFF"/>
        </w:rPr>
        <w:t>insufficient funding and staff capacity</w:t>
      </w:r>
      <w:r w:rsidR="00434956" w:rsidRPr="003B6087">
        <w:rPr>
          <w:color w:val="000000"/>
          <w:shd w:val="clear" w:color="auto" w:fill="FFFFFF"/>
        </w:rPr>
        <w:t xml:space="preserve"> for law</w:t>
      </w:r>
      <w:r w:rsidR="00434956">
        <w:rPr>
          <w:color w:val="000000" w:themeColor="text1"/>
        </w:rPr>
        <w:t xml:space="preserve"> enforcement patrols </w:t>
      </w:r>
      <w:r w:rsidR="00816D43">
        <w:rPr>
          <w:color w:val="000000" w:themeColor="text1"/>
        </w:rPr>
        <w:fldChar w:fldCharType="begin" w:fldLock="1"/>
      </w:r>
      <w:r w:rsidR="002F6BDE">
        <w:rPr>
          <w:color w:val="000000" w:themeColor="text1"/>
        </w:rPr>
        <w:instrText>ADDIN CSL_CITATION {"citationItems":[{"id":"ITEM-1","itemData":{"author":[{"dropping-particle":"","family":"Coad","given":"L.","non-dropping-particle":"","parse-names":false,"suffix":""},{"dropping-particle":"","family":"Watson","given":"James E.M.","non-dropping-particle":"","parse-names":false,"suffix":""},{"dropping-particle":"","family":"Geldmann","given":"Jonas","non-dropping-particle":"","parse-names":false,"suffix":""},{"dropping-particle":"","family":"Burgess","given":"Neil D.","non-dropping-particle":"","parse-names":false,"suffix":""},{"dropping-particle":"","family":"Leverington","given":"Fiona","non-dropping-particle":"","parse-names":false,"suffix":""},{"dropping-particle":"","family":"Hockings","given":"Marc","non-dropping-particle":"","parse-names":false,"suffix":""},{"dropping-particle":"","family":"Knights","given":"Kathryn","non-dropping-particle":"","parse-names":false,"suffix":""},{"dropping-particle":"","family":"DiMarco","given":"Moreno","non-dropping-particle":"","parse-names":false,"suffix":""}],"container-title":"Frontiers in Ecology and Evolution","id":"ITEM-1","issued":{"date-parts":[["0"]]},"title":"Widespread shortfalls in protected area resourcing significantly undermine efforts to conserve biodiversity","type":"article-journal"},"uris":["http://www.mendeley.com/documents/?uuid=a6c9a392-8eaa-4e95-9639-e6c7e15a179e"]},{"id":"ITEM-2","itemData":{"DOI":"10.1038/nature21708","ISSN":"0028-0836","author":[{"dropping-particle":"","family":"Gill","given":"David A","non-dropping-particle":"","parse-names":false,"suffix":""},{"dropping-particle":"","family":"Mascia","given":"Michael B","non-dropping-particle":"","parse-names":false,"suffix":""},{"dropping-particle":"","family":"Ahmadia","given":"Gabby N","non-dropping-particle":"","parse-names":false,"suffix":""},{"dropping-particle":"","family":"Glew","given":"Louise","non-dropping-particle":"","parse-names":false,"suffix":""},{"dropping-particle":"","family":"Lester","given":"Sarah E","non-dropping-particle":"","parse-names":false,"suffix":""},{"dropping-particle":"","family":"Barnes","given":"Megan","non-dropping-particle":"","parse-names":false,"suffix":""},{"dropping-particle":"","family":"Craigie","given":"Ian","non-dropping-particle":"","parse-names":false,"suffix":""},{"dropping-particle":"","family":"Gates","given":"Ruth D","non-dropping-particle":"","parse-names":false,"suffix":""},{"dropping-particle":"","family":"Guannel","given":"Greg","non-dropping-particle":"","parse-names":false,"suffix":""},{"dropping-particle":"","family":"Mumby","given":"Peter J","non-dropping-particle":"","parse-names":false,"suffix":""},{"dropping-particle":"","family":"Thomas","given":"Hannah","non-dropping-particle":"","parse-names":false,"suffix":""},{"dropping-particle":"","family":"Whitmee","given":"Sarah","non-dropping-particle":"","parse-names":false,"suffix":""}],"container-title":"Nature","id":"ITEM-2","issue":"7647","issued":{"date-parts":[["2017"]]},"page":"665-669","publisher":"Nature Publishing Group","title":"Capacity shortfalls hinder the performance of marine protected areas globally","type":"article-journal","volume":"543"},"uris":["http://www.mendeley.com/documents/?uuid=04516c3d-d4b9-4cd1-9d8b-73e30f78661d"]},{"id":"ITEM-3","itemData":{"DOI":"10.1038/nature11318","ISSN":"0028-0836","author":[{"dropping-particle":"","family":"Laurance","given":"W. F.","non-dropping-particle":"","parse-names":false,"suffix":""}],"container-title":"Nature","id":"ITEM-3","issue":"7415","issued":{"date-parts":[["2012"]]},"page":"290-294","publisher":"Nature Publishing Group","title":"Averting biodiversity collapse in tropical forest protected areas","type":"article-journal","volume":"489"},"uris":["http://www.mendeley.com/documents/?uuid=166db63d-7d21-4a93-81cf-d751a797af78"]},{"id":"ITEM-4","itemData":{"DOI":"10.1007/s00267-010-9564-5","ISBN":"0364-152X","ISSN":"0364152X","PMID":"20859627","abstract":"We compiled details of over 8000 assessments of protected area management effectiveness across the world and developed a method for analyzing results across diverse assessment methodologies and indicators. Data was compiled and analyzed for over 4000 of these sites. Management of these protected areas varied from weak to effective, with about 40% showing major deficiencies. About 14% of the surveyed areas showed significant deficiencies across many management effectiveness indicators and hence lacked basic requirements to operate effectively. Strongest management factors recorded on average related to establishment of protected areas (legal establishment, design, legislation and boundary marking) and to effectiveness of governance; while the weakest aspects of management included community benefit programs, resourcing (funding reliability and adequacy, staff numbers and facility and equipment maintenance) and management effectiveness evaluation. Estimations of management outcomes, including both environmental values conservation and impact on communities, were positive. We conclude that in spite of inadequate funding and management process, t</w:instrText>
      </w:r>
      <w:r w:rsidR="002F6BDE" w:rsidRPr="00DF57F3">
        <w:rPr>
          <w:color w:val="000000" w:themeColor="text1"/>
          <w:lang w:val="fr-FR"/>
        </w:rPr>
        <w:instrText>here are indications that protected areas are contributing to biodiversity conservation and community well-being.","author":[{"dropping-particle":"","family":"Leverington","given":"Fiona","non-dropping-particle":"","parse-names":false,"suffix":""},{"dropping-particle":"","family":"Costa","given":"Katia Lemos","non-dropping-particle":"","parse-names":false,"suffix":""},{"dropping-particle":"","family":"Pavese","given":"Helena","non-dropping-particle":"","parse-names":false,"suffix":""},{"dropping-particle":"","family":"Lisle","given":"Allan","non-dropping-particle":"","parse-names":false,"suffix":""},{"dropping-particle":"","family":"Hockings","given":"Marc","non-dropping-particle":"","parse-names":false,"suffix":""}],"container-title":"Environmental Management","id":"ITEM-4","issue":"5","issued":{"date-parts":[["2010"]]},"page":"685-698","title":"A global analysis of protected area management effectiveness","type":"article-journal","volume":"46"},"uris":["http://www.mendeley.com/documents/?uuid=d7cfaf76-b328-4439-8f7f-9e89f301cd44"]}],"mendeley":{"formattedCitation":"(Coad et al. n.d.; Leverington et al. 2010; Laurance 2012; Gill et al. 2017)","plainTextFormattedCitation":"(Coad et al. n.d.; Leverington et al. 2010; Laurance 2012; Gill et al. 2017)","previouslyFormattedCitation":"(Coad et al. n.d.; Leverington et al. 2010; Laurance 2012; Gill et al. 2017)"},"properties":{"noteIndex":0},"schema":"https://github.com/citation-style-language/schema/raw/master/csl-citation.json"}</w:instrText>
      </w:r>
      <w:r w:rsidR="00816D43">
        <w:rPr>
          <w:color w:val="000000" w:themeColor="text1"/>
        </w:rPr>
        <w:fldChar w:fldCharType="separate"/>
      </w:r>
      <w:r w:rsidR="00566AAF" w:rsidRPr="00DF57F3">
        <w:rPr>
          <w:noProof/>
          <w:color w:val="000000" w:themeColor="text1"/>
          <w:lang w:val="fr-FR"/>
        </w:rPr>
        <w:t>(Coad et al. n.d.; Leverington et al. 2010; Laurance 2012; Gill et al. 2017)</w:t>
      </w:r>
      <w:r w:rsidR="00816D43">
        <w:rPr>
          <w:color w:val="000000" w:themeColor="text1"/>
        </w:rPr>
        <w:fldChar w:fldCharType="end"/>
      </w:r>
      <w:r w:rsidR="00434956" w:rsidRPr="00DF57F3">
        <w:rPr>
          <w:color w:val="000000" w:themeColor="text1"/>
          <w:lang w:val="fr-FR"/>
        </w:rPr>
        <w:t xml:space="preserve">. </w:t>
      </w:r>
      <w:r w:rsidR="00434956" w:rsidRPr="003E3238">
        <w:rPr>
          <w:color w:val="000000" w:themeColor="text1"/>
        </w:rPr>
        <w:t>In addition, state managed PAs can often lack support from surrounding communities</w:t>
      </w:r>
      <w:r w:rsidR="00434956" w:rsidRPr="0064175F">
        <w:rPr>
          <w:color w:val="000000" w:themeColor="text1"/>
        </w:rPr>
        <w:t xml:space="preserve">, especially when </w:t>
      </w:r>
      <w:r w:rsidR="000F79CB">
        <w:rPr>
          <w:color w:val="000000" w:themeColor="text1"/>
        </w:rPr>
        <w:t>Protected Area (</w:t>
      </w:r>
      <w:r w:rsidR="00434956" w:rsidRPr="0064175F">
        <w:rPr>
          <w:color w:val="000000" w:themeColor="text1"/>
        </w:rPr>
        <w:t>PA</w:t>
      </w:r>
      <w:r w:rsidR="000F79CB">
        <w:rPr>
          <w:color w:val="000000" w:themeColor="text1"/>
        </w:rPr>
        <w:t>)</w:t>
      </w:r>
      <w:r w:rsidR="00434956" w:rsidRPr="0064175F">
        <w:rPr>
          <w:color w:val="000000" w:themeColor="text1"/>
        </w:rPr>
        <w:t xml:space="preserve"> boundaries overlap with traditional </w:t>
      </w:r>
      <w:r w:rsidR="00434956" w:rsidRPr="0070404D">
        <w:rPr>
          <w:color w:val="000000" w:themeColor="text1"/>
        </w:rPr>
        <w:t xml:space="preserve">community territories </w:t>
      </w:r>
      <w:r w:rsidR="00AA5190">
        <w:rPr>
          <w:color w:val="000000" w:themeColor="text1"/>
        </w:rPr>
        <w:fldChar w:fldCharType="begin" w:fldLock="1"/>
      </w:r>
      <w:r w:rsidR="007078FA">
        <w:rPr>
          <w:color w:val="000000" w:themeColor="text1"/>
        </w:rPr>
        <w:instrText>ADDIN CSL_CITATION {"citationItems":[{"id":"ITEM-1","itemData":{"DOI":"10.5751/ES-09850-230108","ISBN":"9781303699443","ISSN":"17083087","PMID":"1499831686","abstract":"Retail entrepreneurs form the core of many rural towns. From providing a local source of needed products to employment to membership in service organizations, these individuals are the ones to take on the challenge of opening and operating a business where others do not. Small retailers also contribute to many small towns' economies by providing additional tourist activities, supporting other businesses and attractions in drawing tourism dollars. Thus it is important to understand the needs of small retail entrepreneurs as they initiate and develop their businesses, and support those who would wish to do so. The purpose of this study was to identify the kinds of information small retail entrepreneurs would require during startup, and potentially to determine sources of information these individuals consulted during the development of their businesses, a topic relatively unaddressed by previous research. Findings of this study covered several areas of interest, primarily guidance particular to operating a retail business. Industry specific information regarding retail management concerns such as pricing and point-of-sale systems and performance measures formed the primary area of interest identified by this group. Such results could lead local business support agencies and educational organizations to incorporate retail industry-specific instruction in their offerings to business startups.","author":[{"dropping-particle":"","family":"Anaya","given":"Felisa C.","non-dropping-particle":"","parse-names":false,"suffix":""},{"dropping-particle":"","family":"Espírito-Santo","given":"Mário M.","non-dropping-particle":"","parse-names":false,"suffix":""}],"container-title":"Ecology and Society","id":"ITEM-1","issue":"1","issued":{"date-parts":[["2018"]]},"page":"8","title":"Protected areas and territorial exclusion of traditional communities: analyzing the social impacts of environmental compensation strategies in Brazil","type":"article-journal","volume":"23"},"uris":["http://www.mendeley.com/documents/?uuid=555cb12b-08ce-4999-b2bb-37a0ab68f039"]},{"id":"ITEM-2","itemData":{"DOI":"10.1371/journal.pone.0114154","ISSN":"19326203","PMID":"25469888","abstract":"Numerous protected areas (PAs) have been created in Africa to safeguard wildlife and other natural resources. However, significant threats from anthropogenic activities and decline of wildlife populations persist, while conservation efforts in most PAs are still minimal. We assessed the impact level of the most common threats to wildlife within PAs in tropical Africa and the relationship of conservation activities with threat impact level. We collated data on 98 PAs with tropical forest cover from 15 countries across West, Central and East Africa. For this, we assembled information about local threats as well as conservation activities from published and unpublished literature, and questionnaires sent to long-term field workers. We constructed general linear models to test the significance of specific conservation activities in relation to the threat impact level. Subsistence and commercial hunting were identified as the most common direct threats to wildlife and found to be most prevalent in West and Central Africa. Agriculture and logging represented the most common indirect threats, and were most prevalent in West Africa. We found that the long-term presence of conservation activities (such as law enforcement, research and tourism) was associated with lower threat impact levels. Our results highlight deficiencies in the management effectiveness of several PAs across tropical Africa, and conclude that PA management should invest more into conservation activities with long-term duration.","author":[{"dropping-particle":"","family":"Tranquilli","given":"Sandra","non-dropping-particle":"","parse-names":false,"suffix":""},{"dropping-particle":"","family":"Abedi-Lartey","given":"Michael","non-dropping-particle":"","parse-names":false,"suffix":""},{"dropping-particle":"","family":"Abernethy","given":"Katharine","non-dropping-particle":"","parse-names":false,"suffix":""},{"dropping-particle":"","family":"Amsini","given":"Fidèle","non-dropping-particle":"","parse-names":false,"suffix":""},{"dropping-particle":"","family":"Asamoah","given":"Augustus","non-dropping-particle":"","parse-names":false,"suffix":""},{"dropping-particle":"","family":"Balangtaa","given":"Cletus","non-dropping-particle":"","parse-names":false,"suffix":""},{"dropping-particle":"","family":"Blake","given":"Stephen","non-dropping-particle":"","parse-names":false,"suffix":""},{"dropping-particle":"","family":"Bouanga","given":"Estelle","non-dropping-particle":"","parse-names":false,"suffix":""},{"dropping-particle":"","family":"Breuer","given":"Thomas","non-dropping-particle":"","parse-names":false,"suffix":""},{"dropping-particle":"","family":"Brncic","given":"Terry M.","non-dropping-particle":"","parse-names":false,"suffix":""},{"dropping-particle":"","family":"Campbell","given":"Geneviève","non-dropping-particle":"","parse-names":false,"suffix":""},{"dropping-particle":"","family":"Chancellor","given":"Rebecca","non-dropping-particle":"","parse-names":false,"suffix":""},{"dropping-particle":"","family":"Chapman","given":"Colin A.","non-dropping-particle":"","parse-names":false,"suffix":""},{"dropping-particle":"","family":"Davenport","given":"Tim R.B.","non-dropping-particle":"","parse-names":false,"suffix":""},{"dropping-particle":"","family":"Dunn","given":"Andrew","non-dropping-particle":"","parse-names":false,"suffix":""},{"dropping-particle":"","family":"Dupain","given":"Jef","non-dropping-particle":"","parse-names":false,"suffix":""},{"dropping-particle":"","family":"Ekobo","given":"Atanga","non-dropping-particle":"","parse-names":false,"suffix":""},{"dropping-particle":"","family":"Eno-Nku","given":"Manasseh","non-dropping-particle":"","parse-names":false,"suffix":""},{"dropping-particle":"","family":"Etoga","given":"Gilles","non-dropping-particle":"","parse-names":false,"suffix":""},{"dropping-particle":"","family":"Furuichi","given":"Takeshi","non-dropping-particle":"","parse-names":false,"suffix":""},{"dropping-particle":"","family":"Gatti","given":"Sylvain","non-dropping-particle":"","parse-names":false,"suffix":""},{"dropping-particle":"","family":"Ghiurghi","given":"Andrea","non-dropping-particle":"","parse-names":false,"suffix":""},{"dropping-particle":"","family":"Hashimoto","given":"Chie","non-dropping-particle":"","parse-names":false,"suffix":""},{"dropping-particle":"","family":"Hart","given":"John A.","non-dropping-particle":"","parse-names":false,"suffix":""},{"dropping-particle":"","family":"Head","given":"Josephine","non-dropping-particle":"","parse-names":false,"suffix":""},{"dropping-particle":"","family":"Hega","given":"Martin","non-dropping-particle":"","parse-names":false,"suffix":""},{"dropping-particle":"","family":"Herbinger","given":"Ilka","non-dropping-particle":"","parse-names":false,"suffix":""},{"dropping-particle":"","family":"Hicks","given":"Thurston C.","non-dropping-particle":"","parse-names":false,"suffix":""},{"dropping-particle":"","family":"Holbech","given":"Lars H.","non-dropping-particle":"","parse-names":false,"suffix":""},{"dropping-particle":"","family":"Huijbregts","given":"Bas","non-dropping-particle":"","parse-names":false,"suffix":""},{"dropping-particle":"","family":"Kühl","given":"Hjalmar S.","non-dropping-particle":"","parse-names":false,"suffix":""},{"dropping-particle":"","family":"Imong","given":"Inaoyom","non-dropping-particle":"","parse-names":false,"suffix":""},{"dropping-particle":"","family":"Yeno","given":"Stephane Le Duc","non-dropping-particle":"","parse-names":false,"suffix":""},{"dropping-particle":"","family":"Linder","given":"Joshua","non-dropping-particle":"","parse-names":false,"suffix":""},{"dropping-particle":"","family":"Marshall","given":"Phil","non-dropping-particle":"","parse-names":false,"suffix":""},{"dropping-particle":"","family":"Lero","given":"Peter Minasoma","non-dropping-particle":"","parse-names":false,"suffix":""},{"dropping-particle":"","family":"Morgan","given":"David","non-dropping-particle":"","parse-names":false,"suffix":""},{"dropping-particle":"","family":"Mubalama","given":"Leonard","non-dropping-particle":"","parse-names":false,"suffix":""},{"dropping-particle":"","family":"N'Goran","given":"Paul K.","non-dropping-particle":"","parse-names":false,"suffix":""},{"dropping-particle":"","family":"Nicholas","given":"Aaron","non-dropping-particle":"","parse-names":false,"suffix":""},{"dropping-particle":"","family":"Nixon","given":"Stuart","non-dropping-particle":"","parse-names":false,"suffix":""},{"dropping-particle":"","family":"Normand","given":"Emmanuelle","non-dropping-particle":"","parse-names":false,"suffix":""},{"dropping-particle":"","family":"Nziguyimpa","given":"Leonidas","non-dropping-particle":"","parse-names":false,"suffix":""},{"dropping-particle":"","family":"Nzooh-Dongmo","given":"Zacharie","non-dropping-particle":"","parse-names":false,"suffix":""},{"dropping-particle":"","family":"Ofori-Amanfo","given":"Richard","non-dropping-particle":"","parse-names":false,"suffix":""},{"dropping-particle":"","family":"Ogunjemite","given":"Babafemi G.","non-dropping-particle":"","parse-names":false,"suffix":""},{"dropping-particle":"","family":"Petre","given":"Charles Albert","non-dropping-particle":"","parse-names":false,"suffix":""},{"dropping-particle":"","family":"Rainey","given":"Hugo J.","non-dropping-particle":"","parse-names":false,"suffix":""},{"dropping-particle":"","family":"Regnaut","given":"Sebastien","non-dropping-particle":"","parse-names":false,"suffix":""},{"dropping-particle":"","family":"Robinson","given":"Orume","non-dropping-particle":"","parse-names":false,"suffix":""},{"dropping-particle":"","family":"Rundus","given":"Aaron","non-dropping-particle":"","parse-names":false,"suffix":""},{"dropping-particle":"","family":"Sanz","given":"Crickette M.","non-dropping-particle":"","parse-names":false,"suffix":""},{"dropping-particle":"","family":"Okon","given":"David Tiku","non-dropping-particle":"","parse-names":false,"suffix":""},{"dropping-particle":"","family":"Todd","given":"Angelique","non-dropping-particle":"","parse-names":false,"suffix":""},{"dropping-particle":"","family":"Warren","given":"Ymke","non-dropping-particle":"","parse-names":false,"suffix":""},{"dropping-particle":"","family":"Sommer","given":"Volker","non-dropping-particle":"","parse-names":false,"suffix":""}],"container-title":"PLoS ONE","id":"ITEM-2","issue":"12","issued":{"date-parts":[["2014"]]},"page":"e114154","title":"Protected areas in tropical Africa: assessing threats and conservation activities","type":"article-journal","volume":"9"},"uris":["http://www.mendeley.com/documents/?uuid=833cf113-bd87-4a6e-8057-e3553a708132"]}],"mendeley":{"formattedCitation":"(Tranquilli et al. 2014; Anaya &amp; Espírito-Santo 2018)","plainTextFormattedCitation":"(Tranquilli et al. 2014; Anaya &amp; Espírito-Santo 2018)","previouslyFormattedCitation":"(Tranquilli et al. 2014; Anaya &amp; Espírito-Santo 2018)"},"properties":{"noteIndex":0},"schema":"https://github.com/citation-style-language/schema/raw/master/csl-citation.json"}</w:instrText>
      </w:r>
      <w:r w:rsidR="00AA5190">
        <w:rPr>
          <w:color w:val="000000" w:themeColor="text1"/>
        </w:rPr>
        <w:fldChar w:fldCharType="separate"/>
      </w:r>
      <w:r w:rsidR="00AA5190" w:rsidRPr="00AA5190">
        <w:rPr>
          <w:noProof/>
          <w:color w:val="000000" w:themeColor="text1"/>
        </w:rPr>
        <w:t>(Tranquilli et al. 2014; Anaya &amp; Espírito-Santo 2018)</w:t>
      </w:r>
      <w:r w:rsidR="00AA5190">
        <w:rPr>
          <w:color w:val="000000" w:themeColor="text1"/>
        </w:rPr>
        <w:fldChar w:fldCharType="end"/>
      </w:r>
      <w:r w:rsidR="00434956" w:rsidRPr="004904D8">
        <w:rPr>
          <w:color w:val="000000" w:themeColor="text1"/>
        </w:rPr>
        <w:t xml:space="preserve">. </w:t>
      </w:r>
      <w:r w:rsidR="00434956">
        <w:rPr>
          <w:color w:val="000000" w:themeColor="text1"/>
        </w:rPr>
        <w:t xml:space="preserve">PAs </w:t>
      </w:r>
      <w:r w:rsidR="00E84BB5">
        <w:rPr>
          <w:color w:val="000000" w:themeColor="text1"/>
        </w:rPr>
        <w:t>can</w:t>
      </w:r>
      <w:r w:rsidRPr="003E3238">
        <w:rPr>
          <w:color w:val="000000" w:themeColor="text1"/>
        </w:rPr>
        <w:t xml:space="preserve"> </w:t>
      </w:r>
      <w:r w:rsidR="00434956">
        <w:rPr>
          <w:color w:val="000000" w:themeColor="text1"/>
        </w:rPr>
        <w:t>be targeted by hunters</w:t>
      </w:r>
      <w:r w:rsidRPr="003E3238">
        <w:rPr>
          <w:color w:val="000000" w:themeColor="text1"/>
        </w:rPr>
        <w:t xml:space="preserve"> due to the potential high offtakes of commercial</w:t>
      </w:r>
      <w:r>
        <w:rPr>
          <w:color w:val="000000" w:themeColor="text1"/>
        </w:rPr>
        <w:t>ly valuable</w:t>
      </w:r>
      <w:r w:rsidRPr="003E3238">
        <w:rPr>
          <w:color w:val="000000" w:themeColor="text1"/>
        </w:rPr>
        <w:t xml:space="preserve"> species</w:t>
      </w:r>
      <w:r w:rsidR="00434956">
        <w:rPr>
          <w:color w:val="000000" w:themeColor="text1"/>
        </w:rPr>
        <w:t xml:space="preserve"> </w:t>
      </w:r>
      <w:r w:rsidR="00816D43">
        <w:rPr>
          <w:color w:val="000000" w:themeColor="text1"/>
        </w:rPr>
        <w:fldChar w:fldCharType="begin" w:fldLock="1"/>
      </w:r>
      <w:r w:rsidR="000E2839">
        <w:rPr>
          <w:color w:val="000000" w:themeColor="text1"/>
        </w:rPr>
        <w:instrText>ADDIN CSL_CITATION {"citationItems":[{"id":"ITEM-1","itemData":{"DOI":"10.1016/j.biocon.2005.11.031","ISSN":"00063207","author":[{"dropping-particle":"","family":"Fa","given":"John E.","non-dropping-particle":"","parse-names":false,"suffix":""},{"dropping-particle":"","family":"Seymour","given":"Sarah","non-dropping-particle":"","parse-names":false,"suffix":""},{"dropping-particle":"","family":"Dupain","given":"Jef","non-dropping-particle":"","parse-names":false,"suffix":""},{"dropping-particle":"","family":"Amin","given":"Rajan","non-dropping-particle":"","parse-names":false,"suffix":""},{"dropping-particle":"","family":"Albrechtsen","given":"Lise","non-dropping-particle":"","parse-names":false,"suffix":""},{"dropping-particle":"","family":"Macdonald","given":"David","non-dropping-particle":"","parse-names":false,"suffix":""}],"container-title":"Biological Conservation","id":"ITEM-1","issue":"4","issued":{"date-parts":[["2006","5"]]},"page":"497-510","title":"Getting to grips with the magnitude of exploitation: bushmeat in the Cross–Sanaga rivers region, Nigeria and Cameroon","type":"article-journal","volume":"129"},"uris":["http://www.mendeley.com/documents/?uuid=1f1a7388-9b62-4825-aed2-99a8fe77e386"]},{"id":"ITEM-2","itemData":{"author":[{"dropping-particle":"","family":"Ingram","given":"D J","non-dropping-particle":"","parse-names":false,"suffix":""}],"id":"ITEM-2","issued":{"date-parts":[["2018"]]},"publisher":"PhD Thesis, University of Sussex, UK","title":"Quantifying the exploitation of terrestrial wildlife in Africa","type":"book"},"uris":["http://www.mendeley.com/documents/?uuid=451f4b9c-bb2f-42f4-a869-55128eb90dad"]}],"mendeley":{"formattedCitation":"(Fa et al. 2006; Ingram 2018)","plainTextFormattedCitation":"(Fa et al. 2006; Ingram 2018)","previouslyFormattedCitation":"(Fa et al. 2006; Ingram 2018)"},"properties":{"noteIndex":0},"schema":"https://github.com/citation-style-language/schema/raw/master/csl-citation.json"}</w:instrText>
      </w:r>
      <w:r w:rsidR="00816D43">
        <w:rPr>
          <w:color w:val="000000" w:themeColor="text1"/>
        </w:rPr>
        <w:fldChar w:fldCharType="separate"/>
      </w:r>
      <w:r w:rsidR="00816D43" w:rsidRPr="00816D43">
        <w:rPr>
          <w:noProof/>
          <w:color w:val="000000" w:themeColor="text1"/>
        </w:rPr>
        <w:t>(Fa et al. 2006; Ingram 2018)</w:t>
      </w:r>
      <w:r w:rsidR="00816D43">
        <w:rPr>
          <w:color w:val="000000" w:themeColor="text1"/>
        </w:rPr>
        <w:fldChar w:fldCharType="end"/>
      </w:r>
      <w:r w:rsidR="00E84BB5">
        <w:rPr>
          <w:color w:val="000000" w:themeColor="text1"/>
        </w:rPr>
        <w:t>, and h</w:t>
      </w:r>
      <w:r w:rsidRPr="004904D8">
        <w:rPr>
          <w:color w:val="000000" w:themeColor="text1"/>
        </w:rPr>
        <w:t>unting insid</w:t>
      </w:r>
      <w:r w:rsidR="00E84BB5">
        <w:rPr>
          <w:color w:val="000000" w:themeColor="text1"/>
        </w:rPr>
        <w:t xml:space="preserve">e PAs is </w:t>
      </w:r>
      <w:r w:rsidRPr="005512D2">
        <w:rPr>
          <w:color w:val="000000" w:themeColor="text1"/>
        </w:rPr>
        <w:t xml:space="preserve">widespread in </w:t>
      </w:r>
      <w:r w:rsidRPr="000E2839">
        <w:rPr>
          <w:color w:val="000000" w:themeColor="text1"/>
        </w:rPr>
        <w:t xml:space="preserve">the tropics </w:t>
      </w:r>
      <w:r w:rsidR="000E2839" w:rsidRPr="000E2839">
        <w:rPr>
          <w:color w:val="000000" w:themeColor="text1"/>
        </w:rPr>
        <w:fldChar w:fldCharType="begin" w:fldLock="1"/>
      </w:r>
      <w:r w:rsidR="00566AAF">
        <w:rPr>
          <w:color w:val="000000" w:themeColor="text1"/>
        </w:rPr>
        <w:instrText>ADDIN CSL_CITATION {"citationItems":[{"id":"ITEM-1","itemData":{"DOI":"10.1371/journal.pone.0059469","ISSN":"1932-6203","PMID":"23469289","abstract":"African forest elephants- taxonomically and functionally unique-are being poached at accelerating rates, but we lack range-wide information on the repercussions. Analysis of the largest survey dataset ever assembled for forest elephants (80 foot-surveys; covering 13,000 km; 91,600 person-days of fieldwork) revealed that population size declined by ca. 62% between 2002-2011, and the taxon lost 30% of its geographical range. The population is now less than 10% of its potential size, occupying less than 25% of its potential range. High human population density, hunting intensity, absence of law enforcement, poor governance, and proximity to expanding infrastructure are the strongest predictors of decline. To save the remaining African forest elephants, illegal poaching for ivory and encroachment into core elephant habitat must be stopped. In addition, the international demand for ivory, which fuels illegal trade, must be dramatically reduced.","author":[{"dropping-particle":"","family":"Maisels","given":"Fiona","non-dropping-particle":"","parse-names":false,"suffix":""},{"dropping-particle":"","family":"Strindberg","given":"Samantha","non-dropping-particle":"","parse-names":false,"suffix":""},{"dropping-particle":"","family":"Blake","given":"Stephen","non-dropping-particle":"","parse-names":false,"suffix":""},{"dropping-particle":"","family":"Wittemyer","given":"George","non-dropping-particle":"","parse-names":false,"suffix":""},{"dropping-particle":"","family":"Hart","given":"John","non-dropping-particle":"","parse-names":false,"suffix":""},{"dropping-particle":"","family":"Williamson","given":"Elizabeth a","non-dropping-particle":"","parse-names":false,"suffix":""},{"dropping-particle":"","family":"Aba'a","given":"Rostand","non-dropping-particle":"","parse-names":false,"suffix":""},{"dropping-particle":"","family":"Abitsi","given":"Gaspard","non-dropping-particle":"","parse-names":false,"suffix":""},{"dropping-particle":"","family":"Ambahe","given":"Ruffin D","non-dropping-particle":"","parse-names":false,"suffix":""},{"dropping-particle":"","family":"Amsini","given":"Fidèl","non-dropping-particle":"","parse-names":false,"suffix":""},{"dropping-particle":"","family":"Bakabana","given":"Parfait C","non-dropping-particle":"","parse-names":false,"suffix":""},{"dropping-particle":"","family":"Hicks","given":"Thurston Cleveland","non-dropping-particle":"","parse-names":false,"suffix":""},{"dropping-particle":"","family":"Bayogo","given":"Rosine E","non-dropping-particle":"","parse-names":false,"suffix":""},{"dropping-particle":"","family":"Bechem","given":"Martha","non-dropping-particle":"","parse-names":false,"suffix":""},{"dropping-particle":"","family":"Beyers","given":"Rene L","non-dropping-particle":"","parse-names":false,"suffix":""},{"dropping-particle":"","family":"Bezangoye","given":"Anicet N","non-dropping-particle":"","parse-names":false,"suffix":""},{"dropping-particle":"","family":"Boundja","given":"Patrick","non-dropping-particle":"","parse-names":false,"suffix":""},{"dropping-particle":"","family":"Bout","given":"Nicolas","non-dropping-particle":"","parse-names":false,"suffix":""},{"dropping-particle":"","family":"Akou","given":"Marc Ella","non-dropping-particle":"","parse-names":false,"suffix":""},{"dropping-particle":"","family":"Bene","given":"Lambert Bene","non-dropping-particle":"","parse-names":false,"suffix":""},{"dropping-particle":"","family":"Fosso","given":"Bernard","non-dropping-particle":"","parse-names":false,"suffix":""},{"dropping-particle":"","family":"Greengrass","given":"Elizabeth","non-dropping-particle":"","parse-names":false,"suffix":""},{"dropping-particle":"","family":"Grossmann","given":"Falk","non-dropping-particle":"","parse-names":false,"suffix":""},{"dropping-particle":"","family":"Ikamba-Nkulu","given":"Clement","non-dropping-particle":"","parse-names":false,"suffix":""},{"dropping-particle":"","family":"Ilambu","given":"Omari","non-dropping-particle":"","parse-names":false,"suffix":""},{"dropping-particle":"","family":"Inogwabini","given":"Bila-Isia","non-dropping-particle":"","parse-names":false,"suffix":""},{"dropping-particle":"","family":"Iyenguet","given":"Fortune","non-dropping-particle":"","parse-names":false,"suffix":""},{"dropping-particle":"","family":"Kiminou","given":"Franck","non-dropping-particle":"","parse-names":false,"suffix":""},{"dropping-particle":"","family":"Kokangoye","given":"Max","non-dropping-particle":"","parse-names":false,"suffix":""},{"dropping-particle":"","family":"Kujirakwinja","given":"Deo","non-dropping-particle":"","parse-names":false,"suffix":""},{"dropping-particle":"","family":"Latour","given":"Stephanie","non-dropping-particle":"","parse-names":false,"suffix":""},{"dropping-particle":"","family":"Liengola","given":"Innocent","non-dropping-particle":"","parse-names":false,"suffix":""},{"dropping-particle":"","family":"Mackaya","given":"Quevain","non-dropping-particle":"","parse-names":false,"suffix":""},{"dropping-particle":"","family":"Madidi","given":"Jacob","non-dropping-particle":"","parse-names":false,"suffix":""},{"dropping-particle":"","family":"Madzoke","given":"Bola","non-dropping-particle":"","parse-names":false,"suffix":""},{"dropping-particle":"","family":"Makoumbou","given":"Calixte","non-dropping-particle":"","parse-names":false,"suffix":""},{"dropping-particle":"","family":"Malanda","given":"Guy-Aimé","non-dropping-particle":"","parse-names":false,"suffix":""},{"dropping-particle":"","family":"Malonga","given":"Richard","non-dropping-particle":"","parse-names":false,"suffix":""},{"dropping-particle":"","family":"Mbani","given":"Olivier","non-dropping-particle":"","parse-names":false,"suffix":""},{"dropping-particle":"","family":"Mbendzo","given":"Valentin a","non-dropping-particle":"","parse-names":false,"suffix":""},{"dropping-particle":"","family":"Ambassa","given":"Edgar","non-dropping-particle":"","parse-names":false,"suffix":""},{"dropping-particle":"","family":"Ekinde","given":"Albert","non-dropping-particle":"","parse-names":false,"suffix":""},{"dropping-particle":"","family":"Mihindou","given":"Yves","non-dropping-particle":"","parse-names":false,"suffix":""},{"dropping-particle":"","family":"Morgan","given":"Bethan J","non-dropping-particle":"","parse-names":false,"suffix":""},{"dropping-particle":"","family":"Motsaba","given":"Prosper","non-dropping-particle":"","parse-names":false,"suffix":""},{"dropping-particle":"","family":"Moukala","given":"Gabin","non-dropping-particle":"","parse-names":false,"suffix":""},{"dropping-particle":"","family":"Mounguengui","given":"Anselme","non-dropping-particle":"","parse-names":false,"suffix":""},{"dropping-particle":"","family":"Mowawa","given":"Brice S","non-dropping-particle":"","parse-names":false,"suffix":""},{"dropping-particle":"","family":"Ndzai","given":"Christian","non-dropping-particle":"","parse-names":false,"suffix":""},{"dropping-particle":"","family":"Nixon","given":"Stuart","non-dropping-particle":"","parse-names":false,"suffix":""},{"dropping-particle":"","family":"Nkumu","given":"Pele","non-dropping-particle":"","parse-names":false,"suffix":""},{"dropping-particle":"","family":"Nzolani","given":"Fabian","non-dropping-particle":"","parse-names":false,"suffix":""},{"dropping-particle":"","family":"Pintea","given":"Lilian","non-dropping-particle":"","parse-names":false,"suffix":""},{"dropping-particle":"","family":"Plumptre","given":"Andrew","non-dropping-particle":"","parse-names":false,"suffix":""},{"dropping-particle":"","family":"Rainey","given":"Hugo","non-dropping-particle":"","parse-names":false,"suffix":""},{"dropping-particle":"","family":"Semboli","given":"Bruno Bokoto","non-dropping-particle":"de","parse-names":false,"suffix":""},{"dropping-particle":"","family":"Serckx","given":"Adeline","non-dropping-particle":"","parse-names":false,"suffix":""},{"dropping-particle":"","family":"Stokes","given":"Emma","non-dropping-particle":"","parse-names":false,"suffix":""},{"dropping-particle":"","family":"Turkalo","given":"Andrea","non-dropping-particle":"","parse-names":false,"suffix":""},{"dropping-particle":"","family":"Vanleeuwe","given":"Hilde","non-dropping-particle":"","parse-names":false,"suffix":""},{"dropping-particle":"","family":"Vosper","given":"Ashley","non-dropping-particle":"","parse-names":false,"suffix":""},{"dropping-particle":"","family":"Warren","given":"Ymke","non-dropping-particle":"","parse-names":false,"suffix":""}],"container-title":"PloS one","id":"ITEM-1","issue":"3","issued":{"date-parts":[["2013","1"]]},"page":"e59469","title":"Devastating decline of forest elephants in Central Africa","type":"article-journal","volume":"8"},"uris":["http://www.mendeley.com/documents/?uuid=e792b8cd-6a73-453e-a9b6-e33144c1c9ef"]},{"id":"ITEM-2","itemData":{"DOI":"10.1111/conl.12435","ISSN":"1755263X","abstract":"© 2018 Wiley Periodicals, Inc. Protected areas (PAs) represent a cornerstone of efforts to safeguard biodiversity, and if effective should reduce threats to biodiversity. We present the most comprehensive assessment of threats to terrestrial PAs, based on in situ data from 1,961 PAs across 149 countries, assessed by PA managers and local stakeholders. Unsustainable hunting was the most commonly reported threat and occurred in 61% of all PAs, followed by disturbance from recreational activities occurring in 55%, and natural system modifications from fire or its suppression in 49%. The number of reported threats was lower in PAs with greater remoteness, higher control of corruption, and lower human development scores. The main reported threats in developing countries were linked to overexploitation for resource extraction, while negative impacts from recreational activities dominated in developed countries. Our results show that many of the most serious threats to PAs are difficult to monitor with remote sensing, and highlight the importance of in situ threat data to inform the implementation of more effective biodiversity conservation in the global protected area estate.","author":[{"dropping-particle":"","family":"Schulze","given":"K.","non-dropping-particle":"","parse-names":false,"suffix":""},{"dropping-particle":"","family":"Knights","given":"K.","non-dropping-particle":"","parse-names":false,"suffix":""},{"dropping-particle":"","family":"Coad","given":"L.","non-dropping-particle":"","parse-names":false,"suffix":""},{"dropping-particle":"","family":"Geldmann","given":"J.","non-dropping-particle":"","parse-names":false,"suffix":""},{"dropping-particle":"","family":"Leverington","given":"F.","non-dropping-particle":"","parse-names":false,"suffix":""},{"dropping-particle":"","family":"Eassom","given":"A.","non-dropping-particle":"","parse-names":false,"suffix":""},{"dropping-particle":"","family":"Marr","given":"M.","non-dropping-particle":"","parse-names":false,"suffix":""},{"dropping-particle":"","family":"Butchart","given":"S.H.M.","non-dropping-particle":"","parse-names":false,"suffix":""},{"dropping-particle":"","family":"Hockings","given":"M.","non-dropping-particle":"","parse-names":false,"suffix":""},{"dropping-particle":"","family":"Burgess","given":"N.D.","non-dropping-particle":"","parse-names":false,"suffix":""}],"container-title":"Conservation Letters","id":"ITEM-2","issued":{"date-parts":[["2018"]]},"title":"An assessment of threats to terrestrial protected areas","type":"article-journal"},"uris":["http://www.mendeley.com/documents/?uuid=356b2f7f-6d2e-4895-8e84-ee856001a9ba"]}],"mendeley":{"formattedCitation":"(Maisels et al. 2013; Schulze et al. 2018)","plainTextFormattedCitation":"(Maisels et al. 2013; Schulze et al. 2018)","previouslyFormattedCitation":"(Maisels et al. 2013; Schulze et al. 2018)"},"properties":{"noteIndex":0},"schema":"https://github.com/citation-style-language/schema/raw/master/csl-citation.json"}</w:instrText>
      </w:r>
      <w:r w:rsidR="000E2839" w:rsidRPr="000E2839">
        <w:rPr>
          <w:color w:val="000000" w:themeColor="text1"/>
        </w:rPr>
        <w:fldChar w:fldCharType="separate"/>
      </w:r>
      <w:r w:rsidR="000E2839" w:rsidRPr="000E2839">
        <w:rPr>
          <w:noProof/>
          <w:color w:val="000000" w:themeColor="text1"/>
        </w:rPr>
        <w:t>(Maisels et al. 2013; Schulze et al. 2018)</w:t>
      </w:r>
      <w:r w:rsidR="000E2839" w:rsidRPr="000E2839">
        <w:rPr>
          <w:color w:val="000000" w:themeColor="text1"/>
        </w:rPr>
        <w:fldChar w:fldCharType="end"/>
      </w:r>
      <w:r w:rsidRPr="000E2839">
        <w:rPr>
          <w:color w:val="000000" w:themeColor="text1"/>
        </w:rPr>
        <w:t xml:space="preserve">. </w:t>
      </w:r>
      <w:r w:rsidR="00434956" w:rsidRPr="000E2839">
        <w:rPr>
          <w:color w:val="000000" w:themeColor="text1"/>
        </w:rPr>
        <w:t xml:space="preserve">In the </w:t>
      </w:r>
      <w:r w:rsidR="008806AC" w:rsidRPr="000E2839">
        <w:rPr>
          <w:color w:val="000000" w:themeColor="text1"/>
        </w:rPr>
        <w:t>Brazilian</w:t>
      </w:r>
      <w:r w:rsidR="00434956" w:rsidRPr="000E2839">
        <w:rPr>
          <w:color w:val="000000" w:themeColor="text1"/>
        </w:rPr>
        <w:t xml:space="preserve"> Amazon illegal hunting </w:t>
      </w:r>
      <w:r w:rsidRPr="000E2839">
        <w:rPr>
          <w:color w:val="000000" w:themeColor="text1"/>
        </w:rPr>
        <w:t>represents</w:t>
      </w:r>
      <w:r w:rsidRPr="005512D2">
        <w:rPr>
          <w:color w:val="000000" w:themeColor="text1"/>
        </w:rPr>
        <w:t xml:space="preserve"> the third most </w:t>
      </w:r>
      <w:r w:rsidRPr="007078FA">
        <w:rPr>
          <w:color w:val="000000" w:themeColor="text1"/>
        </w:rPr>
        <w:t xml:space="preserve">recorded illegal human activity within PAs, regardless of their governance or management category </w:t>
      </w:r>
      <w:r w:rsidR="007078FA" w:rsidRPr="007078FA">
        <w:rPr>
          <w:color w:val="000000" w:themeColor="text1"/>
        </w:rPr>
        <w:fldChar w:fldCharType="begin" w:fldLock="1"/>
      </w:r>
      <w:r w:rsidR="007078FA">
        <w:rPr>
          <w:color w:val="000000" w:themeColor="text1"/>
        </w:rPr>
        <w:instrText>ADDIN CSL_CITATION {"citationItems":[{"id":"ITEM-1","itemData":{"DOI":"10.7717/peerj.3902","ISSN":"2167-8359","abstract":"© 2017 Kauano et al. Background. The Brazilian Amazon is the world's largest rainforest regions and plays a key role in biodiversity conservation as well as climate adaptation and mitigation. The government has created a network of protected areas (PAs) to ensure long-term conservation of the region. However, despite the importance of and positive advances in the establishment of PAs, natural resource depletion in the Brazilian Amazon is pervasive. Methods. We evaluated a total of 4,243 official law enforcement records generated between 2010 and 2015 to understand the geographical distribution of the illegal use of resources in federal PAs in the Brazilian Amazon. We classified illegal activities into ten categories and used generalized additive models (GAMs) to evaluate the relationship between illegal use of natural resources inside PAs with management type, age of PAs, population density, and accessibility. Results. We found 27 types of illegal use of natural resources that were grouped into 10 categories of illegal activities. Most infractions were related to suppression and degradation of vegetation (37.40%), followed by illegal fishing (27.30%) and hunting activities (18.20%). The explanatory power of the GAMs was low for all categories of illegal activity, with a maximum explained variation of 41.2% for illegal activities as a whole, and a minimum of 14.6% for hunting activities. Discussion. These findings demonstrate that even though PAs are fundamental for nature conservation in the Brazilian Amazon, the pressures and threats posed by human activities include a broad range of illegal uses of natural resources. Population density up to 50 km from a PA is a key variable, influencing illegal activities. These threats endanger long-term conservation and many efforts are still needed to maintain PAs that are large enough and sufficiently intact to maintain ecosystem functions and protect biodiversity.","author":[{"dropping-particle":"","family":"Kauano","given":"Érico E.","non-dropping-particle":"","parse-names":false,"suffix":""},{"dropping-particle":"","family":"Silva","given":"Jose M.C.","non-dropping-particle":"","parse-names":false,"suffix":""},{"dropping-particle":"","family":"Michalski","given":"Fernanda","non-dropping-particle":"","parse-names":false,"suffix":""}],"container-title":"PeerJ","id":"ITEM-1","issued":{"date-parts":[["2017"]]},"page":"e3902","title":"Illegal use of natural resources in federal protected areas of the Brazilian Amazon","type":"article-journal","volume":"5"},"uris":["http://www.mendeley.com/documents/?uuid=0e20324b-da5f-4b3d-8068-bf60489ad2cd"]}],"mendeley":{"formattedCitation":"(Kauano et al. 2017)","plainTextFormattedCitation":"(Kauano et al. 2017)","previouslyFormattedCitation":"(Kauano et al. 2017)"},"properties":{"noteIndex":0},"schema":"https://github.com/citation-style-language/schema/raw/master/csl-citation.json"}</w:instrText>
      </w:r>
      <w:r w:rsidR="007078FA" w:rsidRPr="007078FA">
        <w:rPr>
          <w:color w:val="000000" w:themeColor="text1"/>
        </w:rPr>
        <w:fldChar w:fldCharType="separate"/>
      </w:r>
      <w:r w:rsidR="007078FA" w:rsidRPr="007078FA">
        <w:rPr>
          <w:noProof/>
          <w:color w:val="000000" w:themeColor="text1"/>
        </w:rPr>
        <w:t>(Kauano et al. 2017)</w:t>
      </w:r>
      <w:r w:rsidR="007078FA" w:rsidRPr="007078FA">
        <w:rPr>
          <w:color w:val="000000" w:themeColor="text1"/>
        </w:rPr>
        <w:fldChar w:fldCharType="end"/>
      </w:r>
      <w:r w:rsidR="007078FA" w:rsidRPr="007078FA">
        <w:rPr>
          <w:color w:val="000000" w:themeColor="text1"/>
        </w:rPr>
        <w:t xml:space="preserve">. </w:t>
      </w:r>
      <w:r w:rsidR="00063F16" w:rsidRPr="007078FA">
        <w:rPr>
          <w:color w:val="000000" w:themeColor="text1"/>
        </w:rPr>
        <w:t>In South-East</w:t>
      </w:r>
      <w:r w:rsidRPr="007078FA">
        <w:rPr>
          <w:color w:val="000000" w:themeColor="text1"/>
        </w:rPr>
        <w:t xml:space="preserve"> Asia, where few landscapes outside of PAs support large-bodied mammal species</w:t>
      </w:r>
      <w:r w:rsidRPr="000E2839">
        <w:rPr>
          <w:color w:val="000000" w:themeColor="text1"/>
        </w:rPr>
        <w:t xml:space="preserve"> </w:t>
      </w:r>
      <w:r w:rsidR="000E2839">
        <w:rPr>
          <w:color w:val="000000" w:themeColor="text1"/>
        </w:rPr>
        <w:fldChar w:fldCharType="begin" w:fldLock="1"/>
      </w:r>
      <w:r w:rsidR="000E2839">
        <w:rPr>
          <w:color w:val="000000" w:themeColor="text1"/>
        </w:rPr>
        <w:instrText>ADDIN CSL_CITATION {"citationItems":[{"id":"ITEM-1","itemData":{"DOI":"10.1644/06-MAMM-A-124R2.1","ISBN":"0022-2372","ISSN":"0022-2372","PMID":"251846300001","abstract":"Large mammals often play critical roles within ecosystems by affecting either prey populations or the structure and species composition of surrounding vegetation. However, large mammals are highly vulnerable to extirpation by humans and consequently, severe contractions of species ranges result in intact large mammal faunas becoming increasingly rare. We compared historical (AD 1500) range maps of large mammals with their current distributions to determine which areas today retain complete assemblages of large mammals. We estimate that less than 21% of the earth’s terrestrial surface still contains all of the large (.20 kg) mammals it once held, with the proportion varying between 68% in Australasia to only 1% in Indomalaya. Although the presence of large mammals offers no guarantee of the presence of all smaller animals, their absence represents an ecologically based measurement of human impacts on biodiversity. Given the ecological importance of large mammals and their vulnerability to extinction, better protection and extension of sites containing complete assemblages of large mammals is urgently needed.","author":[{"dropping-particle":"","family":"Morrison","given":"John C.","non-dropping-particle":"","parse-names":false,"suffix":""},{"dropping-particle":"","family":"Sechrest","given":"Wes","non-dropping-particle":"","parse-names":false,"suffix":""},{"dropping-particle":"","family":"Dinerstein","given":"Eric","non-dropping-particle":"","parse-names":false,"suffix":""},{"dropping-particle":"","family":"Wilcove","given":"David S.","non-dropping-particle":"","parse-names":false,"suffix":""},{"dropping-particle":"","family":"Lamoreux","given":"John F.","non-dropping-particle":"","parse-names":false,"suffix":""}],"container-title":"Journal of Mammalogy","id":"ITEM-1","issue":"6","issued":{"date-parts":[["2007"]]},"page":"1363-1380","title":"Persistence of large mammal faunas as indicators of global human impacts","type":"article-journal","volume":"88"},"uris":["http://www.mendeley.com/documents/?uuid=026c9444-d979-482c-9b11-f81792848aea"]}],"mendeley":{"formattedCitation":"(Morrison et al. 2007)","plainTextFormattedCitation":"(Morrison et al. 2007)","previouslyFormattedCitation":"(Morrison et al. 2007)"},"properties":{"noteIndex":0},"schema":"https://github.com/citation-style-language/schema/raw/master/csl-citation.json"}</w:instrText>
      </w:r>
      <w:r w:rsidR="000E2839">
        <w:rPr>
          <w:color w:val="000000" w:themeColor="text1"/>
        </w:rPr>
        <w:fldChar w:fldCharType="separate"/>
      </w:r>
      <w:r w:rsidR="000E2839" w:rsidRPr="000E2839">
        <w:rPr>
          <w:noProof/>
          <w:color w:val="000000" w:themeColor="text1"/>
        </w:rPr>
        <w:t>(Morrison et al. 2007)</w:t>
      </w:r>
      <w:r w:rsidR="000E2839">
        <w:rPr>
          <w:color w:val="000000" w:themeColor="text1"/>
        </w:rPr>
        <w:fldChar w:fldCharType="end"/>
      </w:r>
      <w:r w:rsidRPr="000E2839">
        <w:rPr>
          <w:color w:val="000000" w:themeColor="text1"/>
        </w:rPr>
        <w:t>, severe species declines within PAs have been attributed to hunting. For example, hunting has driven</w:t>
      </w:r>
      <w:r w:rsidRPr="003E3238">
        <w:rPr>
          <w:color w:val="000000" w:themeColor="text1"/>
        </w:rPr>
        <w:t xml:space="preserve"> the loss of 90% of protected species from Lambir Hills National Park, Borneo, since 1984 </w:t>
      </w:r>
      <w:r w:rsidR="000E2839">
        <w:rPr>
          <w:color w:val="000000" w:themeColor="text1"/>
        </w:rPr>
        <w:fldChar w:fldCharType="begin" w:fldLock="1"/>
      </w:r>
      <w:r w:rsidR="000E2839">
        <w:rPr>
          <w:color w:val="000000" w:themeColor="text1"/>
        </w:rPr>
        <w:instrText>ADDIN CSL_CITATION {"citationItems":[{"id":"ITEM-1","itemData":{"DOI":"10.1525/bio.2011.61.11.11","ISBN":"10.1525/bio.2011.61.11.11","ISSN":"00063568","abstract":"More than 18% of tropical rainforests are now covered by totally protected areas. If these were well protected, we could feel reasonably confident that current conservation strategies might succeed in preserving a substantial proportion of tropical biodiversity. However, in most parts of the tropics, poachers enter and leave reserves with impunity. On the basis of reports from the hunting literature, it seems likely that a majority of tropical nature reserves may already be considered empty forests—meaning that all bird and mammal species larger than approximately two kilograms—barring a few hunting-tolerant species—have either been extirpated or exist at densities well below natural levels of abundance. The disruption of ecological functions caused by the loss of symbionts further compromises the capacity of these reserves to conserve biodiversity over the long term. A substantial shift toward improving the management and enforcement of tropical protected-area networks is required.","author":[{"dropping-particle":"","family":"Harrison","given":"Rhett D.","non-dropping-particle":"","parse-names":false,"suffix":""}],"container-title":"BioScience","id":"ITEM-1","issue":"11","issued":{"date-parts":[["2011"]]},"page":"919-924","title":"Emptying the forest: hunting and the extirpation of wildlife from tropical nature reserves","type":"article-journal","volume":"61"},"uris":["http://www.mendeley.com/documents/?uuid=6070606f-a392-461c-a2f7-81caecd8e047"]}],"mendeley":{"formattedCitation":"(Harrison 2011)","plainTextFormattedCitation":"(Harrison 2011)","previouslyFormattedCitation":"(Harrison 2011)"},"properties":{"noteIndex":0},"schema":"https://github.com/citation-style-language/schema/raw/master/csl-citation.json"}</w:instrText>
      </w:r>
      <w:r w:rsidR="000E2839">
        <w:rPr>
          <w:color w:val="000000" w:themeColor="text1"/>
        </w:rPr>
        <w:fldChar w:fldCharType="separate"/>
      </w:r>
      <w:r w:rsidR="000E2839" w:rsidRPr="000E2839">
        <w:rPr>
          <w:noProof/>
          <w:color w:val="000000" w:themeColor="text1"/>
        </w:rPr>
        <w:t>(Harrison 2011)</w:t>
      </w:r>
      <w:r w:rsidR="000E2839">
        <w:rPr>
          <w:color w:val="000000" w:themeColor="text1"/>
        </w:rPr>
        <w:fldChar w:fldCharType="end"/>
      </w:r>
      <w:r w:rsidRPr="003E3238">
        <w:rPr>
          <w:color w:val="000000" w:themeColor="text1"/>
        </w:rPr>
        <w:t xml:space="preserve">. </w:t>
      </w:r>
    </w:p>
    <w:p w14:paraId="714874AD" w14:textId="77777777" w:rsidR="00A35EE8" w:rsidRPr="0070404D" w:rsidRDefault="00A35EE8" w:rsidP="00C258BC">
      <w:pPr>
        <w:pStyle w:val="NormalWeb"/>
        <w:jc w:val="both"/>
        <w:sectPr w:rsidR="00A35EE8" w:rsidRPr="0070404D">
          <w:pgSz w:w="11906" w:h="16838"/>
          <w:pgMar w:top="1440" w:right="1440" w:bottom="1440" w:left="1440" w:header="708" w:footer="708" w:gutter="0"/>
          <w:cols w:space="708"/>
          <w:docGrid w:linePitch="360"/>
        </w:sectPr>
      </w:pPr>
    </w:p>
    <w:p w14:paraId="03B10810" w14:textId="77777777" w:rsidR="00A35EE8" w:rsidRPr="00785A38" w:rsidRDefault="00A35EE8" w:rsidP="001C1D6E">
      <w:pPr>
        <w:pStyle w:val="Heading3"/>
        <w:numPr>
          <w:ilvl w:val="0"/>
          <w:numId w:val="0"/>
        </w:numPr>
      </w:pPr>
    </w:p>
    <w:p w14:paraId="398F00FD" w14:textId="557FE8D0" w:rsidR="00A35EE8" w:rsidRPr="0070404D" w:rsidRDefault="00A35EE8" w:rsidP="00C258BC">
      <w:pPr>
        <w:pStyle w:val="NormalWeb"/>
        <w:jc w:val="both"/>
        <w:rPr>
          <w:color w:val="000000" w:themeColor="text1"/>
        </w:rPr>
      </w:pPr>
    </w:p>
    <w:p w14:paraId="792DACDE" w14:textId="69092039" w:rsidR="00441364" w:rsidRDefault="00441364" w:rsidP="00C258BC">
      <w:pPr>
        <w:jc w:val="both"/>
      </w:pPr>
      <w:bookmarkStart w:id="126" w:name="_Ref518911830"/>
      <w:r w:rsidRPr="006740B0">
        <w:rPr>
          <w:noProof/>
          <w:lang w:val="en-US"/>
        </w:rPr>
        <w:drawing>
          <wp:inline distT="0" distB="0" distL="0" distR="0" wp14:anchorId="1E2613AF" wp14:editId="217709AC">
            <wp:extent cx="6285760" cy="3704897"/>
            <wp:effectExtent l="0" t="0" r="127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297897" cy="3712051"/>
                    </a:xfrm>
                    <a:prstGeom prst="rect">
                      <a:avLst/>
                    </a:prstGeom>
                  </pic:spPr>
                </pic:pic>
              </a:graphicData>
            </a:graphic>
          </wp:inline>
        </w:drawing>
      </w:r>
    </w:p>
    <w:p w14:paraId="37004770" w14:textId="40C66816" w:rsidR="00434956" w:rsidRPr="00D06CAC" w:rsidRDefault="00A35EE8" w:rsidP="00C258BC">
      <w:pPr>
        <w:pStyle w:val="Caption"/>
        <w:jc w:val="both"/>
        <w:sectPr w:rsidR="00434956" w:rsidRPr="00D06CAC" w:rsidSect="00434956">
          <w:pgSz w:w="16838" w:h="11906" w:orient="landscape"/>
          <w:pgMar w:top="1440" w:right="1440" w:bottom="1440" w:left="1440" w:header="708" w:footer="708" w:gutter="0"/>
          <w:cols w:space="708"/>
          <w:docGrid w:linePitch="360"/>
        </w:sectPr>
      </w:pPr>
      <w:bookmarkStart w:id="127" w:name="_Ref520290167"/>
      <w:r w:rsidRPr="00D06CAC">
        <w:t xml:space="preserve">Figure </w:t>
      </w:r>
      <w:r w:rsidRPr="00D06CAC">
        <w:fldChar w:fldCharType="begin"/>
      </w:r>
      <w:r w:rsidRPr="00D06CAC">
        <w:instrText xml:space="preserve"> SEQ Figure \* ARABIC </w:instrText>
      </w:r>
      <w:r w:rsidRPr="00D06CAC">
        <w:fldChar w:fldCharType="separate"/>
      </w:r>
      <w:r w:rsidR="004873F0">
        <w:rPr>
          <w:noProof/>
        </w:rPr>
        <w:t>7</w:t>
      </w:r>
      <w:r w:rsidRPr="00D06CAC">
        <w:fldChar w:fldCharType="end"/>
      </w:r>
      <w:bookmarkEnd w:id="126"/>
      <w:bookmarkEnd w:id="127"/>
      <w:r w:rsidRPr="00D06CAC">
        <w:t xml:space="preserve">: </w:t>
      </w:r>
      <w:r w:rsidR="00441364" w:rsidRPr="00D06CAC">
        <w:t xml:space="preserve">  Modelled depletion levels of (A) white-lipped peccary, </w:t>
      </w:r>
      <w:r w:rsidR="00441364" w:rsidRPr="008806AC">
        <w:rPr>
          <w:i/>
        </w:rPr>
        <w:t>Tayassu pecari</w:t>
      </w:r>
      <w:r w:rsidR="00441364" w:rsidRPr="00D06CAC">
        <w:t xml:space="preserve">, (B) woolly monkeys, </w:t>
      </w:r>
      <w:r w:rsidR="00441364" w:rsidRPr="008806AC">
        <w:rPr>
          <w:i/>
        </w:rPr>
        <w:t>Lagothrix</w:t>
      </w:r>
      <w:r w:rsidR="00441364" w:rsidRPr="00D06CAC">
        <w:t xml:space="preserve"> spp., (C) tapir, </w:t>
      </w:r>
      <w:r w:rsidR="00441364" w:rsidRPr="006740B0">
        <w:rPr>
          <w:i/>
        </w:rPr>
        <w:t>Tapirus</w:t>
      </w:r>
      <w:r w:rsidR="00D06CAC" w:rsidRPr="006740B0">
        <w:rPr>
          <w:i/>
        </w:rPr>
        <w:t xml:space="preserve"> </w:t>
      </w:r>
      <w:r w:rsidR="00441364" w:rsidRPr="006740B0">
        <w:rPr>
          <w:i/>
        </w:rPr>
        <w:t>terrestris</w:t>
      </w:r>
      <w:r w:rsidR="00441364" w:rsidRPr="00D06CAC">
        <w:t xml:space="preserve">, and (D) red brocket deer, </w:t>
      </w:r>
      <w:r w:rsidR="00441364" w:rsidRPr="008806AC">
        <w:rPr>
          <w:i/>
        </w:rPr>
        <w:t>Mazama Americana</w:t>
      </w:r>
      <w:r w:rsidR="00441364" w:rsidRPr="00D06CAC">
        <w:t>,  around settlements, rivers and roads , in Amazonas State. Repro</w:t>
      </w:r>
      <w:r w:rsidR="008806AC">
        <w:t>duced from</w:t>
      </w:r>
      <w:r w:rsidR="000E2839" w:rsidRPr="000E2839">
        <w:rPr>
          <w:b w:val="0"/>
          <w:noProof/>
        </w:rPr>
        <w:t xml:space="preserve"> </w:t>
      </w:r>
      <w:r w:rsidR="000E2839" w:rsidRPr="000E2839">
        <w:rPr>
          <w:noProof/>
        </w:rPr>
        <w:t>Parry &amp; Peres</w:t>
      </w:r>
      <w:r w:rsidR="008806AC" w:rsidRPr="000E2839">
        <w:t xml:space="preserve"> </w:t>
      </w:r>
      <w:r w:rsidR="000E2839" w:rsidRPr="000E2839">
        <w:fldChar w:fldCharType="begin" w:fldLock="1"/>
      </w:r>
      <w:r w:rsidR="00EF6EFF">
        <w:instrText>ADDIN CSL_CITATION {"citationItems":[{"id":"ITEM-1","itemData":{"author":[{"dropping-particle":"","family":"Parry","given":"Luke","non-dropping-particle":"","parse-names":false,"suffix":""},{"dropping-particle":"","family":"Peres","given":"Carlos A","non-dropping-particle":"","parse-names":false,"suffix":""}],"container-title":"Ecology and Society","id":"ITEM-1","issue":"3","issued":{"date-parts":[["2015"]]},"page":"15","title":"Evaluating the use of local ecological knowledge to monitor hunted tropical- forest wildlife over large spatial scales","type":"article-journal","volume":"20"},"uris":["http://www.mendeley.com/documents/?uuid=bafd867b-0b26-4cd3-90be-e0a258879d74"]}],"mendeley":{"formattedCitation":"(Parry &amp; Peres 2015)","manualFormatting":"(2015)","plainTextFormattedCitation":"(Parry &amp; Peres 2015)","previouslyFormattedCitation":"(Parry &amp; Peres 2015)"},"properties":{"noteIndex":0},"schema":"https://github.com/citation-style-language/schema/raw/master/csl-citation.json"}</w:instrText>
      </w:r>
      <w:r w:rsidR="000E2839" w:rsidRPr="000E2839">
        <w:fldChar w:fldCharType="separate"/>
      </w:r>
      <w:r w:rsidR="000E2839" w:rsidRPr="000E2839">
        <w:rPr>
          <w:noProof/>
        </w:rPr>
        <w:t>(2015)</w:t>
      </w:r>
      <w:r w:rsidR="000E2839" w:rsidRPr="000E2839">
        <w:fldChar w:fldCharType="end"/>
      </w:r>
    </w:p>
    <w:p w14:paraId="5F509888" w14:textId="20429FFC" w:rsidR="00A35EE8" w:rsidRDefault="00A35EE8" w:rsidP="00C258BC">
      <w:pPr>
        <w:jc w:val="both"/>
        <w:rPr>
          <w:highlight w:val="green"/>
        </w:rPr>
      </w:pPr>
    </w:p>
    <w:p w14:paraId="473C78F2" w14:textId="77777777" w:rsidR="009C0863" w:rsidRPr="004904D8" w:rsidRDefault="009C0863" w:rsidP="00DF57F3">
      <w:pPr>
        <w:pStyle w:val="Heading2"/>
      </w:pPr>
      <w:bookmarkStart w:id="128" w:name="_Toc516213970"/>
      <w:bookmarkStart w:id="129" w:name="_Toc517693753"/>
      <w:bookmarkStart w:id="130" w:name="_Toc519156097"/>
      <w:bookmarkStart w:id="131" w:name="_Toc529390353"/>
      <w:r w:rsidRPr="004904D8">
        <w:t>Impacts on ecosystem function</w:t>
      </w:r>
      <w:bookmarkEnd w:id="128"/>
      <w:bookmarkEnd w:id="129"/>
      <w:bookmarkEnd w:id="130"/>
      <w:bookmarkEnd w:id="131"/>
    </w:p>
    <w:p w14:paraId="75F8C569" w14:textId="77777777" w:rsidR="009C0863" w:rsidRPr="00785A38" w:rsidRDefault="009C0863" w:rsidP="001C1D6E">
      <w:pPr>
        <w:pStyle w:val="Heading3"/>
      </w:pPr>
      <w:r w:rsidRPr="00785A38">
        <w:t>Hunting changes functional groups within the wildlife community</w:t>
      </w:r>
    </w:p>
    <w:p w14:paraId="30F6BF45" w14:textId="14B3C713" w:rsidR="003B6FE0" w:rsidRPr="0070404D" w:rsidRDefault="009C0863" w:rsidP="00C258BC">
      <w:pPr>
        <w:jc w:val="both"/>
        <w:rPr>
          <w:color w:val="000000" w:themeColor="text1"/>
        </w:rPr>
      </w:pPr>
      <w:r w:rsidRPr="0070404D">
        <w:rPr>
          <w:color w:val="000000" w:themeColor="text1"/>
        </w:rPr>
        <w:t xml:space="preserve">The </w:t>
      </w:r>
      <w:r w:rsidR="00471191" w:rsidRPr="004904D8">
        <w:rPr>
          <w:color w:val="000000" w:themeColor="text1"/>
        </w:rPr>
        <w:t>decline in</w:t>
      </w:r>
      <w:r w:rsidRPr="004904D8">
        <w:rPr>
          <w:color w:val="000000" w:themeColor="text1"/>
        </w:rPr>
        <w:t xml:space="preserve"> species </w:t>
      </w:r>
      <w:r w:rsidR="00471191" w:rsidRPr="004904D8">
        <w:rPr>
          <w:color w:val="000000" w:themeColor="text1"/>
        </w:rPr>
        <w:t>abundance</w:t>
      </w:r>
      <w:r w:rsidRPr="005512D2">
        <w:rPr>
          <w:color w:val="000000" w:themeColor="text1"/>
        </w:rPr>
        <w:t xml:space="preserve"> due to over-hunting in turn impacts ecosystem function </w:t>
      </w:r>
      <w:r w:rsidR="00A11C8C">
        <w:rPr>
          <w:color w:val="000000" w:themeColor="text1"/>
        </w:rPr>
        <w:fldChar w:fldCharType="begin" w:fldLock="1"/>
      </w:r>
      <w:r w:rsidR="00B2630D">
        <w:rPr>
          <w:color w:val="000000" w:themeColor="text1"/>
        </w:rPr>
        <w:instrText>ADDIN CSL_CITATION {"citationItems":[{"id":"ITEM-1","itemData":{"DOI":"10.1177/1940082918799494","ISSN":"1940-0829","author":[{"dropping-particle":"","family":"Vliet","given":"Nathalie","non-dropping-particle":"Van","parse-names":false,"suffix":""},{"dropping-particle":"","family":"Muhindo","given":"Jonas","non-dropping-particle":"","parse-names":false,"suffix":""},{"dropping-particle":"","family":"Kambale Nyumu","given":"Jonas","non-dropping-particle":"","parse-names":false,"suffix":""},{"dropping-particle":"","family":"Mushagalusa","given":"Olivier","non-dropping-particle":"","parse-names":false,"suffix":""},{"dropping-particle":"","family":"Nasi","given":"Robert","non-dropping-particle":"","parse-names":false,"suffix":""}],"container-title":"Tropical Conservation Science","id":"ITEM-1","issued":{"date-parts":[["2018"]]},"page":"1-16","title":"Mammal depletion processes as evidenced from spatially explicit and temporal local ecological knowledge","type":"article-journal","volume":"11"},"uris":["http://www.mendeley.com/documents/?uuid=378262b7-f0cc-4d7d-8e69-5663bffd6f08"]},{"id":"ITEM-2","itemData":{"author":[{"dropping-particle":"","family":"Nasi","given":"R","non-dropping-particle":"","parse-names":false,"suffix":""},{"dropping-particle":"","family":"Christophersen","given":"T","non-dropping-particle":"","parse-names":false,"suffix":""},{"dropping-particle":"","family":"Belair","given":"C","non-dropping-particle":"","parse-names":false,"suffix":""}],"container-title":"ITTO Tropical Forest Update","id":"ITEM-2","issued":{"date-parts":[["2010"]]},"page":"19-21","title":"Ending empty forests: management and sustainable use of wildlife in tropical production forests","type":"article-journal","volume":"20"},"uris":["http://www.mendeley.com/documents/?uuid=9b0d6373-1d53-4bbd-a5c9-09ccaa552900"]},{"id":"ITEM-3","itemData":{"DOI":"10.1098/rstb.2012.0303","ISBN":"1471-2970 (Electronic)\\n0962-8436 (Linking)","ISSN":"1471-2970","PMID":"23878333","abstract":"Humans have hunted wildlife in Central Africa for millennia. Today, however, many species are being rapidly extirpated and sanctuaries for wildlife are dwindling. Almost all Central Africa's forests are now accessible to hunters. Drastic declines of large mammals have been caused in the past 20 years by the commercial trade for meat or ivory. We review a growing body of empirical data which shows that trophic webs are significantly disrupted in the region, with knock-on effects for other ecological functions, including seed dispersal and forest regeneration. Plausible scenarios for land-use change indicate that increasing extraction pressure on Central African forests is likely to usher in new worker populations and to intensify the hunting impacts and trophic cascade disruption already in progress, unless serious efforts are made for hunting regulation. The profound ecological changes initiated by hunting will not mitigate and may even exacerbate the predicted effects of climate change for the region. We hypothesize that, in the near future, the trophic changes brought about by hunting will have a larger and more rapid impact on Central African rainforest structure and function than the direct impacts of climate change on the vegetation. Immediate hunting regulation is vital for the survival of the Central African rainforest ecosystem.","author":[{"dropping-particle":"","family":"Abernethy","given":"K.A.","non-dropping-particle":"","parse-names":false,"suffix":""},{"dropping-particle":"","family":"Coad","given":"L.","non-dropping-particle":"","parse-names":false,"suffix":""},{"dropping-particle":"","family":"Taylor","given":"G.","non-dropping-particle":"","parse-names":false,"suffix":""},{"dropping-particle":"","family":"Lee","given":"M E","non-dropping-particle":"","parse-names":false,"suffix":""},{"dropping-particle":"","family":"Maisels","given":"F.","non-dropping-particle":"","parse-names":false,"suffix":""}],"container-title":"Philosophical transactions of the Royal Society of London. Series B, Biological sciences","id":"ITEM-3","issued":{"date-parts":[["2013"]]},"page":"20120303","title":"Extent and ecological consequences of hunting in Central African rainforests in the twenty-first century.","type":"article-journal","volume":"368"},"uris":["http://www.mendeley.com/documents/?uuid=18796464-9ea5-47fb-afcb-938cbd1dcd95"]},{"id":"ITEM-4","itemData":{"author":[{"dropping-particle":"","family":"Bennett","given":"E L","non-dropping-particle":"","parse-names":false,"suffix":""},{"dropping-particle":"","family":"Robinson","given":"J G","non-dropping-particle":"","parse-names":false,"suffix":""}],"id":"ITEM-4","issued":{"date-parts":[["2000"]]},"publisher-place":"The World Bank, Washington DC, USA","title":"Hunting of wildlife in tropical forests: implications for biodiversity and forest peoples. Biodiversity Series, Impact Studies, Paper No. 76","type":"report"},"uris":["http://www.mendeley.com/documents/?uuid=24942fcc-02b3-4d16-a6bc-e730fdbe57c7"]},{"id":"ITEM-5","itemData":{"DOI":"10.1525/bio.2011.61.11.11","ISBN":"10.1525/bio.2011.61.11.11","ISSN":"00063568","abstract":"More than 18% of tropical rainforests are now covered by totally protected areas. If these were well protected, we could feel reasonably confident that current conservation strategies might succeed in preserving a substantial proportion of tropical biodiversity. However, in most parts of the tropics, poachers enter and leave reserves with impunity. On the basis of reports from the hunting literature, it seems likely that a majority of tropical nature reserves may already be considered empty forests—meaning t</w:instrText>
      </w:r>
      <w:r w:rsidR="00B2630D" w:rsidRPr="00DF57F3">
        <w:rPr>
          <w:color w:val="000000" w:themeColor="text1"/>
          <w:lang w:val="fr-FR"/>
        </w:rPr>
        <w:instrText>hat all bird and mammal species larger than approximately two kilograms—barring a few hunting-tolerant species—have either been extirpated or exist at densities well below natural levels of abundance. The disruption of ecological functions caused by the loss of symbionts further compromises the capacity of these reserves to conserve biodiversity over the long term. A substantial shift toward improving the management and enforcement of tropical protected-area networks is required.","author":[{"dropping-particle":"","family":"Harrison","given":"Rhett D.","non-dropping-particle":"","parse-names":false,"suffix":""}],"container-title":"BioScience","id":"ITEM-5","issue":"11","issued":{"date-parts":[["2011"]]},"page":"919-924","title":"Emptying the forest: hunting and the extirpation of wildlife from tropical nature reserves","type":"article-journal","volume":"61"},"uris":["http://www.mendeley.com/documents/?uuid=6070606f-a392-461c-a2f7-81caecd8e047"]}],"mendeley":{"formattedCitation":"(Bennett &amp; Robinson 2000; Nasi et al. 2010; Harrison 2011; Abernethy et al. 2013b; Van Vliet et al. 2018a)","plainTextFormattedCitation":"(Bennett &amp; Robinson 2000; Nasi et al. 2010; Harrison 2011; Abernethy et al. 2013b; Van Vliet et al. 2018a)","previouslyFormattedCitation":"(Bennett &amp; Robinson 2000; Nasi et al. 2010; Harrison 2011; Abernethy et al. 2013b; Van Vliet et al. 2018a)"},"properties":{"noteIndex":0},"schema":"https://github.com/citation-style-language/schema/raw/master/csl-citation.json"}</w:instrText>
      </w:r>
      <w:r w:rsidR="00A11C8C">
        <w:rPr>
          <w:color w:val="000000" w:themeColor="text1"/>
        </w:rPr>
        <w:fldChar w:fldCharType="separate"/>
      </w:r>
      <w:r w:rsidR="00A11C8C" w:rsidRPr="00DF57F3">
        <w:rPr>
          <w:noProof/>
          <w:color w:val="000000" w:themeColor="text1"/>
          <w:lang w:val="fr-FR"/>
        </w:rPr>
        <w:t>(Bennett &amp; Robinson 2000; Nasi et al. 2010; Harri</w:t>
      </w:r>
      <w:r w:rsidR="008E47ED" w:rsidRPr="00DF57F3">
        <w:rPr>
          <w:noProof/>
          <w:color w:val="000000" w:themeColor="text1"/>
          <w:lang w:val="fr-FR"/>
        </w:rPr>
        <w:t>son 2011; Abernethy et al. 2013</w:t>
      </w:r>
      <w:r w:rsidR="00A11C8C" w:rsidRPr="00DF57F3">
        <w:rPr>
          <w:noProof/>
          <w:color w:val="000000" w:themeColor="text1"/>
          <w:lang w:val="fr-FR"/>
        </w:rPr>
        <w:t>; Van Vliet et al. 2018a)</w:t>
      </w:r>
      <w:r w:rsidR="00A11C8C">
        <w:rPr>
          <w:color w:val="000000" w:themeColor="text1"/>
        </w:rPr>
        <w:fldChar w:fldCharType="end"/>
      </w:r>
      <w:r w:rsidR="00A11C8C" w:rsidRPr="00DF57F3">
        <w:rPr>
          <w:color w:val="000000" w:themeColor="text1"/>
          <w:lang w:val="fr-FR"/>
        </w:rPr>
        <w:t xml:space="preserve">. </w:t>
      </w:r>
      <w:r w:rsidRPr="005512D2">
        <w:rPr>
          <w:color w:val="000000" w:themeColor="text1"/>
        </w:rPr>
        <w:t xml:space="preserve">With the persistent loss of larger-bodied species, tropical forests can ultimately reach the point where the trees are standing but the </w:t>
      </w:r>
      <w:r w:rsidRPr="002656D6">
        <w:rPr>
          <w:color w:val="000000" w:themeColor="text1"/>
        </w:rPr>
        <w:t xml:space="preserve">fauna is </w:t>
      </w:r>
      <w:r w:rsidR="00306DFB" w:rsidRPr="002656D6">
        <w:rPr>
          <w:color w:val="000000" w:themeColor="text1"/>
        </w:rPr>
        <w:t>absent</w:t>
      </w:r>
      <w:r w:rsidRPr="002656D6">
        <w:rPr>
          <w:color w:val="000000" w:themeColor="text1"/>
        </w:rPr>
        <w:t xml:space="preserve"> — a phenomenon coined as the ‘empty forest syndrome’ </w:t>
      </w:r>
      <w:r w:rsidR="00EF6EFF">
        <w:rPr>
          <w:color w:val="000000" w:themeColor="text1"/>
        </w:rPr>
        <w:fldChar w:fldCharType="begin" w:fldLock="1"/>
      </w:r>
      <w:r w:rsidR="00EF6EFF">
        <w:rPr>
          <w:color w:val="000000" w:themeColor="text1"/>
        </w:rPr>
        <w:instrText>ADDIN CSL_CITATION {"citationItems":[{"id":"ITEM-1","itemData":{"DOI":"10.2307/1311860","ISBN":"00063568","ISSN":"0036-8075","PMID":"128","abstract":"he world conservation com-munity has focused much of its attention on the plight of tropical forests. Many authors have lamented the loss of forest cover and the destruction of the forest and spec-ulated on the extent of the tropical forest left intact. Throughout the dis-cussion, tall, majestic, tropical trees are used as a symbol for the complete set of animal and plant species found in tropical forests. Trees are also being used by some conservation biologists, park planners, and others to represent the entire tropical forest biota and as a measure of conservation worth. The presence of soaring, buttressed tropical trees, however, does not guarantee the presence of resident fauna. Often trees remain in a forest that human activities have emptied of many of its large animals. The ab-sence of these animals has profound implications, one of which is that a forest can be destroyed by humans from within as well as from without. Until recently, human influence on tropical forests through such activi-ties as burning, swidden agriculture, and hunting was regarded by ecolo-gists as of such low impact that it was negligible, as important but confined to areas of human settlement, or as confined to rapacious colonizers de-Kent H. Redford is the director of the Program for Studies in Tropical Conser-vation and an associate professor in the Center for Latin American Studies and Department of Wildlife and Range Sci-ence, University of Florida, Gainesville, FL 32611. ? 1992 American Institute of Biological Sciences. We must not let a forest full of trees fool us into believing all is well stroying the forest from the outside. In any case, ecologists looked for study sites that would allow for ex-amination of \"natural\" processes un-contaminated by anthropogenic ef-fects. Data from botany, archaeology, and anthropology collected in many parts of the world are showing, how-ever, that anthropogenic effects are ubiquitous and that the sought-after virgin habitat may not exist. Flenley (1979), for example, has documented widespread human effects on tropical forests throughout the equatorial re-gions. The relatively recent arrival of hu-mans in the western hemisphere has not lessened the overall impact our species has had on neotropical for-ests. From the forests of Mexico through Panama, and the montane forests of Colombia to Ecuador, sci-entists have documented the ways in which pre-Columbian humans altered the presence, extent, and structure of forests. The forests of …","author":[{"dropping-particle":"","family":"Redford","given":"K","non-dropping-particle":"","parse-names":false,"suffix":""}],"container-title":"BioScience","id":"ITEM-1","issue":"6","issued":{"date-parts":[["1992"]]},"page":"412-422","title":"The empty forest","type":"article-journal","volume":"42"},"uris":["http://www.mendeley.com/documents/?uuid=2ebdc1aa-caa3-453f-8887-14417d695013"]}],"mendeley":{"formattedCitation":"(Redford 1992)","plainTextFormattedCitation":"(Redford 1992)","previouslyFormattedCitation":"(Redford 1992)"},"properties":{"noteIndex":0},"schema":"https://github.com/citation-style-language/schema/raw/master/csl-citation.json"}</w:instrText>
      </w:r>
      <w:r w:rsidR="00EF6EFF">
        <w:rPr>
          <w:color w:val="000000" w:themeColor="text1"/>
        </w:rPr>
        <w:fldChar w:fldCharType="separate"/>
      </w:r>
      <w:r w:rsidR="00EF6EFF" w:rsidRPr="00EF6EFF">
        <w:rPr>
          <w:noProof/>
          <w:color w:val="000000" w:themeColor="text1"/>
        </w:rPr>
        <w:t>(Redford 1992)</w:t>
      </w:r>
      <w:r w:rsidR="00EF6EFF">
        <w:rPr>
          <w:color w:val="000000" w:themeColor="text1"/>
        </w:rPr>
        <w:fldChar w:fldCharType="end"/>
      </w:r>
      <w:r w:rsidRPr="002656D6">
        <w:rPr>
          <w:color w:val="000000" w:themeColor="text1"/>
        </w:rPr>
        <w:t xml:space="preserve">. This </w:t>
      </w:r>
      <w:r w:rsidR="00063F16" w:rsidRPr="002656D6">
        <w:rPr>
          <w:color w:val="000000" w:themeColor="text1"/>
        </w:rPr>
        <w:t>syndrome is</w:t>
      </w:r>
      <w:r w:rsidRPr="002656D6">
        <w:rPr>
          <w:color w:val="000000" w:themeColor="text1"/>
        </w:rPr>
        <w:t xml:space="preserve"> increasingly being witnessed in the tropics</w:t>
      </w:r>
      <w:r w:rsidR="00063F16" w:rsidRPr="002656D6">
        <w:rPr>
          <w:color w:val="000000" w:themeColor="text1"/>
        </w:rPr>
        <w:t xml:space="preserve"> and sub-tropics</w:t>
      </w:r>
      <w:r w:rsidRPr="002656D6">
        <w:rPr>
          <w:color w:val="000000" w:themeColor="text1"/>
        </w:rPr>
        <w:t xml:space="preserve">, with numerous case studies documenting </w:t>
      </w:r>
      <w:r w:rsidRPr="003E3238">
        <w:rPr>
          <w:color w:val="000000" w:themeColor="text1"/>
        </w:rPr>
        <w:t xml:space="preserve">sites that previously supported healthy wildlife populations </w:t>
      </w:r>
      <w:r w:rsidR="00A52CA3">
        <w:rPr>
          <w:color w:val="000000" w:themeColor="text1"/>
        </w:rPr>
        <w:t xml:space="preserve">and are </w:t>
      </w:r>
      <w:r w:rsidRPr="003E3238">
        <w:rPr>
          <w:color w:val="000000" w:themeColor="text1"/>
        </w:rPr>
        <w:t xml:space="preserve">now hunted to a state of defaunation </w:t>
      </w:r>
      <w:r w:rsidR="00EF6EFF">
        <w:rPr>
          <w:color w:val="000000" w:themeColor="text1"/>
        </w:rPr>
        <w:fldChar w:fldCharType="begin" w:fldLock="1"/>
      </w:r>
      <w:r w:rsidR="00AB268B">
        <w:rPr>
          <w:color w:val="000000" w:themeColor="text1"/>
        </w:rPr>
        <w:instrText>ADDIN CSL_CITATION {"citationItems":[{"id":"ITEM-1","itemData":{"DOI":"10.1046/j.1523-1739.2002.00275.x","ISBN":"1523-1739","ISSN":"0888-8892","PMID":"10875522","abstract":"We calculated extraction and production rates of bushmeat species in two main tropical, moist-forest regions, the Amazon and Congo basins. Extraction was estimated from the average number of animals consumed per person per year from anthropological studies that reported animal kills brought into settlements in the regions. We calculated extraction rates ( kg / km 2/year) for 57 and 31 mammalian taxa in the Congo and Amazon, respectively. We then examined the sustainability of these extraction rates by basin and by taxa, using extraction-to-production ( E:P) mass-balance equations. Production (tonnes/year) was calculated as the product of rmax (the intrinsic rate of natural increase), mammal biomass, and total area of forest in each region. Species exploitation rates at specific body masses were significantly greater in the Congo than in the Amazon. The E :P ratio for the Congo was 2.4, 30 times the Amazon's ratio of 0.081. Thus, Congo Basin mammals must annually produce approximately 93% of their body mass to balance current extraction rates, whereas Amazonian mammals must produce only 4% of their body mass. We calculated sustainability levels derived from Robinson and Redford's harvest model for each taxa. On a basin-wide level, 60% and none of the mammal taxa in the Congo and Amazon basins, respectively, were exploited unsustainably. To evaluate the effect of error on the estimates of E :P, we conducted a sensitivity analysis, which suggests that the mass-balance was most sensitive to error in standing stock but that our results are robust. We estimated that over 5 million tons of wild mammal meat feed millions in Neotropical (0.15 million) and Afrotropical (4.9 million) forests annually. Our Congo basin estimates are four times higher than those calculated for the region by other workers, and we conclude that the current situation of bushmeat extraction in African rain forests is more precarious than previously thought. Calculamos las tasas de extracción y de producción de especies cinegéticas en dos importantes regiones tropicales de bosque húmedo: las cuencas del Amazonas y del Congo. Se estimó la extracción a partir del número promedio de animales consumidos por año en estudios antropológicos que registraron animales cazados y llevados a los poblados en las regiones. Calculamos tasas de extracción ( kg/km 2/año−1) para 57 y 31 taxa de mamíferos en el Congo y el Amazonas, respectivamente. Posteriormente examinamos la sustentabilidad de estas tasas …","author":[{"dropping-particle":"","family":"Fa","given":"John E","non-dropping-particle":"","parse-names":false,"suffix":""},{"dropping-particle":"","family":"Peres","given":"Carlos A","non-dropping-particle":"","parse-names":false,"suffix":""},{"dropping-particle":"","family":"Meeuwig","given":"Jessica","non-dropping-particle":"","parse-names":false,"suffix":""}],"container-title":"Conservation Biology","id":"ITEM-1","issue":"1","issued":{"date-parts":[["2002"]]},"page":"232-237","title":"Bushmeat exploitation in tropical forests: an intercontinental comparison","type":"article-journal","volume":"16"},"uris":["http://www.mendeley.com/documents/?uuid=e1b18c38-751b-40b4-a08a-c77816093199"]},{"id":"ITEM-2","itemData":{"DOI":"10.1111/j.1744-7429.2007.00271.x","ISBN":"00063606","ISSN":"00063606","abstract":"People have hunted mammals in tropical Asian forests for at least 40,000 yr. This period has seen one confirmed global extinction (the giant pangolin, Manis palaeojavanica) and range restrictions for several large mammals, but there is no strong evidence for unsustainable hunting pressure until the last 2000–3000 yr, when elephants, rhinoceroses, and several other species were progressively eliminated from the large parts of their ranges. Regional declines in most species have occurred largely within the last 50 yr. Recent subsistence hunting has typically focused on pigs and deer (hunted with dogs and spears or with snares), monkeys and other arboreal mammals (often caught with blowpipes), and porcupines and other rodents (smoked or dug out of burrows). Over the last 50 yr, the importance of hunting for subsistence has been increasingly outweighed by hunting for the market. The hunted biomass is dominated by the same species as before, sold mostly for local consumption, but numerous additional species are targeted for the colossal regional trade in wild animals and their parts for food, medicines, raw materials, and pets. Many populations of mammalian dispersers of large seeds and understory browsers have been depleted or eliminated, while seed predators have had a more variable fate.Most of this hunting is now illegal, but the law enforcement is generally weak. However, examples of successful enforcement show that hunting impacts can be greatly reduced where there is sufficient political will. Ending the trade in wild animals and their parts should have the highest regional conservation priority","author":[{"dropping-particle":"","family":"Corlett","given":"Richard T.","non-dropping-particle":"","parse-names":false,"suffix":""}],"container-title":"Biotropica","id":"ITEM-2","issue":"3","issued":{"date-parts":[["2007"]]},"page":"292-303","title":"The impact of hunting on the mammalian fauna of tropical Asian forests","type":"article-journal","volume":"39"},"uris":["http://www.mendeley.com/documents/?uuid=822c279d-e311-4945-8bd6-c6262466157b"]},{"id":"ITEM-3","itemData":{"DOI":"10.1111/j.1365-2907.2009.00149.x","ISBN":"0305-1838","ISSN":"13652907","abstract":"Available information on the consumption of wild meat in West and Central Africa is reviewed. We show that mammals are the prime source of bushmeat, and that ungulates and rodents make up the highest proportion of biomass extracted. We present data on current knowledge of extraction patterns of wild mammals in West and Central Africa, and evidence that at current off-take levels, within the range states, mammals as bushmeat are being depleted on an unprecedented scale. Extraction rates are orders of magnitude higher there than in comparable ecosystems like the Amazon, and much less likely to be sustainable. However, basic knowledge of the biology of harvestable tropical moist forest mammals, and the consequences of hunting on mammalian communities, which permits accurate estimation of maximal production rate (the excess of growth over replacement rate), is largely unavailable, and this hinders estimation of hunting quotas and sustainability. Comparisons are made with the existing information available on Amazon basin mammals and hunting patterns reported there.","author":[{"dropping-particle":"","family":"Fa","given":"John E.","non-dropping-particle":"","parse-names":false,"suffix":""},{"dropping-particle":"","family":"Brown","given":"David","non-dropping-particle":"","parse-names":false,"suffix":""}],"container-title":"Mammal Review","id":"ITEM-3","issue":"4","issued":{"date-parts":[["2009"]]},"page":"231-264","title":"Impacts of hunting on mammals in African tropical moist forests: a review and synthesis","type":"article-journal","volume":"39"},"uris":["http://www.mendeley.com/documents/?uuid=fa2ec957-0355-4f82-b4c3-5602496006e3"]},{"id":"ITEM-4","itemData":{"DOI":"10.1073/pnas.1011526108","ISBN":"0027-8424","ISSN":"0027-8424","PMID":"21873180","abstract":"The harvest of wildlife for human consumption is valued at several billion dollars annually and provides an essential source of meat for hundreds of millions of rural people living in poverty. This harvest is also considered among the greatest threats to biodiversity throughout Africa, Asia, and Latin America. Economic development is often proposed as an essential first step to win-win solutions for poverty alleviation and biodiversity conservation by breaking rural reliance on wildlife. However, increases in wealth may accelerate consumption and extend the scale and efficiency of wildlife harvest. Our ability to assess the likelihood of these two contrasting outcomes and to design approaches that simultaneously consider poverty and biodiversity loss is impeded by a weak understanding of the direction and shape of their interaction. Here, we present results of economic and wildlife use surveys conducted in 2,000 households from 96 settlements in Ghana, Cameroon, Tanzania, and Madagascar. We examine the individual and interactive roles of wealth, relative food prices, market access, and opportunity costs of time spent hunting on household rates of wildlife consumption. Despite great differences in biogeographic, social, and economic aspects of our study sites, we found a consistent relationship between wealth and wildlife consumption. Wealthier households consume more bushmeat in settlements nearer urban areas, but the opposite pattern is observed in more isolated settlements. Wildlife hunting and consumption increase when alternative livelihoods collapse, but this safety net is an option only for those people living near harvestable wildlife.","author":[{"dropping-particle":"","family":"Brashares","given":"J. S.","non-dropping-particle":"","parse-names":false,"suffix":""},{"dropping-particle":"","family":"Golden","given":"C. D.","non-dropping-particle":"","parse-names":false,"suffix":""},{"dropping-particle":"","family":"Weinbaum","given":"K. Z.","non-dropping-particle":"","parse-names":false,"suffix":""},{"dropping-particle":"","family":"Barrett","given":"C. B.","non-dropping-particle":"","parse-names":false,"suffix":""},{"dropping-particle":"V.","family":"Okello","given":"G.","non-dropping-particle":"","parse-names":false,"suffix":""}],"container-title":"Proceedings of the National Academy of Sciences","id":"ITEM-4","issue":"34","issued":{"date-parts":[["2011"]]},"page":"13931-13936","title":"Economic and geographic drivers of wildlife consumption in rural Africa","type":"article-journal","volume":"108"},"uris":["http://www.mendeley.com/documents/?uuid=13ad7382-e303-3540-b09e-d11794ebd691"]}],"mendeley":{"formattedCitation":"(Fa et al. 2002; Corlett 2007; Fa &amp; Brown 2009; Brashares et al. 2011)","plainTextFormattedCitation":"(Fa et al. 2002; Corlett 2007; Fa &amp; Brown 2009; Brashares et al. 2011)","previouslyFormattedCitation":"(Fa et al. 2002; Corlett 2007; Fa &amp; Brown 2009; Brashares et al. 2011)"},"properties":{"noteIndex":0},"schema":"https://github.com/citation-style-language/schema/raw/master/csl-citation.json"}</w:instrText>
      </w:r>
      <w:r w:rsidR="00EF6EFF">
        <w:rPr>
          <w:color w:val="000000" w:themeColor="text1"/>
        </w:rPr>
        <w:fldChar w:fldCharType="separate"/>
      </w:r>
      <w:r w:rsidR="00EF6EFF" w:rsidRPr="00EF6EFF">
        <w:rPr>
          <w:noProof/>
          <w:color w:val="000000" w:themeColor="text1"/>
        </w:rPr>
        <w:t>(Fa et al. 2002; Corlett 2007; Fa &amp; Brown 2009; Brashares et al. 2011)</w:t>
      </w:r>
      <w:r w:rsidR="00EF6EFF">
        <w:rPr>
          <w:color w:val="000000" w:themeColor="text1"/>
        </w:rPr>
        <w:fldChar w:fldCharType="end"/>
      </w:r>
      <w:r w:rsidRPr="00EE2428">
        <w:rPr>
          <w:color w:val="000000" w:themeColor="text1"/>
        </w:rPr>
        <w:t xml:space="preserve">. More recently, attention has been drawn to ‘empty savanna syndrome’, due to increased commercial wild meat hunting </w:t>
      </w:r>
      <w:r w:rsidR="00EF6EFF">
        <w:rPr>
          <w:color w:val="000000" w:themeColor="text1"/>
        </w:rPr>
        <w:fldChar w:fldCharType="begin" w:fldLock="1"/>
      </w:r>
      <w:r w:rsidR="00AB268B">
        <w:rPr>
          <w:color w:val="000000" w:themeColor="text1"/>
        </w:rPr>
        <w:instrText>ADDIN CSL_CITATION {"citationItems":[{"id":"ITEM-1","itemData":{"DOI":"10.1016/j.biocon.2012.12.020","ISBN":"00063207","ISSN":"00063207","PMID":"25246403","abstract":"The bushmeat trade, or the illegal acquisition and exchange of wild meat, has long been recognised as a severe problem in forest biomes, but receives little attention in savannas, perhaps due to a misconception that bushmeat hunting is a low-impact subsistence activity. Though data on impacts are scarce, indications are that bushmeat hunting is a widespread problem in savannas, with severe impacts on wildlife populations and wildlife-based land uses. The impacts of the bushmeat trade in savannas vary from edge-effects around protected areas, to disproportionate declines of some species, to severe wildlife declines in areas with inadequate anti-poaching. In some areas, bushmeat contributes significantly to food security, but these benefits are unsustainable, and hunting is wasteful, utilising a fraction of the wildlife killed or of its financial value obtainable through tourism, trophy hunting and/or legal game meat production. The bushmeat trade appears to be becoming increasingly commercialised due to elevated demand in rural areas, urban centres and even overseas cities. Other drivers for the trade include human encroachment of wildlife areas; poverty and food insecurity; and inadequate legal frameworks to enable communities to benefit legally from wildlife, and to create incentives for people to desist from illegal bushmeat hunting. These drivers are exacerbated by inadequate wildlife laws and enforcement and in some areas, political instability. Urgent efforts are needed to address these drivers and raise awareness among local and international governments of the seriousness of the threat. Failure to address this will result in severe wildlife declines widely in African savannas, with significant ecological, economic and social impacts. © 2012 Elsevier Ltd.","author":[{"dropping-particle":"","family":"Lindsey","given":"Peter Andrew","non-dropping-particle":"","parse-names":false,"suffix":""},{"dropping-particle":"","family":"Balme","given":"Guy","non-dropping-particle":"","parse-names":false,"suffix":""},{"dropping-particle":"","family":"Becker","given":"Matthew","non-dropping-particle":"","parse-names":false,"suffix":""},{"dropping-particle":"","family":"Begg","given":"Colleen","non-dropping-particle":"","parse-names":false,"suffix":""},{"dropping-particle":"","family":"Bento","given":"Carlos","non-dropping-particle":"","parse-names":false,"suffix":""},{"dropping-particle":"","family":"Bocchino","given":"Clara","non-dropping-particle":"","parse-names":false,"suffix":""},{"dropping-particle":"","family":"Dickman","given":"Amy","non-dropping-particle":"","parse-names":false,"suffix":""},{"dropping-particle":"","family":"Diggle","given":"Richard W.","non-dropping-particle":"","parse-names":false,"suffix":""},{"dropping-particle":"","family":"Eves","given":"Heather","non-dropping-particle":"","parse-names":false,"suffix":""},{"dropping-particle":"","family":"Henschel","given":"Philipp","non-dropping-particle":"","parse-names":false,"suffix":""},{"dropping-particle":"","family":"Lewis","given":"Dale","non-dropping-particle":"","parse-names":false,"suffix":""},{"dropping-particle":"","family":"Marnewick","given":"Kelly","non-dropping-particle":"","parse-names":false,"suffix":""},{"dropping-particle":"","family":"Mattheus","given":"Jaco","non-dropping-particle":"","parse-names":false,"suffix":""},{"dropping-particle":"","family":"Weldon McNutt","given":"J.","non-dropping-particle":"","parse-names":false,"suffix":""},{"dropping-particle":"","family":"McRobb","given":"Rachel","non-dropping-particle":"","parse-names":false,"suffix":""},{"dropping-particle":"","family":"Midlane","given":"Neil","non-dropping-particle":"","parse-names":false,"suffix":""},{"dropping-particle":"","family":"Milanzi","given":"James","non-dropping-particle":"","parse-names":false,"suffix":""},{"dropping-particle":"","family":"Morley","given":"Robert","non-dropping-particle":"","parse-names":false,"suffix":""},{"dropping-particle":"","family":"Murphree","given":"Michael","non-dropping-particle":"","parse-names":false,"suffix":""},{"dropping-particle":"","family":"Opyene","given":"Vincent","non-dropping-particle":"","parse-names":false,"suffix":""},{"dropping-particle":"","family":"Phadima","given":"Joe","non-dropping-particle":"","parse-names":false,"suffix":""},{"dropping-particle":"","family":"Purchase","given":"Gianetta","non-dropping-particle":"","parse-names":false,"suffix":""},{"dropping-particle":"","family":"Rentsch","given":"Dennis","non-dropping-particle":"","parse-names":false,"suffix":""},{"dropping-particle":"","family":"Roche","given":"Christopher","non-dropping-particle":"","parse-names":false,"suffix":""},{"dropping-particle":"","family":"Shaw","given":"Joanne","non-dropping-particle":"","parse-names":false,"suffix":""},{"dropping-particle":"van der","family":"Westhuizen","given":"Hugo","non-dropping-particle":"","parse-names":false,"suffix":""},{"dropping-particle":"Van","family":"Vliet","given":"Nathalie","non-dropping-particle":"","parse-names":false,"suffix":""},{"dropping-particle":"","family":"Zisadza-Gandiwa","given":"Patience","non-dropping-particle":"","parse-names":false,"suffix":""}],"container-title":"Biological Conservation","id":"ITEM-1","issued":{"date-parts":[["2013"]]},"page":"80-96","title":"The bushmeat trade in African savannas: Impacts, drivers, and possible solutions","type":"article-journal","volume":"160"},"uris":["http://www.mendeley.com/documents/?uuid=c895dd6c-1f97-4744-b4cc-30da58bbc9b4"]}],"mendeley":{"formattedCitation":"(Lindsey et al. 2013a)","plainTextFormattedCitation":"(Lindsey et al. 2013a)","previouslyFormattedCitation":"(Lindsey et al. 2013a)"},"properties":{"noteIndex":0},"schema":"https://github.com/citation-style-language/schema/raw/master/csl-citation.json"}</w:instrText>
      </w:r>
      <w:r w:rsidR="00EF6EFF">
        <w:rPr>
          <w:color w:val="000000" w:themeColor="text1"/>
        </w:rPr>
        <w:fldChar w:fldCharType="separate"/>
      </w:r>
      <w:r w:rsidR="00730F44" w:rsidRPr="00730F44">
        <w:rPr>
          <w:noProof/>
          <w:color w:val="000000" w:themeColor="text1"/>
        </w:rPr>
        <w:t>(Lindsey et al. 2013a)</w:t>
      </w:r>
      <w:r w:rsidR="00EF6EFF">
        <w:rPr>
          <w:color w:val="000000" w:themeColor="text1"/>
        </w:rPr>
        <w:fldChar w:fldCharType="end"/>
      </w:r>
      <w:r w:rsidRPr="00EE2428">
        <w:rPr>
          <w:color w:val="000000" w:themeColor="text1"/>
        </w:rPr>
        <w:t xml:space="preserve">. </w:t>
      </w:r>
      <w:r w:rsidR="00A52CA3">
        <w:rPr>
          <w:color w:val="000000" w:themeColor="text1"/>
        </w:rPr>
        <w:t>Even while fauna remains</w:t>
      </w:r>
      <w:r w:rsidRPr="00EE2428">
        <w:rPr>
          <w:color w:val="000000" w:themeColor="text1"/>
        </w:rPr>
        <w:t xml:space="preserve">, there is significant potential for </w:t>
      </w:r>
      <w:r w:rsidR="004D77C1">
        <w:rPr>
          <w:color w:val="000000" w:themeColor="text1"/>
        </w:rPr>
        <w:t>ecosystem</w:t>
      </w:r>
      <w:r w:rsidRPr="00EE2428">
        <w:rPr>
          <w:color w:val="000000" w:themeColor="text1"/>
        </w:rPr>
        <w:t xml:space="preserve"> disturbances, with negative cascading impacts on </w:t>
      </w:r>
      <w:r w:rsidR="004D77C1">
        <w:rPr>
          <w:color w:val="000000" w:themeColor="text1"/>
        </w:rPr>
        <w:t>function</w:t>
      </w:r>
      <w:r w:rsidRPr="00EE2428">
        <w:rPr>
          <w:color w:val="000000" w:themeColor="text1"/>
        </w:rPr>
        <w:t xml:space="preserve"> and services underpinn</w:t>
      </w:r>
      <w:r w:rsidRPr="0064175F">
        <w:rPr>
          <w:color w:val="000000" w:themeColor="text1"/>
        </w:rPr>
        <w:t xml:space="preserve">ing human livelihoods </w:t>
      </w:r>
      <w:r w:rsidR="00EF6EFF">
        <w:rPr>
          <w:color w:val="000000" w:themeColor="text1"/>
        </w:rPr>
        <w:fldChar w:fldCharType="begin" w:fldLock="1"/>
      </w:r>
      <w:r w:rsidR="008E47ED">
        <w:rPr>
          <w:color w:val="000000" w:themeColor="text1"/>
        </w:rPr>
        <w:instrText>ADDIN CSL_CITATION {"citationItems":[{"id":"ITEM-1","itemData":{"author":[{"dropping-particle":"","family":"Wright","given":"S Joseph","non-dropping-particle":"","parse-names":false,"suffix":""}],"container-title":"Perspectives in Plant Ecology, Evolution and Systematics","id":"ITEM-1","issued":{"date-parts":[["2003"]]},"page":"73-86","title":"The myriad consequences of hunting for vertebrates and plants in tropical forests","type":"article-journal","volume":"6"},"uris":["http://www.mendeley.com/documents/?uuid=fd8f8455-1505-48fa-96cf-a8532fb1275a"]},{"id":"ITEM-2","itemData":{"DOI":"10.1098/rstb.2012.0303","ISBN":"1471-2970 (Electronic)\\n0962-8436 (Linking)","ISSN":"1471-2970","PMID":"23878333","abstract":"Humans have hunted wildlife in Central Africa for millennia. Today, however, many species are being rapidly extirpated and sanctuaries for wildlife are dwindling. Almost all Central Africa's forests are now accessible to hunters. Drastic declines of large mammals have been caused in the past 20 years by the commercial trade for meat or ivory. We review a growing body of empirical data which shows that trophic webs are significantly disrupted in the region, with knock-on effects for other ecological functions, including seed dispersal and forest regeneration. Plausible scenarios for land-use change indicate that increasing extraction pressure on Central African forests is likely to usher in new worker populations and to intensify the hunting impacts and trophic cascade disruption already in progress, unless serious efforts are made for hunting regulation. The profound ecological changes initiated by hunting will not mitigate and may even exacerbate the predicted effects of climate change for the region. We hypothesize that, in the near future, the trophic changes brought about by hunting will have a larger and more rapid impact on Central African rainforest structure and function than the direct impacts of climate change on the vegetation. Immediate hunting regulation is vital for the survival of the Central African rainforest ecosystem.","author":[{"dropping-particle":"","family":"Abernethy","given":"K.A.","non-dropping-particle":"","parse-names":false,"suffix":""},{"dropping-particle":"","family":"Coad","given":"L.","non-dropping-particle":"","parse-names":false,"suffix":""},{"dropping-particle":"","family":"Taylor","given":"G.","non-dropping-particle":"","parse-names":false,"suffix":""},{"dropping-particle":"","family":"Lee","given":"M E","non-dropping-particle":"","parse-names":false,"suffix":""},{"dropping-particle":"","family":"Maisels","given":"F.","non-dropping-particle":"","parse-names":false,"suffix":""}],"container-title":"Philosophical transactions of the Royal Society of London. Series B, Biological sciences","id":"ITEM-2","issued":{"date-parts":[["2013"]]},"page":"20120303","title":"Extent and ecological consequences of hunting in Central African rainforests in the twenty-first century.","type":"article-journal","volume":"368"},"uris":["http://www.mendeley.com/documents/?uuid=18796464-9ea5-47fb-afcb-938cbd1dcd95"]},{"id":"ITEM-3","itemData":{"DOI":"10.1016/j.biocon.2013.01.015","ISBN":"0006-3207","ISSN":"00063207","abstract":"The Janzen-Connell (J-C) model of tropical tree recruitment and diversity has come of age and can now be applied to predict the consequences of defaunation and other disturbances. J-C describes a process of recruitment at a distance that results from spatially varying rates of seed dispersal and subsequent survival. The per-capita success of seeds is low under reproductive conspecifics where propagules are killed by host restricted enemies (seed predators, herbivores and pathogens). Undispersed seeds consequently experience negligible success, whereas dispersed seeds benefit from escape from enemies. At our site in Amazonian Perú, a scant rain of dispersed seeds (&lt;1/m2-yr for common species) gives rise to a low density of seedlings (ca. 5m2), suggesting that intracohort interactions (density dependence, competition) are weak. Defaunation and other disturbances distort or curtail the vital processes of dispersal and propagule survival. Seed dispersal is most vulnerable to hunting and other disturbances because it is disproportionately carried out by large-bodied birds and mammals that are selectively harvested by hunters or that disappear from fragments. Reduced dispersal leads more or less directly to reduced recruitment. In contrast, compensatory adjustments to missing seed predators appear to be common. Thus the escape process of J-C is more resilient to distortions in the large vertebrate community than is seed dispersal. These principles appear to be robust and can be employed to predict the consequences of defaunation and other kinds of disturbances to tropical forests. © 2013 Elsevier Ltd.","author":[{"dropping-particle":"","family":"Terborgh","given":"John","non-dropping-particle":"","parse-names":false,"suffix":""}],"container-title":"Biological Conservation","id":"ITEM-3","issued":{"date-parts":[["2013"]]},"page":"7-12","publisher":"Elsevier Ltd","title":"Using Janzen-Connell to predict the consequences of defaunation and other disturbances of tropical forests","type":"article-journal","volume":"163"},"uris":["http://www.mendeley.com/documents/?uuid=cf4a1ea5-b008-4020-889d-730bd99d03ab"]}],"mendeley":{"formattedCitation":"(Wright 2003; Abernethy et al. 2013b; Terborgh 2013)","manualFormatting":"(Wright 2003; Abernethy et al. 2013; Terborgh 2013)","plainTextFormattedCitation":"(Wright 2003; Abernethy et al. 2013b; Terborgh 2013)","previouslyFormattedCitation":"(Wright 2003; Abernethy et al. 2013b; Terborgh 2013)"},"properties":{"noteIndex":0},"schema":"https://github.com/citation-style-language/schema/raw/master/csl-citation.json"}</w:instrText>
      </w:r>
      <w:r w:rsidR="00EF6EFF">
        <w:rPr>
          <w:color w:val="000000" w:themeColor="text1"/>
        </w:rPr>
        <w:fldChar w:fldCharType="separate"/>
      </w:r>
      <w:r w:rsidR="00EF6EFF" w:rsidRPr="00EF6EFF">
        <w:rPr>
          <w:noProof/>
          <w:color w:val="000000" w:themeColor="text1"/>
        </w:rPr>
        <w:t>(Wri</w:t>
      </w:r>
      <w:r w:rsidR="008E47ED">
        <w:rPr>
          <w:noProof/>
          <w:color w:val="000000" w:themeColor="text1"/>
        </w:rPr>
        <w:t>ght 2003; Abernethy et al. 2013</w:t>
      </w:r>
      <w:r w:rsidR="00EF6EFF" w:rsidRPr="00EF6EFF">
        <w:rPr>
          <w:noProof/>
          <w:color w:val="000000" w:themeColor="text1"/>
        </w:rPr>
        <w:t>; Terborgh 2013)</w:t>
      </w:r>
      <w:r w:rsidR="00EF6EFF">
        <w:rPr>
          <w:color w:val="000000" w:themeColor="text1"/>
        </w:rPr>
        <w:fldChar w:fldCharType="end"/>
      </w:r>
      <w:r w:rsidRPr="006F5EBC">
        <w:rPr>
          <w:color w:val="000000" w:themeColor="text1"/>
        </w:rPr>
        <w:t xml:space="preserve">. The over-exploitation of wildlife is expected to adversely affect forest composition, architecture and biomass, </w:t>
      </w:r>
      <w:r w:rsidR="00A52CA3">
        <w:rPr>
          <w:color w:val="000000" w:themeColor="text1"/>
        </w:rPr>
        <w:t>and</w:t>
      </w:r>
      <w:r w:rsidRPr="006F5EBC">
        <w:rPr>
          <w:color w:val="000000" w:themeColor="text1"/>
        </w:rPr>
        <w:t xml:space="preserve"> ecosystem dynamics, such as regrowth and succession patterns, deposition of soil nutrients and carbon sequest</w:t>
      </w:r>
      <w:r w:rsidRPr="0070404D">
        <w:rPr>
          <w:color w:val="000000" w:themeColor="text1"/>
        </w:rPr>
        <w:t xml:space="preserve">ration </w:t>
      </w:r>
      <w:r w:rsidR="00EF6EFF">
        <w:rPr>
          <w:color w:val="000000" w:themeColor="text1"/>
        </w:rPr>
        <w:fldChar w:fldCharType="begin" w:fldLock="1"/>
      </w:r>
      <w:r w:rsidR="00763BF5">
        <w:rPr>
          <w:color w:val="000000" w:themeColor="text1"/>
        </w:rPr>
        <w:instrText xml:space="preserve">ADDIN CSL_CITATION {"citationItems":[{"id":"ITEM-1","itemData":{"DOI":"10.1017/S003060530200073X","ISBN":"0030-6053","ISSN":"0030-6053","PMID":"1117","abstract":"Wildlife (bushmeat or game) is the primary source of protein for most poor households in tropical forests, and its consumption is resulting in unsustainable hunting of large animals, even in isolated regions. As a result, loss of fauna is often a more immediate and significant threat to the conservation of biological diversity in tropical forests than is deforestation. Although the potential effects of the extirpation from tropical forests of large, seed predating and seed dispersing wild animals is poorly understood, it is likely that there will be irrevocable changes in the structure and function of these ecosystems. We carried out a survey of 510 households of Tsimane' Amerindians in the rainforest of Bolivia to investigate how the prices of game and meat from domesticated animals affect the consumption of game. The results indicated that the price of fish and meat from livestock is positively correlated with consumption of wildlife, suggesting that policy makers may be able to reduce the unsustainable hunting of wildlife for food by reducing the price of fish and the price of meat from domesticated animals relative to that of wildlife. Increasing the production of livestock without causing environmental degradation will require long-term public investment in agricultural research and extension, and substitution of fish for game meat in the absence of sustainable management regimes will result in over-exploitation of riverine and lacustrine fish stocks.","author":[{"dropping-particle":"","family":"Apaza","given":"Lilian","non-dropping-particle":"","parse-names":false,"suffix":""},{"dropping-particle":"","family":"Wilkie","given":"David","non-dropping-particle":"","parse-names":false,"suffix":""},{"dropping-particle":"","family":"Byron","given":"Elizabeth","non-dropping-particle":"","parse-names":false,"suffix":""},{"dropping-particle":"","family":"Huanca","given":"Tomás","non-dropping-particle":"","parse-names":false,"suffix":""},{"dropping-particle":"","family":"Leonard","given":"William","non-dropping-particle":"","parse-names":false,"suffix":""},{"dropping-particle":"","family":"Pérez","given":"Eddy","non-dropping-particle":"","parse-names":false,"suffix":""},{"dropping-particle":"","family":"Reyes-García","given":"Victoria","non-dropping-particle":"","parse-names":false,"suffix":""},{"dropping-particle":"","family":"Vadez","given":"Vincent","non-dropping-particle":"","parse-names":false,"suffix":""},{"dropping-particle":"","family":"Godoy","given":"Ricardo","non-dropping-particle":"","parse-names":false,"suffix":""}],"container-title":"Oryx","id":"ITEM-1","issue":"04","issued":{"date-parts":[["2002"]]},"page":"382-388","title":"Meat prices influence the consumption of wildlife by the Tsimane' Amerindians of Bolivia","type":"article-journal","volume":"36"},"uris":["http://www.mendeley.com/documents/?uuid=0a3e3ee3-4379-40d2-af6b-e922f78bcfe2"]},{"id":"ITEM-2","itemData":{"DOI":"10.1073/pnas.1516525113","ISBN":"1215421109","ISSN":"0027-8424","PMID":"22393313","abstract":"Tropical forests are the global cornerstone of biological diversity, and store 55% of the forest carbon stock globally, yet sustained provisioning of these forest ecosystem services may be threatened by hunting-induced extinctions of plant–animal mutualisms that maintain long-term forest dynamics. Large-bodied Atelinae primates and tapirs in particular offer nonredundant seed-dispersal services for many large-seeded Neotropical tree species, which on average have higher wood density than smaller-seeded and wind-dispersed trees. We used field data and models to project the spatial impact of hunting on large primates by </w:instrText>
      </w:r>
      <w:r w:rsidR="00763BF5">
        <w:rPr>
          <w:rFonts w:ascii="Cambria Math" w:hAnsi="Cambria Math" w:cs="Cambria Math"/>
          <w:color w:val="000000" w:themeColor="text1"/>
        </w:rPr>
        <w:instrText>∼</w:instrText>
      </w:r>
      <w:r w:rsidR="00763BF5">
        <w:rPr>
          <w:color w:val="000000" w:themeColor="text1"/>
        </w:rPr>
        <w:instrText>1 million rural households throughout the Brazilian Amazon. We then used a unique baseline dataset on 2,345 1-ha tree plots arrayed across the Brazilian Amazon to model changes in aboveground forest biomass under different scenarios of hunting-induced large-bodied frugivore extirpation. We project that defaunation of the most harvest-sensitive species will lead to losses in aboveground biomass of between 2.5–5.8% on average, with some losses as high as 26.5–37.8%. These findings highlight an urgent need to manage the sustainability of game hunting in both protected and unprotected tropical forests, and place full biodiversity integrity, including populations of large frugivorous vertebrates, firmly in the agenda of reducing emissions from deforestation and forest degradation (REDD+) programs.","author":[{"dropping-particle":"","family":"Peres","given":"Carlos A","non-dropping-particle":"","parse-names":false,"suffix":""},{"dropping-particle":"","family":"Thaise","given":"Emilio","non-dropping-particle":"","parse-names":false,"suffix":""},{"dropping-particle":"","family":"Schietti","given":"Juliana","non-dropping-particle":"","parse-names":false,"suffix":""},{"dropping-particle":"","family":"Desmoulieres","given":"S. J. M.","non-dropping-particle":"","parse-names":false,"suffix":""},{"dropping-particle":"","family":"Levi","given":"Taal","non-dropping-particle":"","parse-names":false,"suffix":""}],"container-title":"Proceedings of the National Academy of Sciences of the United States of America","id":"ITEM-2","issue":"4","issued":{"date-parts":[["2016"]]},"page":"892–897","title":"Dispersal limitation induces long-term biomass collapse in overhunted Amazonian forests","type":"article-journal","volume":"113"},"uris":["http://www.mendeley.com/documents/?uuid=dee9ce3b-561b-4b66-bea3-d8180c51a918"]}],"mendeley":{"formattedCitation":"(Apaza et al. 2002; Peres et al. 2016)","plainTextFormattedCitation":"(Apaza et al. 2002; Peres et al. 2016)","previouslyFormattedCitation":"(Apaza et al. 2002; Peres et al. 2016)"},"properties":{"noteIndex":0},"schema":"https://github.com/citation-style-language/schema/raw/master/csl-citation.json"}</w:instrText>
      </w:r>
      <w:r w:rsidR="00EF6EFF">
        <w:rPr>
          <w:color w:val="000000" w:themeColor="text1"/>
        </w:rPr>
        <w:fldChar w:fldCharType="separate"/>
      </w:r>
      <w:r w:rsidR="00763BF5" w:rsidRPr="00763BF5">
        <w:rPr>
          <w:noProof/>
          <w:color w:val="000000" w:themeColor="text1"/>
        </w:rPr>
        <w:t>(Apaza et al. 2002; Peres et al. 2016)</w:t>
      </w:r>
      <w:r w:rsidR="00EF6EFF">
        <w:rPr>
          <w:color w:val="000000" w:themeColor="text1"/>
        </w:rPr>
        <w:fldChar w:fldCharType="end"/>
      </w:r>
      <w:r w:rsidRPr="0070404D">
        <w:rPr>
          <w:color w:val="000000" w:themeColor="text1"/>
        </w:rPr>
        <w:t xml:space="preserve">. </w:t>
      </w:r>
    </w:p>
    <w:p w14:paraId="7E0B6486" w14:textId="2300DBD2" w:rsidR="003B6FE0" w:rsidRDefault="009C0863" w:rsidP="00C258BC">
      <w:pPr>
        <w:jc w:val="both"/>
        <w:rPr>
          <w:color w:val="000000" w:themeColor="text1"/>
        </w:rPr>
      </w:pPr>
      <w:r w:rsidRPr="0070404D">
        <w:rPr>
          <w:color w:val="000000" w:themeColor="text1"/>
        </w:rPr>
        <w:t xml:space="preserve">Ecosystem processes are typically driven by the joint activities of a wide array of different species. Even though a depleted species might be replaced by another that fulfils a similar role in the ecosystem, not all species or functional groups are equally replaceable </w:t>
      </w:r>
      <w:r w:rsidR="00EF6EFF">
        <w:rPr>
          <w:color w:val="000000" w:themeColor="text1"/>
        </w:rPr>
        <w:fldChar w:fldCharType="begin" w:fldLock="1"/>
      </w:r>
      <w:r w:rsidR="00B2630D">
        <w:rPr>
          <w:color w:val="000000" w:themeColor="text1"/>
        </w:rPr>
        <w:instrText>ADDIN CSL_CITATION {"citationItems":[{"id":"ITEM-1","itemData":{"author":[{"dropping-particle":"","family":"Naeem","given":"S","non-dropping-particle":"","parse-names":false,"suffix":""},{"dropping-particle":"","family":"Chapin III","given":"F S","non-dropping-particle":"","parse-names":false,"suffix":""},{"dropping-particle":"","family":"Costanza","given":"Robert","non-dropping-particle":"","parse-names":false,"suffix":""},{"dropping-particle":"","family":"Ehrlich","given":"Paul R.","non-dropping-particle":"","parse-names":false,"suffix":""},{"dropping-particle":"","family":"Golley","given":"Frank B.","non-dropping-particle":"","parse-names":false,"suffix":""},{"dropping-particle":"","family":"Hooper","given":"David U.","non-dropping-particle":"","parse-names":false,"suffix":""},{"dropping-particle":"","family":"Lawton","given":"J.H.","non-dropping-particle":"","parse-names":false,"suffix":""},{"dropping-particle":"V.","family":"O'Neill","given":"Robert","non-dropping-particle":"","parse-names":false,"suffix":""},{"dropping-particle":"","family":"Mooney","given":"Harold A.","non-dropping-particle":"","parse-names":false,"suffix":""},{"dropping-particle":"","family":"Sala","given":"Osvaldo E.","non-dropping-particle":"","parse-names":false,"suffix":""},{"dropping-particle":"","family":"Symstad","given":"Amy J.","non-dropping-particle":"","parse-names":false,"suffix":""},{"dropping-particle":"","family":"Tilman","given":"D","non-dropping-particle":"","parse-names":false,"suffix":""}],"container-title":"Issues in Ecology","id":"ITEM-1","issued":{"date-parts":[["1999"]]},"page":"1-13","title":"Biodiversity and ecosystem functioning: maintaining natural life support processes","type":"article-journal","volume":"4"},"uris":["http://www.mendeley.com/documents/?uuid=f01eb221-4583-402f-a3d7-b355e7a6e270"]},{"id":"ITEM-2","itemData":{"author":[{"dropping-particle":"","family":"Nasi","given":"R","non-dropping-particle":"","parse-names":false,"suffix":""},{"dropping-particle":"","family":"Christophersen","given":"T","non-dropping-particle":"","parse-names":false,"suffix":""},{"dropping-particle":"","family":"Belair","given":"C","non-dropping-particle":"","parse-names":false,"suffix":""}],"container-title":"ITTO Tropical Forest Update","id":"ITEM-2","issued":{"date-parts":[["2010"]]},"page":"19-21","title":"Ending empty forests: management and sustainable use of wildlife in tropical production forests","type":"article-journal","volume":"20"},"uris":["http://www.mendeley.com/documents/?uuid=9b0d6373-1d53-4bbd-a5c9-09ccaa552900"]}],"mendeley":{"formattedCitation":"(Naeem et al. 1999; Nasi et al. 2010)","plainTextFormattedCitation":"(Naeem et al. 1999; Nasi et al. 2010)","previouslyFormattedCitation":"(Naeem et al. 1999; Nasi et al. 2010)"},"properties":{"noteIndex":0},"schema":"https://github.com/citation-style-language/schema/raw/master/csl-citation.json"}</w:instrText>
      </w:r>
      <w:r w:rsidR="00EF6EFF">
        <w:rPr>
          <w:color w:val="000000" w:themeColor="text1"/>
        </w:rPr>
        <w:fldChar w:fldCharType="separate"/>
      </w:r>
      <w:r w:rsidR="00EF6EFF" w:rsidRPr="00EF6EFF">
        <w:rPr>
          <w:noProof/>
          <w:color w:val="000000" w:themeColor="text1"/>
        </w:rPr>
        <w:t>(Naeem et al. 1999; Nasi et al. 2010)</w:t>
      </w:r>
      <w:r w:rsidR="00EF6EFF">
        <w:rPr>
          <w:color w:val="000000" w:themeColor="text1"/>
        </w:rPr>
        <w:fldChar w:fldCharType="end"/>
      </w:r>
      <w:r w:rsidRPr="0070404D">
        <w:rPr>
          <w:color w:val="000000" w:themeColor="text1"/>
        </w:rPr>
        <w:t xml:space="preserve">. In targeting large-bodied mammals, hunting often disproportionately impacts ‘keystone species’ or ‘ecosystem engineers’; species that have a large influence on the environment in relation to their abundance </w:t>
      </w:r>
      <w:r w:rsidR="00EF6EFF">
        <w:rPr>
          <w:color w:val="000000" w:themeColor="text1"/>
        </w:rPr>
        <w:fldChar w:fldCharType="begin" w:fldLock="1"/>
      </w:r>
      <w:r w:rsidR="00EF6EFF">
        <w:rPr>
          <w:color w:val="000000" w:themeColor="text1"/>
        </w:rPr>
        <w:instrText>ADDIN CSL_CITATION {"citationItems":[{"id":"ITEM-1","itemData":{"author":[{"dropping-particle":"","family":"Mills","given":"L S","non-dropping-particle":"","parse-names":false,"suffix":""},{"dropping-particle":"","family":"Soulé","given":"M E","non-dropping-particle":"","parse-names":false,"suffix":""},{"dropping-particle":"","family":"Doak","given":"D F","non-dropping-particle":"","parse-names":false,"suffix":""}],"container-title":"BioScience","id":"ITEM-1","issue":"4","issued":{"date-parts":[["1993"]]},"page":"219-224","title":"The keystone-species concept in ecology and conservation","type":"article-journal","volume":"43"},"uris":["http://www.mendeley.com/documents/?uuid=65b48917-5999-4827-b16a-83a519dd3770"]},{"id":"ITEM-2","itemData":{"ISBN":"00030147","ISSN":"00189510","author":[{"dropping-particle":"","family":"Paine","given":"R T","non-dropping-particle":"","parse-names":false,"suffix":""}],"container-title":"The American Naturalist","id":"ITEM-2","issue":"910","issued":{"date-parts":[["1966"]]},"page":"65-75","title":"Food web complexity and species diversity","type":"article-journal","volume":"100"},"uris":["http://www.mendeley.com/documents/?uuid=3b1a1f98-62b6-4acb-977a-1da49e71ccea"]},{"id":"ITEM-3","itemData":{"author":[{"dropping-particle":"","family":"Paine","given":"Robert T","non-dropping-particle":"","parse-names":false,"suffix":""}],"container-title":"The American Naturalist","id":"ITEM-3","issue":"929","issued":{"date-parts":[["1969"]]},"page":"91-93","title":"A note on trophic complexity and community stability","type":"article-journal","volume":"103"},"uris":["http://www.mendeley.com/documents/?uuid=50622b18-a0ef-4932-828d-295174b54343"]}],"mendeley":{"formattedCitation":"(Paine 1966, 1969; Mills et al. 1993)","plainTextFormattedCitation":"(Paine 1966, 1969; Mills et al. 1993)","previouslyFormattedCitation":"(Paine 1966, 1969; Mills et al. 1993)"},"properties":{"noteIndex":0},"schema":"https://github.com/citation-style-language/schema/raw/master/csl-citation.json"}</w:instrText>
      </w:r>
      <w:r w:rsidR="00EF6EFF">
        <w:rPr>
          <w:color w:val="000000" w:themeColor="text1"/>
        </w:rPr>
        <w:fldChar w:fldCharType="separate"/>
      </w:r>
      <w:r w:rsidR="00EF6EFF" w:rsidRPr="00EF6EFF">
        <w:rPr>
          <w:noProof/>
          <w:color w:val="000000" w:themeColor="text1"/>
        </w:rPr>
        <w:t>(Paine 1966, 1969; Mills et al. 1993)</w:t>
      </w:r>
      <w:r w:rsidR="00EF6EFF">
        <w:rPr>
          <w:color w:val="000000" w:themeColor="text1"/>
        </w:rPr>
        <w:fldChar w:fldCharType="end"/>
      </w:r>
      <w:r w:rsidRPr="0070404D">
        <w:rPr>
          <w:color w:val="000000" w:themeColor="text1"/>
        </w:rPr>
        <w:t xml:space="preserve">. Such keystone species include apex predators and large herbivores and may include other specialists </w:t>
      </w:r>
      <w:r w:rsidR="00EF6EFF">
        <w:rPr>
          <w:color w:val="000000" w:themeColor="text1"/>
        </w:rPr>
        <w:fldChar w:fldCharType="begin" w:fldLock="1"/>
      </w:r>
      <w:r w:rsidR="00EF6EFF">
        <w:rPr>
          <w:color w:val="000000" w:themeColor="text1"/>
        </w:rPr>
        <w:instrText>ADDIN CSL_CITATION {"citationItems":[{"id":"ITEM-1","itemData":{"DOI":"10.1126/sciadv.1400103","ISBN":"DOI: 10.1126/sciadv.1400103","ISSN":"2375-2548","PMID":"26601172","abstract":"Large wild herbivores are crucial to ecosystems and human societies. We highlight the 74 largest terrestrial herbivore species on Earth (body mass ≥100 kg), the threats they face, their important and often overlooked ecosystem effects, and the conservation efforts needed to save them and their predators from extinction. Large herbivores are generally facing dramatic population declines and range contractions, such that ~60% are threatened with extinction. Nearly all threatened species are in developing countries, where major threats include hunting, land-use change, and resource depression by livestock. Loss of large herbivores can have cascading effects on other species including large carnivores, scavengers, mesoherbivores, small mammals, and ecological processes involving vegetation, hydrology, nutrient cycling, and fire regimes. The rate of large herbivore decline suggests that ever-larger swaths of the world will soon lack many of the vital ecological services these animals provide, resulting in enormous ecological and social costs.","author":[{"dropping-particle":"","family":"Ripple","given":"W. J.","non-dropping-particle":"","parse-names":false,"suffix":""},{"dropping-particle":"","family":"Newsome","given":"T. M.","non-dropping-particle":"","parse-names":false,"suffix":""},{"dropping-particle":"","family":"Wolf","given":"C.","non-dropping-particle":"","parse-names":false,"suffix":""},{"dropping-particle":"","family":"Dirzo","given":"R.","non-dropping-particle":"","parse-names":false,"suffix":""},{"dropping-particle":"","family":"Everatt","given":"K. T.","non-dropping-particle":"","parse-names":false,"suffix":""},{"dropping-particle":"","family":"Galetti","given":"M.","non-dropping-particle":"","parse-names":false,"suffix":""},{"dropping-particle":"","family":"Hayward","given":"M. W.","non-dropping-particle":"","parse-names":false,"suffix":""},{"dropping-particle":"","family":"Kerley","given":"G. I. H.","non-dropping-particle":"","parse-names":false,"suffix":""},{"dropping-particle":"","family":"Levi","given":"T.","non-dropping-particle":"","parse-names":false,"suffix":""},{"dropping-particle":"","family":"Lindsey","given":"P. A.","non-dropping-particle":"","parse-names":false,"suffix":""},{"dropping-particle":"","family":"Macdonald","given":"D. W.","non-dropping-particle":"","parse-names":false,"suffix":""},{"dropping-particle":"","family":"Malhi","given":"Y.","non-dropping-particle":"","parse-names":false,"suffix":""},{"dropping-particle":"","family":"Painter","given":"L. E.","non-dropping-particle":"","parse-names":false,"suffix":""},{"dropping-particle":"","family":"Sandom","given":"C. J.","non-dropping-particle":"","parse-names":false,"suffix":""},{"dropping-particle":"","family":"Terborgh","given":"J.","non-dropping-particle":"","parse-names":false,"suffix":""},{"dropping-particle":"","family":"Valkenburgh","given":"B.","non-dropping-particle":"Van","parse-names":false,"suffix":""}],"container-title":"Science Advances","id":"ITEM-1","issue":"4","issued":{"date-parts":[["2015"]]},"page":"e1400103","title":"Collapse of the world's largest herbivores","type":"article-journal","volume":"1"},"uris":["http://www.mendeley.com/documents/?uuid=b5af3a47-b57d-46c7-bfe2-5a8b36d1a625"]},{"id":"ITEM-2","itemData":{"DOI":"10.1126/science.1241484","ISBN":"1095-9203 (Electronic) 0036-8075 (Linking)","ISSN":"1095-9203","PMID":"24408439","abstract":"Large carnivores face serious threats and are experiencing massive declines in their populations and geographic ranges around the world. We highlight how these threats have affected the conservation status and ecological functioning of the 31 largest mammalian carnivores on Earth. Consistent with theory, empirical studies increasingly show that large carnivores have substantial effects on the structure and function of diverse ecosystems. Significant cascading trophic interactions, mediated by their prey or sympatric mesopredators, arise when some of these carnivores are extirpated from or repatriated to ecosystems. Unexpected effects of trophic cascades on various taxa and processes include changes to bird, mammal, invertebrate, and herpetofauna abundance or richness; subsidies to scavengers; altered disease dynamics; carbon sequestration; modified stream morphology; and crop damage. Promoting tolerance and coexistence with large carnivores is a crucial societal challenge that will ultimately determine the fate of Earth's largest carnivores and all that depends upon them, including humans.","author":[{"dropping-particle":"","family":"Ripple","given":"William J","non-dropping-particle":"","parse-names":false,"suffix":""},{"dropping-particle":"","family":"Estes","given":"James a","non-dropping-particle":"","parse-names":false,"suffix":""},{"dropping-particle":"","family":"Beschta","given":"Robert L","non-dropping-particle":"","parse-names":false,"suffix":""},{"dropping-particle":"","family":"Wilmers","given":"Christopher C","non-dropping-particle":"","parse-names":false,"suffix":""},{"dropping-particle":"","family":"Ritchie","given":"Euan G","non-dropping-particle":"","parse-names":false,"suffix":""},{"dropping-particle":"","family":"Hebblewhite","given":"Mark","non-dropping-particle":"","parse-names":false,"suffix":""},{"dropping-particle":"","family":"Berger","given":"Joel","non-dropping-particle":"","parse-names":false,"suffix":""},{"dropping-particle":"","family":"Elmhagen","given":"Bodil","non-dropping-particle":"","parse-names":false,"suffix":""},{"dropping-particle":"","family":"Letnic","given":"Mike","non-dropping-particle":"","parse-names":false,"suffix":""},{"dropping-particle":"","family":"Nelson","given":"Michael P","non-dropping-particle":"","parse-names":false,"suffix":""},{"dropping-particle":"","family":"Schmitz","given":"O.J.","non-dropping-particle":"","parse-names":false,"suffix":""},{"dropping-particle":"","family":"Smith","given":"Douglas W.","non-dropping-particle":"","parse-names":false,"suffix":""},{"dropping-particle":"","family":"Wallach","given":"A.D.","non-dropping-particle":"","parse-names":false,"suffix":""},{"dropping-particle":"","family":"Wirsing","given":"A.J.","non-dropping-particle":"","parse-names":false,"suffix":""}],"container-title":"Science","id":"ITEM-2","issue":"6167","issued":{"date-parts":[["2014"]]},"title":"Status and ecological effects of the world’s largest carnivores","type":"article-journal","volume":"343"},"uris":["http://www.mendeley.com/documents/?uuid=0dd067fd-5234-45c2-a940-88839dcdb30d"]}],"mendeley":{"formattedCitation":"(Ripple et al. 2014, 2015)","plainTextFormattedCitation":"(Ripple et al. 2014, 2015)","previouslyFormattedCitation":"(Ripple et al. 2014, 2015)"},"properties":{"noteIndex":0},"schema":"https://github.com/citation-style-language/schema/raw/master/csl-citation.json"}</w:instrText>
      </w:r>
      <w:r w:rsidR="00EF6EFF">
        <w:rPr>
          <w:color w:val="000000" w:themeColor="text1"/>
        </w:rPr>
        <w:fldChar w:fldCharType="separate"/>
      </w:r>
      <w:r w:rsidR="00EF6EFF" w:rsidRPr="00EF6EFF">
        <w:rPr>
          <w:noProof/>
          <w:color w:val="000000" w:themeColor="text1"/>
        </w:rPr>
        <w:t>(Ripple et al. 2014, 2015)</w:t>
      </w:r>
      <w:r w:rsidR="00EF6EFF">
        <w:rPr>
          <w:color w:val="000000" w:themeColor="text1"/>
        </w:rPr>
        <w:fldChar w:fldCharType="end"/>
      </w:r>
      <w:r w:rsidRPr="0070404D">
        <w:rPr>
          <w:color w:val="000000" w:themeColor="text1"/>
        </w:rPr>
        <w:t xml:space="preserve">. </w:t>
      </w:r>
      <w:r w:rsidR="003D318E" w:rsidRPr="004904D8">
        <w:t xml:space="preserve">These beneficial species need not be completely extirpated from a given ecosystem before functionality is lost. In ‘half-empty forests’, species may still exist in a community, but are sufficiently reduced to </w:t>
      </w:r>
      <w:r w:rsidR="003D318E" w:rsidRPr="001E3BCA">
        <w:rPr>
          <w:color w:val="000000" w:themeColor="text1"/>
        </w:rPr>
        <w:t xml:space="preserve">be deemed ‘ecologically extinct’ and thus no longer interact significantly with other species </w:t>
      </w:r>
      <w:r w:rsidR="00EF6EFF">
        <w:rPr>
          <w:color w:val="000000" w:themeColor="text1"/>
        </w:rPr>
        <w:fldChar w:fldCharType="begin" w:fldLock="1"/>
      </w:r>
      <w:r w:rsidR="00B2630D">
        <w:rPr>
          <w:color w:val="000000" w:themeColor="text1"/>
        </w:rPr>
        <w:instrText>ADDIN CSL_CITATION {"citationItems":[{"id":"ITEM-1","itemData":{"author":[{"dropping-particle":"","family":"McConkey","given":"K R","non-dropping-particle":"","parse-names":false,"suffix":""},{"dropping-particle":"","family":"Drake","given":"D R","non-dropping-particle":"","parse-names":false,"suffix":""}],"container-title":"Ecology","id":"ITEM-1","issue":"2","issued":{"date-parts":[["2006"]]},"page":"271-276","title":"Flying foxes cease to function as seed dispersers long before they become rare","type":"article-journal","volume":"87"},"uris":["http://www.mendeley.com/documents/?uuid=a1937413-5111-4599-9528-04d3c21ec647"]},{"id":"ITEM-2","itemData":{"author":[{"dropping-particle":"","family":"Redford","given":"K H","non-dropping-particle":"","parse-names":false,"suffix":""},{"dropping-particle":"","family":"Feinsinger","given":"P","non-dropping-particle":"","parse-names":false,"suffix":""}],"container-title":"Conservation of Exploited Species","editor":[{"dropping-particle":"","family":"Reynolds","given":"J. D.","non-dropping-particle":"","parse-names":false,"suffix":""},{"dropping-particle":"","family":"Mace","given":"G. M.","non-dropping-particle":"","parse-names":false,"suffix":""},{"dropping-particle":"","family":"Redford","given":"K. H.","non-dropping-particle":"","parse-names":false,"suffix":""},{"dropping-particle":"","family":"Robinson","given":"J. G.","non-dropping-particle":"","parse-names":false,"suffix":""}],"id":"ITEM-2","issued":{"date-parts":[["2001"]]},"page":"370-399","publisher":"Cambridge University Press, Cambridge, UK","title":"The half-empty forest: sustainable use and the ecology of interactions","type":"chapter"},"uris":["http://www.mendeley.com/documents/?uuid=e914f3dd-d1c5-4302-b167-7a0d769050b3"]}],"mendeley":{"formattedCitation":"(Redford &amp; Feinsinger 2001; McConkey &amp; Drake 2006)","plainTextFormattedCitation":"(Redford &amp; Feinsinger 2001; McConkey &amp; Drake 2006)","previouslyFormattedCitation":"(Redford &amp; Feinsinger 2001; McConkey &amp; Drake 2006)"},"properties":{"noteIndex":0},"schema":"https://github.com/citation-style-language/schema/raw/master/csl-citation.json"}</w:instrText>
      </w:r>
      <w:r w:rsidR="00EF6EFF">
        <w:rPr>
          <w:color w:val="000000" w:themeColor="text1"/>
        </w:rPr>
        <w:fldChar w:fldCharType="separate"/>
      </w:r>
      <w:r w:rsidR="00EF6EFF" w:rsidRPr="00EF6EFF">
        <w:rPr>
          <w:noProof/>
          <w:color w:val="000000" w:themeColor="text1"/>
        </w:rPr>
        <w:t>(Redford &amp; Feinsinger 2001; McConkey &amp; Drake 2006)</w:t>
      </w:r>
      <w:r w:rsidR="00EF6EFF">
        <w:rPr>
          <w:color w:val="000000" w:themeColor="text1"/>
        </w:rPr>
        <w:fldChar w:fldCharType="end"/>
      </w:r>
      <w:r w:rsidR="003D318E" w:rsidRPr="001E3BCA">
        <w:rPr>
          <w:color w:val="000000" w:themeColor="text1"/>
        </w:rPr>
        <w:t>.</w:t>
      </w:r>
    </w:p>
    <w:p w14:paraId="21F7F2AA" w14:textId="319E814B" w:rsidR="00A52CA3" w:rsidRPr="003D318E" w:rsidRDefault="00A52CA3" w:rsidP="00C258BC">
      <w:pPr>
        <w:jc w:val="both"/>
      </w:pPr>
      <w:r w:rsidRPr="0070404D">
        <w:t xml:space="preserve">Most </w:t>
      </w:r>
      <w:r w:rsidRPr="004904D8">
        <w:t xml:space="preserve">commonly hunted mammals in tropical forests are frugivores (including frugivore-granivores, frugivore-herbivores and frugivore-omnivores), </w:t>
      </w:r>
      <w:r w:rsidRPr="005512D2">
        <w:t xml:space="preserve">and reductions in or extinctions </w:t>
      </w:r>
      <w:r>
        <w:t xml:space="preserve">of </w:t>
      </w:r>
      <w:r w:rsidRPr="005512D2">
        <w:t xml:space="preserve">these species can have major consequences for seed </w:t>
      </w:r>
      <w:r>
        <w:t xml:space="preserve">dispersal and </w:t>
      </w:r>
      <w:r w:rsidRPr="005512D2">
        <w:t>survival,</w:t>
      </w:r>
      <w:r>
        <w:t xml:space="preserve"> </w:t>
      </w:r>
      <w:r w:rsidRPr="005512D2">
        <w:t xml:space="preserve">forest regeneration </w:t>
      </w:r>
      <w:r w:rsidR="00EF6EFF">
        <w:fldChar w:fldCharType="begin" w:fldLock="1"/>
      </w:r>
      <w:r w:rsidR="00B2630D">
        <w:instrText>ADDIN CSL_CITATION {"citationItems":[{"id":"ITEM-1","itemData":{"DOI":"10.1177/1461444812451566","author":[{"dropping-particle":"","family":"Wright","given":"S J","non-dropping-particle":"","parse-names":false,"suffix":""},{"dropping-particle":"","family":"Stoner","given":"K E","non-dropping-particle":"","parse-names":false,"suffix":""},{"dropping-particle":"","family":"Beckman","given":"N","non-dropping-particle":"","parse-names":false,"suffix":""},{"dropping-particle":"","family":"Corlett","given":"R T","non-dropping-particle":"","parse-names":false,"suffix":""},{"dropping-particle":"","family":"Dirzo","given":"R","non-dropping-particle":"","parse-names":false,"suffix":""},{"dropping-particle":"","family":"Muller-Landau","given":"H C","non-dropping-particle":"","parse-names":false,"suffix":""},{"dropping-particle":"","family":"Nunez-Iturri","given":"G","non-dropping-particle":"","parse-names":false,"suffix":""},{"dropping-particle":"","family":"Peres","given":"C A","non-dropping-particle":"","parse-names":false,"suffix":""},{"dropping-particle":"","family":"Wang","given":"B C","non-dropping-particle":"","parse-names":false,"suffix":""}],"container-title":"Biotropica","id":"ITEM-1","issue":"3","issued":{"date-parts":[["2007"]]},"page":"289-291","title":"The plight of large animals in tropical forests and the consequences for plant regeneration","type":"article-journal","volume":"39"},"uris":["http://www.mendeley.com/documents/?uuid=af598f63-9c39-4e5d-85f4-580b441a6238"]},{"id":"ITEM-2","itemData":{"author":[{"dropping-particle":"","family":"Beck","given":"H","non-dropping-particle":"","parse-names":false,"suffix":""}],"container-title":"Seed Fate: Predation, Dispersal, and Seedling Establishment","editor":[{"dropping-particle":"","family":"Forget","given":"P M","non-dropping-particle":"","parse-names":false,"suffix":""},{"dropping-particle":"","family":"Lambert","given":"J E","non-dropping-particle":"","parse-names":false,"suffix":""},{"dropping-particle":"","family":"Hulme","given":"P E","non-dropping-particle":"","parse-names":false,"suffix":""},{"dropping-particle":"","family":"Waal","given":"S B","non-dropping-particle":"Van der","parse-names":false,"suffix":""}],"id":"ITEM-2","issued":{"date-parts":[["2005"]]},"page":"77-115","publisher":"CABI Publishing, Wallingford, UK","publisher-place":"CABI Publishing, Wallingford, UK","title":"Seed predation and dispersal by peccaries throughout the Neotropics and its consequences: a review and synthesis","type":"chapter"},"uris":["http://www.mendeley.com/documents/?uuid=73744a24-4db2-404d-9012-a21353f3e342"]},{"id":"ITEM-3","itemData":{"author":[{"dropping-particle":"","family":"Bodmer","given":"R E","non-dropping-particle":"","parse-names":false,"suffix":""}],"container-title":"Biotropica","id":"ITEM-3","issued":{"date-parts":[["1991"]]},"page":"255-261","title":"Strategies of seed dispersal and seed predation in Amazonian ungulates","type":"article-journal","volume":"23"},"uris":["http://www.mendeley.com/documents/?uuid=04178b8d-3490-4cf9-86d1-a950d47db9ba"]},{"id":"ITEM-4","itemData":{"author":[{"dropping-particle":"","family":"Nuñez-Iturri","given":"G","non-dropping-particle":"","parse-names":false,"suffix":""},{"dropping-particle":"","family":"Howe","given":"Henry F","non-dropping-particle":"","parse-names":false,"suffix":""}],"container-title":"Biotropica","id":"ITEM-4","issue":"3","issued":{"date-parts":[["2007"]]},"page":"348-354","title":"Bushmeat and the fate of trees with seeds dispersed by large primates in a lowland rain forest in western Amazonia","type":"article-journal","volume":"39"},"uris":["http://www.mendeley.com/documents/?uuid=9c15062d-7130-4246-a4e4-c152b2bf2b4f"]},{"id":"ITEM-5","itemData":{"DOI":"10.1098/rstb.2012.0303","ISBN":"1471-2970 (Electronic)\\n0962-8436 (Linking)","ISSN":"1471-2970","PMID":"23878333","abstract":"Humans have hunted wildlife in Central Africa for millennia. Today, however, many species are being rapidly extirpated and sanctuaries for wildlife are dwindling. Almost all Central Africa's forests are now accessible to hunters. Drastic declines of large mammals have been caused in the past 20 years by the commercial trade for meat or ivory. We review a growing body of empirical data which shows that trophic webs are significantly disrupted in the region, with knock-on effects for other ecological functions, including seed dispersal and forest regeneration. Plausible scenarios for land-use change indicate that increasing extraction pressure on Central African forests is likely to usher in new worker populations and to intensify the hunting impacts and trophic cascade disruption already in progress, unless serious efforts are made for hunting regulation. The profound ecological changes initiated by hunting will not mitigate and may even exacerbate the predicted effects of climate change for the region. We hypothesize that, in the near future, the trophic changes brought about by hunting will have a larger and more rapid impact on Central African rainforest structure and function than the direct impacts of climate change on the vegetation. Immediate hunting regulation is vital for the survival of the Central African rainforest ecosystem.","author":[{"dropping-particle":"","family":"Abernethy","given":"K.A.","non-dropping-particle":"","parse-names":false,"suffix":""},{"dropping-particle":"","family":"Coad","given":"L.","non-dropping-particle":"","parse-names":false,"suffix":""},{"dropping-particle":"","family":"Taylor","given":"G.","non-dropping-particle":"","parse-names":false,"suffix":""},{"dropping-particle":"","family":"Lee","given":"M E","non-dropping-particle":"","parse-names":false,"suffix":""},{"dropping-particle":"","family":"Maisels","given":"F.","non-dropping-particle":"","parse-names":false,"suffix":""}],"container-title":"Philosophical transactions of the Royal Society of London. Series B, Biological sciences","id":"ITEM-5","issued":{"date-parts":[["2013"]]},"page":"20120303","title":"Extent and ecological consequences of hunting in Central African rainforests in the twenty-first century.","type":"article-journal","volume":"368"},"uris":["http://www.mendeley.com/documents/?uuid=18796464-9ea5-47fb-afcb-938cbd1dcd95"]},{"id":"ITEM-6","itemData":{"DOI":"10.1038/s41559-017-0334-0","ISBN":"2397-334X (Electronic) 2397-334X (Linking)","ISSN":"2397334X","PMID":"28993614","abstract":"Biodiversity affects many ecosystem functions and services, including carbon cycling and retention. While it is known that the efficiency of carbon capture and biomass production by ecological communities increases with species diversity, the role of vertebrate animals in the carbon cycle remains undocumented. Here, we use an extensive dataset collected in a high-diversity Amazonian system to parse out the relationship between animal and plant species richness, feeding interactions, tree biomass and carbon concentrations in soil. Mammal and tree species richness is positively related to tree biomass and carbon concentration in soil-and the relationship is mediated by organic remains produced by vertebrate feeding events. Our research advances knowledge of the links between biodiversity and carbon cycling and storage, supporting the view that whole community complexity-including vertebrate richness and trophic interactions-drives ecosystem function in tropical systems. Securing animal and plant diversity while protecting landscape integrity will contribute to soil nutrient content and carbon retention in the biosphere.A high-diversity Amazonian system reveals the influence of mammalian diversity on the carbon cycle, mediated through vertebrate feeding events.","author":[{"dropping-particle":"","family":"Sobral","given":"Mar","non-dropping-particle":"","parse-names":false,"suffix":""},{"dropping-particle":"","family":"Silvius","given":"Kirsten M.","non-dropping-particle":"","parse-names":false,"suffix":""},{"dropping-particle":"","family":"Overman","given":"Han","non-dropping-particle":"","parse-names":false,"suffix":""},{"dropping-particle":"","family":"Oliveira","given":"Luiz F.B.","non-dropping-particle":"","parse-names":false,"suffix":""},{"dropping-particle":"","family":"Raab","given":"Ted K.","non-dropping-particle":"","parse-names":false,"suffix":""},{"dropping-particle":"","family":"Fragoso","given":"José M.V.","non-dropping-particle":"","parse-names":false,"suffix":""}],"container-title":"Nature Ecology and Evolution","id":"ITEM-6","issue":"11","issued":{"date-parts":[["2017"]]},"page":"1670-1676","publisher":"Springer US","title":"Mammal diversity influences the carbon cycle through trophic interactions in the Amazon","type":"article-journal","volume":"1"},"uris":["http://www.mendeley.com/documents/?uuid=587b67bb-1a46-46e7-8752-9a5f9512c3e6"]}],"mendeley":{"formattedCitation":"(Bodmer 1991; Beck 2005; Nuñez-Iturri &amp; Howe 2007; Wright et al. 2007; Abernethy et al. 2013b; Sobral et al. 2017)","plainTextFormattedCitation":"(Bodmer 1991; Beck 2005; Nuñez-Iturri &amp; Howe 2007; Wright et al. 2007; Abernethy et al. 2013b; Sobral et al. 2017)","previouslyFormattedCitation":"(Bodmer 1991; Beck 2005; Nuñez-Iturri &amp; Howe 2007; Wright et al. 2007; Abernethy et al. 2013b; Sobral et al. 2017)"},"properties":{"noteIndex":0},"schema":"https://github.com/citation-style-language/schema/raw/master/csl-citation.json"}</w:instrText>
      </w:r>
      <w:r w:rsidR="00EF6EFF">
        <w:fldChar w:fldCharType="separate"/>
      </w:r>
      <w:r w:rsidR="00EF6EFF" w:rsidRPr="00EF6EFF">
        <w:rPr>
          <w:noProof/>
        </w:rPr>
        <w:t xml:space="preserve">(Bodmer 1991; Beck 2005; Nuñez-Iturri &amp; Howe 2007; Wright et </w:t>
      </w:r>
      <w:r w:rsidR="008E47ED">
        <w:rPr>
          <w:noProof/>
        </w:rPr>
        <w:t>al. 2007; Abernethy et al. 2013</w:t>
      </w:r>
      <w:r w:rsidR="00EF6EFF" w:rsidRPr="00EF6EFF">
        <w:rPr>
          <w:noProof/>
        </w:rPr>
        <w:t>; Sobral et al. 2017)</w:t>
      </w:r>
      <w:r w:rsidR="00EF6EFF">
        <w:fldChar w:fldCharType="end"/>
      </w:r>
      <w:r w:rsidRPr="0070404D">
        <w:t xml:space="preserve">. </w:t>
      </w:r>
      <w:r>
        <w:t xml:space="preserve">Reductions in seedling recruitment in overhunted forests are higher for heavy-wooded tree species, due to the decline in large-bodied frugivores </w:t>
      </w:r>
      <w:r>
        <w:fldChar w:fldCharType="begin" w:fldLock="1"/>
      </w:r>
      <w:r w:rsidR="00763BF5">
        <w:instrText xml:space="preserve">ADDIN CSL_CITATION {"citationItems":[{"id":"ITEM-1","itemData":{"author":[{"dropping-particle":"","family":"Brodie","given":"Jedediah F","non-dropping-particle":"","parse-names":false,"suffix":""},{"dropping-particle":"","family":"Helmy","given":"Olga E","non-dropping-particle":"","parse-names":false,"suffix":""},{"dropping-particle":"","family":"Brockelman","given":"Warren Y","non-dropping-particle":"","parse-names":false,"suffix":""},{"dropping-particle":"","family":"Maron","given":"John L","non-dropping-particle":"","parse-names":false,"suffix":""}],"container-title":"Ecological Applications","id":"ITEM-1","issued":{"date-parts":[["2009"]]},"page":"854-863","title":"Bushmeat poaching reduces the seed dispersal and population growth rate of a mammal-dispersed tree","type":"article-journal","volume":"19"},"uris":["http://www.mendeley.com/documents/?uuid=e1fd5c17-fcc1-4690-aa1d-e76300851f10"]},{"id":"ITEM-2","itemData":{"DOI":"10.1016/j.biocon.2013.03.021","ISSN":"0006-3207","author":[{"dropping-particle":"","family":"Poulsen","given":"John R","non-dropping-particle":"","parse-names":false,"suffix":""},{"dropping-particle":"","family":"Clark","given":"Connie J","non-dropping-particle":"","parse-names":false,"suffix":""},{"dropping-particle":"","family":"Palmer","given":"Todd M","non-dropping-particle":"","parse-names":false,"suffix":""}],"container-title":"Biological Conservation","id":"ITEM-2","issued":{"date-parts":[["2013"]]},"page":"122-130","publisher":"Elsevier Ltd","title":"Ecological erosion of an Afrotropical forest and potential consequences for tree recruitment and forest biomass","type":"article-journal","volume":"163"},"uris":["http://www.mendeley.com/documents/?uuid=932fc313-b7b0-4281-a7cf-06f833b6a6d6"]},{"id":"ITEM-3","itemData":{"DOI":"10.1890/14-1735.1","ISSN":"00129658","abstract":"Defaunation alters trophic interactions between plants and vertebrates, which may disrupt trophic cascades, thereby favoring a subset of plant species and reducing diversity. If particular functional traits characterize the favored plant species, then defaunation may alter community-wide patterns of functional trait composition. Changes in plant functional traits occurring with defaunation may help identify the species interactions affected by defaunation and the potential for other cascading effects of defaunation. We tested the hypotheses that defaunation would (1) disrupt seed dispersal, thereby favoring species whose dispersal agents are not affected (e.g., small birds, bats, and abiotic agents), (2) reduce seed predation, thereby favoring larger-seeded species, and (3) reduce herbivory, thereby favoring species with lower leaf mass per area (LMA), leaf toughness, and wood density. We examined how these six traits responded to vertebrate defaunation caused by hunters or by experimental exclosures amon...","author":[{"dropping-particle":"","family":"Kurten","given":"Erin L.","non-dropping-particle":"","parse-names":false,"suffix":""},{"dropping-particle":"","family":"Wright","given":"S. Joseph","non-dropping-particle":"","parse-names":false,"suffix":""},{"dropping-particle":"","family":"Carson","given":"Walter P.","non-dropping-particle":"","parse-names":false,"suffix":""},{"dropping-particle":"","family":"Palmer","given":"T. M.","non-dropping-particle":"","parse-names":false,"suffix":""}],"container-title":"Ecology","id":"ITEM-3","issue":"7","issued":{"date-parts":[["2015"]]},"page":"1923-1932","title":"Hunting alters seedling functional trait composition in a Neotropical forest","type":"article-journal","volume":"96"},"uris":["http://www.mendeley.com/documents/?uuid=3d9c98ff-f117-4498-94a3-e13c3330f110"]},{"id":"ITEM-4","itemData":{"DOI":"10.1073/pnas.1516525113","ISBN":"1215421109","ISSN":"0027-8424","PMID":"22393313","abstract":"Tropical forests are the global cornerstone of biological diversity, and store 55% of the forest carbon stock globally, yet sustained provisioning of these forest ecosystem services may be threatened by hunting-induced extinctions of plant–animal mutualisms that maintain long-term forest dynamics. Large-bodied Atelinae primates and tapirs in particular offer nonredundant seed-dispersal services for many large-seeded Neotropical tree species, which on average have higher wood density than smaller-seeded and wind-dispersed trees. We used field data and models to project the spatial impact of hunting on large primates by </w:instrText>
      </w:r>
      <w:r w:rsidR="00763BF5">
        <w:rPr>
          <w:rFonts w:ascii="Cambria Math" w:hAnsi="Cambria Math" w:cs="Cambria Math"/>
        </w:rPr>
        <w:instrText>∼</w:instrText>
      </w:r>
      <w:r w:rsidR="00763BF5">
        <w:instrText>1 million rural households throughout the Brazilian Amazon. We then used a unique baseline dataset on 2,345 1-ha tree plots arrayed across the Brazilian Amazon to model changes in aboveground forest biomass under different scenarios of hunting-induced large-bodied frugivore extirpation. We project that defaunation of the most harvest-sensitive species will lead to losses in aboveground biomass of between 2.5–5.8% on average, with some losses as high as 26.5–37.8%. These findings highlight an urgent need to manage the sustainability of game hunting in both protected and unprotected tropical forests, and place full biodiversity integrity, including populations of large frugivorous vertebrates, firmly in the agenda of reducing emissions from deforestation and forest degradation (REDD+) programs.","author":[{"dropping-particle":"","family":"Peres","given":"Carlos A","non-dropping-part</w:instrText>
      </w:r>
      <w:r w:rsidR="00763BF5" w:rsidRPr="00DF57F3">
        <w:rPr>
          <w:lang w:val="fr-FR"/>
        </w:rPr>
        <w:instrText>icle":"","parse-names":false,"suffix":""},{"dropping-particle":"","family":"Thaise","given":"Emilio","non-dropping-particle":"","parse-names":false,"suffix":""},{"dropping-particle":"","family":"Schietti","given":"Juliana","non-dropping-particle":"","parse-names":false,"suffix":""},{"dropping-particle":"","family":"Desmoulieres","given":"S. J. M.","non-dropping-particle":"","parse-names":false,"suffix":""},{"dropping-particle":"","family":"Levi","given":"Taal","non-dropping-particle":"","parse-names":false,"suffix":""}],"container-title":"Proceedings of the National Academy of Sciences of the United States of America","id":"ITEM-4","issue":"4","issued":{"date-parts":[["2016"]]},"page":"892–897","title":"Dispersal limitation induces long-term biomass collapse in overhunted Amazonian forests","type":"article-journal","volume":"113"},"uris":["http://www.mendeley.com/documents/?uuid=dee9ce3b-561b-4b66-bea3-d8180c51a918"]}],"mendeley":{"formattedCitation":"(Brodie et al. 2009; Poulsen et al. 2013; Kurten et al. 2015; Peres et al. 2016)","manualFormatting":"(Brodie et al., 2009; Poulsen et al., 2013; Kurten et al., 2015; Peres et al., 2016)","plainTextFormattedCitation":"(Brodie et al. 2009; Poulsen et al. 2013; Kurten et al. 2015; Peres et al. 2016)","previouslyFormattedCitation":"(Brodie et al. 2009; Poulsen et al. 2013; Kurten et al. 2015; Peres et al. 2016)"},"properties":{"noteIndex":0},"schema":"https://github.com/citation-style-language/schema/raw/master/csl-citation.json"}</w:instrText>
      </w:r>
      <w:r>
        <w:fldChar w:fldCharType="separate"/>
      </w:r>
      <w:r w:rsidRPr="00DF57F3">
        <w:rPr>
          <w:noProof/>
          <w:lang w:val="fr-FR"/>
        </w:rPr>
        <w:t>(Brodie et al., 2009; Poulsen et al., 2013; Kurten et al., 2015; Peres et al., 2016)</w:t>
      </w:r>
      <w:r>
        <w:fldChar w:fldCharType="end"/>
      </w:r>
      <w:r w:rsidRPr="00DF57F3">
        <w:rPr>
          <w:lang w:val="fr-FR"/>
        </w:rPr>
        <w:t xml:space="preserve">. </w:t>
      </w:r>
      <w:r>
        <w:t xml:space="preserve">This is predicted to lead to tree replacement dominated by </w:t>
      </w:r>
      <w:r w:rsidRPr="00863521">
        <w:t>small-seeded, light-wooded, fast-growing, short-lived trees, which will in turn reduce the carbon storage of tropical forests within just a few tree generations</w:t>
      </w:r>
      <w:r>
        <w:t xml:space="preserve"> </w:t>
      </w:r>
      <w:r w:rsidR="00EF6EFF">
        <w:fldChar w:fldCharType="begin" w:fldLock="1"/>
      </w:r>
      <w:r w:rsidR="00763BF5">
        <w:instrText xml:space="preserve">ADDIN CSL_CITATION {"citationItems":[{"id":"ITEM-1","itemData":{"DOI":"10.1073/pnas.1516525113","ISBN":"1215421109","ISSN":"0027-8424","PMID":"22393313","abstract":"Tropical forests are the global cornerstone of biological diversity, and store 55% of the forest carbon stock globally, yet sustained provisioning of these forest ecosystem services may be threatened by hunting-induced extinctions of plant–animal mutualisms that maintain long-term forest dynamics. Large-bodied Atelinae primates and tapirs in particular offer nonredundant seed-dispersal services for many large-seeded Neotropical tree species, which on average have higher wood density than smaller-seeded and wind-dispersed trees. We used field data and models to project the spatial impact of hunting on large primates by </w:instrText>
      </w:r>
      <w:r w:rsidR="00763BF5">
        <w:rPr>
          <w:rFonts w:ascii="Cambria Math" w:hAnsi="Cambria Math" w:cs="Cambria Math"/>
        </w:rPr>
        <w:instrText>∼</w:instrText>
      </w:r>
      <w:r w:rsidR="00763BF5">
        <w:instrText>1 million rural households throughout the Brazilian Amazon. We then used a unique baseline dataset on 2,345 1-ha tree plots arrayed across the Brazilian Amazon to model changes in aboveground forest biomass under different scenarios of hunting-induced large-bodied frugivore extirpation. We project that defaunation of the most harvest-sensitive species will lead to losses in aboveground biomass of between 2.5–5.8% on average, with some losses as high as 26.5–37.8%. These findings highlight an urgent need to manage the sustainability of game hunting in both protected and unprotected tropical forests, and place full biodiversity integrity, including populations of large frugivorous vertebrates, firmly in the agenda of reducing emissions from deforestation and forest degradation (REDD+) programs.","author":[{"dropping-particle":"","family":"Peres","given":"Carlos A","non-dropping-particle":"","parse-names":false,"suffix":""},{"dropping-particle":"","family":"Thaise","given":"Emilio","non-dropping-particle":"","parse-names":false,"suffix":""},{"dropping-particle":"","family":"Schietti","given":"Juliana","non-dropping-particle":"","parse-names":false,"suffix":""},{"dropping-particle":"","family":"Desmoulieres","given":"S. J. M.","non-dropping-particle":"","parse-names":false,"suffix":""},{"dropping-particle":"","family":"Levi","given":"Taal","non-dropping-particle":"","parse-names":false,"suffix":""}],"container-title":"Proceedings of the National Academy of Sciences of the United States of America","id":"ITEM-1","issue":"4","issued":{"date-parts":[["2016"]]},"page":"892–897","title":"Dispersal limitation induces long-term biomass collapse in overhunted Amazonian forests","type":"article-journal","volume":"113"},"uris":["http://www.mendeley.com/documents/?uuid=dee9ce3b-561b-4b66-bea3-d8180c51a918"]}],"mendeley":{"formattedCitation":"(Peres et al. 2016)","plainTextFormattedCitation":"(Peres et al. 2016)","previouslyFormattedCitation":"(Peres et al. 2016)"},"properties":{"noteIndex":0},"schema":"https://github.com/citation-style-language/schema/raw/master/csl-citation.json"}</w:instrText>
      </w:r>
      <w:r w:rsidR="00EF6EFF">
        <w:fldChar w:fldCharType="separate"/>
      </w:r>
      <w:r w:rsidR="00763BF5" w:rsidRPr="00763BF5">
        <w:rPr>
          <w:noProof/>
        </w:rPr>
        <w:t>(Peres et al. 2016)</w:t>
      </w:r>
      <w:r w:rsidR="00EF6EFF">
        <w:fldChar w:fldCharType="end"/>
      </w:r>
      <w:r w:rsidRPr="00863521">
        <w:t>.</w:t>
      </w:r>
      <w:r>
        <w:t xml:space="preserve"> </w:t>
      </w:r>
      <w:r w:rsidRPr="005512D2">
        <w:t xml:space="preserve">Primates are </w:t>
      </w:r>
      <w:r w:rsidR="00A479D2" w:rsidRPr="005512D2">
        <w:t>particularly</w:t>
      </w:r>
      <w:r w:rsidRPr="005512D2">
        <w:t xml:space="preserve"> important seed disp</w:t>
      </w:r>
      <w:r>
        <w:t xml:space="preserve">ersers, and nutrient recyclers </w:t>
      </w:r>
      <w:r w:rsidR="00EF6EFF">
        <w:fldChar w:fldCharType="begin" w:fldLock="1"/>
      </w:r>
      <w:r w:rsidR="00A27797">
        <w:instrText>ADDIN CSL_CITATION {"citationItems":[{"id":"ITEM-1","itemData":{"author":[{"dropping-particle":"","family":"Swamy","given":"V","non-dropping-particle":"","parse-names":false,"suffix":""},{"dropping-particle":"","family":"Pinedo-Vasquez","given":"M","non-dropping-particle":"","parse-names":false,"suffix":""}],"id":"ITEM-1","issued":{"date-parts":[["2014"]]},"publisher-place":"CIFOR, Bogor, Indonesia","title":"Bushmeat harvest in tropical forests: knowledge base, gaps and research priorities. Occassional paper 114","type":"report"},"uris":["http://www.mendeley.com/documents/?uuid=f97c7aa5-6e68-4197-a795-12fa1ac2923a"]}],"mendeley":{"formattedCitation":"(Swamy &amp; Pinedo-Vasquez 2014)","plainTextFormattedCitation":"(Swamy &amp; Pinedo-Vasquez 2014)","previouslyFormattedCitation":"(Swamy &amp; Pinedo-Vasquez 2014)"},"properties":{"noteIndex":0},"schema":"https://github.com/citation-style-language/schema/raw/master/csl-citation.json"}</w:instrText>
      </w:r>
      <w:r w:rsidR="00EF6EFF">
        <w:fldChar w:fldCharType="separate"/>
      </w:r>
      <w:r w:rsidR="00EF6EFF" w:rsidRPr="00EF6EFF">
        <w:rPr>
          <w:noProof/>
        </w:rPr>
        <w:t>(Swamy &amp; Pinedo-Vasquez 2014)</w:t>
      </w:r>
      <w:r w:rsidR="00EF6EFF">
        <w:fldChar w:fldCharType="end"/>
      </w:r>
      <w:r>
        <w:t>, and</w:t>
      </w:r>
      <w:r w:rsidRPr="005512D2">
        <w:t xml:space="preserve"> are also particular</w:t>
      </w:r>
      <w:r>
        <w:t xml:space="preserve">ly susceptible to over-hunting </w:t>
      </w:r>
      <w:r w:rsidR="00A27797">
        <w:fldChar w:fldCharType="begin" w:fldLock="1"/>
      </w:r>
      <w:r w:rsidR="00B2630D">
        <w:instrText>ADDIN CSL_CITATION {"citationItems":[{"id":"ITEM-1","itemData":{"author":[{"dropping-particle":"","family":"Nadakavukaren","given":"Anne","non-dropping-particle":"","parse-names":false,"suffix":""}],"id":"ITEM-1","issued":{"date-parts":[["2011"]]},"publisher":"Waveland Press","publisher-place":"Long Grove, Illinois, USA","title":"Our global environment","type":"book"},"uris":["http://www.mendeley.com/documents/?uuid=2594dfbc-01fb-47c4-a392-304e07cdacc3"]}],"mendeley":{"formattedCitation":"(Nadakavukaren 2011)","plainTextFormattedCitation":"(Nadakavukaren 2011)","previouslyFormattedCitation":"(Nadakavukaren 2011)"},"properties":{"noteIndex":0},"schema":"https://github.com/citation-style-language/schema/raw/master/csl-citation.json"}</w:instrText>
      </w:r>
      <w:r w:rsidR="00A27797">
        <w:fldChar w:fldCharType="separate"/>
      </w:r>
      <w:r w:rsidR="00A27797" w:rsidRPr="00A27797">
        <w:rPr>
          <w:noProof/>
        </w:rPr>
        <w:t>(Nadakavukaren 2011)</w:t>
      </w:r>
      <w:r w:rsidR="00A27797">
        <w:fldChar w:fldCharType="end"/>
      </w:r>
      <w:r>
        <w:t xml:space="preserve">. </w:t>
      </w:r>
      <w:r w:rsidR="002656D6" w:rsidRPr="001E3BCA">
        <w:rPr>
          <w:color w:val="000000" w:themeColor="text1"/>
        </w:rPr>
        <w:t>The African forest elephant</w:t>
      </w:r>
      <w:r w:rsidR="009B72BE" w:rsidRPr="001E3BCA">
        <w:rPr>
          <w:color w:val="000000" w:themeColor="text1"/>
        </w:rPr>
        <w:t xml:space="preserve"> (</w:t>
      </w:r>
      <w:r w:rsidR="009B72BE" w:rsidRPr="001E3BCA">
        <w:rPr>
          <w:i/>
          <w:color w:val="000000" w:themeColor="text1"/>
        </w:rPr>
        <w:t>Loxodonta cyclotis</w:t>
      </w:r>
      <w:r w:rsidR="009B72BE" w:rsidRPr="001E3BCA">
        <w:rPr>
          <w:color w:val="000000" w:themeColor="text1"/>
        </w:rPr>
        <w:t>)</w:t>
      </w:r>
      <w:r w:rsidR="002656D6" w:rsidRPr="001E3BCA">
        <w:rPr>
          <w:color w:val="000000" w:themeColor="text1"/>
        </w:rPr>
        <w:t xml:space="preserve">, whose numbers </w:t>
      </w:r>
      <w:r w:rsidR="002656D6" w:rsidRPr="0070404D">
        <w:rPr>
          <w:color w:val="000000" w:themeColor="text1"/>
        </w:rPr>
        <w:t xml:space="preserve">have declined by 62% from 2002 to 2011, largely due to ivory hunting </w:t>
      </w:r>
      <w:r w:rsidR="00A27797">
        <w:rPr>
          <w:color w:val="000000" w:themeColor="text1"/>
        </w:rPr>
        <w:fldChar w:fldCharType="begin" w:fldLock="1"/>
      </w:r>
      <w:r w:rsidR="00566AAF">
        <w:rPr>
          <w:color w:val="000000" w:themeColor="text1"/>
        </w:rPr>
        <w:instrText>ADDIN CSL_CITATION {"citationItems":[{"id":"ITEM-1","itemData":{"DOI":"10.1371/journal.pone.0059469","ISSN":"1932-6203","PMID":"23469289","abstract":"African forest elephants- taxonomically and functionally unique-are being poached at accelerating rates, but we lack range-wide information on the repercussions. Analysis of the largest survey dataset ever assembled for forest elephants (80 foot-surveys; covering 13,000 km; 91,600 person-days of fieldwork) revealed that population size declined by ca. 62% between 2002-2011, and the taxon lost 30% of its geographical range. The population is now less than 10% of its potential size, occupying less than 25% of its potential range. High human population density, hunting intensity, absence of law enforcement, poor governance, and proximity to expanding infrastructure are the strongest predictors of decline. To save the remaining African forest elephants, illegal poaching for ivory and encroachment into core elephant habitat must be stopped. In addition, the international demand for ivory, which fuels illegal trade, must be dramatically reduced.","author":[{"dropping-particle":"","family":"Maisels","given":"Fiona","non-dropping-particle":"","parse-names":false,"suffix":""},{"dropping-particle":"","family":"Strindberg","given":"Samantha","non-dropping-particle":"","parse-names":false,"suffix":""},{"dropping-particle":"","family":"Blake","given":"Stephen","non-dropping-particle":"","parse-names":false,"suffix":""},{"dropping-particle":"","family":"Wittemyer","given":"George","non-dropping-particle":"","parse-names":false,"suffix":""},{"dropping-particle":"","family":"Hart","given":"John","non-dropping-particle":"","parse-names":false,"suffix":""},{"dropping-particle":"","family":"Williamson","given":"Elizabeth a","non-dropping-particle":"","parse-names":false,"suffix":""},{"dropping-particle":"","family":"Aba'a","given":"Rostand","non-dropping-particle":"","parse-names":false,"suffix":""},{"dropping-particle":"","family":"Abitsi","given":"Gaspard","non-dropping-particle":"","parse-names":false,"suffix":""},{"dropping-particle":"","family":"Ambahe","given":"Ruffin D","non-dropping-particle":"","parse-names":false,"suffix":""},{"dropping-particle":"","family":"Amsini","given":"Fidèl","non-dropping-particle":"","parse-names":false,"suffix":""},{"dropping-particle":"","family":"Bakabana","given":"Parfait C","non-dropping-particle":"","parse-names":false,"suffix":""},{"dropping-particle":"","family":"Hicks","given":"Thurston Cleveland","non-dropping-particle":"","parse-names":false,"suffix":""},{"dropping-particle":"","family":"Bayogo","given":"Rosine E","non-dropping-particle":"","parse-names":false,"suffix":""},{"dropping-particle":"","family":"Bechem","given":"Martha","non-dropping-particle":"","parse-names":false,"suffix":""},{"dropping-particle":"","family":"Beyers","given":"Rene L","non-dropping-particle":"","parse-names":false,"suffix":""},{"dropping-particle":"","family":"Bezangoye","given":"Anicet N","non-dropping-particle":"","parse-names":false,"suffix":""},{"dropping-particle":"","family":"Boundja","given":"Patrick","non-dropping-particle":"","parse-names":false,"suffix":""},{"dropping-particle":"","family":"Bout","given":"Nicolas","non-dropping-particle":"","parse-names":false,"suffix":""},{"dropping-particle":"","family":"Akou","given":"Marc Ella","non-dropping-particle":"","parse-names":false,"suffix":""},{"dropping-particle":"","family":"Bene","given":"Lambert Bene","non-dropping-particle":"","parse-names":false,"suffix":""},{"dropping-particle":"","family":"Fosso","given":"Bernard","non-dropping-particle":"","parse-names":false,"suffix":""},{"dropping-particle":"","family":"Greengrass","given":"Elizabeth","non-dropping-particle":"","parse-names":false,"suffix":""},{"dropping-particle":"","family":"Grossmann","given":"Falk","non-dropping-particle":"","parse-names":false,"suffix":""},{"dropping-particle":"","family":"Ikamba-Nkulu","given":"Clement","non-dropping-particle":"","parse-names":false,"suffix":""},{"dropping-particle":"","family":"Ilambu","given":"Omari","non-dropping-particle":"","parse-names":false,"suffix":""},{"dropping-particle":"","family":"Inogwabini","given":"Bila-Isia","non-dropping-particle":"","parse-names":false,"suffix":""},{"dropping-particle":"","family":"Iyenguet","given":"Fortune","non-dropping-particle":"","parse-names":false,"suffix":""},{"dropping-particle":"","family":"Kiminou","given":"Franck","non-dropping-particle":"","parse-names":false,"suffix":""},{"dropping-particle":"","family":"Kokangoye","given":"Max","non-dropping-particle":"","parse-names":false,"suffix":""},{"dropping-particle":"","family":"Kujirakwinja","given":"Deo","non-dropping-particle":"","parse-names":false,"suffix":""},{"dropping-particle":"","family":"Latour","given":"Stephanie","non-dropping-particle":"","parse-names":false,"suffix":""},{"dropping-particle":"","family":"Liengola","given":"Innocent","non-dropping-particle":"","parse-names":false,"suffix":""},{"dropping-particle":"","family":"Mackaya","given":"Quevain","non-dropping-particle":"","parse-names":false,"suffix":""},{"dropping-particle":"","family":"Madidi","given":"Jacob","non-dropping-particle":"","parse-names":false,"suffix":""},{"dropping-particle":"","family":"Madzoke","given":"Bola","non-dropping-particle":"","parse-names":false,"suffix":""},{"dropping-particle":"","family":"Makoumbou","given":"Calixte","non-dropping-particle":"","parse-names":false,"suffix":""},{"dropping-particle":"","family":"Malanda","given":"Guy-Aimé","non-dropping-particle":"","parse-names":false,"suffix":""},{"dropping-particle":"","family":"Malonga","given":"Richard","non-dropping-particle":"","parse-names":false,"suffix":""},{"dropping-particle":"","family":"Mbani","given":"Olivier","non-dropping-particle":"","parse-names":false,"suffix":""},{"dropping-particle":"","family":"Mbendzo","given":"Valentin a","non-dropping-particle":"","parse-names":false,"suffix":""},{"dropping-particle":"","family":"Ambassa","given":"Edgar","non-dropping-particle":"","parse-names":false,"suffix":""},{"dropping-particle":"","family":"Ekinde","given":"Albert","non-dropping-particle":"","parse-names":false,"suffix":""},{"dropping-particle":"","family":"Mihindou","given":"Yves","non-dropping-particle":"","parse-names":false,"suffix":""},{"dropping-particle":"","family":"Morgan","given":"Bethan J","non-dropping-particle":"","parse-names":false,"suffix":""},{"dropping-particle":"","family":"Motsaba","given":"Prosper","non-dropping-particle":"","parse-names":false,"suffix":""},{"dropping-particle":"","family":"Moukala","given":"Gabin","non-dropping-particle":"","parse-names":false,"suffix":""},{"dropping-particle":"","family":"Mounguengui","given":"Anselme","non-dropping-particle":"","parse-names":false,"suffix":""},{"dropping-particle":"","family":"Mowawa","given":"Brice S","non-dropping-particle":"","parse-names":false,"suffix":""},{"dropping-particle":"","family":"Ndzai","given":"Christian","non-dropping-particle":"","parse-names":false,"suffix":""},{"dropping-particle":"","family":"Nixon","given":"Stuart","non-dropping-particle":"","parse-names":false,"suffix":""},{"dropping-particle":"","family":"Nkumu","given":"Pele","non-dropping-particle":"","parse-names":false,"suffix":""},{"dropping-particle":"","family":"Nzolani","given":"Fabian","non-dropping-particle":"","parse-names":false,"suffix":""},{"dropping-particle":"","family":"Pintea","given":"Lilian","non-dropping-particle":"","parse-names":false,"suffix":""},{"dropping-particle":"","family":"Plumptre","given":"Andrew","non-dropping-particle":"","parse-names":false,"suffix":""},{"dropping-particle":"","family":"Rainey","given":"Hugo","non-dropping-particle":"","parse-names":false,"suffix":""},{"dropping-particle":"","family":"Semboli","given":"Bruno Bokoto","non-dropping-particle":"de","parse-names":false,"suffix":""},{"dropping-particle":"","family":"Serckx","given":"Adeline","non-dropping-particle":"","parse-names":false,"suffix":""},{"dropping-particle":"","family":"Stokes","given":"Emma","non-dropping-particle":"","parse-names":false,"suffix":""},{"dropping-particle":"","family":"Turkalo","given":"Andrea","non-dropping-particle":"","parse-names":false,"suffix":""},{"dropping-particle":"","family":"Vanleeuwe","given":"Hilde","non-dropping-particle":"","parse-names":false,"suffix":""},{"dropping-particle":"","family":"Vosper","given":"Ashley","non-dropping-particle":"","parse-names":false,"suffix":""},{"dropping-particle":"","family":"Warren","given":"Ymke","non-dropping-particle":"","parse-names":false,"suffix":""}],"container-title":"PloS one","id":"ITEM-1","issue":"3","issued":{"date-parts":[["2013","1"]]},"page":"e59469","title":"Devastating decline of forest elephants in Central Africa","type":"article-journal","volume":"8"},"uris":["http://www.mendeley.com/documents/?uuid=e792b8cd-6a73-453e-a9b6-e33144c1c9ef"]}],"mendeley":{"formattedCitation":"(Maisels et al. 2013)","plainTextFormattedCitation":"(Maisels et al. 2013)","previouslyFormattedCitation":"(Maisels et al. 2013)"},"properties":{"noteIndex":0},"schema":"https://github.com/citation-style-language/schema/raw/master/csl-citation.json"}</w:instrText>
      </w:r>
      <w:r w:rsidR="00A27797">
        <w:rPr>
          <w:color w:val="000000" w:themeColor="text1"/>
        </w:rPr>
        <w:fldChar w:fldCharType="separate"/>
      </w:r>
      <w:r w:rsidR="00A27797" w:rsidRPr="00A27797">
        <w:rPr>
          <w:noProof/>
          <w:color w:val="000000" w:themeColor="text1"/>
        </w:rPr>
        <w:t>(Maisels et al. 2013)</w:t>
      </w:r>
      <w:r w:rsidR="00A27797">
        <w:rPr>
          <w:color w:val="000000" w:themeColor="text1"/>
        </w:rPr>
        <w:fldChar w:fldCharType="end"/>
      </w:r>
      <w:r w:rsidR="002656D6" w:rsidRPr="0070404D">
        <w:rPr>
          <w:color w:val="000000" w:themeColor="text1"/>
        </w:rPr>
        <w:t xml:space="preserve"> </w:t>
      </w:r>
      <w:r w:rsidR="002656D6">
        <w:rPr>
          <w:color w:val="000000" w:themeColor="text1"/>
        </w:rPr>
        <w:t>disperse seeds, alter</w:t>
      </w:r>
      <w:r w:rsidR="002656D6" w:rsidRPr="0070404D">
        <w:rPr>
          <w:color w:val="000000" w:themeColor="text1"/>
        </w:rPr>
        <w:t xml:space="preserve"> the structure of the understorey, modif</w:t>
      </w:r>
      <w:r w:rsidR="002656D6">
        <w:rPr>
          <w:color w:val="000000" w:themeColor="text1"/>
        </w:rPr>
        <w:t>y</w:t>
      </w:r>
      <w:r w:rsidR="002656D6" w:rsidRPr="0070404D">
        <w:rPr>
          <w:color w:val="000000" w:themeColor="text1"/>
        </w:rPr>
        <w:t xml:space="preserve"> seedling establishment patterns </w:t>
      </w:r>
      <w:r w:rsidR="00A27797">
        <w:rPr>
          <w:color w:val="000000" w:themeColor="text1"/>
        </w:rPr>
        <w:fldChar w:fldCharType="begin" w:fldLock="1"/>
      </w:r>
      <w:r w:rsidR="00A27797">
        <w:rPr>
          <w:color w:val="000000" w:themeColor="text1"/>
        </w:rPr>
        <w:instrText>ADDIN CSL_CITATION {"citationItems":[{"id":"ITEM-1","itemData":{"author":[{"dropping-particle":"","family":"Blake","given":"S","non-dropping-particle":"","parse-names":false,"suffix":""},{"dropping-particle":"","family":"Deem","given":"S L","non-dropping-particle":"","parse-names":false,"suffix":""},{"dropping-particle":"","family":"Mossimbo","given":"E","non-dropping-particle":"","parse-names":false,"suffix":""},{"dropping-particle":"","family":"Maisels","given":"F","non-dropping-particle":"","parse-names":false,"suffix":""},{"dropping-particle":"","family":"Walsh","given":"P","non-dropping-particle":"","parse-names":false,"suffix":""}],"container-title":"Biotropica","id":"ITEM-1","issued":{"date-parts":[["2009"]]},"page":"459-468","title":"Forest elephants: tree planters of the Congo","type":"article-journal","volume":"41"},"uris":["http://www.mendeley.com/documents/?uuid=181cc4ca-cea8-43fc-a52c-0cc43a8a0ba0"]},{"id":"ITEM-2","itemData":{"DOI":"10.1016/j.actao.2011.01.014","ISBN":"1146-609X","ISSN":"1146609X","abstract":"As the largest frugivores on Earth, elephants have unique ecological properties. Found in deserts, savannahs, and forests, they are the last remnants of a diverse lineage. Among the three currently recognized forms, African forest elephants are the most frugivorous, followed by Asian and African savannah elephants, although their role as seed dispersers is variable and context-dependent. African forest elephants may consume more seeds from more species than any other taxon of large vertebrate dispersers, defecating them over long distances in viable conditions into nutrient-rich and protective dung. In short, elephants are forest gardeners. The signature of elephant dispersal is evident in the spatial distribution of trees suggesting that elephants maintain tree diversity and retain low redundancy in seed dispersal systems. Large numbers of forest elephants ranging over large areas may be essential for ecosystem function. The loss of elephants will have important negative consequences for the ecological trajectories of some plant species and whole ecological communities, yet the conservation status of forest elephants is catastrophic in Asia and rapidly becoming so in Africa due to hunting and other conflicts with people. In this paper we review the current knowledge of elephants as seed dispersers, discuss the ecological consequences of their decline, and suggest priority areas for research and conservation action. © 2011 Elsevier Masson SAS.","author":[{"dropping-particle":"","family":"Campos-Arceiz","given":"Ahimsa","non-dropping-particle":"","parse-names":false,"suffix":""},{"dropping-particle":"","family":"Blake","given":"Steve","non-dropping-particle":"","parse-names":false,"suffix":""}],"container-title":"Acta Oecologica","id":"ITEM-2","issue":"6","issued":{"date-parts":[["2011"]]},"page":"542-553","publisher":"Elsevier Masson SAS","title":"Megagardeners of the forest - the role of elephants in seed dispersal","type":"article-journal","volume":"37"},"uris":["http://www.mendeley.com/documents/?uuid=8c2f0699-608d-4cc9-bea9-44361a1f668f"]}],"mendeley":{"formattedCitation":"(Blake et al. 2009; Campos-Arceiz &amp; Blake 2011)","plainTextFormattedCitation":"(Blake et al. 2009; Campos-Arceiz &amp; Blake 2011)","previouslyFormattedCitation":"(Blake et al. 2009; Campos-Arceiz &amp; Blake 2011)"},"properties":{"noteIndex":0},"schema":"https://github.com/citation-style-language/schema/raw/master/csl-citation.json"}</w:instrText>
      </w:r>
      <w:r w:rsidR="00A27797">
        <w:rPr>
          <w:color w:val="000000" w:themeColor="text1"/>
        </w:rPr>
        <w:fldChar w:fldCharType="separate"/>
      </w:r>
      <w:r w:rsidR="00A27797" w:rsidRPr="00A27797">
        <w:rPr>
          <w:noProof/>
          <w:color w:val="000000" w:themeColor="text1"/>
        </w:rPr>
        <w:t>(Blake et al. 2009; Campos-Arceiz &amp; Blake 2011)</w:t>
      </w:r>
      <w:r w:rsidR="00A27797">
        <w:rPr>
          <w:color w:val="000000" w:themeColor="text1"/>
        </w:rPr>
        <w:fldChar w:fldCharType="end"/>
      </w:r>
      <w:r w:rsidR="002656D6">
        <w:rPr>
          <w:color w:val="000000" w:themeColor="text1"/>
        </w:rPr>
        <w:t xml:space="preserve"> and affect</w:t>
      </w:r>
      <w:r w:rsidR="002656D6" w:rsidRPr="004904D8">
        <w:rPr>
          <w:color w:val="000000" w:themeColor="text1"/>
        </w:rPr>
        <w:t xml:space="preserve"> nutrient flow, through the large volumes that they browse, move and excrete </w:t>
      </w:r>
      <w:r w:rsidR="00A27797">
        <w:rPr>
          <w:color w:val="000000" w:themeColor="text1"/>
        </w:rPr>
        <w:fldChar w:fldCharType="begin" w:fldLock="1"/>
      </w:r>
      <w:r w:rsidR="00A27797">
        <w:rPr>
          <w:color w:val="000000" w:themeColor="text1"/>
        </w:rPr>
        <w:instrText>ADDIN CSL_CITATION {"citationItems":[{"id":"ITEM-1","itemData":{"DOI":"10.1111/ecog.02156","ISBN":"1600-0587","ISSN":"16000587","abstract":"Understanding the complex role of large-bodied mammals in contemporary ecosystems and the likely consequences of their continued decline is essential for effective management of the remaining wild areas on Earth. The very largest animals are in particular peril owing to a disastrous combination of continued hunting or poaching, habitat alterations, and loss of habitat. Because these threats are ongoing, conservation biologists may not be able to wait for the results of long-term studies before proposing potential mitigation strategies. A recent conference on ‘Megafauna and ecosystem function: from the Pleistocene to the Anthropocene’ at Oxford Univ. brought together paleontologists, conservation and environmental scientists and others who share an interest in characterizing the influence of large animals on ecosystems. Integrating historical perspectives of Late Pleistocene ecosystems when large-bodied animals were still widespread, with modern studies of areas with varying levels of intact megafauna, the aim was to develop a more holistic understanding of the consequences of the ongoing decline of large-bodied animals around the Earth. The conference resulted in the development of two special features – one in the Proceedings of the National Academy of Science, USA and one in Ecography synthesizing the state of our knowledge about the environmental legacies of the terminal Pleistocene megafauna extinction, the complex role of modern large-bodied animals and what the ongoing loss of their ecological interactions might mean in terms of ecosystem function. Here, we briefly review the main themes developed during the conference and outline promising future research directions.","author":[{"dropping-particle":"","family":"Smith","given":"Felisa A.","non-dropping-particle":"","parse-names":false,"suffix":""},{"dropping-particle":"","family":"Doughty","given":"Christopher E.","non-dropping-particle":"","parse-names":false,"suffix":""},{"dropping-particle":"","family":"Malhi","given":"Yadvinder","non-dropping-particle":"","parse-names":false,"suffix":""},{"dropping-particle":"","family":"Svenning","given":"Jens Christian","non-dropping-particle":"","parse-names":false,"suffix":""},{"dropping-particle":"","family":"Terborgh","given":"John","non-dropping-particle":"","parse-names":false,"suffix":""}],"container-title":"Ecography","id":"ITEM-1","issue":"2","issued":{"date-parts":[["2016"]]},"page":"99-108","title":"Megafauna in the Earth system","type":"article-journal","volume":"39"},"uris":["http://www.mendeley.com/documents/?uuid=d86f5875-6297-417c-a53d-7f031dea2eb9"]}],"mendeley":{"formattedCitation":"(Smith et al. 2016)","plainTextFormattedCitation":"(Smith et al. 2016)","previouslyFormattedCitation":"(Smith et al. 2016)"},"properties":{"noteIndex":0},"schema":"https://github.com/citation-style-language/schema/raw/master/csl-citation.json"}</w:instrText>
      </w:r>
      <w:r w:rsidR="00A27797">
        <w:rPr>
          <w:color w:val="000000" w:themeColor="text1"/>
        </w:rPr>
        <w:fldChar w:fldCharType="separate"/>
      </w:r>
      <w:r w:rsidR="00A27797" w:rsidRPr="00A27797">
        <w:rPr>
          <w:noProof/>
          <w:color w:val="000000" w:themeColor="text1"/>
        </w:rPr>
        <w:t>(Smith et al. 2016)</w:t>
      </w:r>
      <w:r w:rsidR="00A27797">
        <w:rPr>
          <w:color w:val="000000" w:themeColor="text1"/>
        </w:rPr>
        <w:fldChar w:fldCharType="end"/>
      </w:r>
      <w:r w:rsidR="002656D6" w:rsidRPr="0070404D">
        <w:rPr>
          <w:color w:val="000000" w:themeColor="text1"/>
        </w:rPr>
        <w:t>.</w:t>
      </w:r>
      <w:r w:rsidR="002656D6" w:rsidRPr="004904D8">
        <w:rPr>
          <w:color w:val="000000" w:themeColor="text1"/>
        </w:rPr>
        <w:t xml:space="preserve"> </w:t>
      </w:r>
    </w:p>
    <w:p w14:paraId="581F9446" w14:textId="3CEEB8D4" w:rsidR="007C54B0" w:rsidRDefault="009C0863" w:rsidP="00C258BC">
      <w:pPr>
        <w:jc w:val="both"/>
      </w:pPr>
      <w:r w:rsidRPr="004904D8">
        <w:rPr>
          <w:color w:val="000000" w:themeColor="text1"/>
        </w:rPr>
        <w:lastRenderedPageBreak/>
        <w:t>L</w:t>
      </w:r>
      <w:r w:rsidRPr="005512D2">
        <w:t xml:space="preserve">arge carnivores are particularly affected by hunting because they are wide-ranging, are specifically targeted for trophy value, and are also affected by the loss of their prey populations in areas hunted for meat </w:t>
      </w:r>
      <w:r w:rsidR="00A27797">
        <w:fldChar w:fldCharType="begin" w:fldLock="1"/>
      </w:r>
      <w:r w:rsidR="00B2630D">
        <w:instrText>ADDIN CSL_CITATION {"citationItems":[{"id":"ITEM-1","itemData":{"DOI":"10.1111/j.1469-7998.2011.00826.x","ISSN":"09528369","abstract":"Analyses of leopard Panthera pardus prey choice reveal a strong preference for species weighing 10-40kg. In the Congo Basin rainforests, species within this weight range are also targeted by bushmeat hunters, potentially leading to exploitative competition between leopards and hunters. We investigated leopard prey choice along a gradient of human disturbance, hypothesizing that leopards will exploit smaller prey where competition is strong, possibly resulting in reduced leopard densities at highly hunted sites. We determined leopard diet by means of scat analysis at four rainforest sites in central Gabon, which varied according to their distance from human settlements. Camera trap data collected at each of the four study sites revealed that human hunting intensity increased with proximity to settlements, while the abundance of potential leopard prey species decreased. We found no evidence of leopards at the site nearest to settlements. At the remaining sites, the number of scats collected, mean leopard prey weight and the proportion of large prey ( &gt; 20kg) in leopard diet increased with distance from settlements. Camera trap data demonstrated that leopard population density increased with distance from settlements, from 2.7 ± 0.94 leopards/100km 2 to 12.1 ± 5.11 leopards/100km 2 . Our results document an increasing use of smaller prey species and a decrease in leopard density in proximity to settlements, supporting our hypothesis. Comparison of leopard diet with hunter return data revealed a high dietary niche overlap between leopards and hunters at sites situated at similar distances from settlements. Our results suggest that bushmeat hunting may precipitate the decline in leopard numbers through exploitative competition and that intensively hunted areas are unlikely to support resident leopard populations. Conserving the leopard in the Congo Basin will rely on effective protected areas and alternative land management strategies that promote regulated human hunting of leopard prey. © 2011 The Authors. Journal of Zoology © 2011 The Zoological Society of London.","author":[{"dropping-particle":"","family":"Henschel","given":"P.","non-dropping-particle":"","parse-names":false,"suffix":""},{"dropping-particle":"","family":"Hunter","given":"L.T.B.","non-dropping-particle":"","parse-names":false,"suffix":""},{"dropping-particle":"","family":"Coad","given":"L.","non-dropping-particle":"","parse-names":false,"suffix":""},{"dropping-particle":"","family":"Abernethy","given":"K.A.","non-dropping-particle":"","parse-names":false,"suffix":""},{"dropping-particle":"","family":"Mühlenberg","given":"M.","non-dropping-particle":"","parse-names":false,"suffix":""}],"container-title":"Journal of Zoology","id":"ITEM-1","issue":"1","issued":{"date-parts":[["2011"]]},"page":"11-20","title":"Leopard prey choice in the Congo Basin rainforest suggests exploitative competition with human bushmeat hunters","type":"article-journal","volume":"285"},"uris":["http://www.mendeley.com/documents/?uuid=0be9bebb-7b81-4045-aee1-8111ee81a044"]}],"mendeley":{"formattedCitation":"(Henschel et al. 2011)","plainTextFormattedCitation":"(Henschel et al. 2011)","previouslyFormattedCitation":"(Henschel et al. 2011)"},"properties":{"noteIndex":0},"schema":"https://github.com/citation-style-language/schema/raw/master/csl-citation.json"}</w:instrText>
      </w:r>
      <w:r w:rsidR="00A27797">
        <w:fldChar w:fldCharType="separate"/>
      </w:r>
      <w:r w:rsidR="00A27797" w:rsidRPr="00A27797">
        <w:rPr>
          <w:noProof/>
        </w:rPr>
        <w:t>(Henschel et al. 2011)</w:t>
      </w:r>
      <w:r w:rsidR="00A27797">
        <w:fldChar w:fldCharType="end"/>
      </w:r>
      <w:r w:rsidRPr="005512D2">
        <w:t>. Furthermore, because carnivores occur at low population densities, even low</w:t>
      </w:r>
      <w:r w:rsidRPr="003E3238">
        <w:t xml:space="preserve"> levels of </w:t>
      </w:r>
      <w:r w:rsidR="00A52CA3">
        <w:t>hunting pressure</w:t>
      </w:r>
      <w:r w:rsidRPr="003E3238">
        <w:t xml:space="preserve"> can drive severe declines and local extinctions </w:t>
      </w:r>
      <w:r w:rsidR="00A27797">
        <w:fldChar w:fldCharType="begin" w:fldLock="1"/>
      </w:r>
      <w:r w:rsidR="00A27797">
        <w:instrText xml:space="preserve">ADDIN CSL_CITATION {"citationItems":[{"id":"ITEM-1","itemData":{"DOI":"10.1073/pnas.1500664112","ISBN":"1091-6490 (Electronic)\\r0027-8424 (Linking)","ISSN":"0027-8424","PMID":"26504235","abstract":"We compiled all credible repeated lion surveys and present time series data for 47 lion (Panthera leo) populations. We used a Bayesian state space model to estimate growth rate-λ for each population and summed these into three regional sets to provide conservation-relevant estimates of trends since 1990. We found a striking geographical pattern: African lion populations are declining everywhere, except in four southern countries (Botswana, Namibia, South Africa, and Zimbabwe). Population models indicate a 67% chance that lions in West and Central Africa decline by one-half, while estimating a 37% chance that lions in East Africa also decline by one-half over two decades. We recommend separate regional assessments of the lion in the World Conservation Union (IUCN) Red List of Threatened Species: already recognized as critically endangered in West Africa, our analysis supports listing as regionally endangered in Central and East Africa and least concern in southern Africa. Almost all lion populations that historically exceeded </w:instrText>
      </w:r>
      <w:r w:rsidR="00A27797">
        <w:rPr>
          <w:rFonts w:ascii="Cambria Math" w:hAnsi="Cambria Math" w:cs="Cambria Math"/>
        </w:rPr>
        <w:instrText>∼</w:instrText>
      </w:r>
      <w:r w:rsidR="00A27797">
        <w:instrText>500 individuals are declining, but lion conservation is successful in southern Africa, in part because of the proliferation of reintroduced lions in small, fenced, intensively managed, and funded reserves. If management budgets for wild lands cannot keep pace with mounting levels of threat, the species may rely increasingly on these southern African areas and may no longer be a flagship species of the once vast natural ecosystems across the rest of the continent.","author":[{"dropping-particle":"","family":"Bauer","given":"Hans","non-dropping-particle":"","parse-names":false,"suffix":""},{"dropping-particle":"","family":"Chapron","given":"Guillaume","non-dropping-particle":"","parse-names":false,"suffix":""},{"dropping-particle":"","family":"Nowell","given":"Kristin","non-dropping-particle":"","parse-names":false,"suffix":""},{"dropping-particle":"","family":"Henschel","given":"Philipp","non-dropping-particle":"","parse-names":false,"suffix":""},{"dropping-particle":"","family":"Funston","given":"Paul","non-dropping-particle":"","parse-names":false,"suffix":""},{"dropping-particle":"","family":"Hunter","given":"Luke T. B.","non-dropping-particle":"","parse-names":false,"suffix":""},{"dropping-particle":"","family":"Macdonald","given":"David W.","non-dropping-particle":"","parse-names":false,"suffix":""},{"dropping-particle":"","family":"Packer","given":"Craig","non-dropping-particle":"","parse-names":false,"suffix":""}],"container-title":"Proceedings of the National Academy of Sciences","id":"ITEM-1","issue":"48","issued":{"date-parts":[["2015"]]},"page":"14894-14899","title":"Lion (Panthera leo) populations are declining rapidly across Africa, except in intensively managed areas","type":"article-journal","volume":"112"},"uris":["http://www.mendeley.com/documents/?uuid=b351fb12-9e3d-4716-a9a4-4dcca677b223"]}],"mendeley":{"formattedCitation":"(Bauer et al. 2015)","plainTextFormattedCitation":"(Bauer et al. 2015)","previouslyFormattedCitation":"(Bauer et al. 2015)"},"properties":{"noteIndex":0},"schema":"https://github.com/citation-style-language/schema/raw/master/csl-citation.json"}</w:instrText>
      </w:r>
      <w:r w:rsidR="00A27797">
        <w:fldChar w:fldCharType="separate"/>
      </w:r>
      <w:r w:rsidR="00A27797" w:rsidRPr="00A27797">
        <w:rPr>
          <w:noProof/>
        </w:rPr>
        <w:t>(Bauer et al. 2015)</w:t>
      </w:r>
      <w:r w:rsidR="00A27797">
        <w:fldChar w:fldCharType="end"/>
      </w:r>
      <w:r w:rsidR="003663F4">
        <w:t>.</w:t>
      </w:r>
      <w:r w:rsidRPr="003E3238">
        <w:t xml:space="preserve"> Loss of apex predators can lead to ecological release of their prey herbivores, resulting in a ‘trophic cascade’ where changed herbivory leads to vegetation changes and possibly even modification of the net primary productivity of a habitat and biome shifts </w:t>
      </w:r>
      <w:r w:rsidR="00A27797">
        <w:fldChar w:fldCharType="begin" w:fldLock="1"/>
      </w:r>
      <w:r w:rsidR="00A27797">
        <w:instrText>ADDIN CSL_CITATION {"citationItems":[{"id":"ITEM-1","itemData":{"DOI":"10.1111/j.1744-7429.2006.00239.x","ISBN":"0006-3606","ISSN":"0006-3606","author":[{"dropping-particle":"","family":"Andresen","given":"Ellen","non-dropping-particle":"","parse-names":false,"suffix":""},{"dropping-particle":"","family":"Laurance","given":"S G W","non-dropping-particle":"","parse-names":false,"suffix":""}],"container-title":"Biotropica","id":"ITEM-1","issue":"1","issued":{"date-parts":[["2007"]]},"page":"141-146","title":"Possible indirect effects of mammal hunting on dung beetle assemblages in Panama","type":"article-journal","volume":"39"},"uris":["http://www.mendeley.com/documents/?uuid=0f471b14-3e7a-489d-93bc-7a9dec6ab532"]},{"id":"ITEM-2","itemData":{"DOI":"10.1146/annurev.ecolsys.39.110707.173545","ISBN":"1543-592X","ISSN":"1543-592X","abstract":"We review the ecological rationale behind the potential compatibility between top predators and biodiversity conservation, and examine their effectiveness as surrogate species. Evidence suggests that top predators promote species richness or are spatio-temporally associated with it for six causative or noncausative reasons: resource facilitation, trophic cascades, dependence on ecosystem productivity, sensitivity to dysfunctions, selection of heterogeneous sites and links to multiple ecosystem components. Therefore, predator-centered conservation may deliver certain biodiversity goals. To this aim, predators have been employed in conservation as keystone, umbrella, sentinel, flagship, and indicator species. However, quantitative tests of their surrogate-efficacy have been astonishingly few. Evidence suggests they may function as structuring agents and biodiversity indicators in some ecosystems but not others, and that they perform poorly as umbrella species; more consensus exists for their efficacy as sentinel and flagship species. Conservation biologists need to use apex predators more cautiously, as part of wider, context-dependent mixed strategies.","author":[{"dropping-particle":"","family":"Sergio","given":"Fabrizio","non-dropping-particle":"","parse-names":false,"suffix":""},{"dropping-particle":"","family":"Caro","given":"Tim","non-dropping-particle":"","parse-names":false,"suffix":""},{"dropping-particle":"","family":"Brown","given":"Danielle","non-dropping-particle":"","parse-names":false,"suffix":""},{"dropping-particle":"","family":"Clucas","given":"Barbara","non-dropping-particle":"","parse-names":false,"suffix":""},{"dropping-particle":"","family":"Hunter","given":"Jennifer","non-dropping-particle":"","parse-names":false,"suffix":""},{"dropping-particle":"","family":"Ketchum","given":"James","non-dropping-particle":"","parse-names":false,"suffix":""},{"dropping-particle":"","family":"McHugh","given":"Katherine","non-dropping-particle":"","parse-names":false,"suffix":""},{"dropping-particle":"","family":"Hiraldo","given":"Fernando","non-dropping-particle":"","parse-names":false,"suffix":""}],"container-title":"Annual Review of Ecology, Evolution, and Systematics","id":"ITEM-2","issue":"1","issued":{"date-parts":[["2008"]]},"page":"1-19","title":"Top predators as conservation tools: ecological rationale, assumptions, and efficacy","type":"article-journal","volume":"39"},"uris":["http://www.mendeley.com/documents/?uuid=022200f5-95f7-4b77-accf-11c6026e9618"]}],"mendeley":{"formattedCitation":"(Andresen &amp; Laurance 2007; Sergio et al. 2008)","plainTextFormattedCitation":"(Andresen &amp; Laurance 2007; Sergio et al. 2008)","previouslyFormattedCitation":"(Andresen &amp; Laurance 2007; Sergio et al. 2008)"},"properties":{"noteIndex":0},"schema":"https://github.com/citation-style-language/schema/raw/master/csl-citation.json"}</w:instrText>
      </w:r>
      <w:r w:rsidR="00A27797">
        <w:fldChar w:fldCharType="separate"/>
      </w:r>
      <w:r w:rsidR="00A27797" w:rsidRPr="00A27797">
        <w:rPr>
          <w:noProof/>
        </w:rPr>
        <w:t>(Andresen &amp; Laurance 2007; Sergio et al. 2008)</w:t>
      </w:r>
      <w:r w:rsidR="00A27797">
        <w:fldChar w:fldCharType="end"/>
      </w:r>
      <w:r w:rsidRPr="00EE2428">
        <w:rPr>
          <w:color w:val="000000" w:themeColor="text1"/>
        </w:rPr>
        <w:t xml:space="preserve">; and </w:t>
      </w:r>
      <w:r w:rsidRPr="00EE2428">
        <w:t xml:space="preserve">fully reviewed in </w:t>
      </w:r>
      <w:r w:rsidR="00A27797">
        <w:fldChar w:fldCharType="begin" w:fldLock="1"/>
      </w:r>
      <w:r w:rsidR="00A27797">
        <w:instrText>ADDIN CSL_CITATION {"citationItems":[{"id":"ITEM-1","itemData":{"author":[{"dropping-particle":"","family":"Terborgh","given":"John","non-dropping-particle":"","parse-names":false,"suffix":""},{"dropping-particle":"","family":"Estes","given":"James","non-dropping-particle":"","parse-names":false,"suffix":""}],"id":"ITEM-1","issued":{"date-parts":[["2010"]]},"publisher":"Island Press","publisher-place":"Washington DC, USA","title":"Trophic cascades: predators, prey, and the changing dynamics of nature","type":"book"},"uris":["http://www.mendeley.com/documents/?uuid=3c33c2f1-eb85-43f9-977b-7dd34009da4a"]}],"mendeley":{"formattedCitation":"(Terborgh &amp; Estes 2010)","manualFormatting":"Terborgh and Estes (2010)","plainTextFormattedCitation":"(Terborgh &amp; Estes 2010)","previouslyFormattedCitation":"(Terborgh &amp; Estes 2010)"},"properties":{"noteIndex":0},"schema":"https://github.com/citation-style-language/schema/raw/master/csl-citation.json"}</w:instrText>
      </w:r>
      <w:r w:rsidR="00A27797">
        <w:fldChar w:fldCharType="separate"/>
      </w:r>
      <w:r w:rsidR="00A27797">
        <w:rPr>
          <w:noProof/>
        </w:rPr>
        <w:t>Terborgh and</w:t>
      </w:r>
      <w:r w:rsidR="00A27797" w:rsidRPr="00A27797">
        <w:rPr>
          <w:noProof/>
        </w:rPr>
        <w:t xml:space="preserve"> Estes </w:t>
      </w:r>
      <w:r w:rsidR="00A27797">
        <w:rPr>
          <w:noProof/>
        </w:rPr>
        <w:t>(</w:t>
      </w:r>
      <w:r w:rsidR="00A27797" w:rsidRPr="00A27797">
        <w:rPr>
          <w:noProof/>
        </w:rPr>
        <w:t>2010)</w:t>
      </w:r>
      <w:r w:rsidR="00A27797">
        <w:fldChar w:fldCharType="end"/>
      </w:r>
      <w:r w:rsidRPr="0070404D">
        <w:t>.</w:t>
      </w:r>
      <w:bookmarkStart w:id="132" w:name="_Toc517693754"/>
      <w:r w:rsidR="002656D6">
        <w:t xml:space="preserve"> </w:t>
      </w:r>
    </w:p>
    <w:p w14:paraId="776345A4" w14:textId="175E8DFC" w:rsidR="009C0863" w:rsidRDefault="009C0863" w:rsidP="00DF57F3">
      <w:pPr>
        <w:pStyle w:val="Heading2"/>
      </w:pPr>
      <w:bookmarkStart w:id="133" w:name="_Toc516213971"/>
      <w:bookmarkStart w:id="134" w:name="_Toc517693755"/>
      <w:bookmarkStart w:id="135" w:name="_Toc519156098"/>
      <w:bookmarkStart w:id="136" w:name="_Toc529390354"/>
      <w:bookmarkEnd w:id="132"/>
      <w:r w:rsidRPr="004904D8">
        <w:t>Impacts on human livelihoods</w:t>
      </w:r>
      <w:bookmarkEnd w:id="133"/>
      <w:bookmarkEnd w:id="134"/>
      <w:bookmarkEnd w:id="135"/>
      <w:bookmarkEnd w:id="136"/>
      <w:r w:rsidRPr="004904D8">
        <w:t xml:space="preserve"> </w:t>
      </w:r>
    </w:p>
    <w:p w14:paraId="2179C5E7" w14:textId="4D817B5B" w:rsidR="00216C74" w:rsidRPr="00216C74" w:rsidRDefault="00A52CA3" w:rsidP="00C258BC">
      <w:pPr>
        <w:jc w:val="both"/>
      </w:pPr>
      <w:r>
        <w:rPr>
          <w:color w:val="000000" w:themeColor="text1"/>
        </w:rPr>
        <w:t>Wildlife often plays as important role in rural communities</w:t>
      </w:r>
      <w:r w:rsidR="00216C74" w:rsidRPr="005805B2">
        <w:rPr>
          <w:color w:val="000000" w:themeColor="text1"/>
        </w:rPr>
        <w:t xml:space="preserve"> </w:t>
      </w:r>
      <w:r w:rsidR="00BF3E18">
        <w:rPr>
          <w:color w:val="000000" w:themeColor="text1"/>
        </w:rPr>
        <w:t>as a source of food</w:t>
      </w:r>
      <w:r w:rsidR="00216C74" w:rsidRPr="005805B2">
        <w:rPr>
          <w:color w:val="000000" w:themeColor="text1"/>
        </w:rPr>
        <w:t xml:space="preserve">, a source of income, a source of medicine, </w:t>
      </w:r>
      <w:r w:rsidR="00BF3E18">
        <w:rPr>
          <w:color w:val="000000" w:themeColor="text1"/>
        </w:rPr>
        <w:t xml:space="preserve">hunting for crop protection, </w:t>
      </w:r>
      <w:r w:rsidR="00BF3E18" w:rsidRPr="005805B2">
        <w:rPr>
          <w:color w:val="000000" w:themeColor="text1"/>
        </w:rPr>
        <w:t xml:space="preserve">a means to strengthen social bounds, </w:t>
      </w:r>
      <w:r w:rsidR="00216C74" w:rsidRPr="005805B2">
        <w:rPr>
          <w:color w:val="000000" w:themeColor="text1"/>
        </w:rPr>
        <w:t xml:space="preserve">or as part of a wider system of interconnected socio-physical relationships and identity </w:t>
      </w:r>
      <w:r w:rsidR="00A27797">
        <w:rPr>
          <w:color w:val="000000" w:themeColor="text1"/>
        </w:rPr>
        <w:fldChar w:fldCharType="begin" w:fldLock="1"/>
      </w:r>
      <w:r w:rsidR="00B2630D">
        <w:rPr>
          <w:color w:val="000000" w:themeColor="text1"/>
        </w:rPr>
        <w:instrText>ADDIN CSL_CITATION {"citationItems":[{"id":"ITEM-1","itemData":{"DOI":"ISBN 92-9225-083-3","ISBN":"9292250833","abstract":"2008. Conservation and use of wildlife-based resources: The bushmeat crisis. Technical series No. 33. Montreal: Secretariat of the Convention on Biological Diversity; and Bogor, Indonesia: Centre on International Forestry Research.","author":[{"dropping-particle":"","family":"Nasi","given":"R","non-dropping-particle":"","parse-names":false,"suffix":""},{"dropping-particle":"","family":"Brown","given":"D","non-dropping-particle":"","parse-names":false,"suffix":""},{"dropping-particle":"","family":"Wilkie","given":"D","non-dropping-particle":"","parse-names":false,"suffix":""},{"dropping-particle":"","family":"Bennett","given":"E","non-dropping-particle":"","parse-names":false,"suffix":""},{"dropping-particle":"","family":"Tutin","given":"C","non-dropping-particle":"","parse-names":false,"suffix":""},{"dropping-particle":"","family":"Tol","given":"G","non-dropping-particle":"Van","parse-names":false,"suffix":""},{"dropping-particle":"","family":"Christophersen","given":"T","non-dropping-particle":"","parse-names":false,"suffix":""}],"id":"ITEM-1","issued":{"date-parts":[["2008"]]},"number-of-pages":"50","publisher-place":"Secretariat of the Convention on Biological Diversity, Montreal, Canada, and Centre for International Forestry Research (CIFOR), Bogor, Indonesia.","title":"Conservation and use of wildlife-based resources: the bushmeat crisis. CBD Technical Series No. 33","type":"report"},"uris":["http://www.mendeley.com/documents/?uuid=820bb019-82b3-449a-b6b2-fbc4d35d17d6"]},{"id":"ITEM-2","itemData":{"DOI":"10.1016/B978-0-12-809913-1.00010-7","author":[{"dropping-particle":"","family":"Alves","given":"Rômulo R.N.","non-dropping-particle":"","parse-names":false,"suffix":""},{"dropping-particle":"","family":"Vliet","given":"Nathalie","non-dropping-particle":"van","parse-names":false,"suffix":""}],"container-title":"Ethnozoology","editor":[{"dropping-particle":"","family":"Alves","given":"Rômulo Romeu Nóbrega","non-dropping-particle":"","parse-names":false,"suffix":""},{"dropping-particle":"","family":"Albuquerque","given":"Ulysses Paulino","non-dropping-particle":"","parse-names":false,"suffix":""}],"id":"ITEM-2","issued":{"date-parts":[["2018"]]},"page":"167-194","publisher":"Elsevier, Oxford, UK","title":"Wild Fauna on the menu","type":"chapter"},"uris":["http://www.mendeley.com/documents/?uuid=649f842d-0315-4aaf-86b8-7b489039e440"]},{"id":"ITEM-3","itemData":{"DOI":"10.1098/rstb.2012.0376","ISBN":"0962-8436","ISSN":"14712970","PMID":"23878340","abstract":"The African humid tropical biome constitutes the second largest rainforest region, significantly impacts global carbon cycling and climate, and has undergone major changes in functioning owing to climate and land-use change over the past century. We assess changes and trends in CO2 fluxes from 1901 to 2010 using nine land surface models forced with common driving data, and depict the inter-model variability as the uncertainty in fluxes. The biome is estimated to be a natural (no disturbance) net carbon sink (-0.02 kg C m(-2) yr(-1) or -0.04 Pg C yr(-1), p &lt; 0.05) with increasing strength fourfold in the second half of the century. The models were in close agreement on net CO2 flux at the beginning of the century (σ1901 = 0.02 kg C m(-2) yr(-1)), but diverged exponentially throughout the century (σ2010 = 0.03 kg C m(-2) yr(-1)). The increasing uncertainty is due to differences in sensitivity to increasing atmospheric CO2, but not increasing water stress, despite a decrease in precipitation and increase in air temperature. However, the largest uncertainties were associated with the most extreme drought events of the century. These results highlight the need to constrain modelled CO2 fluxes with increasing atmospheric CO2 concentrations and extreme climatic events, as the uncertainties will only amplify in the next century.","author":[{"dropping-particle":"","family":"Fisher","given":"Joshua B.","non-dropping-particle":"","parse-names":false,"suffix":""},{"dropping-particle":"","family":"Sikka","given":"Munish","non-dropping-particle":"","parse-names":false,"suffix":""},{"dropping-particle":"","family":"Sitch","given":"Stephen","non-dropping-particle":"","parse-names":false,"suffix":""},{"dropping-particle":"","family":"Ciais","given":"Philippe","non-dropping-particle":"","parse-names":false,"suffix":""},{"dropping-particle":"","family":"Poulter","given":"Benjamin","non-dropping-particle":"","parse-names":false,"suffix":""},{"dropping-particle":"","family":"Galbraith","given":"David","non-dropping-particle":"","parse-names":false,"suffix":""},{"dropping-particle":"","family":"Lee","given":"Jung Eun","non-dropping-particle":"","parse-names":false,"suffix":""},{"dropping-particle":"","family":"Huntingford","given":"Chris","non-dropping-particle":"","parse-names":false,"suffix":""},{"dropping-particle":"","family":"Viovy","given":"Nicolas","non-dropping-particle":"","parse-names":false,"suffix":""},{"dropping-particle":"","family":"Zeng","given":"Ning","non-dropping-particle":"","parse-names":false,"suffix":""},{"dropping-particle":"","family":"Ahlström","given":"Anders","non-dropping-particle":"","parse-names":false,"suffix":""},{"dropping-particle":"","family":"Lomas","given":"Mark R.","non-dropping-particle":"","parse-names":false,"suffix":""},{"dropping-particle":"","family":"Levy","given":"Peter E.","non-dropping-particle":"","parse-names":false,"suffix":""},{"dropping-particle":"","family":"Frankenberg","given":"Christian","non-dropping-particle":"","parse-names":false,"suffix":""},{"dropping-particle":"","family":"Saatchi","given":"Sassan","non-dropping-particle":"","parse-names":false,"suffix":""},{"dropping-particle":"","family":"Malhi","given":"Yadvinder","non-dropping-particle":"","parse-names":false,"suffix":""}],"container-title":"Philosophical transactions of the Royal Society of London. Series B, Biological sciences","id":"ITEM-3","issued":{"date-parts":[["2013"]]},"page":"20120376","title":"African tropical rainforest net carbon dioxide fluxes in the twentieth century","type":"article-journal","volume":"368"},"uris":["http://www.mendeley.com/documents/?uuid=aef72166-cba2-425a-af9c-f1421913b829"]},{"id":"ITEM-4","itemData":{"DOI":"10.5751/ES-07882-200330","ISBN":"1708-3087","ISSN":"17083087","PMID":"20415643","abstract":"The impacts of unregulated sport hunting can severely affect populations of target game species. Because hunting in Brazil is limited by law, obtaining data on illegal sport hunting in this country is challenging. We used an unusual online resource, YouTube™, to detect the occurrence of sport hunting in Brazil, measure the impacts of the activity on the main Brazilian game species and biomes, evaluate the opinions of hunters and internet users on sport hunting, and discuss the need for policy interventions in wildlife conservation in this country. We found 383 videos related to Brazilian sport hunting on YouTube™, accounting for more than 15 million views. Most videos were produced in the Cerrado (Brazilian savannah) and approximately 70% of them depicted events of pursuit and killing of wild animals, especially lowland pacas (Cuniculus paca) and armadillos (Family Dasypodidae). Videos were posted primarily in July and December, coinciding with the two main Brazilian vacation periods. Furthermore, the shotguns identified on videos show that sport hunters expend large sums of money to undertake their hunts. These results indicate that Brazilian sport hunters are possibly wealthier urban residents who travel to rural areas to hunt, contrasting with previous hunting studies in the country. Most viewers declared themselves in favor of sport hunting in comments (n = 2893) and ratings (n = 36,570) of the videos. Discussions generated by comments suggest that Brazilian sport hunters employ several informal management strategies to maintain game species stocks for future hunting and intensely question the restrictions of Brazilian environmental policies. Our results demonstrate that solutions are needed for the regulation of sport hunting in Brazil. Government actions, whether to increase surveillance or legalize hunting programs, should take into account the opinions of sport hunters and their perceptions on hunting dynamics to support effective policy decisions on wildlife conservation in Brazil. Key Words: bushmeat; conservation; mammals; public opinion","author":[{"dropping-particle":"","family":"Bizri","given":"Hani R.","non-dropping-particle":"El","parse-names":false,"suffix":""},{"dropping-particle":"","family":"Morcatty","given":"Thaís Q.","non-dropping-particle":"","parse-names":false,"suffix":""},{"dropping-particle":"","family":"Lima","given":"Jéssica J.S.","non-dropping-particle":"","parse-names":false,"suffix":""},{"dropping-particle":"","family":"Valsecchi","given":"João","non-dropping-particle":"","parse-names":false,"suffix":""}],"container-title":"Ecology and Society","id":"ITEM-4","issue":"3","issued":{"date-parts":[["2015"]]},"page":"30","title":"The thrill of the chase: uncovering illegal sport hunting in Brazil through YouTube™ posts","type":"article-journal","volume":"20"},"uris":["http://www.mendeley.com/documents/?uuid=94a05866-4b25-4812-a507-a679220fdbcf"]},{"id":"ITEM-5","itemData":{"DOI":"10.1007/978-3-319-42271-8_4","autho</w:instrText>
      </w:r>
      <w:r w:rsidR="00B2630D" w:rsidRPr="00DF57F3">
        <w:rPr>
          <w:color w:val="000000" w:themeColor="text1"/>
          <w:lang w:val="fr-FR"/>
        </w:rPr>
        <w:instrText>r":[{"dropping-particle":"","family":"Ichikawa","given":"M","non-dropping-particle":"","parse-names":false,"suffix":""},{"dropping-particle":"","family":"Hattori","given":"S","non-dropping-particle":"","parse-names":false,"suffix":""},{"dropping-particle":"","family":"Yasuoka","given":"H","non-dropping-particle":"","parse-names":false,"suffix":""}],"container-title":"Hunter-Gatherers in a Changing World","editor":[{"dropping-particle":"","family":"Reyes-García","given":"Victoria","non-dropping-particle":"","parse-names":false,"suffix":""},{"dropping-particle":"","family":"Pyhälä","given":"A","non-dropping-particle":"","parse-names":false,"suffix":""}],"id":"ITEM-5","issued":{"date-parts":[["2016"]]},"page":"59-75","publisher":"Springer","title":"Bushmeat crisis, forestry reforms and contemporary hunting among Central African Forest Hunters","type":"chapter"},"uris":["http://www.mendeley.com/documents/?uuid=b69e5cbb-bd42-4954-a1e3-63c8a7e7e7ff"]}],"mendeley":{"formattedCitation":"(Nasi et al. 2008; Fisher et al. 2013; El Bizri et al. 2015; Ichikawa et al. 2016; Alves &amp; van Vliet 2018)","plainTextFormattedCitation":"(Nasi et al. 2008; Fisher et al. 2013; El Bizri et al. 2015; Ichikawa et al. 2016; Alves &amp; van Vliet 2018)","previouslyFormattedCitation":"(Nasi et al. 2008; Fisher et al. 2013; El Bizri et al. 2015; Ichikawa et al. 2016; Alves &amp; van Vliet 2018)"},"properties":{"noteIndex":0},"schema":"https://github.com/citation-style-language/schema/raw/master/csl-citation.json"}</w:instrText>
      </w:r>
      <w:r w:rsidR="00A27797">
        <w:rPr>
          <w:color w:val="000000" w:themeColor="text1"/>
        </w:rPr>
        <w:fldChar w:fldCharType="separate"/>
      </w:r>
      <w:r w:rsidR="00A27797" w:rsidRPr="00DF57F3">
        <w:rPr>
          <w:noProof/>
          <w:color w:val="000000" w:themeColor="text1"/>
          <w:lang w:val="fr-FR"/>
        </w:rPr>
        <w:t>(Nasi et al. 2008; Fisher et al. 2013; El Bizri et al. 2015; Ichikawa et al. 2016; Alves &amp; van Vliet 2018)</w:t>
      </w:r>
      <w:r w:rsidR="00A27797">
        <w:rPr>
          <w:color w:val="000000" w:themeColor="text1"/>
        </w:rPr>
        <w:fldChar w:fldCharType="end"/>
      </w:r>
      <w:r w:rsidR="00216C74" w:rsidRPr="00DF57F3">
        <w:rPr>
          <w:color w:val="000000" w:themeColor="text1"/>
          <w:lang w:val="fr-FR"/>
        </w:rPr>
        <w:t xml:space="preserve">. </w:t>
      </w:r>
      <w:r w:rsidR="00216C74">
        <w:rPr>
          <w:color w:val="000000" w:themeColor="text1"/>
        </w:rPr>
        <w:t xml:space="preserve">As such, the loss of wildlife will ultimately result in a loss of a </w:t>
      </w:r>
      <w:r w:rsidR="006573E1">
        <w:rPr>
          <w:color w:val="000000" w:themeColor="text1"/>
        </w:rPr>
        <w:t xml:space="preserve">wide </w:t>
      </w:r>
      <w:r w:rsidR="00216C74">
        <w:rPr>
          <w:color w:val="000000" w:themeColor="text1"/>
        </w:rPr>
        <w:t xml:space="preserve">range of </w:t>
      </w:r>
      <w:r w:rsidR="006573E1">
        <w:rPr>
          <w:color w:val="000000" w:themeColor="text1"/>
        </w:rPr>
        <w:t xml:space="preserve">ecosystem </w:t>
      </w:r>
      <w:r w:rsidR="00216C74">
        <w:rPr>
          <w:color w:val="000000" w:themeColor="text1"/>
        </w:rPr>
        <w:t xml:space="preserve">services </w:t>
      </w:r>
      <w:r w:rsidR="002235B2">
        <w:rPr>
          <w:color w:val="000000" w:themeColor="text1"/>
        </w:rPr>
        <w:t>and cultural identity</w:t>
      </w:r>
      <w:r w:rsidR="00216C74">
        <w:rPr>
          <w:color w:val="000000" w:themeColor="text1"/>
        </w:rPr>
        <w:t>.</w:t>
      </w:r>
    </w:p>
    <w:p w14:paraId="3673A561" w14:textId="0DB51559" w:rsidR="009C0863" w:rsidRPr="00785A38" w:rsidRDefault="009C0863" w:rsidP="001C1D6E">
      <w:pPr>
        <w:pStyle w:val="Heading3"/>
      </w:pPr>
      <w:r w:rsidRPr="00785A38">
        <w:t>Reduced food security</w:t>
      </w:r>
    </w:p>
    <w:p w14:paraId="41DCE8F3" w14:textId="35720D7E" w:rsidR="000C1494" w:rsidRPr="00DF57F3" w:rsidRDefault="009C0863" w:rsidP="00C258BC">
      <w:pPr>
        <w:jc w:val="both"/>
        <w:rPr>
          <w:color w:val="000000" w:themeColor="text1"/>
          <w:lang w:val="fr-FR"/>
        </w:rPr>
      </w:pPr>
      <w:r w:rsidRPr="0070404D">
        <w:rPr>
          <w:color w:val="000000" w:themeColor="text1"/>
        </w:rPr>
        <w:t xml:space="preserve">Given the scale and ubiquity of the current wild meat harvest, it is almost inevitable that wildlife </w:t>
      </w:r>
      <w:r w:rsidR="00A52CA3">
        <w:rPr>
          <w:color w:val="000000" w:themeColor="text1"/>
        </w:rPr>
        <w:t>declines will continue.</w:t>
      </w:r>
      <w:r w:rsidRPr="004904D8">
        <w:rPr>
          <w:color w:val="000000" w:themeColor="text1"/>
        </w:rPr>
        <w:t xml:space="preserve"> </w:t>
      </w:r>
      <w:r w:rsidR="00A52CA3">
        <w:rPr>
          <w:color w:val="000000" w:themeColor="text1"/>
        </w:rPr>
        <w:t>Consequently, this decline will reduce</w:t>
      </w:r>
      <w:r w:rsidRPr="005512D2">
        <w:rPr>
          <w:color w:val="000000" w:themeColor="text1"/>
        </w:rPr>
        <w:t xml:space="preserve"> the availability of wild meat, and negatively influencing the lives of many people </w:t>
      </w:r>
      <w:r w:rsidR="00AB0660">
        <w:rPr>
          <w:color w:val="000000" w:themeColor="text1"/>
        </w:rPr>
        <w:fldChar w:fldCharType="begin" w:fldLock="1"/>
      </w:r>
      <w:r w:rsidR="00AB0660">
        <w:rPr>
          <w:color w:val="000000" w:themeColor="text1"/>
        </w:rPr>
        <w:instrText>ADDIN CSL_CITATION {"citationItems":[{"id":"ITEM-1","itemData":{"author":[{"dropping-particle":"","family":"Swamy","given":"V","non-dropping-particle":"","parse-names":false,"suffix":""},{"dropping-particle":"","family":"Pinedo-Vasquez","given":"M","non-dropping-particle":"","parse-names":false,"suffix":""}],"id":"ITEM-1","issued":{"date-parts":[["2014"]]},"publisher-place":"CIFOR, Bogor, Indonesia","title":"Bushmeat harvest in tropical forests: knowledge base, gaps and research priorities. Occassional paper 114","type":"report"},"uris":["http://www.mendeley.com/documents/?uuid=f97c7aa5-6e68-4197-a795-12fa1ac2923a"]},{"id":"ITEM-2","itemData":{"DOI":"10.1111/j.1749-6632.2010.05908.x","ISBN":"978-1-57331-833-4","ISSN":"17496632","PMID":"21449969","abstract":"Tropical forests are among the most species-rich ecosystems on the planet. Some authors argue that predictions of a tropical forest extinction crisis based on analyses of deforestation rates are overly pessimistic since they do not take account of future agricultural abandonment as a result of rural-urban migration and subsequent secondary regrowth. Even if such regrowth occurs, it is crucial to consider threats to species that are not directly correlated with area of forest cover. Hunting is an insidious but significant driver of tropical forest defaunation, risking cascading changes in forest plant and animal composition. Ineffective legislation and enforcement along with a failure of decision makers to address the threats of hunting is fanning the fire of a tropical forest extinction crisis. If tropical forest ecosystems are to survive, the threat of unsustainable hunting must be adequately addressed now.","author":[{"dropping-particle":"","family":"Wilkie","given":"David S.","non-dropping-particle":"","parse-names":false,"suffix":""},{"dropping-particle":"","family":"Bennett","given":"Elizabeth L.","non-dropping-particle":"","parse-names":false,"suffix":""},{"dropping-particle":"","family":"Peres","given":"Carlos A.","non-dropping-particle":"","parse-names":false,"suffix":""},{"dropping-particle":"","family":"Cunningham","given":"Andrew A.","non-dropping-particle":"","parse-names":false,"suffix":""}],"container-title":"Annals of the New York Academy of Sciences","id":"ITEM-2","issue":"1","issued":{"date-parts":[["2011"]]},"page":"120-128","title":"The empty forest revisited","type":"article-journal","volume":"1223"},"uris":["http://www.mendeley.com/documents/?uuid=d19c903f-6bd0-4508-a872-0100a68fdfd8"]},{"id":"ITEM-3","itemData":{"DOI":"10.1073/pnas.1704949114","ISBN":"1704949114","ISSN":"0027-8424","PMID":"28696295","abstract":"The population extinction pulse we describe here shows, from a quantitative viewpoint, that Earth's sixth mass extinction is more severe than perceived when looking exclusively at species extinctions. Therefore, humanity needs to address anthropogenic population extirpation and decimation immediately. That conclusion is based on analyses of the numbers and degrees of range contraction (indicative of population shrinkage and/or population extinctions according to the International Union for Conservation of Nature) using a sample of 27,600 vertebrate species, and on a more detailed analysis documenting the population extinctions between 1900 and 2015 in 177 mammal species. We find that the rate of population loss in terrestrial vertebrates is extremely high-even in \"species of low concern.\" In our sample, comprising nearly half of known vertebrate species, 32% (8,851/27,600) are decreasing; that is, they have decreased in population size and range. In the 177 mammals for which we have detailed data, all have lost 30% or more of their geographic ranges and more than 40% of the species have experienced severe population declines (&gt;80% range shrinkage). Our data indicate that beyond global species extinctions Earth is experiencing a huge episode of population declines and extirpations, which will have negative cascading consequences on ecosystem functioning and services vital to sustaining civilization. We describe this as a \"biological annihilation\" to highlight the current magnitude of Earth's ongoing sixth major extinction event.","author":[{"dropping-particle":"","family":"Ceballos","given":"Gerardo","non-dropping-particle":"","parse-names":false,"suffix":""},{"dropping-particle":"","family":"Ehrlich","given":"Paul R.","non-dropping-particle":"","parse-names":false,"suffix":""},{"dropping-particle":"","family":"Dirzo","given":"Rodolfo","non-dropping-particle":"","parse-names":false,"suffix":""}],"container-title":"Proceedings of the National Academy of Sciences","id":"ITEM-3","issued":{"date-parts":[["2017"]]},"page":"E6089-E6096","title":"Biological annihilation via the ongoing sixth mass extinction signaled by vertebrate population losses and declines","type":"article-journal"},"uris":["http://www.mendeley.com/documents/?uuid=929a60cd-ba11-4915-9b19-199f4a37f6b3"]}],"mendeley":{"formattedCitation":"(Wilkie et al. 2011; Swamy &amp; Pinedo-Vasquez 2014; Ceballos et al. 2017)","plainTextFormattedCitation":"(Wilkie et al. 2011; Swamy &amp; Pinedo-Vasquez 2014; Ceballos et al. 2017)","previouslyFormattedCitation":"(Wilkie et al. 2011; Swamy &amp; Pinedo-Vasquez 2014; Ceballos et al. 2017)"},"properties":{"noteIndex":0},"schema":"https://github.com/citation-style-language/schema/raw/master/csl-citation.json"}</w:instrText>
      </w:r>
      <w:r w:rsidR="00AB0660">
        <w:rPr>
          <w:color w:val="000000" w:themeColor="text1"/>
        </w:rPr>
        <w:fldChar w:fldCharType="separate"/>
      </w:r>
      <w:r w:rsidR="00AB0660" w:rsidRPr="00AB0660">
        <w:rPr>
          <w:noProof/>
          <w:color w:val="000000" w:themeColor="text1"/>
        </w:rPr>
        <w:t>(Wilkie et al. 2011; Swamy &amp; Pinedo-Vasquez 2014; Ceballos et al. 2017)</w:t>
      </w:r>
      <w:r w:rsidR="00AB0660">
        <w:rPr>
          <w:color w:val="000000" w:themeColor="text1"/>
        </w:rPr>
        <w:fldChar w:fldCharType="end"/>
      </w:r>
      <w:r w:rsidRPr="005512D2">
        <w:rPr>
          <w:color w:val="000000" w:themeColor="text1"/>
        </w:rPr>
        <w:t xml:space="preserve">. The direct costs of faunal loss are, however, expected to fall disproportionately on </w:t>
      </w:r>
      <w:r w:rsidR="006573E1">
        <w:rPr>
          <w:color w:val="000000" w:themeColor="text1"/>
        </w:rPr>
        <w:t>the</w:t>
      </w:r>
      <w:r w:rsidRPr="005512D2">
        <w:rPr>
          <w:color w:val="000000" w:themeColor="text1"/>
        </w:rPr>
        <w:t xml:space="preserve"> millions of rural inhabitants across the tropics and sub-tropics, who a</w:t>
      </w:r>
      <w:r w:rsidRPr="003E3238">
        <w:rPr>
          <w:color w:val="000000" w:themeColor="text1"/>
        </w:rPr>
        <w:t xml:space="preserve">re the most dependent on wild meat and have very few affordable alternatives at their disposal </w:t>
      </w:r>
      <w:r w:rsidR="00AB0660">
        <w:rPr>
          <w:color w:val="000000" w:themeColor="text1"/>
        </w:rPr>
        <w:fldChar w:fldCharType="begin" w:fldLock="1"/>
      </w:r>
      <w:r w:rsidR="00B2630D">
        <w:rPr>
          <w:color w:val="000000" w:themeColor="text1"/>
        </w:rPr>
        <w:instrText>ADDIN CSL_CITATION {"citationItems":[{"id":"ITEM-1","itemData":{"DOI":"10.1016/S0169-5347(03)00123-X","ISSN":"01695347","author":[{"dropping-particle":"","family":"Milner-Gulland","given":"E.J.","non-dropping-particle":"","parse-names":false,"suffix":""},{"dropping-particle":"","family":"Bennett","given":"Elizabeth L.","non-dropping-particle":"","parse-names":false,"suffix":""},{"dropping-particle":"","family":"&amp; the SCB 2002 Annual Meeting Wild Meat Group","given":"","non-dropping-particle":"","parse-names":false,"suffix":""}],"container-title":"TRENDS in Ecology &amp; Evolution","id":"ITEM-1","issue":"7","issued":{"date-parts":[["2003","7"]]},"page":"351-357","title":"Wild meat: the bigger picture","type":"article-journal","volume":"18"},"uris":["http://www.mendeley.com/documents/?uuid=c6f656d6-0e6d-46f0-a86d-7f1b9eafbfd0"]}],"mendeley":{"formattedCitation":"(Milner-Gulland et al. 2003)","plainTextFormattedCitation":"(Milner-Gulland et al. 2003)","previouslyFormattedCitation":"(Milner-Gulland et al. 2003)"},"properties":{"noteIndex":0},"schema":"https://github.com/citation-style-language/schema/raw/master/csl-citation.json"}</w:instrText>
      </w:r>
      <w:r w:rsidR="00AB0660">
        <w:rPr>
          <w:color w:val="000000" w:themeColor="text1"/>
        </w:rPr>
        <w:fldChar w:fldCharType="separate"/>
      </w:r>
      <w:r w:rsidR="00AB0660" w:rsidRPr="00AB0660">
        <w:rPr>
          <w:noProof/>
          <w:color w:val="000000" w:themeColor="text1"/>
        </w:rPr>
        <w:t>(Milner-Gulland et al. 2003)</w:t>
      </w:r>
      <w:r w:rsidR="00AB0660">
        <w:rPr>
          <w:color w:val="000000" w:themeColor="text1"/>
        </w:rPr>
        <w:fldChar w:fldCharType="end"/>
      </w:r>
      <w:r w:rsidRPr="003E3238">
        <w:rPr>
          <w:color w:val="000000" w:themeColor="text1"/>
        </w:rPr>
        <w:t xml:space="preserve">. </w:t>
      </w:r>
      <w:r w:rsidR="00810C11">
        <w:rPr>
          <w:color w:val="000000" w:themeColor="text1"/>
        </w:rPr>
        <w:t>As opposed to rural consumers, u</w:t>
      </w:r>
      <w:r w:rsidR="00810C11" w:rsidRPr="005512D2">
        <w:rPr>
          <w:color w:val="000000" w:themeColor="text1"/>
        </w:rPr>
        <w:t xml:space="preserve">rban dwellers </w:t>
      </w:r>
      <w:r w:rsidR="00810C11">
        <w:rPr>
          <w:color w:val="000000" w:themeColor="text1"/>
        </w:rPr>
        <w:t xml:space="preserve">often have other sources of nutritious meats that are available and </w:t>
      </w:r>
      <w:r w:rsidR="00A479D2">
        <w:rPr>
          <w:color w:val="000000" w:themeColor="text1"/>
        </w:rPr>
        <w:t>affordable and</w:t>
      </w:r>
      <w:r w:rsidR="00810C11">
        <w:rPr>
          <w:color w:val="000000" w:themeColor="text1"/>
        </w:rPr>
        <w:t xml:space="preserve"> are therefore more unlikely</w:t>
      </w:r>
      <w:r w:rsidR="00810C11" w:rsidRPr="005512D2">
        <w:rPr>
          <w:color w:val="000000" w:themeColor="text1"/>
        </w:rPr>
        <w:t xml:space="preserve"> to suffer nutritional hardship if </w:t>
      </w:r>
      <w:r w:rsidR="00944860" w:rsidRPr="005512D2">
        <w:rPr>
          <w:color w:val="000000" w:themeColor="text1"/>
        </w:rPr>
        <w:t>wild meat</w:t>
      </w:r>
      <w:r w:rsidR="00810C11" w:rsidRPr="005512D2">
        <w:rPr>
          <w:color w:val="000000" w:themeColor="text1"/>
        </w:rPr>
        <w:t xml:space="preserve"> is forfeit, as they can switch to other protein sources </w:t>
      </w:r>
      <w:r w:rsidR="00AB0660">
        <w:rPr>
          <w:color w:val="000000" w:themeColor="text1"/>
        </w:rPr>
        <w:fldChar w:fldCharType="begin" w:fldLock="1"/>
      </w:r>
      <w:r w:rsidR="00AB0660">
        <w:rPr>
          <w:color w:val="000000" w:themeColor="text1"/>
        </w:rPr>
        <w:instrText>ADDIN CSL_CITATION {"citationItems":[{"id":"ITEM-1","itemData":{"author":[{"dropping-particle":"","family":"Bennett","given":"E L","non-dropping-particle":"","parse-names":false,"suffix":""}],"container-title":"Conservation Biology","id":"ITEM-1","issued":{"date-parts":[["2002"]]},"page":"590-592","title":"Is there a link between wild meat and food security?","type":"article-journal","volume":"16"},"uris":["http://www.mendeley.com/documents/?uuid=d8c5b664-62b6-402a-8b55-58d4870dd5e0"]}],"mendeley":{"formattedCitation":"(Bennett 2002)","plainTextFormattedCitation":"(Bennett 2002)","previouslyFormattedCitation":"(Bennett 2002)"},"properties":{"noteIndex":0},"schema":"https://github.com/citation-style-language/schema/raw/master/csl-citation.json"}</w:instrText>
      </w:r>
      <w:r w:rsidR="00AB0660">
        <w:rPr>
          <w:color w:val="000000" w:themeColor="text1"/>
        </w:rPr>
        <w:fldChar w:fldCharType="separate"/>
      </w:r>
      <w:r w:rsidR="00AB0660" w:rsidRPr="00AB0660">
        <w:rPr>
          <w:noProof/>
          <w:color w:val="000000" w:themeColor="text1"/>
        </w:rPr>
        <w:t>(Bennett 2002)</w:t>
      </w:r>
      <w:r w:rsidR="00AB0660">
        <w:rPr>
          <w:color w:val="000000" w:themeColor="text1"/>
        </w:rPr>
        <w:fldChar w:fldCharType="end"/>
      </w:r>
      <w:r w:rsidR="00810C11" w:rsidRPr="005512D2">
        <w:rPr>
          <w:color w:val="000000" w:themeColor="text1"/>
        </w:rPr>
        <w:t xml:space="preserve">. </w:t>
      </w:r>
      <w:r w:rsidR="00A52CA3">
        <w:rPr>
          <w:color w:val="000000" w:themeColor="text1"/>
        </w:rPr>
        <w:t xml:space="preserve">However, </w:t>
      </w:r>
      <w:r w:rsidR="001E3BCA">
        <w:rPr>
          <w:color w:val="000000" w:themeColor="text1"/>
        </w:rPr>
        <w:t xml:space="preserve">in some circumstances, </w:t>
      </w:r>
      <w:r w:rsidR="00944860">
        <w:rPr>
          <w:color w:val="000000" w:themeColor="text1"/>
        </w:rPr>
        <w:t>wild meat</w:t>
      </w:r>
      <w:r w:rsidR="00E40BE4">
        <w:rPr>
          <w:color w:val="000000" w:themeColor="text1"/>
        </w:rPr>
        <w:t xml:space="preserve"> and fish are </w:t>
      </w:r>
      <w:r w:rsidR="00810C11">
        <w:rPr>
          <w:color w:val="000000" w:themeColor="text1"/>
        </w:rPr>
        <w:t xml:space="preserve">replaced by industrial chicken or canned meats with less nutritional value </w:t>
      </w:r>
      <w:r w:rsidR="00AB0660">
        <w:rPr>
          <w:color w:val="000000" w:themeColor="text1"/>
        </w:rPr>
        <w:fldChar w:fldCharType="begin" w:fldLock="1"/>
      </w:r>
      <w:r w:rsidR="00763BF5">
        <w:rPr>
          <w:color w:val="000000" w:themeColor="text1"/>
        </w:rPr>
        <w:instrText>ADDIN CSL_CITATION {"citationItems":[{"id":"ITEM-1","itemData":{"DOI":"10.1002/ajhb.21192","ISBN":"1042-0533","ISSN":"10420533","PMID":"21630371","abstract":"... A dipole model is used to simulate the optical response of the NP layer, where the presence of the out-of-plane resonance provides an important additional constraint in developing the model. DOI: 10.1103 PhysRevB . 84.085440 PACS number(s): 61.46.w, 78.67.n, 81.07.b ...","author":[{"dropping-particle":"","family":"Nardoto","given":"Gabriela B.","non-dropping-particle":"","parse-names":false,"suffix":""},{"dropping-particle":"","family":"Murrieta","given":"Rui Sergio S.","non-dropping-particle":"","parse-names":false,"suffix":""},{"dropping-particle":"","family":"Prates","given":"Luís Enrique G.","non-dropping-particle":"","parse-names":false,"suffix":""},{"dropping-particle":"","family":"Adams","given":"Cristina","non-dropping-particle":"","parse-names":false,"suffix":""},{"dropping-particle":"","family":"Garavello","given":"Maria Elisa P.E.","non-dropping-particle":"","parse-names":false,"suffix":""},{"dropping-particle":"","family":"Schor","given":"Tatiana","non-dropping-particle":"","parse-names":false,"suffix":""},{"dropping-particle":"","family":"Moraes","given":"André","non-dropping-particle":"De","parse-names":false,"suffix":""},{"dropping-particle":"","family":"Rinaldi","given":"Fernando D.","non-dropping-particle":"","parse-names":false,"suffix":""},{"dropping-particle":"","family":"Gragnani","given":"Juliana G.","non-dropping-particle":"","parse-names":false,"suffix":""},{"dropping-particle":"","family":"Moura","given":"Edila A.F.","non-dropping-particle":"","parse-names":false,"suffix":""},{"dropping-particle":"","family":"Duarte-Neto","given":"Paulo J.","non-dropping-particle":"","parse-names":false,"suffix":""},{"dropping-particle":"","family":"Martinelli","given":"Luiz A.","non-dropping-particle":"","parse-names":false,"suffix":""}],"container-title":"American Journal of Human Biology","id":"ITEM-1","issue":"5","issued":{"date-parts":[["2011"]]},"page":"642-650","title":"Frozen chicken for wild fish: nutritional transition in the Brazilian Amazon region determined by carbon and nitrogen stable isotope ratios in fingernails","type":"article-journal","volume":"23"},"uris":["http://www.mendeley.com/documents/?uuid=46ce2606-1ae3-4b1d-884f-904b4dbd395c"]},{"id":"ITEM-2","itemData":{"author":[{"dropping-particle":"","family":"Sarti","given":"Flavia M","non-dropping-particle":"","parse-names":false,"suffix":""},{"dropping-particle":"","family":"Adams","given":"Cristina","non-dropping-particle":"","parse-names":false,"suffix":""},{"dropping-particle":"","family":"Morsello","given":"Carla","non-dropping-particle":"","parse-names":false,"suffix":""},{"dropping-particle":"","family":"Vliet","given":"Nathalie","non-dropping-particle":"van","parse-names":false,"suffix":""},{"dropping-particle":"","family":"Schor","given":"Tatiana","non-dropping-particle":"","parse-names":false,"suffix":""},{"dropping-particle":"","family":"Yagüe","given":"Blanca","non-dropping-particle":"","parse-names":false,"suffix":""},{"dropping-particle":"","family":"Tellez","given":"Leady","non-dropping-particle":"","parse-names":false,"suffix":""}],"container-title":"Ecology and Society","id":"ITEM-2","issue":"4","issued":{"date-parts":[["2015"]]},"page":"22","title":"Beyond protein intake: bushmeat as source of micronutrients in the Amazon","type":"article-journal","volume":"20"},"uris":["http://www.mendeley.com/documents/?uuid=2e82fab9-d980-4d4c-b7cc-ad9523645550"]},{"id":"ITEM-3","itemData":{"DOI":"10.15451/ec2015-7-4.6-1-12","author":[{"dropping-particle":"","family":"Vliet","given":"Nathalie","non-dropping-particle":"Van","parse-names":false,"suffix":""},{"dropping-particle":"","family":"Quiceno-mesa","given":"Maria Paula","non-dropping-particle":"","parse-names":false,"suffix":""},{"dropping-particle":"","family":"Cruz-antia","given":"Daniel","non-dropping-particle":"","parse-names":false,"suffix":""},{"dropping-particle":"","family":"Tellez","given":"Leady","non-dropping-particle":"","parse-names":false,"suffix":""},{"dropping-particle":"","family":"Martins","given":"Cristian","non-dropping-particle":"","parse-names":false,"suffix":""},{"dropping-particle":"","family":"Haiden","given":"Enio","non-dropping-particle":"","parse-names":false,"suffix":""},{"dropping-particle":"De","family":"Oliveira","given":"Ribeiro","non-dropping-particle":"","parse-names":false,"suffix":""},{"dropping-particle":"","family":"Adams","given":"Cristina","non-dropping-particle":"","parse-names":false,"suffix":""},{"dropping-particle":"","family":"Morsello","given":"Carla","non-dropping-particle":"","parse-names":false,"suffix":""},{"dropping-particle":"","family":"Valencia","given":"Lorena","non-dropping-particle":"","parse-names":false,"suffix":""},{"dropping-particle":"","family":"Bonilla","given":"Tamara","non-dropping-particle":"","parse-names":false,"suffix":""},{"dropping-particle":"","family":"Yagüe","given":"Blanca","non-dropping-particle":"","parse-names":false,"suffix":""},{"dropping-particle":"","family":"Nasi","given":"Robert","non-dropping-particle":"","parse-names":false,"suffix":""}],"container-title":"Ethn</w:instrText>
      </w:r>
      <w:r w:rsidR="00763BF5" w:rsidRPr="00DF57F3">
        <w:rPr>
          <w:color w:val="000000" w:themeColor="text1"/>
          <w:lang w:val="fr-FR"/>
        </w:rPr>
        <w:instrText>obiology and Conservation","id":"ITEM-3","issue":"6","issued":{"date-parts":[["2015"]]},"title":"From fish and bushmeat to chicken nuggets : the nutrition transition in a continuum from rural to urban settings in the Colombian Amazon region","type":"article-journal","volume":"4"},"uris":["http://www.mendeley.com/documents/?uuid=27be472b-8d02-42e2-af04-e6ef82972f66"]},{"id":"ITEM-4","itemData":{"author":[{"dropping-particle":"","family":"Dounias","given":"Edmond","non-dropping-particle":"","parse-names":false,"suffix":""},{"dropping-particle":"","family":"Froment","given":"A","non-dropping-particle":"","parse-names":false,"suffix":""}],"container-title":"The International Forestry Review","id":"ITEM-4","issue":"3","issued":{"date-parts":[["2011"]]},"page":"294-304","title":"From foraging to farming among present-day forest hunter-gatherers: consequences on diet and health","type":"article-journal","volume":"13"},"uris":["http://www.mendeley.com/documents/?uuid=2dcdc0c4-6df1-437b-9ee2-3a2cf0b8cf7b"]}],"mendeley":{"formattedCitation":"(Dounias &amp; Froment 2011; Nardoto et al. 2011; Sarti et al. 2015; Van Vliet et al. 2015d)","plainTextFormattedCitation":"(Dounias &amp; Froment 2011; Nardoto et al. 2011; Sarti et al. 2015; Van Vliet et al. 2015d)","previouslyFormattedCitation":"(Dounias &amp; Froment 2011; Nardoto et al. 2011; Sarti et al. 2015; Van Vliet et al. 2015d)"},"properties":{"noteIndex":0},"schema":"https://github.com/citation-style-language/schema/raw/master/csl-citation.json"}</w:instrText>
      </w:r>
      <w:r w:rsidR="00AB0660">
        <w:rPr>
          <w:color w:val="000000" w:themeColor="text1"/>
        </w:rPr>
        <w:fldChar w:fldCharType="separate"/>
      </w:r>
      <w:r w:rsidR="00763BF5" w:rsidRPr="00DF57F3">
        <w:rPr>
          <w:noProof/>
          <w:color w:val="000000" w:themeColor="text1"/>
          <w:lang w:val="fr-FR"/>
        </w:rPr>
        <w:t>(Dounias &amp; Froment 2011; Nardoto et al. 2011; Sarti et al. 2015; Van Vliet et al. 2015d)</w:t>
      </w:r>
      <w:r w:rsidR="00AB0660">
        <w:rPr>
          <w:color w:val="000000" w:themeColor="text1"/>
        </w:rPr>
        <w:fldChar w:fldCharType="end"/>
      </w:r>
      <w:r w:rsidR="00810C11" w:rsidRPr="00DF57F3">
        <w:rPr>
          <w:color w:val="000000" w:themeColor="text1"/>
          <w:lang w:val="fr-FR"/>
        </w:rPr>
        <w:t xml:space="preserve">. </w:t>
      </w:r>
    </w:p>
    <w:p w14:paraId="5A67CB40" w14:textId="536B13DC" w:rsidR="007C54B0" w:rsidRPr="0070404D" w:rsidRDefault="009C0863" w:rsidP="00C258BC">
      <w:pPr>
        <w:jc w:val="both"/>
      </w:pPr>
      <w:r w:rsidRPr="00EE2428">
        <w:t xml:space="preserve">In </w:t>
      </w:r>
      <w:r w:rsidR="006573E1">
        <w:t>some parts of</w:t>
      </w:r>
      <w:r w:rsidRPr="00EE2428">
        <w:t xml:space="preserve"> Central Africa, a high proportion of daily protein requirements is </w:t>
      </w:r>
      <w:r w:rsidR="006573E1">
        <w:t>still</w:t>
      </w:r>
      <w:r w:rsidRPr="00EE2428">
        <w:t xml:space="preserve"> supplied by wild meat protein </w:t>
      </w:r>
      <w:r w:rsidR="00AB0660">
        <w:fldChar w:fldCharType="begin" w:fldLock="1"/>
      </w:r>
      <w:r w:rsidR="00AB0660">
        <w:instrText>ADDIN CSL_CITATION {"citationItems":[{"id":"ITEM-1","itemData":{"DOI":"10.1017/S0376892903000067","ISBN":"0376-8929","ISSN":"03768929","abstract":"Tropical moist forests in Africa are concentrated in the Congo Basin. A variety of animals in these forests, in particular mammals, are hunted for their meat, termed bushmeat. This paper investigates current and future trends of bushmeat protein, and non-bushmeat protein supply, for inhabitants of the main Congo Basin countries. Since most bushmeat is derived from forest mammals, published extraction (E) and produc- tion (P) estimates of mammal populations were used to calculate the per person protein supplied by these. Current bushmeat protein supply may range from 30g person?1 day?1 in the Democratic Republic of Congo, to 180 g person?1 day?1 in Gabon. Future bushmeat protein supplies were predicted for the next 50 years by employing current E:P ratios, and controlling for known deforestation and population growth rates. At current exploitation rates, bushmeat protein supply would drop 81% in all countries in less than 50 years; only three countries would be able to maintain a protein supply above the recommended daily require- ment of 52g person?1 day?1. However, if bushmeat harvests were reduced to a sustainable level, all coun- tries except Gabon would be dramatically affected by the loss of wild protein supply. The dependence on bushmeat protein is emphasized by the fact that four out of the five countries studied do not produce suffi- cient amounts of non-bushmeat protein to feed their populations. These findings imply that a significant number of forest mammals could become extinct rela- tively soon, and that protein malnutrition is likely to increase dramatically if food security in the region is not promptly resolved. Keywords:","author":[{"dropping-particle":"","family":"Fa","given":"John E.","non-dropping-particle":"","parse-names":false,"suffix":""},{"dropping-particle":"","family":"Currie","given":"Dominic","non-dropping-particle":"","parse-names":false,"suffix":""},{"dropping-particle":"","family":"Meeuwig","given":"Jessica","non-dropping-particle":"","parse-names":false,"suffix":""}],"container-title":"Environmental Conservation","id":"ITEM-1","issue":"1","issued":{"date-parts":[["2003"]]},"page":"71-78","title":"Bushmeat and food security in the Congo Basin: linkages between wildlife and people's future","type":"article-journal","volume":"30"},"uris":["http://www.mendeley.com/documents/?uuid=d2070e00-b28b-45a8-8927-286524eb9b10"]}],"mendeley":{"formattedCitation":"(Fa et al. 2003)","plainTextFormattedCitation":"(Fa et al. 2003)","previouslyFormattedCitation":"(Fa et al. 2003)"},"properties":{"noteIndex":0},"schema":"https://github.com/citation-style-language/schema/raw/master/csl-citation.json"}</w:instrText>
      </w:r>
      <w:r w:rsidR="00AB0660">
        <w:fldChar w:fldCharType="separate"/>
      </w:r>
      <w:r w:rsidR="00AB0660" w:rsidRPr="00AB0660">
        <w:rPr>
          <w:noProof/>
        </w:rPr>
        <w:t>(Fa et al. 2003)</w:t>
      </w:r>
      <w:r w:rsidR="00AB0660">
        <w:fldChar w:fldCharType="end"/>
      </w:r>
      <w:r w:rsidRPr="00EE2428">
        <w:t xml:space="preserve">. Domestic livestock production is very limited, and agricultural production is either declining or not increasing significantly in all Central African countries, except for the </w:t>
      </w:r>
      <w:r w:rsidRPr="0034795D">
        <w:t>CAR</w:t>
      </w:r>
      <w:r w:rsidRPr="00EE2428">
        <w:t xml:space="preserve"> </w:t>
      </w:r>
      <w:r w:rsidR="00AB0660">
        <w:fldChar w:fldCharType="begin" w:fldLock="1"/>
      </w:r>
      <w:r w:rsidR="00AB0660">
        <w:instrText>ADDIN CSL_CITATION {"citationItems":[{"id":"ITEM-1","itemData":{"DOI":"10.1017/S0376892903000067","ISBN":"0376-8929","ISSN":"03768929","abstract":"Tropical moist forests in Africa are concentrated in the Congo Basin. A variety of animals in these forests, in particular mammals, are hunted for their meat, termed bushmeat. This paper investigates current and future trends of bushmeat protein, and non-bushmeat protein supply, for inhabitants of the main Congo Basin countries. Since most bushmeat is derived from forest mammals, published extraction (E) and produc- tion (P) estimates of mammal populations were used to calculate the per person protein supplied by these. Current bushmeat protein supply may range from 30g person?1 day?1 in the Democratic Republic of Congo, to 180 g person?1 day?1 in Gabon. Future bushmeat protein supplies were predicted for the next 50 years by employing current E:P ratios, and controlling for known deforestation and population growth rates. At current exploitation rates, bushmeat protein supply would drop 81% in all countries in less than 50 years; only three countries would be able to maintain a protein supply above the recommended daily require- ment of 52g person?1 day?1. However, if bushmeat harvests were reduced to a sustainable level, all coun- tries except Gabon would be dramatically affected by the loss of wild protein supply. The dependence on bushmeat protein is emphasized by the fact that four out of the five countries studied do not produce suffi- cient amounts of non-bushmeat protein to feed their populations. These findings imply that a significant number of forest mammals could become extinct rela- tively soon, and that protein malnutrition is likely to increase dramatically if food security in the region is not promptly resolved. Keywords:","author":[{"dropping-particle":"","family":"Fa","given":"John E.","non-dropping-particle":"","parse-names":false,"suffix":""},{"dropping-particle":"","family":"Currie","given":"Dominic","non-dropping-particle":"","parse-names":false,"suffix":""},{"dropping-particle":"","family":"Meeuwig","given":"Jessica","non-dropping-particle":"","parse-names":false,"suffix":""}],"container-title":"Environmental Conservation","id":"ITEM-1","issue":"1","issued":{"date-parts":[["2003"]]},"page":"71-78","title":"Bushmeat and food security in the Congo Basin: linkages between wildlife and people's future","type":"article-journal","volume":"30"},"uris":["http://www.mendeley.com/documents/?uuid=d2070e00-b28b-45a8-8927-286524eb9b10"]},{"id":"ITEM-2","itemData":{"author":[{"dropping-particle":"","family":"Tollens","given":"E","non-dropping-particle":"","parse-names":false,"suffix":""}],"id":"ITEM-2","issued":{"date-parts":[["2010"]]},"publisher-place":"The World Bank, Washington DC, USA","title":"Potential impacts of agriculture development on the forest cover in the Congo Basin","type":"report"},"uris":["http://www.mendeley.com/documents/?uuid=e66ced3d-c33e-47ab-b4bd-f2ca81db61fc"]}],"mendeley":{"formattedCitation":"(Fa et al. 2003; Tollens 2010)","plainTextFormattedCitation":"(Fa et al. 2003; Tollens 2010)","previouslyFormattedCitation":"(Fa et al. 2003; Tollens 2010)"},"properties":{"noteIndex":0},"schema":"https://github.com/citation-style-language/schema/raw/master/csl-citation.json"}</w:instrText>
      </w:r>
      <w:r w:rsidR="00AB0660">
        <w:fldChar w:fldCharType="separate"/>
      </w:r>
      <w:r w:rsidR="00AB0660" w:rsidRPr="00AB0660">
        <w:rPr>
          <w:noProof/>
        </w:rPr>
        <w:t>(Fa et al. 2003; Tollens 2010)</w:t>
      </w:r>
      <w:r w:rsidR="00AB0660">
        <w:fldChar w:fldCharType="end"/>
      </w:r>
      <w:r w:rsidRPr="00EE2428">
        <w:t>. Analyses conducted 15 years ago su</w:t>
      </w:r>
      <w:r w:rsidRPr="0064175F">
        <w:t>ggested that wild meat off-take le</w:t>
      </w:r>
      <w:r w:rsidRPr="006F5EBC">
        <w:t xml:space="preserve">vels in this region were </w:t>
      </w:r>
      <w:r w:rsidRPr="0070404D">
        <w:rPr>
          <w:i/>
        </w:rPr>
        <w:t>ca</w:t>
      </w:r>
      <w:r w:rsidRPr="0070404D">
        <w:t xml:space="preserve">. 50% higher than production and at least 4-fold higher than sustainable rates </w:t>
      </w:r>
      <w:r w:rsidR="00AB0660">
        <w:fldChar w:fldCharType="begin" w:fldLock="1"/>
      </w:r>
      <w:r w:rsidR="00AB0660">
        <w:instrText>ADDIN CSL_CITATION {"citationItems":[{"id":"ITEM-1","itemData":{"DOI":"10.1046/j.1523-1739.2002.00275.x","ISBN":"1523-1739","ISSN":"0888-8892","PMID":"10875522","abstract":"We calculated extraction and production rates of bushmeat species in two main tropical, moist-forest regions, the Amazon and Congo basins. Extraction was estimated from the average number of animals consumed per person per year from anthropological studies that reported animal kills brought into settlements in the regions. We calculated extraction rates ( kg / km 2/year) for 57 and 31 mammalian taxa in the Congo and Amazon, respectively. We then examined the sustainability of these extraction rates by basin and by taxa, using extraction-to-production ( E:P) mass-balance equations. Production (tonnes/year) was calculated as the product of rmax (the intrinsic rate of natural increase), mammal biomass, and total area of forest in each region. Species exploitation rates at specific body masses were significantly greater in the Congo than in the Amazon. The E :P ratio for the Congo was 2.4, 30 times the Amazon's ratio of 0.081. Thus, Congo Basin mammals must annually produce approximately 93% of their body mass to balance current extraction rates, whereas Amazonian mammals must produce only 4% of their body mass. We calculated sustainability levels derived from Robinson and Redford's harvest model for each taxa. On a basin-wide level, 60% and none of the mammal taxa in the Congo and Amazon basins, respectively, were exploited unsustainably. To evaluate the effect of error on the estimates of E :P, we conducted a sensitivity analysis, which suggests that the mass-balance was most sensitive to error in standing stock but that our results are robust. We estimated that over 5 million tons of wild mammal meat feed millions in Neotropical (0.15 million) and Afrotropical (4.9 million) forests annually. Our Congo basin estimates are four times higher than those calculated for the region by other workers, and we conclude that the current situation of bushmeat extraction in African rain forests is more precarious than previously thought. Calculamos las tasas de extracción y de producción de especies cinegéticas en dos importantes regiones tropicales de bosque húmedo: las cuencas del Amazonas y del Congo. Se estimó la extracción a partir del número promedio de animales consumidos por año en estudios antropológicos que registraron animales cazados y llevados a los poblados en las regiones. Calculamos tasas de extracción ( kg/km 2/año−1) para 57 y 31 taxa de mamíferos en el Congo y el Amazonas, respectivamente. Posteriormente examinamos la sustentabilidad de estas tasas …","author":[{"dropping-particle":"","family":"Fa","given":"John E","non-dropping-particle":"","parse-names":false,"suffix":""},{"dropping-particle":"","family":"Peres","given":"Carlos A","non-dropping-particle":"","parse-names":false,"suffix":""},{"dropping-particle":"","family":"Meeuwig","given":"Jessica","non-dropping-particle":"","parse-names":false,"suffix":""}],"container-title":"Conservation Biology","id":"ITEM-1","issue":"1","issued":{"date-parts":[["2002"]]},"page":"232-237","title":"Bushmeat exploitation in tropical forests: an intercontinental comparison","type":"article-journal","volume":"16"},"uris":["http://www.mendeley.com/documents/?uuid=e1b18c38-751b-40b4-a08a-c77816093199"]}],"mendeley":{"formattedCitation":"(Fa et al. 2002)","plainTextFormattedCitation":"(Fa et al. 2002)","previouslyFormattedCitation":"(Fa et al. 2002)"},"properties":{"noteIndex":0},"schema":"https://github.com/citation-style-language/schema/raw/master/csl-citation.json"}</w:instrText>
      </w:r>
      <w:r w:rsidR="00AB0660">
        <w:fldChar w:fldCharType="separate"/>
      </w:r>
      <w:r w:rsidR="00AB0660" w:rsidRPr="00AB0660">
        <w:rPr>
          <w:noProof/>
        </w:rPr>
        <w:t>(Fa et al. 2002)</w:t>
      </w:r>
      <w:r w:rsidR="00AB0660">
        <w:fldChar w:fldCharType="end"/>
      </w:r>
      <w:r w:rsidRPr="0070404D">
        <w:t>. If these analyses and extraction rates hold true today, Central Africa’s wild meat supplies are anticipated to decline by at least 61% in the CAR and up to 78% in the DRC</w:t>
      </w:r>
      <w:r w:rsidR="00A52CA3">
        <w:t xml:space="preserve">, by </w:t>
      </w:r>
      <w:r w:rsidR="00A52CA3" w:rsidRPr="0070404D">
        <w:t>2050</w:t>
      </w:r>
      <w:r w:rsidRPr="0070404D">
        <w:t xml:space="preserve"> </w:t>
      </w:r>
      <w:r w:rsidR="00AB0660">
        <w:fldChar w:fldCharType="begin" w:fldLock="1"/>
      </w:r>
      <w:r w:rsidR="00AB0660">
        <w:instrText>ADDIN CSL_CITATION {"citationItems":[{"id":"ITEM-1","itemData":{"DOI":"10.1017/S0376892903000067","ISBN":"0376-8929","ISSN":"03768929","abstract":"Tropical moist forests in Africa are concentrated in the Congo Basin. A variety of animals in these forests, in particular mammals, are hunted for their meat, termed bushmeat. This paper investigates current and future trends of bushmeat protein, and non-bushmeat protein supply, for inhabitants of the main Congo Basin countries. Since most bushmeat is derived from forest mammals, published extraction (E) and produc- tion (P) estimates of mammal populations were used to calculate the per person protein supplied by these. Current bushmeat protein supply may range from 30g person?1 day?1 in the Democratic Republic of Congo, to 180 g person?1 day?1 in Gabon. Future bushmeat protein supplies were predicted for the next 50 years by employing current E:P ratios, and controlling for known deforestation and population growth rates. At current exploitation rates, bushmeat protein supply would drop 81% in all countries in less than 50 years; only three countries would be able to maintain a protein supply above the recommended daily require- ment of 52g person?1 day?1. However, if bushmeat harvests were reduced to a sustainable level, all coun- tries except Gabon would be dramatically affected by the loss of wild protein supply. The dependence on bushmeat protein is emphasized by the fact that four out of the five countries studied do not produce suffi- cient amounts of non-bushmeat protein to feed their populations. These findings imply that a significant number of forest mammals could become extinct rela- tively soon, and that protein malnutrition is likely to increase dramatically if food security in the region is not promptly resolved. Keywords:","author":[{"dropping-particle":"","family":"Fa","given":"John E.","non-dropping-particle":"","parse-names":false,"suffix":""},{"dropping-particle":"","family":"Currie","given":"Dominic","non-dropping-particle":"","parse-names":false,"suffix":""},{"dropping-particle":"","family":"Meeuwig","given":"Jessica","non-dropping-particle":"","parse-names":false,"suffix":""}],"container-title":"Environmental Conservation","id":"ITEM-1","issue":"1","issued":{"date-parts":[["2003"]]},"page":"71-78","title":"Bushmeat and food security in the Congo Basin: linkages between wildlife and people's future","type":"article-journal","volume":"30"},"uris":["http://www.mendeley.com/documents/?uuid=d2070e00-b28b-45a8-8927-286524eb9b10"]}],"mendeley":{"formattedCitation":"(Fa et al. 2003)","plainTextFormattedCitation":"(Fa et al. 2003)","previouslyFormattedCitation":"(Fa et al. 2003)"},"properties":{"noteIndex":0},"schema":"https://github.com/citation-style-language/schema/raw/master/csl-citation.json"}</w:instrText>
      </w:r>
      <w:r w:rsidR="00AB0660">
        <w:fldChar w:fldCharType="separate"/>
      </w:r>
      <w:r w:rsidR="00AB0660" w:rsidRPr="00AB0660">
        <w:rPr>
          <w:noProof/>
        </w:rPr>
        <w:t>(Fa et al. 2003)</w:t>
      </w:r>
      <w:r w:rsidR="00AB0660">
        <w:fldChar w:fldCharType="end"/>
      </w:r>
      <w:r w:rsidRPr="0070404D">
        <w:t xml:space="preserve">. In such a scenario, only three countries (Gabon, Cameroon and CAR) would </w:t>
      </w:r>
      <w:r w:rsidRPr="002656D6">
        <w:t>prospectively maintain their population's protein supply above the reco</w:t>
      </w:r>
      <w:r w:rsidR="002656D6" w:rsidRPr="002656D6">
        <w:t xml:space="preserve">mmended daily requirement (46 and 56g </w:t>
      </w:r>
      <w:r w:rsidR="00A52CA3" w:rsidRPr="002656D6">
        <w:t>per day</w:t>
      </w:r>
      <w:r w:rsidR="002656D6" w:rsidRPr="002656D6">
        <w:t xml:space="preserve"> for women and men respectively)</w:t>
      </w:r>
      <w:r w:rsidRPr="002656D6">
        <w:t>. Maintaining current reliance on wild meat in the region not only implies</w:t>
      </w:r>
      <w:r w:rsidRPr="0070404D">
        <w:t xml:space="preserve"> that a substantial number of faunal species will become at least locally extinct relatively shortly, but that malnutrition will also increase </w:t>
      </w:r>
      <w:r w:rsidR="00BF3E18">
        <w:t>significantly</w:t>
      </w:r>
      <w:r w:rsidRPr="0070404D">
        <w:t xml:space="preserve"> in Central Africa unless food security is promptly resolved by other means </w:t>
      </w:r>
      <w:r w:rsidR="00AB0660">
        <w:fldChar w:fldCharType="begin" w:fldLock="1"/>
      </w:r>
      <w:r w:rsidR="00AB0660">
        <w:instrText>ADDIN CSL_CITATION {"citationItems":[{"id":"ITEM-1","itemData":{"DOI":"10.1017/S0376892903000067","ISBN":"0376-8929","ISSN":"03768929","abstract":"Tropical moist forests in Africa are concentrated in the Congo Basin. A variety of animals in these forests, in particular mammals, are hunted for their meat, termed bushmeat. This paper investigates current and future trends of bushmeat protein, and non-bushmeat protein supply, for inhabitants of the main Congo Basin countries. Since most bushmeat is derived from forest mammals, published extraction (E) and produc- tion (P) estimates of mammal populations were used to calculate the per person protein supplied by these. Current bushmeat protein supply may range from 30g person?1 day?1 in the Democratic Republic of Congo, to 180 g person?1 day?1 in Gabon. Future bushmeat protein supplies were predicted for the next 50 years by employing current E:P ratios, and controlling for known deforestation and population growth rates. At current exploitation rates, bushmeat protein supply would drop 81% in all countries in less than 50 years; only three countries would be able to maintain a protein supply above the recommended daily require- ment of 52g person?1 day?1. However, if bushmeat harvests were reduced to a sustainable level, all coun- tries except Gabon would be dramatically affected by the loss of wild protein supply. The dependence on bushmeat protein is emphasized by the fact that four out of the five countries studied do not produce suffi- cient amounts of non-bushmeat protein to feed their populations. These findings imply that a significant number of forest mammals could become extinct rela- tively soon, and that protein malnutrition is likely to increase dramatically if food security in the region is not promptly resolved. Keywords:","author":[{"dropping-particle":"","family":"Fa","given":"John E.","non-dropping-particle":"","parse-names":false,"suffix":""},{"dropping-particle":"","family":"Currie","given":"Dominic","non-dropping-particle":"","parse-names":false,"suffix":""},{"dropping-particle":"","family":"Meeuwig","given":"Jessica","non-dropping-particle":"","parse-names":false,"suffix":""}],"container-title":"Environmental Conservation","id":"ITEM-1","issue":"1","issued":{"date-parts":[["2003"]]},"page":"71-78","title":"Bushmeat and food security in the Congo Basin: linkages between wildlife and people's future","type":"article-journal","volume":"30"},"uris":["http://www.mendeley.com/documents/?uuid=d2070e00-b28b-45a8-8927-286524eb9b10"]}],"mendeley":{"formattedCitation":"(Fa et al. 2003)","plainTextFormattedCitation":"(Fa et al. 2003)","previouslyFormattedCitation":"(Fa et al. 2003)"},"properties":{"noteIndex":0},"schema":"https://github.com/citation-style-language/schema/raw/master/csl-citation.json"}</w:instrText>
      </w:r>
      <w:r w:rsidR="00AB0660">
        <w:fldChar w:fldCharType="separate"/>
      </w:r>
      <w:r w:rsidR="00AB0660" w:rsidRPr="00AB0660">
        <w:rPr>
          <w:noProof/>
        </w:rPr>
        <w:t>(Fa et al. 2003)</w:t>
      </w:r>
      <w:r w:rsidR="00AB0660">
        <w:fldChar w:fldCharType="end"/>
      </w:r>
      <w:r w:rsidRPr="0070404D">
        <w:t xml:space="preserve">. </w:t>
      </w:r>
    </w:p>
    <w:p w14:paraId="588E71B3" w14:textId="3C711D81" w:rsidR="007C54B0" w:rsidRDefault="009C0863" w:rsidP="00C258BC">
      <w:pPr>
        <w:jc w:val="both"/>
      </w:pPr>
      <w:r w:rsidRPr="0070404D">
        <w:t>In rural Madagascar, the consumption of more wild meat by children (&lt;12 years old) was correlated with significantly higher haemoglobin concentrations (</w:t>
      </w:r>
      <w:r w:rsidRPr="0070404D">
        <w:rPr>
          <w:i/>
        </w:rPr>
        <w:t>ca</w:t>
      </w:r>
      <w:r w:rsidRPr="0070404D">
        <w:t xml:space="preserve">. 0.69 g/L) </w:t>
      </w:r>
      <w:r w:rsidR="00AB0660">
        <w:fldChar w:fldCharType="begin" w:fldLock="1"/>
      </w:r>
      <w:r w:rsidR="00AB0660">
        <w:instrText>ADDIN CSL_CITATION {"citationItems":[{"id":"ITEM-1","itemData":{"DOI":"10.1073/pnas.1112586108","author":[{"dropping-particle":"","family":"Golden","given":"Christopher D","non-dropping-particle":"","parse-names":false,"suffix":""},{"dropping-particle":"","family":"Fernald","given":"Lia C H","non-dropping-particle":"","parse-names":false,"suffix":""},{"dropping-particle":"","family":"Brashares","given":"Justin S","non-dropping-particle":"","parse-names":false,"suffix":""},{"dropping-particle":"","family":"Rasolofoniaina","given":"B J Rodolph","non-dropping-particle":"","parse-names":false,"suffix":""},{"dropping-particle":"","family":"Kremen","given":"Claire","non-dropping-particle":"","parse-names":false,"suffix":""}],"container-title":"Proceedings of the National Academy of Sciences","id":"ITEM-1","issue":"49","issued":{"date-parts":[["2011"]]},"page":"19653-19656","title":"Benefits of wildlife consumption to child nutrition in a biodiversity hotspot","type":"article-journal","volume":"108"},"uris":["http://www.mendeley.com/documents/?uuid=8069b74c-1791-4990-9cce-781b9f0af967"]}],"mendeley":{"formattedCitation":"(Golden et al. 2011)","plainTextFormattedCitation":"(Golden et al. 2011)","previouslyFormattedCitation":"(Golden et al. 2011)"},"properties":{"noteIndex":0},"schema":"https://github.com/citation-style-language/schema/raw/master/csl-citation.json"}</w:instrText>
      </w:r>
      <w:r w:rsidR="00AB0660">
        <w:fldChar w:fldCharType="separate"/>
      </w:r>
      <w:r w:rsidR="00AB0660" w:rsidRPr="00AB0660">
        <w:rPr>
          <w:noProof/>
        </w:rPr>
        <w:t xml:space="preserve">(Golden et al. </w:t>
      </w:r>
      <w:r w:rsidR="00AB0660" w:rsidRPr="00AB0660">
        <w:rPr>
          <w:noProof/>
        </w:rPr>
        <w:lastRenderedPageBreak/>
        <w:t>2011)</w:t>
      </w:r>
      <w:r w:rsidR="00AB0660">
        <w:fldChar w:fldCharType="end"/>
      </w:r>
      <w:r w:rsidRPr="0070404D">
        <w:t xml:space="preserve">. </w:t>
      </w:r>
      <w:r w:rsidR="000E249B">
        <w:t>The result predicts</w:t>
      </w:r>
      <w:r w:rsidR="000E249B" w:rsidRPr="0070404D">
        <w:t xml:space="preserve"> </w:t>
      </w:r>
      <w:r w:rsidR="000E249B">
        <w:t>that t</w:t>
      </w:r>
      <w:r w:rsidRPr="0070404D">
        <w:t xml:space="preserve">he loss of access to wild meat resources without replacement with domestic proteins </w:t>
      </w:r>
      <w:r w:rsidR="000E249B">
        <w:t>would lead</w:t>
      </w:r>
      <w:r w:rsidRPr="0070404D">
        <w:t xml:space="preserve"> to a 29% rise in the incidence of childhood anaemia, with a tripling of anaemia rates for children in the poorest households </w:t>
      </w:r>
      <w:r w:rsidR="00AB0660">
        <w:fldChar w:fldCharType="begin" w:fldLock="1"/>
      </w:r>
      <w:r w:rsidR="00AB0660">
        <w:instrText>ADDIN CSL_CITATION {"citationItems":[{"id":"ITEM-1","itemData":{"DOI":"10.1073/pnas.1112586108","author":[{"dropping-particle":"","family":"Golden","given":"Christopher D","non-dropping-particle":"","parse-names":false,"suffix":""},{"dropping-particle":"","family":"Fernald","given":"Lia C H","non-dropping-particle":"","parse-names":false,"suffix":""},{"dropping-particle":"","family":"Brashares","given":"Justin S","non-dropping-particle":"","parse-names":false,"suffix":""},{"dropping-particle":"","family":"Rasolofoniaina","given":"B J Rodolph","non-dropping-particle":"","parse-names":false,"suffix":""},{"dropping-particle":"","family":"Kremen","given":"Claire","non-dropping-particle":"","parse-names":false,"suffix":""}],"container-title":"Proceedings of the National Academy of Sciences","id":"ITEM-1","issue":"49","issued":{"date-parts":[["2011"]]},"page":"19653-19656","title":"Benefits of wildlife consumption to child nutrition in a biodiversity hotspot","type":"article-journal","volume":"108"},"uris":["http://www.mendeley.com/documents/?uuid=8069b74c-1791-4990-9cce-781b9f0af967"]}],"mendeley":{"formattedCitation":"(Golden et al. 2011)","plainTextFormattedCitation":"(Golden et al. 2011)","previouslyFormattedCitation":"(Golden et al. 2011)"},"properties":{"noteIndex":0},"schema":"https://github.com/citation-style-language/schema/raw/master/csl-citation.json"}</w:instrText>
      </w:r>
      <w:r w:rsidR="00AB0660">
        <w:fldChar w:fldCharType="separate"/>
      </w:r>
      <w:r w:rsidR="00AB0660" w:rsidRPr="00AB0660">
        <w:rPr>
          <w:noProof/>
        </w:rPr>
        <w:t>(Golden et al. 2011)</w:t>
      </w:r>
      <w:r w:rsidR="00AB0660">
        <w:fldChar w:fldCharType="end"/>
      </w:r>
      <w:r w:rsidRPr="0070404D">
        <w:t xml:space="preserve">. Such findings warrant concern, as anaemia is also known to progress to many other illness states, including cognitive, motor and physical defects. </w:t>
      </w:r>
    </w:p>
    <w:p w14:paraId="29EBEB63" w14:textId="1AE1044C" w:rsidR="00BC4D64" w:rsidRDefault="00BC4D64" w:rsidP="001C1D6E">
      <w:pPr>
        <w:pStyle w:val="Heading3"/>
      </w:pPr>
      <w:r w:rsidRPr="00D06CAC">
        <w:t>Economic insecurity</w:t>
      </w:r>
    </w:p>
    <w:p w14:paraId="51EF9F48" w14:textId="28A80284" w:rsidR="00037603" w:rsidRDefault="003C2C38" w:rsidP="00C258BC">
      <w:pPr>
        <w:jc w:val="both"/>
      </w:pPr>
      <w:r>
        <w:t>E</w:t>
      </w:r>
      <w:r w:rsidR="00037603">
        <w:t xml:space="preserve">ven where hunting incomes are small, and/or represent a small proportion of </w:t>
      </w:r>
      <w:r>
        <w:t xml:space="preserve">rural </w:t>
      </w:r>
      <w:r w:rsidR="00037603">
        <w:t xml:space="preserve">household incomes, they can provide important buffers to economic shocks, such as </w:t>
      </w:r>
      <w:r w:rsidR="00BF3E18">
        <w:t>crop failures or loss of income due to illness</w:t>
      </w:r>
      <w:r w:rsidR="00A52CA3">
        <w:t xml:space="preserve">. They can also </w:t>
      </w:r>
      <w:r w:rsidR="00037603">
        <w:t>provide</w:t>
      </w:r>
      <w:r>
        <w:t xml:space="preserve"> quick-access to</w:t>
      </w:r>
      <w:r w:rsidR="00037603">
        <w:t xml:space="preserve"> funds for one-off payments, such as school fees and medical bills. The loss of these small incomes could therefore have a disproportionate impact on wellbeing. Where hunting incomes are lost, hunters may turn to other livelihood activities in </w:t>
      </w:r>
      <w:r w:rsidR="00353400">
        <w:t xml:space="preserve">the </w:t>
      </w:r>
      <w:r w:rsidR="00037603">
        <w:t>commu</w:t>
      </w:r>
      <w:r w:rsidR="00A52CA3">
        <w:t>nity. H</w:t>
      </w:r>
      <w:r w:rsidR="00037603">
        <w:t xml:space="preserve">owever, in many remote communities, hunting represents one of the only income-generating activities available. </w:t>
      </w:r>
    </w:p>
    <w:p w14:paraId="63A335A0" w14:textId="152A65F6" w:rsidR="00740F97" w:rsidRDefault="00037603" w:rsidP="00C258BC">
      <w:pPr>
        <w:jc w:val="both"/>
      </w:pPr>
      <w:r>
        <w:t xml:space="preserve">Another option is for hunters to migrate out of local communities to find employment, and this out-migration has been observed in Rio Muni, Equatorial Guinea </w:t>
      </w:r>
      <w:r w:rsidR="00AB0660">
        <w:fldChar w:fldCharType="begin" w:fldLock="1"/>
      </w:r>
      <w:r w:rsidR="00AB0660">
        <w:instrText>ADDIN CSL_CITATION {"citationItems":[{"id":"ITEM-1","itemData":{"DOI":"10.1111/j.1523-1739.2012.01876.x","ISSN":"1523-1739","PMID":"22830627","abstract":"Economic development in Africa is expected to increase levels of bushmeat hunting through rising demand for meat and improved transport infrastructure. However, few studies have tracked long-term changes in hunter behavior as a means of testing this prediction. We evaluated changes in hunter behavior in a rural community in Equatorial Guinea over a period of rapid national economic growth, during which time road access to the regional capital greatly improved. We conducted offtake surveys (Supporting Information) over 3 7-week periods at the same time of year in 1998, 2003, and 2010 and conducted hunter and household interviews (Supporting Information) in 2003 and 2010. We tested whether relations existed among catch, hunting effort, hunting strategy, and income earned through hunting and other livelihoods in 2003 and 2010. Although village offtake increased from 1775 kg in 1998 to 4172 kg in 2003, it decreased in 2010 to 1361 kg. Aggregate catch per unit effort (i.e., number of carcasses caught per hunter and per trap) decreased from 2003 to 2010, and the majority of hunters reported a decrease in abundance of local fauna. Although these results are indicative of unsustainable hunting, cumulative changes in offtake and catch per unit effort were driven by a contraction in the total area hunted following an out-migration of 29 of the village's hunters, most of whom left to gain employment in the construction industry, after 2003. Hunters operating in both 2003 and 2010 hunted closer to the village because an increased abundance of elephants posed a danger and because they desired to earn income through other activities. Our study provides an example of national economic development contributing to a reduction in the intensity and extent of hunting.","author":[{"dropping-particle":"","family":"Gill","given":"David J C","non-dropping-particle":"","parse-names":false,"suffix":""},{"dropping-particle":"","family":"Fa","given":"John E","non-dropping-particle":"","parse-names":false,"suffix":""},{"dropping-particle":"","family":"Rowcliffe","given":"J Marcus","non-dropping-particle":"","parse-names":false,"suffix":""},{"dropping-particle":"","family":"Kümpel","given":"Noëlle F","non-dropping-particle":"","parse-names":false,"suffix":""}],"container-title":"Conservation Biology","id":"ITEM-1","issue":"6","issued":{"date-parts":[["2012","12"]]},"page":"1052-60","title":"Drivers of change in hunter offtake and hunting strategies in Sendje, Equatorial Guinea","type":"article-journal","volume":"26"},"uris":["http://www.mendeley.com/documents/?uuid=11bfb6c5-5fd9-43e6-bd0d-b965f20e9a1c"]}],"mendeley":{"formattedCitation":"(Gill et al. 2012)","plainTextFormattedCitation":"(Gill et al. 2012)","previouslyFormattedCitation":"(Gill et al. 2012)"},"properties":{"noteIndex":0},"schema":"https://github.com/citation-style-language/schema/raw/master/csl-citation.json"}</w:instrText>
      </w:r>
      <w:r w:rsidR="00AB0660">
        <w:fldChar w:fldCharType="separate"/>
      </w:r>
      <w:r w:rsidR="00AB0660" w:rsidRPr="00AB0660">
        <w:rPr>
          <w:noProof/>
        </w:rPr>
        <w:t>(Gill et al. 2012)</w:t>
      </w:r>
      <w:r w:rsidR="00AB0660">
        <w:fldChar w:fldCharType="end"/>
      </w:r>
      <w:r>
        <w:t xml:space="preserve"> and Central Gabon </w:t>
      </w:r>
      <w:r w:rsidR="00AB0660">
        <w:fldChar w:fldCharType="begin" w:fldLock="1"/>
      </w:r>
      <w:r w:rsidR="00AB0660">
        <w:instrText>ADDIN CSL_CITATION {"citationItems":[{"id":"ITEM-1","itemData":{"DOI":"10.1111/cobi.12012","ISBN":"1523-1739","ISSN":"08888892","PMID":"23369059","abstract":"Despite widespread recognition of the major threat to tropical forest biological diversity and local food security posed by unsustainable bushmeat hunting, virtually no long-term studies tracking the socioecological dynamics of hunting systems have been conducted. We interviewed local hunters and collected detailed hunting data to investigate changes in offtake and hunter characteristics over 10 years (2001-2010) in Dibouka and Kouagna villages, central Gabon, in the context of hunter recollections of longer term trends since the 1950s. To control for changes in hunter behavior, such as trap location and characteristics, we report hunting offtake data per trap. Our results suggest the hunting area was already highly depleted by 2001; local hunters reported that 16 large-bodied prey species had become rare or locally extirpated over the last 60 years. Overall, we observed no significant declines in hunting offtake or changes in species composition from 2001 to 2010, and offtakes per trap increased slightly between 2004 and 2010. However, trapping distance from the villages increased, and there was a switch in hunting techniques; a larger proportion of the catch was hunted with guns in 2010. The number of hunters declined by 20% from 2004 to 2010, and male livelihood activities shifted away from hunting. Hunters with the lowest hunting incomes in 2004 were more likely than successful hunters to have moved away from the village by 2010 (often in response to alternative employment opportunities). Therefore, changes in trap success (potentially related to biological factors) were interacting with system-level changes in hunter number and composition (related to external socioeconomic factors) to produce a relatively static overall offtake. Our results highlight the importance of understanding the small-scale context of hunting to correctly interpret changes or apparent stasis in hunting effort and offtake over time.","author":[{"dropping-particle":"","family":"Coad","given":"L.","non-dropping-particle":"","parse-names":false,"suffix":""},{"dropping-particle":"","family":"Schleicher","given":"J.","non-dropping-particle":"","parse-names":false,"suffix":""},{"dropping-particle":"","family":"Milner-Gulland","given":"E. J.","non-dropping-particle":"","parse-names":false,"suffix":""},{"dropping-particle":"","family":"Marthews","given":"T. R.","non-dropping-particle":"","parse-names":false,"suffix":""},{"dropping-particle":"","family":"Starkey","given":"M.","non-dropping-particle":"","parse-names":false,"suffix":""},{"dropping-particle":"","family":"Manica","given":"A.","non-dropping-particle":"","parse-names":false,"suffix":""},{"dropping-particle":"","family":"Balmford","given":"A.","non-dropping-particle":"","parse-names":false,"suffix":""},{"dropping-particle":"","family":"Mbombe","given":"W.","non-dropping-particle":"","parse-names":false,"suffix":""},{"dropping-particle":"","family":"Diop Bineni","given":"T. R.","non-dropping-particle":"","parse-names":false,"suffix":""},{"dropping-particle":"","family":"Abernethy","given":"K. A.","non-dropping-particle":"","parse-names":false,"suffix":""}],"container-title":"Conservation Biology","id":"ITEM-1","issue":"2","issued":{"date-parts":[["2013"]]},"page":"270-280","title":"Social and ecological change over a decade in a village hunting system, Central Gabon","type":"article-journal","volume":"27"},"uris":["http://www.mendeley.com/documents/?uuid=2487128a-cfb3-488a-90a8-01aebd4969c4"]}],"mendeley":{"formattedCitation":"(Coad et al. 2013)","plainTextFormattedCitation":"(Coad et al. 2013)","previouslyFormattedCitation":"(Coad et al. 2013)"},"properties":{"noteIndex":0},"schema":"https://github.com/citation-style-language/schema/raw/master/csl-citation.json"}</w:instrText>
      </w:r>
      <w:r w:rsidR="00AB0660">
        <w:fldChar w:fldCharType="separate"/>
      </w:r>
      <w:r w:rsidR="00AB0660" w:rsidRPr="00AB0660">
        <w:rPr>
          <w:noProof/>
        </w:rPr>
        <w:t>(Coad et al. 2013)</w:t>
      </w:r>
      <w:r w:rsidR="00AB0660">
        <w:fldChar w:fldCharType="end"/>
      </w:r>
      <w:r>
        <w:t xml:space="preserve">, where a 20% decline in hunters </w:t>
      </w:r>
      <w:r w:rsidR="00353400">
        <w:t>was</w:t>
      </w:r>
      <w:r>
        <w:t xml:space="preserve"> recorded over 10 years</w:t>
      </w:r>
      <w:r w:rsidR="0071464C">
        <w:t>. Young</w:t>
      </w:r>
      <w:r w:rsidR="00AA3C95">
        <w:t xml:space="preserve"> </w:t>
      </w:r>
      <w:r>
        <w:t>hunters with the lowest hunting incomes</w:t>
      </w:r>
      <w:r w:rsidR="0071464C">
        <w:t xml:space="preserve"> were more likely to move</w:t>
      </w:r>
      <w:r>
        <w:t xml:space="preserve"> away, often in response to employment opportunities in town</w:t>
      </w:r>
      <w:r w:rsidR="007D0617">
        <w:t>. This left</w:t>
      </w:r>
      <w:r>
        <w:t xml:space="preserve"> </w:t>
      </w:r>
      <w:r w:rsidR="007D0617">
        <w:t xml:space="preserve">the villages with </w:t>
      </w:r>
      <w:r>
        <w:t>a few key commercial hunt</w:t>
      </w:r>
      <w:r w:rsidR="00D53AC2">
        <w:t xml:space="preserve">ers whose profits could compete with external </w:t>
      </w:r>
      <w:r w:rsidR="003F711B">
        <w:t>employment opportunities,</w:t>
      </w:r>
      <w:r w:rsidR="002A5A81">
        <w:t xml:space="preserve"> and a</w:t>
      </w:r>
      <w:r>
        <w:t xml:space="preserve"> demographic skewed towards women, children and older men.</w:t>
      </w:r>
    </w:p>
    <w:p w14:paraId="38EC72AA" w14:textId="09019CD5" w:rsidR="00740F97" w:rsidRPr="00740F97" w:rsidRDefault="003C2C38" w:rsidP="00C258BC">
      <w:pPr>
        <w:jc w:val="both"/>
        <w:rPr>
          <w:lang w:val="en-US"/>
        </w:rPr>
      </w:pPr>
      <w:r>
        <w:t xml:space="preserve">There is still </w:t>
      </w:r>
      <w:r w:rsidR="00944860">
        <w:t>insufficient</w:t>
      </w:r>
      <w:r>
        <w:t xml:space="preserve"> understanding of </w:t>
      </w:r>
      <w:r w:rsidRPr="00740F97">
        <w:t xml:space="preserve">the role that wild meat plays in the household economy </w:t>
      </w:r>
      <w:r w:rsidR="00353400" w:rsidRPr="00740F97">
        <w:t>o</w:t>
      </w:r>
      <w:r w:rsidR="00353400">
        <w:t>f</w:t>
      </w:r>
      <w:r w:rsidRPr="00740F97">
        <w:t xml:space="preserve"> rural </w:t>
      </w:r>
      <w:r w:rsidR="00353400">
        <w:t>tropical</w:t>
      </w:r>
      <w:r w:rsidRPr="00740F97">
        <w:t xml:space="preserve"> peoples, especially how reduced access to both meat and incomes impact household economy, and how/whether households adapt</w:t>
      </w:r>
      <w:r>
        <w:t xml:space="preserve">. The potential </w:t>
      </w:r>
      <w:r w:rsidR="00944860">
        <w:t>impacts of losses in household incomes make</w:t>
      </w:r>
      <w:r>
        <w:t xml:space="preserve"> this a research priority</w:t>
      </w:r>
      <w:r w:rsidR="002A5A81">
        <w:t>.</w:t>
      </w:r>
    </w:p>
    <w:p w14:paraId="0FF4E3EC" w14:textId="37F51E43" w:rsidR="009C0863" w:rsidRPr="00785A38" w:rsidRDefault="00810C11" w:rsidP="001C1D6E">
      <w:pPr>
        <w:pStyle w:val="Heading3"/>
      </w:pPr>
      <w:r>
        <w:t>P</w:t>
      </w:r>
      <w:r w:rsidR="00274938" w:rsidRPr="00785A38">
        <w:t>ost-depletion sustainability</w:t>
      </w:r>
    </w:p>
    <w:p w14:paraId="4821BC0C" w14:textId="5BB7FA69" w:rsidR="00225F57" w:rsidRPr="0070404D" w:rsidRDefault="00FE0786" w:rsidP="00C258BC">
      <w:pPr>
        <w:jc w:val="both"/>
        <w:rPr>
          <w:color w:val="000000" w:themeColor="text1"/>
        </w:rPr>
      </w:pPr>
      <w:r w:rsidRPr="0070404D">
        <w:t>Hunting modifies</w:t>
      </w:r>
      <w:r w:rsidR="007D0617">
        <w:t xml:space="preserve"> wildlife communities over time,</w:t>
      </w:r>
      <w:r w:rsidRPr="0070404D">
        <w:t xml:space="preserve"> extirpating vulnerable species and promoting hunting-resilient species at higher abundances than would have been found in an unhunted forest </w:t>
      </w:r>
      <w:r w:rsidR="00AB0660">
        <w:fldChar w:fldCharType="begin" w:fldLock="1"/>
      </w:r>
      <w:r w:rsidR="00AB0660">
        <w:instrText>ADDIN CSL_CITATION {"citationItems":[{"id":"ITEM-1","itemData":{"author":[{"dropping-particle":"","family":"Peres","given":"C A","non-dropping-particle":"","parse-names":false,"suffix":""},{"dropping-particle":"","family":"Dolman","given":"P","non-dropping-particle":"","parse-names":false,"suffix":""}],"container-title":"Oecologia","id":"ITEM-1","issued":{"date-parts":[["2000"]]},"page":"175-189","title":"Density compensation in neotropical primate communities: evidence from 56 hunted and nonhunted Amazonian forests of varying productivity","type":"article-journal","volume":"122"},"uris":["http://www.mendeley.com/documents/?uuid=f0f588ad-e401-41a3-88c4-8444657181da"]},{"id":"ITEM-2","itemData":{"DOI":"10.1111/j.1744-7429.2007.00272.x","ISBN":"1744-7429","ISSN":"00063606","author":[{"dropping-particle":"","family":"Peres","given":"Carlos A","non-dropping-particle":"","parse-names":false,"suffix":""},{"dropping-particle":"","family":"Palacios","given":"E","non-dropping-particle":"","parse-names":false,"suffix":""}],"container-title":"Biotropica","id":"ITEM-2","issue":"3","issued":{"date-parts":[["2007"]]},"page":"304-315","title":"Basin‐wide effects of game harvest on vertebrate population densities in Amazonian forests: implications for animal‐mediated seed dispersal","type":"article-journal","volume":"39"},"uris":["http://www.mendeley.com/documents/?uuid=1fec3cc3-0ce3-4421-ac91-93fdbe6bf50f"]},{"id":"ITEM-3","itemData":{"DOI":"10.1126/sciadv.1600936","ISSN":"2375-2548","author":[{"dropping-particle":"","family":"Antunes","given":"A. P.","non-dropping-particle":"","parse-names":false,"suffix":""},{"dropping-particle":"","family":"Fewster","given":"R. M.","non-dropping-particle":"","parse-names":false,"suffix":""},{"dropping-particle":"","family":"Venticinque","given":"E. M.","non-dropping-particle":"","parse-names":false,"suffix":""},{"dropping-particle":"","family":"Peres","given":"C. A.","non-dropping-particle":"","parse-names":false,"suffix":""},{"dropping-particle":"","family":"Levi","given":"T.","non-dropping-particle":"","parse-names":false,"suffix":""},{"dropping-particle":"","family":"Rohe","given":"F.","non-dropping-particle":"","parse-names":false,"suffix":""},{"dropping-particle":"","family":"Shepard","given":"G. H.","non-dropping-particle":"","parse-names":false,"suffix":""}],"container-title":"Science Advances","id":"ITEM-3","issue":"10","issued":{"date-parts":[["2016"]]},"page":"e1600936-e1600936","title":"Empty forest or empty rivers? A century of commercial hunting in Amazonia","type":"article-journal","volume":"2"},"uris":["http://www.mendeley.com/documents/?uuid=79b506db-b003-481b-896d-146ce93cb91f"]}],"mendeley":{"formattedCitation":"(Peres &amp; Dolman 2000; Peres &amp; Palacios 2007; Antunes et al. 2016)","plainTextFormattedCitation":"(Peres &amp; Dolman 2000; Peres &amp; Palacios 2007; Antunes et al. 2016)","previouslyFormattedCitation":"(Peres &amp; Dolman 2000; Peres &amp; Palacios 2007; Antunes et al. 2016)"},"properties":{"noteIndex":0},"schema":"https://github.com/citation-style-language/schema/raw/master/csl-citation.json"}</w:instrText>
      </w:r>
      <w:r w:rsidR="00AB0660">
        <w:fldChar w:fldCharType="separate"/>
      </w:r>
      <w:r w:rsidR="00AB0660" w:rsidRPr="00AB0660">
        <w:rPr>
          <w:noProof/>
        </w:rPr>
        <w:t>(Peres &amp; Dolman 2000; Peres &amp; Palacios 2007; Antunes et al. 2016)</w:t>
      </w:r>
      <w:r w:rsidR="00AB0660">
        <w:fldChar w:fldCharType="end"/>
      </w:r>
      <w:r w:rsidRPr="004904D8">
        <w:t xml:space="preserve">. The resulting wildlife community has a reduced species diversity, but </w:t>
      </w:r>
      <w:r w:rsidR="00BF3E18">
        <w:t>one which may</w:t>
      </w:r>
      <w:r w:rsidRPr="004904D8">
        <w:t xml:space="preserve"> support hunting sustainably in the future – the phenomenon of ‘post-depletion sustainability’ </w:t>
      </w:r>
      <w:r w:rsidR="00AB0660">
        <w:fldChar w:fldCharType="begin" w:fldLock="1"/>
      </w:r>
      <w:r w:rsidR="002322E3">
        <w:instrText>ADDIN CSL_CITATION {"citationItems":[{"id":"ITEM-1","itemData":{"DOI":"10.1111/j.1365-2664.2005.01046.x","ISSN":"00218901","author":[{"dropping-particle":"","family":"Cowlishaw","given":"Guy","non-dropping-particle":"","parse-names":false,"suffix":""},{"dropping-particle":"","family":"Mendelson","given":"Samantha","non-dropping-particle":"","parse-names":false,"suffix":""},{"dropping-particle":"","family":"Rowcliffe","given":"J. Marcus","non-dropping-particle":"","parse-names":false,"suffix":""}],"container-title":"Journal of Applied Ecology","id":"ITEM-1","issue":"3","issued":{"date-parts":[["2005","6","9"]]},"page":"460-468","title":"Evidence for post-depletion sustainability in a mature bushmeat market","type":"article-journal","volume":"42"},"uris":["http://www.mendeley.com/documents/?uuid=4130a980-b255-41f5-86da-c2246cc59c3b"]}],"mendeley":{"formattedCitation":"(Cowlishaw et al. 2005)","plainTextFormattedCitation":"(Cowlishaw et al. 2005)","previouslyFormattedCitation":"(Cowlishaw et al. 2005)"},"properties":{"noteIndex":0},"schema":"https://github.com/citation-style-language/schema/raw/master/csl-citation.json"}</w:instrText>
      </w:r>
      <w:r w:rsidR="00AB0660">
        <w:fldChar w:fldCharType="separate"/>
      </w:r>
      <w:r w:rsidR="00AB0660" w:rsidRPr="00AB0660">
        <w:rPr>
          <w:noProof/>
        </w:rPr>
        <w:t>(Cowlishaw et al. 2005)</w:t>
      </w:r>
      <w:r w:rsidR="00AB0660">
        <w:fldChar w:fldCharType="end"/>
      </w:r>
      <w:r w:rsidRPr="004904D8">
        <w:t xml:space="preserve">. </w:t>
      </w:r>
      <w:r w:rsidR="0084197F" w:rsidRPr="005512D2">
        <w:rPr>
          <w:color w:val="000000" w:themeColor="text1"/>
        </w:rPr>
        <w:t>T</w:t>
      </w:r>
      <w:r w:rsidR="009C0863" w:rsidRPr="005512D2">
        <w:rPr>
          <w:color w:val="000000" w:themeColor="text1"/>
        </w:rPr>
        <w:t>here is some evidence for a situation o</w:t>
      </w:r>
      <w:r w:rsidR="009C0863" w:rsidRPr="003E3238">
        <w:rPr>
          <w:color w:val="000000" w:themeColor="text1"/>
        </w:rPr>
        <w:t xml:space="preserve">f ‘post-depletion sustainability’ in long-established or ‘mature’ wild meat markets. A study in Takoradi (Ghana) by </w:t>
      </w:r>
      <w:r w:rsidR="002322E3">
        <w:fldChar w:fldCharType="begin" w:fldLock="1"/>
      </w:r>
      <w:r w:rsidR="002322E3">
        <w:instrText>ADDIN CSL_CITATION {"citationItems":[{"id":"ITEM-1","itemData":{"DOI":"10.1111/j.1365-2664.2005.01046.x","ISSN":"00218901","author":[{"dropping-particle":"","family":"Cowlishaw","given":"Guy","non-dropping-particle":"","parse-names":false,"suffix":""},{"dropping-particle":"","family":"Mendelson","given":"Samantha","non-dropping-particle":"","parse-names":false,"suffix":""},{"dropping-particle":"","family":"Rowcliffe","given":"J. Marcus","non-dropping-particle":"","parse-names":false,"suffix":""}],"container-title":"Journal of Applied Ecology","id":"ITEM-1","issue":"3","issued":{"date-parts":[["2005","6","9"]]},"page":"460-468","title":"Evidence for post-depletion sustainability in a mature bushmeat market","type":"article-journal","volume":"42"},"uris":["http://www.mendeley.com/documents/?uuid=4130a980-b255-41f5-86da-c2246cc59c3b"]}],"mendeley":{"formattedCitation":"(Cowlishaw et al. 2005)","manualFormatting":"Cowlishaw et al. (2005)","plainTextFormattedCitation":"(Cowlishaw et al. 2005)","previouslyFormattedCitation":"(Cowlishaw et al. 2005)"},"properties":{"noteIndex":0},"schema":"https://github.com/citation-style-language/schema/raw/master/csl-citation.json"}</w:instrText>
      </w:r>
      <w:r w:rsidR="002322E3">
        <w:fldChar w:fldCharType="separate"/>
      </w:r>
      <w:r w:rsidR="002322E3" w:rsidRPr="00AB0660">
        <w:rPr>
          <w:noProof/>
        </w:rPr>
        <w:t xml:space="preserve">Cowlishaw et al. </w:t>
      </w:r>
      <w:r w:rsidR="002322E3">
        <w:rPr>
          <w:noProof/>
        </w:rPr>
        <w:t>(</w:t>
      </w:r>
      <w:r w:rsidR="002322E3" w:rsidRPr="00AB0660">
        <w:rPr>
          <w:noProof/>
        </w:rPr>
        <w:t>2005)</w:t>
      </w:r>
      <w:r w:rsidR="002322E3">
        <w:fldChar w:fldCharType="end"/>
      </w:r>
      <w:r w:rsidR="002322E3">
        <w:t xml:space="preserve"> </w:t>
      </w:r>
      <w:r w:rsidR="009C0863" w:rsidRPr="003E3238">
        <w:rPr>
          <w:color w:val="000000" w:themeColor="text1"/>
        </w:rPr>
        <w:t xml:space="preserve">used market profiles and hunter reports to demonstrate that, after the depletion or local extinction of vulnerable taxa (slow reproducers), the remaining more robust species (faster </w:t>
      </w:r>
      <w:r w:rsidR="009C0863" w:rsidRPr="000A7365">
        <w:rPr>
          <w:color w:val="000000" w:themeColor="text1"/>
        </w:rPr>
        <w:t xml:space="preserve">reproducers, such as rodents and some antelope) could be harvested sustainably (but see </w:t>
      </w:r>
      <w:r w:rsidR="002322E3">
        <w:rPr>
          <w:color w:val="000000" w:themeColor="text1"/>
        </w:rPr>
        <w:fldChar w:fldCharType="begin" w:fldLock="1"/>
      </w:r>
      <w:r w:rsidR="002322E3">
        <w:rPr>
          <w:color w:val="000000" w:themeColor="text1"/>
        </w:rPr>
        <w:instrText>ADDIN CSL_CITATION {"citationItems":[{"id":"ITEM-1","itemData":{"DOI":"10.1007/s00267-006-0207-9","ISBN":"0364-152X","ISSN":"0364152X","PMID":"17638049","abstract":"Bushmeat hunting, a key source of dietary protein, has been implicated as a major extinction threat to tropical vertebrate species in West Africa. Ideally, any such hunting of wild species should be done sustainably, with off-take levels low enough to ensure viability of harvested species. Recent work purports to show that a mature bushmeat market in a major city in Ghana operates sustainably after depletion of vulnerable, slow-reproducing species (Cowlishaw and others 2005). I revisit two aspects of this work. First, I retest the prediction that larger species are transported to the market from greater distances, as expected if overexploitation depletes large species close to the city. Cowlishaw and others failed to find a significantly positive relationship between species-specific body mass and distance between capture site and the market. However, my reanalysis provides evidence for a positive relationship after all, consistent with unsustainable harvesting. In particular, ungulate species were harvested significantly farther from the market than smaller-bodied rodent species. Second, I caution that just because species \"persist\" in the marketplace in no way implies that they can withstand hunting pressure elsewhere and so should be of little concern to conservationists. I reveal that such species, despite their high intrinsic rates of population growth, are not robust elsewhere. Several of them have disappeared from a network of protected areas in Ghana (Brashares and others 2001). I show that faster-reproducing species are not necessarily more likely to persist in protected areas. The mere presence of fast-reproducing species in a mature bushmeat market should not be construed as generalizable robustness; criteria for ecological sustainability should ensure viability; and harvested species should be robust, not highly prone to extinction, in protected areas.","author":[{"dropping-particle":"","family":"Waite","given":"T. A.","non-dropping-particle":"","parse-names":false,"suffix":""}],"container-title":"Environmental Management","id":"ITEM-1","issue":"3","issued":{"date-parts":[["2007"]]},"page":"476-480","title":"Revisiting evidence for sustainability of bushmeat hunting in West Africa","type":"article-journal","volume":"40"},"uris":["http://www.mendeley.com/documents/?uuid=f0bd2404-7c79-45e5-9cb9-e195196f629c"]},{"id":"ITEM-2","itemData":{"DOI":"10.1111/aje.12260","ISBN":"0141-6707","ISSN":"13652028","abstract":"The blue duiker (Philantomba monticola) is an abundant and widely distributed ungulate in continental sub-Saharan Africa. High hunting pressure throughout its range may be particularly threatening to the persistence of island populations of the species. In this study, we assessed offtake of blue duikers in Pico Basilé, Bioko Island, Equatorial Guinea. We recorded the number of animals shot or snared by 46 commercial hunters over a 33-month period, and the location (elevation) of each animal hunted. From this, we estimated catch per hunter (CH), catch per hunting day (CD) and catch per unit effort (CPUE). The number of duikers shot or snared across the study period, significantly declined within the mid-altitude range (901–1500 m). There were no significant drops in CH or CPUE at low or high altitudes for snared animals. The ratio of immature-to-adult animals hunted increased significantly over time within the mid-altitude range. We suggest that these trends in offtake, especially in the more heavily hunted mid-altitudes of the study area, indicate a decline in the population within this range. If this situation is widespread throughout the island, it is likely that unregulated bushmeat hunting will have devastating consequences to the biodiversity of Bioko Island, particularly for heavily hunted species that are naturally less abundant.","author":[{"dropping-particle":"","family":"Grande-Vega","given":"María","non-dropping-particle":"","parse-names":false,"suffix":""},{"dropping-particle":"","family":"Farfán","given":"Miguel Ángel","non-dropping-particle":"","parse-names":false,"suffix":""},{"dropping-particle":"","family":"Ondo","given":"Ambrosio","non-dropping-particle":"","parse-names":false,"suffix":""},{"dropping-particle":"","family":"Fa","given":"John E.","non-dropping-particle":"","parse-names":false,"suffix":""}],"container-title":"African Journal of Ecology","id":"ITEM-2","issue":"1","issued":{"date-parts":[["2015"]]},"page":"49-58","title":"Decline in hunter offtake of blue duikers in Bioko Island, Equatorial Guinea","type":"article-journal","volume":"54"},"uris":["http://www.mendeley.com/documents/?uuid=2bc8139a-f250-460f-83bb-4686f8ae8d91"]}],"mendeley":{"formattedCitation":"(Waite 2007; Grande-Vega et al. 2015)","manualFormatting":"Waite 2007 and Grande-Vega et al. 2015)","plainTextFormattedCitation":"(Waite 2007; Grande-Vega et al. 2015)","previouslyFormattedCitation":"(Waite 2007; Grande-Vega et al. 2015)"},"properties":{"noteIndex":0},"schema":"https://github.com/citation-style-language/schema/raw/master/csl-citation.json"}</w:instrText>
      </w:r>
      <w:r w:rsidR="002322E3">
        <w:rPr>
          <w:color w:val="000000" w:themeColor="text1"/>
        </w:rPr>
        <w:fldChar w:fldCharType="separate"/>
      </w:r>
      <w:r w:rsidR="002322E3">
        <w:rPr>
          <w:noProof/>
          <w:color w:val="000000" w:themeColor="text1"/>
        </w:rPr>
        <w:t>Waite 2007 and</w:t>
      </w:r>
      <w:r w:rsidR="002322E3" w:rsidRPr="002322E3">
        <w:rPr>
          <w:noProof/>
          <w:color w:val="000000" w:themeColor="text1"/>
        </w:rPr>
        <w:t xml:space="preserve"> Grande-Vega et al. 2015)</w:t>
      </w:r>
      <w:r w:rsidR="002322E3">
        <w:rPr>
          <w:color w:val="000000" w:themeColor="text1"/>
        </w:rPr>
        <w:fldChar w:fldCharType="end"/>
      </w:r>
      <w:r w:rsidR="009C0863" w:rsidRPr="000A7365">
        <w:rPr>
          <w:color w:val="000000" w:themeColor="text1"/>
        </w:rPr>
        <w:t xml:space="preserve">. These more robust taxa are supplied from a predominantly agricultural landscape around the city. Indeed, many tropical and sub-tropical landscapes host a variety of species that continue to thrive in natural and modified habitats </w:t>
      </w:r>
      <w:r w:rsidR="002322E3">
        <w:rPr>
          <w:color w:val="000000" w:themeColor="text1"/>
        </w:rPr>
        <w:fldChar w:fldCharType="begin" w:fldLock="1"/>
      </w:r>
      <w:r w:rsidR="002322E3">
        <w:rPr>
          <w:color w:val="000000" w:themeColor="text1"/>
        </w:rPr>
        <w:instrText>ADDIN CSL_CITATION {"citationItems":[{"id":"ITEM-1","itemData":{"DOI":"10.1017/S0030605313001294","author":[{"dropping-particle":"","family":"Alexander","given":"J S","non-dropping-particle":"","parse-names":false,"suffix":""},{"dropping-particle":"","family":"McNamara","given":"J","non-dropping-particle":"","parse-names":false,"suffix":""},{"dropping-particle":"","family":"Rowcliffe","given":"J M","non-dropping-particle":"","parse-names":false,"suffix":""},{"dropping-particle":"","family":"Oppong","given":"J","non-dropping-particle":"","parse-names":false,"suffix":""},{"dropping-particle":"","family":"Milner-Gulland","given":"E J","non-dropping-particle":"","parse-names":false,"suffix":""}],"container-title":"Oryx","id":"ITEM-1","issue":"4","issued":{"date-parts":[["2015"]]},"page":"643-651","title":"The role of bushmeat in a West African agricultural landscape","type":"article-journal","volume":"49"},"uris":["http://www.mendeley.com/documents/?uuid=918290d8-877c-43f2-9954-c29f02d2d6be"]}],"mendeley":{"formattedCitation":"(Alexander et al. 2015)","plainTextFormattedCitation":"(Alexander et al. 2015)","previouslyFormattedCitation":"(Alexander et al. 2015)"},"properties":{"noteIndex":0},"schema":"https://github.com/citation-style-language/schema/raw/master/csl-citation.json"}</w:instrText>
      </w:r>
      <w:r w:rsidR="002322E3">
        <w:rPr>
          <w:color w:val="000000" w:themeColor="text1"/>
        </w:rPr>
        <w:fldChar w:fldCharType="separate"/>
      </w:r>
      <w:r w:rsidR="002322E3" w:rsidRPr="002322E3">
        <w:rPr>
          <w:noProof/>
          <w:color w:val="000000" w:themeColor="text1"/>
        </w:rPr>
        <w:t>(Alexander et al. 2015)</w:t>
      </w:r>
      <w:r w:rsidR="002322E3">
        <w:rPr>
          <w:color w:val="000000" w:themeColor="text1"/>
        </w:rPr>
        <w:fldChar w:fldCharType="end"/>
      </w:r>
      <w:r w:rsidR="009C0863" w:rsidRPr="000A7365">
        <w:rPr>
          <w:color w:val="000000" w:themeColor="text1"/>
        </w:rPr>
        <w:t xml:space="preserve">. </w:t>
      </w:r>
      <w:r w:rsidR="00225F57" w:rsidRPr="000A7365">
        <w:rPr>
          <w:color w:val="000000" w:themeColor="text1"/>
        </w:rPr>
        <w:t>In Africa, for example, t</w:t>
      </w:r>
      <w:r w:rsidR="00225F57" w:rsidRPr="000A7365">
        <w:rPr>
          <w:color w:val="000000" w:themeColor="text1"/>
          <w:lang w:val="en-US"/>
        </w:rPr>
        <w:t xml:space="preserve">he </w:t>
      </w:r>
      <w:r w:rsidR="00C314B0" w:rsidRPr="000A7365">
        <w:rPr>
          <w:color w:val="000000" w:themeColor="text1"/>
          <w:lang w:val="en-US"/>
        </w:rPr>
        <w:t xml:space="preserve">African </w:t>
      </w:r>
      <w:r w:rsidR="00225F57" w:rsidRPr="000A7365">
        <w:rPr>
          <w:color w:val="000000" w:themeColor="text1"/>
          <w:lang w:val="en-US"/>
        </w:rPr>
        <w:t xml:space="preserve">giant </w:t>
      </w:r>
      <w:r w:rsidR="00C314B0" w:rsidRPr="000A7365">
        <w:rPr>
          <w:color w:val="000000" w:themeColor="text1"/>
          <w:lang w:val="en-US"/>
        </w:rPr>
        <w:t xml:space="preserve">pouched </w:t>
      </w:r>
      <w:r w:rsidR="00225F57" w:rsidRPr="000A7365">
        <w:rPr>
          <w:color w:val="000000" w:themeColor="text1"/>
          <w:lang w:val="en-US"/>
        </w:rPr>
        <w:t>rat</w:t>
      </w:r>
      <w:r w:rsidR="00C314B0" w:rsidRPr="000A7365">
        <w:rPr>
          <w:color w:val="000000" w:themeColor="text1"/>
          <w:lang w:val="en-US"/>
        </w:rPr>
        <w:t>s</w:t>
      </w:r>
      <w:r w:rsidR="00225F57" w:rsidRPr="000A7365">
        <w:rPr>
          <w:color w:val="000000" w:themeColor="text1"/>
          <w:lang w:val="en-US"/>
        </w:rPr>
        <w:t xml:space="preserve"> (</w:t>
      </w:r>
      <w:r w:rsidR="00225F57" w:rsidRPr="000A7365">
        <w:rPr>
          <w:i/>
          <w:color w:val="000000" w:themeColor="text1"/>
          <w:lang w:val="en-US"/>
        </w:rPr>
        <w:t xml:space="preserve">Cricetomys </w:t>
      </w:r>
      <w:r w:rsidR="00E80F88" w:rsidRPr="000A7365">
        <w:rPr>
          <w:color w:val="000000" w:themeColor="text1"/>
          <w:lang w:val="en-US"/>
        </w:rPr>
        <w:t>spp</w:t>
      </w:r>
      <w:r w:rsidR="00E80F88" w:rsidRPr="000A7365">
        <w:rPr>
          <w:i/>
          <w:color w:val="000000" w:themeColor="text1"/>
          <w:lang w:val="en-US"/>
        </w:rPr>
        <w:t>.</w:t>
      </w:r>
      <w:r w:rsidR="00225F57" w:rsidRPr="000A7365">
        <w:rPr>
          <w:color w:val="000000" w:themeColor="text1"/>
          <w:lang w:val="en-US"/>
        </w:rPr>
        <w:t xml:space="preserve">) and </w:t>
      </w:r>
      <w:r w:rsidR="0048346E" w:rsidRPr="000A7365">
        <w:rPr>
          <w:color w:val="000000" w:themeColor="text1"/>
          <w:lang w:val="en-US"/>
        </w:rPr>
        <w:t>cane</w:t>
      </w:r>
      <w:r w:rsidR="00225F57" w:rsidRPr="000A7365">
        <w:rPr>
          <w:color w:val="000000" w:themeColor="text1"/>
          <w:lang w:val="en-US"/>
        </w:rPr>
        <w:t xml:space="preserve"> </w:t>
      </w:r>
      <w:r w:rsidR="00E80F88" w:rsidRPr="000A7365">
        <w:rPr>
          <w:color w:val="000000" w:themeColor="text1"/>
          <w:lang w:val="en-US"/>
        </w:rPr>
        <w:t>(</w:t>
      </w:r>
      <w:r w:rsidR="00E80F88" w:rsidRPr="000A7365">
        <w:rPr>
          <w:i/>
          <w:color w:val="000000" w:themeColor="text1"/>
          <w:lang w:val="en-US"/>
        </w:rPr>
        <w:t>Thryonomys swinderianus</w:t>
      </w:r>
      <w:r w:rsidR="0048346E" w:rsidRPr="000A7365">
        <w:rPr>
          <w:color w:val="000000" w:themeColor="text1"/>
          <w:lang w:val="en-US"/>
        </w:rPr>
        <w:t xml:space="preserve"> and</w:t>
      </w:r>
      <w:r w:rsidR="00225F57" w:rsidRPr="000A7365">
        <w:rPr>
          <w:color w:val="000000" w:themeColor="text1"/>
          <w:lang w:val="en-US"/>
        </w:rPr>
        <w:t xml:space="preserve"> </w:t>
      </w:r>
      <w:r w:rsidR="0048346E" w:rsidRPr="000A7365">
        <w:rPr>
          <w:i/>
          <w:color w:val="000000" w:themeColor="text1"/>
          <w:lang w:val="en-US"/>
        </w:rPr>
        <w:t>T.</w:t>
      </w:r>
      <w:r w:rsidR="00225F57" w:rsidRPr="000A7365">
        <w:rPr>
          <w:i/>
          <w:color w:val="000000" w:themeColor="text1"/>
          <w:lang w:val="en-US"/>
        </w:rPr>
        <w:t xml:space="preserve"> gregorianus</w:t>
      </w:r>
      <w:r w:rsidR="00225F57" w:rsidRPr="000A7365">
        <w:rPr>
          <w:color w:val="000000" w:themeColor="text1"/>
          <w:lang w:val="en-US"/>
        </w:rPr>
        <w:t xml:space="preserve">) are commonly hunted for food, </w:t>
      </w:r>
      <w:r w:rsidR="00225F57">
        <w:rPr>
          <w:lang w:val="en-US"/>
        </w:rPr>
        <w:t>and highly preferred by consumers</w:t>
      </w:r>
      <w:r w:rsidR="00225F57" w:rsidRPr="00C93676">
        <w:rPr>
          <w:lang w:val="en-US"/>
        </w:rPr>
        <w:t xml:space="preserve"> </w:t>
      </w:r>
      <w:r w:rsidR="00225F57">
        <w:rPr>
          <w:lang w:val="en-US"/>
        </w:rPr>
        <w:fldChar w:fldCharType="begin"/>
      </w:r>
      <w:r w:rsidR="00225F57">
        <w:rPr>
          <w:lang w:val="en-US"/>
        </w:rPr>
        <w:instrText xml:space="preserve"> ADDIN EN.CITE &lt;EndNote&gt;&lt;Cite&gt;&lt;Author&gt;Ntiamoa-Baidu&lt;/Author&gt;&lt;Year&gt;1997&lt;/Year&gt;&lt;RecNum&gt;2555&lt;/RecNum&gt;&lt;DisplayText&gt;(Ntiamoa-Baidu 1997; Odebode et al. 2011)&lt;/DisplayText&gt;&lt;record&gt;&lt;rec-number&gt;2555&lt;/rec-number&gt;&lt;foreign-keys&gt;&lt;key app="EN" db-id="9fwffww9bsxrt1epsdw5ddduzas2rsf2dpp9" timestamp="1338323240"&gt;2555&lt;/key&gt;&lt;/foreign-keys&gt;&lt;ref-type name="Book"&gt;6&lt;/ref-type&gt;&lt;contributors&gt;&lt;authors&gt;&lt;author&gt;Ntiamoa-Baidu, Y.&lt;/author&gt;&lt;/authors&gt;&lt;/contributors&gt;&lt;titles&gt;&lt;title&gt;Wildlife and food security in Africa&lt;/title&gt;&lt;/titles&gt;&lt;dates&gt;&lt;year&gt;1997&lt;/year&gt;&lt;/dates&gt;&lt;publisher&gt;Food &amp;amp; Agriculture Organization of the UN (FAO)&lt;/publisher&gt;&lt;isbn&gt;9251041032&lt;/isbn&gt;&lt;urls&gt;&lt;/urls&gt;&lt;/record&gt;&lt;/Cite&gt;&lt;Cite&gt;&lt;Author&gt;Odebode&lt;/Author&gt;&lt;Year&gt;2011&lt;/Year&gt;&lt;RecNum&gt;3738&lt;/RecNum&gt;&lt;record&gt;&lt;rec-number&gt;3738&lt;/rec-number&gt;&lt;foreign-keys&gt;&lt;key app="EN" db-id="9fwffww9bsxrt1epsdw5ddduzas2rsf2dpp9" timestamp="1474245729"&gt;3738&lt;/key&gt;&lt;/foreign-keys&gt;&lt;ref-type name="Journal Article"&gt;17&lt;/ref-type&gt;&lt;contributors&gt;&lt;authors&gt;&lt;author&gt;Odebode, A.V.&lt;/author&gt;&lt;author&gt;Awe, F.&lt;/author&gt;&lt;author&gt;Famuyide, O.O.&lt;/author&gt;&lt;author&gt;Adebayo, O.&lt;/author&gt;&lt;author&gt;Ojo, O.B.&lt;/author&gt;&lt;author&gt;Daniel, G.&lt;/author&gt;&lt;/authors&gt;&lt;/contributors&gt;&lt;titles&gt;&lt;title&gt;Households&amp;apos; consumption patterns of grasscutter (Thryonomys swinderianus) meat within Ibadan Metropolis, Oyo State, Nigeria&lt;/title&gt;&lt;secondary-title&gt;Continental Journal of Food Science and Technology&lt;/secondary-title&gt;&lt;/titles&gt;&lt;periodical&gt;&lt;full-title&gt;Continental Journal of Food Science and Technology&lt;/full-title&gt;&lt;/periodical&gt;&lt;pages&gt;49-57&lt;/pages&gt;&lt;volume&gt;5&lt;/volume&gt;&lt;number&gt;2&lt;/number&gt;&lt;dates&gt;&lt;year&gt;2011&lt;/year&gt;&lt;/dates&gt;&lt;isbn&gt;2141-422X&lt;/isbn&gt;&lt;urls&gt;&lt;/urls&gt;&lt;/record&gt;&lt;/Cite&gt;&lt;/EndNote&gt;</w:instrText>
      </w:r>
      <w:r w:rsidR="00225F57">
        <w:rPr>
          <w:lang w:val="en-US"/>
        </w:rPr>
        <w:fldChar w:fldCharType="separate"/>
      </w:r>
      <w:r w:rsidR="00225F57">
        <w:rPr>
          <w:noProof/>
          <w:lang w:val="en-US"/>
        </w:rPr>
        <w:t>(Ntiamoa-Baidu</w:t>
      </w:r>
      <w:r w:rsidR="00E80F88">
        <w:rPr>
          <w:noProof/>
          <w:lang w:val="en-US"/>
        </w:rPr>
        <w:t>,</w:t>
      </w:r>
      <w:r w:rsidR="00225F57">
        <w:rPr>
          <w:noProof/>
          <w:lang w:val="en-US"/>
        </w:rPr>
        <w:t xml:space="preserve"> 1997; Odebode et al.</w:t>
      </w:r>
      <w:r w:rsidR="00E80F88">
        <w:rPr>
          <w:noProof/>
          <w:lang w:val="en-US"/>
        </w:rPr>
        <w:t>,</w:t>
      </w:r>
      <w:r w:rsidR="00225F57">
        <w:rPr>
          <w:noProof/>
          <w:lang w:val="en-US"/>
        </w:rPr>
        <w:t xml:space="preserve"> 2011)</w:t>
      </w:r>
      <w:r w:rsidR="00225F57">
        <w:rPr>
          <w:lang w:val="en-US"/>
        </w:rPr>
        <w:fldChar w:fldCharType="end"/>
      </w:r>
      <w:r w:rsidR="00225F57" w:rsidRPr="00C93676">
        <w:rPr>
          <w:lang w:val="en-US"/>
        </w:rPr>
        <w:t>. These species are regarded</w:t>
      </w:r>
      <w:r w:rsidR="00225F57">
        <w:rPr>
          <w:lang w:val="en-US"/>
        </w:rPr>
        <w:t xml:space="preserve"> </w:t>
      </w:r>
      <w:r w:rsidR="00225F57" w:rsidRPr="00C93676">
        <w:rPr>
          <w:lang w:val="en-US"/>
        </w:rPr>
        <w:t xml:space="preserve">as pests on many crops and have proven to be </w:t>
      </w:r>
      <w:r w:rsidR="00225F57">
        <w:rPr>
          <w:lang w:val="en-US"/>
        </w:rPr>
        <w:t>resilient</w:t>
      </w:r>
      <w:r w:rsidR="00225F57" w:rsidRPr="00C93676">
        <w:rPr>
          <w:lang w:val="en-US"/>
        </w:rPr>
        <w:t xml:space="preserve"> to </w:t>
      </w:r>
      <w:r w:rsidR="00225F57">
        <w:rPr>
          <w:lang w:val="en-US"/>
        </w:rPr>
        <w:t xml:space="preserve">hunting </w:t>
      </w:r>
      <w:r w:rsidR="00225F57" w:rsidRPr="00C93676">
        <w:rPr>
          <w:lang w:val="en-US"/>
        </w:rPr>
        <w:t xml:space="preserve">due to their high reproductive rates </w:t>
      </w:r>
      <w:r w:rsidR="00225F57">
        <w:rPr>
          <w:lang w:val="en-US"/>
        </w:rPr>
        <w:fldChar w:fldCharType="begin"/>
      </w:r>
      <w:r w:rsidR="00225F57">
        <w:rPr>
          <w:lang w:val="en-US"/>
        </w:rPr>
        <w:instrText xml:space="preserve"> ADDIN EN.CITE &lt;EndNote&gt;&lt;Cite&gt;&lt;Author&gt;Jeffrey&lt;/Author&gt;&lt;Year&gt;1977&lt;/Year&gt;&lt;RecNum&gt;3739&lt;/RecNum&gt;&lt;DisplayText&gt;(Jeffrey 1977; Martin 1983)&lt;/DisplayText&gt;&lt;record&gt;&lt;rec-number&gt;3739&lt;/rec-number&gt;&lt;foreign-keys&gt;&lt;key app="EN" db-id="9fwffww9bsxrt1epsdw5ddduzas2rsf2dpp9" timestamp="1474246630"&gt;3739&lt;/key&gt;&lt;/foreign-keys&gt;&lt;ref-type name="Journal Article"&gt;17&lt;/ref-type&gt;&lt;contributors&gt;&lt;authors&gt;&lt;author&gt;Jeffrey, S.&lt;/author&gt;&lt;/authors&gt;&lt;/contributors&gt;&lt;titles&gt;&lt;title&gt;How Liberia uses wildlife&lt;/title&gt;&lt;secondary-title&gt;Oryx&lt;/secondary-title&gt;&lt;/titles&gt;&lt;periodical&gt;&lt;full-title&gt;Oryx&lt;/full-title&gt;&lt;/periodical&gt;&lt;pages&gt;168-173&lt;/pages&gt;&lt;volume&gt;14&lt;/volume&gt;&lt;number&gt;02&lt;/number&gt;&lt;dates&gt;&lt;year&gt;1977&lt;/year&gt;&lt;/dates&gt;&lt;isbn&gt;1365-3008&lt;/isbn&gt;&lt;urls&gt;&lt;/urls&gt;&lt;/record&gt;&lt;/Cite&gt;&lt;Cite&gt;&lt;Author&gt;Martin&lt;/Author&gt;&lt;Year&gt;1983&lt;/Year&gt;&lt;RecNum&gt;3740&lt;/RecNum&gt;&lt;record&gt;&lt;rec-number&gt;3740&lt;/rec-number&gt;&lt;foreign-keys&gt;&lt;key app="EN" db-id="9fwffww9bsxrt1epsdw5ddduzas2rsf2dpp9" timestamp="1474246737"&gt;3740&lt;/key&gt;&lt;/foreign-keys&gt;&lt;ref-type name="Journal Article"&gt;17&lt;/ref-type&gt;&lt;contributors&gt;&lt;authors&gt;&lt;author&gt;Martin, G.H.G.&lt;/author&gt;&lt;/authors&gt;&lt;/contributors&gt;&lt;titles&gt;&lt;title&gt;Bushmeat in Nigeria as a natural resource with environmental implications&lt;/title&gt;&lt;secondary-title&gt;Environmental Conservation&lt;/secondary-title&gt;&lt;/titles&gt;&lt;periodical&gt;&lt;full-title&gt;Environmental Conservation&lt;/full-title&gt;&lt;/periodical&gt;&lt;pages&gt;125-132&lt;/pages&gt;&lt;volume&gt;10&lt;/volume&gt;&lt;number&gt;02&lt;/number&gt;&lt;dates&gt;&lt;year&gt;1983&lt;/year&gt;&lt;/dates&gt;&lt;isbn&gt;1469-4387&lt;/isbn&gt;&lt;urls&gt;&lt;/urls&gt;&lt;/record&gt;&lt;/Cite&gt;&lt;/EndNote&gt;</w:instrText>
      </w:r>
      <w:r w:rsidR="00225F57">
        <w:rPr>
          <w:lang w:val="en-US"/>
        </w:rPr>
        <w:fldChar w:fldCharType="separate"/>
      </w:r>
      <w:r w:rsidR="00225F57">
        <w:rPr>
          <w:noProof/>
          <w:lang w:val="en-US"/>
        </w:rPr>
        <w:t>(Jeffrey</w:t>
      </w:r>
      <w:r w:rsidR="00E80F88">
        <w:rPr>
          <w:noProof/>
          <w:lang w:val="en-US"/>
        </w:rPr>
        <w:t>,</w:t>
      </w:r>
      <w:r w:rsidR="00225F57">
        <w:rPr>
          <w:noProof/>
          <w:lang w:val="en-US"/>
        </w:rPr>
        <w:t xml:space="preserve"> 1977; Martin</w:t>
      </w:r>
      <w:r w:rsidR="00E80F88">
        <w:rPr>
          <w:noProof/>
          <w:lang w:val="en-US"/>
        </w:rPr>
        <w:t>,</w:t>
      </w:r>
      <w:r w:rsidR="00225F57">
        <w:rPr>
          <w:noProof/>
          <w:lang w:val="en-US"/>
        </w:rPr>
        <w:t xml:space="preserve"> 1983)</w:t>
      </w:r>
      <w:r w:rsidR="00225F57">
        <w:rPr>
          <w:lang w:val="en-US"/>
        </w:rPr>
        <w:fldChar w:fldCharType="end"/>
      </w:r>
      <w:r w:rsidR="00225F57" w:rsidRPr="00C93676">
        <w:rPr>
          <w:lang w:val="en-US"/>
        </w:rPr>
        <w:t>.</w:t>
      </w:r>
      <w:r w:rsidR="00225F57">
        <w:rPr>
          <w:lang w:val="en-US"/>
        </w:rPr>
        <w:t xml:space="preserve"> I</w:t>
      </w:r>
      <w:r w:rsidR="00225F57" w:rsidRPr="00FE3039">
        <w:rPr>
          <w:lang w:val="en-US"/>
        </w:rPr>
        <w:t>n the semiarid of northeastern Brazil</w:t>
      </w:r>
      <w:r w:rsidR="00225F57">
        <w:rPr>
          <w:lang w:val="en-US"/>
        </w:rPr>
        <w:t xml:space="preserve">, </w:t>
      </w:r>
      <w:r w:rsidR="00225F57" w:rsidRPr="00D763AF">
        <w:t>small-sized</w:t>
      </w:r>
      <w:r w:rsidR="00225F57">
        <w:t xml:space="preserve"> </w:t>
      </w:r>
      <w:r w:rsidR="00225F57" w:rsidRPr="00D763AF">
        <w:t xml:space="preserve">species </w:t>
      </w:r>
      <w:r w:rsidR="00225F57">
        <w:t xml:space="preserve">of rodents (e.g. </w:t>
      </w:r>
      <w:r w:rsidR="00225F57" w:rsidRPr="00D763AF">
        <w:rPr>
          <w:i/>
        </w:rPr>
        <w:t>Galea spixii</w:t>
      </w:r>
      <w:r w:rsidR="00225F57" w:rsidRPr="00D763AF">
        <w:t xml:space="preserve"> and </w:t>
      </w:r>
      <w:r w:rsidR="00225F57" w:rsidRPr="00D763AF">
        <w:rPr>
          <w:i/>
        </w:rPr>
        <w:t>Kerodon rupestris</w:t>
      </w:r>
      <w:r w:rsidR="00225F57" w:rsidRPr="00D763AF">
        <w:t>) with fast reproduction</w:t>
      </w:r>
      <w:r w:rsidR="00225F57">
        <w:t xml:space="preserve"> similarly persist under high hunting pressure</w:t>
      </w:r>
      <w:r w:rsidR="00225F57" w:rsidRPr="00D763AF">
        <w:t xml:space="preserve"> </w:t>
      </w:r>
      <w:r w:rsidR="00225F57">
        <w:fldChar w:fldCharType="begin"/>
      </w:r>
      <w:r w:rsidR="00225F57">
        <w:instrText xml:space="preserve"> ADDIN EN.CITE &lt;EndNote&gt;&lt;Cite&gt;&lt;Author&gt;Alves&lt;/Author&gt;&lt;Year&gt;2016&lt;/Year&gt;&lt;RecNum&gt;3590&lt;/RecNum&gt;&lt;DisplayText&gt;(Alves et al. 2016)&lt;/DisplayText&gt;&lt;record&gt;&lt;rec-number&gt;3590&lt;/rec-number&gt;&lt;foreign-keys&gt;&lt;key app="EN" db-id="9fwffww9bsxrt1epsdw5ddduzas2rsf2dpp9" timestamp="1469653659"&gt;3590&lt;/key&gt;&lt;/foreign-keys&gt;&lt;ref-type name="Journal Article"&gt;17&lt;/ref-type&gt;&lt;contributors&gt;&lt;authors&gt;&lt;author&gt;Alves, R.R.N.&lt;/author&gt;&lt;author&gt;Feijó, A.&lt;/author&gt;&lt;author&gt;Barboza, R.R. D. &lt;/author&gt;&lt;author&gt;Souto, W. M. S.&lt;/author&gt;&lt;author&gt;Fernandes-Ferreira, H.&lt;/author&gt;&lt;author&gt;Cordeiro-Estrela, P.&lt;/author&gt;&lt;author&gt;Langguth, A.&lt;/author&gt;&lt;/authors&gt;&lt;/contributors&gt;&lt;titles&gt;&lt;title&gt;Game mammals of the Caatinga biome&lt;/title&gt;&lt;secondary-title&gt;Ethnobiology and Conservation&lt;/secondary-title&gt;&lt;/titles&gt;&lt;periodical&gt;&lt;full-title&gt;Ethnobiology And Conservation&lt;/full-title&gt;&lt;/periodical&gt;&lt;pages&gt;1-51&lt;/pages&gt;&lt;volume&gt;5&lt;/volume&gt;&lt;dates&gt;&lt;year&gt;2016&lt;/year&gt;&lt;/dates&gt;&lt;urls&gt;&lt;/urls&gt;&lt;electronic-resource-num&gt;10.15451/ec2016-7-5.5-1-51&lt;/electronic-resource-num&gt;&lt;/record&gt;&lt;/Cite&gt;&lt;/EndNote&gt;</w:instrText>
      </w:r>
      <w:r w:rsidR="00225F57">
        <w:fldChar w:fldCharType="separate"/>
      </w:r>
      <w:r w:rsidR="00225F57">
        <w:rPr>
          <w:noProof/>
        </w:rPr>
        <w:t>(Alves et al.</w:t>
      </w:r>
      <w:r w:rsidR="009B35A7">
        <w:rPr>
          <w:noProof/>
        </w:rPr>
        <w:t>,</w:t>
      </w:r>
      <w:r w:rsidR="00225F57">
        <w:rPr>
          <w:noProof/>
        </w:rPr>
        <w:t xml:space="preserve"> 2016)</w:t>
      </w:r>
      <w:r w:rsidR="00225F57">
        <w:fldChar w:fldCharType="end"/>
      </w:r>
      <w:r w:rsidR="00225F57">
        <w:rPr>
          <w:lang w:val="en-US"/>
        </w:rPr>
        <w:t>.</w:t>
      </w:r>
    </w:p>
    <w:p w14:paraId="727E9966" w14:textId="0EEB1A10" w:rsidR="000E249B" w:rsidRDefault="009C0863" w:rsidP="00C258BC">
      <w:pPr>
        <w:jc w:val="both"/>
        <w:rPr>
          <w:color w:val="000000" w:themeColor="text1"/>
        </w:rPr>
      </w:pPr>
      <w:r w:rsidRPr="004904D8">
        <w:rPr>
          <w:color w:val="000000" w:themeColor="text1"/>
        </w:rPr>
        <w:lastRenderedPageBreak/>
        <w:t xml:space="preserve">Many European countries also sustain a wild meat harvest from mixed agricultural landscapes. </w:t>
      </w:r>
      <w:r w:rsidRPr="005512D2">
        <w:rPr>
          <w:color w:val="000000" w:themeColor="text1"/>
        </w:rPr>
        <w:t xml:space="preserve">The productivity of agricultural landscapes for many wild meat species indicates that these areas could perhaps play an important future role in supporting a sustainable wild meat trade in the tropics. </w:t>
      </w:r>
      <w:r w:rsidR="002322E3">
        <w:fldChar w:fldCharType="begin" w:fldLock="1"/>
      </w:r>
      <w:r w:rsidR="002322E3">
        <w:instrText>ADDIN CSL_CITATION {"citationItems":[{"id":"ITEM-1","itemData":{"DOI":"10.1111/j.1365-2664.2005.01046.x","ISSN":"00218901","author":[{"dropping-particle":"","family":"Cowlishaw","given":"Guy","non-dropping-particle":"","parse-names":false,"suffix":""},{"dropping-particle":"","family":"Mendelson","given":"Samantha","non-dropping-particle":"","parse-names":false,"suffix":""},{"dropping-particle":"","family":"Rowcliffe","given":"J. Marcus","non-dropping-particle":"","parse-names":false,"suffix":""}],"container-title":"Journal of Applied Ecology","id":"ITEM-1","issue":"3","issued":{"date-parts":[["2005","6","9"]]},"page":"460-468","title":"Evidence for post-depletion sustainability in a mature bushmeat market","type":"article-journal","volume":"42"},"uris":["http://www.mendeley.com/documents/?uuid=4130a980-b255-41f5-86da-c2246cc59c3b"]}],"mendeley":{"formattedCitation":"(Cowlishaw et al. 2005)","manualFormatting":"Cowlishaw et al. (2005)","plainTextFormattedCitation":"(Cowlishaw et al. 2005)","previouslyFormattedCitation":"(Cowlishaw et al. 2005)"},"properties":{"noteIndex":0},"schema":"https://github.com/citation-style-language/schema/raw/master/csl-citation.json"}</w:instrText>
      </w:r>
      <w:r w:rsidR="002322E3">
        <w:fldChar w:fldCharType="separate"/>
      </w:r>
      <w:r w:rsidR="002322E3" w:rsidRPr="00AB0660">
        <w:rPr>
          <w:noProof/>
        </w:rPr>
        <w:t xml:space="preserve">Cowlishaw et al. </w:t>
      </w:r>
      <w:r w:rsidR="002322E3">
        <w:rPr>
          <w:noProof/>
        </w:rPr>
        <w:t>(</w:t>
      </w:r>
      <w:r w:rsidR="002322E3" w:rsidRPr="00AB0660">
        <w:rPr>
          <w:noProof/>
        </w:rPr>
        <w:t>2005)</w:t>
      </w:r>
      <w:r w:rsidR="002322E3">
        <w:fldChar w:fldCharType="end"/>
      </w:r>
      <w:r w:rsidR="002322E3">
        <w:t xml:space="preserve"> </w:t>
      </w:r>
      <w:r w:rsidRPr="005512D2">
        <w:rPr>
          <w:color w:val="000000" w:themeColor="text1"/>
        </w:rPr>
        <w:t>therefore sugg</w:t>
      </w:r>
      <w:r w:rsidRPr="003E3238">
        <w:rPr>
          <w:color w:val="000000" w:themeColor="text1"/>
        </w:rPr>
        <w:t xml:space="preserve">est adopting a two-pronged approach in which vulnerable species are protected from hunting, but robust species can supply a sustainable trade. </w:t>
      </w:r>
    </w:p>
    <w:p w14:paraId="4F4D0183" w14:textId="25E1336A" w:rsidR="009C0863" w:rsidRPr="0070404D" w:rsidRDefault="009C0863" w:rsidP="00C258BC">
      <w:pPr>
        <w:jc w:val="both"/>
        <w:rPr>
          <w:color w:val="000000" w:themeColor="text1"/>
        </w:rPr>
      </w:pPr>
      <w:r w:rsidRPr="003E3238">
        <w:rPr>
          <w:color w:val="000000" w:themeColor="text1"/>
        </w:rPr>
        <w:t>There is also some evidence of post-depletion sustainability in villages systems.</w:t>
      </w:r>
      <w:r w:rsidR="000E249B">
        <w:rPr>
          <w:color w:val="000000" w:themeColor="text1"/>
        </w:rPr>
        <w:t xml:space="preserve"> </w:t>
      </w:r>
      <w:r w:rsidRPr="00EE2428">
        <w:rPr>
          <w:color w:val="000000" w:themeColor="text1"/>
        </w:rPr>
        <w:t xml:space="preserve">Two recent studies in Gabon and Equatorial Guinea, </w:t>
      </w:r>
      <w:r w:rsidR="007D0617">
        <w:rPr>
          <w:color w:val="000000" w:themeColor="text1"/>
        </w:rPr>
        <w:t>looking at the</w:t>
      </w:r>
      <w:r w:rsidRPr="00EE2428">
        <w:rPr>
          <w:color w:val="000000" w:themeColor="text1"/>
        </w:rPr>
        <w:t xml:space="preserve"> composition of hunter catches over 10-year periods </w:t>
      </w:r>
      <w:r w:rsidR="002322E3">
        <w:rPr>
          <w:color w:val="000000" w:themeColor="text1"/>
        </w:rPr>
        <w:fldChar w:fldCharType="begin" w:fldLock="1"/>
      </w:r>
      <w:r w:rsidR="00913F49">
        <w:rPr>
          <w:color w:val="000000" w:themeColor="text1"/>
        </w:rPr>
        <w:instrText>ADDIN CSL_CITATION {"citationItems":[{"id":"ITEM-1","itemData":{"DOI":"10.1111/cobi.12012","ISBN":"1523-1739","ISSN":"08888892","PMID":"23369059","abstract":"Despite widespread recognition of the major threat to tropical forest biological diversity and local food security posed by unsustainable bushmeat hunting, virtually no long-term studies tracking the socioecological dynamics of hunting systems have been conducted. We interviewed local hunters and collected detailed hunting data to investigate changes in offtake and hunter characteristics over 10 years (2001-2010) in Dibouka and Kouagna villages, central Gabon, in the context of hunter recollections of longer term trends since the 1950s. To control for changes in hunter behavior, such as trap location and characteristics, we report hunting offtake data per trap. Our results suggest the hunting area was already highly depleted by 2001; local hunters reported that 16 large-bodied prey species had become rare or locally extirpated over the last 60 years. Overall, we observed no significant declines in hunting offtake or changes in species composition from 2001 to 2010, and offtakes per trap increased slightly between 2004 and 2010. However, trapping distance from the villages increased, and there was a switch in hunting techniques; a larger proportion of the catch was hunted with guns in 2010. The number of hunters declined by 20% from 2004 to 2010, and male livelihood activities shifted away from hunting. Hunters with the lowest hunting incomes in 2004 were more likely than successful hunters to have moved away from the village by 2010 (often in response to alternative employment opportunities). Therefore, changes in trap success (potentially related to biological factors) were interacting with system-level changes in hunter number and composition (related to external socioeconomic factors) to produce a relatively static overall offtake. Our results highlight the importance of understanding the small-scale context of hunting to correctly interpret changes or apparent stasis in hunting effort and offtake over time.","author":[{"dropping-particle":"","family":"Coad","given":"L.","non-dropping-particle":"","parse-names":false,"suffix":""},{"dropping-particle":"","family":"Schleicher","given":"J.","non-dropping-particle":"","parse-names":false,"suffix":""},{"dropping-particle":"","family":"Milner-Gulland","given":"E. J.","non-dropping-particle":"","parse-names":false,"suffix":""},{"dropping-particle":"","family":"Marthews","given":"T. R.","non-dropping-particle":"","parse-names":false,"suffix":""},{"dropping-particle":"","family":"Starkey","given":"M.","non-dropping-particle":"","parse-names":false,"suffix":""},{"dropping-particle":"","family":"Manica","given":"A.","non-dropping-particle":"","parse-names":false,"suffix":""},{"dropping-particle":"","family":"Balmford","given":"A.","non-dropping-particle":"","parse-names":false,"suffix":""},{"dropping-particle":"","family":"Mbombe","given":"W.","non-dropping-particle":"","parse-names":false,"suffix":""},{"dropping-particle":"","family":"Diop Bineni","given":"T. R.","non-dropping-particle":"","parse-names":false,"suffix":""},{"dropping-particle":"","family":"Abernethy","given":"K. A.","non-dropping-particle":"","parse-names":false,"suffix":""}],"container-title":"Conservation Biology","id":"ITEM-1","issue":"2","issued":{"date-parts":[["2013"]]},"page":"270-280","title":"Social and ecological change over a decade in a village hunting system, Central Gabon","type":"article-journal","volume":"27"},"uris":["http://www.mendeley.com/documents/?uuid=2487128a-cfb3-488a-90a8-01aebd4969c4"]},{"id":"ITEM-2","itemData":{"DOI":"10.1111/j.1523-1739.2012.01876.x","ISSN":"1523-1739","PMID":"22830627","abstract":"Economic development in Africa is expected to increase levels of bushmeat hunting through rising demand for meat and improved transport infrastructure. However, few studies have tracked long-term changes in hunter behavior as a means of testing this prediction. We evaluated changes in hunter behavior in a rural community in Equatorial Guinea over a period of rapid national economic growth, during which time road access to the regional capital greatly improved. We conducted offtake surveys (Supporting Information) over 3 7-week periods at the same time of year in 1998, 2003, and 2010 and conducted hunter and household interviews (Supporting Information) in 2003 and 2010. We tested whether relations existed among catch, hunting effort, hunting strategy, and income earned through hunting and other livelihoods in 2003 and 2010. Although village offtake increased from 1775 kg in 1998 to 4172 kg in 2003, it decreased in 2010 to 1361 kg. Aggregate catch per unit effort (i.e., number of carcasses caught per hunter and per trap) decreased from 2003 to 2010, and the majority of hunters reported a decrease in abundance of local fauna. Although these results are indicative of unsustainable hunting, cumulative changes in offtake and catch per unit effort were driven by a contraction in the total area hunted following an out-migration of 29 of the village's hunters, most of whom left to gain employment in the construction industry, after 2003. Hunters operating in both 2003 and 2010 hunted closer to the village because an increased abundance of elephants posed a danger and because they desired to earn income through other activities. Our study provides an example of national economic development contributing to a reduction in the intensity and extent of hunting.","author":[{"dropping-particle":"","family":"Gill","given":"David J C","non-dropping-particle":"","parse-names":false,"suffix":""},{"dropping-particle":"","family":"Fa","given":"John E","non-dropping-particle":"","parse-names":false,"suffix":""},{"dropping-particle":"","family":"Rowcliffe","given":"J Marcus","non-dropping-particle":"","parse-names":false,"suffix":""},{"dropping-particle":"","family":"Kümpel","given":"Noëlle F","non-dropping-particle":"","parse-names":false,"suffix":""}],"container-title":"Conservation Biology","id":"ITEM-2","issue":"6","issued":{"date-parts":[["2012","12"]]},"page":"1052-60","title":"Drivers of change in hunter offtake and hunting strategies in Sendje, Equatorial Guinea","type":"article-journal","volume":"26"},"uris":["http://www.mendeley.com/documents/?uuid=11bfb6c5-5fd9-43e6-bd0d-b965f20e9a1c"]}],"mendeley":{"formattedCitation":"(Gill et al. 2012; Coad et al. 2013)","plainTextFormattedCitation":"(Gill et al. 2012; Coad et al. 2013)","previouslyFormattedCitation":"(Gill et al. 2012; Coad et al. 2013)"},"properties":{"noteIndex":0},"schema":"https://github.com/citation-style-language/schema/raw/master/csl-citation.json"}</w:instrText>
      </w:r>
      <w:r w:rsidR="002322E3">
        <w:rPr>
          <w:color w:val="000000" w:themeColor="text1"/>
        </w:rPr>
        <w:fldChar w:fldCharType="separate"/>
      </w:r>
      <w:r w:rsidR="002322E3" w:rsidRPr="002322E3">
        <w:rPr>
          <w:noProof/>
          <w:color w:val="000000" w:themeColor="text1"/>
        </w:rPr>
        <w:t>(Gill et al. 2012; Coad et al. 2013)</w:t>
      </w:r>
      <w:r w:rsidR="002322E3">
        <w:rPr>
          <w:color w:val="000000" w:themeColor="text1"/>
        </w:rPr>
        <w:fldChar w:fldCharType="end"/>
      </w:r>
      <w:r w:rsidRPr="00EE2428">
        <w:rPr>
          <w:color w:val="000000" w:themeColor="text1"/>
        </w:rPr>
        <w:t xml:space="preserve"> both found that </w:t>
      </w:r>
      <w:r w:rsidR="007D0617">
        <w:rPr>
          <w:color w:val="000000" w:themeColor="text1"/>
        </w:rPr>
        <w:t xml:space="preserve">the </w:t>
      </w:r>
      <w:r w:rsidRPr="00EE2428">
        <w:rPr>
          <w:color w:val="000000" w:themeColor="text1"/>
        </w:rPr>
        <w:t xml:space="preserve">species composition </w:t>
      </w:r>
      <w:r w:rsidR="007D0617">
        <w:rPr>
          <w:color w:val="000000" w:themeColor="text1"/>
        </w:rPr>
        <w:t>of the hunter’s catch did not change over time</w:t>
      </w:r>
      <w:r w:rsidRPr="00EE2428">
        <w:rPr>
          <w:color w:val="000000" w:themeColor="text1"/>
        </w:rPr>
        <w:t>. However, both studies found significant social changes i</w:t>
      </w:r>
      <w:r w:rsidRPr="0064175F">
        <w:rPr>
          <w:color w:val="000000" w:themeColor="text1"/>
        </w:rPr>
        <w:t xml:space="preserve">n their study villages, with many </w:t>
      </w:r>
      <w:r w:rsidRPr="006F5EBC">
        <w:rPr>
          <w:color w:val="000000" w:themeColor="text1"/>
        </w:rPr>
        <w:t>hunters moving away from the villages to find alternative sources of income in urban areas, and a shift to gun hunting</w:t>
      </w:r>
      <w:r w:rsidR="005D5CB7">
        <w:rPr>
          <w:color w:val="000000" w:themeColor="text1"/>
        </w:rPr>
        <w:t xml:space="preserve"> </w:t>
      </w:r>
      <w:r w:rsidR="00996AB9">
        <w:rPr>
          <w:color w:val="000000" w:themeColor="text1"/>
        </w:rPr>
        <w:t>by</w:t>
      </w:r>
      <w:r w:rsidR="005D5CB7">
        <w:rPr>
          <w:color w:val="000000" w:themeColor="text1"/>
        </w:rPr>
        <w:t xml:space="preserve"> remaining hunters</w:t>
      </w:r>
      <w:r w:rsidRPr="006F5EBC">
        <w:rPr>
          <w:color w:val="000000" w:themeColor="text1"/>
        </w:rPr>
        <w:t xml:space="preserve">. These case studies highlight that sustainability in a hunting system </w:t>
      </w:r>
      <w:r w:rsidR="000E249B">
        <w:rPr>
          <w:color w:val="000000" w:themeColor="text1"/>
        </w:rPr>
        <w:t>can be viewed</w:t>
      </w:r>
      <w:r w:rsidRPr="006F5EBC">
        <w:rPr>
          <w:color w:val="000000" w:themeColor="text1"/>
        </w:rPr>
        <w:t xml:space="preserve"> not just </w:t>
      </w:r>
      <w:r w:rsidR="000E249B">
        <w:rPr>
          <w:color w:val="000000" w:themeColor="text1"/>
        </w:rPr>
        <w:t xml:space="preserve">in relation </w:t>
      </w:r>
      <w:r w:rsidRPr="006F5EBC">
        <w:rPr>
          <w:color w:val="000000" w:themeColor="text1"/>
        </w:rPr>
        <w:t>to the ecological elements, but also the human elem</w:t>
      </w:r>
      <w:r w:rsidRPr="0070404D">
        <w:rPr>
          <w:color w:val="000000" w:themeColor="text1"/>
        </w:rPr>
        <w:t xml:space="preserve">ents (socioeconomic sustainability). </w:t>
      </w:r>
    </w:p>
    <w:p w14:paraId="638265DC" w14:textId="77777777" w:rsidR="009C0863" w:rsidRPr="004904D8" w:rsidRDefault="009C0863" w:rsidP="00C258BC">
      <w:pPr>
        <w:jc w:val="both"/>
        <w:rPr>
          <w:color w:val="000000" w:themeColor="text1"/>
        </w:rPr>
      </w:pPr>
    </w:p>
    <w:p w14:paraId="1C8A9D96" w14:textId="77777777" w:rsidR="009C0863" w:rsidRPr="004904D8" w:rsidRDefault="009C0863" w:rsidP="00C258BC">
      <w:pPr>
        <w:jc w:val="both"/>
        <w:rPr>
          <w:color w:val="000000" w:themeColor="text1"/>
        </w:rPr>
      </w:pPr>
    </w:p>
    <w:p w14:paraId="0CCC5637" w14:textId="77777777" w:rsidR="009C0863" w:rsidRPr="00785A38" w:rsidRDefault="009C0863" w:rsidP="00DF57F3">
      <w:pPr>
        <w:pStyle w:val="Heading1"/>
        <w:sectPr w:rsidR="009C0863" w:rsidRPr="00785A38">
          <w:pgSz w:w="11906" w:h="16838"/>
          <w:pgMar w:top="1440" w:right="1440" w:bottom="1440" w:left="1440" w:header="708" w:footer="708" w:gutter="0"/>
          <w:cols w:space="708"/>
          <w:docGrid w:linePitch="360"/>
        </w:sectPr>
      </w:pPr>
    </w:p>
    <w:p w14:paraId="57FCEFB5" w14:textId="54936ABB" w:rsidR="009422AB" w:rsidRPr="00760262" w:rsidRDefault="009422AB" w:rsidP="00C258BC">
      <w:pPr>
        <w:pStyle w:val="MainTitle"/>
        <w:jc w:val="both"/>
      </w:pPr>
      <w:bookmarkStart w:id="137" w:name="_Toc517693757"/>
      <w:bookmarkStart w:id="138" w:name="_Ref518893058"/>
      <w:bookmarkStart w:id="139" w:name="_Toc519156100"/>
      <w:bookmarkStart w:id="140" w:name="_Toc491942939"/>
      <w:bookmarkStart w:id="141" w:name="_Toc491961654"/>
      <w:bookmarkStart w:id="142" w:name="_Toc491961707"/>
      <w:bookmarkStart w:id="143" w:name="_Toc491965060"/>
      <w:bookmarkEnd w:id="27"/>
      <w:bookmarkEnd w:id="28"/>
      <w:bookmarkEnd w:id="29"/>
      <w:bookmarkEnd w:id="30"/>
      <w:r w:rsidRPr="00760262">
        <w:lastRenderedPageBreak/>
        <w:t xml:space="preserve">SECTION 2: MANAGING THE SUPPLY </w:t>
      </w:r>
      <w:r w:rsidR="00A479D2" w:rsidRPr="00760262">
        <w:t xml:space="preserve">OF, </w:t>
      </w:r>
      <w:r w:rsidR="00A479D2">
        <w:t>AND</w:t>
      </w:r>
      <w:r w:rsidRPr="00760262">
        <w:t xml:space="preserve"> REDUCING THE DEMAND FOR, WILD</w:t>
      </w:r>
      <w:r w:rsidR="00466375">
        <w:t xml:space="preserve"> </w:t>
      </w:r>
      <w:r w:rsidRPr="00760262">
        <w:t>MEAT</w:t>
      </w:r>
    </w:p>
    <w:p w14:paraId="79B8A261" w14:textId="25FF5D9D" w:rsidR="007D0617" w:rsidRDefault="002656D6" w:rsidP="00DF57F3">
      <w:pPr>
        <w:pStyle w:val="Heading1"/>
      </w:pPr>
      <w:bookmarkStart w:id="144" w:name="_Toc529390355"/>
      <w:r>
        <w:t>Four common scenarios of wildmeat use, and potential management strategies</w:t>
      </w:r>
      <w:bookmarkEnd w:id="144"/>
      <w:r>
        <w:t xml:space="preserve"> </w:t>
      </w:r>
    </w:p>
    <w:p w14:paraId="528D6EA0" w14:textId="5DDB7211" w:rsidR="004B7B21" w:rsidRDefault="00584CCF" w:rsidP="00C258BC">
      <w:pPr>
        <w:pStyle w:val="Default"/>
        <w:spacing w:after="120"/>
        <w:jc w:val="both"/>
        <w:rPr>
          <w:rFonts w:ascii="Times New Roman" w:hAnsi="Times New Roman" w:cs="Times New Roman"/>
          <w:color w:val="000000" w:themeColor="text1"/>
          <w:szCs w:val="22"/>
          <w:lang w:val="en-GB"/>
        </w:rPr>
      </w:pPr>
      <w:r>
        <w:rPr>
          <w:rFonts w:ascii="Times New Roman" w:hAnsi="Times New Roman" w:cs="Times New Roman"/>
          <w:color w:val="000000" w:themeColor="text1"/>
          <w:szCs w:val="22"/>
          <w:lang w:val="en-GB"/>
        </w:rPr>
        <w:t>W</w:t>
      </w:r>
      <w:r w:rsidR="00965DA6">
        <w:rPr>
          <w:rFonts w:ascii="Times New Roman" w:hAnsi="Times New Roman" w:cs="Times New Roman"/>
          <w:color w:val="000000" w:themeColor="text1"/>
          <w:szCs w:val="22"/>
          <w:lang w:val="en-GB"/>
        </w:rPr>
        <w:t>hile</w:t>
      </w:r>
      <w:r>
        <w:rPr>
          <w:rFonts w:ascii="Times New Roman" w:hAnsi="Times New Roman" w:cs="Times New Roman"/>
          <w:color w:val="000000" w:themeColor="text1"/>
          <w:szCs w:val="22"/>
          <w:lang w:val="en-GB"/>
        </w:rPr>
        <w:t xml:space="preserve"> the</w:t>
      </w:r>
      <w:r w:rsidR="00965DA6">
        <w:rPr>
          <w:rFonts w:ascii="Times New Roman" w:hAnsi="Times New Roman" w:cs="Times New Roman"/>
          <w:color w:val="000000" w:themeColor="text1"/>
          <w:szCs w:val="22"/>
          <w:lang w:val="en-GB"/>
        </w:rPr>
        <w:t xml:space="preserve"> </w:t>
      </w:r>
      <w:r w:rsidR="009604B2">
        <w:rPr>
          <w:rFonts w:ascii="Times New Roman" w:hAnsi="Times New Roman" w:cs="Times New Roman"/>
          <w:color w:val="000000" w:themeColor="text1"/>
          <w:szCs w:val="22"/>
          <w:lang w:val="en-GB"/>
        </w:rPr>
        <w:t>characteristics of</w:t>
      </w:r>
      <w:r w:rsidR="00965DA6">
        <w:rPr>
          <w:rFonts w:ascii="Times New Roman" w:hAnsi="Times New Roman" w:cs="Times New Roman"/>
          <w:color w:val="000000" w:themeColor="text1"/>
          <w:szCs w:val="22"/>
          <w:lang w:val="en-GB"/>
        </w:rPr>
        <w:t xml:space="preserve"> wild meat </w:t>
      </w:r>
      <w:r w:rsidR="009604B2">
        <w:rPr>
          <w:rFonts w:ascii="Times New Roman" w:hAnsi="Times New Roman" w:cs="Times New Roman"/>
          <w:color w:val="000000" w:themeColor="text1"/>
          <w:szCs w:val="22"/>
          <w:lang w:val="en-GB"/>
        </w:rPr>
        <w:t>use</w:t>
      </w:r>
      <w:r w:rsidR="00965DA6">
        <w:rPr>
          <w:rFonts w:ascii="Times New Roman" w:hAnsi="Times New Roman" w:cs="Times New Roman"/>
          <w:color w:val="000000" w:themeColor="text1"/>
          <w:szCs w:val="22"/>
          <w:lang w:val="en-GB"/>
        </w:rPr>
        <w:t xml:space="preserve"> </w:t>
      </w:r>
      <w:r w:rsidR="00944860">
        <w:rPr>
          <w:rFonts w:ascii="Times New Roman" w:hAnsi="Times New Roman" w:cs="Times New Roman"/>
          <w:color w:val="000000" w:themeColor="text1"/>
          <w:szCs w:val="22"/>
          <w:lang w:val="en-GB"/>
        </w:rPr>
        <w:t>undoubtedly</w:t>
      </w:r>
      <w:r w:rsidR="009422AB">
        <w:rPr>
          <w:rFonts w:ascii="Times New Roman" w:hAnsi="Times New Roman" w:cs="Times New Roman"/>
          <w:color w:val="000000" w:themeColor="text1"/>
          <w:szCs w:val="22"/>
          <w:lang w:val="en-GB"/>
        </w:rPr>
        <w:t xml:space="preserve"> vary amo</w:t>
      </w:r>
      <w:r w:rsidR="009515D8">
        <w:rPr>
          <w:rFonts w:ascii="Times New Roman" w:hAnsi="Times New Roman" w:cs="Times New Roman"/>
          <w:color w:val="000000" w:themeColor="text1"/>
          <w:szCs w:val="22"/>
          <w:lang w:val="en-GB"/>
        </w:rPr>
        <w:t>ng regions, g</w:t>
      </w:r>
      <w:r w:rsidR="00965DA6">
        <w:rPr>
          <w:rFonts w:ascii="Times New Roman" w:hAnsi="Times New Roman" w:cs="Times New Roman"/>
          <w:color w:val="000000" w:themeColor="text1"/>
          <w:szCs w:val="22"/>
          <w:lang w:val="en-GB"/>
        </w:rPr>
        <w:t>e</w:t>
      </w:r>
      <w:r w:rsidR="009515D8">
        <w:rPr>
          <w:rFonts w:ascii="Times New Roman" w:hAnsi="Times New Roman" w:cs="Times New Roman"/>
          <w:color w:val="000000" w:themeColor="text1"/>
          <w:szCs w:val="22"/>
          <w:lang w:val="en-GB"/>
        </w:rPr>
        <w:t>o</w:t>
      </w:r>
      <w:r w:rsidR="00965DA6">
        <w:rPr>
          <w:rFonts w:ascii="Times New Roman" w:hAnsi="Times New Roman" w:cs="Times New Roman"/>
          <w:color w:val="000000" w:themeColor="text1"/>
          <w:szCs w:val="22"/>
          <w:lang w:val="en-GB"/>
        </w:rPr>
        <w:t xml:space="preserve">graphies and peoples, </w:t>
      </w:r>
      <w:r w:rsidR="009604B2">
        <w:rPr>
          <w:rFonts w:ascii="Times New Roman" w:hAnsi="Times New Roman" w:cs="Times New Roman"/>
          <w:color w:val="000000" w:themeColor="text1"/>
          <w:szCs w:val="22"/>
          <w:lang w:val="en-GB"/>
        </w:rPr>
        <w:t>the</w:t>
      </w:r>
      <w:r>
        <w:rPr>
          <w:rFonts w:ascii="Times New Roman" w:hAnsi="Times New Roman" w:cs="Times New Roman"/>
          <w:color w:val="000000" w:themeColor="text1"/>
          <w:szCs w:val="22"/>
          <w:lang w:val="en-GB"/>
        </w:rPr>
        <w:t xml:space="preserve"> previous review</w:t>
      </w:r>
      <w:r w:rsidR="009604B2">
        <w:rPr>
          <w:rFonts w:ascii="Times New Roman" w:hAnsi="Times New Roman" w:cs="Times New Roman"/>
          <w:color w:val="000000" w:themeColor="text1"/>
          <w:szCs w:val="22"/>
          <w:lang w:val="en-GB"/>
        </w:rPr>
        <w:t xml:space="preserve"> highlights </w:t>
      </w:r>
      <w:r w:rsidR="00334443">
        <w:rPr>
          <w:rFonts w:ascii="Times New Roman" w:hAnsi="Times New Roman" w:cs="Times New Roman"/>
          <w:color w:val="000000" w:themeColor="text1"/>
          <w:szCs w:val="22"/>
          <w:lang w:val="en-GB"/>
        </w:rPr>
        <w:t>great</w:t>
      </w:r>
      <w:r w:rsidR="009604B2">
        <w:rPr>
          <w:rFonts w:ascii="Times New Roman" w:hAnsi="Times New Roman" w:cs="Times New Roman"/>
          <w:color w:val="000000" w:themeColor="text1"/>
          <w:szCs w:val="22"/>
          <w:lang w:val="en-GB"/>
        </w:rPr>
        <w:t xml:space="preserve"> similarities across the tropics</w:t>
      </w:r>
      <w:r w:rsidR="007D0617">
        <w:rPr>
          <w:rFonts w:ascii="Times New Roman" w:hAnsi="Times New Roman" w:cs="Times New Roman"/>
          <w:color w:val="000000" w:themeColor="text1"/>
          <w:szCs w:val="22"/>
          <w:lang w:val="en-GB"/>
        </w:rPr>
        <w:t xml:space="preserve"> and sub-tropics</w:t>
      </w:r>
      <w:r w:rsidR="009604B2">
        <w:rPr>
          <w:rFonts w:ascii="Times New Roman" w:hAnsi="Times New Roman" w:cs="Times New Roman"/>
          <w:color w:val="000000" w:themeColor="text1"/>
          <w:szCs w:val="22"/>
          <w:lang w:val="en-GB"/>
        </w:rPr>
        <w:t xml:space="preserve"> in the users and drivers of wild meat consumption</w:t>
      </w:r>
      <w:r w:rsidR="00334443">
        <w:rPr>
          <w:rFonts w:ascii="Times New Roman" w:hAnsi="Times New Roman" w:cs="Times New Roman"/>
          <w:color w:val="000000" w:themeColor="text1"/>
          <w:szCs w:val="22"/>
          <w:lang w:val="en-GB"/>
        </w:rPr>
        <w:t>. F</w:t>
      </w:r>
      <w:r w:rsidR="009604B2">
        <w:rPr>
          <w:rFonts w:ascii="Times New Roman" w:hAnsi="Times New Roman" w:cs="Times New Roman"/>
          <w:color w:val="000000" w:themeColor="text1"/>
          <w:szCs w:val="22"/>
          <w:lang w:val="en-GB"/>
        </w:rPr>
        <w:t>rom this w</w:t>
      </w:r>
      <w:r>
        <w:rPr>
          <w:rFonts w:ascii="Times New Roman" w:hAnsi="Times New Roman" w:cs="Times New Roman"/>
          <w:color w:val="000000" w:themeColor="text1"/>
          <w:szCs w:val="22"/>
          <w:lang w:val="en-GB"/>
        </w:rPr>
        <w:t xml:space="preserve">e have outlined four key scenarios that broadly </w:t>
      </w:r>
      <w:r w:rsidRPr="00785A38">
        <w:rPr>
          <w:rFonts w:ascii="Times New Roman" w:hAnsi="Times New Roman" w:cs="Times New Roman"/>
          <w:color w:val="000000" w:themeColor="text1"/>
          <w:szCs w:val="22"/>
          <w:lang w:val="en-GB"/>
        </w:rPr>
        <w:t>represent the different contexts within which wildlife are consumed as food</w:t>
      </w:r>
      <w:r w:rsidR="00334443">
        <w:rPr>
          <w:rFonts w:ascii="Times New Roman" w:hAnsi="Times New Roman" w:cs="Times New Roman"/>
          <w:color w:val="000000" w:themeColor="text1"/>
          <w:szCs w:val="22"/>
          <w:lang w:val="en-GB"/>
        </w:rPr>
        <w:t xml:space="preserve"> in the global tropics</w:t>
      </w:r>
      <w:r>
        <w:rPr>
          <w:rFonts w:ascii="Times New Roman" w:hAnsi="Times New Roman" w:cs="Times New Roman"/>
          <w:color w:val="000000" w:themeColor="text1"/>
          <w:szCs w:val="22"/>
          <w:lang w:val="en-GB"/>
        </w:rPr>
        <w:t xml:space="preserve">. </w:t>
      </w:r>
      <w:r w:rsidR="007E050E" w:rsidRPr="00785A38">
        <w:rPr>
          <w:rFonts w:ascii="Times New Roman" w:hAnsi="Times New Roman" w:cs="Times New Roman"/>
          <w:color w:val="000000" w:themeColor="text1"/>
          <w:szCs w:val="22"/>
          <w:lang w:val="en-GB"/>
        </w:rPr>
        <w:t xml:space="preserve">To highlight how interventions might need to be designed differently depending on </w:t>
      </w:r>
      <w:r w:rsidR="00334443">
        <w:rPr>
          <w:rFonts w:ascii="Times New Roman" w:hAnsi="Times New Roman" w:cs="Times New Roman"/>
          <w:color w:val="000000" w:themeColor="text1"/>
          <w:szCs w:val="22"/>
          <w:lang w:val="en-GB"/>
        </w:rPr>
        <w:t>the context</w:t>
      </w:r>
      <w:r w:rsidR="007E050E" w:rsidRPr="00785A38">
        <w:rPr>
          <w:rFonts w:ascii="Times New Roman" w:hAnsi="Times New Roman" w:cs="Times New Roman"/>
          <w:color w:val="000000" w:themeColor="text1"/>
          <w:szCs w:val="22"/>
          <w:lang w:val="en-GB"/>
        </w:rPr>
        <w:t>, we have suggested potential strategies</w:t>
      </w:r>
      <w:r>
        <w:rPr>
          <w:rFonts w:ascii="Times New Roman" w:hAnsi="Times New Roman" w:cs="Times New Roman"/>
          <w:color w:val="000000" w:themeColor="text1"/>
          <w:szCs w:val="22"/>
          <w:lang w:val="en-GB"/>
        </w:rPr>
        <w:t xml:space="preserve"> f</w:t>
      </w:r>
      <w:r w:rsidR="00E82162">
        <w:rPr>
          <w:rFonts w:ascii="Times New Roman" w:hAnsi="Times New Roman" w:cs="Times New Roman"/>
          <w:color w:val="000000" w:themeColor="text1"/>
          <w:szCs w:val="22"/>
          <w:lang w:val="en-GB"/>
        </w:rPr>
        <w:t>or each of these four scenarios.</w:t>
      </w:r>
      <w:r w:rsidR="00334443">
        <w:rPr>
          <w:rFonts w:ascii="Times New Roman" w:hAnsi="Times New Roman" w:cs="Times New Roman"/>
          <w:color w:val="000000" w:themeColor="text1"/>
          <w:szCs w:val="22"/>
          <w:lang w:val="en-GB"/>
        </w:rPr>
        <w:t xml:space="preserve"> </w:t>
      </w:r>
      <w:r w:rsidR="00A479D2">
        <w:rPr>
          <w:rFonts w:ascii="Times New Roman" w:hAnsi="Times New Roman" w:cs="Times New Roman"/>
          <w:color w:val="000000" w:themeColor="text1"/>
          <w:szCs w:val="22"/>
          <w:lang w:val="en-GB"/>
        </w:rPr>
        <w:t>These strategies</w:t>
      </w:r>
      <w:r w:rsidR="00334443">
        <w:rPr>
          <w:rFonts w:ascii="Times New Roman" w:hAnsi="Times New Roman" w:cs="Times New Roman"/>
          <w:color w:val="000000" w:themeColor="text1"/>
          <w:szCs w:val="22"/>
          <w:lang w:val="en-GB"/>
        </w:rPr>
        <w:t xml:space="preserve"> are starting points, and would, of course, need to be fine-tuned to a local environment to make any ultimate interventions successful.</w:t>
      </w:r>
      <w:r w:rsidR="004B7B21">
        <w:rPr>
          <w:rFonts w:ascii="Times New Roman" w:hAnsi="Times New Roman" w:cs="Times New Roman"/>
          <w:color w:val="000000" w:themeColor="text1"/>
          <w:szCs w:val="22"/>
          <w:lang w:val="en-GB"/>
        </w:rPr>
        <w:t xml:space="preserve"> </w:t>
      </w:r>
    </w:p>
    <w:p w14:paraId="3E87EA11" w14:textId="405962ED" w:rsidR="003E36D2" w:rsidRDefault="003E36D2" w:rsidP="004B222C">
      <w:pPr>
        <w:pStyle w:val="Default"/>
        <w:spacing w:after="120"/>
        <w:rPr>
          <w:rFonts w:ascii="Times New Roman" w:hAnsi="Times New Roman" w:cs="Times New Roman"/>
          <w:color w:val="000000" w:themeColor="text1"/>
          <w:szCs w:val="22"/>
          <w:lang w:val="en-GB"/>
        </w:rPr>
      </w:pPr>
      <w:r>
        <w:rPr>
          <w:rFonts w:ascii="Times New Roman" w:hAnsi="Times New Roman" w:cs="Times New Roman"/>
          <w:color w:val="000000" w:themeColor="text1"/>
          <w:szCs w:val="22"/>
          <w:lang w:val="en-GB"/>
        </w:rPr>
        <w:t xml:space="preserve">We present the four scenarios in order of </w:t>
      </w:r>
      <w:r w:rsidR="006740B0">
        <w:rPr>
          <w:rFonts w:ascii="Times New Roman" w:hAnsi="Times New Roman" w:cs="Times New Roman"/>
          <w:color w:val="000000" w:themeColor="text1"/>
          <w:szCs w:val="22"/>
          <w:lang w:val="en-GB"/>
        </w:rPr>
        <w:t>distance from the wild-meat supply, and thus increasing complexit</w:t>
      </w:r>
      <w:r w:rsidR="00427C25">
        <w:rPr>
          <w:rFonts w:ascii="Times New Roman" w:hAnsi="Times New Roman" w:cs="Times New Roman"/>
          <w:color w:val="000000" w:themeColor="text1"/>
          <w:szCs w:val="22"/>
          <w:lang w:val="en-GB"/>
        </w:rPr>
        <w:t>y of the stakeholders involved</w:t>
      </w:r>
      <w:r w:rsidR="004B222C">
        <w:rPr>
          <w:rFonts w:ascii="Times New Roman" w:hAnsi="Times New Roman" w:cs="Times New Roman"/>
          <w:color w:val="000000" w:themeColor="text1"/>
          <w:szCs w:val="22"/>
          <w:lang w:val="en-GB"/>
        </w:rPr>
        <w:t>:</w:t>
      </w:r>
    </w:p>
    <w:p w14:paraId="7097194B" w14:textId="77777777" w:rsidR="007D0617" w:rsidRDefault="006E2A97" w:rsidP="00DF57F3">
      <w:pPr>
        <w:pStyle w:val="Heading2"/>
      </w:pPr>
      <w:bookmarkStart w:id="145" w:name="_Toc529390356"/>
      <w:r w:rsidRPr="007D0617">
        <w:t xml:space="preserve">Scenario 1: </w:t>
      </w:r>
      <w:r w:rsidR="007E050E" w:rsidRPr="007D0617">
        <w:t>Rural communities</w:t>
      </w:r>
      <w:r w:rsidR="00584CCF">
        <w:t>.</w:t>
      </w:r>
      <w:bookmarkEnd w:id="145"/>
      <w:r w:rsidR="00584CCF">
        <w:t xml:space="preserve"> </w:t>
      </w:r>
    </w:p>
    <w:p w14:paraId="0AE4EB70" w14:textId="2B62C19F" w:rsidR="007E050E" w:rsidRPr="002656D6" w:rsidRDefault="007E050E" w:rsidP="00C258BC">
      <w:pPr>
        <w:jc w:val="both"/>
        <w:rPr>
          <w:i/>
        </w:rPr>
      </w:pPr>
      <w:r w:rsidRPr="002656D6">
        <w:rPr>
          <w:i/>
        </w:rPr>
        <w:t xml:space="preserve">Small villages where the main form of meat eaten is wild meat and it is still plentiful in surrounding lands and waters. Livestock and farmed fish are </w:t>
      </w:r>
      <w:r w:rsidR="002656D6" w:rsidRPr="002656D6">
        <w:rPr>
          <w:i/>
        </w:rPr>
        <w:t>expensive and unavailable, and wildmeat is cheap and relatively easy to procure from surrounding lands</w:t>
      </w:r>
      <w:r w:rsidR="00334443" w:rsidRPr="002656D6">
        <w:rPr>
          <w:i/>
        </w:rPr>
        <w:t>.</w:t>
      </w:r>
      <w:r w:rsidR="006E2A97" w:rsidRPr="002656D6">
        <w:rPr>
          <w:i/>
        </w:rPr>
        <w:t xml:space="preserve"> </w:t>
      </w:r>
      <w:r w:rsidR="003E36D2" w:rsidRPr="002656D6">
        <w:rPr>
          <w:i/>
        </w:rPr>
        <w:t>Hunters are members of the community, and w</w:t>
      </w:r>
      <w:r w:rsidR="006E2A97" w:rsidRPr="002656D6">
        <w:rPr>
          <w:i/>
        </w:rPr>
        <w:t>ild meat provides an important source of food and income.</w:t>
      </w:r>
    </w:p>
    <w:p w14:paraId="0B28E2A9" w14:textId="79FF5216" w:rsidR="007E050E" w:rsidRPr="00785A38" w:rsidRDefault="007E050E" w:rsidP="00C258BC">
      <w:pPr>
        <w:jc w:val="both"/>
      </w:pPr>
      <w:r w:rsidRPr="00785A38">
        <w:t>In villages where wild meat from surrounding lands and waters is abundant and can be taken freely and with little capital investment</w:t>
      </w:r>
      <w:r w:rsidR="006C4318">
        <w:t>,</w:t>
      </w:r>
      <w:r w:rsidRPr="00785A38">
        <w:t xml:space="preserve"> the cost of producing wild meat is low. Given this, the costs of livestock husbandry or importing the meat of domesticated animals, or wild-caught or farmed fish will likely be higher</w:t>
      </w:r>
      <w:r w:rsidR="003147F8">
        <w:t>,</w:t>
      </w:r>
      <w:r w:rsidRPr="00785A38">
        <w:t xml:space="preserve"> and consumers will be unlikely to switch from consuming wild meat to eating the higher priced alternatives. </w:t>
      </w:r>
      <w:r w:rsidR="003E36D2">
        <w:t xml:space="preserve">Depending on the human population density and </w:t>
      </w:r>
      <w:r w:rsidRPr="00785A38">
        <w:t xml:space="preserve">wildlife </w:t>
      </w:r>
      <w:r w:rsidR="003E36D2">
        <w:t xml:space="preserve">community, the protein needs of the population can be supported by the likely productivity of the wildlife. </w:t>
      </w:r>
      <w:r w:rsidR="005A1B6C">
        <w:t xml:space="preserve">In very remote communities, market access </w:t>
      </w:r>
      <w:r w:rsidR="006740B0">
        <w:t>is limited</w:t>
      </w:r>
      <w:r w:rsidR="005A1B6C">
        <w:t xml:space="preserve"> and income</w:t>
      </w:r>
      <w:r w:rsidRPr="00785A38">
        <w:t xml:space="preserve"> from hunting </w:t>
      </w:r>
      <w:r w:rsidR="005A1B6C">
        <w:t xml:space="preserve">may </w:t>
      </w:r>
      <w:r w:rsidR="006740B0">
        <w:t>be low</w:t>
      </w:r>
      <w:r w:rsidR="006E2A97">
        <w:t>, but in most communities</w:t>
      </w:r>
      <w:r w:rsidR="005A1B6C">
        <w:t xml:space="preserve"> some income from hunting is derived for subsistence</w:t>
      </w:r>
      <w:r w:rsidR="003E36D2">
        <w:t xml:space="preserve"> and so continued </w:t>
      </w:r>
      <w:r w:rsidRPr="00785A38">
        <w:t xml:space="preserve">supply of </w:t>
      </w:r>
      <w:r w:rsidR="003E36D2">
        <w:t>this trade must be factored into the local</w:t>
      </w:r>
      <w:r w:rsidRPr="00785A38">
        <w:t xml:space="preserve"> demand.</w:t>
      </w:r>
    </w:p>
    <w:p w14:paraId="72CEFACF" w14:textId="77777777" w:rsidR="002656D6" w:rsidRDefault="009D447B" w:rsidP="00C258BC">
      <w:pPr>
        <w:pStyle w:val="Default"/>
        <w:spacing w:after="120"/>
        <w:jc w:val="both"/>
        <w:rPr>
          <w:rFonts w:ascii="Times New Roman" w:hAnsi="Times New Roman" w:cs="Times New Roman"/>
          <w:i/>
          <w:color w:val="000000" w:themeColor="text1"/>
          <w:szCs w:val="22"/>
          <w:lang w:val="en-GB"/>
        </w:rPr>
      </w:pPr>
      <w:r w:rsidRPr="00996AB9">
        <w:rPr>
          <w:rFonts w:ascii="Times New Roman" w:hAnsi="Times New Roman" w:cs="Times New Roman"/>
          <w:i/>
          <w:color w:val="000000" w:themeColor="text1"/>
          <w:szCs w:val="22"/>
          <w:lang w:val="en-GB"/>
        </w:rPr>
        <w:t xml:space="preserve">Solutions </w:t>
      </w:r>
    </w:p>
    <w:p w14:paraId="785815CF" w14:textId="27BAF8C9" w:rsidR="002656D6" w:rsidRPr="00295B80" w:rsidRDefault="005A1B6C" w:rsidP="00C258BC">
      <w:pPr>
        <w:pStyle w:val="Default"/>
        <w:spacing w:after="120"/>
        <w:jc w:val="both"/>
        <w:rPr>
          <w:rFonts w:ascii="Times New Roman" w:hAnsi="Times New Roman" w:cs="Times New Roman"/>
          <w:color w:val="000000" w:themeColor="text1"/>
          <w:szCs w:val="22"/>
          <w:lang w:val="en-GB"/>
        </w:rPr>
      </w:pPr>
      <w:r>
        <w:rPr>
          <w:rFonts w:ascii="Times New Roman" w:hAnsi="Times New Roman" w:cs="Times New Roman"/>
          <w:color w:val="000000" w:themeColor="text1"/>
          <w:szCs w:val="22"/>
          <w:lang w:val="en-GB"/>
        </w:rPr>
        <w:t>The rights</w:t>
      </w:r>
      <w:r w:rsidR="006740B0">
        <w:rPr>
          <w:rFonts w:ascii="Times New Roman" w:hAnsi="Times New Roman" w:cs="Times New Roman"/>
          <w:color w:val="000000" w:themeColor="text1"/>
          <w:szCs w:val="22"/>
          <w:lang w:val="en-GB"/>
        </w:rPr>
        <w:t xml:space="preserve"> and </w:t>
      </w:r>
      <w:r w:rsidR="00A479D2">
        <w:rPr>
          <w:rFonts w:ascii="Times New Roman" w:hAnsi="Times New Roman" w:cs="Times New Roman"/>
          <w:color w:val="000000" w:themeColor="text1"/>
          <w:szCs w:val="22"/>
          <w:lang w:val="en-GB"/>
        </w:rPr>
        <w:t>responsibilities</w:t>
      </w:r>
      <w:r>
        <w:rPr>
          <w:rFonts w:ascii="Times New Roman" w:hAnsi="Times New Roman" w:cs="Times New Roman"/>
          <w:color w:val="000000" w:themeColor="text1"/>
          <w:szCs w:val="22"/>
          <w:lang w:val="en-GB"/>
        </w:rPr>
        <w:t xml:space="preserve"> of members of</w:t>
      </w:r>
      <w:r w:rsidR="007E050E" w:rsidRPr="00785A38">
        <w:rPr>
          <w:rFonts w:ascii="Times New Roman" w:hAnsi="Times New Roman" w:cs="Times New Roman"/>
          <w:color w:val="000000" w:themeColor="text1"/>
          <w:szCs w:val="22"/>
          <w:lang w:val="en-GB"/>
        </w:rPr>
        <w:t xml:space="preserve"> communities with legitimate claims to traditional lands and waters should be recognized and secured under the law. </w:t>
      </w:r>
      <w:r w:rsidR="002656D6">
        <w:rPr>
          <w:rFonts w:ascii="Times New Roman" w:hAnsi="Times New Roman" w:cs="Times New Roman"/>
          <w:color w:val="000000" w:themeColor="text1"/>
          <w:szCs w:val="22"/>
          <w:lang w:val="en-GB"/>
        </w:rPr>
        <w:t>To prevent over-hunting</w:t>
      </w:r>
      <w:r>
        <w:rPr>
          <w:rFonts w:ascii="Times New Roman" w:hAnsi="Times New Roman" w:cs="Times New Roman"/>
          <w:color w:val="000000" w:themeColor="text1"/>
          <w:szCs w:val="22"/>
          <w:lang w:val="en-GB"/>
        </w:rPr>
        <w:t>, t</w:t>
      </w:r>
      <w:r w:rsidR="007E050E" w:rsidRPr="00785A38">
        <w:rPr>
          <w:rFonts w:ascii="Times New Roman" w:hAnsi="Times New Roman" w:cs="Times New Roman"/>
          <w:color w:val="000000" w:themeColor="text1"/>
          <w:szCs w:val="22"/>
          <w:lang w:val="en-GB"/>
        </w:rPr>
        <w:t xml:space="preserve">he rights-holders must have </w:t>
      </w:r>
      <w:r w:rsidR="006E2A97">
        <w:rPr>
          <w:rFonts w:ascii="Times New Roman" w:hAnsi="Times New Roman" w:cs="Times New Roman"/>
          <w:color w:val="000000" w:themeColor="text1"/>
          <w:szCs w:val="22"/>
          <w:lang w:val="en-GB"/>
        </w:rPr>
        <w:t>been allocat</w:t>
      </w:r>
      <w:r w:rsidR="003E36D2">
        <w:rPr>
          <w:rFonts w:ascii="Times New Roman" w:hAnsi="Times New Roman" w:cs="Times New Roman"/>
          <w:color w:val="000000" w:themeColor="text1"/>
          <w:szCs w:val="22"/>
          <w:lang w:val="en-GB"/>
        </w:rPr>
        <w:t>e</w:t>
      </w:r>
      <w:r w:rsidR="006E2A97">
        <w:rPr>
          <w:rFonts w:ascii="Times New Roman" w:hAnsi="Times New Roman" w:cs="Times New Roman"/>
          <w:color w:val="000000" w:themeColor="text1"/>
          <w:szCs w:val="22"/>
          <w:lang w:val="en-GB"/>
        </w:rPr>
        <w:t xml:space="preserve">d sufficient </w:t>
      </w:r>
      <w:r w:rsidR="00A479D2">
        <w:rPr>
          <w:rFonts w:ascii="Times New Roman" w:hAnsi="Times New Roman" w:cs="Times New Roman"/>
          <w:color w:val="000000" w:themeColor="text1"/>
          <w:szCs w:val="22"/>
          <w:lang w:val="en-GB"/>
        </w:rPr>
        <w:t>land and</w:t>
      </w:r>
      <w:r w:rsidR="002656D6">
        <w:rPr>
          <w:rFonts w:ascii="Times New Roman" w:hAnsi="Times New Roman" w:cs="Times New Roman"/>
          <w:color w:val="000000" w:themeColor="text1"/>
          <w:szCs w:val="22"/>
          <w:lang w:val="en-GB"/>
        </w:rPr>
        <w:t xml:space="preserve"> have</w:t>
      </w:r>
      <w:r w:rsidR="006E2A97">
        <w:rPr>
          <w:rFonts w:ascii="Times New Roman" w:hAnsi="Times New Roman" w:cs="Times New Roman"/>
          <w:color w:val="000000" w:themeColor="text1"/>
          <w:szCs w:val="22"/>
          <w:lang w:val="en-GB"/>
        </w:rPr>
        <w:t xml:space="preserve"> </w:t>
      </w:r>
      <w:r w:rsidR="007E050E" w:rsidRPr="00785A38">
        <w:rPr>
          <w:rFonts w:ascii="Times New Roman" w:hAnsi="Times New Roman" w:cs="Times New Roman"/>
          <w:color w:val="000000" w:themeColor="text1"/>
          <w:szCs w:val="22"/>
          <w:lang w:val="en-GB"/>
        </w:rPr>
        <w:t xml:space="preserve">the </w:t>
      </w:r>
      <w:r w:rsidR="002656D6">
        <w:rPr>
          <w:rFonts w:ascii="Times New Roman" w:hAnsi="Times New Roman" w:cs="Times New Roman"/>
          <w:color w:val="000000" w:themeColor="text1"/>
          <w:szCs w:val="22"/>
          <w:lang w:val="en-GB"/>
        </w:rPr>
        <w:t xml:space="preserve">rights and </w:t>
      </w:r>
      <w:r w:rsidR="007E050E" w:rsidRPr="00785A38">
        <w:rPr>
          <w:rFonts w:ascii="Times New Roman" w:hAnsi="Times New Roman" w:cs="Times New Roman"/>
          <w:color w:val="000000" w:themeColor="text1"/>
          <w:szCs w:val="22"/>
          <w:lang w:val="en-GB"/>
        </w:rPr>
        <w:t xml:space="preserve">capacity to </w:t>
      </w:r>
      <w:r w:rsidR="003147F8">
        <w:rPr>
          <w:rFonts w:ascii="Times New Roman" w:hAnsi="Times New Roman" w:cs="Times New Roman"/>
          <w:color w:val="000000" w:themeColor="text1"/>
          <w:szCs w:val="22"/>
          <w:lang w:val="en-GB"/>
        </w:rPr>
        <w:t xml:space="preserve">sustainably </w:t>
      </w:r>
      <w:r w:rsidR="002656D6">
        <w:rPr>
          <w:rFonts w:ascii="Times New Roman" w:hAnsi="Times New Roman" w:cs="Times New Roman"/>
          <w:color w:val="000000" w:themeColor="text1"/>
          <w:szCs w:val="22"/>
          <w:lang w:val="en-GB"/>
        </w:rPr>
        <w:t>manage their own hunting and that of outsiders</w:t>
      </w:r>
      <w:r w:rsidR="006E2A97">
        <w:rPr>
          <w:rFonts w:ascii="Times New Roman" w:hAnsi="Times New Roman" w:cs="Times New Roman"/>
          <w:color w:val="000000" w:themeColor="text1"/>
          <w:szCs w:val="22"/>
          <w:lang w:val="en-GB"/>
        </w:rPr>
        <w:t>. They</w:t>
      </w:r>
      <w:r w:rsidR="007E050E" w:rsidRPr="00785A38">
        <w:rPr>
          <w:rFonts w:ascii="Times New Roman" w:hAnsi="Times New Roman" w:cs="Times New Roman"/>
          <w:color w:val="000000" w:themeColor="text1"/>
          <w:szCs w:val="22"/>
          <w:lang w:val="en-GB"/>
        </w:rPr>
        <w:t xml:space="preserve"> must be supported in this effort by duty bearers in government agencies and civil society. </w:t>
      </w:r>
      <w:r w:rsidR="00430E45" w:rsidRPr="009B35A7">
        <w:rPr>
          <w:rFonts w:ascii="Times New Roman" w:hAnsi="Times New Roman" w:cs="Times New Roman"/>
          <w:color w:val="000000" w:themeColor="text1"/>
          <w:szCs w:val="22"/>
          <w:lang w:val="en-GB"/>
        </w:rPr>
        <w:t xml:space="preserve">Legitimate national wildlife laws, should be designed and developed with key stakeholders, including indigenous and local communities. These laws </w:t>
      </w:r>
      <w:r w:rsidR="00430E45" w:rsidRPr="000A7365">
        <w:rPr>
          <w:rFonts w:ascii="Times New Roman" w:hAnsi="Times New Roman" w:cs="Times New Roman"/>
          <w:color w:val="000000" w:themeColor="text1"/>
          <w:szCs w:val="22"/>
          <w:lang w:val="en-GB"/>
        </w:rPr>
        <w:t xml:space="preserve">should </w:t>
      </w:r>
      <w:r w:rsidR="007C60AC" w:rsidRPr="000A7365">
        <w:rPr>
          <w:rFonts w:ascii="Times New Roman" w:hAnsi="Times New Roman" w:cs="Times New Roman"/>
          <w:color w:val="000000" w:themeColor="text1"/>
          <w:szCs w:val="22"/>
          <w:lang w:val="en-GB"/>
        </w:rPr>
        <w:t xml:space="preserve">aim to </w:t>
      </w:r>
      <w:r w:rsidR="00430E45" w:rsidRPr="009B35A7">
        <w:rPr>
          <w:rFonts w:ascii="Times New Roman" w:hAnsi="Times New Roman" w:cs="Times New Roman"/>
          <w:color w:val="000000" w:themeColor="text1"/>
          <w:szCs w:val="22"/>
          <w:lang w:val="en-GB"/>
        </w:rPr>
        <w:t>protect species that are not resilient to hunting, and be fairly enforced by competent national authorities, in collaboration with local communities.</w:t>
      </w:r>
      <w:r w:rsidR="00430E45">
        <w:rPr>
          <w:rFonts w:ascii="Times New Roman" w:hAnsi="Times New Roman" w:cs="Times New Roman"/>
          <w:color w:val="000000" w:themeColor="text1"/>
          <w:szCs w:val="22"/>
          <w:lang w:val="en-GB"/>
        </w:rPr>
        <w:t xml:space="preserve"> </w:t>
      </w:r>
    </w:p>
    <w:p w14:paraId="7BC5EED4" w14:textId="77777777" w:rsidR="007D0617" w:rsidRDefault="006E2A97" w:rsidP="00DF57F3">
      <w:pPr>
        <w:pStyle w:val="Heading2"/>
      </w:pPr>
      <w:bookmarkStart w:id="146" w:name="_Toc529390357"/>
      <w:r w:rsidRPr="007D0617">
        <w:t>Scenario 2: Newly urbanising populations</w:t>
      </w:r>
      <w:r w:rsidR="007E050E" w:rsidRPr="00785A38">
        <w:t>.</w:t>
      </w:r>
      <w:bookmarkEnd w:id="146"/>
      <w:r w:rsidR="007E050E" w:rsidRPr="00785A38">
        <w:t xml:space="preserve"> </w:t>
      </w:r>
    </w:p>
    <w:p w14:paraId="2C8DFFEB" w14:textId="479483B6" w:rsidR="007E050E" w:rsidRPr="002656D6" w:rsidRDefault="006E2A97" w:rsidP="00C258BC">
      <w:pPr>
        <w:jc w:val="both"/>
        <w:rPr>
          <w:i/>
        </w:rPr>
      </w:pPr>
      <w:r w:rsidRPr="002656D6">
        <w:rPr>
          <w:i/>
        </w:rPr>
        <w:t>Settlements</w:t>
      </w:r>
      <w:r w:rsidR="007E050E" w:rsidRPr="002656D6">
        <w:rPr>
          <w:i/>
        </w:rPr>
        <w:t xml:space="preserve"> growing </w:t>
      </w:r>
      <w:r w:rsidRPr="002656D6">
        <w:rPr>
          <w:i/>
        </w:rPr>
        <w:t>up n</w:t>
      </w:r>
      <w:r w:rsidR="007E050E" w:rsidRPr="002656D6">
        <w:rPr>
          <w:i/>
        </w:rPr>
        <w:t xml:space="preserve">ear sources of wild meat, </w:t>
      </w:r>
      <w:r w:rsidRPr="002656D6">
        <w:rPr>
          <w:i/>
        </w:rPr>
        <w:t xml:space="preserve">but </w:t>
      </w:r>
      <w:r w:rsidR="007E050E" w:rsidRPr="002656D6">
        <w:rPr>
          <w:i/>
        </w:rPr>
        <w:t>with limited access to market</w:t>
      </w:r>
      <w:r w:rsidR="005A1B6C" w:rsidRPr="002656D6">
        <w:rPr>
          <w:i/>
        </w:rPr>
        <w:t xml:space="preserve"> supply of other proteins</w:t>
      </w:r>
      <w:r w:rsidR="007E050E" w:rsidRPr="002656D6">
        <w:rPr>
          <w:i/>
        </w:rPr>
        <w:t xml:space="preserve">, and where livestock production is minimal and has not expanded to meet </w:t>
      </w:r>
      <w:r w:rsidR="007E050E" w:rsidRPr="002656D6">
        <w:rPr>
          <w:i/>
        </w:rPr>
        <w:lastRenderedPageBreak/>
        <w:t xml:space="preserve">demand for animal protein (a critical entry point for managing the wild meat trade </w:t>
      </w:r>
      <w:r w:rsidR="00913F49">
        <w:rPr>
          <w:i/>
        </w:rPr>
        <w:fldChar w:fldCharType="begin" w:fldLock="1"/>
      </w:r>
      <w:r w:rsidR="00913F49">
        <w:rPr>
          <w:i/>
        </w:rPr>
        <w:instrText>ADDIN CSL_CITATION {"citationItems":[{"id":"ITEM-1","itemData":{"author":[{"dropping-particle":"","family":"Bowen-Jones","given":"E","non-dropping-particle":"","parse-names":false,"suffix":""},{"dropping-particle":"","family":"Brown","given":"D","non-dropping-particle":"","parse-names":false,"suffix":""},{"dropping-particle":"","family":"Robinson","given":"E","non-dropping-particle":"","parse-names":false,"suffix":""}],"id":"ITEM-1","issued":{"date-parts":[["2002"]]},"title":"Defra report: Assessment of the solution-orientated research needed to promote a more sustainable bushmeat trade in Central and West Africa [Online]. Available from: http://www.defra.gov.uk/wildlife- countryside/resprog/findings/bushmeat.pdf)","type":"report"},"uris":["http://www.mendeley.com/documents/?uuid=4b5c4e9f-4523-4096-9b1c-e220ef6c62f7"]}],"mendeley":{"formattedCitation":"(Bowen-Jones et al. 2002)","plainTextFormattedCitation":"(Bowen-Jones et al. 2002)","previouslyFormattedCitation":"(Bowen-Jones et al. 2002)"},"properties":{"noteIndex":0},"schema":"https://github.com/citation-style-language/schema/raw/master/csl-citation.json"}</w:instrText>
      </w:r>
      <w:r w:rsidR="00913F49">
        <w:rPr>
          <w:i/>
        </w:rPr>
        <w:fldChar w:fldCharType="separate"/>
      </w:r>
      <w:r w:rsidR="00913F49" w:rsidRPr="00913F49">
        <w:rPr>
          <w:noProof/>
        </w:rPr>
        <w:t>(Bowen-Jones et al. 2002)</w:t>
      </w:r>
      <w:r w:rsidR="00913F49">
        <w:rPr>
          <w:i/>
        </w:rPr>
        <w:fldChar w:fldCharType="end"/>
      </w:r>
      <w:r w:rsidR="007E050E" w:rsidRPr="002656D6">
        <w:rPr>
          <w:i/>
        </w:rPr>
        <w:t>.</w:t>
      </w:r>
    </w:p>
    <w:p w14:paraId="2DF142E3" w14:textId="42DE98AF" w:rsidR="007E050E" w:rsidRPr="00785A38" w:rsidRDefault="007E050E" w:rsidP="00C258BC">
      <w:pPr>
        <w:pStyle w:val="Default"/>
        <w:spacing w:after="120"/>
        <w:jc w:val="both"/>
        <w:rPr>
          <w:rFonts w:ascii="Times New Roman" w:hAnsi="Times New Roman" w:cs="Times New Roman"/>
          <w:color w:val="000000" w:themeColor="text1"/>
          <w:szCs w:val="22"/>
          <w:lang w:val="en-GB"/>
        </w:rPr>
      </w:pPr>
      <w:r w:rsidRPr="00785A38">
        <w:rPr>
          <w:rFonts w:ascii="Times New Roman" w:hAnsi="Times New Roman" w:cs="Times New Roman"/>
          <w:color w:val="000000" w:themeColor="text1"/>
          <w:szCs w:val="22"/>
          <w:lang w:val="en-GB"/>
        </w:rPr>
        <w:t xml:space="preserve">Migration </w:t>
      </w:r>
      <w:r w:rsidR="002656D6">
        <w:rPr>
          <w:rFonts w:ascii="Times New Roman" w:hAnsi="Times New Roman" w:cs="Times New Roman"/>
          <w:color w:val="000000" w:themeColor="text1"/>
          <w:szCs w:val="22"/>
          <w:lang w:val="en-GB"/>
        </w:rPr>
        <w:t xml:space="preserve">of people </w:t>
      </w:r>
      <w:r w:rsidRPr="00785A38">
        <w:rPr>
          <w:rFonts w:ascii="Times New Roman" w:hAnsi="Times New Roman" w:cs="Times New Roman"/>
          <w:color w:val="000000" w:themeColor="text1"/>
          <w:szCs w:val="22"/>
          <w:lang w:val="en-GB"/>
        </w:rPr>
        <w:t>from rural to urban areas</w:t>
      </w:r>
      <w:r w:rsidR="003147F8">
        <w:rPr>
          <w:rFonts w:ascii="Times New Roman" w:hAnsi="Times New Roman" w:cs="Times New Roman"/>
          <w:color w:val="000000" w:themeColor="text1"/>
          <w:szCs w:val="22"/>
          <w:lang w:val="en-GB"/>
        </w:rPr>
        <w:t>, often</w:t>
      </w:r>
      <w:r w:rsidRPr="00785A38">
        <w:rPr>
          <w:rFonts w:ascii="Times New Roman" w:hAnsi="Times New Roman" w:cs="Times New Roman"/>
          <w:color w:val="000000" w:themeColor="text1"/>
          <w:szCs w:val="22"/>
          <w:lang w:val="en-GB"/>
        </w:rPr>
        <w:t xml:space="preserve"> in search of employment and access to social services not available in small, isolated rural villages</w:t>
      </w:r>
      <w:r w:rsidR="003147F8">
        <w:rPr>
          <w:rFonts w:ascii="Times New Roman" w:hAnsi="Times New Roman" w:cs="Times New Roman"/>
          <w:color w:val="000000" w:themeColor="text1"/>
          <w:szCs w:val="22"/>
          <w:lang w:val="en-GB"/>
        </w:rPr>
        <w:t>,</w:t>
      </w:r>
      <w:r w:rsidRPr="00785A38">
        <w:rPr>
          <w:rFonts w:ascii="Times New Roman" w:hAnsi="Times New Roman" w:cs="Times New Roman"/>
          <w:color w:val="000000" w:themeColor="text1"/>
          <w:szCs w:val="22"/>
          <w:lang w:val="en-GB"/>
        </w:rPr>
        <w:t xml:space="preserve"> is driving the rapid growth of provincial towns. In areas of civil strife this process is accelerated as people flee their villages in search of greater security within towns and cities.</w:t>
      </w:r>
      <w:r w:rsidR="00187531">
        <w:rPr>
          <w:rFonts w:ascii="Times New Roman" w:hAnsi="Times New Roman" w:cs="Times New Roman"/>
          <w:color w:val="000000" w:themeColor="text1"/>
          <w:szCs w:val="22"/>
          <w:lang w:val="en-GB"/>
        </w:rPr>
        <w:t xml:space="preserve"> </w:t>
      </w:r>
      <w:r w:rsidR="006E2A97" w:rsidRPr="00785A38">
        <w:rPr>
          <w:rFonts w:ascii="Times New Roman" w:hAnsi="Times New Roman" w:cs="Times New Roman"/>
          <w:color w:val="000000" w:themeColor="text1"/>
          <w:szCs w:val="22"/>
          <w:lang w:val="en-GB"/>
        </w:rPr>
        <w:t>In many places</w:t>
      </w:r>
      <w:r w:rsidR="006E2A97">
        <w:rPr>
          <w:rFonts w:ascii="Times New Roman" w:hAnsi="Times New Roman" w:cs="Times New Roman"/>
          <w:color w:val="000000" w:themeColor="text1"/>
          <w:szCs w:val="22"/>
          <w:lang w:val="en-GB"/>
        </w:rPr>
        <w:t>, new establishment of economic activities, such as construction sites,</w:t>
      </w:r>
      <w:r w:rsidR="006E2A97" w:rsidRPr="00785A38">
        <w:rPr>
          <w:rFonts w:ascii="Times New Roman" w:hAnsi="Times New Roman" w:cs="Times New Roman"/>
          <w:color w:val="000000" w:themeColor="text1"/>
          <w:szCs w:val="22"/>
          <w:lang w:val="en-GB"/>
        </w:rPr>
        <w:t xml:space="preserve"> logging camps </w:t>
      </w:r>
      <w:r w:rsidR="006E2A97">
        <w:rPr>
          <w:rFonts w:ascii="Times New Roman" w:hAnsi="Times New Roman" w:cs="Times New Roman"/>
          <w:color w:val="000000" w:themeColor="text1"/>
          <w:szCs w:val="22"/>
          <w:lang w:val="en-GB"/>
        </w:rPr>
        <w:t xml:space="preserve">or </w:t>
      </w:r>
      <w:r w:rsidR="006E2A97" w:rsidRPr="00785A38">
        <w:rPr>
          <w:rFonts w:ascii="Times New Roman" w:hAnsi="Times New Roman" w:cs="Times New Roman"/>
          <w:color w:val="000000" w:themeColor="text1"/>
          <w:szCs w:val="22"/>
          <w:lang w:val="en-GB"/>
        </w:rPr>
        <w:t>mining towns</w:t>
      </w:r>
      <w:r w:rsidR="006E2A97">
        <w:rPr>
          <w:rFonts w:ascii="Times New Roman" w:hAnsi="Times New Roman" w:cs="Times New Roman"/>
          <w:color w:val="000000" w:themeColor="text1"/>
          <w:szCs w:val="22"/>
          <w:lang w:val="en-GB"/>
        </w:rPr>
        <w:t>,</w:t>
      </w:r>
      <w:r w:rsidR="006E2A97" w:rsidRPr="00785A38">
        <w:rPr>
          <w:rFonts w:ascii="Times New Roman" w:hAnsi="Times New Roman" w:cs="Times New Roman"/>
          <w:color w:val="000000" w:themeColor="text1"/>
          <w:szCs w:val="22"/>
          <w:lang w:val="en-GB"/>
        </w:rPr>
        <w:t xml:space="preserve"> </w:t>
      </w:r>
      <w:r w:rsidR="003E36D2">
        <w:rPr>
          <w:rFonts w:ascii="Times New Roman" w:hAnsi="Times New Roman" w:cs="Times New Roman"/>
          <w:color w:val="000000" w:themeColor="text1"/>
          <w:szCs w:val="22"/>
          <w:lang w:val="en-GB"/>
        </w:rPr>
        <w:t xml:space="preserve">also </w:t>
      </w:r>
      <w:r w:rsidR="006E2A97">
        <w:rPr>
          <w:rFonts w:ascii="Times New Roman" w:hAnsi="Times New Roman" w:cs="Times New Roman"/>
          <w:color w:val="000000" w:themeColor="text1"/>
          <w:szCs w:val="22"/>
          <w:lang w:val="en-GB"/>
        </w:rPr>
        <w:t>present</w:t>
      </w:r>
      <w:r w:rsidR="003E36D2">
        <w:rPr>
          <w:rFonts w:ascii="Times New Roman" w:hAnsi="Times New Roman" w:cs="Times New Roman"/>
          <w:color w:val="000000" w:themeColor="text1"/>
          <w:szCs w:val="22"/>
          <w:lang w:val="en-GB"/>
        </w:rPr>
        <w:t>s</w:t>
      </w:r>
      <w:r w:rsidR="006E2A97">
        <w:rPr>
          <w:rFonts w:ascii="Times New Roman" w:hAnsi="Times New Roman" w:cs="Times New Roman"/>
          <w:color w:val="000000" w:themeColor="text1"/>
          <w:szCs w:val="22"/>
          <w:lang w:val="en-GB"/>
        </w:rPr>
        <w:t xml:space="preserve"> a management challenge</w:t>
      </w:r>
      <w:r w:rsidR="006E2A97" w:rsidRPr="00785A38">
        <w:rPr>
          <w:rFonts w:ascii="Times New Roman" w:hAnsi="Times New Roman" w:cs="Times New Roman"/>
          <w:color w:val="000000" w:themeColor="text1"/>
          <w:szCs w:val="22"/>
          <w:lang w:val="en-GB"/>
        </w:rPr>
        <w:t xml:space="preserve"> equivalent </w:t>
      </w:r>
      <w:r w:rsidR="006E2A97">
        <w:rPr>
          <w:rFonts w:ascii="Times New Roman" w:hAnsi="Times New Roman" w:cs="Times New Roman"/>
          <w:color w:val="000000" w:themeColor="text1"/>
          <w:szCs w:val="22"/>
          <w:lang w:val="en-GB"/>
        </w:rPr>
        <w:t xml:space="preserve">to that </w:t>
      </w:r>
      <w:r w:rsidR="006E2A97" w:rsidRPr="00785A38">
        <w:rPr>
          <w:rFonts w:ascii="Times New Roman" w:hAnsi="Times New Roman" w:cs="Times New Roman"/>
          <w:color w:val="000000" w:themeColor="text1"/>
          <w:szCs w:val="22"/>
          <w:lang w:val="en-GB"/>
        </w:rPr>
        <w:t>of growing provincial towns</w:t>
      </w:r>
      <w:r w:rsidR="006E2A97">
        <w:rPr>
          <w:rFonts w:ascii="Times New Roman" w:hAnsi="Times New Roman" w:cs="Times New Roman"/>
          <w:color w:val="000000" w:themeColor="text1"/>
          <w:szCs w:val="22"/>
          <w:lang w:val="en-GB"/>
        </w:rPr>
        <w:t xml:space="preserve">. </w:t>
      </w:r>
      <w:r w:rsidRPr="00785A38">
        <w:rPr>
          <w:rFonts w:ascii="Times New Roman" w:hAnsi="Times New Roman" w:cs="Times New Roman"/>
          <w:color w:val="000000" w:themeColor="text1"/>
          <w:szCs w:val="22"/>
          <w:lang w:val="en-GB"/>
        </w:rPr>
        <w:t xml:space="preserve">In </w:t>
      </w:r>
      <w:r w:rsidR="003E36D2">
        <w:rPr>
          <w:rFonts w:ascii="Times New Roman" w:hAnsi="Times New Roman" w:cs="Times New Roman"/>
          <w:color w:val="000000" w:themeColor="text1"/>
          <w:szCs w:val="22"/>
          <w:lang w:val="en-GB"/>
        </w:rPr>
        <w:t>such</w:t>
      </w:r>
      <w:r w:rsidRPr="00785A38">
        <w:rPr>
          <w:rFonts w:ascii="Times New Roman" w:hAnsi="Times New Roman" w:cs="Times New Roman"/>
          <w:color w:val="000000" w:themeColor="text1"/>
          <w:szCs w:val="22"/>
          <w:lang w:val="en-GB"/>
        </w:rPr>
        <w:t xml:space="preserve"> provincial towns near sources of wildlife, wild meat is </w:t>
      </w:r>
      <w:r w:rsidR="005A1B6C">
        <w:rPr>
          <w:rFonts w:ascii="Times New Roman" w:hAnsi="Times New Roman" w:cs="Times New Roman"/>
          <w:color w:val="000000" w:themeColor="text1"/>
          <w:szCs w:val="22"/>
          <w:lang w:val="en-GB"/>
        </w:rPr>
        <w:t xml:space="preserve">often </w:t>
      </w:r>
      <w:r w:rsidRPr="00785A38">
        <w:rPr>
          <w:rFonts w:ascii="Times New Roman" w:hAnsi="Times New Roman" w:cs="Times New Roman"/>
          <w:color w:val="000000" w:themeColor="text1"/>
          <w:szCs w:val="22"/>
          <w:lang w:val="en-GB"/>
        </w:rPr>
        <w:t xml:space="preserve">still cheaper and more readily available than locally produced or imported alternatives. </w:t>
      </w:r>
      <w:r w:rsidR="005A1B6C">
        <w:rPr>
          <w:rFonts w:ascii="Times New Roman" w:hAnsi="Times New Roman" w:cs="Times New Roman"/>
          <w:color w:val="000000" w:themeColor="text1"/>
          <w:szCs w:val="22"/>
          <w:lang w:val="en-GB"/>
        </w:rPr>
        <w:t>While this remains the case</w:t>
      </w:r>
      <w:r w:rsidRPr="00785A38">
        <w:rPr>
          <w:rFonts w:ascii="Times New Roman" w:hAnsi="Times New Roman" w:cs="Times New Roman"/>
          <w:color w:val="000000" w:themeColor="text1"/>
          <w:szCs w:val="22"/>
          <w:lang w:val="en-GB"/>
        </w:rPr>
        <w:t xml:space="preserve">, residents </w:t>
      </w:r>
      <w:r w:rsidR="005A1B6C">
        <w:rPr>
          <w:rFonts w:ascii="Times New Roman" w:hAnsi="Times New Roman" w:cs="Times New Roman"/>
          <w:color w:val="000000" w:themeColor="text1"/>
          <w:szCs w:val="22"/>
          <w:lang w:val="en-GB"/>
        </w:rPr>
        <w:t>w</w:t>
      </w:r>
      <w:r w:rsidR="005A1B6C" w:rsidRPr="00785A38">
        <w:rPr>
          <w:rFonts w:ascii="Times New Roman" w:hAnsi="Times New Roman" w:cs="Times New Roman"/>
          <w:color w:val="000000" w:themeColor="text1"/>
          <w:szCs w:val="22"/>
          <w:lang w:val="en-GB"/>
        </w:rPr>
        <w:t>ill</w:t>
      </w:r>
      <w:r w:rsidRPr="00785A38">
        <w:rPr>
          <w:rFonts w:ascii="Times New Roman" w:hAnsi="Times New Roman" w:cs="Times New Roman"/>
          <w:color w:val="000000" w:themeColor="text1"/>
          <w:szCs w:val="22"/>
          <w:lang w:val="en-GB"/>
        </w:rPr>
        <w:t xml:space="preserve"> rely on wild meat for their protein requirements. </w:t>
      </w:r>
    </w:p>
    <w:p w14:paraId="61A64653" w14:textId="680B0566" w:rsidR="009D447B" w:rsidRDefault="006E2A97" w:rsidP="00C258BC">
      <w:pPr>
        <w:pStyle w:val="Default"/>
        <w:spacing w:after="120"/>
        <w:jc w:val="both"/>
        <w:rPr>
          <w:rFonts w:ascii="Times New Roman" w:hAnsi="Times New Roman" w:cs="Times New Roman"/>
          <w:color w:val="000000" w:themeColor="text1"/>
          <w:szCs w:val="22"/>
          <w:lang w:val="en-GB"/>
        </w:rPr>
      </w:pPr>
      <w:r>
        <w:rPr>
          <w:rFonts w:ascii="Times New Roman" w:hAnsi="Times New Roman" w:cs="Times New Roman"/>
          <w:color w:val="000000" w:themeColor="text1"/>
          <w:szCs w:val="22"/>
          <w:lang w:val="en-GB"/>
        </w:rPr>
        <w:t>Settlements of &gt;1000 people in Central Africa will contain some families that are living an essentially urban lifestyle, producing no food of their own from hunting and managing no land for agriculture, thus accessing the v</w:t>
      </w:r>
      <w:r w:rsidR="00233967">
        <w:rPr>
          <w:rFonts w:ascii="Times New Roman" w:hAnsi="Times New Roman" w:cs="Times New Roman"/>
          <w:color w:val="000000" w:themeColor="text1"/>
          <w:szCs w:val="22"/>
          <w:lang w:val="en-GB"/>
        </w:rPr>
        <w:t>a</w:t>
      </w:r>
      <w:r>
        <w:rPr>
          <w:rFonts w:ascii="Times New Roman" w:hAnsi="Times New Roman" w:cs="Times New Roman"/>
          <w:color w:val="000000" w:themeColor="text1"/>
          <w:szCs w:val="22"/>
          <w:lang w:val="en-GB"/>
        </w:rPr>
        <w:t xml:space="preserve">st majority of their food from markets </w:t>
      </w:r>
      <w:r w:rsidR="00913F49">
        <w:rPr>
          <w:rFonts w:ascii="Times New Roman" w:hAnsi="Times New Roman" w:cs="Times New Roman"/>
          <w:color w:val="000000" w:themeColor="text1"/>
          <w:szCs w:val="22"/>
          <w:lang w:val="en-GB"/>
        </w:rPr>
        <w:fldChar w:fldCharType="begin" w:fldLock="1"/>
      </w:r>
      <w:r w:rsidR="00913F49">
        <w:rPr>
          <w:rFonts w:ascii="Times New Roman" w:hAnsi="Times New Roman" w:cs="Times New Roman"/>
          <w:color w:val="000000" w:themeColor="text1"/>
          <w:szCs w:val="22"/>
          <w:lang w:val="en-GB"/>
        </w:rPr>
        <w:instrText>ADDIN CSL_CITATION {"citationItems":[{"id":"ITEM-1","itemData":{"author":[{"dropping-particle":"","family":"Abernethy","given":"Katharine","non-dropping-particle":"","parse-names":false,"suffix":""},{"dropping-particle":"","family":"Ndong Obiang","given":"Anne Marie","non-dropping-particle":"","parse-names":false,"suffix":""}],"id":"ITEM-1","issued":{"date-parts":[["2010"]]},"number-of-pages":"95","publisher-place":"Ministère des Eaux et Forêts, Gabon","title":"Bushmeat in Gabon. Technical report to the Directeur Général des Eaux et Forêts, Président du Comité Interministériel de la Stratégie Nationale de Gestion de la Viande de Brousse.","type":"report"},"uris":["http://www.mendeley.com/documents/?uuid=59af7502-cb22-44c8-a1a7-8a5318e10e18"]}],"mendeley":{"formattedCitation":"(Abernethy &amp; Ndong Obiang 2010)","plainTextFormattedCitation":"(Abernethy &amp; Ndong Obiang 2010)","previouslyFormattedCitation":"(Abernethy &amp; Ndong Obiang 2010)"},"properties":{"noteIndex":0},"schema":"https://github.com/citation-style-language/schema/raw/master/csl-citation.json"}</w:instrText>
      </w:r>
      <w:r w:rsidR="00913F49">
        <w:rPr>
          <w:rFonts w:ascii="Times New Roman" w:hAnsi="Times New Roman" w:cs="Times New Roman"/>
          <w:color w:val="000000" w:themeColor="text1"/>
          <w:szCs w:val="22"/>
          <w:lang w:val="en-GB"/>
        </w:rPr>
        <w:fldChar w:fldCharType="separate"/>
      </w:r>
      <w:r w:rsidR="00913F49" w:rsidRPr="00913F49">
        <w:rPr>
          <w:rFonts w:ascii="Times New Roman" w:hAnsi="Times New Roman" w:cs="Times New Roman"/>
          <w:noProof/>
          <w:color w:val="000000" w:themeColor="text1"/>
          <w:szCs w:val="22"/>
          <w:lang w:val="en-GB"/>
        </w:rPr>
        <w:t>(Abernethy &amp; Ndong Obiang 2010)</w:t>
      </w:r>
      <w:r w:rsidR="00913F49">
        <w:rPr>
          <w:rFonts w:ascii="Times New Roman" w:hAnsi="Times New Roman" w:cs="Times New Roman"/>
          <w:color w:val="000000" w:themeColor="text1"/>
          <w:szCs w:val="22"/>
          <w:lang w:val="en-GB"/>
        </w:rPr>
        <w:fldChar w:fldCharType="end"/>
      </w:r>
      <w:r>
        <w:rPr>
          <w:rFonts w:ascii="Times New Roman" w:hAnsi="Times New Roman" w:cs="Times New Roman"/>
          <w:color w:val="000000" w:themeColor="text1"/>
          <w:szCs w:val="22"/>
          <w:lang w:val="en-GB"/>
        </w:rPr>
        <w:t xml:space="preserve">. Urban centres of &gt;10,000 people in the tropics are likely to be almost exclusively families that rely on </w:t>
      </w:r>
      <w:r w:rsidR="00233967">
        <w:rPr>
          <w:rFonts w:ascii="Times New Roman" w:hAnsi="Times New Roman" w:cs="Times New Roman"/>
          <w:color w:val="000000" w:themeColor="text1"/>
          <w:szCs w:val="22"/>
          <w:lang w:val="en-GB"/>
        </w:rPr>
        <w:t xml:space="preserve">domestic </w:t>
      </w:r>
      <w:r>
        <w:rPr>
          <w:rFonts w:ascii="Times New Roman" w:hAnsi="Times New Roman" w:cs="Times New Roman"/>
          <w:color w:val="000000" w:themeColor="text1"/>
          <w:szCs w:val="22"/>
          <w:lang w:val="en-GB"/>
        </w:rPr>
        <w:t xml:space="preserve">meat and imported commodities, as local lands are likely to have been </w:t>
      </w:r>
      <w:r w:rsidR="00A479D2">
        <w:rPr>
          <w:rFonts w:ascii="Times New Roman" w:hAnsi="Times New Roman" w:cs="Times New Roman"/>
          <w:color w:val="000000" w:themeColor="text1"/>
          <w:szCs w:val="22"/>
          <w:lang w:val="en-GB"/>
        </w:rPr>
        <w:t>severely</w:t>
      </w:r>
      <w:r>
        <w:rPr>
          <w:rFonts w:ascii="Times New Roman" w:hAnsi="Times New Roman" w:cs="Times New Roman"/>
          <w:color w:val="000000" w:themeColor="text1"/>
          <w:szCs w:val="22"/>
          <w:lang w:val="en-GB"/>
        </w:rPr>
        <w:t xml:space="preserve"> depleted </w:t>
      </w:r>
      <w:r w:rsidR="00913F49">
        <w:rPr>
          <w:rFonts w:ascii="Times New Roman" w:hAnsi="Times New Roman" w:cs="Times New Roman"/>
          <w:color w:val="000000" w:themeColor="text1"/>
          <w:szCs w:val="22"/>
          <w:lang w:val="en-GB"/>
        </w:rPr>
        <w:fldChar w:fldCharType="begin" w:fldLock="1"/>
      </w:r>
      <w:r w:rsidR="00913F49">
        <w:rPr>
          <w:rFonts w:ascii="Times New Roman" w:hAnsi="Times New Roman" w:cs="Times New Roman"/>
          <w:color w:val="000000" w:themeColor="text1"/>
          <w:szCs w:val="22"/>
          <w:lang w:val="en-GB"/>
        </w:rPr>
        <w:instrText>ADDIN CSL_CITATION {"citationItems":[{"id":"ITEM-1","itemData":{"DOI":"10.1073/pnas.0914471107","ISBN":"0027-8424","ISSN":"0027-8424","PMID":"20679200","abstract":"Tropical forest degradation emits carbon at a rate of approximately 0.5 Pgxy(-1), reduces biodiversity, and facilitates forest clearance. Understanding degradation drivers and patterns is therefore crucial to managing forests to mitigate climate change and reduce biodiversity loss. Putative patterns of degradation affecting forest stocks, carbon, and biodiversity have variously been described previously, but these have not been quantitatively assessed together or tested systematically. Economic theory predicts a systematic allocation of land to its highest use value in response to distance from centers of demand. We tested this theory to see if forest exploitation would expand through time and space as concentric waves, with each wave targeting lower value products. We used forest data along a transect from 10 to 220 km from Dar es Salaam (DES), Tanzania, collected at two points in time (1991 and 2005). Our predictions were confirmed: high-value logging expanded 9 kmxy(-1), and an inner wave of lower value charcoal production 2 kmxy(-1). This resource utilization is shown to reduce the public goods of carbon storage and species richness, which significantly increased with each kilometer from DES [carbon, 0.2 Mgxha(-1); 0.1 species per sample area (0.4 ha)]. Our study suggests that tropical forest degradation can be modeled and predicted, with its attendant loss of some public goods. In sub-Saharan Africa, an area experiencing the highest rate of urban migration worldwide, coupled with a high dependence on forest-based resources, predicting the spatiotemporal patterns of degradation can inform policies designed to extract resources without unsustainably reducing carbon storage and biodiversity.","author":[{"dropping-particle":"","family":"Ahrends","given":"A.","non-dropping-particle":"","parse-names":false,"suffix":""},{"dropping-particle":"","family":"Burgess","given":"N. D.","non-dropping-particle":"","parse-names":false,"suffix":""},{"dropping-particle":"","family":"Milledge","given":"S. A. H.","non-dropping-particle":"","parse-names":false,"suffix":""},{"dropping-particle":"","family":"Bulling","given":"M. T.","non-dropping-particle":"","parse-names":false,"suffix":""},{"dropping-particle":"","family":"Fisher","given":"B.","non-dropping-particle":"","parse-names":false,"suffix":""},{"dropping-particle":"","family":"Smart","given":"J. C. R.","non-dropping-particle":"","parse-names":false,"suffix":""},{"dropping-particle":"","family":"Clarke","given":"G. P.","non-dropping-particle":"","parse-names":false,"suffix":""},{"dropping-particle":"","family":"Mhoro","given":"B. E.","non-dropping-particle":"","parse-names":false,"suffix":""},{"dropping-particle":"","family":"Lewis","given":"S. L.","non-dropping-particle":"","parse-names":false,"suffix":""}],"container-title":"Proceedings of the National Academy of Sciences","id":"ITEM-1","issue":"33","issued":{"date-parts":[["2010"]]},"page":"14556-14561","title":"Predictable waves of sequential forest degradation and biodiversity loss spreading from an African city","type":"article-journal","volume":"107"},"uris":["http://www.mendeley.com/documents/?uuid=6b32a345-85e1-4fc7-a6f0-12d2b47043fc"]}],"mendeley":{"formattedCitation":"(Ahrends et al. 2010)","plainTextFormattedCitation":"(Ahrends et al. 2010)","previouslyFormattedCitation":"(Ahrends et al. 2010)"},"properties":{"noteIndex":0},"schema":"https://github.com/citation-style-language/schema/raw/master/csl-citation.json"}</w:instrText>
      </w:r>
      <w:r w:rsidR="00913F49">
        <w:rPr>
          <w:rFonts w:ascii="Times New Roman" w:hAnsi="Times New Roman" w:cs="Times New Roman"/>
          <w:color w:val="000000" w:themeColor="text1"/>
          <w:szCs w:val="22"/>
          <w:lang w:val="en-GB"/>
        </w:rPr>
        <w:fldChar w:fldCharType="separate"/>
      </w:r>
      <w:r w:rsidR="00913F49" w:rsidRPr="00913F49">
        <w:rPr>
          <w:rFonts w:ascii="Times New Roman" w:hAnsi="Times New Roman" w:cs="Times New Roman"/>
          <w:noProof/>
          <w:color w:val="000000" w:themeColor="text1"/>
          <w:szCs w:val="22"/>
          <w:lang w:val="en-GB"/>
        </w:rPr>
        <w:t>(Ahrends et al. 2010)</w:t>
      </w:r>
      <w:r w:rsidR="00913F49">
        <w:rPr>
          <w:rFonts w:ascii="Times New Roman" w:hAnsi="Times New Roman" w:cs="Times New Roman"/>
          <w:color w:val="000000" w:themeColor="text1"/>
          <w:szCs w:val="22"/>
          <w:lang w:val="en-GB"/>
        </w:rPr>
        <w:fldChar w:fldCharType="end"/>
      </w:r>
      <w:r>
        <w:rPr>
          <w:rFonts w:ascii="Times New Roman" w:hAnsi="Times New Roman" w:cs="Times New Roman"/>
          <w:color w:val="000000" w:themeColor="text1"/>
          <w:szCs w:val="22"/>
          <w:lang w:val="en-GB"/>
        </w:rPr>
        <w:t xml:space="preserve">. </w:t>
      </w:r>
    </w:p>
    <w:p w14:paraId="0481C91E" w14:textId="538E5896" w:rsidR="0014399D" w:rsidRDefault="009D447B" w:rsidP="00C258BC">
      <w:pPr>
        <w:pStyle w:val="Default"/>
        <w:spacing w:after="120"/>
        <w:jc w:val="both"/>
        <w:rPr>
          <w:rFonts w:ascii="Times New Roman" w:hAnsi="Times New Roman" w:cs="Times New Roman"/>
          <w:i/>
          <w:color w:val="000000" w:themeColor="text1"/>
          <w:szCs w:val="22"/>
          <w:lang w:val="en-GB"/>
        </w:rPr>
      </w:pPr>
      <w:r w:rsidRPr="00306DFB">
        <w:rPr>
          <w:rFonts w:ascii="Times New Roman" w:hAnsi="Times New Roman" w:cs="Times New Roman"/>
          <w:i/>
          <w:color w:val="000000" w:themeColor="text1"/>
          <w:szCs w:val="22"/>
          <w:lang w:val="en-GB"/>
        </w:rPr>
        <w:t>Solutions</w:t>
      </w:r>
    </w:p>
    <w:p w14:paraId="38227EED" w14:textId="77777777" w:rsidR="00430E45" w:rsidRDefault="002656D6" w:rsidP="00306DFB">
      <w:pPr>
        <w:pStyle w:val="Default"/>
        <w:spacing w:after="120"/>
        <w:jc w:val="both"/>
        <w:rPr>
          <w:rFonts w:ascii="Times New Roman" w:hAnsi="Times New Roman" w:cs="Times New Roman"/>
          <w:color w:val="000000" w:themeColor="text1"/>
          <w:szCs w:val="22"/>
          <w:lang w:val="en-GB"/>
        </w:rPr>
      </w:pPr>
      <w:r w:rsidRPr="00785A38">
        <w:rPr>
          <w:rFonts w:ascii="Times New Roman" w:hAnsi="Times New Roman" w:cs="Times New Roman"/>
          <w:color w:val="000000" w:themeColor="text1"/>
          <w:szCs w:val="22"/>
          <w:lang w:val="en-GB"/>
        </w:rPr>
        <w:t xml:space="preserve">In this context, reducing demand for wild meat as food is not a matter of securing exclusive rights, as it was in the village scenario, </w:t>
      </w:r>
      <w:r>
        <w:rPr>
          <w:rFonts w:ascii="Times New Roman" w:hAnsi="Times New Roman" w:cs="Times New Roman"/>
          <w:color w:val="000000" w:themeColor="text1"/>
          <w:szCs w:val="22"/>
          <w:lang w:val="en-GB"/>
        </w:rPr>
        <w:t>as the consumers are not</w:t>
      </w:r>
      <w:r w:rsidR="003147F8">
        <w:rPr>
          <w:rFonts w:ascii="Times New Roman" w:hAnsi="Times New Roman" w:cs="Times New Roman"/>
          <w:color w:val="000000" w:themeColor="text1"/>
          <w:szCs w:val="22"/>
          <w:lang w:val="en-GB"/>
        </w:rPr>
        <w:t xml:space="preserve"> generally</w:t>
      </w:r>
      <w:r>
        <w:rPr>
          <w:rFonts w:ascii="Times New Roman" w:hAnsi="Times New Roman" w:cs="Times New Roman"/>
          <w:color w:val="000000" w:themeColor="text1"/>
          <w:szCs w:val="22"/>
          <w:lang w:val="en-GB"/>
        </w:rPr>
        <w:t xml:space="preserve"> the hunters and their immediate community and </w:t>
      </w:r>
      <w:r w:rsidR="003147F8">
        <w:rPr>
          <w:rFonts w:ascii="Times New Roman" w:hAnsi="Times New Roman" w:cs="Times New Roman"/>
          <w:color w:val="000000" w:themeColor="text1"/>
          <w:szCs w:val="22"/>
          <w:lang w:val="en-GB"/>
        </w:rPr>
        <w:t xml:space="preserve">therefore </w:t>
      </w:r>
      <w:r>
        <w:rPr>
          <w:rFonts w:ascii="Times New Roman" w:hAnsi="Times New Roman" w:cs="Times New Roman"/>
          <w:color w:val="000000" w:themeColor="text1"/>
          <w:szCs w:val="22"/>
          <w:lang w:val="en-GB"/>
        </w:rPr>
        <w:t xml:space="preserve">have little power to manage the resource. </w:t>
      </w:r>
      <w:r w:rsidR="003147F8">
        <w:rPr>
          <w:rFonts w:ascii="Times New Roman" w:hAnsi="Times New Roman" w:cs="Times New Roman"/>
          <w:color w:val="000000" w:themeColor="text1"/>
          <w:szCs w:val="22"/>
          <w:lang w:val="en-GB"/>
        </w:rPr>
        <w:t xml:space="preserve">Reducing </w:t>
      </w:r>
      <w:r>
        <w:rPr>
          <w:rFonts w:ascii="Times New Roman" w:hAnsi="Times New Roman" w:cs="Times New Roman"/>
          <w:color w:val="000000" w:themeColor="text1"/>
          <w:szCs w:val="22"/>
          <w:lang w:val="en-GB"/>
        </w:rPr>
        <w:t>demand in urban consumers</w:t>
      </w:r>
      <w:r w:rsidRPr="00785A38">
        <w:rPr>
          <w:rFonts w:ascii="Times New Roman" w:hAnsi="Times New Roman" w:cs="Times New Roman"/>
          <w:color w:val="000000" w:themeColor="text1"/>
          <w:szCs w:val="22"/>
          <w:lang w:val="en-GB"/>
        </w:rPr>
        <w:t xml:space="preserve"> is </w:t>
      </w:r>
      <w:r w:rsidR="003147F8">
        <w:rPr>
          <w:rFonts w:ascii="Times New Roman" w:hAnsi="Times New Roman" w:cs="Times New Roman"/>
          <w:color w:val="000000" w:themeColor="text1"/>
          <w:szCs w:val="22"/>
          <w:lang w:val="en-GB"/>
        </w:rPr>
        <w:t xml:space="preserve">more </w:t>
      </w:r>
      <w:r w:rsidRPr="00785A38">
        <w:rPr>
          <w:rFonts w:ascii="Times New Roman" w:hAnsi="Times New Roman" w:cs="Times New Roman"/>
          <w:color w:val="000000" w:themeColor="text1"/>
          <w:szCs w:val="22"/>
          <w:lang w:val="en-GB"/>
        </w:rPr>
        <w:t xml:space="preserve">a question of increasing production and import of </w:t>
      </w:r>
      <w:r>
        <w:rPr>
          <w:rFonts w:ascii="Times New Roman" w:hAnsi="Times New Roman" w:cs="Times New Roman"/>
          <w:color w:val="000000" w:themeColor="text1"/>
          <w:szCs w:val="22"/>
          <w:lang w:val="en-GB"/>
        </w:rPr>
        <w:t xml:space="preserve">alternatives (such as </w:t>
      </w:r>
      <w:r w:rsidRPr="00785A38">
        <w:rPr>
          <w:rFonts w:ascii="Times New Roman" w:hAnsi="Times New Roman" w:cs="Times New Roman"/>
          <w:color w:val="000000" w:themeColor="text1"/>
          <w:szCs w:val="22"/>
          <w:lang w:val="en-GB"/>
        </w:rPr>
        <w:t>livestock and farmed fish</w:t>
      </w:r>
      <w:r>
        <w:rPr>
          <w:rFonts w:ascii="Times New Roman" w:hAnsi="Times New Roman" w:cs="Times New Roman"/>
          <w:color w:val="000000" w:themeColor="text1"/>
          <w:szCs w:val="22"/>
          <w:lang w:val="en-GB"/>
        </w:rPr>
        <w:t>),</w:t>
      </w:r>
      <w:r w:rsidRPr="00785A38">
        <w:rPr>
          <w:rFonts w:ascii="Times New Roman" w:hAnsi="Times New Roman" w:cs="Times New Roman"/>
          <w:color w:val="000000" w:themeColor="text1"/>
          <w:szCs w:val="22"/>
          <w:lang w:val="en-GB"/>
        </w:rPr>
        <w:t xml:space="preserve"> so th</w:t>
      </w:r>
      <w:r>
        <w:rPr>
          <w:rFonts w:ascii="Times New Roman" w:hAnsi="Times New Roman" w:cs="Times New Roman"/>
          <w:color w:val="000000" w:themeColor="text1"/>
          <w:szCs w:val="22"/>
          <w:lang w:val="en-GB"/>
        </w:rPr>
        <w:t>at supply and demand for animal-</w:t>
      </w:r>
      <w:r w:rsidRPr="00785A38">
        <w:rPr>
          <w:rFonts w:ascii="Times New Roman" w:hAnsi="Times New Roman" w:cs="Times New Roman"/>
          <w:color w:val="000000" w:themeColor="text1"/>
          <w:szCs w:val="22"/>
          <w:lang w:val="en-GB"/>
        </w:rPr>
        <w:t>source</w:t>
      </w:r>
      <w:r>
        <w:rPr>
          <w:rFonts w:ascii="Times New Roman" w:hAnsi="Times New Roman" w:cs="Times New Roman"/>
          <w:color w:val="000000" w:themeColor="text1"/>
          <w:szCs w:val="22"/>
          <w:lang w:val="en-GB"/>
        </w:rPr>
        <w:t>d</w:t>
      </w:r>
      <w:r w:rsidRPr="00785A38">
        <w:rPr>
          <w:rFonts w:ascii="Times New Roman" w:hAnsi="Times New Roman" w:cs="Times New Roman"/>
          <w:color w:val="000000" w:themeColor="text1"/>
          <w:szCs w:val="22"/>
          <w:lang w:val="en-GB"/>
        </w:rPr>
        <w:t xml:space="preserve"> protein</w:t>
      </w:r>
      <w:r>
        <w:rPr>
          <w:rFonts w:ascii="Times New Roman" w:hAnsi="Times New Roman" w:cs="Times New Roman"/>
          <w:color w:val="000000" w:themeColor="text1"/>
          <w:szCs w:val="22"/>
          <w:lang w:val="en-GB"/>
        </w:rPr>
        <w:t>s</w:t>
      </w:r>
      <w:r w:rsidRPr="00785A38">
        <w:rPr>
          <w:rFonts w:ascii="Times New Roman" w:hAnsi="Times New Roman" w:cs="Times New Roman"/>
          <w:color w:val="000000" w:themeColor="text1"/>
          <w:szCs w:val="22"/>
          <w:lang w:val="en-GB"/>
        </w:rPr>
        <w:t xml:space="preserve"> </w:t>
      </w:r>
      <w:r>
        <w:rPr>
          <w:rFonts w:ascii="Times New Roman" w:hAnsi="Times New Roman" w:cs="Times New Roman"/>
          <w:color w:val="000000" w:themeColor="text1"/>
          <w:szCs w:val="22"/>
          <w:lang w:val="en-GB"/>
        </w:rPr>
        <w:t>are</w:t>
      </w:r>
      <w:r w:rsidRPr="00785A38">
        <w:rPr>
          <w:rFonts w:ascii="Times New Roman" w:hAnsi="Times New Roman" w:cs="Times New Roman"/>
          <w:color w:val="000000" w:themeColor="text1"/>
          <w:szCs w:val="22"/>
          <w:lang w:val="en-GB"/>
        </w:rPr>
        <w:t xml:space="preserve"> in balance. For consumers to shift to alternative</w:t>
      </w:r>
      <w:r>
        <w:rPr>
          <w:rFonts w:ascii="Times New Roman" w:hAnsi="Times New Roman" w:cs="Times New Roman"/>
          <w:color w:val="000000" w:themeColor="text1"/>
          <w:szCs w:val="22"/>
          <w:lang w:val="en-GB"/>
        </w:rPr>
        <w:t xml:space="preserve"> commodities and reduce the demand for wildlife,</w:t>
      </w:r>
      <w:r w:rsidRPr="00785A38">
        <w:rPr>
          <w:rFonts w:ascii="Times New Roman" w:hAnsi="Times New Roman" w:cs="Times New Roman"/>
          <w:color w:val="000000" w:themeColor="text1"/>
          <w:szCs w:val="22"/>
          <w:lang w:val="en-GB"/>
        </w:rPr>
        <w:t xml:space="preserve"> alternatives have not only to be in regular and sufficient supply, </w:t>
      </w:r>
      <w:r>
        <w:rPr>
          <w:rFonts w:ascii="Times New Roman" w:hAnsi="Times New Roman" w:cs="Times New Roman"/>
          <w:color w:val="000000" w:themeColor="text1"/>
          <w:szCs w:val="22"/>
          <w:lang w:val="en-GB"/>
        </w:rPr>
        <w:t>but also</w:t>
      </w:r>
      <w:r w:rsidRPr="00785A38">
        <w:rPr>
          <w:rFonts w:ascii="Times New Roman" w:hAnsi="Times New Roman" w:cs="Times New Roman"/>
          <w:color w:val="000000" w:themeColor="text1"/>
          <w:szCs w:val="22"/>
          <w:lang w:val="en-GB"/>
        </w:rPr>
        <w:t xml:space="preserve"> to be cheaper than wild meat</w:t>
      </w:r>
      <w:r>
        <w:rPr>
          <w:rFonts w:ascii="Times New Roman" w:hAnsi="Times New Roman" w:cs="Times New Roman"/>
          <w:color w:val="000000" w:themeColor="text1"/>
          <w:szCs w:val="22"/>
          <w:lang w:val="en-GB"/>
        </w:rPr>
        <w:t xml:space="preserve">, </w:t>
      </w:r>
      <w:r w:rsidR="003147F8">
        <w:rPr>
          <w:rFonts w:ascii="Times New Roman" w:hAnsi="Times New Roman" w:cs="Times New Roman"/>
          <w:color w:val="000000" w:themeColor="text1"/>
          <w:szCs w:val="22"/>
          <w:lang w:val="en-GB"/>
        </w:rPr>
        <w:t xml:space="preserve">tasty </w:t>
      </w:r>
      <w:r>
        <w:rPr>
          <w:rFonts w:ascii="Times New Roman" w:hAnsi="Times New Roman" w:cs="Times New Roman"/>
          <w:color w:val="000000" w:themeColor="text1"/>
          <w:szCs w:val="22"/>
          <w:lang w:val="en-GB"/>
        </w:rPr>
        <w:t>and healthy</w:t>
      </w:r>
      <w:r w:rsidRPr="00785A38">
        <w:rPr>
          <w:rFonts w:ascii="Times New Roman" w:hAnsi="Times New Roman" w:cs="Times New Roman"/>
          <w:color w:val="000000" w:themeColor="text1"/>
          <w:szCs w:val="22"/>
          <w:lang w:val="en-GB"/>
        </w:rPr>
        <w:t xml:space="preserve">. </w:t>
      </w:r>
    </w:p>
    <w:p w14:paraId="5E8EE345" w14:textId="567A7B89" w:rsidR="003147F8" w:rsidRPr="00785A38" w:rsidRDefault="00AF1BAE" w:rsidP="00306DFB">
      <w:pPr>
        <w:pStyle w:val="Default"/>
        <w:spacing w:after="120"/>
        <w:jc w:val="both"/>
        <w:rPr>
          <w:rFonts w:ascii="Times New Roman" w:hAnsi="Times New Roman" w:cs="Times New Roman"/>
          <w:color w:val="000000" w:themeColor="text1"/>
          <w:szCs w:val="22"/>
          <w:lang w:val="en-GB"/>
        </w:rPr>
      </w:pPr>
      <w:r w:rsidRPr="00306DFB">
        <w:rPr>
          <w:rFonts w:ascii="Times New Roman" w:hAnsi="Times New Roman" w:cs="Times New Roman"/>
          <w:color w:val="000000" w:themeColor="text1"/>
          <w:szCs w:val="22"/>
          <w:lang w:val="en-GB"/>
        </w:rPr>
        <w:t xml:space="preserve">Sustainable use by populations in this scenario </w:t>
      </w:r>
      <w:r w:rsidR="002656D6">
        <w:rPr>
          <w:rFonts w:ascii="Times New Roman" w:hAnsi="Times New Roman" w:cs="Times New Roman"/>
          <w:color w:val="000000" w:themeColor="text1"/>
          <w:szCs w:val="22"/>
          <w:lang w:val="en-GB"/>
        </w:rPr>
        <w:t>needs to include</w:t>
      </w:r>
      <w:r w:rsidRPr="00306DFB">
        <w:rPr>
          <w:rFonts w:ascii="Times New Roman" w:hAnsi="Times New Roman" w:cs="Times New Roman"/>
          <w:color w:val="000000" w:themeColor="text1"/>
          <w:szCs w:val="22"/>
          <w:lang w:val="en-GB"/>
        </w:rPr>
        <w:t xml:space="preserve"> </w:t>
      </w:r>
      <w:r w:rsidR="002656D6">
        <w:rPr>
          <w:rFonts w:ascii="Times New Roman" w:hAnsi="Times New Roman" w:cs="Times New Roman"/>
          <w:color w:val="000000" w:themeColor="text1"/>
          <w:szCs w:val="22"/>
          <w:lang w:val="en-GB"/>
        </w:rPr>
        <w:t>the</w:t>
      </w:r>
      <w:r w:rsidRPr="00306DFB">
        <w:rPr>
          <w:rFonts w:ascii="Times New Roman" w:hAnsi="Times New Roman" w:cs="Times New Roman"/>
          <w:color w:val="000000" w:themeColor="text1"/>
          <w:szCs w:val="22"/>
          <w:lang w:val="en-GB"/>
        </w:rPr>
        <w:t xml:space="preserve"> management of the wild meat </w:t>
      </w:r>
      <w:r w:rsidR="002656D6">
        <w:rPr>
          <w:rFonts w:ascii="Times New Roman" w:hAnsi="Times New Roman" w:cs="Times New Roman"/>
          <w:color w:val="000000" w:themeColor="text1"/>
          <w:szCs w:val="22"/>
          <w:lang w:val="en-GB"/>
        </w:rPr>
        <w:t>supply (Scenario 1)</w:t>
      </w:r>
      <w:r w:rsidRPr="00306DFB">
        <w:rPr>
          <w:rFonts w:ascii="Times New Roman" w:hAnsi="Times New Roman" w:cs="Times New Roman"/>
          <w:color w:val="000000" w:themeColor="text1"/>
          <w:szCs w:val="22"/>
          <w:lang w:val="en-GB"/>
        </w:rPr>
        <w:t xml:space="preserve"> on one hand and supporting the development of local domestic meat production and/or importation on the other. </w:t>
      </w:r>
      <w:r w:rsidRPr="00430E45">
        <w:rPr>
          <w:rFonts w:ascii="Times New Roman" w:hAnsi="Times New Roman" w:cs="Times New Roman"/>
          <w:color w:val="000000" w:themeColor="text1"/>
          <w:szCs w:val="22"/>
          <w:lang w:val="en-GB"/>
        </w:rPr>
        <w:t xml:space="preserve">The supply of domestic meats will depend on local and national support for private enterprise at both small business and industrial levels, and on the availability of viable transport to the area. </w:t>
      </w:r>
      <w:r w:rsidR="00430E45" w:rsidRPr="009B35A7">
        <w:rPr>
          <w:rFonts w:ascii="Times New Roman" w:hAnsi="Times New Roman" w:cs="Times New Roman"/>
          <w:color w:val="000000" w:themeColor="text1"/>
          <w:szCs w:val="22"/>
          <w:lang w:val="en-GB"/>
        </w:rPr>
        <w:t xml:space="preserve">The management of wild meat will require regulations that support legal, sustainable and short wildmeat trade chains </w:t>
      </w:r>
      <w:r w:rsidR="009B35A7" w:rsidRPr="000A7365">
        <w:rPr>
          <w:rFonts w:ascii="Times New Roman" w:hAnsi="Times New Roman" w:cs="Times New Roman"/>
          <w:color w:val="000000" w:themeColor="text1"/>
          <w:szCs w:val="22"/>
          <w:lang w:val="en-GB"/>
        </w:rPr>
        <w:t>for</w:t>
      </w:r>
      <w:r w:rsidR="00430E45" w:rsidRPr="000A7365">
        <w:rPr>
          <w:rFonts w:ascii="Times New Roman" w:hAnsi="Times New Roman" w:cs="Times New Roman"/>
          <w:color w:val="000000" w:themeColor="text1"/>
          <w:szCs w:val="22"/>
          <w:lang w:val="en-GB"/>
        </w:rPr>
        <w:t xml:space="preserve"> resilient </w:t>
      </w:r>
      <w:r w:rsidR="00430E45" w:rsidRPr="009B35A7">
        <w:rPr>
          <w:rFonts w:ascii="Times New Roman" w:hAnsi="Times New Roman" w:cs="Times New Roman"/>
          <w:color w:val="000000" w:themeColor="text1"/>
          <w:szCs w:val="22"/>
          <w:lang w:val="en-GB"/>
        </w:rPr>
        <w:t>species, and prevent trade of endangered, threatened or vulnerable species.</w:t>
      </w:r>
    </w:p>
    <w:p w14:paraId="4D5F56BD" w14:textId="77777777" w:rsidR="007D0617" w:rsidRDefault="002046D0" w:rsidP="00DF57F3">
      <w:pPr>
        <w:pStyle w:val="Heading2"/>
      </w:pPr>
      <w:bookmarkStart w:id="147" w:name="_Toc529390358"/>
      <w:r>
        <w:t>Scenario 3: Populations</w:t>
      </w:r>
      <w:r w:rsidR="007E050E" w:rsidRPr="00BA6590">
        <w:t xml:space="preserve"> of </w:t>
      </w:r>
      <w:r>
        <w:t>l</w:t>
      </w:r>
      <w:r w:rsidR="007E050E" w:rsidRPr="00584CCF">
        <w:t>arge metropolitan areas</w:t>
      </w:r>
      <w:r w:rsidR="007E050E" w:rsidRPr="00785A38">
        <w:t>.</w:t>
      </w:r>
      <w:bookmarkEnd w:id="147"/>
      <w:r w:rsidR="007E050E" w:rsidRPr="00785A38">
        <w:t xml:space="preserve"> </w:t>
      </w:r>
    </w:p>
    <w:p w14:paraId="378BCD9F" w14:textId="6264BACE" w:rsidR="007E050E" w:rsidRPr="002656D6" w:rsidRDefault="007E050E" w:rsidP="00C258BC">
      <w:pPr>
        <w:jc w:val="both"/>
        <w:rPr>
          <w:i/>
        </w:rPr>
      </w:pPr>
      <w:r w:rsidRPr="002656D6">
        <w:rPr>
          <w:i/>
        </w:rPr>
        <w:t>Distant to the source of wildlife, where wild meat consumption is no longer a dietary necessity but rather a treat or luxury</w:t>
      </w:r>
      <w:r w:rsidR="002046D0" w:rsidRPr="002656D6">
        <w:rPr>
          <w:i/>
        </w:rPr>
        <w:t>, driven by both taste preferences and cultural identities</w:t>
      </w:r>
      <w:r w:rsidRPr="002656D6">
        <w:rPr>
          <w:i/>
        </w:rPr>
        <w:t>.</w:t>
      </w:r>
    </w:p>
    <w:p w14:paraId="088973F2" w14:textId="0090699E" w:rsidR="008E572C" w:rsidRDefault="007E050E" w:rsidP="00C258BC">
      <w:pPr>
        <w:pStyle w:val="Default"/>
        <w:spacing w:after="120"/>
        <w:jc w:val="both"/>
        <w:rPr>
          <w:rFonts w:ascii="Times New Roman" w:hAnsi="Times New Roman" w:cs="Times New Roman"/>
          <w:color w:val="000000" w:themeColor="text1"/>
          <w:szCs w:val="22"/>
          <w:lang w:val="en-GB"/>
        </w:rPr>
      </w:pPr>
      <w:r w:rsidRPr="00785A38">
        <w:rPr>
          <w:rFonts w:ascii="Times New Roman" w:hAnsi="Times New Roman" w:cs="Times New Roman"/>
          <w:color w:val="000000" w:themeColor="text1"/>
          <w:szCs w:val="22"/>
          <w:lang w:val="en-GB"/>
        </w:rPr>
        <w:t xml:space="preserve">In these large cities, wild meat supplies only a tiny proportion of </w:t>
      </w:r>
      <w:r w:rsidR="00950D84">
        <w:rPr>
          <w:rFonts w:ascii="Times New Roman" w:hAnsi="Times New Roman" w:cs="Times New Roman"/>
          <w:color w:val="000000" w:themeColor="text1"/>
          <w:szCs w:val="22"/>
          <w:lang w:val="en-GB"/>
        </w:rPr>
        <w:t xml:space="preserve">per capita </w:t>
      </w:r>
      <w:r w:rsidRPr="00785A38">
        <w:rPr>
          <w:rFonts w:ascii="Times New Roman" w:hAnsi="Times New Roman" w:cs="Times New Roman"/>
          <w:color w:val="000000" w:themeColor="text1"/>
          <w:szCs w:val="22"/>
          <w:lang w:val="en-GB"/>
        </w:rPr>
        <w:t>annua</w:t>
      </w:r>
      <w:r w:rsidR="00950D84">
        <w:rPr>
          <w:rFonts w:ascii="Times New Roman" w:hAnsi="Times New Roman" w:cs="Times New Roman"/>
          <w:color w:val="000000" w:themeColor="text1"/>
          <w:szCs w:val="22"/>
          <w:lang w:val="en-GB"/>
        </w:rPr>
        <w:t>l dietary protein consumption</w:t>
      </w:r>
      <w:r w:rsidR="00941107">
        <w:rPr>
          <w:rFonts w:ascii="Times New Roman" w:hAnsi="Times New Roman" w:cs="Times New Roman"/>
          <w:color w:val="000000" w:themeColor="text1"/>
          <w:szCs w:val="22"/>
          <w:lang w:val="en-GB"/>
        </w:rPr>
        <w:t>. However, the</w:t>
      </w:r>
      <w:r w:rsidR="00950D84">
        <w:rPr>
          <w:rFonts w:ascii="Times New Roman" w:hAnsi="Times New Roman" w:cs="Times New Roman"/>
          <w:color w:val="000000" w:themeColor="text1"/>
          <w:szCs w:val="22"/>
          <w:lang w:val="en-GB"/>
        </w:rPr>
        <w:t xml:space="preserve"> large number of city dwellers </w:t>
      </w:r>
      <w:r w:rsidR="008E572C">
        <w:rPr>
          <w:rFonts w:ascii="Times New Roman" w:hAnsi="Times New Roman" w:cs="Times New Roman"/>
          <w:color w:val="000000" w:themeColor="text1"/>
          <w:szCs w:val="22"/>
          <w:lang w:val="en-GB"/>
        </w:rPr>
        <w:t xml:space="preserve">can </w:t>
      </w:r>
      <w:r w:rsidR="00950D84">
        <w:rPr>
          <w:rFonts w:ascii="Times New Roman" w:hAnsi="Times New Roman" w:cs="Times New Roman"/>
          <w:color w:val="000000" w:themeColor="text1"/>
          <w:szCs w:val="22"/>
          <w:lang w:val="en-GB"/>
        </w:rPr>
        <w:t xml:space="preserve">result in a significant aggregate consumption of </w:t>
      </w:r>
      <w:r w:rsidR="008E572C">
        <w:rPr>
          <w:rFonts w:ascii="Times New Roman" w:hAnsi="Times New Roman" w:cs="Times New Roman"/>
          <w:color w:val="000000" w:themeColor="text1"/>
          <w:szCs w:val="22"/>
          <w:lang w:val="en-GB"/>
        </w:rPr>
        <w:t xml:space="preserve">wild </w:t>
      </w:r>
      <w:r w:rsidR="00950D84">
        <w:rPr>
          <w:rFonts w:ascii="Times New Roman" w:hAnsi="Times New Roman" w:cs="Times New Roman"/>
          <w:color w:val="000000" w:themeColor="text1"/>
          <w:szCs w:val="22"/>
          <w:lang w:val="en-GB"/>
        </w:rPr>
        <w:t>meat. To illustrate, e</w:t>
      </w:r>
      <w:r w:rsidRPr="00785A38">
        <w:rPr>
          <w:rFonts w:ascii="Times New Roman" w:hAnsi="Times New Roman" w:cs="Times New Roman"/>
          <w:color w:val="000000" w:themeColor="text1"/>
          <w:szCs w:val="22"/>
          <w:lang w:val="en-GB"/>
        </w:rPr>
        <w:t xml:space="preserve">ven if a city </w:t>
      </w:r>
      <w:r w:rsidRPr="005A7272">
        <w:rPr>
          <w:rFonts w:ascii="Times New Roman" w:hAnsi="Times New Roman" w:cs="Times New Roman"/>
          <w:color w:val="000000" w:themeColor="text1"/>
          <w:szCs w:val="22"/>
          <w:lang w:val="en-GB"/>
        </w:rPr>
        <w:t>dweller only eats 1kg of wild meat per year, the aggregate demand of</w:t>
      </w:r>
      <w:r w:rsidR="00E82162" w:rsidRPr="005A7272">
        <w:rPr>
          <w:rFonts w:ascii="Times New Roman" w:hAnsi="Times New Roman" w:cs="Times New Roman"/>
          <w:color w:val="000000" w:themeColor="text1"/>
          <w:szCs w:val="22"/>
          <w:lang w:val="en-GB"/>
        </w:rPr>
        <w:t xml:space="preserve"> </w:t>
      </w:r>
      <w:r w:rsidRPr="005A7272">
        <w:rPr>
          <w:rFonts w:ascii="Times New Roman" w:hAnsi="Times New Roman" w:cs="Times New Roman"/>
          <w:color w:val="000000" w:themeColor="text1"/>
          <w:szCs w:val="22"/>
          <w:lang w:val="en-GB"/>
        </w:rPr>
        <w:t>the 10 million re</w:t>
      </w:r>
      <w:r w:rsidR="00E82162" w:rsidRPr="005A7272">
        <w:rPr>
          <w:rFonts w:ascii="Times New Roman" w:hAnsi="Times New Roman" w:cs="Times New Roman"/>
          <w:color w:val="000000" w:themeColor="text1"/>
          <w:szCs w:val="22"/>
          <w:lang w:val="en-GB"/>
        </w:rPr>
        <w:t>sidents of Kinshasa in DR Congo</w:t>
      </w:r>
      <w:r w:rsidRPr="005A7272">
        <w:rPr>
          <w:rFonts w:ascii="Times New Roman" w:hAnsi="Times New Roman" w:cs="Times New Roman"/>
          <w:color w:val="000000" w:themeColor="text1"/>
          <w:szCs w:val="22"/>
          <w:lang w:val="en-GB"/>
        </w:rPr>
        <w:t xml:space="preserve"> constitutes a massive pressure o</w:t>
      </w:r>
      <w:r w:rsidR="008E572C">
        <w:rPr>
          <w:rFonts w:ascii="Times New Roman" w:hAnsi="Times New Roman" w:cs="Times New Roman"/>
          <w:color w:val="000000" w:themeColor="text1"/>
          <w:szCs w:val="22"/>
          <w:lang w:val="en-GB"/>
        </w:rPr>
        <w:t>n</w:t>
      </w:r>
      <w:r w:rsidRPr="005A7272">
        <w:rPr>
          <w:rFonts w:ascii="Times New Roman" w:hAnsi="Times New Roman" w:cs="Times New Roman"/>
          <w:color w:val="000000" w:themeColor="text1"/>
          <w:szCs w:val="22"/>
          <w:lang w:val="en-GB"/>
        </w:rPr>
        <w:t xml:space="preserve"> wildlife and fish.</w:t>
      </w:r>
      <w:r w:rsidR="00E82162" w:rsidRPr="005A7272">
        <w:rPr>
          <w:rFonts w:ascii="Times New Roman" w:hAnsi="Times New Roman" w:cs="Times New Roman"/>
          <w:color w:val="000000" w:themeColor="text1"/>
          <w:szCs w:val="22"/>
          <w:lang w:val="en-GB"/>
        </w:rPr>
        <w:t xml:space="preserve"> </w:t>
      </w:r>
      <w:r w:rsidR="0014399D" w:rsidRPr="005A7272">
        <w:rPr>
          <w:rFonts w:ascii="Times New Roman" w:hAnsi="Times New Roman" w:cs="Times New Roman"/>
          <w:color w:val="000000" w:themeColor="text1"/>
          <w:szCs w:val="22"/>
          <w:lang w:val="en-GB"/>
        </w:rPr>
        <w:t xml:space="preserve">In </w:t>
      </w:r>
      <w:r w:rsidR="00941107">
        <w:rPr>
          <w:rFonts w:ascii="Times New Roman" w:hAnsi="Times New Roman" w:cs="Times New Roman"/>
          <w:color w:val="000000" w:themeColor="text1"/>
          <w:szCs w:val="22"/>
          <w:lang w:val="en-GB"/>
        </w:rPr>
        <w:t>most cases within this context</w:t>
      </w:r>
      <w:r w:rsidR="0014399D" w:rsidRPr="005A7272">
        <w:rPr>
          <w:rFonts w:ascii="Times New Roman" w:hAnsi="Times New Roman" w:cs="Times New Roman"/>
          <w:color w:val="000000" w:themeColor="text1"/>
          <w:szCs w:val="22"/>
          <w:lang w:val="en-GB"/>
        </w:rPr>
        <w:t>,</w:t>
      </w:r>
      <w:r w:rsidR="00E82162" w:rsidRPr="005A7272">
        <w:rPr>
          <w:rFonts w:ascii="Times New Roman" w:hAnsi="Times New Roman" w:cs="Times New Roman"/>
          <w:color w:val="000000" w:themeColor="text1"/>
          <w:szCs w:val="22"/>
          <w:lang w:val="en-GB"/>
        </w:rPr>
        <w:t xml:space="preserve"> </w:t>
      </w:r>
      <w:r w:rsidRPr="005A7272">
        <w:rPr>
          <w:rFonts w:ascii="Times New Roman" w:hAnsi="Times New Roman" w:cs="Times New Roman"/>
          <w:color w:val="000000" w:themeColor="text1"/>
          <w:szCs w:val="22"/>
          <w:lang w:val="en-GB"/>
        </w:rPr>
        <w:t xml:space="preserve">alternatives to wild meat are both in ample supply and </w:t>
      </w:r>
      <w:r w:rsidR="008E572C">
        <w:rPr>
          <w:rFonts w:ascii="Times New Roman" w:hAnsi="Times New Roman" w:cs="Times New Roman"/>
          <w:color w:val="000000" w:themeColor="text1"/>
          <w:szCs w:val="22"/>
          <w:lang w:val="en-GB"/>
        </w:rPr>
        <w:t xml:space="preserve">at </w:t>
      </w:r>
      <w:r w:rsidRPr="005A7272">
        <w:rPr>
          <w:rFonts w:ascii="Times New Roman" w:hAnsi="Times New Roman" w:cs="Times New Roman"/>
          <w:color w:val="000000" w:themeColor="text1"/>
          <w:szCs w:val="22"/>
          <w:lang w:val="en-GB"/>
        </w:rPr>
        <w:t>lower cost</w:t>
      </w:r>
      <w:r w:rsidR="00944860">
        <w:rPr>
          <w:rFonts w:ascii="Times New Roman" w:hAnsi="Times New Roman" w:cs="Times New Roman"/>
          <w:color w:val="000000" w:themeColor="text1"/>
          <w:szCs w:val="22"/>
          <w:lang w:val="en-GB"/>
        </w:rPr>
        <w:t xml:space="preserve"> (but see </w:t>
      </w:r>
      <w:r w:rsidR="00913F49">
        <w:rPr>
          <w:rFonts w:ascii="Times New Roman" w:hAnsi="Times New Roman" w:cs="Times New Roman"/>
          <w:color w:val="000000" w:themeColor="text1"/>
          <w:szCs w:val="22"/>
          <w:lang w:val="en-GB"/>
        </w:rPr>
        <w:fldChar w:fldCharType="begin" w:fldLock="1"/>
      </w:r>
      <w:r w:rsidR="00913F49">
        <w:rPr>
          <w:rFonts w:ascii="Times New Roman" w:hAnsi="Times New Roman" w:cs="Times New Roman"/>
          <w:color w:val="000000" w:themeColor="text1"/>
          <w:szCs w:val="22"/>
          <w:lang w:val="en-GB"/>
        </w:rPr>
        <w:instrText>ADDIN CSL_CITATION {"citationItems":[{"id":"ITEM-1","itemData":{"DOI":"10.1177/1940082918799494","ISSN":"1940-0829","author":[{"dropping-particle":"","family":"Vliet","given":"Nathalie","non-dropping-particle":"Van","parse-names":false,"suffix":""},{"dropping-particle":"","family":"Muhindo","given":"Jonas","non-dropping-particle":"","parse-names":false,"suffix":""},{"dropping-particle":"","family":"Kambale Nyumu","given":"Jonas","non-dropping-particle":"","parse-names":false,"suffix":""},{"dropping-particle":"","family":"Mushagalusa","given":"Olivier","non-dropping-particle":"","parse-names":false,"suffix":""},{"dropping-particle":"","family":"Nasi","given":"Robert","non-dropping-particle":"","parse-names":false,"suffix":""}],"container-title":"Tropical Conservation Science","id":"ITEM-1","issued":{"date-parts":[["2018"]]},"page":"1-16","title":"Mammal depletion processes as evidenced from spatially explicit and temporal local ecological knowledge","type":"article-journal","volume":"11"},"uris":["http://www.mendeley.com/documents/?uuid=378262b7-f0cc-4d7d-8e69-5663bffd6f08"]}],"mendeley":{"formattedCitation":"(Van Vliet et al. 2018a)","manualFormatting":"Van Vliet et al. (2018a)","plainTextFormattedCitation":"(Van Vliet et al. 2018a)","previouslyFormattedCitation":"(Van Vliet et al. 2018a)"},"properties":{"noteIndex":0},"schema":"https://github.com/citation-style-language/schema/raw/master/csl-citation.json"}</w:instrText>
      </w:r>
      <w:r w:rsidR="00913F49">
        <w:rPr>
          <w:rFonts w:ascii="Times New Roman" w:hAnsi="Times New Roman" w:cs="Times New Roman"/>
          <w:color w:val="000000" w:themeColor="text1"/>
          <w:szCs w:val="22"/>
          <w:lang w:val="en-GB"/>
        </w:rPr>
        <w:fldChar w:fldCharType="separate"/>
      </w:r>
      <w:r w:rsidR="00913F49" w:rsidRPr="00913F49">
        <w:rPr>
          <w:rFonts w:ascii="Times New Roman" w:hAnsi="Times New Roman" w:cs="Times New Roman"/>
          <w:noProof/>
          <w:color w:val="000000" w:themeColor="text1"/>
          <w:szCs w:val="22"/>
          <w:lang w:val="en-GB"/>
        </w:rPr>
        <w:t xml:space="preserve">Van Vliet et al. </w:t>
      </w:r>
      <w:r w:rsidR="00913F49">
        <w:rPr>
          <w:rFonts w:ascii="Times New Roman" w:hAnsi="Times New Roman" w:cs="Times New Roman"/>
          <w:noProof/>
          <w:color w:val="000000" w:themeColor="text1"/>
          <w:szCs w:val="22"/>
          <w:lang w:val="en-GB"/>
        </w:rPr>
        <w:t>(</w:t>
      </w:r>
      <w:r w:rsidR="00913F49" w:rsidRPr="00913F49">
        <w:rPr>
          <w:rFonts w:ascii="Times New Roman" w:hAnsi="Times New Roman" w:cs="Times New Roman"/>
          <w:noProof/>
          <w:color w:val="000000" w:themeColor="text1"/>
          <w:szCs w:val="22"/>
          <w:lang w:val="en-GB"/>
        </w:rPr>
        <w:t>2018a)</w:t>
      </w:r>
      <w:r w:rsidR="00913F49">
        <w:rPr>
          <w:rFonts w:ascii="Times New Roman" w:hAnsi="Times New Roman" w:cs="Times New Roman"/>
          <w:color w:val="000000" w:themeColor="text1"/>
          <w:szCs w:val="22"/>
          <w:lang w:val="en-GB"/>
        </w:rPr>
        <w:fldChar w:fldCharType="end"/>
      </w:r>
      <w:r w:rsidR="0014399D" w:rsidRPr="005A7272">
        <w:rPr>
          <w:rFonts w:ascii="Times New Roman" w:hAnsi="Times New Roman" w:cs="Times New Roman"/>
          <w:color w:val="000000" w:themeColor="text1"/>
          <w:szCs w:val="22"/>
          <w:lang w:val="en-GB"/>
        </w:rPr>
        <w:t xml:space="preserve"> for post-conflict scenarios)</w:t>
      </w:r>
      <w:r w:rsidR="00941107">
        <w:rPr>
          <w:rFonts w:ascii="Times New Roman" w:hAnsi="Times New Roman" w:cs="Times New Roman"/>
          <w:color w:val="000000" w:themeColor="text1"/>
          <w:szCs w:val="22"/>
          <w:lang w:val="en-GB"/>
        </w:rPr>
        <w:t xml:space="preserve">. Therefore, </w:t>
      </w:r>
      <w:r w:rsidRPr="005A7272">
        <w:rPr>
          <w:rFonts w:ascii="Times New Roman" w:hAnsi="Times New Roman" w:cs="Times New Roman"/>
          <w:color w:val="000000" w:themeColor="text1"/>
          <w:szCs w:val="22"/>
          <w:lang w:val="en-GB"/>
        </w:rPr>
        <w:t>reducing</w:t>
      </w:r>
      <w:r w:rsidR="008E572C">
        <w:rPr>
          <w:rFonts w:ascii="Times New Roman" w:hAnsi="Times New Roman" w:cs="Times New Roman"/>
          <w:color w:val="000000" w:themeColor="text1"/>
          <w:szCs w:val="22"/>
          <w:lang w:val="en-GB"/>
        </w:rPr>
        <w:t xml:space="preserve"> </w:t>
      </w:r>
      <w:r w:rsidRPr="005A7272">
        <w:rPr>
          <w:rFonts w:ascii="Times New Roman" w:hAnsi="Times New Roman" w:cs="Times New Roman"/>
          <w:color w:val="000000" w:themeColor="text1"/>
          <w:szCs w:val="22"/>
          <w:lang w:val="en-GB"/>
        </w:rPr>
        <w:t xml:space="preserve">demand </w:t>
      </w:r>
      <w:r w:rsidR="008E572C">
        <w:rPr>
          <w:rFonts w:ascii="Times New Roman" w:hAnsi="Times New Roman" w:cs="Times New Roman"/>
          <w:color w:val="000000" w:themeColor="text1"/>
          <w:szCs w:val="22"/>
          <w:lang w:val="en-GB"/>
        </w:rPr>
        <w:t>will</w:t>
      </w:r>
      <w:r w:rsidRPr="005A7272">
        <w:rPr>
          <w:rFonts w:ascii="Times New Roman" w:hAnsi="Times New Roman" w:cs="Times New Roman"/>
          <w:color w:val="000000" w:themeColor="text1"/>
          <w:szCs w:val="22"/>
          <w:lang w:val="en-GB"/>
        </w:rPr>
        <w:t xml:space="preserve"> not </w:t>
      </w:r>
      <w:r w:rsidR="008E572C">
        <w:rPr>
          <w:rFonts w:ascii="Times New Roman" w:hAnsi="Times New Roman" w:cs="Times New Roman"/>
          <w:color w:val="000000" w:themeColor="text1"/>
          <w:szCs w:val="22"/>
          <w:lang w:val="en-GB"/>
        </w:rPr>
        <w:t xml:space="preserve">be achieved by </w:t>
      </w:r>
      <w:r w:rsidR="008E572C">
        <w:rPr>
          <w:rFonts w:ascii="Times New Roman" w:hAnsi="Times New Roman" w:cs="Times New Roman"/>
          <w:color w:val="000000" w:themeColor="text1"/>
          <w:szCs w:val="22"/>
          <w:lang w:val="en-GB"/>
        </w:rPr>
        <w:lastRenderedPageBreak/>
        <w:t>ensuring availability of alternative goods, but by</w:t>
      </w:r>
      <w:r w:rsidRPr="005A7272">
        <w:rPr>
          <w:rFonts w:ascii="Times New Roman" w:hAnsi="Times New Roman" w:cs="Times New Roman"/>
          <w:color w:val="000000" w:themeColor="text1"/>
          <w:szCs w:val="22"/>
          <w:lang w:val="en-GB"/>
        </w:rPr>
        <w:t xml:space="preserve"> influencing non-price drivers of wild meat consumption. </w:t>
      </w:r>
    </w:p>
    <w:p w14:paraId="62696E8D" w14:textId="77777777" w:rsidR="00430E45" w:rsidRDefault="008E572C" w:rsidP="00C258BC">
      <w:pPr>
        <w:pStyle w:val="Default"/>
        <w:spacing w:after="120"/>
        <w:jc w:val="both"/>
        <w:rPr>
          <w:rFonts w:ascii="Times New Roman" w:hAnsi="Times New Roman" w:cs="Times New Roman"/>
          <w:i/>
          <w:color w:val="000000" w:themeColor="text1"/>
          <w:szCs w:val="22"/>
          <w:lang w:val="en-GB"/>
        </w:rPr>
      </w:pPr>
      <w:r w:rsidRPr="00233967">
        <w:rPr>
          <w:rFonts w:ascii="Times New Roman" w:hAnsi="Times New Roman" w:cs="Times New Roman"/>
          <w:i/>
          <w:color w:val="000000" w:themeColor="text1"/>
          <w:szCs w:val="22"/>
          <w:lang w:val="en-GB"/>
        </w:rPr>
        <w:t>Solutions</w:t>
      </w:r>
    </w:p>
    <w:p w14:paraId="6689D6B5" w14:textId="03781909" w:rsidR="002410FC" w:rsidRDefault="007E050E" w:rsidP="002410FC">
      <w:pPr>
        <w:pStyle w:val="Default"/>
        <w:spacing w:after="120"/>
        <w:jc w:val="both"/>
        <w:rPr>
          <w:rFonts w:ascii="Times New Roman" w:hAnsi="Times New Roman" w:cs="Times New Roman"/>
          <w:color w:val="000000" w:themeColor="text1"/>
          <w:szCs w:val="22"/>
          <w:lang w:val="en-GB"/>
        </w:rPr>
      </w:pPr>
      <w:r w:rsidRPr="005A7272">
        <w:rPr>
          <w:rFonts w:ascii="Times New Roman" w:hAnsi="Times New Roman" w:cs="Times New Roman"/>
          <w:color w:val="000000" w:themeColor="text1"/>
          <w:szCs w:val="22"/>
          <w:lang w:val="en-GB"/>
        </w:rPr>
        <w:t>The</w:t>
      </w:r>
      <w:r w:rsidRPr="00785A38">
        <w:rPr>
          <w:rFonts w:ascii="Times New Roman" w:hAnsi="Times New Roman" w:cs="Times New Roman"/>
          <w:color w:val="000000" w:themeColor="text1"/>
          <w:szCs w:val="22"/>
          <w:lang w:val="en-GB"/>
        </w:rPr>
        <w:t xml:space="preserve"> exact approach to reducing</w:t>
      </w:r>
      <w:r w:rsidR="008E572C">
        <w:rPr>
          <w:rFonts w:ascii="Times New Roman" w:hAnsi="Times New Roman" w:cs="Times New Roman"/>
          <w:color w:val="000000" w:themeColor="text1"/>
          <w:szCs w:val="22"/>
          <w:lang w:val="en-GB"/>
        </w:rPr>
        <w:t xml:space="preserve"> </w:t>
      </w:r>
      <w:r w:rsidRPr="00785A38">
        <w:rPr>
          <w:rFonts w:ascii="Times New Roman" w:hAnsi="Times New Roman" w:cs="Times New Roman"/>
          <w:color w:val="000000" w:themeColor="text1"/>
          <w:szCs w:val="22"/>
          <w:lang w:val="en-GB"/>
        </w:rPr>
        <w:t xml:space="preserve">demand in large metropolitan areas will depend on </w:t>
      </w:r>
      <w:r w:rsidR="008E572C">
        <w:rPr>
          <w:rFonts w:ascii="Times New Roman" w:hAnsi="Times New Roman" w:cs="Times New Roman"/>
          <w:color w:val="000000" w:themeColor="text1"/>
          <w:szCs w:val="22"/>
          <w:lang w:val="en-GB"/>
        </w:rPr>
        <w:t>consumer motivations. C</w:t>
      </w:r>
      <w:r w:rsidRPr="00785A38">
        <w:rPr>
          <w:rFonts w:ascii="Times New Roman" w:hAnsi="Times New Roman" w:cs="Times New Roman"/>
          <w:color w:val="000000" w:themeColor="text1"/>
          <w:szCs w:val="22"/>
          <w:lang w:val="en-GB"/>
        </w:rPr>
        <w:t>onsumer surveys designed to identify both the most salient non-price drivers of consumer choice, but also the most promising levers to change behaviour</w:t>
      </w:r>
      <w:r w:rsidR="003147F8">
        <w:rPr>
          <w:rFonts w:ascii="Times New Roman" w:hAnsi="Times New Roman" w:cs="Times New Roman"/>
          <w:color w:val="000000" w:themeColor="text1"/>
          <w:szCs w:val="22"/>
          <w:lang w:val="en-GB"/>
        </w:rPr>
        <w:t>,</w:t>
      </w:r>
      <w:r w:rsidR="008E572C">
        <w:rPr>
          <w:rFonts w:ascii="Times New Roman" w:hAnsi="Times New Roman" w:cs="Times New Roman"/>
          <w:color w:val="000000" w:themeColor="text1"/>
          <w:szCs w:val="22"/>
          <w:lang w:val="en-GB"/>
        </w:rPr>
        <w:t xml:space="preserve"> will be key to tailoring effective interventions to promote consumer change</w:t>
      </w:r>
      <w:r w:rsidRPr="00785A38">
        <w:rPr>
          <w:rFonts w:ascii="Times New Roman" w:hAnsi="Times New Roman" w:cs="Times New Roman"/>
          <w:color w:val="000000" w:themeColor="text1"/>
          <w:szCs w:val="22"/>
          <w:lang w:val="en-GB"/>
        </w:rPr>
        <w:t>.</w:t>
      </w:r>
      <w:r w:rsidR="008E572C">
        <w:rPr>
          <w:rFonts w:ascii="Times New Roman" w:hAnsi="Times New Roman" w:cs="Times New Roman"/>
          <w:color w:val="000000" w:themeColor="text1"/>
          <w:szCs w:val="22"/>
          <w:lang w:val="en-GB"/>
        </w:rPr>
        <w:t xml:space="preserve"> </w:t>
      </w:r>
      <w:r w:rsidR="00430E45" w:rsidRPr="009B35A7">
        <w:rPr>
          <w:rFonts w:ascii="Times New Roman" w:hAnsi="Times New Roman" w:cs="Times New Roman"/>
          <w:color w:val="000000" w:themeColor="text1"/>
          <w:szCs w:val="22"/>
          <w:lang w:val="en-GB"/>
        </w:rPr>
        <w:t>Solutions to safeguard the exclusive access of rural rights-holders to some wildlife areas (Scenario 1), and to reduce demand and control supply in smaller and newe</w:t>
      </w:r>
      <w:r w:rsidR="002410FC">
        <w:rPr>
          <w:rFonts w:ascii="Times New Roman" w:hAnsi="Times New Roman" w:cs="Times New Roman"/>
          <w:color w:val="000000" w:themeColor="text1"/>
          <w:szCs w:val="22"/>
          <w:lang w:val="en-GB"/>
        </w:rPr>
        <w:t xml:space="preserve">r urban areas (Scenario 2) </w:t>
      </w:r>
      <w:r w:rsidR="002410FC" w:rsidRPr="002410FC">
        <w:rPr>
          <w:rFonts w:ascii="Times New Roman" w:hAnsi="Times New Roman" w:cs="Times New Roman"/>
          <w:color w:val="000000" w:themeColor="text1"/>
          <w:szCs w:val="22"/>
          <w:lang w:val="en-GB"/>
        </w:rPr>
        <w:t>will reduce supply to large urban areas. Reducing demand in Scenario 3 will need to be acted upon simultaneously.</w:t>
      </w:r>
    </w:p>
    <w:p w14:paraId="18B1F350" w14:textId="3CDC39BD" w:rsidR="002656D6" w:rsidRDefault="00A37761" w:rsidP="002410FC">
      <w:pPr>
        <w:pStyle w:val="Default"/>
        <w:spacing w:after="120"/>
        <w:jc w:val="both"/>
        <w:rPr>
          <w:rFonts w:ascii="Times New Roman" w:hAnsi="Times New Roman" w:cs="Times New Roman"/>
          <w:color w:val="000000" w:themeColor="text1"/>
          <w:szCs w:val="22"/>
          <w:lang w:val="en-GB"/>
        </w:rPr>
      </w:pPr>
      <w:r w:rsidRPr="00306DFB">
        <w:rPr>
          <w:rFonts w:ascii="Times New Roman" w:hAnsi="Times New Roman" w:cs="Times New Roman"/>
          <w:color w:val="000000" w:themeColor="text1"/>
          <w:szCs w:val="22"/>
          <w:lang w:val="en-GB"/>
        </w:rPr>
        <w:t xml:space="preserve">Only long-term, holistic approaches, including strategies that facilitate conservation and sustainable use of wildlife resources upstream (rural areas) but also reduce excessive demand downstream (urban centres), are likely to achieve truly successful outcomes across Scenarios 1-3 </w:t>
      </w:r>
      <w:r w:rsidR="00913F49">
        <w:rPr>
          <w:rFonts w:ascii="Times New Roman" w:hAnsi="Times New Roman" w:cs="Times New Roman"/>
          <w:color w:val="000000" w:themeColor="text1"/>
          <w:szCs w:val="22"/>
          <w:lang w:val="en-GB"/>
        </w:rPr>
        <w:fldChar w:fldCharType="begin" w:fldLock="1"/>
      </w:r>
      <w:r w:rsidR="00B2630D">
        <w:rPr>
          <w:rFonts w:ascii="Times New Roman" w:hAnsi="Times New Roman" w:cs="Times New Roman"/>
          <w:color w:val="000000" w:themeColor="text1"/>
          <w:szCs w:val="22"/>
          <w:lang w:val="en-GB"/>
        </w:rPr>
        <w:instrText>ADDIN CSL_CITATION {"citationItems":[{"id":"ITEM-1","itemData":{"DOI":"ISBN 92-9225-083-3","ISBN":"9292250833","abstract":"2008. Conservation and use of wildlife-based resources: The bushmeat crisis. Technical series No. 33. Montreal: Secretariat of the Convention on Biological Diversity; and Bogor, Indonesia: Centre on International Forestry Research.","author":[{"dropping-particle":"","family":"Nasi","given":"R","non-dropping-particle":"","parse-names":false,"suffix":""},{"dropping-particle":"","family":"Brown","given":"D","non-dropping-particle":"","parse-names":false,"suffix":""},{"dropping-particle":"","family":"Wilkie","given":"D","non-dropping-particle":"","parse-names":false,"suffix":""},{"dropping-particle":"","family":"Bennett","given":"E","non-dropping-particle":"","parse-names":false,"suffix":""},{"dropping-particle":"","family":"Tutin","given":"C","non-dropping-particle":"","parse-names":false,"suffix":""},{"dropping-particle":"","family":"Tol","given":"G","non-dropping-particle":"Van","parse-names":false,"suffix":""},{"dropping-particle":"","family":"Christophersen","given":"T","non-dropping-particle":"","parse-names":false,"suffix":""}],"id":"ITEM-1","issued":{"date-parts":[["2008"]]},"number-of-pages":"50","publisher-place":"Secretariat of the Convention on Biological Diversity, Montreal, Canada, and Centre for International Forestry Research (CIFOR), Bogor, Indonesia.","title":"Conservation and use of wildlife-based resources: the bushmeat crisis. CBD Technical Series No. 33","type":"report"},"uris":["http://www.mendeley.com/documents/?uuid=820bb019-82b3-449a-b6b2-fbc4d35d17d6"]}],"mendeley":{"formattedCitation":"(Nasi et al. 2008)","plainTextFormattedCitation":"(Nasi et al. 2008)","previouslyFormattedCitation":"(Nasi et al. 2008)"},"properties":{"noteIndex":0},"schema":"https://github.com/citation-style-language/schema/raw/master/csl-citation.json"}</w:instrText>
      </w:r>
      <w:r w:rsidR="00913F49">
        <w:rPr>
          <w:rFonts w:ascii="Times New Roman" w:hAnsi="Times New Roman" w:cs="Times New Roman"/>
          <w:color w:val="000000" w:themeColor="text1"/>
          <w:szCs w:val="22"/>
          <w:lang w:val="en-GB"/>
        </w:rPr>
        <w:fldChar w:fldCharType="separate"/>
      </w:r>
      <w:r w:rsidR="00913F49" w:rsidRPr="00913F49">
        <w:rPr>
          <w:rFonts w:ascii="Times New Roman" w:hAnsi="Times New Roman" w:cs="Times New Roman"/>
          <w:noProof/>
          <w:color w:val="000000" w:themeColor="text1"/>
          <w:szCs w:val="22"/>
          <w:lang w:val="en-GB"/>
        </w:rPr>
        <w:t>(Nasi et al. 2008)</w:t>
      </w:r>
      <w:r w:rsidR="00913F49">
        <w:rPr>
          <w:rFonts w:ascii="Times New Roman" w:hAnsi="Times New Roman" w:cs="Times New Roman"/>
          <w:color w:val="000000" w:themeColor="text1"/>
          <w:szCs w:val="22"/>
          <w:lang w:val="en-GB"/>
        </w:rPr>
        <w:fldChar w:fldCharType="end"/>
      </w:r>
      <w:r w:rsidRPr="00306DFB">
        <w:rPr>
          <w:rFonts w:ascii="Times New Roman" w:hAnsi="Times New Roman" w:cs="Times New Roman"/>
          <w:color w:val="000000" w:themeColor="text1"/>
          <w:szCs w:val="22"/>
          <w:lang w:val="en-GB"/>
        </w:rPr>
        <w:t>.</w:t>
      </w:r>
    </w:p>
    <w:p w14:paraId="026D5CBD" w14:textId="77777777" w:rsidR="007D0617" w:rsidRDefault="008E572C" w:rsidP="00DF57F3">
      <w:pPr>
        <w:pStyle w:val="Heading2"/>
      </w:pPr>
      <w:bookmarkStart w:id="148" w:name="_Toc529390359"/>
      <w:r>
        <w:t xml:space="preserve">Scenario 4: </w:t>
      </w:r>
      <w:r w:rsidR="007E050E" w:rsidRPr="00584CCF">
        <w:t>International consumers</w:t>
      </w:r>
      <w:r w:rsidR="00584CCF" w:rsidRPr="00584CCF">
        <w:t>.</w:t>
      </w:r>
      <w:bookmarkEnd w:id="148"/>
      <w:r w:rsidR="00584CCF" w:rsidRPr="00584CCF">
        <w:t xml:space="preserve"> </w:t>
      </w:r>
    </w:p>
    <w:p w14:paraId="259E48EC" w14:textId="6CFB5EB6" w:rsidR="007E050E" w:rsidRPr="002656D6" w:rsidRDefault="00584CCF" w:rsidP="00C258BC">
      <w:pPr>
        <w:pStyle w:val="Default"/>
        <w:spacing w:after="120"/>
        <w:jc w:val="both"/>
        <w:rPr>
          <w:rFonts w:ascii="Times New Roman" w:hAnsi="Times New Roman" w:cs="Times New Roman"/>
          <w:i/>
          <w:color w:val="000000" w:themeColor="text1"/>
          <w:szCs w:val="22"/>
          <w:lang w:val="en-GB"/>
        </w:rPr>
      </w:pPr>
      <w:r w:rsidRPr="002656D6">
        <w:rPr>
          <w:rFonts w:ascii="Times New Roman" w:hAnsi="Times New Roman" w:cs="Times New Roman"/>
          <w:i/>
          <w:color w:val="000000" w:themeColor="text1"/>
          <w:szCs w:val="22"/>
          <w:lang w:val="en-GB"/>
        </w:rPr>
        <w:t>Wild meat consumed as a luxury good, and often imported as part of the wider trade in illegal wildlife into countries where wildlife has already been depleted.</w:t>
      </w:r>
    </w:p>
    <w:p w14:paraId="04DB0B7D" w14:textId="0DD20A7F" w:rsidR="00593435" w:rsidRDefault="00136964" w:rsidP="00306DFB">
      <w:pPr>
        <w:pStyle w:val="Default"/>
        <w:spacing w:after="120"/>
        <w:jc w:val="both"/>
        <w:rPr>
          <w:rFonts w:ascii="Times New Roman" w:hAnsi="Times New Roman" w:cs="Times New Roman"/>
          <w:color w:val="000000" w:themeColor="text1"/>
          <w:szCs w:val="22"/>
          <w:lang w:val="en-GB"/>
        </w:rPr>
      </w:pPr>
      <w:r w:rsidRPr="00306DFB">
        <w:rPr>
          <w:rFonts w:ascii="Times New Roman" w:hAnsi="Times New Roman" w:cs="Times New Roman"/>
          <w:color w:val="000000" w:themeColor="text1"/>
          <w:szCs w:val="22"/>
          <w:lang w:val="en-GB"/>
        </w:rPr>
        <w:t>No country should be supplying meat to another illegally</w:t>
      </w:r>
      <w:r w:rsidR="00233967">
        <w:rPr>
          <w:rFonts w:ascii="Times New Roman" w:hAnsi="Times New Roman" w:cs="Times New Roman"/>
          <w:color w:val="000000" w:themeColor="text1"/>
          <w:szCs w:val="22"/>
          <w:lang w:val="en-GB"/>
        </w:rPr>
        <w:t>,</w:t>
      </w:r>
      <w:r>
        <w:rPr>
          <w:rFonts w:ascii="Times New Roman" w:hAnsi="Times New Roman" w:cs="Times New Roman"/>
          <w:color w:val="000000" w:themeColor="text1"/>
          <w:szCs w:val="22"/>
          <w:lang w:val="en-GB"/>
        </w:rPr>
        <w:t xml:space="preserve"> and</w:t>
      </w:r>
      <w:r w:rsidRPr="00136964">
        <w:rPr>
          <w:rFonts w:ascii="Times New Roman" w:hAnsi="Times New Roman" w:cs="Times New Roman"/>
          <w:color w:val="000000" w:themeColor="text1"/>
          <w:szCs w:val="22"/>
          <w:lang w:val="en-GB"/>
        </w:rPr>
        <w:t xml:space="preserve"> </w:t>
      </w:r>
      <w:r>
        <w:rPr>
          <w:rFonts w:ascii="Times New Roman" w:hAnsi="Times New Roman" w:cs="Times New Roman"/>
          <w:color w:val="000000" w:themeColor="text1"/>
          <w:szCs w:val="22"/>
          <w:lang w:val="en-GB"/>
        </w:rPr>
        <w:t>sustainability of a national harvest should be demonstrated and ensured before any legalisation of an export trade should be considered. Most countries strictly control meat imports for health reasons.</w:t>
      </w:r>
      <w:r w:rsidR="00593435">
        <w:rPr>
          <w:rFonts w:ascii="Times New Roman" w:hAnsi="Times New Roman" w:cs="Times New Roman"/>
          <w:color w:val="000000" w:themeColor="text1"/>
          <w:szCs w:val="22"/>
          <w:lang w:val="en-GB"/>
        </w:rPr>
        <w:t xml:space="preserve"> However, international demand drives a black mark</w:t>
      </w:r>
      <w:r w:rsidR="003147F8">
        <w:rPr>
          <w:rFonts w:ascii="Times New Roman" w:hAnsi="Times New Roman" w:cs="Times New Roman"/>
          <w:color w:val="000000" w:themeColor="text1"/>
          <w:szCs w:val="22"/>
          <w:lang w:val="en-GB"/>
        </w:rPr>
        <w:t xml:space="preserve">et for tropical wildlife </w:t>
      </w:r>
      <w:r w:rsidR="00593435">
        <w:rPr>
          <w:rFonts w:ascii="Times New Roman" w:hAnsi="Times New Roman" w:cs="Times New Roman"/>
          <w:color w:val="000000" w:themeColor="text1"/>
          <w:szCs w:val="22"/>
          <w:lang w:val="en-GB"/>
        </w:rPr>
        <w:t>that is hard to eradicate.</w:t>
      </w:r>
    </w:p>
    <w:p w14:paraId="5CCBE657" w14:textId="4E550301" w:rsidR="00593435" w:rsidRPr="00136964" w:rsidRDefault="00593435" w:rsidP="00306DFB">
      <w:pPr>
        <w:pStyle w:val="Default"/>
        <w:spacing w:after="120"/>
        <w:jc w:val="both"/>
        <w:rPr>
          <w:rFonts w:ascii="Times New Roman" w:hAnsi="Times New Roman" w:cs="Times New Roman"/>
          <w:color w:val="000000" w:themeColor="text1"/>
          <w:szCs w:val="22"/>
          <w:lang w:val="en-GB"/>
        </w:rPr>
      </w:pPr>
      <w:r>
        <w:rPr>
          <w:rFonts w:ascii="Times New Roman" w:hAnsi="Times New Roman" w:cs="Times New Roman"/>
          <w:color w:val="000000" w:themeColor="text1"/>
          <w:szCs w:val="22"/>
          <w:lang w:val="en-GB"/>
        </w:rPr>
        <w:t>Several countries in temperate zones promote the international sale of sustainably harvested wild meats and have generated large markets (i.e. Scottish salmon or venison, New Zealand p</w:t>
      </w:r>
      <w:r w:rsidR="00B9289A">
        <w:rPr>
          <w:rFonts w:ascii="Times New Roman" w:hAnsi="Times New Roman" w:cs="Times New Roman"/>
          <w:color w:val="000000" w:themeColor="text1"/>
          <w:szCs w:val="22"/>
          <w:lang w:val="en-GB"/>
        </w:rPr>
        <w:t>ossum fur, various fisheries). However, t</w:t>
      </w:r>
      <w:r>
        <w:rPr>
          <w:rFonts w:ascii="Times New Roman" w:hAnsi="Times New Roman" w:cs="Times New Roman"/>
          <w:color w:val="000000" w:themeColor="text1"/>
          <w:szCs w:val="22"/>
          <w:lang w:val="en-GB"/>
        </w:rPr>
        <w:t xml:space="preserve">hese markets generally repose on a single species, are under strict national and international regulation and required by both national authorities and their consumers to demonstrate sustainable offtakes. </w:t>
      </w:r>
    </w:p>
    <w:p w14:paraId="623A0867" w14:textId="77777777" w:rsidR="0086492B" w:rsidRPr="004A2BDD" w:rsidRDefault="0086492B" w:rsidP="00C258BC">
      <w:pPr>
        <w:pStyle w:val="Default"/>
        <w:spacing w:after="120"/>
        <w:jc w:val="both"/>
        <w:rPr>
          <w:rFonts w:ascii="Times New Roman" w:hAnsi="Times New Roman" w:cs="Times New Roman"/>
          <w:i/>
          <w:color w:val="000000" w:themeColor="text1"/>
          <w:szCs w:val="22"/>
          <w:lang w:val="en-GB"/>
        </w:rPr>
      </w:pPr>
      <w:r w:rsidRPr="004A2BDD">
        <w:rPr>
          <w:rFonts w:ascii="Times New Roman" w:hAnsi="Times New Roman" w:cs="Times New Roman"/>
          <w:i/>
          <w:color w:val="000000" w:themeColor="text1"/>
          <w:szCs w:val="22"/>
          <w:lang w:val="en-GB"/>
        </w:rPr>
        <w:t xml:space="preserve">Solutions </w:t>
      </w:r>
    </w:p>
    <w:p w14:paraId="6B954AAD" w14:textId="0F38F0C2" w:rsidR="0086492B" w:rsidRDefault="00136964" w:rsidP="00C258BC">
      <w:pPr>
        <w:pStyle w:val="Default"/>
        <w:spacing w:after="120"/>
        <w:jc w:val="both"/>
        <w:rPr>
          <w:rFonts w:ascii="Times New Roman" w:hAnsi="Times New Roman" w:cs="Times New Roman"/>
          <w:color w:val="000000" w:themeColor="text1"/>
          <w:szCs w:val="22"/>
          <w:lang w:val="en-GB"/>
        </w:rPr>
      </w:pPr>
      <w:r>
        <w:rPr>
          <w:rFonts w:ascii="Times New Roman" w:hAnsi="Times New Roman" w:cs="Times New Roman"/>
          <w:color w:val="000000" w:themeColor="text1"/>
          <w:szCs w:val="22"/>
          <w:lang w:val="en-GB"/>
        </w:rPr>
        <w:t xml:space="preserve">For species populations, or habitats in which national governments are </w:t>
      </w:r>
      <w:r w:rsidRPr="000A7365">
        <w:rPr>
          <w:rFonts w:ascii="Times New Roman" w:hAnsi="Times New Roman" w:cs="Times New Roman"/>
          <w:color w:val="000000" w:themeColor="text1"/>
          <w:szCs w:val="22"/>
          <w:lang w:val="en-GB"/>
        </w:rPr>
        <w:t xml:space="preserve">struggling to maintain sustainable wildlife populations, international conventions such as </w:t>
      </w:r>
      <w:r w:rsidR="00296DDA" w:rsidRPr="000A7365">
        <w:rPr>
          <w:rFonts w:ascii="Times New Roman" w:hAnsi="Times New Roman" w:cs="Times New Roman"/>
          <w:color w:val="000000" w:themeColor="text1"/>
          <w:szCs w:val="22"/>
          <w:lang w:val="en-GB"/>
        </w:rPr>
        <w:t xml:space="preserve">Convention on International Trade in Endangered Species of Wild Fauna and Flora </w:t>
      </w:r>
      <w:r w:rsidR="00296DDA" w:rsidRPr="000A7365">
        <w:rPr>
          <w:rFonts w:ascii="Times New Roman" w:hAnsi="Times New Roman" w:cs="Times New Roman"/>
          <w:color w:val="000000" w:themeColor="text1"/>
          <w:szCs w:val="22"/>
        </w:rPr>
        <w:t>(</w:t>
      </w:r>
      <w:r w:rsidRPr="000A7365">
        <w:rPr>
          <w:rFonts w:ascii="Times New Roman" w:hAnsi="Times New Roman" w:cs="Times New Roman"/>
          <w:color w:val="000000" w:themeColor="text1"/>
          <w:szCs w:val="22"/>
          <w:lang w:val="en-GB"/>
        </w:rPr>
        <w:t>CITES</w:t>
      </w:r>
      <w:r w:rsidR="00296DDA" w:rsidRPr="000A7365">
        <w:rPr>
          <w:rFonts w:ascii="Times New Roman" w:hAnsi="Times New Roman" w:cs="Times New Roman"/>
          <w:color w:val="000000" w:themeColor="text1"/>
          <w:szCs w:val="22"/>
          <w:lang w:val="en-GB"/>
        </w:rPr>
        <w:t>)</w:t>
      </w:r>
      <w:r w:rsidRPr="000A7365">
        <w:rPr>
          <w:rFonts w:ascii="Times New Roman" w:hAnsi="Times New Roman" w:cs="Times New Roman"/>
          <w:color w:val="000000" w:themeColor="text1"/>
          <w:szCs w:val="22"/>
          <w:lang w:val="en-GB"/>
        </w:rPr>
        <w:t xml:space="preserve"> and the </w:t>
      </w:r>
      <w:r w:rsidR="005A725A" w:rsidRPr="000A7365">
        <w:rPr>
          <w:rFonts w:ascii="Times New Roman" w:hAnsi="Times New Roman" w:cs="Times New Roman"/>
          <w:color w:val="000000" w:themeColor="text1"/>
          <w:szCs w:val="22"/>
          <w:lang w:val="en-GB"/>
        </w:rPr>
        <w:t>Convention on Migratory Species (</w:t>
      </w:r>
      <w:r w:rsidRPr="000A7365">
        <w:rPr>
          <w:rFonts w:ascii="Times New Roman" w:hAnsi="Times New Roman" w:cs="Times New Roman"/>
          <w:color w:val="000000" w:themeColor="text1"/>
          <w:szCs w:val="22"/>
          <w:lang w:val="en-GB"/>
        </w:rPr>
        <w:t>CMS</w:t>
      </w:r>
      <w:r w:rsidR="005A725A" w:rsidRPr="000A7365">
        <w:rPr>
          <w:rFonts w:ascii="Times New Roman" w:hAnsi="Times New Roman" w:cs="Times New Roman"/>
          <w:color w:val="000000" w:themeColor="text1"/>
          <w:szCs w:val="22"/>
          <w:lang w:val="en-GB"/>
        </w:rPr>
        <w:t>)</w:t>
      </w:r>
      <w:r w:rsidRPr="000A7365">
        <w:rPr>
          <w:rFonts w:ascii="Times New Roman" w:hAnsi="Times New Roman" w:cs="Times New Roman"/>
          <w:color w:val="000000" w:themeColor="text1"/>
          <w:szCs w:val="22"/>
          <w:lang w:val="en-GB"/>
        </w:rPr>
        <w:t xml:space="preserve"> support nations to stem international demand which may be met illegally. </w:t>
      </w:r>
      <w:r w:rsidR="00593435" w:rsidRPr="000A7365">
        <w:rPr>
          <w:rFonts w:ascii="Times New Roman" w:hAnsi="Times New Roman" w:cs="Times New Roman"/>
          <w:color w:val="000000" w:themeColor="text1"/>
          <w:szCs w:val="22"/>
          <w:lang w:val="en-GB"/>
        </w:rPr>
        <w:t xml:space="preserve">Organisations like the Marine Stewardship Council or TRAFFIC promote consumer awareness of illegally sources wildlife and provide ways for </w:t>
      </w:r>
      <w:r w:rsidR="00593435">
        <w:rPr>
          <w:rFonts w:ascii="Times New Roman" w:hAnsi="Times New Roman" w:cs="Times New Roman"/>
          <w:color w:val="000000" w:themeColor="text1"/>
          <w:szCs w:val="22"/>
          <w:lang w:val="en-GB"/>
        </w:rPr>
        <w:t>illegal international trade to be seen and stopped.</w:t>
      </w:r>
    </w:p>
    <w:p w14:paraId="32491DB2" w14:textId="2FF6620E" w:rsidR="00136964" w:rsidRDefault="00136964" w:rsidP="00C258BC">
      <w:pPr>
        <w:pStyle w:val="Default"/>
        <w:spacing w:after="120"/>
        <w:jc w:val="both"/>
        <w:rPr>
          <w:rFonts w:ascii="Times New Roman" w:hAnsi="Times New Roman" w:cs="Times New Roman"/>
          <w:color w:val="000000" w:themeColor="text1"/>
          <w:szCs w:val="22"/>
          <w:lang w:val="en-GB"/>
        </w:rPr>
      </w:pPr>
      <w:r>
        <w:rPr>
          <w:rFonts w:ascii="Times New Roman" w:hAnsi="Times New Roman" w:cs="Times New Roman"/>
          <w:color w:val="000000" w:themeColor="text1"/>
          <w:szCs w:val="22"/>
          <w:lang w:val="en-GB"/>
        </w:rPr>
        <w:t xml:space="preserve">Tropical terrestrial species could </w:t>
      </w:r>
      <w:r w:rsidR="003147F8">
        <w:rPr>
          <w:rFonts w:ascii="Times New Roman" w:hAnsi="Times New Roman" w:cs="Times New Roman"/>
          <w:color w:val="000000" w:themeColor="text1"/>
          <w:szCs w:val="22"/>
          <w:lang w:val="en-GB"/>
        </w:rPr>
        <w:t>theoretically</w:t>
      </w:r>
      <w:r>
        <w:rPr>
          <w:rFonts w:ascii="Times New Roman" w:hAnsi="Times New Roman" w:cs="Times New Roman"/>
          <w:color w:val="000000" w:themeColor="text1"/>
          <w:szCs w:val="22"/>
          <w:lang w:val="en-GB"/>
        </w:rPr>
        <w:t xml:space="preserve"> be managed </w:t>
      </w:r>
      <w:r w:rsidR="00593435">
        <w:rPr>
          <w:rFonts w:ascii="Times New Roman" w:hAnsi="Times New Roman" w:cs="Times New Roman"/>
          <w:color w:val="000000" w:themeColor="text1"/>
          <w:szCs w:val="22"/>
          <w:lang w:val="en-GB"/>
        </w:rPr>
        <w:t>to produce high value foods for international markets</w:t>
      </w:r>
      <w:r>
        <w:rPr>
          <w:rFonts w:ascii="Times New Roman" w:hAnsi="Times New Roman" w:cs="Times New Roman"/>
          <w:color w:val="000000" w:themeColor="text1"/>
          <w:szCs w:val="22"/>
          <w:lang w:val="en-GB"/>
        </w:rPr>
        <w:t xml:space="preserve">, but high performance over the long term of the solutions to Scenarios 1-3 will need to be demonstrably achieved in order to access the high value international consumers.  </w:t>
      </w:r>
      <w:r w:rsidR="00593435">
        <w:rPr>
          <w:rFonts w:ascii="Times New Roman" w:hAnsi="Times New Roman" w:cs="Times New Roman"/>
          <w:color w:val="000000" w:themeColor="text1"/>
          <w:szCs w:val="22"/>
          <w:lang w:val="en-GB"/>
        </w:rPr>
        <w:t>Governments must be supported to see clear pathways to ensure sustainability in scenarios 1-3 before sustainable solutions to scenario 4 are likely to be feasible.</w:t>
      </w:r>
    </w:p>
    <w:p w14:paraId="01F36842" w14:textId="11E0D114" w:rsidR="00306DFB" w:rsidRDefault="007E050E" w:rsidP="00C258BC">
      <w:pPr>
        <w:jc w:val="both"/>
        <w:rPr>
          <w:color w:val="000000" w:themeColor="text1"/>
          <w:szCs w:val="22"/>
        </w:rPr>
        <w:sectPr w:rsidR="00306DFB">
          <w:footerReference w:type="default" r:id="rId44"/>
          <w:pgSz w:w="11906" w:h="16838"/>
          <w:pgMar w:top="1440" w:right="1440" w:bottom="1440" w:left="1440" w:header="708" w:footer="708" w:gutter="0"/>
          <w:cols w:space="708"/>
          <w:docGrid w:linePitch="360"/>
        </w:sectPr>
      </w:pPr>
      <w:r w:rsidRPr="00E82162">
        <w:rPr>
          <w:color w:val="000000" w:themeColor="text1"/>
          <w:szCs w:val="22"/>
        </w:rPr>
        <w:t xml:space="preserve">The following four sections provide </w:t>
      </w:r>
      <w:r w:rsidR="00A479D2" w:rsidRPr="00E82162">
        <w:rPr>
          <w:color w:val="000000" w:themeColor="text1"/>
          <w:szCs w:val="22"/>
        </w:rPr>
        <w:t>an</w:t>
      </w:r>
      <w:r w:rsidRPr="00E82162">
        <w:rPr>
          <w:color w:val="000000" w:themeColor="text1"/>
          <w:szCs w:val="22"/>
        </w:rPr>
        <w:t xml:space="preserve"> </w:t>
      </w:r>
      <w:r w:rsidR="00584CCF" w:rsidRPr="00E82162">
        <w:rPr>
          <w:color w:val="000000" w:themeColor="text1"/>
          <w:szCs w:val="22"/>
        </w:rPr>
        <w:t>overview of the current and potential strategies</w:t>
      </w:r>
      <w:r w:rsidR="00950D84" w:rsidRPr="00E82162">
        <w:rPr>
          <w:color w:val="000000" w:themeColor="text1"/>
          <w:szCs w:val="22"/>
        </w:rPr>
        <w:t xml:space="preserve"> to manage the supply and</w:t>
      </w:r>
      <w:r w:rsidR="005A7272">
        <w:rPr>
          <w:color w:val="000000" w:themeColor="text1"/>
          <w:szCs w:val="22"/>
        </w:rPr>
        <w:t xml:space="preserve"> reduce the demand for </w:t>
      </w:r>
      <w:r w:rsidR="00944860">
        <w:rPr>
          <w:color w:val="000000" w:themeColor="text1"/>
          <w:szCs w:val="22"/>
        </w:rPr>
        <w:t>wild meat</w:t>
      </w:r>
      <w:r w:rsidR="005A7272">
        <w:rPr>
          <w:color w:val="000000" w:themeColor="text1"/>
          <w:szCs w:val="22"/>
        </w:rPr>
        <w:t xml:space="preserve"> in these scenarios</w:t>
      </w:r>
      <w:r w:rsidR="00E82162" w:rsidRPr="00E82162">
        <w:rPr>
          <w:color w:val="000000" w:themeColor="text1"/>
          <w:szCs w:val="22"/>
        </w:rPr>
        <w:t>, considering</w:t>
      </w:r>
      <w:r w:rsidR="00E82162">
        <w:rPr>
          <w:color w:val="000000" w:themeColor="text1"/>
          <w:szCs w:val="22"/>
        </w:rPr>
        <w:t xml:space="preserve"> t</w:t>
      </w:r>
      <w:r w:rsidR="00E82162" w:rsidRPr="00E82162">
        <w:rPr>
          <w:color w:val="000000" w:themeColor="text1"/>
          <w:szCs w:val="22"/>
        </w:rPr>
        <w:t xml:space="preserve">he </w:t>
      </w:r>
      <w:r w:rsidR="00E82162" w:rsidRPr="00E82162">
        <w:rPr>
          <w:color w:val="000000" w:themeColor="text1"/>
          <w:szCs w:val="22"/>
        </w:rPr>
        <w:lastRenderedPageBreak/>
        <w:t xml:space="preserve">current enabling </w:t>
      </w:r>
      <w:r w:rsidR="00944860" w:rsidRPr="00E82162">
        <w:rPr>
          <w:color w:val="000000" w:themeColor="text1"/>
          <w:szCs w:val="22"/>
        </w:rPr>
        <w:t>environment</w:t>
      </w:r>
      <w:r w:rsidR="00E82162" w:rsidRPr="00E82162">
        <w:rPr>
          <w:color w:val="000000" w:themeColor="text1"/>
          <w:szCs w:val="22"/>
        </w:rPr>
        <w:t xml:space="preserve"> for wild meat management in tropical and subtropical regions</w:t>
      </w:r>
      <w:r w:rsidR="00E82162">
        <w:rPr>
          <w:color w:val="000000" w:themeColor="text1"/>
          <w:szCs w:val="22"/>
        </w:rPr>
        <w:t xml:space="preserve">. We further </w:t>
      </w:r>
      <w:r w:rsidR="00944860">
        <w:rPr>
          <w:color w:val="000000" w:themeColor="text1"/>
          <w:szCs w:val="22"/>
        </w:rPr>
        <w:t>provide some</w:t>
      </w:r>
      <w:r w:rsidR="00E82162">
        <w:rPr>
          <w:color w:val="000000" w:themeColor="text1"/>
          <w:szCs w:val="22"/>
        </w:rPr>
        <w:t xml:space="preserve"> key best-practice guidelines that need to be considered by </w:t>
      </w:r>
      <w:r w:rsidR="00944860">
        <w:rPr>
          <w:color w:val="000000" w:themeColor="text1"/>
          <w:szCs w:val="22"/>
        </w:rPr>
        <w:t>practitioners</w:t>
      </w:r>
      <w:r w:rsidR="00E82162">
        <w:rPr>
          <w:color w:val="000000" w:themeColor="text1"/>
          <w:szCs w:val="22"/>
        </w:rPr>
        <w:t xml:space="preserve"> when developing wild meat interventions. </w:t>
      </w:r>
    </w:p>
    <w:p w14:paraId="4F65E751" w14:textId="47B19023" w:rsidR="00584CCF" w:rsidRPr="007E050E" w:rsidRDefault="00584CCF" w:rsidP="00C258BC">
      <w:pPr>
        <w:jc w:val="both"/>
        <w:rPr>
          <w:color w:val="000000" w:themeColor="text1"/>
          <w:szCs w:val="22"/>
        </w:rPr>
      </w:pPr>
    </w:p>
    <w:p w14:paraId="5CF45B97" w14:textId="77777777" w:rsidR="000A7365" w:rsidRPr="00785A38" w:rsidRDefault="000A7365" w:rsidP="00DF57F3">
      <w:pPr>
        <w:pStyle w:val="Heading1"/>
      </w:pPr>
      <w:bookmarkStart w:id="149" w:name="_Ref520377864"/>
      <w:bookmarkStart w:id="150" w:name="_Toc520802788"/>
      <w:bookmarkStart w:id="151" w:name="_Toc529390360"/>
      <w:bookmarkEnd w:id="137"/>
      <w:bookmarkEnd w:id="138"/>
      <w:bookmarkEnd w:id="139"/>
      <w:r w:rsidRPr="00785A38">
        <w:t>CREATING AN ENABLING ENVIRONMENT</w:t>
      </w:r>
      <w:bookmarkEnd w:id="149"/>
      <w:bookmarkEnd w:id="150"/>
      <w:bookmarkEnd w:id="151"/>
      <w:r w:rsidRPr="00785A38">
        <w:t xml:space="preserve"> </w:t>
      </w:r>
    </w:p>
    <w:p w14:paraId="256A8D38" w14:textId="77777777" w:rsidR="000A7365" w:rsidRPr="003E3238" w:rsidRDefault="000A7365" w:rsidP="00920854">
      <w:pPr>
        <w:jc w:val="both"/>
      </w:pPr>
      <w:bookmarkStart w:id="152" w:name="_Toc506383651"/>
      <w:bookmarkStart w:id="153" w:name="_Toc519156101"/>
      <w:bookmarkStart w:id="154" w:name="_Toc517693759"/>
      <w:r w:rsidRPr="007666D4">
        <w:t xml:space="preserve">A more sustainable wild meat sector </w:t>
      </w:r>
      <w:r>
        <w:t>will require</w:t>
      </w:r>
      <w:r w:rsidRPr="007666D4">
        <w:t xml:space="preserve"> </w:t>
      </w:r>
      <w:r>
        <w:t>improved</w:t>
      </w:r>
      <w:r w:rsidRPr="007666D4">
        <w:t xml:space="preserve"> governance and management of wildlife and its uses.</w:t>
      </w:r>
      <w:r w:rsidRPr="0070404D" w:rsidDel="007666D4">
        <w:t xml:space="preserve"> </w:t>
      </w:r>
      <w:r w:rsidRPr="003E3238">
        <w:t>Governance concerns the ways in which society makes decisions</w:t>
      </w:r>
      <w:r>
        <w:t>; through</w:t>
      </w:r>
      <w:r w:rsidRPr="003E3238">
        <w:t xml:space="preserve"> </w:t>
      </w:r>
      <w:r>
        <w:t xml:space="preserve">formal </w:t>
      </w:r>
      <w:r w:rsidRPr="003E3238">
        <w:t>legislation</w:t>
      </w:r>
      <w:r>
        <w:t xml:space="preserve"> and</w:t>
      </w:r>
      <w:r w:rsidRPr="003E3238">
        <w:t xml:space="preserve"> regulation</w:t>
      </w:r>
      <w:r>
        <w:t>, but</w:t>
      </w:r>
      <w:r w:rsidRPr="003E3238">
        <w:t xml:space="preserve"> </w:t>
      </w:r>
      <w:r>
        <w:t xml:space="preserve">also </w:t>
      </w:r>
      <w:r w:rsidRPr="003E3238">
        <w:t>the norms and practice</w:t>
      </w:r>
      <w:r>
        <w:t>s</w:t>
      </w:r>
      <w:r w:rsidRPr="003E3238">
        <w:t xml:space="preserve"> by which </w:t>
      </w:r>
      <w:r>
        <w:t xml:space="preserve">its people </w:t>
      </w:r>
      <w:r w:rsidRPr="003E3238">
        <w:t xml:space="preserve">live. </w:t>
      </w:r>
      <w:r>
        <w:t>Complex m</w:t>
      </w:r>
      <w:r w:rsidRPr="003E3238">
        <w:t>ulti</w:t>
      </w:r>
      <w:r>
        <w:t>-</w:t>
      </w:r>
      <w:r w:rsidRPr="003E3238">
        <w:t xml:space="preserve">stakeholder processes </w:t>
      </w:r>
      <w:r>
        <w:t xml:space="preserve">are needed to create truly </w:t>
      </w:r>
      <w:r w:rsidRPr="003E3238">
        <w:t>participatory and equitable governance frameworks conducive</w:t>
      </w:r>
      <w:r>
        <w:t xml:space="preserve"> to sustainable resource use. This is true at</w:t>
      </w:r>
      <w:r w:rsidRPr="003E3238">
        <w:t xml:space="preserve"> international, national and local levels</w:t>
      </w:r>
      <w:r>
        <w:t>.</w:t>
      </w:r>
      <w:r w:rsidRPr="000120FD">
        <w:t xml:space="preserve"> </w:t>
      </w:r>
    </w:p>
    <w:p w14:paraId="03B85D43" w14:textId="521C9E67" w:rsidR="000A7365" w:rsidRPr="0070404D" w:rsidRDefault="000A7365" w:rsidP="00920854">
      <w:pPr>
        <w:jc w:val="both"/>
      </w:pPr>
      <w:r>
        <w:t>C</w:t>
      </w:r>
      <w:r w:rsidRPr="00EE2428">
        <w:t xml:space="preserve">ontemporary </w:t>
      </w:r>
      <w:r>
        <w:t>communities that are</w:t>
      </w:r>
      <w:r w:rsidRPr="00EE2428">
        <w:t xml:space="preserve"> still dependent on wild meat for food </w:t>
      </w:r>
      <w:r>
        <w:t xml:space="preserve">must clearly live in places where wildlife still exists in enough abundance to support them. However, such places are often remote from urban centres, with poor infrastructure, low investment by the state and little economic opportunity for livelihoods other than subsistence. </w:t>
      </w:r>
      <w:r w:rsidRPr="0070404D">
        <w:t xml:space="preserve">Many of these communities </w:t>
      </w:r>
      <w:r>
        <w:t>live</w:t>
      </w:r>
      <w:r w:rsidRPr="0070404D">
        <w:t xml:space="preserve"> in areas with fragile, weak central governance</w:t>
      </w:r>
      <w:r>
        <w:t xml:space="preserve"> and communities have insecure land tenure, or no tenure at all. If wildlife becomes valuable beyond the subsistence community, for meat or other products (such as ivory or skins), this can </w:t>
      </w:r>
      <w:r w:rsidRPr="0070404D">
        <w:t xml:space="preserve">lead to an open-access situation, </w:t>
      </w:r>
      <w:r>
        <w:t>where</w:t>
      </w:r>
      <w:r w:rsidRPr="0070404D">
        <w:t xml:space="preserve"> </w:t>
      </w:r>
      <w:r w:rsidRPr="005E6C68">
        <w:t xml:space="preserve">wildlife in poorly governed lands can be freely accessed and harvested by external commercial hunters, reducing the incentive for local communities to regulate their own hunting (Section </w:t>
      </w:r>
      <w:r w:rsidRPr="005E6C68">
        <w:fldChar w:fldCharType="begin"/>
      </w:r>
      <w:r w:rsidRPr="005E6C68">
        <w:instrText xml:space="preserve"> REF _Ref520454648 \r \h </w:instrText>
      </w:r>
      <w:r w:rsidR="005E6C68">
        <w:instrText xml:space="preserve"> \* MERGEFORMAT </w:instrText>
      </w:r>
      <w:r w:rsidRPr="005E6C68">
        <w:fldChar w:fldCharType="separate"/>
      </w:r>
      <w:r w:rsidR="007034F1">
        <w:t>4.4.2</w:t>
      </w:r>
      <w:r w:rsidRPr="005E6C68">
        <w:fldChar w:fldCharType="end"/>
      </w:r>
      <w:r w:rsidRPr="005E6C68">
        <w:t>). Only holistic approaches that reduce excessive demand from urban centres far from the wildlife-rich lands</w:t>
      </w:r>
      <w:r>
        <w:t xml:space="preserve">, as well as promoting </w:t>
      </w:r>
      <w:r w:rsidRPr="0070404D">
        <w:t xml:space="preserve">sustainable use of wildlife resources </w:t>
      </w:r>
      <w:r>
        <w:t xml:space="preserve">in </w:t>
      </w:r>
      <w:r w:rsidRPr="0070404D">
        <w:t xml:space="preserve">rural </w:t>
      </w:r>
      <w:r>
        <w:t xml:space="preserve">subsistence </w:t>
      </w:r>
      <w:r w:rsidRPr="0070404D">
        <w:t>areas</w:t>
      </w:r>
      <w:r>
        <w:t>, and</w:t>
      </w:r>
      <w:r w:rsidRPr="0070404D">
        <w:t xml:space="preserve"> are likely to </w:t>
      </w:r>
      <w:r>
        <w:t>achieve</w:t>
      </w:r>
      <w:r w:rsidRPr="0070404D">
        <w:t xml:space="preserve"> </w:t>
      </w:r>
      <w:r>
        <w:t xml:space="preserve">success </w:t>
      </w:r>
      <w:r w:rsidR="00DE674E">
        <w:fldChar w:fldCharType="begin" w:fldLock="1"/>
      </w:r>
      <w:r w:rsidR="00B2630D">
        <w:instrText>ADDIN CSL_CITATION {"citationItems":[{"id":"ITEM-1","itemData":{"DOI":"ISBN 92-9225-083-3","ISBN":"9292250833","abstract":"2008. Conservation and use of wildlife-based resources: The bushmeat crisis. Technical series No. 33. Montreal: Secretariat of the Convention on Biological Diversity; and Bogor, Indonesia: Centre on International Forestry Research.","author":[{"dropping-particle":"","family":"Nasi","given":"R","non-dropping-particle":"","parse-names":false,"suffix":""},{"dropping-particle":"","family":"Brown","given":"D","non-dropping-particle":"","parse-names":false,"suffix":""},{"dropping-particle":"","family":"Wilkie","given":"D","non-dropping-particle":"","parse-names":false,"suffix":""},{"dropping-particle":"","family":"Bennett","given":"E","non-dropping-particle":"","parse-names":false,"suffix":""},{"dropping-particle":"","family":"Tutin","given":"C","non-dropping-particle":"","parse-names":false,"suffix":""},{"dropping-particle":"","family":"Tol","given":"G","non-dropping-particle":"Van","parse-names":false,"suffix":""},{"dropping-particle":"","family":"Christophersen","given":"T","non-dropping-particle":"","parse-names":false,"suffix":""}],"id":"ITEM-1","issued":{"date-parts":[["2008"]]},"number-of-pages":"50","publisher-place":"Secretariat of the Convention on Biological Diversity, Montreal, Canada, and Centre for International Forestry Research (CIFOR), Bogor, Indonesia.","title":"Conservation and use of wildlife-based resources: the bushmeat crisis. CBD Technical Series No. 33","type":"report"},"uris":["http://www.mendeley.com/documents/?uuid=820bb019-82b3-449a-b6b2-fbc4d35d17d6"]}],"mendeley":{"formattedCitation":"(Nasi et al. 2008)","plainTextFormattedCitation":"(Nasi et al. 2008)","previouslyFormattedCitation":"(Nasi et al. 2008)"},"properties":{"noteIndex":0},"schema":"https://github.com/citation-style-language/schema/raw/master/csl-citation.json"}</w:instrText>
      </w:r>
      <w:r w:rsidR="00DE674E">
        <w:fldChar w:fldCharType="separate"/>
      </w:r>
      <w:r w:rsidR="00DE674E" w:rsidRPr="00DE674E">
        <w:rPr>
          <w:noProof/>
        </w:rPr>
        <w:t>(Nasi et al. 2008)</w:t>
      </w:r>
      <w:r w:rsidR="00DE674E">
        <w:fldChar w:fldCharType="end"/>
      </w:r>
      <w:r w:rsidRPr="0070404D">
        <w:t xml:space="preserve">. </w:t>
      </w:r>
    </w:p>
    <w:p w14:paraId="52DE847E" w14:textId="6487925E" w:rsidR="000A7365" w:rsidRPr="0070404D" w:rsidRDefault="000A7365" w:rsidP="00920854">
      <w:pPr>
        <w:jc w:val="both"/>
      </w:pPr>
      <w:r>
        <w:t>New p</w:t>
      </w:r>
      <w:r w:rsidRPr="0070404D">
        <w:t xml:space="preserve">olicies that </w:t>
      </w:r>
      <w:r>
        <w:t>promote sustainability in an area currently unsustainably harvested may</w:t>
      </w:r>
      <w:r w:rsidRPr="0070404D">
        <w:t xml:space="preserve"> </w:t>
      </w:r>
      <w:r>
        <w:t xml:space="preserve">advocate </w:t>
      </w:r>
      <w:r w:rsidRPr="0070404D">
        <w:t>chang</w:t>
      </w:r>
      <w:r>
        <w:t>ing</w:t>
      </w:r>
      <w:r w:rsidRPr="0070404D">
        <w:t xml:space="preserve"> access to wildlife resources, </w:t>
      </w:r>
      <w:r>
        <w:t xml:space="preserve">improving the </w:t>
      </w:r>
      <w:r w:rsidRPr="0070404D">
        <w:t>regulat</w:t>
      </w:r>
      <w:r>
        <w:t>ion of</w:t>
      </w:r>
      <w:r w:rsidRPr="0070404D">
        <w:t xml:space="preserve"> </w:t>
      </w:r>
      <w:r>
        <w:t xml:space="preserve">wild meat </w:t>
      </w:r>
      <w:r w:rsidRPr="0070404D">
        <w:t>trade, formalis</w:t>
      </w:r>
      <w:r>
        <w:t>ing local</w:t>
      </w:r>
      <w:r w:rsidRPr="0070404D">
        <w:t xml:space="preserve"> economies </w:t>
      </w:r>
      <w:r>
        <w:t>or</w:t>
      </w:r>
      <w:r w:rsidRPr="0070404D">
        <w:t xml:space="preserve"> promot</w:t>
      </w:r>
      <w:r>
        <w:t>ing</w:t>
      </w:r>
      <w:r w:rsidRPr="0070404D">
        <w:t xml:space="preserve"> community </w:t>
      </w:r>
      <w:r>
        <w:t>initiatives for governance. However m</w:t>
      </w:r>
      <w:r w:rsidRPr="0070404D">
        <w:t xml:space="preserve">any rural communities have </w:t>
      </w:r>
      <w:r>
        <w:t>used</w:t>
      </w:r>
      <w:r w:rsidRPr="0070404D">
        <w:t xml:space="preserve"> wild meat for centuries, and hunting has shaped their cultures. </w:t>
      </w:r>
      <w:r w:rsidRPr="00AC0726">
        <w:t>Moving away from customary systems entirely would create a profound change and have far reaching effects on most communities concerned. However, where hunting is now unsustainable, major social change may be inevitable as the traditional customs and livelihoods based on wild meat will collapse as wildlife declines.</w:t>
      </w:r>
      <w:r>
        <w:t xml:space="preserve"> In cases where livelihoods are already fragile as a result of declining wild resources,</w:t>
      </w:r>
      <w:r w:rsidRPr="0070404D">
        <w:t xml:space="preserve"> local communities are </w:t>
      </w:r>
      <w:r>
        <w:t xml:space="preserve">usually </w:t>
      </w:r>
      <w:r w:rsidRPr="0070404D">
        <w:t xml:space="preserve">aware of the need for </w:t>
      </w:r>
      <w:r w:rsidRPr="00B403C2">
        <w:t>change, open to constructive suggestions, and engaged in new management approaches (</w:t>
      </w:r>
      <w:r w:rsidRPr="006C705B">
        <w:t>Section</w:t>
      </w:r>
      <w:r w:rsidRPr="00B403C2">
        <w:t xml:space="preserve"> </w:t>
      </w:r>
      <w:r w:rsidRPr="006C705B">
        <w:fldChar w:fldCharType="begin"/>
      </w:r>
      <w:r w:rsidRPr="00B403C2">
        <w:instrText xml:space="preserve"> REF _Ref520454527 \r \h </w:instrText>
      </w:r>
      <w:r>
        <w:instrText xml:space="preserve"> \* MERGEFORMAT </w:instrText>
      </w:r>
      <w:r w:rsidRPr="006C705B">
        <w:fldChar w:fldCharType="separate"/>
      </w:r>
      <w:r w:rsidR="007034F1">
        <w:t>8</w:t>
      </w:r>
      <w:r w:rsidRPr="006C705B">
        <w:fldChar w:fldCharType="end"/>
      </w:r>
      <w:r w:rsidRPr="00B403C2">
        <w:t xml:space="preserve">). New governance systems are likely to be most successfully uptaken by communities (and society at large) </w:t>
      </w:r>
      <w:r w:rsidRPr="0070404D">
        <w:t xml:space="preserve">if </w:t>
      </w:r>
      <w:r>
        <w:t xml:space="preserve">they </w:t>
      </w:r>
      <w:r w:rsidRPr="0070404D">
        <w:t xml:space="preserve">build on and adapt customary systems of governance, rather than attempting to replace or overlay them. </w:t>
      </w:r>
    </w:p>
    <w:p w14:paraId="3D8DB59B" w14:textId="77777777" w:rsidR="000A7365" w:rsidRPr="0070404D" w:rsidRDefault="000A7365" w:rsidP="00920854">
      <w:pPr>
        <w:jc w:val="both"/>
      </w:pPr>
      <w:r w:rsidRPr="0070404D">
        <w:t xml:space="preserve">There is discontinuity between the large amount of work done on developing good governance frameworks </w:t>
      </w:r>
      <w:r>
        <w:t xml:space="preserve">for wildlife resources </w:t>
      </w:r>
      <w:r w:rsidRPr="0070404D">
        <w:t>at the international level, and the delivery of practical governance</w:t>
      </w:r>
      <w:r w:rsidRPr="006329CE">
        <w:t xml:space="preserve"> </w:t>
      </w:r>
      <w:r w:rsidRPr="0070404D">
        <w:t>at the local level</w:t>
      </w:r>
      <w:r>
        <w:t xml:space="preserve">; i.e. the </w:t>
      </w:r>
      <w:r w:rsidRPr="0070404D">
        <w:t>passing and dissemination of laws, action of law enforcement agents, role of outreach workers, local education</w:t>
      </w:r>
      <w:r>
        <w:t>.</w:t>
      </w:r>
      <w:r w:rsidRPr="0070404D">
        <w:t xml:space="preserve"> Any intervention to promote more sustainable wildlife use, whether in hunting or consuming communities, urban or rural, must be founded on good governance frameworks</w:t>
      </w:r>
      <w:r>
        <w:t xml:space="preserve"> from local to international level</w:t>
      </w:r>
      <w:r w:rsidRPr="0070404D">
        <w:t xml:space="preserve"> and must address gaps in both the existing </w:t>
      </w:r>
      <w:r>
        <w:t xml:space="preserve">policy </w:t>
      </w:r>
      <w:r w:rsidRPr="0070404D">
        <w:t xml:space="preserve">framework and </w:t>
      </w:r>
      <w:r>
        <w:t xml:space="preserve">in </w:t>
      </w:r>
      <w:r w:rsidRPr="0070404D">
        <w:t xml:space="preserve">the application of </w:t>
      </w:r>
      <w:r>
        <w:t>regulations</w:t>
      </w:r>
      <w:r w:rsidRPr="0070404D">
        <w:t xml:space="preserve"> on the ground.</w:t>
      </w:r>
    </w:p>
    <w:p w14:paraId="007CE15D" w14:textId="7948D235" w:rsidR="000A7365" w:rsidRPr="004904D8" w:rsidRDefault="000A7365" w:rsidP="00920854">
      <w:pPr>
        <w:jc w:val="both"/>
        <w:rPr>
          <w:color w:val="000000" w:themeColor="text1"/>
        </w:rPr>
      </w:pPr>
      <w:r>
        <w:t>Frameworks governing wildmeat use must also be</w:t>
      </w:r>
      <w:r w:rsidRPr="0070404D">
        <w:t xml:space="preserve"> compatible with national and local policies</w:t>
      </w:r>
      <w:r>
        <w:t xml:space="preserve"> and strategies</w:t>
      </w:r>
      <w:r w:rsidRPr="0070404D">
        <w:t xml:space="preserve"> being developed </w:t>
      </w:r>
      <w:r>
        <w:t xml:space="preserve">across different </w:t>
      </w:r>
      <w:r w:rsidRPr="0070404D">
        <w:t>sectors</w:t>
      </w:r>
      <w:r>
        <w:t>, such as for poverty reduction, food security, local economic development etc</w:t>
      </w:r>
      <w:r w:rsidRPr="0070404D">
        <w:t>.</w:t>
      </w:r>
      <w:r>
        <w:t xml:space="preserve"> </w:t>
      </w:r>
      <w:r>
        <w:rPr>
          <w:color w:val="000000" w:themeColor="text1"/>
        </w:rPr>
        <w:t>I</w:t>
      </w:r>
      <w:r w:rsidRPr="0070404D">
        <w:rPr>
          <w:color w:val="000000" w:themeColor="text1"/>
        </w:rPr>
        <w:t xml:space="preserve">n developing successful and lasting governance for wild meat, consideration must be given to simultaneously creating good, compatible </w:t>
      </w:r>
      <w:r w:rsidRPr="0070404D">
        <w:rPr>
          <w:color w:val="000000" w:themeColor="text1"/>
        </w:rPr>
        <w:lastRenderedPageBreak/>
        <w:t xml:space="preserve">governance structures for alternative animal proteins such as fisheries or domestic meats. For example, changes in international trade patterns relating to marine fisheries </w:t>
      </w:r>
      <w:r>
        <w:rPr>
          <w:color w:val="000000" w:themeColor="text1"/>
        </w:rPr>
        <w:t xml:space="preserve">in West Africa drove </w:t>
      </w:r>
      <w:r w:rsidRPr="00785A38">
        <w:rPr>
          <w:color w:val="000000" w:themeColor="text1"/>
        </w:rPr>
        <w:t xml:space="preserve">increases in wildlife </w:t>
      </w:r>
      <w:r>
        <w:rPr>
          <w:color w:val="000000" w:themeColor="text1"/>
        </w:rPr>
        <w:t>hunting</w:t>
      </w:r>
      <w:r w:rsidRPr="0070404D">
        <w:rPr>
          <w:color w:val="000000" w:themeColor="text1"/>
        </w:rPr>
        <w:t xml:space="preserve"> </w:t>
      </w:r>
      <w:r>
        <w:rPr>
          <w:color w:val="000000" w:themeColor="text1"/>
        </w:rPr>
        <w:t>in coastal countries, as</w:t>
      </w:r>
      <w:r w:rsidRPr="00785A38">
        <w:rPr>
          <w:color w:val="000000" w:themeColor="text1"/>
        </w:rPr>
        <w:t xml:space="preserve"> a consequence of decreasing fisheries </w:t>
      </w:r>
      <w:r w:rsidR="00DE674E">
        <w:rPr>
          <w:color w:val="000000" w:themeColor="text1"/>
        </w:rPr>
        <w:fldChar w:fldCharType="begin" w:fldLock="1"/>
      </w:r>
      <w:r w:rsidR="00DE674E">
        <w:rPr>
          <w:color w:val="000000" w:themeColor="text1"/>
        </w:rPr>
        <w:instrText>ADDIN CSL_CITATION {"citationItems":[{"id":"ITEM-1","itemData":{"DOI":"10.1016/j.tree.2005.03.007","ISBN":"0169-5347","ISSN":"01695347","PMID":"16701380","abstract":"The overexploitation of tropical forests for bushmeat and of the oceans for fish are two of the most important threats to global biodiversity. Both phenomena also have manifold implications for human livelihoods and food security. A recent article by Brashares et al. indicates that these two resources are linked: when regional fish supplies are low, local bushmeat hunting intensifies. Although coordinated management of bushmeat and fisheries is thus needed, gaps in our knowledge of these systems must first be filled. © 2005 Elsevier Ltd. All rights reserved.","author":[{"dropping-particle":"","family":"Rowcliffe","given":"J. Marcus","non-dropping-particle":"","parse-names":false,"suffix":""},{"dropping-particle":"","family":"Milner-Gulland","given":"E. J.","non-dropping-particle":"","parse-names":false,"suffix":""},{"dropping-particle":"","family":"Cowlishaw","given":"Guy","non-dropping-particle":"","parse-names":false,"suffix":""}],"container-title":"Trends in Ecology and Evolution","id":"ITEM-1","issued":{"date-parts":[["2005"]]},"page":"274-276","title":"Do bushmeat consumers have other fish to fry?","type":"article-journal","volume":"20"},"uris":["http://www.mendeley.com/documents/?uuid=d2526d91-f324-4405-ab87-b963e03e7e41"]},{"id":"ITEM-2","itemData":{"DOI":"10.1126/science.1102425","author":[{"dropping-particle":"","family":"Brashares","given":"Justin S","non-dropping-particle":"","parse-names":false,"suffix":""},{"dropping-particle":"","family":"Arcese","given":"Peter","non-dropping-particle":"","parse-names":false,"suffix":""},{"dropping-particle":"","family":"Sam","given":"Moses K","non-dropping-particle":"","parse-names":false,"suffix":""},{"dropping-particle":"","family":"Coppolillo","given":"Peter B","non-dropping-particle":"","parse-names":false,"suffix":""},{"dropping-particle":"","family":"Sinclair","given":"A R E","non-dropping-particle":"","parse-names":false,"suffix":""},{"dropping-particle":"","family":"Balmford","given":"Andrew","non-dropping-particle":"","parse-names":false,"suffix":""}],"container-title":"Science","id":"ITEM-2","issued":{"date-parts":[["2004"]]},"page":"1180-1183","title":"Bushmeat hunting, wildlife declines, and fish supply in West Africa","type":"article-journal","volume":"306"},"uris":["http://www.mendeley.com/documents/?uuid=5b2bf7ba-1433-467b-994c-502805ed7285"]}],"mendeley":{"formattedCitation":"(Brashares et al. 2004; Rowcliffe et al. 2005)","plainTextFormattedCitation":"(Brashares et al. 2004; Rowcliffe et al. 2005)","previouslyFormattedCitation":"(Brashares et al. 2004; Rowcliffe et al. 2005)"},"properties":{"noteIndex":0},"schema":"https://github.com/citation-style-language/schema/raw/master/csl-citation.json"}</w:instrText>
      </w:r>
      <w:r w:rsidR="00DE674E">
        <w:rPr>
          <w:color w:val="000000" w:themeColor="text1"/>
        </w:rPr>
        <w:fldChar w:fldCharType="separate"/>
      </w:r>
      <w:r w:rsidR="00DE674E" w:rsidRPr="00DE674E">
        <w:rPr>
          <w:noProof/>
          <w:color w:val="000000" w:themeColor="text1"/>
        </w:rPr>
        <w:t>(Brashares et al. 2004; Rowcliffe et al. 2005)</w:t>
      </w:r>
      <w:r w:rsidR="00DE674E">
        <w:rPr>
          <w:color w:val="000000" w:themeColor="text1"/>
        </w:rPr>
        <w:fldChar w:fldCharType="end"/>
      </w:r>
      <w:r w:rsidRPr="00785A38">
        <w:rPr>
          <w:color w:val="000000" w:themeColor="text1"/>
        </w:rPr>
        <w:t>.</w:t>
      </w:r>
      <w:r>
        <w:rPr>
          <w:color w:val="000000" w:themeColor="text1"/>
        </w:rPr>
        <w:t xml:space="preserve"> Reduction in domestic meat availability, often due to economic collapse or conflict, has also been shown to directly increase hunting of wildlife as communities suffer food insecurity </w:t>
      </w:r>
      <w:r w:rsidR="00DE674E">
        <w:rPr>
          <w:color w:val="000000" w:themeColor="text1"/>
        </w:rPr>
        <w:fldChar w:fldCharType="begin" w:fldLock="1"/>
      </w:r>
      <w:r w:rsidR="00DE674E">
        <w:rPr>
          <w:color w:val="000000" w:themeColor="text1"/>
        </w:rPr>
        <w:instrText>ADDIN CSL_CITATION {"citationItems":[{"id":"ITEM-1","itemData":{"ISBN":"0099002280","ISSN":"00189235","author":[{"dropping-particle":"","family":"Shambaugh","given":"J","non-dropping-particle":"","parse-names":false,"suffix":""},{"dropping-particle":"","family":"Oglethorpe","given":"J","non-dropping-particle":"","parse-names":false,"suffix":""},{"dropping-particle":"","family":"Ham","given":"R","non-dropping-particle":"","parse-names":false,"suffix":""},{"dropping-particle":"","family":"Tognetti","given":"S","non-dropping-particle":"","parse-names":false,"suffix":""}],"id":"ITEM-1","issue":"1","issued":{"date-parts":[["2001"]]},"number-of-pages":"94","publisher-place":"Biodiversity Support Program, Washington DC, USA","title":"The trampled grass. Mitigating the impacts of armed conflict on the environment","type":"report","volume":"34"},"uris":["http://www.mendeley.com/documents/?uuid=a8e605de-a78b-4f01-a4df-947978518e7b"]}],"mendeley":{"formattedCitation":"(Shambaugh et al. 2001)","plainTextFormattedCitation":"(Shambaugh et al. 2001)","previouslyFormattedCitation":"(Shambaugh et al. 2001)"},"properties":{"noteIndex":0},"schema":"https://github.com/citation-style-language/schema/raw/master/csl-citation.json"}</w:instrText>
      </w:r>
      <w:r w:rsidR="00DE674E">
        <w:rPr>
          <w:color w:val="000000" w:themeColor="text1"/>
        </w:rPr>
        <w:fldChar w:fldCharType="separate"/>
      </w:r>
      <w:r w:rsidR="00DE674E" w:rsidRPr="00DE674E">
        <w:rPr>
          <w:noProof/>
          <w:color w:val="000000" w:themeColor="text1"/>
        </w:rPr>
        <w:t>(Shambaugh et al. 2001)</w:t>
      </w:r>
      <w:r w:rsidR="00DE674E">
        <w:rPr>
          <w:color w:val="000000" w:themeColor="text1"/>
        </w:rPr>
        <w:fldChar w:fldCharType="end"/>
      </w:r>
      <w:r>
        <w:rPr>
          <w:color w:val="000000" w:themeColor="text1"/>
        </w:rPr>
        <w:t xml:space="preserve">. </w:t>
      </w:r>
    </w:p>
    <w:p w14:paraId="51DE6F65" w14:textId="77777777" w:rsidR="000A7365" w:rsidRDefault="000A7365" w:rsidP="00920854">
      <w:pPr>
        <w:jc w:val="both"/>
      </w:pPr>
      <w:r w:rsidRPr="004904D8">
        <w:t xml:space="preserve">In </w:t>
      </w:r>
      <w:r w:rsidRPr="001C1D6E">
        <w:t>this section we introduce the</w:t>
      </w:r>
      <w:r w:rsidRPr="004904D8">
        <w:t xml:space="preserve"> international, regional and national conventions, frameworks, and partnerships, and the agencies and organisations supp</w:t>
      </w:r>
      <w:r w:rsidRPr="005512D2">
        <w:t>orting them. We then</w:t>
      </w:r>
      <w:r w:rsidRPr="0070404D">
        <w:t xml:space="preserve"> </w:t>
      </w:r>
      <w:r w:rsidRPr="004904D8">
        <w:t xml:space="preserve">suggest </w:t>
      </w:r>
      <w:r>
        <w:t xml:space="preserve">some </w:t>
      </w:r>
      <w:r w:rsidRPr="004904D8">
        <w:t>steps required to create an evidence-based, equitable enabling environmen</w:t>
      </w:r>
      <w:r w:rsidRPr="005512D2">
        <w:t xml:space="preserve">t for the governance and management of wild meat. </w:t>
      </w:r>
    </w:p>
    <w:p w14:paraId="5D6461E3" w14:textId="77777777" w:rsidR="000A7365" w:rsidRPr="0070404D" w:rsidRDefault="000A7365" w:rsidP="00DF57F3">
      <w:pPr>
        <w:pStyle w:val="Heading2"/>
      </w:pPr>
      <w:bookmarkStart w:id="155" w:name="_Toc520802789"/>
      <w:bookmarkStart w:id="156" w:name="_Toc529390361"/>
      <w:r w:rsidRPr="003E3238">
        <w:t>I</w:t>
      </w:r>
      <w:r w:rsidRPr="00EE2428">
        <w:t>nternational governance</w:t>
      </w:r>
      <w:bookmarkEnd w:id="152"/>
      <w:bookmarkEnd w:id="153"/>
      <w:bookmarkEnd w:id="155"/>
      <w:bookmarkEnd w:id="156"/>
      <w:r w:rsidRPr="0070404D">
        <w:t xml:space="preserve"> </w:t>
      </w:r>
      <w:bookmarkEnd w:id="154"/>
    </w:p>
    <w:p w14:paraId="6F0C31DB" w14:textId="77777777" w:rsidR="000A7365" w:rsidRPr="005512D2" w:rsidRDefault="000A7365" w:rsidP="000A7365">
      <w:r w:rsidRPr="004904D8">
        <w:t>Wildlife issues</w:t>
      </w:r>
      <w:r>
        <w:t xml:space="preserve">, </w:t>
      </w:r>
      <w:r w:rsidRPr="004904D8">
        <w:t>including wild meat</w:t>
      </w:r>
      <w:r>
        <w:t>,</w:t>
      </w:r>
      <w:r w:rsidRPr="004904D8">
        <w:t xml:space="preserve"> are considered between national gove</w:t>
      </w:r>
      <w:r w:rsidRPr="005512D2">
        <w:t>rnments via two main</w:t>
      </w:r>
      <w:r>
        <w:t xml:space="preserve"> international</w:t>
      </w:r>
      <w:r w:rsidRPr="005512D2">
        <w:t xml:space="preserve"> channels: </w:t>
      </w:r>
    </w:p>
    <w:p w14:paraId="41E18A15" w14:textId="58368058" w:rsidR="000A7365" w:rsidRPr="00920854" w:rsidRDefault="000A7365" w:rsidP="000A7365">
      <w:pPr>
        <w:pStyle w:val="ListParagraph"/>
        <w:numPr>
          <w:ilvl w:val="0"/>
          <w:numId w:val="18"/>
        </w:numPr>
        <w:spacing w:before="240"/>
        <w:rPr>
          <w:b/>
          <w:bCs/>
        </w:rPr>
      </w:pPr>
      <w:r w:rsidRPr="005512D2">
        <w:t>I</w:t>
      </w:r>
      <w:r w:rsidRPr="003E3238">
        <w:t>nternational conventions and declarations</w:t>
      </w:r>
      <w:r w:rsidRPr="00EE2428">
        <w:t xml:space="preserve"> notably the </w:t>
      </w:r>
      <w:r w:rsidR="005B53D0">
        <w:t>CBD</w:t>
      </w:r>
      <w:r w:rsidRPr="0064175F">
        <w:t>, the Convention on the International Trade in Endangered Species (CITES), and the Convention on Migratory S</w:t>
      </w:r>
      <w:r w:rsidRPr="0070404D">
        <w:t xml:space="preserve">pecies (CMS), </w:t>
      </w:r>
      <w:r w:rsidRPr="004904D8">
        <w:t>the U</w:t>
      </w:r>
      <w:r>
        <w:t xml:space="preserve">nited </w:t>
      </w:r>
      <w:r w:rsidRPr="004904D8">
        <w:t>N</w:t>
      </w:r>
      <w:r>
        <w:t>ations</w:t>
      </w:r>
      <w:r w:rsidRPr="004904D8">
        <w:t xml:space="preserve"> </w:t>
      </w:r>
      <w:r w:rsidRPr="004904D8">
        <w:rPr>
          <w:bCs/>
        </w:rPr>
        <w:t>Declaration on</w:t>
      </w:r>
      <w:r w:rsidRPr="005512D2">
        <w:rPr>
          <w:bCs/>
        </w:rPr>
        <w:t xml:space="preserve"> the Rights of Indigenous Peoples (UNDRIP), </w:t>
      </w:r>
      <w:r w:rsidRPr="005512D2">
        <w:t xml:space="preserve">and relevant formally recognised international organizations that help support or implement the </w:t>
      </w:r>
      <w:r>
        <w:t>Decisions adopted by the Parties</w:t>
      </w:r>
      <w:r w:rsidRPr="005512D2">
        <w:t xml:space="preserve"> (i.e. Inter</w:t>
      </w:r>
      <w:r>
        <w:t>p</w:t>
      </w:r>
      <w:r w:rsidRPr="005512D2">
        <w:t>ol, TRAFFIC, I</w:t>
      </w:r>
      <w:r>
        <w:t xml:space="preserve">nternational </w:t>
      </w:r>
      <w:r w:rsidRPr="005512D2">
        <w:t>U</w:t>
      </w:r>
      <w:r>
        <w:t xml:space="preserve">nion for the </w:t>
      </w:r>
      <w:r w:rsidRPr="005512D2">
        <w:t>C</w:t>
      </w:r>
      <w:r>
        <w:t xml:space="preserve">onservation of </w:t>
      </w:r>
      <w:r w:rsidRPr="005512D2">
        <w:t>N</w:t>
      </w:r>
      <w:r>
        <w:t>ature (IUCN)</w:t>
      </w:r>
      <w:r w:rsidRPr="0070404D">
        <w:t>)</w:t>
      </w:r>
      <w:r w:rsidRPr="004904D8">
        <w:t xml:space="preserve">. Global </w:t>
      </w:r>
      <w:r>
        <w:t>c</w:t>
      </w:r>
      <w:r w:rsidRPr="004904D8">
        <w:t>onventions</w:t>
      </w:r>
      <w:r w:rsidRPr="0070404D">
        <w:t xml:space="preserve"> are legally </w:t>
      </w:r>
      <w:r>
        <w:t>binding</w:t>
      </w:r>
      <w:r w:rsidRPr="0070404D">
        <w:t xml:space="preserve"> </w:t>
      </w:r>
      <w:r>
        <w:t>for</w:t>
      </w:r>
      <w:r w:rsidRPr="004904D8">
        <w:t xml:space="preserve"> governments that </w:t>
      </w:r>
      <w:r>
        <w:t>have ratified</w:t>
      </w:r>
      <w:r w:rsidRPr="004904D8">
        <w:t xml:space="preserve"> them</w:t>
      </w:r>
      <w:r>
        <w:t xml:space="preserve">. Parties are not legally </w:t>
      </w:r>
      <w:r w:rsidRPr="004904D8">
        <w:t xml:space="preserve"> bound </w:t>
      </w:r>
      <w:r>
        <w:t>by</w:t>
      </w:r>
      <w:r w:rsidRPr="004904D8">
        <w:t xml:space="preserve"> the decisions of the </w:t>
      </w:r>
      <w:r w:rsidR="00D04B6E">
        <w:t>COP</w:t>
      </w:r>
      <w:r>
        <w:t>, but should work towards implementing them</w:t>
      </w:r>
      <w:r w:rsidRPr="004904D8">
        <w:t xml:space="preserve">; </w:t>
      </w:r>
    </w:p>
    <w:p w14:paraId="607320E2" w14:textId="77777777" w:rsidR="00920854" w:rsidRPr="004904D8" w:rsidRDefault="00920854" w:rsidP="00920854">
      <w:pPr>
        <w:pStyle w:val="ListParagraph"/>
        <w:spacing w:before="240"/>
        <w:ind w:left="1080"/>
        <w:rPr>
          <w:b/>
          <w:bCs/>
        </w:rPr>
      </w:pPr>
    </w:p>
    <w:p w14:paraId="047B1449" w14:textId="40071A35" w:rsidR="000A7365" w:rsidRPr="004904D8" w:rsidRDefault="000A7365" w:rsidP="000A7365">
      <w:pPr>
        <w:pStyle w:val="ListParagraph"/>
        <w:numPr>
          <w:ilvl w:val="0"/>
          <w:numId w:val="18"/>
        </w:numPr>
        <w:spacing w:before="240"/>
      </w:pPr>
      <w:r w:rsidRPr="00785A38">
        <w:t xml:space="preserve">Regional cooperation bodies </w:t>
      </w:r>
      <w:r>
        <w:t>such as the</w:t>
      </w:r>
      <w:r w:rsidRPr="00785A38">
        <w:t xml:space="preserve"> European Union</w:t>
      </w:r>
      <w:r>
        <w:t xml:space="preserve"> (EU)</w:t>
      </w:r>
      <w:r w:rsidRPr="00785A38">
        <w:t>, African Union</w:t>
      </w:r>
      <w:r>
        <w:t xml:space="preserve"> (AU)</w:t>
      </w:r>
      <w:r w:rsidRPr="00785A38">
        <w:t xml:space="preserve">, </w:t>
      </w:r>
      <w:hyperlink r:id="rId45" w:history="1">
        <w:r w:rsidR="005B53D0" w:rsidRPr="00F15EEB">
          <w:rPr>
            <w:rStyle w:val="Hyperlink"/>
            <w:lang w:val="en-US"/>
          </w:rPr>
          <w:t>Association of Southeast Asian Nations</w:t>
        </w:r>
      </w:hyperlink>
      <w:r w:rsidR="005B53D0">
        <w:rPr>
          <w:lang w:val="en-US"/>
        </w:rPr>
        <w:t xml:space="preserve"> </w:t>
      </w:r>
      <w:r>
        <w:t>(ASEAN)</w:t>
      </w:r>
      <w:r w:rsidRPr="00785A38">
        <w:t>, Union of South American Nations</w:t>
      </w:r>
      <w:r>
        <w:t xml:space="preserve"> (USAN), Commission for Environmental Cooperation of North America (CECNA),</w:t>
      </w:r>
      <w:r w:rsidRPr="00785A38">
        <w:t xml:space="preserve"> and associated specialized wildlife bodies, such as the Inter-ministerial Commission on Forests of Central Africa (COMIFAC) or the South Asian Wildlife Enforcement Network (SAWEN). </w:t>
      </w:r>
      <w:r w:rsidRPr="0070404D">
        <w:t>Bilateral agreements can also be made between countries, without prior ad</w:t>
      </w:r>
      <w:r w:rsidRPr="004904D8">
        <w:t>option of global conventions and outside of regional cooperative structures</w:t>
      </w:r>
      <w:r w:rsidRPr="0070404D">
        <w:t>. Regional cooperative bodies often, but not always, have some legally-binding status for the governments concerned and can influence the</w:t>
      </w:r>
      <w:r>
        <w:t xml:space="preserve"> development of policies and </w:t>
      </w:r>
      <w:r w:rsidRPr="0070404D">
        <w:t xml:space="preserve">legislation. </w:t>
      </w:r>
    </w:p>
    <w:p w14:paraId="00C5E108" w14:textId="1F307FB2" w:rsidR="000A7365" w:rsidRPr="0070404D" w:rsidRDefault="000A7365" w:rsidP="00920854">
      <w:pPr>
        <w:jc w:val="both"/>
      </w:pPr>
      <w:r w:rsidRPr="004904D8">
        <w:t xml:space="preserve">There is a clear demand </w:t>
      </w:r>
      <w:r w:rsidRPr="005512D2">
        <w:t>for sustainable use of wildlife by the</w:t>
      </w:r>
      <w:r w:rsidRPr="003E3238">
        <w:t xml:space="preserve"> intergovernmental conventions that concern wildlife. Sustainable use as a concept is now fully embedded in the </w:t>
      </w:r>
      <w:r>
        <w:t>objectives</w:t>
      </w:r>
      <w:r w:rsidRPr="003E3238">
        <w:t xml:space="preserve"> of the </w:t>
      </w:r>
      <w:r>
        <w:t>c</w:t>
      </w:r>
      <w:r w:rsidRPr="003E3238">
        <w:t>onventions and all the U</w:t>
      </w:r>
      <w:r>
        <w:t xml:space="preserve">nited </w:t>
      </w:r>
      <w:r w:rsidRPr="003E3238">
        <w:t>N</w:t>
      </w:r>
      <w:r>
        <w:t>ations</w:t>
      </w:r>
      <w:r w:rsidRPr="003E3238">
        <w:t xml:space="preserve"> and other implementing agencies. </w:t>
      </w:r>
      <w:r w:rsidRPr="00EE2428">
        <w:t xml:space="preserve">Regional inter-governmental cooperative bodies have also translated this demand into regional policies promoting sustainable use. </w:t>
      </w:r>
      <w:r w:rsidRPr="0070404D">
        <w:t>Th</w:t>
      </w:r>
      <w:r>
        <w:t>i</w:t>
      </w:r>
      <w:r w:rsidRPr="0070404D">
        <w:t>s indicates a shift towards considering wildlife as a resource within a human</w:t>
      </w:r>
      <w:r>
        <w:t>-</w:t>
      </w:r>
      <w:r w:rsidRPr="0070404D">
        <w:t xml:space="preserve"> </w:t>
      </w:r>
      <w:r>
        <w:t xml:space="preserve">and </w:t>
      </w:r>
      <w:r w:rsidRPr="0070404D">
        <w:t xml:space="preserve">landscape -use and away from ‘fortress conservation’ policies. </w:t>
      </w:r>
    </w:p>
    <w:p w14:paraId="42569F56" w14:textId="77777777" w:rsidR="000A7365" w:rsidRPr="005512D2" w:rsidRDefault="000A7365" w:rsidP="00920854">
      <w:pPr>
        <w:jc w:val="both"/>
      </w:pPr>
      <w:r w:rsidRPr="004904D8">
        <w:t xml:space="preserve">Despite </w:t>
      </w:r>
      <w:r>
        <w:t xml:space="preserve">a </w:t>
      </w:r>
      <w:r w:rsidRPr="004904D8">
        <w:t>clear position to require sustainable use when governing access to wildlife and other natural resources</w:t>
      </w:r>
      <w:r>
        <w:t xml:space="preserve"> expressed by international conventions and United Nations agencies (see below)</w:t>
      </w:r>
      <w:r w:rsidRPr="004904D8">
        <w:t xml:space="preserve">, there is far less clarity in the way these policies are to be put into practice on the ground. The </w:t>
      </w:r>
      <w:r>
        <w:t>c</w:t>
      </w:r>
      <w:r w:rsidRPr="004904D8">
        <w:t>onvention</w:t>
      </w:r>
      <w:r>
        <w:t>s’</w:t>
      </w:r>
      <w:r w:rsidRPr="004904D8">
        <w:t xml:space="preserve"> </w:t>
      </w:r>
      <w:r>
        <w:t>s</w:t>
      </w:r>
      <w:r w:rsidRPr="004904D8">
        <w:t>ecretariats have not yet adopted technical standards for measuring sustainability</w:t>
      </w:r>
      <w:r>
        <w:t xml:space="preserve"> in wildlife harvests</w:t>
      </w:r>
      <w:r w:rsidRPr="004904D8">
        <w:t xml:space="preserve">, </w:t>
      </w:r>
      <w:r>
        <w:t xml:space="preserve">nor methods </w:t>
      </w:r>
      <w:r w:rsidRPr="004904D8">
        <w:t>for moving towards improved sustainability</w:t>
      </w:r>
      <w:r>
        <w:t xml:space="preserve"> should this be needed. As sustainability of a wildlife population can only be measured over </w:t>
      </w:r>
      <w:r>
        <w:lastRenderedPageBreak/>
        <w:t xml:space="preserve">relatively long time frames, there is also a need for standards in measuring </w:t>
      </w:r>
      <w:r w:rsidRPr="004904D8">
        <w:t>change over time. Th</w:t>
      </w:r>
      <w:r>
        <w:t xml:space="preserve">e lack of international standards or guidance </w:t>
      </w:r>
      <w:r w:rsidRPr="004904D8">
        <w:t>leaves national governments reliant on their own technical expertise, or that prof</w:t>
      </w:r>
      <w:r w:rsidRPr="005512D2">
        <w:t xml:space="preserve">fered by their NGO community. </w:t>
      </w:r>
      <w:r w:rsidRPr="00B403C2">
        <w:rPr>
          <w:i/>
        </w:rPr>
        <w:t>De facto</w:t>
      </w:r>
      <w:r w:rsidRPr="005512D2">
        <w:t xml:space="preserve">, this leaves poorer nations with less technical resources to develop </w:t>
      </w:r>
      <w:r>
        <w:t xml:space="preserve">new approaches and revise </w:t>
      </w:r>
      <w:r w:rsidRPr="005512D2">
        <w:t xml:space="preserve">governance structures. </w:t>
      </w:r>
    </w:p>
    <w:p w14:paraId="102B7F43" w14:textId="77777777" w:rsidR="000A7365" w:rsidRDefault="000A7365" w:rsidP="001C1D6E">
      <w:pPr>
        <w:pStyle w:val="Heading3"/>
      </w:pPr>
      <w:r w:rsidRPr="00785A38">
        <w:t xml:space="preserve">International Conventions and Declarations, concerning wild meat use </w:t>
      </w:r>
    </w:p>
    <w:p w14:paraId="6FBDE42F" w14:textId="2FF53DD7" w:rsidR="000A7365" w:rsidRPr="00785A38" w:rsidRDefault="000A7365" w:rsidP="00920854">
      <w:pPr>
        <w:jc w:val="both"/>
      </w:pPr>
      <w:r>
        <w:t>International conventions aim to</w:t>
      </w:r>
      <w:r w:rsidRPr="00785A38">
        <w:t xml:space="preserve"> control or regulate the international wildlife trade</w:t>
      </w:r>
      <w:r>
        <w:t xml:space="preserve">, </w:t>
      </w:r>
      <w:r w:rsidRPr="00785A38">
        <w:t xml:space="preserve">including wild meat. </w:t>
      </w:r>
      <w:r>
        <w:t xml:space="preserve">They are agreements between national Parties and have most authority over transboundary issues, but also promote </w:t>
      </w:r>
      <w:r w:rsidRPr="00785A38">
        <w:t xml:space="preserve">both food security and conservation through the sustainable use of wild fauna </w:t>
      </w:r>
      <w:r>
        <w:t>within national boundaries</w:t>
      </w:r>
      <w:r w:rsidRPr="00785A38">
        <w:t>.</w:t>
      </w:r>
      <w:r w:rsidRPr="007362C6">
        <w:t xml:space="preserve"> </w:t>
      </w:r>
      <w:r w:rsidRPr="00785A38">
        <w:t xml:space="preserve">The </w:t>
      </w:r>
      <w:r>
        <w:t>c</w:t>
      </w:r>
      <w:r w:rsidRPr="00785A38">
        <w:t xml:space="preserve">onventions are </w:t>
      </w:r>
      <w:r>
        <w:t>the most frequent</w:t>
      </w:r>
      <w:r w:rsidRPr="00785A38">
        <w:t xml:space="preserve"> platform for inter</w:t>
      </w:r>
      <w:r>
        <w:t xml:space="preserve">-governmental </w:t>
      </w:r>
      <w:r w:rsidRPr="00785A38">
        <w:t>polic</w:t>
      </w:r>
      <w:r>
        <w:t xml:space="preserve">y outcomes </w:t>
      </w:r>
      <w:r w:rsidRPr="00785A38">
        <w:t>relating to curbing the illegal wildlife trade</w:t>
      </w:r>
      <w:r>
        <w:t>. As such, the conventions</w:t>
      </w:r>
      <w:r w:rsidRPr="00785A38">
        <w:t xml:space="preserve"> </w:t>
      </w:r>
      <w:r>
        <w:t xml:space="preserve">have </w:t>
      </w:r>
      <w:r w:rsidRPr="00785A38">
        <w:t>concentrate</w:t>
      </w:r>
      <w:r>
        <w:t>d most attention to date</w:t>
      </w:r>
      <w:r w:rsidRPr="00785A38">
        <w:t xml:space="preserve"> on species for which rapid or critical declines have been recorded, and usually recognized by the IUCN Red Listing framework. The illegal wildlife trade for</w:t>
      </w:r>
      <w:r>
        <w:t xml:space="preserve"> products</w:t>
      </w:r>
      <w:r w:rsidRPr="00785A38">
        <w:t xml:space="preserve"> other than meat is of considerable concern for many </w:t>
      </w:r>
      <w:r w:rsidRPr="00D941E7">
        <w:t xml:space="preserve">governments, international/regional institutions as it generates large sums of untraceable money, often used to fund </w:t>
      </w:r>
      <w:r>
        <w:t xml:space="preserve">other </w:t>
      </w:r>
      <w:r w:rsidRPr="00D941E7">
        <w:t>international crime</w:t>
      </w:r>
      <w:r>
        <w:t xml:space="preserve"> </w:t>
      </w:r>
      <w:r w:rsidR="00DE674E">
        <w:fldChar w:fldCharType="begin" w:fldLock="1"/>
      </w:r>
      <w:r w:rsidR="00DE674E">
        <w:instrText>ADDIN CSL_CITATION {"citationItems":[{"id":"ITEM-1","itemData":{"ISBN":"9789211482881","author":[{"dropping-particle":"","family":"UNODC","given":"","non-dropping-particle":"","parse-names":false,"suffix":""}],"id":"ITEM-1","issued":{"date-parts":[["2016"]]},"number-of-pages":"1-98","publisher-place":"United Nations Office on Drugs and Crime, Vienna, Austria.","title":"World Wildlife Crime Report: Trafficking in protected species","type":"report"},"uris":["http://www.mendeley.com/documents/?uuid=9e2b0450-bded-4362-b4a5-0a59c875e505"]}],"mendeley":{"formattedCitation":"(UNODC 2016)","plainTextFormattedCitation":"(UNODC 2016)","previouslyFormattedCitation":"(UNODC 2016)"},"properties":{"noteIndex":0},"schema":"https://github.com/citation-style-language/schema/raw/master/csl-citation.json"}</w:instrText>
      </w:r>
      <w:r w:rsidR="00DE674E">
        <w:fldChar w:fldCharType="separate"/>
      </w:r>
      <w:r w:rsidR="00DE674E" w:rsidRPr="00DE674E">
        <w:rPr>
          <w:noProof/>
        </w:rPr>
        <w:t>(UNODC 2016)</w:t>
      </w:r>
      <w:r w:rsidR="00DE674E">
        <w:fldChar w:fldCharType="end"/>
      </w:r>
      <w:r w:rsidRPr="00785A38">
        <w:t xml:space="preserve"> and can </w:t>
      </w:r>
      <w:r>
        <w:t xml:space="preserve">also </w:t>
      </w:r>
      <w:r w:rsidRPr="00785A38">
        <w:t xml:space="preserve">drive wildlife to local extirpation very rapidly. </w:t>
      </w:r>
    </w:p>
    <w:p w14:paraId="62E7DDC7" w14:textId="12DF261C" w:rsidR="000A7365" w:rsidRPr="001C1D6E" w:rsidRDefault="000A7365" w:rsidP="001C1D6E">
      <w:r w:rsidRPr="004904D8">
        <w:rPr>
          <w:b/>
          <w:i/>
        </w:rPr>
        <w:t>Convention on Trade in Endangered Species (CITES or Washington Convention).</w:t>
      </w:r>
      <w:r w:rsidRPr="005512D2">
        <w:rPr>
          <w:b/>
        </w:rPr>
        <w:t xml:space="preserve"> </w:t>
      </w:r>
      <w:r w:rsidRPr="00785A38">
        <w:t>CITES monitors and authorises the international trade between its Parties of all species listed in its Appendices</w:t>
      </w:r>
      <w:r>
        <w:t>. T</w:t>
      </w:r>
      <w:r w:rsidRPr="00785A38">
        <w:t>he wild meat trade impacts several of these species</w:t>
      </w:r>
      <w:r>
        <w:t>, such as</w:t>
      </w:r>
      <w:r w:rsidRPr="00785A38">
        <w:t xml:space="preserve"> sharks</w:t>
      </w:r>
      <w:r>
        <w:t>, rays</w:t>
      </w:r>
      <w:r w:rsidRPr="00785A38">
        <w:t xml:space="preserve"> or pangolins, </w:t>
      </w:r>
      <w:r>
        <w:t xml:space="preserve">which </w:t>
      </w:r>
      <w:r w:rsidRPr="00785A38">
        <w:t>are killed for both trade in wildlife parts (teeth, gill</w:t>
      </w:r>
      <w:r>
        <w:t xml:space="preserve"> rakes</w:t>
      </w:r>
      <w:r w:rsidRPr="00785A38">
        <w:t xml:space="preserve"> and scales) and their meat. The current CITES position on wild meat is explained in </w:t>
      </w:r>
      <w:hyperlink r:id="rId46" w:history="1">
        <w:r w:rsidRPr="00785A38">
          <w:rPr>
            <w:rStyle w:val="Hyperlink"/>
          </w:rPr>
          <w:t>Resolution Conf. 13. 11 (Rev. CoP 17)</w:t>
        </w:r>
      </w:hyperlink>
      <w:r>
        <w:rPr>
          <w:rStyle w:val="Hyperlink"/>
        </w:rPr>
        <w:t xml:space="preserve">. </w:t>
      </w:r>
      <w:r>
        <w:t xml:space="preserve">CITES is also part of the Collaborative Partnership on Sustainable Wildlife Management, which is dedicated to </w:t>
      </w:r>
      <w:r w:rsidRPr="001C1D6E">
        <w:t>developing improved policies and practices for sustainable wildlife management (see below</w:t>
      </w:r>
      <w:r w:rsidR="00920854" w:rsidRPr="001C1D6E">
        <w:t>, S</w:t>
      </w:r>
      <w:r w:rsidRPr="001C1D6E">
        <w:t xml:space="preserve">ection 1.3). </w:t>
      </w:r>
      <w:r w:rsidR="001C1D6E">
        <w:t xml:space="preserve">Transport channels such as sea or air ports provide focused control points for CITES enforcement of international trade between distant countries; this is less the case for trade between neighbouring countries with porous borders </w:t>
      </w:r>
      <w:r w:rsidR="00DE674E">
        <w:fldChar w:fldCharType="begin" w:fldLock="1"/>
      </w:r>
      <w:r w:rsidR="00DE674E">
        <w:instrText>ADDIN CSL_CITATION {"citationItems":[{"id":"ITEM-1","itemData":{"ISBN":"9789211482881","author":[{"dropping-particle":"","family":"UNODC","given":"","non-dropping-particle":"","parse-names":false,"suffix":""}],"id":"ITEM-1","issued":{"date-parts":[["2016"]]},"number-of-pages":"1-98","publisher-place":"United Nations Office on Drugs and Crime, Vienna, Austria.","title":"World Wildlife Crime Report: Trafficking in protected species","type":"report"},"uris":["http://www.mendeley.com/documents/?uuid=9e2b0450-bded-4362-b4a5-0a59c875e505"]}],"mendeley":{"formattedCitation":"(UNODC 2016)","plainTextFormattedCitation":"(UNODC 2016)","previouslyFormattedCitation":"(UNODC 2016)"},"properties":{"noteIndex":0},"schema":"https://github.com/citation-style-language/schema/raw/master/csl-citation.json"}</w:instrText>
      </w:r>
      <w:r w:rsidR="00DE674E">
        <w:fldChar w:fldCharType="separate"/>
      </w:r>
      <w:r w:rsidR="00DE674E" w:rsidRPr="00DE674E">
        <w:rPr>
          <w:noProof/>
        </w:rPr>
        <w:t>(UNODC 2016)</w:t>
      </w:r>
      <w:r w:rsidR="00DE674E">
        <w:fldChar w:fldCharType="end"/>
      </w:r>
      <w:r w:rsidR="001C1D6E">
        <w:t xml:space="preserve">. </w:t>
      </w:r>
      <w:r>
        <w:t>Mo</w:t>
      </w:r>
      <w:r w:rsidRPr="00785A38">
        <w:t>re consideration should be given to how trade across such borders could be effectively regulated. In 2016, the Conference of the Parties adopted Resolution Conf. 16.6 (Rev. CoP17) on ‘</w:t>
      </w:r>
      <w:hyperlink r:id="rId47" w:history="1">
        <w:r w:rsidRPr="00350846">
          <w:rPr>
            <w:rStyle w:val="Hyperlink"/>
          </w:rPr>
          <w:t>CITES and livelihoods’</w:t>
        </w:r>
      </w:hyperlink>
      <w:r w:rsidRPr="00785A38">
        <w:t xml:space="preserve">, recognizing that the implementation of CITES is better achieved when the national governments of the Parties seek the engagement of rural communities, especially those traditionally dependent on CITES-listed species for their livelihoods. </w:t>
      </w:r>
      <w:r>
        <w:t>I</w:t>
      </w:r>
      <w:r w:rsidRPr="00785A38">
        <w:t xml:space="preserve">n 2000 CITES had supported the creation of a Central Africa Wild meat Working Group (CBWG). The group held two meetings including a </w:t>
      </w:r>
      <w:hyperlink r:id="rId48" w:history="1">
        <w:r w:rsidRPr="00785A38">
          <w:rPr>
            <w:rStyle w:val="Hyperlink"/>
          </w:rPr>
          <w:t>joint meeting</w:t>
        </w:r>
      </w:hyperlink>
      <w:r w:rsidRPr="00785A38">
        <w:t xml:space="preserve"> with the CBD Liaison Group on Bushmeat in 2011 but the CBWG is no longer active after the 2012 decision (</w:t>
      </w:r>
      <w:hyperlink r:id="rId49" w:history="1">
        <w:r w:rsidRPr="00785A38">
          <w:rPr>
            <w:rStyle w:val="Hyperlink"/>
          </w:rPr>
          <w:t>CoP15 Doc.61</w:t>
        </w:r>
      </w:hyperlink>
      <w:r w:rsidRPr="00785A38">
        <w:rPr>
          <w:rStyle w:val="Hyperlink"/>
        </w:rPr>
        <w:t>)</w:t>
      </w:r>
      <w:r w:rsidRPr="00785A38">
        <w:t xml:space="preserve"> that</w:t>
      </w:r>
      <w:r w:rsidRPr="00785A38">
        <w:rPr>
          <w:i/>
        </w:rPr>
        <w:t xml:space="preserve"> </w:t>
      </w:r>
      <w:r w:rsidRPr="00785A38">
        <w:t>no further action was required on the subject.</w:t>
      </w:r>
    </w:p>
    <w:p w14:paraId="7433FB20" w14:textId="51AFC8B5" w:rsidR="000A7365" w:rsidRPr="00F54F01" w:rsidRDefault="000A7365" w:rsidP="00920854">
      <w:pPr>
        <w:jc w:val="both"/>
      </w:pPr>
      <w:r w:rsidRPr="0070404D">
        <w:rPr>
          <w:b/>
          <w:i/>
        </w:rPr>
        <w:t>Convention on Migratory Species</w:t>
      </w:r>
      <w:r>
        <w:rPr>
          <w:b/>
          <w:i/>
        </w:rPr>
        <w:t xml:space="preserve"> (CMS)</w:t>
      </w:r>
      <w:r w:rsidRPr="004904D8">
        <w:rPr>
          <w:b/>
          <w:i/>
        </w:rPr>
        <w:t>.</w:t>
      </w:r>
      <w:r w:rsidRPr="004904D8">
        <w:t xml:space="preserve"> </w:t>
      </w:r>
      <w:r w:rsidRPr="00785A38">
        <w:t xml:space="preserve">The CMS lists threatened migratory species in two Appendices, very much like </w:t>
      </w:r>
      <w:r>
        <w:t xml:space="preserve">the three </w:t>
      </w:r>
      <w:r w:rsidRPr="00785A38">
        <w:t>CITES</w:t>
      </w:r>
      <w:r>
        <w:t xml:space="preserve"> Appendices</w:t>
      </w:r>
      <w:r w:rsidRPr="00785A38">
        <w:t xml:space="preserve">, and </w:t>
      </w:r>
      <w:hyperlink r:id="rId50" w:history="1">
        <w:r w:rsidRPr="00EF735C">
          <w:rPr>
            <w:rStyle w:val="Hyperlink"/>
          </w:rPr>
          <w:t>seeks protection of these listed species against their ‘taking’ (with some exceptions)</w:t>
        </w:r>
      </w:hyperlink>
      <w:r w:rsidRPr="00785A38">
        <w:t xml:space="preserve">. </w:t>
      </w:r>
      <w:r>
        <w:t xml:space="preserve">Appendix 1 lists endangered species and Appendix two lists other species of unfavourable conservation status and need for international agreements to protect them during migrations. </w:t>
      </w:r>
      <w:r w:rsidRPr="00785A38">
        <w:t>Wild meat hunting of species listed on either Appendix is not prohibited if it accommodates the needs of traditional subsistence user</w:t>
      </w:r>
      <w:r>
        <w:t xml:space="preserve">s. </w:t>
      </w:r>
      <w:r w:rsidR="00D04B6E">
        <w:t>The CO</w:t>
      </w:r>
      <w:r>
        <w:t xml:space="preserve">P 12 document on </w:t>
      </w:r>
      <w:hyperlink r:id="rId51" w:history="1">
        <w:r w:rsidRPr="00EF735C">
          <w:rPr>
            <w:rStyle w:val="Hyperlink"/>
          </w:rPr>
          <w:t>unsustainable use of terrestrial vertebrates and birds</w:t>
        </w:r>
      </w:hyperlink>
      <w:r>
        <w:t xml:space="preserve"> gives the most relevant CMS position on wildmeat</w:t>
      </w:r>
      <w:r w:rsidRPr="00785A38">
        <w:t xml:space="preserve"> use, </w:t>
      </w:r>
      <w:r>
        <w:t>and in</w:t>
      </w:r>
      <w:r w:rsidRPr="00785A38">
        <w:t xml:space="preserve"> 2016 their Scientific Council championed the concept of </w:t>
      </w:r>
      <w:hyperlink r:id="rId52" w:history="1">
        <w:r w:rsidRPr="00785A38">
          <w:rPr>
            <w:rStyle w:val="Hyperlink"/>
          </w:rPr>
          <w:t>Aquatic Wild meat</w:t>
        </w:r>
      </w:hyperlink>
      <w:r w:rsidRPr="00785A38">
        <w:t xml:space="preserve"> </w:t>
      </w:r>
      <w:r>
        <w:t xml:space="preserve">which </w:t>
      </w:r>
      <w:r w:rsidRPr="00785A38">
        <w:t xml:space="preserve">requested some action by the Convention on the issue of </w:t>
      </w:r>
      <w:r w:rsidRPr="00785A38">
        <w:lastRenderedPageBreak/>
        <w:t>overexploitation of fisheries.</w:t>
      </w:r>
      <w:r>
        <w:t xml:space="preserve"> The CMS </w:t>
      </w:r>
      <w:r w:rsidRPr="001C1D6E">
        <w:t xml:space="preserve">is a member of the Collaborative Partnership on Sustainable Wildlife Management (see below </w:t>
      </w:r>
      <w:r w:rsidR="00920854" w:rsidRPr="001C1D6E">
        <w:t>S</w:t>
      </w:r>
      <w:r w:rsidRPr="001C1D6E">
        <w:t>ection 1.3).</w:t>
      </w:r>
    </w:p>
    <w:p w14:paraId="72F935F8" w14:textId="49952254" w:rsidR="000A7365" w:rsidRDefault="000A7365" w:rsidP="00920854">
      <w:pPr>
        <w:spacing w:after="0"/>
        <w:jc w:val="both"/>
      </w:pPr>
      <w:r w:rsidRPr="0070404D">
        <w:rPr>
          <w:b/>
          <w:i/>
        </w:rPr>
        <w:t>U</w:t>
      </w:r>
      <w:r>
        <w:rPr>
          <w:b/>
          <w:i/>
        </w:rPr>
        <w:t xml:space="preserve">nited </w:t>
      </w:r>
      <w:r w:rsidRPr="0070404D">
        <w:rPr>
          <w:b/>
          <w:i/>
        </w:rPr>
        <w:t>N</w:t>
      </w:r>
      <w:r>
        <w:rPr>
          <w:b/>
          <w:i/>
        </w:rPr>
        <w:t>ations</w:t>
      </w:r>
      <w:r w:rsidRPr="0070404D">
        <w:rPr>
          <w:b/>
          <w:i/>
        </w:rPr>
        <w:t xml:space="preserve"> Convention on</w:t>
      </w:r>
      <w:r w:rsidRPr="004904D8">
        <w:rPr>
          <w:b/>
          <w:i/>
        </w:rPr>
        <w:t xml:space="preserve"> Biological Diversity</w:t>
      </w:r>
      <w:r w:rsidRPr="005512D2">
        <w:t>. The CBD does not regulate trade in wildlife but is interested in the sustainable use of biodiversity</w:t>
      </w:r>
      <w:r>
        <w:t xml:space="preserve"> and its components</w:t>
      </w:r>
      <w:r w:rsidRPr="005512D2">
        <w:t xml:space="preserve">, including wild meat. </w:t>
      </w:r>
      <w:r>
        <w:t xml:space="preserve">In 2010, the Conference of the Parties to the CBD adopted the Strategic Plan of the Convention on Biological Diversity at their tenth meeting. The Strategic Plan is ten-year framework for action by all countries and stakeholders to save biodiversity and enhance its benefits for people. It comprises a shared vision, a mission, strategic goals and 20 ambitious yet achievable targets, collectively known  as the Aichi Biodiversity Targets. Specifically, Target 4 states that: </w:t>
      </w:r>
    </w:p>
    <w:p w14:paraId="5D98653A" w14:textId="77777777" w:rsidR="000A7365" w:rsidRDefault="000A7365" w:rsidP="000A7365">
      <w:pPr>
        <w:spacing w:after="0"/>
      </w:pPr>
    </w:p>
    <w:p w14:paraId="3A703EE8" w14:textId="77777777" w:rsidR="000A7365" w:rsidRDefault="000A7365" w:rsidP="00920854">
      <w:pPr>
        <w:spacing w:after="0"/>
        <w:jc w:val="both"/>
      </w:pPr>
      <w:r>
        <w:t xml:space="preserve"> </w:t>
      </w:r>
      <w:r w:rsidRPr="00710CCC">
        <w:rPr>
          <w:i/>
        </w:rPr>
        <w:t>“</w:t>
      </w:r>
      <w:r>
        <w:rPr>
          <w:i/>
        </w:rPr>
        <w:t>By 2020, G</w:t>
      </w:r>
      <w:r w:rsidRPr="00710CCC">
        <w:rPr>
          <w:i/>
        </w:rPr>
        <w:t>overnments, business and stakeholders at all levels have taken steps to achieve or have implemented plans for sustainable production and consumption and have kept the impacts of use of natural resources well within safe ecological limits”</w:t>
      </w:r>
      <w:r>
        <w:t xml:space="preserve">. </w:t>
      </w:r>
    </w:p>
    <w:p w14:paraId="7F2A2624" w14:textId="77777777" w:rsidR="000A7365" w:rsidRDefault="000A7365" w:rsidP="000A7365">
      <w:pPr>
        <w:spacing w:after="0"/>
      </w:pPr>
    </w:p>
    <w:p w14:paraId="0F062772" w14:textId="1CB08F79" w:rsidR="000A7365" w:rsidRPr="005A7272" w:rsidRDefault="000A7365" w:rsidP="00920854">
      <w:pPr>
        <w:spacing w:after="0"/>
        <w:jc w:val="both"/>
      </w:pPr>
      <w:r w:rsidRPr="005A7272">
        <w:t xml:space="preserve">After publishing a CBD Technical Series report </w:t>
      </w:r>
      <w:r w:rsidR="00DE674E">
        <w:fldChar w:fldCharType="begin" w:fldLock="1"/>
      </w:r>
      <w:r w:rsidR="00B2630D">
        <w:instrText>ADDIN CSL_CITATION {"citationItems":[{"id":"ITEM-1","itemData":{"DOI":"ISBN 92-9225-083-3","ISBN":"9292250833","abstract":"2008. Conservation and use of wildlife-based resources: The bushmeat crisis. Technical series No. 33. Montreal: Secretariat of the Convention on Biological Diversity; and Bogor, Indonesia: Centre on International Forestry Research.","author":[{"dropping-particle":"","family":"Nasi","given":"R","non-dropping-particle":"","parse-names":false,"suffix":""},{"dropping-particle":"","family":"Brown","given":"D","non-dropping-particle":"","parse-names":false,"suffix":""},{"dropping-particle":"","family":"Wilkie","given":"D","non-dropping-particle":"","parse-names":false,"suffix":""},{"dropping-particle":"","family":"Bennett","given":"E","non-dropping-particle":"","parse-names":false,"suffix":""},{"dropping-particle":"","family":"Tutin","given":"C","non-dropping-particle":"","parse-names":false,"suffix":""},{"dropping-particle":"","family":"Tol","given":"G","non-dropping-particle":"Van","parse-names":false,"suffix":""},{"dropping-particle":"","family":"Christophersen","given":"T","non-dropping-particle":"","parse-names":false,"suffix":""}],"id":"ITEM-1","issued":{"date-parts":[["2008"]]},"number-of-pages":"50","publisher-place":"Secretariat of the Convention on Biological Diversity, Montreal, Canada, and Centre for International Forestry Research (CIFOR), Bogor, Indonesia.","title":"Conservation and use of wildlife-based resources: the bushmeat crisis. CBD Technical Series No. 33","type":"report"},"uris":["http://www.mendeley.com/documents/?uuid=820bb019-82b3-449a-b6b2-fbc4d35d17d6"]}],"mendeley":{"formattedCitation":"(Nasi et al. 2008)","plainTextFormattedCitation":"(Nasi et al. 2008)","previouslyFormattedCitation":"(Nasi et al. 2008)"},"properties":{"noteIndex":0},"schema":"https://github.com/citation-style-language/schema/raw/master/csl-citation.json"}</w:instrText>
      </w:r>
      <w:r w:rsidR="00DE674E">
        <w:fldChar w:fldCharType="separate"/>
      </w:r>
      <w:r w:rsidR="00DE674E" w:rsidRPr="00DE674E">
        <w:rPr>
          <w:noProof/>
        </w:rPr>
        <w:t>(Nasi et al. 2008)</w:t>
      </w:r>
      <w:r w:rsidR="00DE674E">
        <w:fldChar w:fldCharType="end"/>
      </w:r>
      <w:r w:rsidRPr="005A7272">
        <w:t xml:space="preserve"> on conservation and use of wildlife resources, the CBD established a Liaison Group on Bushmeat</w:t>
      </w:r>
      <w:r>
        <w:t xml:space="preserve">. The Liaison Group </w:t>
      </w:r>
      <w:r w:rsidRPr="005A7272">
        <w:t xml:space="preserve"> provided </w:t>
      </w:r>
      <w:hyperlink r:id="rId53" w:history="1">
        <w:r w:rsidRPr="005A7272">
          <w:rPr>
            <w:rStyle w:val="Hyperlink"/>
          </w:rPr>
          <w:t>recommendations</w:t>
        </w:r>
      </w:hyperlink>
      <w:r w:rsidRPr="005A7272">
        <w:t xml:space="preserve"> for the sustainable use of wild meat adopted by the </w:t>
      </w:r>
      <w:r>
        <w:t>eleventh meeting of the Conference of the Parties to the (</w:t>
      </w:r>
      <w:r w:rsidRPr="005A7272">
        <w:t xml:space="preserve">COP </w:t>
      </w:r>
      <w:r>
        <w:t>11)</w:t>
      </w:r>
      <w:r w:rsidRPr="005A7272">
        <w:t xml:space="preserve"> CBD in 2012. The work of the Liaison Group culminated in support for the creation of the </w:t>
      </w:r>
      <w:r w:rsidR="00D04B6E">
        <w:t>CPW (</w:t>
      </w:r>
      <w:r w:rsidRPr="005A7272">
        <w:t xml:space="preserve">see below) in 2013. In addition, the CBD </w:t>
      </w:r>
      <w:hyperlink r:id="rId54" w:history="1">
        <w:r w:rsidRPr="005A7272">
          <w:rPr>
            <w:rStyle w:val="Hyperlink"/>
            <w:rFonts w:eastAsia="Batang"/>
            <w:bCs/>
            <w:iCs/>
            <w:kern w:val="22"/>
            <w:szCs w:val="22"/>
            <w:lang w:eastAsia="ja-JP" w:bidi="th-TH"/>
          </w:rPr>
          <w:t>Action Plan on Customary Sustainable Use</w:t>
        </w:r>
      </w:hyperlink>
      <w:r w:rsidRPr="005A7272">
        <w:rPr>
          <w:rFonts w:eastAsia="Batang"/>
          <w:bCs/>
          <w:iCs/>
          <w:color w:val="000000"/>
          <w:kern w:val="22"/>
          <w:szCs w:val="22"/>
          <w:lang w:eastAsia="ja-JP" w:bidi="th-TH"/>
        </w:rPr>
        <w:t xml:space="preserve"> (UNEP/CBD/COP/DEC/XII/12, B, Annex)</w:t>
      </w:r>
      <w:r>
        <w:rPr>
          <w:rFonts w:eastAsia="Batang"/>
          <w:bCs/>
          <w:iCs/>
          <w:color w:val="000000"/>
          <w:kern w:val="22"/>
          <w:szCs w:val="22"/>
          <w:lang w:eastAsia="ja-JP" w:bidi="th-TH"/>
        </w:rPr>
        <w:t xml:space="preserve"> was adopted in 2014, with the aim of promoting</w:t>
      </w:r>
      <w:r w:rsidRPr="005A7272">
        <w:rPr>
          <w:rFonts w:eastAsia="Batang"/>
          <w:bCs/>
          <w:iCs/>
          <w:color w:val="000000"/>
          <w:kern w:val="22"/>
          <w:szCs w:val="22"/>
          <w:lang w:eastAsia="ja-JP" w:bidi="th-TH"/>
        </w:rPr>
        <w:t>, within the framework of the Convention, a just implementation of Article 10(c)</w:t>
      </w:r>
      <w:r w:rsidRPr="00184775">
        <w:rPr>
          <w:rStyle w:val="FootnoteReference"/>
          <w:rFonts w:eastAsia="Batang"/>
        </w:rPr>
        <w:footnoteReference w:id="5"/>
      </w:r>
      <w:r w:rsidRPr="005A7272">
        <w:rPr>
          <w:rFonts w:eastAsia="Batang"/>
          <w:bCs/>
          <w:iCs/>
          <w:color w:val="000000"/>
          <w:kern w:val="22"/>
          <w:szCs w:val="22"/>
          <w:lang w:eastAsia="ja-JP" w:bidi="th-TH"/>
        </w:rPr>
        <w:t xml:space="preserve"> at local, national, regional and international levels and to ensure the full and effective participation of indigenous and local communities at all stages</w:t>
      </w:r>
      <w:r>
        <w:rPr>
          <w:rFonts w:eastAsia="Batang"/>
          <w:bCs/>
          <w:iCs/>
          <w:color w:val="000000"/>
          <w:kern w:val="22"/>
          <w:szCs w:val="22"/>
          <w:lang w:eastAsia="ja-JP" w:bidi="th-TH"/>
        </w:rPr>
        <w:t xml:space="preserve"> </w:t>
      </w:r>
      <w:r w:rsidRPr="005A7272">
        <w:rPr>
          <w:rFonts w:eastAsia="Batang"/>
          <w:bCs/>
          <w:iCs/>
          <w:color w:val="000000"/>
          <w:kern w:val="22"/>
          <w:szCs w:val="22"/>
          <w:lang w:eastAsia="ja-JP" w:bidi="th-TH"/>
        </w:rPr>
        <w:t xml:space="preserve">and levels of implementation. </w:t>
      </w:r>
    </w:p>
    <w:p w14:paraId="7A23F755" w14:textId="77777777" w:rsidR="000A7365" w:rsidRDefault="000A7365" w:rsidP="000A7365">
      <w:pPr>
        <w:spacing w:after="0"/>
        <w:rPr>
          <w:b/>
          <w:i/>
        </w:rPr>
      </w:pPr>
    </w:p>
    <w:p w14:paraId="50D47D8D" w14:textId="6191A676" w:rsidR="000A7365" w:rsidRDefault="000A7365" w:rsidP="00920854">
      <w:pPr>
        <w:spacing w:after="0"/>
        <w:jc w:val="both"/>
      </w:pPr>
      <w:r w:rsidRPr="004904D8">
        <w:rPr>
          <w:b/>
          <w:i/>
        </w:rPr>
        <w:t>U</w:t>
      </w:r>
      <w:r>
        <w:rPr>
          <w:b/>
          <w:i/>
        </w:rPr>
        <w:t xml:space="preserve">nited </w:t>
      </w:r>
      <w:r w:rsidRPr="004904D8">
        <w:rPr>
          <w:b/>
          <w:i/>
        </w:rPr>
        <w:t>N</w:t>
      </w:r>
      <w:r>
        <w:rPr>
          <w:b/>
          <w:i/>
        </w:rPr>
        <w:t>ations</w:t>
      </w:r>
      <w:r w:rsidRPr="004904D8">
        <w:rPr>
          <w:b/>
          <w:i/>
        </w:rPr>
        <w:t xml:space="preserve"> Declaration on the Rights of Indigenous Peoples (UNDRIP</w:t>
      </w:r>
      <w:r w:rsidRPr="0070404D">
        <w:rPr>
          <w:b/>
          <w:i/>
        </w:rPr>
        <w:t>)</w:t>
      </w:r>
      <w:r>
        <w:rPr>
          <w:b/>
          <w:i/>
        </w:rPr>
        <w:t xml:space="preserve">. </w:t>
      </w:r>
      <w:r>
        <w:t xml:space="preserve">The </w:t>
      </w:r>
      <w:hyperlink r:id="rId55" w:history="1">
        <w:r w:rsidRPr="00D31890">
          <w:rPr>
            <w:rStyle w:val="Hyperlink"/>
          </w:rPr>
          <w:t>UNDRIP</w:t>
        </w:r>
      </w:hyperlink>
      <w:r>
        <w:t xml:space="preserve">, passed in 2007, </w:t>
      </w:r>
      <w:r w:rsidRPr="00710CCC">
        <w:t xml:space="preserve">elaborates on existing human rights standards and fundamental freedoms as they apply to the specific situation of indigenous peoples, and sets minimum standards that should be adhered to by nation-states and broader society to ensure </w:t>
      </w:r>
      <w:r w:rsidRPr="00D31890">
        <w:t>the</w:t>
      </w:r>
      <w:r w:rsidRPr="00710CCC">
        <w:t xml:space="preserve"> survival, dignity and well-being of the indigenous peoples of the world. </w:t>
      </w:r>
      <w:r>
        <w:t>Articles particularly relevant to wild meat management are Article 8 on preventing dispossession from territories, Article 18 on the right to participate in decision-making, Article 19 relating to Free P</w:t>
      </w:r>
      <w:r w:rsidR="00BF7DDE">
        <w:t>rior and Informed Consent (see S</w:t>
      </w:r>
      <w:r>
        <w:t xml:space="preserve">ection </w:t>
      </w:r>
      <w:r>
        <w:fldChar w:fldCharType="begin"/>
      </w:r>
      <w:r>
        <w:instrText xml:space="preserve"> REF _Ref520204626 \r \h </w:instrText>
      </w:r>
      <w:r>
        <w:fldChar w:fldCharType="separate"/>
      </w:r>
      <w:r w:rsidR="007034F1">
        <w:t>10.1</w:t>
      </w:r>
      <w:r>
        <w:fldChar w:fldCharType="end"/>
      </w:r>
      <w:r>
        <w:t xml:space="preserve">), and Article 26 on the right to own, use, develop and control traditional territories. Further </w:t>
      </w:r>
      <w:r w:rsidRPr="007F5811">
        <w:t>policy principles and commitments relevant to the rights of</w:t>
      </w:r>
      <w:r>
        <w:t xml:space="preserve"> </w:t>
      </w:r>
      <w:r w:rsidRPr="007F5811">
        <w:t xml:space="preserve">IPLCs in managing wildlife </w:t>
      </w:r>
      <w:r>
        <w:t xml:space="preserve">are provided in Table 1 of </w:t>
      </w:r>
      <w:hyperlink r:id="rId56" w:history="1">
        <w:r w:rsidRPr="007F5811">
          <w:rPr>
            <w:rStyle w:val="Hyperlink"/>
          </w:rPr>
          <w:t>Wildlife, Wild Livelihoods</w:t>
        </w:r>
      </w:hyperlink>
      <w:r>
        <w:t xml:space="preserve">, published by UNEP </w:t>
      </w:r>
      <w:r w:rsidR="007F6C0B">
        <w:fldChar w:fldCharType="begin" w:fldLock="1"/>
      </w:r>
      <w:r w:rsidR="00A11C8C">
        <w:instrText>ADDIN CSL_CITATION {"citationItems":[{"id":"ITEM-1","itemData":{"ISBN":"9789280736960","author":[{"dropping-particle":"","family":"Cooney","given":"R","non-dropping-particle":"","parse-names":false,"suffix":""},{"dropping-particle":"","family":"Roe","given":"D","non-dropping-particle":"","parse-names":false,"suffix":""},{"dropping-particle":"","family":"Dublin","given":"H","non-dropping-particle":"","parse-names":false,"suffix":""},{"dropping-particle":"","family":"Booker","given":"F","non-dropping-particle":"","parse-names":false,"suffix":""}],"id":"ITEM-1","issued":{"date-parts":[["2018"]]},"publisher-place":"United Nations Environment Programme, Nairobi, Kenya","title":"Wild life, wild livelihoods: involving communities in sustainable wildlife management and combating illegal wildlife trade","type":"report"},"uris":["http://www.mendeley.com/documents/?uuid=685f5ffa-5b74-46e7-b7d2-36f8480346cf"]}],"mendeley":{"formattedCitation":"(Cooney et al. 2018)","plainTextFormattedCitation":"(Cooney et al. 2018)","previouslyFormattedCitation":"(Cooney et al. 2018)"},"properties":{"noteIndex":0},"schema":"https://github.com/citation-style-language/schema/raw/master/csl-citation.json"}</w:instrText>
      </w:r>
      <w:r w:rsidR="007F6C0B">
        <w:fldChar w:fldCharType="separate"/>
      </w:r>
      <w:r w:rsidR="007F6C0B" w:rsidRPr="007F6C0B">
        <w:rPr>
          <w:noProof/>
        </w:rPr>
        <w:t>(Cooney et al. 2018)</w:t>
      </w:r>
      <w:r w:rsidR="007F6C0B">
        <w:fldChar w:fldCharType="end"/>
      </w:r>
      <w:r w:rsidR="007F6C0B">
        <w:t>.</w:t>
      </w:r>
    </w:p>
    <w:p w14:paraId="02E165DD" w14:textId="77777777" w:rsidR="000A7365" w:rsidRPr="007F5811" w:rsidRDefault="000A7365" w:rsidP="000A7365">
      <w:pPr>
        <w:spacing w:after="0"/>
      </w:pPr>
    </w:p>
    <w:p w14:paraId="1C0D8862" w14:textId="77777777" w:rsidR="000A7365" w:rsidRDefault="000A7365" w:rsidP="001C1D6E">
      <w:pPr>
        <w:pStyle w:val="Heading3"/>
      </w:pPr>
      <w:r w:rsidRPr="00785A38">
        <w:lastRenderedPageBreak/>
        <w:t>Global conservation, biodiversity and development organisations providing support to the implementation of the Conventions</w:t>
      </w:r>
    </w:p>
    <w:p w14:paraId="4E35DAD0" w14:textId="77777777" w:rsidR="000A7365" w:rsidRDefault="000A7365" w:rsidP="00920854">
      <w:pPr>
        <w:jc w:val="both"/>
      </w:pPr>
      <w:r>
        <w:t>Technical s</w:t>
      </w:r>
      <w:r w:rsidRPr="003E3238">
        <w:t>upport to the Parties to these Conventions for implementation of policies and decisions comes from three areas: conservation a</w:t>
      </w:r>
      <w:r w:rsidRPr="00EE2428">
        <w:t>nd biodiversity organisations, development organisations and crime prevention organisations</w:t>
      </w:r>
      <w:r>
        <w:t xml:space="preserve">. </w:t>
      </w:r>
      <w:r w:rsidRPr="004904D8">
        <w:t xml:space="preserve">The </w:t>
      </w:r>
      <w:r>
        <w:t>current</w:t>
      </w:r>
      <w:r w:rsidRPr="004904D8">
        <w:t xml:space="preserve"> </w:t>
      </w:r>
      <w:r>
        <w:t xml:space="preserve">stances on wild meat </w:t>
      </w:r>
      <w:r w:rsidRPr="004904D8">
        <w:t>of supporting organisations and agencies are given below</w:t>
      </w:r>
      <w:r>
        <w:t>.</w:t>
      </w:r>
      <w:r w:rsidRPr="004904D8">
        <w:t xml:space="preserve"> </w:t>
      </w:r>
      <w:r>
        <w:t>T</w:t>
      </w:r>
      <w:r w:rsidRPr="004904D8">
        <w:t xml:space="preserve">heir </w:t>
      </w:r>
      <w:r w:rsidRPr="00710CCC">
        <w:t>unanimous adoption of the sustainable use approach to wildlife management</w:t>
      </w:r>
      <w:r w:rsidRPr="005512D2">
        <w:t xml:space="preserve"> is clear.</w:t>
      </w:r>
      <w:r>
        <w:t xml:space="preserve"> </w:t>
      </w:r>
      <w:r w:rsidRPr="0070404D">
        <w:t>There is clearly general consensus within the member states of the U</w:t>
      </w:r>
      <w:r>
        <w:t xml:space="preserve">nited </w:t>
      </w:r>
      <w:r w:rsidRPr="0070404D">
        <w:t>N</w:t>
      </w:r>
      <w:r>
        <w:t>ations</w:t>
      </w:r>
      <w:r w:rsidRPr="0070404D">
        <w:t xml:space="preserve"> for the regulation of the exploitation of wild</w:t>
      </w:r>
      <w:r w:rsidRPr="004904D8">
        <w:t xml:space="preserve"> meat for food. This is apparent in the development sector, focussing on the provision of food security, poverty alleviation and protection of traditional livelihoods</w:t>
      </w:r>
      <w:r>
        <w:t>,</w:t>
      </w:r>
      <w:r w:rsidRPr="004904D8">
        <w:t xml:space="preserve"> as well as in the wildlife conservation arena. </w:t>
      </w:r>
    </w:p>
    <w:p w14:paraId="03184BC9" w14:textId="361FA400" w:rsidR="000A7365" w:rsidRPr="004904D8" w:rsidRDefault="000A7365" w:rsidP="00920854">
      <w:pPr>
        <w:jc w:val="both"/>
      </w:pPr>
      <w:r w:rsidRPr="0070404D">
        <w:rPr>
          <w:b/>
          <w:i/>
        </w:rPr>
        <w:t>In</w:t>
      </w:r>
      <w:r w:rsidRPr="004904D8">
        <w:rPr>
          <w:b/>
          <w:i/>
        </w:rPr>
        <w:t>ternational Union for the Conservation of Nature</w:t>
      </w:r>
      <w:r w:rsidRPr="004904D8">
        <w:t xml:space="preserve"> (IUCN) has appointed a </w:t>
      </w:r>
      <w:hyperlink r:id="rId57" w:history="1">
        <w:r w:rsidRPr="004904D8">
          <w:rPr>
            <w:rStyle w:val="Hyperlink"/>
          </w:rPr>
          <w:t>Specialist Group on Sustainable Use and Livelihoods</w:t>
        </w:r>
      </w:hyperlink>
      <w:r w:rsidRPr="0070404D">
        <w:t xml:space="preserve"> (SULi) as a joint initiative between the Species Survival Commission (SSC) and the </w:t>
      </w:r>
      <w:r w:rsidRPr="004904D8">
        <w:t>Commission on Environmental, Economic and Social Policy (CEESP). This brings together around 300 experts available for consultation by via IUCN</w:t>
      </w:r>
      <w:r>
        <w:t>. These expert</w:t>
      </w:r>
      <w:r w:rsidRPr="004904D8">
        <w:t xml:space="preserve"> bridge the gap between conservation and development perspectives and provide advice for sustainable wildlife governance. </w:t>
      </w:r>
      <w:r>
        <w:t>In 2010 the IUCN World Conservation Congress published their own resolution on wild meat (</w:t>
      </w:r>
      <w:hyperlink r:id="rId58" w:history="1">
        <w:r w:rsidRPr="00634DCA">
          <w:rPr>
            <w:rStyle w:val="Hyperlink"/>
          </w:rPr>
          <w:t>Resolution 2.64</w:t>
        </w:r>
      </w:hyperlink>
      <w:r>
        <w:t xml:space="preserve">). the resolution urges nations to recognise the socio-economic value of wild meat and strengthen legislation regarding wild meat trade, and requests that the IUCN </w:t>
      </w:r>
      <w:r w:rsidRPr="00BF2A29">
        <w:t xml:space="preserve">World Commission on Protected Areas </w:t>
      </w:r>
      <w:r>
        <w:t xml:space="preserve">(WCPA) and SSC collaborate with other stakeholders on wild meat issues.   </w:t>
      </w:r>
    </w:p>
    <w:p w14:paraId="562018EA" w14:textId="0B983E33" w:rsidR="000A7365" w:rsidRPr="004904D8" w:rsidRDefault="000A7365" w:rsidP="00920854">
      <w:pPr>
        <w:jc w:val="both"/>
      </w:pPr>
      <w:r w:rsidRPr="004904D8">
        <w:rPr>
          <w:b/>
          <w:i/>
        </w:rPr>
        <w:t>U</w:t>
      </w:r>
      <w:r>
        <w:rPr>
          <w:b/>
          <w:i/>
        </w:rPr>
        <w:t xml:space="preserve">nited </w:t>
      </w:r>
      <w:r w:rsidRPr="004904D8">
        <w:rPr>
          <w:b/>
          <w:i/>
        </w:rPr>
        <w:t>N</w:t>
      </w:r>
      <w:r>
        <w:rPr>
          <w:b/>
          <w:i/>
        </w:rPr>
        <w:t>ations</w:t>
      </w:r>
      <w:r w:rsidRPr="004904D8">
        <w:rPr>
          <w:b/>
          <w:i/>
        </w:rPr>
        <w:t xml:space="preserve"> Environment Program</w:t>
      </w:r>
      <w:r w:rsidRPr="005512D2">
        <w:t xml:space="preserve"> (UNEP) does not focus on the specific topic of wildlife or wild meat, but policies and projects housed under their </w:t>
      </w:r>
      <w:hyperlink r:id="rId59" w:history="1">
        <w:r w:rsidRPr="004904D8">
          <w:rPr>
            <w:rStyle w:val="Hyperlink"/>
          </w:rPr>
          <w:t>Ecosystems</w:t>
        </w:r>
      </w:hyperlink>
      <w:r w:rsidRPr="0070404D">
        <w:t xml:space="preserve"> and </w:t>
      </w:r>
      <w:hyperlink r:id="rId60" w:history="1">
        <w:r w:rsidRPr="004904D8">
          <w:rPr>
            <w:rStyle w:val="Hyperlink"/>
          </w:rPr>
          <w:t>Environmental Governance</w:t>
        </w:r>
      </w:hyperlink>
      <w:r w:rsidRPr="0070404D">
        <w:t xml:space="preserve"> topics support sustainable harvesting. UNEP im</w:t>
      </w:r>
      <w:r w:rsidRPr="004904D8">
        <w:t>plements projects to improve sustainability and reduce environmental impacts of extractive industries of mining and forestry and would have the capacity to expand this to wildlife extractive industries also.</w:t>
      </w:r>
    </w:p>
    <w:p w14:paraId="28689A02" w14:textId="72732FCB" w:rsidR="000A7365" w:rsidRPr="003E3238" w:rsidRDefault="000A7365" w:rsidP="00920854">
      <w:pPr>
        <w:pStyle w:val="NormalWeb"/>
        <w:jc w:val="both"/>
      </w:pPr>
      <w:r w:rsidRPr="004904D8">
        <w:rPr>
          <w:b/>
          <w:i/>
        </w:rPr>
        <w:t>U</w:t>
      </w:r>
      <w:r>
        <w:rPr>
          <w:b/>
          <w:i/>
        </w:rPr>
        <w:t xml:space="preserve">nited </w:t>
      </w:r>
      <w:r w:rsidRPr="004904D8">
        <w:rPr>
          <w:b/>
          <w:i/>
        </w:rPr>
        <w:t>N</w:t>
      </w:r>
      <w:r>
        <w:rPr>
          <w:b/>
          <w:i/>
        </w:rPr>
        <w:t>ations</w:t>
      </w:r>
      <w:r w:rsidRPr="004904D8">
        <w:rPr>
          <w:b/>
          <w:i/>
        </w:rPr>
        <w:t xml:space="preserve"> Food and Agriculture Organisation</w:t>
      </w:r>
      <w:r w:rsidRPr="004904D8">
        <w:t xml:space="preserve"> (FAO) has p</w:t>
      </w:r>
      <w:r w:rsidRPr="005512D2">
        <w:t xml:space="preserve">roduced </w:t>
      </w:r>
      <w:hyperlink r:id="rId61" w:history="1">
        <w:r w:rsidRPr="004904D8">
          <w:rPr>
            <w:rStyle w:val="Hyperlink"/>
          </w:rPr>
          <w:t>Environmental and Social Standards</w:t>
        </w:r>
      </w:hyperlink>
      <w:r w:rsidRPr="0070404D">
        <w:t xml:space="preserve"> for all its work, including management guidelines for their implementation and independent compliance review processes </w:t>
      </w:r>
      <w:r w:rsidR="007F6C0B">
        <w:fldChar w:fldCharType="begin" w:fldLock="1"/>
      </w:r>
      <w:r w:rsidR="00B2630D">
        <w:instrText>ADDIN CSL_CITATION {"citationItems":[{"id":"ITEM-1","itemData":{"author":[{"dropping-particle":"","family":"FAO","given":"","non-dropping-particle":"","parse-names":false,"suffix":""}],"id":"ITEM-1","issued":{"date-parts":[["2015"]]},"publisher-place":"Food and Agriculture Organization of the United Nations (FAO), Rome, Italy","title":"Environmental and social management: guidelines","type":"report"},"uris":["http://www.mendeley.com/documents/?uuid=16628dbb-8834-46d5-8e96-501e362b81ae"]}],"mendeley":{"formattedCitation":"(FAO 2015)","plainTextFormattedCitation":"(FAO 2015)","previouslyFormattedCitation":"(FAO 2015)"},"properties":{"noteIndex":0},"schema":"https://github.com/citation-style-language/schema/raw/master/csl-citation.json"}</w:instrText>
      </w:r>
      <w:r w:rsidR="007F6C0B">
        <w:fldChar w:fldCharType="separate"/>
      </w:r>
      <w:r w:rsidR="00763BF5" w:rsidRPr="00763BF5">
        <w:rPr>
          <w:noProof/>
        </w:rPr>
        <w:t>(FAO 2015)</w:t>
      </w:r>
      <w:r w:rsidR="007F6C0B">
        <w:fldChar w:fldCharType="end"/>
      </w:r>
      <w:r w:rsidRPr="0070404D">
        <w:t xml:space="preserve">. </w:t>
      </w:r>
      <w:r>
        <w:t xml:space="preserve">Relevant standards include for the </w:t>
      </w:r>
      <w:r w:rsidRPr="005512D2">
        <w:t>use of wild meat for food</w:t>
      </w:r>
      <w:r w:rsidRPr="0070404D">
        <w:t xml:space="preserve"> </w:t>
      </w:r>
      <w:r>
        <w:t xml:space="preserve">include </w:t>
      </w:r>
      <w:r w:rsidRPr="0070404D">
        <w:t>Standard 1</w:t>
      </w:r>
      <w:r>
        <w:t xml:space="preserve"> on</w:t>
      </w:r>
      <w:r w:rsidRPr="004904D8">
        <w:t xml:space="preserve"> Natural Resource Management, Standard 2</w:t>
      </w:r>
      <w:r>
        <w:t xml:space="preserve"> on </w:t>
      </w:r>
      <w:r w:rsidRPr="004904D8">
        <w:t xml:space="preserve"> Biodiversity, Ecosystems and Critical Habitats, and Standard 9</w:t>
      </w:r>
      <w:r>
        <w:t xml:space="preserve"> on</w:t>
      </w:r>
      <w:r w:rsidRPr="004904D8">
        <w:t xml:space="preserve"> </w:t>
      </w:r>
      <w:r w:rsidRPr="005512D2">
        <w:t xml:space="preserve">Indigenous Peoples and Cultural Heritage . Specific policy on wild meat as a component of food security is currently defined within </w:t>
      </w:r>
      <w:r w:rsidR="000F760D">
        <w:t xml:space="preserve">the </w:t>
      </w:r>
      <w:r w:rsidR="000F760D" w:rsidRPr="00440C93">
        <w:t>United Nations Food and Agriculture Organisation</w:t>
      </w:r>
      <w:r w:rsidR="000F760D">
        <w:t>’s</w:t>
      </w:r>
      <w:r w:rsidR="000F760D" w:rsidRPr="004904D8">
        <w:t xml:space="preserve"> </w:t>
      </w:r>
      <w:r w:rsidR="000F760D">
        <w:t>(</w:t>
      </w:r>
      <w:r>
        <w:t>FAO</w:t>
      </w:r>
      <w:r w:rsidR="000F760D">
        <w:t>)</w:t>
      </w:r>
      <w:r w:rsidRPr="005512D2">
        <w:t xml:space="preserve"> Strategic Programme 2</w:t>
      </w:r>
      <w:r>
        <w:t xml:space="preserve"> </w:t>
      </w:r>
      <w:r w:rsidRPr="005512D2">
        <w:t xml:space="preserve"> </w:t>
      </w:r>
      <w:hyperlink r:id="rId62" w:history="1">
        <w:r w:rsidRPr="004904D8">
          <w:rPr>
            <w:rStyle w:val="Hyperlink"/>
          </w:rPr>
          <w:t>Climate, Biodiversity, Land and Water Department</w:t>
        </w:r>
      </w:hyperlink>
      <w:r w:rsidRPr="0070404D">
        <w:t>, and particularly in the Major Area</w:t>
      </w:r>
      <w:r w:rsidRPr="004904D8">
        <w:t>s of Work on Ecosystem Services and Biodiversity. In response to the recommendations of the CBD C</w:t>
      </w:r>
      <w:r>
        <w:t>O</w:t>
      </w:r>
      <w:r w:rsidRPr="004904D8">
        <w:t xml:space="preserve">P13, FAO has set up a </w:t>
      </w:r>
      <w:hyperlink r:id="rId63" w:history="1">
        <w:r w:rsidRPr="004904D8">
          <w:rPr>
            <w:rStyle w:val="Hyperlink"/>
          </w:rPr>
          <w:t>Biodiversity Mainstreaming Platform</w:t>
        </w:r>
      </w:hyperlink>
      <w:r w:rsidRPr="0070404D">
        <w:t xml:space="preserve"> whose mission is </w:t>
      </w:r>
      <w:r>
        <w:t xml:space="preserve">to  </w:t>
      </w:r>
      <w:r w:rsidRPr="0070404D">
        <w:t>“</w:t>
      </w:r>
      <w:r w:rsidRPr="004904D8">
        <w:rPr>
          <w:rFonts w:ascii="TimesNewRomanPSMT" w:hAnsi="TimesNewRomanPSMT" w:cs="TimesNewRomanPSMT"/>
        </w:rPr>
        <w:t>facilitat</w:t>
      </w:r>
      <w:r>
        <w:rPr>
          <w:rFonts w:ascii="TimesNewRomanPSMT" w:hAnsi="TimesNewRomanPSMT" w:cs="TimesNewRomanPSMT"/>
        </w:rPr>
        <w:t>e</w:t>
      </w:r>
      <w:r w:rsidRPr="004904D8">
        <w:rPr>
          <w:rFonts w:ascii="TimesNewRomanPSMT" w:hAnsi="TimesNewRomanPSMT" w:cs="TimesNewRomanPSMT"/>
        </w:rPr>
        <w:t xml:space="preserve"> dialogue among governments, communities of practice and other stakeholders on concrete and coordinated steps to mainstream biodiversity across the agricultural sectors”</w:t>
      </w:r>
      <w:r>
        <w:rPr>
          <w:rFonts w:ascii="TimesNewRomanPSMT" w:hAnsi="TimesNewRomanPSMT" w:cs="TimesNewRomanPSMT"/>
        </w:rPr>
        <w:t>.</w:t>
      </w:r>
      <w:r w:rsidRPr="004904D8">
        <w:rPr>
          <w:rFonts w:ascii="TimesNewRomanPSMT" w:hAnsi="TimesNewRomanPSMT" w:cs="TimesNewRomanPSMT"/>
        </w:rPr>
        <w:t xml:space="preserve"> </w:t>
      </w:r>
      <w:r>
        <w:rPr>
          <w:rFonts w:ascii="TimesNewRomanPSMT" w:hAnsi="TimesNewRomanPSMT" w:cs="TimesNewRomanPSMT"/>
        </w:rPr>
        <w:t>This has</w:t>
      </w:r>
      <w:r w:rsidRPr="004904D8">
        <w:rPr>
          <w:rFonts w:ascii="TimesNewRomanPSMT" w:hAnsi="TimesNewRomanPSMT" w:cs="TimesNewRomanPSMT"/>
        </w:rPr>
        <w:t xml:space="preserve"> the ultimate objective of “t</w:t>
      </w:r>
      <w:r w:rsidRPr="005512D2">
        <w:rPr>
          <w:rFonts w:ascii="TimesNewRomanPSMT" w:hAnsi="TimesNewRomanPSMT" w:cs="TimesNewRomanPSMT"/>
        </w:rPr>
        <w:t xml:space="preserve">he adoption of good practices across all agricultural sectors that will support biodiversity conservation and increase the productivity, stability and resilience of production systems in an integrated landscape/seascape approach, reducing pressure on natural habitats and species.” </w:t>
      </w:r>
      <w:r w:rsidR="007F6C0B">
        <w:rPr>
          <w:rFonts w:ascii="TimesNewRomanPSMT" w:hAnsi="TimesNewRomanPSMT" w:cs="TimesNewRomanPSMT"/>
        </w:rPr>
        <w:fldChar w:fldCharType="begin" w:fldLock="1"/>
      </w:r>
      <w:r w:rsidR="00B2630D">
        <w:rPr>
          <w:rFonts w:ascii="TimesNewRomanPSMT" w:hAnsi="TimesNewRomanPSMT" w:cs="TimesNewRomanPSMT"/>
        </w:rPr>
        <w:instrText>ADDIN CSL_CITATION {"citationItems":[{"id":"ITEM-1","itemData":{"DOI":"10.1227/NEU.0b013e31825d20c0","ISBN":"978-92-5-109873-8","ISSN":"1524-4040","PMID":"22596038","author":[{"dropping-particle":"","family":"FAO","given":"","non-dropping-particle":"","parse-names":false,"suffix":""}],"id":"ITEM-1","issue":"7929","issued":{"date-parts":[["2017"]]},"number-of-pages":"160","publisher-place":"Food and Agriculture Organization of the United Nations (FAO), Rome, Italy","title":"The State of Food and Agriculture: Leveraging Food Systems for Inclusive Rural Transformation","type":"report","volume":"2"},"uris":["http://www.mendeley.com/documents/?uuid=43983d90-7ee7-4f59-823b-76dd6310b335"]}],"mendeley":{"formattedCitation":"(FAO 2017)","plainTextFormattedCitation":"(FAO 2017)","previouslyFormattedCitation":"(FAO 2017)"},"properties":{"noteIndex":0},"schema":"https://github.com/citation-style-language/schema/raw/master/csl-citation.json"}</w:instrText>
      </w:r>
      <w:r w:rsidR="007F6C0B">
        <w:rPr>
          <w:rFonts w:ascii="TimesNewRomanPSMT" w:hAnsi="TimesNewRomanPSMT" w:cs="TimesNewRomanPSMT"/>
        </w:rPr>
        <w:fldChar w:fldCharType="separate"/>
      </w:r>
      <w:r w:rsidR="007F6C0B" w:rsidRPr="007F6C0B">
        <w:rPr>
          <w:rFonts w:ascii="TimesNewRomanPSMT" w:hAnsi="TimesNewRomanPSMT" w:cs="TimesNewRomanPSMT"/>
          <w:noProof/>
        </w:rPr>
        <w:t>(FAO 2017)</w:t>
      </w:r>
      <w:r w:rsidR="007F6C0B">
        <w:rPr>
          <w:rFonts w:ascii="TimesNewRomanPSMT" w:hAnsi="TimesNewRomanPSMT" w:cs="TimesNewRomanPSMT"/>
        </w:rPr>
        <w:fldChar w:fldCharType="end"/>
      </w:r>
      <w:r w:rsidRPr="0070404D">
        <w:rPr>
          <w:rFonts w:ascii="TimesNewRomanPSMT" w:hAnsi="TimesNewRomanPSMT" w:cs="TimesNewRomanPSMT"/>
        </w:rPr>
        <w:t>.</w:t>
      </w:r>
      <w:r w:rsidRPr="004904D8">
        <w:rPr>
          <w:rFonts w:ascii="TimesNewRomanPSMT" w:hAnsi="TimesNewRomanPSMT" w:cs="TimesNewRomanPSMT"/>
        </w:rPr>
        <w:t xml:space="preserve"> These measures are seen as addressing primarily S</w:t>
      </w:r>
      <w:r>
        <w:rPr>
          <w:rFonts w:ascii="TimesNewRomanPSMT" w:hAnsi="TimesNewRomanPSMT" w:cs="TimesNewRomanPSMT"/>
        </w:rPr>
        <w:t xml:space="preserve">ustainable </w:t>
      </w:r>
      <w:r w:rsidRPr="004904D8">
        <w:rPr>
          <w:rFonts w:ascii="TimesNewRomanPSMT" w:hAnsi="TimesNewRomanPSMT" w:cs="TimesNewRomanPSMT"/>
        </w:rPr>
        <w:t>D</w:t>
      </w:r>
      <w:r>
        <w:rPr>
          <w:rFonts w:ascii="TimesNewRomanPSMT" w:hAnsi="TimesNewRomanPSMT" w:cs="TimesNewRomanPSMT"/>
        </w:rPr>
        <w:t xml:space="preserve">evelopment </w:t>
      </w:r>
      <w:r w:rsidRPr="004904D8">
        <w:rPr>
          <w:rFonts w:ascii="TimesNewRomanPSMT" w:hAnsi="TimesNewRomanPSMT" w:cs="TimesNewRomanPSMT"/>
        </w:rPr>
        <w:t>G</w:t>
      </w:r>
      <w:r>
        <w:rPr>
          <w:rFonts w:ascii="TimesNewRomanPSMT" w:hAnsi="TimesNewRomanPSMT" w:cs="TimesNewRomanPSMT"/>
        </w:rPr>
        <w:t xml:space="preserve">oal (SDG) </w:t>
      </w:r>
      <w:r w:rsidRPr="004904D8">
        <w:rPr>
          <w:rFonts w:ascii="TimesNewRomanPSMT" w:hAnsi="TimesNewRomanPSMT" w:cs="TimesNewRomanPSMT"/>
        </w:rPr>
        <w:t>2, with close links to supporting progress on S</w:t>
      </w:r>
      <w:r>
        <w:rPr>
          <w:rFonts w:ascii="TimesNewRomanPSMT" w:hAnsi="TimesNewRomanPSMT" w:cs="TimesNewRomanPSMT"/>
        </w:rPr>
        <w:t xml:space="preserve">ustainable </w:t>
      </w:r>
      <w:r w:rsidRPr="004904D8">
        <w:rPr>
          <w:rFonts w:ascii="TimesNewRomanPSMT" w:hAnsi="TimesNewRomanPSMT" w:cs="TimesNewRomanPSMT"/>
        </w:rPr>
        <w:t>D</w:t>
      </w:r>
      <w:r>
        <w:rPr>
          <w:rFonts w:ascii="TimesNewRomanPSMT" w:hAnsi="TimesNewRomanPSMT" w:cs="TimesNewRomanPSMT"/>
        </w:rPr>
        <w:t xml:space="preserve">evelopment </w:t>
      </w:r>
      <w:r w:rsidRPr="004904D8">
        <w:rPr>
          <w:rFonts w:ascii="TimesNewRomanPSMT" w:hAnsi="TimesNewRomanPSMT" w:cs="TimesNewRomanPSMT"/>
        </w:rPr>
        <w:t>G</w:t>
      </w:r>
      <w:r>
        <w:rPr>
          <w:rFonts w:ascii="TimesNewRomanPSMT" w:hAnsi="TimesNewRomanPSMT" w:cs="TimesNewRomanPSMT"/>
        </w:rPr>
        <w:t xml:space="preserve">oals </w:t>
      </w:r>
      <w:r w:rsidRPr="004904D8">
        <w:rPr>
          <w:rFonts w:ascii="TimesNewRomanPSMT" w:hAnsi="TimesNewRomanPSMT" w:cs="TimesNewRomanPSMT"/>
        </w:rPr>
        <w:t>14 and 15. S</w:t>
      </w:r>
      <w:r>
        <w:rPr>
          <w:rFonts w:ascii="TimesNewRomanPSMT" w:hAnsi="TimesNewRomanPSMT" w:cs="TimesNewRomanPSMT"/>
        </w:rPr>
        <w:t xml:space="preserve">ustainable </w:t>
      </w:r>
      <w:r w:rsidRPr="004904D8">
        <w:rPr>
          <w:rFonts w:ascii="TimesNewRomanPSMT" w:hAnsi="TimesNewRomanPSMT" w:cs="TimesNewRomanPSMT"/>
        </w:rPr>
        <w:t>D</w:t>
      </w:r>
      <w:r>
        <w:rPr>
          <w:rFonts w:ascii="TimesNewRomanPSMT" w:hAnsi="TimesNewRomanPSMT" w:cs="TimesNewRomanPSMT"/>
        </w:rPr>
        <w:t xml:space="preserve">evelopment </w:t>
      </w:r>
      <w:r w:rsidRPr="004904D8">
        <w:rPr>
          <w:rFonts w:ascii="TimesNewRomanPSMT" w:hAnsi="TimesNewRomanPSMT" w:cs="TimesNewRomanPSMT"/>
        </w:rPr>
        <w:t>G</w:t>
      </w:r>
      <w:r>
        <w:rPr>
          <w:rFonts w:ascii="TimesNewRomanPSMT" w:hAnsi="TimesNewRomanPSMT" w:cs="TimesNewRomanPSMT"/>
        </w:rPr>
        <w:t>oal</w:t>
      </w:r>
      <w:r w:rsidRPr="004904D8">
        <w:rPr>
          <w:rFonts w:ascii="TimesNewRomanPSMT" w:hAnsi="TimesNewRomanPSMT" w:cs="TimesNewRomanPSMT"/>
        </w:rPr>
        <w:t xml:space="preserve"> 15 </w:t>
      </w:r>
      <w:r w:rsidRPr="004904D8">
        <w:rPr>
          <w:rFonts w:ascii="TimesNewRomanPSMT" w:hAnsi="TimesNewRomanPSMT" w:cs="TimesNewRomanPSMT"/>
          <w:i/>
          <w:iCs/>
        </w:rPr>
        <w:t xml:space="preserve">to protect, restore and promote sustainable use of terrestrial ecosystems, sustainably manage forests, combat desertification, and halt and reverse land degradation and halt biodiversity </w:t>
      </w:r>
      <w:r w:rsidRPr="004904D8">
        <w:rPr>
          <w:rFonts w:ascii="TimesNewRomanPSMT" w:hAnsi="TimesNewRomanPSMT" w:cs="TimesNewRomanPSMT"/>
          <w:i/>
          <w:iCs/>
        </w:rPr>
        <w:lastRenderedPageBreak/>
        <w:t>los</w:t>
      </w:r>
      <w:r w:rsidRPr="005512D2">
        <w:rPr>
          <w:rFonts w:ascii="TimesNewRomanPSMT" w:hAnsi="TimesNewRomanPSMT" w:cs="TimesNewRomanPSMT"/>
          <w:i/>
        </w:rPr>
        <w:t xml:space="preserve">s, </w:t>
      </w:r>
      <w:r w:rsidRPr="005512D2">
        <w:rPr>
          <w:rFonts w:ascii="TimesNewRomanPSMT" w:hAnsi="TimesNewRomanPSMT" w:cs="TimesNewRomanPSMT"/>
        </w:rPr>
        <w:t>should be the primary orientation of any U</w:t>
      </w:r>
      <w:r>
        <w:rPr>
          <w:rFonts w:ascii="TimesNewRomanPSMT" w:hAnsi="TimesNewRomanPSMT" w:cs="TimesNewRomanPSMT"/>
        </w:rPr>
        <w:t xml:space="preserve">nited </w:t>
      </w:r>
      <w:r w:rsidRPr="005512D2">
        <w:rPr>
          <w:rFonts w:ascii="TimesNewRomanPSMT" w:hAnsi="TimesNewRomanPSMT" w:cs="TimesNewRomanPSMT"/>
        </w:rPr>
        <w:t>N</w:t>
      </w:r>
      <w:r>
        <w:rPr>
          <w:rFonts w:ascii="TimesNewRomanPSMT" w:hAnsi="TimesNewRomanPSMT" w:cs="TimesNewRomanPSMT"/>
        </w:rPr>
        <w:t>ations</w:t>
      </w:r>
      <w:r w:rsidRPr="005512D2">
        <w:rPr>
          <w:rFonts w:ascii="TimesNewRomanPSMT" w:hAnsi="TimesNewRomanPSMT" w:cs="TimesNewRomanPSMT"/>
        </w:rPr>
        <w:t xml:space="preserve"> funded or led actions on wildlife in tropical forests. The Biodiversity Mainstreaming Platform is holding discussion</w:t>
      </w:r>
      <w:r w:rsidRPr="003E3238">
        <w:rPr>
          <w:rFonts w:ascii="TimesNewRomanPSMT" w:hAnsi="TimesNewRomanPSMT" w:cs="TimesNewRomanPSMT"/>
        </w:rPr>
        <w:t xml:space="preserve"> forums throughout 2018 to further define its work and mission.</w:t>
      </w:r>
    </w:p>
    <w:p w14:paraId="4FE916C4" w14:textId="439DC14A" w:rsidR="000A7365" w:rsidRPr="004904D8" w:rsidRDefault="000A7365" w:rsidP="00920854">
      <w:pPr>
        <w:jc w:val="both"/>
      </w:pPr>
      <w:r w:rsidRPr="00EE2428">
        <w:rPr>
          <w:b/>
          <w:i/>
        </w:rPr>
        <w:t>U</w:t>
      </w:r>
      <w:r>
        <w:rPr>
          <w:b/>
          <w:i/>
        </w:rPr>
        <w:t xml:space="preserve">nited </w:t>
      </w:r>
      <w:r w:rsidRPr="00EE2428">
        <w:rPr>
          <w:b/>
          <w:i/>
        </w:rPr>
        <w:t>N</w:t>
      </w:r>
      <w:r>
        <w:rPr>
          <w:b/>
          <w:i/>
        </w:rPr>
        <w:t>ations</w:t>
      </w:r>
      <w:r w:rsidRPr="00EE2428">
        <w:rPr>
          <w:b/>
          <w:i/>
        </w:rPr>
        <w:t xml:space="preserve"> Development Program</w:t>
      </w:r>
      <w:r w:rsidRPr="0070404D">
        <w:t xml:space="preserve"> (UNDP) supports strengthening governance to ensure sustainability within aim B of its </w:t>
      </w:r>
      <w:hyperlink r:id="rId64" w:history="1">
        <w:r w:rsidRPr="004904D8">
          <w:rPr>
            <w:rStyle w:val="Hyperlink"/>
          </w:rPr>
          <w:t>2030 Strategic Plan</w:t>
        </w:r>
      </w:hyperlink>
      <w:r w:rsidRPr="0070404D">
        <w:t xml:space="preserve">. </w:t>
      </w:r>
      <w:r w:rsidRPr="00D941E7">
        <w:t>Although it does not have a clear policy on wild meat, proposals to ensure sustainable use of wild meat would be supported</w:t>
      </w:r>
      <w:r w:rsidRPr="004904D8">
        <w:t xml:space="preserve"> under </w:t>
      </w:r>
      <w:r w:rsidRPr="004904D8">
        <w:rPr>
          <w:rFonts w:ascii="TimesNewRomanPSMT" w:hAnsi="TimesNewRomanPSMT" w:cs="TimesNewRomanPSMT"/>
        </w:rPr>
        <w:t>S</w:t>
      </w:r>
      <w:r>
        <w:rPr>
          <w:rFonts w:ascii="TimesNewRomanPSMT" w:hAnsi="TimesNewRomanPSMT" w:cs="TimesNewRomanPSMT"/>
        </w:rPr>
        <w:t xml:space="preserve">ustainable </w:t>
      </w:r>
      <w:r w:rsidRPr="004904D8">
        <w:rPr>
          <w:rFonts w:ascii="TimesNewRomanPSMT" w:hAnsi="TimesNewRomanPSMT" w:cs="TimesNewRomanPSMT"/>
        </w:rPr>
        <w:t>D</w:t>
      </w:r>
      <w:r>
        <w:rPr>
          <w:rFonts w:ascii="TimesNewRomanPSMT" w:hAnsi="TimesNewRomanPSMT" w:cs="TimesNewRomanPSMT"/>
        </w:rPr>
        <w:t xml:space="preserve">evelopment </w:t>
      </w:r>
      <w:r w:rsidRPr="004904D8">
        <w:rPr>
          <w:rFonts w:ascii="TimesNewRomanPSMT" w:hAnsi="TimesNewRomanPSMT" w:cs="TimesNewRomanPSMT"/>
        </w:rPr>
        <w:t>G</w:t>
      </w:r>
      <w:r>
        <w:rPr>
          <w:rFonts w:ascii="TimesNewRomanPSMT" w:hAnsi="TimesNewRomanPSMT" w:cs="TimesNewRomanPSMT"/>
        </w:rPr>
        <w:t>oals</w:t>
      </w:r>
      <w:r w:rsidRPr="004904D8">
        <w:t xml:space="preserve"> 2, 14, 15 and 17.18.1.</w:t>
      </w:r>
    </w:p>
    <w:p w14:paraId="3C1B4774" w14:textId="425C7A1D" w:rsidR="000A7365" w:rsidRPr="0070404D" w:rsidRDefault="000A7365" w:rsidP="00920854">
      <w:pPr>
        <w:jc w:val="both"/>
        <w:rPr>
          <w:b/>
        </w:rPr>
      </w:pPr>
      <w:r w:rsidRPr="004904D8">
        <w:rPr>
          <w:b/>
          <w:i/>
        </w:rPr>
        <w:t>International Consortium on Combatting Wildlife Crime (ICCWC)</w:t>
      </w:r>
      <w:r w:rsidRPr="005512D2">
        <w:rPr>
          <w:b/>
          <w:i/>
        </w:rPr>
        <w:t>.</w:t>
      </w:r>
      <w:r w:rsidRPr="005512D2">
        <w:rPr>
          <w:b/>
        </w:rPr>
        <w:t xml:space="preserve"> </w:t>
      </w:r>
      <w:r w:rsidRPr="00785A38">
        <w:t xml:space="preserve">The </w:t>
      </w:r>
      <w:hyperlink r:id="rId65" w:history="1">
        <w:r w:rsidRPr="00785A38">
          <w:rPr>
            <w:rStyle w:val="Hyperlink"/>
          </w:rPr>
          <w:t>ICCWC</w:t>
        </w:r>
      </w:hyperlink>
      <w:r w:rsidRPr="00785A38">
        <w:t xml:space="preserve">, created in 2011, brings together the CITES Secretariat, </w:t>
      </w:r>
      <w:hyperlink r:id="rId66" w:history="1">
        <w:r w:rsidRPr="00785A38">
          <w:rPr>
            <w:rStyle w:val="Hyperlink"/>
          </w:rPr>
          <w:t>InterPol</w:t>
        </w:r>
      </w:hyperlink>
      <w:r w:rsidRPr="00785A38">
        <w:t xml:space="preserve">, the </w:t>
      </w:r>
      <w:hyperlink r:id="rId67" w:history="1">
        <w:r w:rsidRPr="00785A38">
          <w:rPr>
            <w:rStyle w:val="Hyperlink"/>
          </w:rPr>
          <w:t>World Bank</w:t>
        </w:r>
      </w:hyperlink>
      <w:r w:rsidRPr="00785A38">
        <w:t xml:space="preserve">, the </w:t>
      </w:r>
      <w:hyperlink r:id="rId68" w:history="1">
        <w:r w:rsidRPr="00785A38">
          <w:rPr>
            <w:rStyle w:val="Hyperlink"/>
          </w:rPr>
          <w:t>U</w:t>
        </w:r>
        <w:r>
          <w:rPr>
            <w:rStyle w:val="Hyperlink"/>
          </w:rPr>
          <w:t xml:space="preserve">nited </w:t>
        </w:r>
        <w:r w:rsidRPr="00785A38">
          <w:rPr>
            <w:rStyle w:val="Hyperlink"/>
          </w:rPr>
          <w:t>N</w:t>
        </w:r>
        <w:r>
          <w:rPr>
            <w:rStyle w:val="Hyperlink"/>
          </w:rPr>
          <w:t>ations</w:t>
        </w:r>
        <w:r w:rsidRPr="00785A38">
          <w:rPr>
            <w:rStyle w:val="Hyperlink"/>
          </w:rPr>
          <w:t xml:space="preserve"> Office on Drugs and Crime</w:t>
        </w:r>
      </w:hyperlink>
      <w:r w:rsidRPr="00785A38">
        <w:t xml:space="preserve"> (UNODC) and the </w:t>
      </w:r>
      <w:hyperlink r:id="rId69" w:history="1">
        <w:r w:rsidRPr="00785A38">
          <w:rPr>
            <w:rStyle w:val="Hyperlink"/>
          </w:rPr>
          <w:t>World Customs Organisation</w:t>
        </w:r>
      </w:hyperlink>
      <w:r w:rsidRPr="00785A38">
        <w:t xml:space="preserve"> (WCO). Its mission statement is to “seek to ensure that perpetrators of serious wildlife crimes face a formidable and coordinated response, departing from the present situation where the risk of detection and punishment is all too low.”</w:t>
      </w:r>
      <w:r>
        <w:t xml:space="preserve"> The ICCWC has created 21 species-specific or regional </w:t>
      </w:r>
      <w:hyperlink r:id="rId70" w:history="1">
        <w:r w:rsidRPr="00A91023">
          <w:rPr>
            <w:rStyle w:val="Hyperlink"/>
          </w:rPr>
          <w:t>Wildlife Enforcement Networks</w:t>
        </w:r>
      </w:hyperlink>
      <w:r>
        <w:t xml:space="preserve"> to facilitate cooperation on transboundary wildlife crime.</w:t>
      </w:r>
    </w:p>
    <w:p w14:paraId="7D90F658" w14:textId="0ECB1A70" w:rsidR="000A7365" w:rsidRPr="00785A38" w:rsidRDefault="0077363A" w:rsidP="0077363A">
      <w:pPr>
        <w:pStyle w:val="ListParagraph"/>
        <w:numPr>
          <w:ilvl w:val="0"/>
          <w:numId w:val="21"/>
        </w:numPr>
        <w:spacing w:before="240"/>
      </w:pPr>
      <w:r>
        <w:t xml:space="preserve">The International Criminal Police Organization </w:t>
      </w:r>
      <w:r w:rsidR="000A7365" w:rsidRPr="00785A38">
        <w:t>(</w:t>
      </w:r>
      <w:hyperlink r:id="rId71" w:history="1">
        <w:r w:rsidR="000A7365" w:rsidRPr="0077363A">
          <w:rPr>
            <w:rStyle w:val="Hyperlink"/>
            <w:u w:val="none"/>
          </w:rPr>
          <w:t>InterPol</w:t>
        </w:r>
      </w:hyperlink>
      <w:r w:rsidR="000A7365" w:rsidRPr="00785A38">
        <w:t>) receives E</w:t>
      </w:r>
      <w:r w:rsidR="000A7365">
        <w:t xml:space="preserve">uropean </w:t>
      </w:r>
      <w:r w:rsidR="000A7365" w:rsidRPr="00785A38">
        <w:t>U</w:t>
      </w:r>
      <w:r w:rsidR="000A7365">
        <w:t>nion</w:t>
      </w:r>
      <w:r w:rsidR="000A7365" w:rsidRPr="00785A38">
        <w:t xml:space="preserve"> funding for the ‘Project Combat Wildlife Crime’ which encompasses wildlife-focused Projects ‘</w:t>
      </w:r>
      <w:hyperlink r:id="rId72" w:history="1">
        <w:r w:rsidR="000A7365" w:rsidRPr="0077363A">
          <w:rPr>
            <w:rStyle w:val="Hyperlink"/>
            <w:u w:val="none"/>
          </w:rPr>
          <w:t>Scale</w:t>
        </w:r>
      </w:hyperlink>
      <w:r w:rsidR="000A7365" w:rsidRPr="00785A38">
        <w:t xml:space="preserve">, </w:t>
      </w:r>
      <w:hyperlink r:id="rId73" w:history="1">
        <w:r w:rsidR="000A7365" w:rsidRPr="0077363A">
          <w:rPr>
            <w:rStyle w:val="Hyperlink"/>
            <w:u w:val="none"/>
          </w:rPr>
          <w:t>Predator</w:t>
        </w:r>
      </w:hyperlink>
      <w:r w:rsidR="000A7365" w:rsidRPr="00785A38">
        <w:t xml:space="preserve">, and </w:t>
      </w:r>
      <w:hyperlink r:id="rId74" w:history="1">
        <w:r w:rsidR="000A7365" w:rsidRPr="0077363A">
          <w:rPr>
            <w:rStyle w:val="Hyperlink"/>
            <w:u w:val="none"/>
          </w:rPr>
          <w:t>Wisdom</w:t>
        </w:r>
      </w:hyperlink>
      <w:r w:rsidR="000A7365" w:rsidRPr="00785A38">
        <w:t xml:space="preserve">’, tackling illegal trade in fisheries, big cats and ivory. Through these initiatives InterPol is essentially enforcing CITES decisions by supporting and enhancing the governance and law enforcement capacity for the conservation of elephants and rhinoceros. Operations have entailed the seizure of significant quantities of wild meat alongside ivory, rhinoceros horn, live animals, </w:t>
      </w:r>
      <w:r w:rsidR="000A7365">
        <w:t xml:space="preserve">and other wildlife parts, </w:t>
      </w:r>
      <w:r w:rsidR="000A7365" w:rsidRPr="00785A38">
        <w:t xml:space="preserve"> illustrating that the criminal networks trading in illegal wildlife </w:t>
      </w:r>
      <w:r w:rsidR="000A7365">
        <w:t>products</w:t>
      </w:r>
      <w:r w:rsidR="000A7365" w:rsidRPr="00785A38">
        <w:t xml:space="preserve"> are also trading in wild meat.</w:t>
      </w:r>
      <w:r>
        <w:t xml:space="preserve"> InterP</w:t>
      </w:r>
      <w:r w:rsidR="000A7365" w:rsidRPr="00785A38">
        <w:t>ol act on illegal trade in wildlife regardless of the wildlife product being trafficked or the use.</w:t>
      </w:r>
    </w:p>
    <w:p w14:paraId="3D477991" w14:textId="4B5ECCFB" w:rsidR="000A7365" w:rsidRPr="00785A38" w:rsidRDefault="000A7365" w:rsidP="000A7365">
      <w:pPr>
        <w:pStyle w:val="ListParagraph"/>
        <w:numPr>
          <w:ilvl w:val="0"/>
          <w:numId w:val="21"/>
        </w:numPr>
        <w:spacing w:before="240"/>
      </w:pPr>
      <w:r w:rsidRPr="00785A38">
        <w:t xml:space="preserve">The World Bank funds and implements projects in the forestry, agriculture and fisheries sectors. Although it does not have a mission statement on wildlife or wild meat use, sustainable use of the environment is stated in its </w:t>
      </w:r>
      <w:hyperlink r:id="rId75" w:history="1">
        <w:r w:rsidRPr="00785A38">
          <w:rPr>
            <w:rStyle w:val="Hyperlink"/>
            <w:u w:val="none"/>
          </w:rPr>
          <w:t>Corporate Sustainability Principles</w:t>
        </w:r>
      </w:hyperlink>
      <w:r w:rsidRPr="00785A38">
        <w:t xml:space="preserve">. </w:t>
      </w:r>
      <w:r>
        <w:t>T</w:t>
      </w:r>
      <w:r w:rsidRPr="00785A38">
        <w:t xml:space="preserve">he World Bank </w:t>
      </w:r>
      <w:r>
        <w:t xml:space="preserve">also </w:t>
      </w:r>
      <w:r w:rsidRPr="00785A38">
        <w:t>chairs a program focused on anti-poaching and wildlife crime prevention, implemented by leading conse</w:t>
      </w:r>
      <w:r>
        <w:t>rvation NGOs and agencies and funded by</w:t>
      </w:r>
      <w:r w:rsidRPr="00785A38">
        <w:t xml:space="preserve"> the Global Environment Facility (GEF)</w:t>
      </w:r>
      <w:r>
        <w:t xml:space="preserve"> through their </w:t>
      </w:r>
      <w:r w:rsidRPr="00785A38">
        <w:t xml:space="preserve"> </w:t>
      </w:r>
      <w:hyperlink r:id="rId76" w:history="1">
        <w:r w:rsidRPr="00785A38">
          <w:rPr>
            <w:rStyle w:val="Hyperlink"/>
            <w:u w:val="none"/>
          </w:rPr>
          <w:t>Global Wildlife Program</w:t>
        </w:r>
      </w:hyperlink>
      <w:r>
        <w:t>.</w:t>
      </w:r>
      <w:r w:rsidRPr="00785A38">
        <w:t xml:space="preserve"> It does not have a specific program focusing on the use of wild meat for food.</w:t>
      </w:r>
    </w:p>
    <w:p w14:paraId="7A0F8338" w14:textId="585C1BBF" w:rsidR="000A7365" w:rsidRPr="00785A38" w:rsidRDefault="000A7365" w:rsidP="000A7365">
      <w:pPr>
        <w:pStyle w:val="ListParagraph"/>
        <w:numPr>
          <w:ilvl w:val="0"/>
          <w:numId w:val="21"/>
        </w:numPr>
        <w:spacing w:before="240"/>
      </w:pPr>
      <w:r w:rsidRPr="00785A38">
        <w:t>UNODC</w:t>
      </w:r>
      <w:r>
        <w:t>,</w:t>
      </w:r>
      <w:r w:rsidRPr="00785A38">
        <w:t xml:space="preserve"> through its membership of the </w:t>
      </w:r>
      <w:hyperlink r:id="rId77" w:history="1">
        <w:r w:rsidRPr="00785A38">
          <w:rPr>
            <w:rStyle w:val="Hyperlink"/>
            <w:u w:val="none"/>
          </w:rPr>
          <w:t>Global Program for Combatting Wildlife and Forest Crime</w:t>
        </w:r>
      </w:hyperlink>
      <w:r w:rsidRPr="00785A38">
        <w:t xml:space="preserve"> and the ICCWC, has produced a </w:t>
      </w:r>
      <w:hyperlink r:id="rId78" w:history="1">
        <w:r w:rsidRPr="00785A38">
          <w:rPr>
            <w:rStyle w:val="Hyperlink"/>
            <w:u w:val="none"/>
          </w:rPr>
          <w:t>Wildlife and Forest Crime Analytic Toolkit</w:t>
        </w:r>
      </w:hyperlink>
      <w:r>
        <w:t xml:space="preserve">. The Toolkit is </w:t>
      </w:r>
      <w:r w:rsidRPr="00785A38">
        <w:t>available to governments dealing with emerging wildlife crime and wishing to create the enabling environment for improved governance. This could include analysis of trade for food, at the demand of each national government.</w:t>
      </w:r>
    </w:p>
    <w:p w14:paraId="4029E97D" w14:textId="77777777" w:rsidR="000A7365" w:rsidRPr="00785A38" w:rsidRDefault="000A7365" w:rsidP="000A7365">
      <w:pPr>
        <w:pStyle w:val="ListParagraph"/>
        <w:numPr>
          <w:ilvl w:val="0"/>
          <w:numId w:val="21"/>
        </w:numPr>
        <w:spacing w:before="240"/>
      </w:pPr>
      <w:r w:rsidRPr="00785A38">
        <w:t>WCO engages with the ICCWC to ensure that wildlife issues are included and promoted in its central mission to enforce coherent import and export laws. It does not have specific policies on cross-border trade of wild meat for food.</w:t>
      </w:r>
    </w:p>
    <w:p w14:paraId="22EF3ADA" w14:textId="77777777" w:rsidR="000A7365" w:rsidRPr="004904D8" w:rsidRDefault="000A7365" w:rsidP="00DF57F3">
      <w:pPr>
        <w:pStyle w:val="Heading2"/>
      </w:pPr>
      <w:bookmarkStart w:id="157" w:name="_Toc519156102"/>
      <w:bookmarkStart w:id="158" w:name="_Toc520802790"/>
      <w:bookmarkStart w:id="159" w:name="_Toc529390362"/>
      <w:r w:rsidRPr="0070404D">
        <w:lastRenderedPageBreak/>
        <w:t>Regional g</w:t>
      </w:r>
      <w:r w:rsidRPr="004904D8">
        <w:t>overnance</w:t>
      </w:r>
      <w:bookmarkEnd w:id="157"/>
      <w:bookmarkEnd w:id="158"/>
      <w:r>
        <w:t xml:space="preserve"> related to the wild meat sector</w:t>
      </w:r>
      <w:bookmarkEnd w:id="159"/>
    </w:p>
    <w:p w14:paraId="4EB179E3" w14:textId="77777777" w:rsidR="000A7365" w:rsidRDefault="000A7365" w:rsidP="001C1D6E">
      <w:pPr>
        <w:pStyle w:val="Heading3"/>
      </w:pPr>
      <w:r w:rsidRPr="00785A38">
        <w:t>Africa</w:t>
      </w:r>
    </w:p>
    <w:p w14:paraId="099DD841" w14:textId="77777777" w:rsidR="000A7365" w:rsidRPr="00B403C2" w:rsidRDefault="000A7365" w:rsidP="00920854">
      <w:pPr>
        <w:jc w:val="both"/>
      </w:pPr>
      <w:r>
        <w:rPr>
          <w:lang w:val="en-US"/>
        </w:rPr>
        <w:t xml:space="preserve">African countries have generally recognized unsustainable hunting as a threat to both wildlife and livelihoods. Central and Southern Africa have the most explicit policies on management of subsistence hunting and control of illegal poaching of wildlife for meat. </w:t>
      </w:r>
    </w:p>
    <w:p w14:paraId="077DE07A" w14:textId="60A157F6" w:rsidR="000A7365" w:rsidRPr="005512D2" w:rsidRDefault="000A7365" w:rsidP="00920854">
      <w:pPr>
        <w:jc w:val="both"/>
      </w:pPr>
      <w:r w:rsidRPr="0070404D">
        <w:t xml:space="preserve">The </w:t>
      </w:r>
      <w:r w:rsidR="005B53D0">
        <w:t>AU</w:t>
      </w:r>
      <w:r w:rsidRPr="0070404D">
        <w:t xml:space="preserve"> adopted </w:t>
      </w:r>
      <w:r w:rsidRPr="004904D8">
        <w:t>the Convention o</w:t>
      </w:r>
      <w:r>
        <w:t>n</w:t>
      </w:r>
      <w:r w:rsidRPr="004904D8">
        <w:t xml:space="preserve"> the Conservation of Nature in 2003, an</w:t>
      </w:r>
      <w:r>
        <w:t>d an</w:t>
      </w:r>
      <w:r w:rsidRPr="004904D8">
        <w:t xml:space="preserve"> ‘African Strategy on Combating Illegal Exploitation and Illegal Trade in Wild Fauna and Flora in Africa’ </w:t>
      </w:r>
      <w:r>
        <w:t>was drafted in</w:t>
      </w:r>
      <w:r w:rsidRPr="004904D8">
        <w:t xml:space="preserve"> May 2015</w:t>
      </w:r>
      <w:r>
        <w:t>. This was</w:t>
      </w:r>
      <w:r w:rsidRPr="004904D8">
        <w:t xml:space="preserve"> </w:t>
      </w:r>
      <w:r w:rsidRPr="005512D2">
        <w:t xml:space="preserve">revised and adopted in 2017 to become the </w:t>
      </w:r>
      <w:hyperlink r:id="rId79" w:history="1">
        <w:r w:rsidRPr="004904D8">
          <w:rPr>
            <w:rStyle w:val="Hyperlink"/>
          </w:rPr>
          <w:t>Convention on the Conservation of Nature and Natural Resources</w:t>
        </w:r>
      </w:hyperlink>
      <w:r w:rsidRPr="0070404D">
        <w:rPr>
          <w:rStyle w:val="Hyperlink"/>
        </w:rPr>
        <w:t>,</w:t>
      </w:r>
      <w:r w:rsidRPr="004904D8">
        <w:t xml:space="preserve"> expanding on elements related to sustainable development.</w:t>
      </w:r>
      <w:r w:rsidRPr="005512D2">
        <w:t xml:space="preserve"> Their position calls for both wildlife conservation and protection of traditional access to wildlife, through sustainable management tools.</w:t>
      </w:r>
    </w:p>
    <w:p w14:paraId="031957E7" w14:textId="28B84F96" w:rsidR="000A7365" w:rsidRPr="0064175F" w:rsidRDefault="000A7365" w:rsidP="00920854">
      <w:pPr>
        <w:jc w:val="both"/>
      </w:pPr>
      <w:r w:rsidRPr="003E3238">
        <w:t>In Central Africa, the Commission for the Forests of Central Africa (COMIFAC) unites six central African countries under a ‘</w:t>
      </w:r>
      <w:hyperlink r:id="rId80" w:history="1">
        <w:r w:rsidRPr="004904D8">
          <w:rPr>
            <w:rStyle w:val="Hyperlink"/>
          </w:rPr>
          <w:t>Convergence Plan</w:t>
        </w:r>
      </w:hyperlink>
      <w:r w:rsidRPr="0070404D">
        <w:t xml:space="preserve">’ </w:t>
      </w:r>
      <w:r w:rsidRPr="004904D8">
        <w:t>for environmental management. The plan objectives include</w:t>
      </w:r>
      <w:r w:rsidRPr="005512D2">
        <w:rPr>
          <w:rFonts w:ascii="Arial" w:hAnsi="Arial" w:cs="Arial"/>
          <w:bCs/>
          <w:color w:val="333333"/>
          <w:sz w:val="19"/>
          <w:szCs w:val="19"/>
        </w:rPr>
        <w:t xml:space="preserve"> </w:t>
      </w:r>
      <w:r w:rsidRPr="005512D2">
        <w:rPr>
          <w:bCs/>
        </w:rPr>
        <w:t>point 4) conservation and sustainable use of biodiversity and point 6) socio-economic development through multi-actor strategies. Under t</w:t>
      </w:r>
      <w:r w:rsidRPr="003E3238">
        <w:rPr>
          <w:bCs/>
        </w:rPr>
        <w:t xml:space="preserve">hese axes, COMIFAC has supported several national and regional initiatives aimed at improving the sustainability of wild meat and NTFP harvests and regulation of their trade. COMIFAC and the Central African Forests Observatory (OFAC) produce a </w:t>
      </w:r>
      <w:r w:rsidRPr="003E3238">
        <w:rPr>
          <w:bCs/>
          <w:i/>
        </w:rPr>
        <w:t>State of the</w:t>
      </w:r>
      <w:r w:rsidRPr="00EE2428">
        <w:rPr>
          <w:bCs/>
          <w:i/>
        </w:rPr>
        <w:t xml:space="preserve"> Forests</w:t>
      </w:r>
      <w:r w:rsidRPr="00EE2428">
        <w:rPr>
          <w:bCs/>
        </w:rPr>
        <w:t xml:space="preserve"> report every 2-3 years, which includes an overview of hunting impacts and policy guidelines</w:t>
      </w:r>
      <w:r>
        <w:rPr>
          <w:bCs/>
        </w:rPr>
        <w:t>.</w:t>
      </w:r>
    </w:p>
    <w:p w14:paraId="7E4DF981" w14:textId="41D1F174" w:rsidR="000A7365" w:rsidRPr="004904D8" w:rsidRDefault="000A7365" w:rsidP="00920854">
      <w:pPr>
        <w:jc w:val="both"/>
      </w:pPr>
      <w:r w:rsidRPr="006F5EBC">
        <w:t xml:space="preserve">The Southern African Development Community (SADC) developed and signed the </w:t>
      </w:r>
      <w:hyperlink r:id="rId81" w:history="1">
        <w:r w:rsidRPr="004904D8">
          <w:rPr>
            <w:rStyle w:val="Hyperlink"/>
          </w:rPr>
          <w:t>Protocol on Wildlife Conservation and Management</w:t>
        </w:r>
      </w:hyperlink>
      <w:r w:rsidRPr="0070404D">
        <w:t xml:space="preserve"> in 1999. This agreement promotes community-based management of wildlife and sustainable use for local consumption</w:t>
      </w:r>
      <w:r>
        <w:t>.</w:t>
      </w:r>
      <w:r w:rsidRPr="0070404D">
        <w:t xml:space="preserve"> </w:t>
      </w:r>
      <w:r>
        <w:t>I</w:t>
      </w:r>
      <w:r w:rsidRPr="0070404D">
        <w:t xml:space="preserve">ts major focus </w:t>
      </w:r>
      <w:r>
        <w:t xml:space="preserve">is </w:t>
      </w:r>
      <w:r w:rsidRPr="0070404D">
        <w:t xml:space="preserve">on regulating the use of wildlife for tourism, including trophy hunting, as a </w:t>
      </w:r>
      <w:r w:rsidRPr="004904D8">
        <w:t>means of improving local livelihoods. The SADC Secretariat in conjunction with the Government of the Republic of Botswana hosted a Ministerial Workshop on Illegal Trade in Wildlife</w:t>
      </w:r>
      <w:r>
        <w:t>,</w:t>
      </w:r>
      <w:r w:rsidRPr="004904D8">
        <w:t xml:space="preserve"> in Gaborone, Botswana</w:t>
      </w:r>
      <w:r>
        <w:t>,</w:t>
      </w:r>
      <w:r w:rsidRPr="004904D8">
        <w:t xml:space="preserve"> on the 8th July 2016.  </w:t>
      </w:r>
    </w:p>
    <w:p w14:paraId="1069B9BD" w14:textId="6C404789" w:rsidR="000A7365" w:rsidRPr="0070404D" w:rsidRDefault="000A7365" w:rsidP="00920854">
      <w:pPr>
        <w:jc w:val="both"/>
      </w:pPr>
      <w:r w:rsidRPr="004E6C15">
        <w:t xml:space="preserve">In West Africa, the </w:t>
      </w:r>
      <w:hyperlink r:id="rId82" w:history="1">
        <w:r w:rsidRPr="004E6C15">
          <w:rPr>
            <w:rStyle w:val="Hyperlink"/>
          </w:rPr>
          <w:t>Economic Community of West African States</w:t>
        </w:r>
      </w:hyperlink>
      <w:r w:rsidRPr="004E6C15">
        <w:t xml:space="preserve"> (ECOWAS) and the </w:t>
      </w:r>
      <w:hyperlink r:id="rId83" w:history="1">
        <w:r w:rsidRPr="004E6C15">
          <w:rPr>
            <w:rStyle w:val="Hyperlink"/>
          </w:rPr>
          <w:t>West African Economic and Monetary Union</w:t>
        </w:r>
      </w:hyperlink>
      <w:r w:rsidRPr="004E6C15">
        <w:t xml:space="preserve"> have agriculture and environment sectors, but projects and expertise are heavily </w:t>
      </w:r>
      <w:r w:rsidRPr="00CB3EE6">
        <w:rPr>
          <w:color w:val="000000" w:themeColor="text1"/>
        </w:rPr>
        <w:t>weighted to</w:t>
      </w:r>
      <w:r w:rsidR="004E6C15" w:rsidRPr="00CB3EE6">
        <w:rPr>
          <w:color w:val="000000" w:themeColor="text1"/>
        </w:rPr>
        <w:t>wards</w:t>
      </w:r>
      <w:r w:rsidR="00CB3EE6">
        <w:rPr>
          <w:color w:val="000000" w:themeColor="text1"/>
        </w:rPr>
        <w:t xml:space="preserve"> agricultural crop production. </w:t>
      </w:r>
      <w:r w:rsidRPr="00CB3EE6">
        <w:rPr>
          <w:color w:val="000000" w:themeColor="text1"/>
        </w:rPr>
        <w:t xml:space="preserve">Neither organisation has formulated or diffused a clear position on wild meat </w:t>
      </w:r>
      <w:r w:rsidRPr="004E6C15">
        <w:t>management or use.</w:t>
      </w:r>
    </w:p>
    <w:p w14:paraId="4307330B" w14:textId="5B69D658" w:rsidR="000A7365" w:rsidRDefault="000A7365" w:rsidP="00920854">
      <w:pPr>
        <w:jc w:val="both"/>
      </w:pPr>
      <w:r w:rsidRPr="004904D8">
        <w:t xml:space="preserve">The </w:t>
      </w:r>
      <w:hyperlink r:id="rId84" w:history="1">
        <w:r w:rsidRPr="004904D8">
          <w:rPr>
            <w:rStyle w:val="Hyperlink"/>
          </w:rPr>
          <w:t>East African Community</w:t>
        </w:r>
      </w:hyperlink>
      <w:r w:rsidRPr="0070404D">
        <w:t xml:space="preserve"> identifies three sectors potentially influencing the governance of wildlife and fisheries: Agriculture and Food Security, Tourism and Wildlife management and Environment and Natural R</w:t>
      </w:r>
      <w:r w:rsidRPr="004904D8">
        <w:t xml:space="preserve">esources. Under the </w:t>
      </w:r>
      <w:hyperlink r:id="rId85" w:history="1">
        <w:r w:rsidRPr="004904D8">
          <w:rPr>
            <w:rStyle w:val="Hyperlink"/>
          </w:rPr>
          <w:t>Environment and Natural Resources</w:t>
        </w:r>
      </w:hyperlink>
      <w:r w:rsidRPr="0070404D">
        <w:t xml:space="preserve"> sector, member states agree to adhere to sustainable use policies, including for forests and wildlife, and to promote regiona</w:t>
      </w:r>
      <w:r w:rsidRPr="004904D8">
        <w:t>l cooperation for cross-border management.</w:t>
      </w:r>
    </w:p>
    <w:p w14:paraId="063E0D5C" w14:textId="77777777" w:rsidR="000A7365" w:rsidRDefault="000A7365" w:rsidP="001C1D6E">
      <w:pPr>
        <w:pStyle w:val="Heading3"/>
      </w:pPr>
      <w:r>
        <w:t>South A</w:t>
      </w:r>
      <w:r w:rsidRPr="00785A38">
        <w:t>merica</w:t>
      </w:r>
    </w:p>
    <w:p w14:paraId="1593262A" w14:textId="078BC84C" w:rsidR="000A7365" w:rsidRPr="00B403C2" w:rsidRDefault="000A7365" w:rsidP="00920854">
      <w:pPr>
        <w:jc w:val="both"/>
      </w:pPr>
      <w:r w:rsidRPr="004E6C15">
        <w:rPr>
          <w:lang w:val="en-US"/>
        </w:rPr>
        <w:t>South American regional policies unanimously recognize the need for sustain</w:t>
      </w:r>
      <w:r w:rsidR="004E6C15" w:rsidRPr="004E6C15">
        <w:rPr>
          <w:lang w:val="en-US"/>
        </w:rPr>
        <w:t>able use of all wild resources. H</w:t>
      </w:r>
      <w:r w:rsidRPr="004E6C15">
        <w:rPr>
          <w:lang w:val="en-US"/>
        </w:rPr>
        <w:t>owever</w:t>
      </w:r>
      <w:r w:rsidR="004E6C15" w:rsidRPr="004E6C15">
        <w:rPr>
          <w:lang w:val="en-US"/>
        </w:rPr>
        <w:t>,</w:t>
      </w:r>
      <w:r w:rsidRPr="004E6C15">
        <w:rPr>
          <w:lang w:val="en-US"/>
        </w:rPr>
        <w:t xml:space="preserve"> few explicitly mention hunting as a threat to biodiversity. Local community hunting in South America has been demonstrated to reduce local wildlife and extirpate larger species from </w:t>
      </w:r>
      <w:r w:rsidRPr="00CB3EE6">
        <w:rPr>
          <w:color w:val="000000" w:themeColor="text1"/>
          <w:lang w:val="en-US"/>
        </w:rPr>
        <w:t xml:space="preserve">a catchment </w:t>
      </w:r>
      <w:r w:rsidR="007F6C0B">
        <w:rPr>
          <w:color w:val="000000" w:themeColor="text1"/>
          <w:lang w:val="en-US"/>
        </w:rPr>
        <w:fldChar w:fldCharType="begin" w:fldLock="1"/>
      </w:r>
      <w:r w:rsidR="00B2630D">
        <w:rPr>
          <w:color w:val="000000" w:themeColor="text1"/>
          <w:lang w:val="en-US"/>
        </w:rPr>
        <w:instrText>ADDIN CSL_CITATION {"citationItems":[{"id":"ITEM-1","itemData":{"DOI":"10.1111/j.1744-7429.2007.00272.x","ISBN":"1744-7429","ISSN":"00063606","author":[{"dropping-particle":"","family":"Peres","given":"Carlos A","non-dropping-particle":"","parse-names":false,"suffix":""},{"dropping-particle":"","family":"Palacios","given":"E","non-dropping-particle":"","parse-names":false,"suffix":""}],"container-title":"Biotropica","id":"ITEM-1","issue":"3","issued":{"date-parts":[["2007"]]},"page":"304-315","title":"Basin‐wide effects of game harvest on vertebrate population densities in Amazonian forests: implications for animal‐mediated seed dispersal","type":"article-journal","volume":"39"},"uris":["http://www.mendeley.com/documents/?uuid=1fec3cc3-0ce3-4421-ac91-93fdbe6bf50f"]},{"id":"ITEM-2","itemData":{"DOI":"10.1371/journal.pone.0041671","ISBN":"1932-6203","ISSN":"19326203","PMID":"22905103","abstract":"Tropical deforestation and forest fragmentation are among the most important biodiversity conservation issues worldwide, yet local extinctions of millions of animal and plant populations stranded in unprotected forest remnants remain poorly explained. Here, we report unprecedented rates of local extinctions of medium to large-bodied mammals in one of the world's most important tropical biodiversity hotspots. We scrutinized 8,846 person-years of local knowledge to derive patch occupancy data for 18 mammal species within 196 forest patches across a 252,669-km(2) study region of the Brazilian Atlantic Forest. We uncovered a staggering rate of local extinctions in the mammal fauna, with only 767 from a possible 3,528 populations still persisting. On average, forest patches retained 3.9 out of 18 potential species occupancies, and geographic ranges had contracted to 0-14.4% of their former distributions, including five large-bodied species that had been extirpated at a regional scale. Forest fragments were highly accessible to hunters and exposed to edge effects and fires, thereby severely diminishing the predictive power of species-area relationships, with the power model explaining only ~9% of the variation in species richness per patch. Hence, conventional species-area curves provided over-optimistic estimates of species persistence in that most forest fragments had lost species at a much faster rate than predicted by habitat loss alone.","author":[{"dropping-particle":"","family":"Canale","given":"Gustavo R.","non-dropping-particle":"","parse-names":false,"suffix":""},{"dropping-particle":"","family":"Peres","given":"Carlos A.","non-dropping-particle":"","parse-names":false,"suffix":""},{"dropping-particle":"","family":"Guidorizzi","given":"Carlos E.","non-dropping-particle":"","parse-names":false,"suffix":""},{"dropping-particle":"","family":"Gatto","given":"Cassiano A.Ferreira","non-dropping-particle":"","parse-names":false,"suffix":""},{"dropping-particle":"","family":"Kierulff","given":"Maria Cecília M.","non-dropping-particle":"","parse-names":false,"suffix":""}],"container-title":"PLoS ONE","id":"ITEM-2","issue":"8","issued":{"date-parts":[["2012"]]},"page":"e41671","title":"Pervasive defaunation of forest remnants in a tropical biodiversity hotspot","type":"article-journal","volume":"7"},"uris":["http://www.mendeley.com/documents/?uuid=3ff96135-7bf2-4434-b7c2-396a5419407e"]}],"mendeley":{"formattedCitation":"(Peres &amp; Palacios 2007; Canale et al. 2012)","plainTextFormattedCitation":"(Peres &amp; Palacios 2007; Canale et al. 2012)","previouslyFormattedCitation":"(Peres &amp; Palacios 2007; Canale et al. 2012)"},"properties":{"noteIndex":0},"schema":"https://github.com/citation-style-language/schema/raw/master/csl-citation.json"}</w:instrText>
      </w:r>
      <w:r w:rsidR="007F6C0B">
        <w:rPr>
          <w:color w:val="000000" w:themeColor="text1"/>
          <w:lang w:val="en-US"/>
        </w:rPr>
        <w:fldChar w:fldCharType="separate"/>
      </w:r>
      <w:r w:rsidR="007F6C0B" w:rsidRPr="007F6C0B">
        <w:rPr>
          <w:noProof/>
          <w:color w:val="000000" w:themeColor="text1"/>
          <w:lang w:val="en-US"/>
        </w:rPr>
        <w:t>(Peres &amp; Palacios 2007; Canale et al. 2012)</w:t>
      </w:r>
      <w:r w:rsidR="007F6C0B">
        <w:rPr>
          <w:color w:val="000000" w:themeColor="text1"/>
          <w:lang w:val="en-US"/>
        </w:rPr>
        <w:fldChar w:fldCharType="end"/>
      </w:r>
      <w:r w:rsidRPr="00CB3EE6">
        <w:rPr>
          <w:color w:val="000000" w:themeColor="text1"/>
          <w:lang w:val="en-US"/>
        </w:rPr>
        <w:t xml:space="preserve"> and urban demand for wild meat has also been shown </w:t>
      </w:r>
      <w:r w:rsidR="004E6C15" w:rsidRPr="00CB3EE6">
        <w:rPr>
          <w:color w:val="000000" w:themeColor="text1"/>
          <w:lang w:val="en-US"/>
        </w:rPr>
        <w:t xml:space="preserve">to exist beyond previous expectations </w:t>
      </w:r>
      <w:r w:rsidR="00F45B59">
        <w:rPr>
          <w:lang w:val="en-US"/>
        </w:rPr>
        <w:fldChar w:fldCharType="begin" w:fldLock="1"/>
      </w:r>
      <w:r w:rsidR="00763BF5">
        <w:rPr>
          <w:lang w:val="en-US"/>
        </w:rPr>
        <w:instrText>ADDIN CSL_CITATION {"citationItems":[{"id":"ITEM-1","itemData":{"DOI":"10.15451/ec2014-11-3.7-1-11","ISSN":"22384782","abstract":"ABSTRACT The Importance of bushmeat trade in Amazonian towns has been very little studied, either because it is thought to be insignificant or due to the context of illegality. Based on preliminary field work to identify the main stakeholders involved and the existing trade routes, our study aimed at describing the invisible bushmeat trade using a participatory monitoring protocol in Leticia and Puerto Nariño in Colombia, Tabatinga, Benjamin Constant and Atalaia do Norte in Brazil, and Santa Rosa and Caballococha in Peru. The monitoring system included two key levels of the market chain: hunters and market traders. With the support of our research team, the hunters and traders self monitored their activities during 60 days and 20 days respectively during two hydro-climatic periods. Our study shows that the most hunted species are paca, tericaya turtle and currassows while the most commercialized species are paca, tapir, collared peccary and the red brocket deer. We registered a total of 13 tons of bushmeat captured by hunters (from 29 species) and 6.7 tons of bushmeat sold by market sellers (from 19 species). We extrapolated this data to a year and to the total numbers of stakeholders involved in the trade and found that 473 tons of bushmeat are traded per year in market places from the main Tri frontier towns, which taken to the total urban population size of the area, equals to 3.2 kg/hab/year, a number that is comparable to those found in Central African urban settings","author":[{"dropping-particle":"","family":"Vliet","given":"Nathalie","non-dropping-particle":"Van","parse-names":false,"suffix":""},{"dropping-particle":"","family":"Quiceno-mesa","given":"Maria Paula","non-dropping-particle":"","parse-names":false,"suffix":""},{"dropping-particle":"","family":"Cruz-antia","given":"Daniel","non-dropping-particle":"","parse-names":false,"suffix":""},{"dropping-particle":"","family":"Jonhson","given":"Lindon","non-dropping-particle":"","parse-names":false,"suffix":""},{"dropping-particle":"De","family":"Aquino","given":"Neves","non-dropping-particle":"","parse-names":false,"suffix":""},{"dropping-particle":"","family":"Moreno","given":"Jessica","non-dropping-particle":"","parse-names":false,"suffix":""},{"dropping-particle":"","family":"Nasi","given":"Robert","non-dropping-particle":"","parse-names":false,"suffix":""}],"container-title":"Ethnobiology and Conservation","id":"ITEM-1","issue":"7","issued":{"date-parts":[["2014"]]},"page":"1-11","title":"The uncovered volumes of bushmeat commercialized in the Amazonian trifrontier between Colombia, Peru &amp; Brazil","type":"article-journal","volume":"3"},"uris":["http://www.mendeley.com/documents/?uuid=3290a443-71df-4dc3-ad77-fb560824e60d"]},{"id":"ITEM-2","itemData":{"DOI":"10.1017/S0030605315001118","ISBN":"0030605315001","ISSN":"13653008","abstract":"&lt;p&gt; The bushmeat trade in ecosystems in South America other than those within the Amazon basin is presumed to be insignificant, as alternative sources of protein (e.g. beef, chicken, fish) are considered to be more readily available in non-moist forests. However, studies and confiscation reports from countries such as Colombia suggest that bushmeat is consumed in a variety of ecosystems, although the nature of market chains, particularly in urban areas, is still unknown. We studied the urban bushmeat trade in markets in the five main ecoregions in Colombia. We recorded a total of 85 species, the most frequently traded being the paca &lt;italic&gt;Cuniculus paca&lt;/italic&gt; , red brocket deer &lt;italic&gt;Mazama americana&lt;/italic&gt; , grey brocket deer &lt;italic&gt;Mazama gouazoubira&lt;/italic&gt; , capybara &lt;italic&gt;Hydrochoerus hydrochaeris&lt;/italic&gt; , armadillo &lt;italic&gt;Dasypus&lt;/italic&gt; spp. and black agouti &lt;italic&gt;Dasyprocta fuliginosa&lt;/italic&gt; . Most sales of wild meat occur through clandestine channels and involve a limited number of stakeholders. Bushmeat is a luxury product in urban areas of the Caribbean, the Pacific and the Andean regions. Further work is needed to quantify and monitor the volumes of bushmeat traded, comprehend motivations, explore ways of reducing threats, and engage with stakeholders to organize legal and sustainable use of bushmeat. &lt;/p&gt;","author":[{"dropping-particle":"","family":"Vliet","given":"Nathalie","non-dropping-particle":"Van","parse-names":false,"suffix":""},{"dropping-particle":"","family":"Quiceno","given":"Maria","non-dropping-particle":"","parse-names":false,"suffix":""},{"dropping-particle":"","family":"Moreno","given":"Jessica","non-dropping-particle":"","parse-names":false,"suffix":""},{"dropping-particle":"","family":"Cruz","given":"Daniel","non-dropping-particle":"","parse-names":false,"suffix":""},{"dropping-particle":"","family":"Fa","given":"John E.","non-dropping-particle":"","parse-names":false,"suffix":""},{"dropping-particle":"","family":"Nasi","given":"Robert","non-dropping-particle":"","parse-names":false,"suffix":""}],"container-title":"Oryx","id":"ITEM-2","issue":"2","issued":{"date-parts":[["2017"]]},"page":"305-314","title":"Is urban bushmeat trade in Colombia really insignificant?","type":"article-journal","volume":"51"},"uris":["http://www.mendeley.com/documents/?uuid=db90167f-f57c-4962-ab1c-aa605a1bb9cb"]},{"id":"ITEM-3","itemData":{"author":[{"dropping-particle":"","family":"Vliet","given":"Nathalie","non-dropping-particle":"Van","parse-names":false,"suffix":""},{"dropping-particle":"","family":"Quiceno","given":"Maria Paula","non-dropping-particle":"","parse-names":false,"suffix":""},{"dropping-particle":"","family":"Cruz","given":"Daniel","non-dropping-particle":"","parse-names":false,"suffix":""},{"dropping-particle":"","family":"Jonhson","given":"Lindon","non-dropping-particle":"","parse-names":false,"suffix":""},{"dropping-particle":"","family":"Aquino","given":"Neves","non-dropping-particle":"de","parse-names":false,"suffix":""},{"dropping-particle":"","family":"Yagüe","given":"Blanca","non-dropping-particle":"","parse-names":false,"suffix":""},{"dropping-particle":"","family":"Schor","given":"Tatiana","non-dropping-particle":"","parse-names":false,"suffix":""}],"container-title":"Ecology and Society","id":"ITEM-3","issue":"3","issued":{"date-parts":[["2015"]]},"page":"21","title":"Bushmeat networks link the forest to urban areas in the trifrontier region between Brazil, Colombia, and Peru","type":"article-journal","volume":"20"},"uris":["http://www.mendeley.com/documents/?uuid=c363af56-1774-4b0f-bfd2-53765b13cabe"]}],"mendeley":{"formattedCitation":"(Van Vliet et al. 2014, 2015e, 2017c)","plainTextFormattedCitation":"(Van Vliet et al. 2014, 2015e, 2017c)","previouslyFormattedCitation":"(Van Vliet et al. 2014, 2015e, 2017c)"},"properties":{"noteIndex":0},"schema":"https://github.com/citation-style-language/schema/raw/master/csl-citation.json"}</w:instrText>
      </w:r>
      <w:r w:rsidR="00F45B59">
        <w:rPr>
          <w:lang w:val="en-US"/>
        </w:rPr>
        <w:fldChar w:fldCharType="separate"/>
      </w:r>
      <w:r w:rsidR="00763BF5" w:rsidRPr="00763BF5">
        <w:rPr>
          <w:noProof/>
          <w:lang w:val="en-US"/>
        </w:rPr>
        <w:t xml:space="preserve">(Van Vliet </w:t>
      </w:r>
      <w:r w:rsidR="00763BF5" w:rsidRPr="00763BF5">
        <w:rPr>
          <w:noProof/>
          <w:lang w:val="en-US"/>
        </w:rPr>
        <w:lastRenderedPageBreak/>
        <w:t>et al. 2014, 2015e, 2017c)</w:t>
      </w:r>
      <w:r w:rsidR="00F45B59">
        <w:rPr>
          <w:lang w:val="en-US"/>
        </w:rPr>
        <w:fldChar w:fldCharType="end"/>
      </w:r>
      <w:r w:rsidRPr="004E6C15">
        <w:rPr>
          <w:lang w:val="en-US"/>
        </w:rPr>
        <w:t>.</w:t>
      </w:r>
      <w:r>
        <w:rPr>
          <w:lang w:val="en-US"/>
        </w:rPr>
        <w:t xml:space="preserve"> </w:t>
      </w:r>
      <w:r w:rsidR="00CB3EE6" w:rsidRPr="00CB3EE6">
        <w:rPr>
          <w:lang w:val="en-US"/>
        </w:rPr>
        <w:t>There is a need to fully integrate and manage subsistence hunting as part of regional environmental governance</w:t>
      </w:r>
      <w:r w:rsidR="00CB3EE6">
        <w:rPr>
          <w:lang w:val="en-US"/>
        </w:rPr>
        <w:t>.</w:t>
      </w:r>
    </w:p>
    <w:p w14:paraId="492BE562" w14:textId="66CB8250" w:rsidR="000A7365" w:rsidRPr="00CC5E3D" w:rsidRDefault="000A7365" w:rsidP="00920854">
      <w:pPr>
        <w:pStyle w:val="HTMLPreformatted"/>
        <w:shd w:val="clear" w:color="auto" w:fill="FFFFFF"/>
        <w:jc w:val="both"/>
        <w:rPr>
          <w:rFonts w:ascii="Times New Roman" w:eastAsiaTheme="minorHAnsi" w:hAnsi="Times New Roman" w:cs="Times New Roman"/>
          <w:sz w:val="24"/>
          <w:szCs w:val="24"/>
          <w:lang w:val="en-GB" w:eastAsia="en-GB"/>
        </w:rPr>
      </w:pPr>
      <w:r>
        <w:rPr>
          <w:rFonts w:ascii="Times New Roman" w:eastAsiaTheme="minorHAnsi" w:hAnsi="Times New Roman" w:cs="Times New Roman"/>
          <w:sz w:val="24"/>
          <w:szCs w:val="24"/>
          <w:lang w:val="en-GB" w:eastAsia="en-GB"/>
        </w:rPr>
        <w:t>The</w:t>
      </w:r>
      <w:r w:rsidRPr="00CC5E3D">
        <w:rPr>
          <w:rFonts w:ascii="Times New Roman" w:eastAsiaTheme="minorHAnsi" w:hAnsi="Times New Roman" w:cs="Times New Roman"/>
          <w:sz w:val="24"/>
          <w:szCs w:val="24"/>
          <w:lang w:val="en-GB" w:eastAsia="en-GB"/>
        </w:rPr>
        <w:t xml:space="preserve"> </w:t>
      </w:r>
      <w:hyperlink r:id="rId86" w:history="1">
        <w:r w:rsidRPr="00821B45">
          <w:rPr>
            <w:rStyle w:val="Hyperlink"/>
            <w:rFonts w:ascii="Times New Roman" w:eastAsiaTheme="minorHAnsi" w:hAnsi="Times New Roman" w:cs="Times New Roman"/>
            <w:sz w:val="24"/>
            <w:szCs w:val="24"/>
            <w:lang w:val="en-GB" w:eastAsia="en-GB"/>
          </w:rPr>
          <w:t>Amazon Cooperation Treaty Organization</w:t>
        </w:r>
      </w:hyperlink>
      <w:r w:rsidRPr="00CC5E3D">
        <w:rPr>
          <w:rFonts w:ascii="Times New Roman" w:eastAsiaTheme="minorHAnsi" w:hAnsi="Times New Roman" w:cs="Times New Roman"/>
          <w:sz w:val="24"/>
          <w:szCs w:val="24"/>
          <w:lang w:val="en-GB" w:eastAsia="en-GB"/>
        </w:rPr>
        <w:t xml:space="preserve"> (ACTO) coordinates the p</w:t>
      </w:r>
      <w:r>
        <w:rPr>
          <w:rFonts w:ascii="Times New Roman" w:eastAsiaTheme="minorHAnsi" w:hAnsi="Times New Roman" w:cs="Times New Roman"/>
          <w:sz w:val="24"/>
          <w:szCs w:val="24"/>
          <w:lang w:val="en-GB" w:eastAsia="en-GB"/>
        </w:rPr>
        <w:t xml:space="preserve">olicies and practices </w:t>
      </w:r>
      <w:r w:rsidRPr="00CC5E3D">
        <w:rPr>
          <w:rFonts w:ascii="Times New Roman" w:eastAsiaTheme="minorHAnsi" w:hAnsi="Times New Roman" w:cs="Times New Roman"/>
          <w:sz w:val="24"/>
          <w:szCs w:val="24"/>
          <w:lang w:val="en-GB" w:eastAsia="en-GB"/>
        </w:rPr>
        <w:t>under</w:t>
      </w:r>
      <w:r>
        <w:rPr>
          <w:rFonts w:ascii="Times New Roman" w:eastAsiaTheme="minorHAnsi" w:hAnsi="Times New Roman" w:cs="Times New Roman"/>
          <w:sz w:val="24"/>
          <w:szCs w:val="24"/>
          <w:lang w:val="en-GB" w:eastAsia="en-GB"/>
        </w:rPr>
        <w:t>taken in respect of</w:t>
      </w:r>
      <w:r w:rsidRPr="00CC5E3D">
        <w:rPr>
          <w:rFonts w:ascii="Times New Roman" w:eastAsiaTheme="minorHAnsi" w:hAnsi="Times New Roman" w:cs="Times New Roman"/>
          <w:sz w:val="24"/>
          <w:szCs w:val="24"/>
          <w:lang w:val="en-GB" w:eastAsia="en-GB"/>
        </w:rPr>
        <w:t xml:space="preserve"> the Treaty</w:t>
      </w:r>
      <w:r w:rsidR="00AC0726">
        <w:rPr>
          <w:rFonts w:ascii="Times New Roman" w:eastAsiaTheme="minorHAnsi" w:hAnsi="Times New Roman" w:cs="Times New Roman"/>
          <w:sz w:val="24"/>
          <w:szCs w:val="24"/>
          <w:lang w:val="en-GB" w:eastAsia="en-GB"/>
        </w:rPr>
        <w:t xml:space="preserve"> for Amazonian Cooperation</w:t>
      </w:r>
      <w:r w:rsidRPr="00CC5E3D">
        <w:rPr>
          <w:rFonts w:ascii="Times New Roman" w:eastAsiaTheme="minorHAnsi" w:hAnsi="Times New Roman" w:cs="Times New Roman"/>
          <w:sz w:val="24"/>
          <w:szCs w:val="24"/>
          <w:lang w:val="en-GB" w:eastAsia="en-GB"/>
        </w:rPr>
        <w:t xml:space="preserve"> (TCA) and streamlines the execution of its decisions</w:t>
      </w:r>
      <w:r w:rsidRPr="00D16358">
        <w:rPr>
          <w:rFonts w:ascii="Times New Roman" w:eastAsiaTheme="minorHAnsi" w:hAnsi="Times New Roman" w:cs="Times New Roman"/>
          <w:sz w:val="24"/>
          <w:szCs w:val="24"/>
          <w:lang w:val="en-GB" w:eastAsia="en-GB"/>
        </w:rPr>
        <w:t xml:space="preserve"> </w:t>
      </w:r>
      <w:r w:rsidRPr="00CC5E3D">
        <w:rPr>
          <w:rFonts w:ascii="Times New Roman" w:eastAsiaTheme="minorHAnsi" w:hAnsi="Times New Roman" w:cs="Times New Roman"/>
          <w:sz w:val="24"/>
          <w:szCs w:val="24"/>
          <w:lang w:val="en-GB" w:eastAsia="en-GB"/>
        </w:rPr>
        <w:t xml:space="preserve">through its Permanent Secretariat. The Program for Sustainable Use and Conservation of Forests and Biodiversity in the Amazon Region, called the </w:t>
      </w:r>
      <w:hyperlink r:id="rId87" w:history="1">
        <w:r w:rsidRPr="0079420D">
          <w:rPr>
            <w:rStyle w:val="Hyperlink"/>
            <w:rFonts w:ascii="Times New Roman" w:eastAsiaTheme="minorHAnsi" w:hAnsi="Times New Roman" w:cs="Times New Roman"/>
            <w:sz w:val="24"/>
            <w:szCs w:val="24"/>
            <w:lang w:val="en-GB" w:eastAsia="en-GB"/>
          </w:rPr>
          <w:t>Amazon Regional Program</w:t>
        </w:r>
      </w:hyperlink>
      <w:r w:rsidRPr="00CC5E3D">
        <w:rPr>
          <w:rFonts w:ascii="Times New Roman" w:eastAsiaTheme="minorHAnsi" w:hAnsi="Times New Roman" w:cs="Times New Roman"/>
          <w:sz w:val="24"/>
          <w:szCs w:val="24"/>
          <w:lang w:val="en-GB" w:eastAsia="en-GB"/>
        </w:rPr>
        <w:t xml:space="preserve"> </w:t>
      </w:r>
      <w:r>
        <w:rPr>
          <w:rFonts w:ascii="Times New Roman" w:eastAsiaTheme="minorHAnsi" w:hAnsi="Times New Roman" w:cs="Times New Roman"/>
          <w:sz w:val="24"/>
          <w:szCs w:val="24"/>
          <w:lang w:val="en-GB" w:eastAsia="en-GB"/>
        </w:rPr>
        <w:t>(</w:t>
      </w:r>
      <w:r w:rsidRPr="00CC5E3D">
        <w:rPr>
          <w:rFonts w:ascii="Times New Roman" w:eastAsiaTheme="minorHAnsi" w:hAnsi="Times New Roman" w:cs="Times New Roman"/>
          <w:sz w:val="24"/>
          <w:szCs w:val="24"/>
          <w:lang w:val="en-GB" w:eastAsia="en-GB"/>
        </w:rPr>
        <w:t>PRA</w:t>
      </w:r>
      <w:r>
        <w:rPr>
          <w:rFonts w:ascii="Times New Roman" w:eastAsiaTheme="minorHAnsi" w:hAnsi="Times New Roman" w:cs="Times New Roman"/>
          <w:sz w:val="24"/>
          <w:szCs w:val="24"/>
          <w:lang w:val="en-GB" w:eastAsia="en-GB"/>
        </w:rPr>
        <w:t>)</w:t>
      </w:r>
      <w:r w:rsidRPr="00CC5E3D">
        <w:rPr>
          <w:rFonts w:ascii="Times New Roman" w:eastAsiaTheme="minorHAnsi" w:hAnsi="Times New Roman" w:cs="Times New Roman"/>
          <w:sz w:val="24"/>
          <w:szCs w:val="24"/>
          <w:lang w:val="en-GB" w:eastAsia="en-GB"/>
        </w:rPr>
        <w:t xml:space="preserve">, was born out of a joint cooperation between ACTO, the </w:t>
      </w:r>
      <w:r w:rsidR="000F760D" w:rsidRPr="000F760D">
        <w:rPr>
          <w:rFonts w:ascii="Times New Roman" w:eastAsiaTheme="minorHAnsi" w:hAnsi="Times New Roman" w:cs="Times New Roman"/>
          <w:sz w:val="24"/>
          <w:szCs w:val="24"/>
          <w:lang w:val="en-GB" w:eastAsia="en-GB"/>
        </w:rPr>
        <w:t>Directorate-General for International Cooperation</w:t>
      </w:r>
      <w:r w:rsidR="000F760D">
        <w:rPr>
          <w:rFonts w:ascii="Times New Roman" w:eastAsiaTheme="minorHAnsi" w:hAnsi="Times New Roman" w:cs="Times New Roman"/>
          <w:sz w:val="24"/>
          <w:szCs w:val="24"/>
          <w:lang w:val="en-GB" w:eastAsia="en-GB"/>
        </w:rPr>
        <w:t xml:space="preserve"> </w:t>
      </w:r>
      <w:r w:rsidR="000F760D" w:rsidRPr="00CC5E3D">
        <w:rPr>
          <w:rFonts w:ascii="Times New Roman" w:eastAsiaTheme="minorHAnsi" w:hAnsi="Times New Roman" w:cs="Times New Roman"/>
          <w:sz w:val="24"/>
          <w:szCs w:val="24"/>
          <w:lang w:val="en-GB" w:eastAsia="en-GB"/>
        </w:rPr>
        <w:t xml:space="preserve">(DGIS) </w:t>
      </w:r>
      <w:r w:rsidRPr="00CC5E3D">
        <w:rPr>
          <w:rFonts w:ascii="Times New Roman" w:eastAsiaTheme="minorHAnsi" w:hAnsi="Times New Roman" w:cs="Times New Roman"/>
          <w:sz w:val="24"/>
          <w:szCs w:val="24"/>
          <w:lang w:val="en-GB" w:eastAsia="en-GB"/>
        </w:rPr>
        <w:t>of the Netherlands</w:t>
      </w:r>
      <w:r w:rsidR="00E81437">
        <w:rPr>
          <w:rFonts w:ascii="Times New Roman" w:eastAsiaTheme="minorHAnsi" w:hAnsi="Times New Roman" w:cs="Times New Roman"/>
          <w:sz w:val="24"/>
          <w:szCs w:val="24"/>
          <w:lang w:val="en-GB" w:eastAsia="en-GB"/>
        </w:rPr>
        <w:t>,</w:t>
      </w:r>
      <w:r w:rsidRPr="00CC5E3D">
        <w:rPr>
          <w:rFonts w:ascii="Times New Roman" w:eastAsiaTheme="minorHAnsi" w:hAnsi="Times New Roman" w:cs="Times New Roman"/>
          <w:sz w:val="24"/>
          <w:szCs w:val="24"/>
          <w:lang w:val="en-GB" w:eastAsia="en-GB"/>
        </w:rPr>
        <w:t xml:space="preserve"> the </w:t>
      </w:r>
      <w:r w:rsidR="00E81437">
        <w:rPr>
          <w:rFonts w:ascii="Times New Roman" w:eastAsiaTheme="minorHAnsi" w:hAnsi="Times New Roman" w:cs="Times New Roman"/>
          <w:sz w:val="24"/>
          <w:szCs w:val="24"/>
          <w:lang w:val="en-GB" w:eastAsia="en-GB"/>
        </w:rPr>
        <w:t xml:space="preserve">German </w:t>
      </w:r>
      <w:r w:rsidR="00E81437" w:rsidRPr="00E81437">
        <w:rPr>
          <w:rFonts w:ascii="Times New Roman" w:eastAsiaTheme="minorHAnsi" w:hAnsi="Times New Roman" w:cs="Times New Roman"/>
          <w:sz w:val="24"/>
          <w:szCs w:val="24"/>
          <w:lang w:val="en-GB" w:eastAsia="en-GB"/>
        </w:rPr>
        <w:t>Federal Ministry of Economic Cooperation and Development</w:t>
      </w:r>
      <w:r w:rsidRPr="00CC5E3D">
        <w:rPr>
          <w:rFonts w:ascii="Times New Roman" w:eastAsiaTheme="minorHAnsi" w:hAnsi="Times New Roman" w:cs="Times New Roman"/>
          <w:sz w:val="24"/>
          <w:szCs w:val="24"/>
          <w:lang w:val="en-GB" w:eastAsia="en-GB"/>
        </w:rPr>
        <w:t xml:space="preserve"> </w:t>
      </w:r>
      <w:r w:rsidR="00E81437">
        <w:rPr>
          <w:rFonts w:ascii="Times New Roman" w:eastAsiaTheme="minorHAnsi" w:hAnsi="Times New Roman" w:cs="Times New Roman"/>
          <w:sz w:val="24"/>
          <w:szCs w:val="24"/>
          <w:lang w:val="en-GB" w:eastAsia="en-GB"/>
        </w:rPr>
        <w:t xml:space="preserve">(BMZ) </w:t>
      </w:r>
      <w:r w:rsidRPr="00CC5E3D">
        <w:rPr>
          <w:rFonts w:ascii="Times New Roman" w:eastAsiaTheme="minorHAnsi" w:hAnsi="Times New Roman" w:cs="Times New Roman"/>
          <w:sz w:val="24"/>
          <w:szCs w:val="24"/>
          <w:lang w:val="en-GB" w:eastAsia="en-GB"/>
        </w:rPr>
        <w:t xml:space="preserve">and </w:t>
      </w:r>
      <w:r w:rsidR="00E81437">
        <w:rPr>
          <w:rFonts w:ascii="Times New Roman" w:eastAsiaTheme="minorHAnsi" w:hAnsi="Times New Roman" w:cs="Times New Roman"/>
          <w:sz w:val="24"/>
          <w:szCs w:val="24"/>
          <w:lang w:val="en-GB" w:eastAsia="en-GB"/>
        </w:rPr>
        <w:t xml:space="preserve">the </w:t>
      </w:r>
      <w:r w:rsidR="00E81437" w:rsidRPr="00CC5E3D">
        <w:rPr>
          <w:rFonts w:ascii="Times New Roman" w:eastAsiaTheme="minorHAnsi" w:hAnsi="Times New Roman" w:cs="Times New Roman"/>
          <w:sz w:val="24"/>
          <w:szCs w:val="24"/>
          <w:lang w:val="en-GB" w:eastAsia="en-GB"/>
        </w:rPr>
        <w:t xml:space="preserve">German Development Cooperation </w:t>
      </w:r>
      <w:r w:rsidRPr="00CC5E3D">
        <w:rPr>
          <w:rFonts w:ascii="Times New Roman" w:eastAsiaTheme="minorHAnsi" w:hAnsi="Times New Roman" w:cs="Times New Roman"/>
          <w:sz w:val="24"/>
          <w:szCs w:val="24"/>
          <w:lang w:val="en-GB" w:eastAsia="en-GB"/>
        </w:rPr>
        <w:t>GIZ)</w:t>
      </w:r>
      <w:r>
        <w:rPr>
          <w:rFonts w:ascii="Times New Roman" w:eastAsiaTheme="minorHAnsi" w:hAnsi="Times New Roman" w:cs="Times New Roman"/>
          <w:sz w:val="24"/>
          <w:szCs w:val="24"/>
          <w:lang w:val="en-GB" w:eastAsia="en-GB"/>
        </w:rPr>
        <w:t>.</w:t>
      </w:r>
      <w:r w:rsidRPr="00CC5E3D">
        <w:rPr>
          <w:rFonts w:ascii="Times New Roman" w:eastAsiaTheme="minorHAnsi" w:hAnsi="Times New Roman" w:cs="Times New Roman"/>
          <w:sz w:val="24"/>
          <w:szCs w:val="24"/>
          <w:lang w:val="en-GB" w:eastAsia="en-GB"/>
        </w:rPr>
        <w:t xml:space="preserve"> </w:t>
      </w:r>
      <w:r>
        <w:rPr>
          <w:rFonts w:ascii="Times New Roman" w:eastAsiaTheme="minorHAnsi" w:hAnsi="Times New Roman" w:cs="Times New Roman"/>
          <w:sz w:val="24"/>
          <w:szCs w:val="24"/>
          <w:lang w:val="en-GB" w:eastAsia="en-GB"/>
        </w:rPr>
        <w:t>It</w:t>
      </w:r>
      <w:r w:rsidRPr="00CC5E3D">
        <w:rPr>
          <w:rFonts w:ascii="Times New Roman" w:eastAsiaTheme="minorHAnsi" w:hAnsi="Times New Roman" w:cs="Times New Roman"/>
          <w:sz w:val="24"/>
          <w:szCs w:val="24"/>
          <w:lang w:val="en-GB" w:eastAsia="en-GB"/>
        </w:rPr>
        <w:t xml:space="preserve"> promotes the sustainable use of forest resources</w:t>
      </w:r>
      <w:r>
        <w:rPr>
          <w:rFonts w:ascii="Times New Roman" w:eastAsiaTheme="minorHAnsi" w:hAnsi="Times New Roman" w:cs="Times New Roman"/>
          <w:sz w:val="24"/>
          <w:szCs w:val="24"/>
          <w:lang w:val="en-GB" w:eastAsia="en-GB"/>
        </w:rPr>
        <w:t xml:space="preserve">, but refers to hunting only within projects to protect the  rights of indigenous peoples. </w:t>
      </w:r>
    </w:p>
    <w:p w14:paraId="0D7E83DB" w14:textId="77777777" w:rsidR="00920854" w:rsidRDefault="00920854" w:rsidP="00920854">
      <w:pPr>
        <w:pStyle w:val="HTMLPreformatted"/>
        <w:shd w:val="clear" w:color="auto" w:fill="FFFFFF"/>
        <w:jc w:val="both"/>
        <w:rPr>
          <w:rFonts w:ascii="Times New Roman" w:eastAsiaTheme="minorHAnsi" w:hAnsi="Times New Roman" w:cs="Times New Roman"/>
          <w:sz w:val="24"/>
          <w:szCs w:val="24"/>
          <w:lang w:val="en-GB" w:eastAsia="en-GB"/>
        </w:rPr>
      </w:pPr>
    </w:p>
    <w:p w14:paraId="340BCF6C" w14:textId="28532EBA" w:rsidR="000A7365" w:rsidRPr="00821B45" w:rsidRDefault="000A7365" w:rsidP="00920854">
      <w:pPr>
        <w:pStyle w:val="HTMLPreformatted"/>
        <w:shd w:val="clear" w:color="auto" w:fill="FFFFFF"/>
        <w:jc w:val="both"/>
        <w:rPr>
          <w:rFonts w:ascii="Times New Roman" w:eastAsiaTheme="minorHAnsi" w:hAnsi="Times New Roman" w:cs="Times New Roman"/>
          <w:sz w:val="24"/>
          <w:szCs w:val="24"/>
          <w:lang w:val="en-GB" w:eastAsia="en-GB"/>
        </w:rPr>
      </w:pPr>
      <w:r w:rsidRPr="00CC5E3D">
        <w:rPr>
          <w:rFonts w:ascii="Times New Roman" w:eastAsiaTheme="minorHAnsi" w:hAnsi="Times New Roman" w:cs="Times New Roman"/>
          <w:sz w:val="24"/>
          <w:szCs w:val="24"/>
          <w:lang w:val="en-GB" w:eastAsia="en-GB"/>
        </w:rPr>
        <w:t xml:space="preserve">The </w:t>
      </w:r>
      <w:hyperlink r:id="rId88" w:history="1">
        <w:r w:rsidRPr="00821B45">
          <w:rPr>
            <w:rStyle w:val="Hyperlink"/>
            <w:rFonts w:ascii="Times New Roman" w:eastAsiaTheme="minorHAnsi" w:hAnsi="Times New Roman" w:cs="Times New Roman"/>
            <w:sz w:val="24"/>
            <w:szCs w:val="24"/>
            <w:lang w:val="en-GB" w:eastAsia="en-GB"/>
          </w:rPr>
          <w:t>Guiana Shield Facility</w:t>
        </w:r>
      </w:hyperlink>
      <w:r w:rsidRPr="00CC5E3D">
        <w:rPr>
          <w:rFonts w:ascii="Times New Roman" w:eastAsiaTheme="minorHAnsi" w:hAnsi="Times New Roman" w:cs="Times New Roman"/>
          <w:sz w:val="24"/>
          <w:szCs w:val="24"/>
          <w:lang w:val="en-GB" w:eastAsia="en-GB"/>
        </w:rPr>
        <w:t xml:space="preserve"> (GSF) is a multi-donor funding facility for the long-term financing of national and regional activities to conserve ecosystems, protect biodiversity, and to sustain human livelihoods within the Guiana Shield eco-region. The GSF </w:t>
      </w:r>
      <w:r>
        <w:rPr>
          <w:rFonts w:ascii="Times New Roman" w:eastAsiaTheme="minorHAnsi" w:hAnsi="Times New Roman" w:cs="Times New Roman"/>
          <w:sz w:val="24"/>
          <w:szCs w:val="24"/>
          <w:lang w:val="en-GB" w:eastAsia="en-GB"/>
        </w:rPr>
        <w:t xml:space="preserve">priority setting workshop did not identify hunting as a major threat to biodiversity conservation in the region. </w:t>
      </w:r>
    </w:p>
    <w:p w14:paraId="6BA3FF1A" w14:textId="77777777" w:rsidR="00920854" w:rsidRDefault="00920854" w:rsidP="00920854">
      <w:pPr>
        <w:pStyle w:val="HTMLPreformatted"/>
        <w:shd w:val="clear" w:color="auto" w:fill="FFFFFF"/>
        <w:jc w:val="both"/>
        <w:rPr>
          <w:rFonts w:ascii="Times New Roman" w:eastAsiaTheme="minorHAnsi" w:hAnsi="Times New Roman" w:cs="Times New Roman"/>
          <w:sz w:val="24"/>
          <w:szCs w:val="24"/>
          <w:lang w:val="en-GB" w:eastAsia="en-GB"/>
        </w:rPr>
      </w:pPr>
    </w:p>
    <w:p w14:paraId="2EBCAAEB" w14:textId="1A344C1F" w:rsidR="00920854" w:rsidRDefault="000A7365" w:rsidP="00920854">
      <w:pPr>
        <w:pStyle w:val="HTMLPreformatted"/>
        <w:shd w:val="clear" w:color="auto" w:fill="FFFFFF"/>
        <w:jc w:val="both"/>
        <w:rPr>
          <w:rFonts w:ascii="Times New Roman" w:eastAsiaTheme="minorHAnsi" w:hAnsi="Times New Roman" w:cs="Times New Roman"/>
          <w:sz w:val="24"/>
          <w:szCs w:val="24"/>
          <w:lang w:val="en-GB" w:eastAsia="en-GB"/>
        </w:rPr>
      </w:pPr>
      <w:r w:rsidRPr="00821B45">
        <w:rPr>
          <w:rFonts w:ascii="Times New Roman" w:eastAsiaTheme="minorHAnsi" w:hAnsi="Times New Roman" w:cs="Times New Roman"/>
          <w:sz w:val="24"/>
          <w:szCs w:val="24"/>
          <w:lang w:val="en-GB" w:eastAsia="en-GB"/>
        </w:rPr>
        <w:t xml:space="preserve">In 1993, Mexico, Canada and the United States signed the </w:t>
      </w:r>
      <w:hyperlink r:id="rId89" w:history="1">
        <w:r w:rsidRPr="002C6B8D">
          <w:rPr>
            <w:rStyle w:val="Hyperlink"/>
            <w:rFonts w:ascii="Times New Roman" w:eastAsiaTheme="minorHAnsi" w:hAnsi="Times New Roman" w:cs="Times New Roman"/>
            <w:sz w:val="24"/>
            <w:szCs w:val="24"/>
            <w:lang w:val="en-GB" w:eastAsia="en-GB"/>
          </w:rPr>
          <w:t>North American Agreement on Environmental Cooperation</w:t>
        </w:r>
      </w:hyperlink>
      <w:r w:rsidRPr="00821B45">
        <w:rPr>
          <w:rFonts w:ascii="Times New Roman" w:eastAsiaTheme="minorHAnsi" w:hAnsi="Times New Roman" w:cs="Times New Roman"/>
          <w:sz w:val="24"/>
          <w:szCs w:val="24"/>
          <w:lang w:val="en-GB" w:eastAsia="en-GB"/>
        </w:rPr>
        <w:t>, with the purpose of addressing environmental issues of common concern prevent</w:t>
      </w:r>
      <w:r>
        <w:rPr>
          <w:rFonts w:ascii="Times New Roman" w:eastAsiaTheme="minorHAnsi" w:hAnsi="Times New Roman" w:cs="Times New Roman"/>
          <w:sz w:val="24"/>
          <w:szCs w:val="24"/>
          <w:lang w:val="en-GB" w:eastAsia="en-GB"/>
        </w:rPr>
        <w:t>ing</w:t>
      </w:r>
      <w:r w:rsidRPr="00821B45">
        <w:rPr>
          <w:rFonts w:ascii="Times New Roman" w:eastAsiaTheme="minorHAnsi" w:hAnsi="Times New Roman" w:cs="Times New Roman"/>
          <w:sz w:val="24"/>
          <w:szCs w:val="24"/>
          <w:lang w:val="en-GB" w:eastAsia="en-GB"/>
        </w:rPr>
        <w:t xml:space="preserve"> possible environmental conflicts arising from the commercial relationship and promot</w:t>
      </w:r>
      <w:r>
        <w:rPr>
          <w:rFonts w:ascii="Times New Roman" w:eastAsiaTheme="minorHAnsi" w:hAnsi="Times New Roman" w:cs="Times New Roman"/>
          <w:sz w:val="24"/>
          <w:szCs w:val="24"/>
          <w:lang w:val="en-GB" w:eastAsia="en-GB"/>
        </w:rPr>
        <w:t>ing</w:t>
      </w:r>
      <w:r w:rsidRPr="00821B45">
        <w:rPr>
          <w:rFonts w:ascii="Times New Roman" w:eastAsiaTheme="minorHAnsi" w:hAnsi="Times New Roman" w:cs="Times New Roman"/>
          <w:sz w:val="24"/>
          <w:szCs w:val="24"/>
          <w:lang w:val="en-GB" w:eastAsia="en-GB"/>
        </w:rPr>
        <w:t xml:space="preserve"> the effective application of environmental legislation in the three countries. </w:t>
      </w:r>
      <w:r>
        <w:rPr>
          <w:rFonts w:ascii="Times New Roman" w:eastAsiaTheme="minorHAnsi" w:hAnsi="Times New Roman" w:cs="Times New Roman"/>
          <w:sz w:val="24"/>
          <w:szCs w:val="24"/>
          <w:lang w:val="en-GB" w:eastAsia="en-GB"/>
        </w:rPr>
        <w:t xml:space="preserve">It </w:t>
      </w:r>
      <w:r w:rsidRPr="002C6B8D">
        <w:rPr>
          <w:rFonts w:ascii="Times New Roman" w:eastAsiaTheme="minorHAnsi" w:hAnsi="Times New Roman" w:cs="Times New Roman"/>
          <w:sz w:val="24"/>
          <w:szCs w:val="24"/>
          <w:lang w:val="en-GB" w:eastAsia="en-GB"/>
        </w:rPr>
        <w:t>complements the North American Free Trade Agreement (NAFTA</w:t>
      </w:r>
      <w:r>
        <w:rPr>
          <w:rFonts w:ascii="Times New Roman" w:eastAsiaTheme="minorHAnsi" w:hAnsi="Times New Roman" w:cs="Times New Roman"/>
          <w:sz w:val="24"/>
          <w:szCs w:val="24"/>
          <w:lang w:val="en-GB" w:eastAsia="en-GB"/>
        </w:rPr>
        <w:t>) and</w:t>
      </w:r>
      <w:r w:rsidRPr="002C6B8D">
        <w:rPr>
          <w:rFonts w:ascii="Times New Roman" w:eastAsiaTheme="minorHAnsi" w:hAnsi="Times New Roman" w:cs="Times New Roman"/>
          <w:sz w:val="24"/>
          <w:szCs w:val="24"/>
          <w:lang w:val="en-GB" w:eastAsia="en-GB"/>
        </w:rPr>
        <w:t xml:space="preserve"> promotes sustainable development based on cooperation and mutually supportive environmental and economic policies</w:t>
      </w:r>
      <w:r>
        <w:rPr>
          <w:rFonts w:ascii="Times New Roman" w:eastAsiaTheme="minorHAnsi" w:hAnsi="Times New Roman" w:cs="Times New Roman"/>
          <w:sz w:val="24"/>
          <w:szCs w:val="24"/>
          <w:lang w:val="en-GB" w:eastAsia="en-GB"/>
        </w:rPr>
        <w:t>. This would apply to wild meat hunting, however most hunting in this region is for sport rather than subsistence.</w:t>
      </w:r>
    </w:p>
    <w:p w14:paraId="44212E83" w14:textId="16F5B817" w:rsidR="000A7365" w:rsidRPr="00821B45" w:rsidRDefault="000A7365" w:rsidP="000A7365">
      <w:pPr>
        <w:pStyle w:val="HTMLPreformatted"/>
        <w:shd w:val="clear" w:color="auto" w:fill="FFFFFF"/>
        <w:rPr>
          <w:rFonts w:ascii="Times New Roman" w:eastAsiaTheme="minorHAnsi" w:hAnsi="Times New Roman" w:cs="Times New Roman"/>
          <w:sz w:val="24"/>
          <w:szCs w:val="24"/>
          <w:lang w:val="en-GB" w:eastAsia="en-GB"/>
        </w:rPr>
      </w:pPr>
      <w:r>
        <w:rPr>
          <w:rFonts w:ascii="Times New Roman" w:eastAsiaTheme="minorHAnsi" w:hAnsi="Times New Roman" w:cs="Times New Roman"/>
          <w:sz w:val="24"/>
          <w:szCs w:val="24"/>
          <w:lang w:val="en-GB" w:eastAsia="en-GB"/>
        </w:rPr>
        <w:t xml:space="preserve"> </w:t>
      </w:r>
    </w:p>
    <w:p w14:paraId="48022DFB" w14:textId="6358FDBA" w:rsidR="000A7365" w:rsidRPr="00AC1583" w:rsidRDefault="000A7365" w:rsidP="00920854">
      <w:pPr>
        <w:pStyle w:val="HTMLPreformatted"/>
        <w:shd w:val="clear" w:color="auto" w:fill="FFFFFF"/>
        <w:jc w:val="both"/>
        <w:rPr>
          <w:rFonts w:ascii="Times New Roman" w:eastAsiaTheme="minorHAnsi" w:hAnsi="Times New Roman" w:cs="Times New Roman"/>
          <w:color w:val="000000" w:themeColor="text1"/>
          <w:sz w:val="24"/>
          <w:szCs w:val="24"/>
          <w:lang w:val="en-GB" w:eastAsia="en-GB"/>
        </w:rPr>
      </w:pPr>
      <w:r w:rsidRPr="004E6C15">
        <w:rPr>
          <w:rFonts w:ascii="Times New Roman" w:eastAsiaTheme="minorHAnsi" w:hAnsi="Times New Roman" w:cs="Times New Roman"/>
          <w:sz w:val="24"/>
          <w:szCs w:val="24"/>
          <w:lang w:val="en-GB" w:eastAsia="en-GB"/>
        </w:rPr>
        <w:t>The Central American Commission for the Environment and Development (</w:t>
      </w:r>
      <w:hyperlink r:id="rId90" w:history="1">
        <w:r w:rsidRPr="004E6C15">
          <w:rPr>
            <w:rStyle w:val="Hyperlink"/>
            <w:rFonts w:ascii="Times New Roman" w:eastAsiaTheme="minorHAnsi" w:hAnsi="Times New Roman" w:cs="Times New Roman"/>
            <w:sz w:val="24"/>
            <w:szCs w:val="24"/>
            <w:lang w:val="en-GB" w:eastAsia="en-GB"/>
          </w:rPr>
          <w:t>CCAD</w:t>
        </w:r>
      </w:hyperlink>
      <w:r w:rsidRPr="004E6C15">
        <w:rPr>
          <w:rFonts w:ascii="Times New Roman" w:eastAsiaTheme="minorHAnsi" w:hAnsi="Times New Roman" w:cs="Times New Roman"/>
          <w:sz w:val="24"/>
          <w:szCs w:val="24"/>
          <w:lang w:val="en-GB" w:eastAsia="en-GB"/>
        </w:rPr>
        <w:t xml:space="preserve">) is the organ responsible for the environmental agenda in Central America. Its main objective is to contribute to the sustainable development of the region, strengthen cooperation and integration for the management of environmental resources. Although the CCAD encourages the participation of indigenous communities and local farmers in activities compatible with conservation and sustainability, it does not express a specific policy on hunting, </w:t>
      </w:r>
      <w:r w:rsidRPr="00AC1583">
        <w:rPr>
          <w:rFonts w:ascii="Times New Roman" w:eastAsiaTheme="minorHAnsi" w:hAnsi="Times New Roman" w:cs="Times New Roman"/>
          <w:color w:val="000000" w:themeColor="text1"/>
          <w:sz w:val="24"/>
          <w:szCs w:val="24"/>
          <w:lang w:val="en-GB" w:eastAsia="en-GB"/>
        </w:rPr>
        <w:t xml:space="preserve">citing </w:t>
      </w:r>
      <w:r w:rsidR="004E6C15" w:rsidRPr="00AC1583">
        <w:rPr>
          <w:rFonts w:ascii="Times New Roman" w:eastAsiaTheme="minorHAnsi" w:hAnsi="Times New Roman" w:cs="Times New Roman"/>
          <w:color w:val="000000" w:themeColor="text1"/>
          <w:sz w:val="24"/>
          <w:szCs w:val="24"/>
          <w:lang w:val="en-GB" w:eastAsia="en-GB"/>
        </w:rPr>
        <w:t xml:space="preserve">only </w:t>
      </w:r>
      <w:r w:rsidRPr="00AC1583">
        <w:rPr>
          <w:rFonts w:ascii="Times New Roman" w:eastAsiaTheme="minorHAnsi" w:hAnsi="Times New Roman" w:cs="Times New Roman"/>
          <w:color w:val="000000" w:themeColor="text1"/>
          <w:sz w:val="24"/>
          <w:szCs w:val="24"/>
          <w:lang w:val="en-GB" w:eastAsia="en-GB"/>
        </w:rPr>
        <w:t xml:space="preserve">water, ecosystem services, timber and non-timber plant resources as the objectives of sustainable management. </w:t>
      </w:r>
    </w:p>
    <w:p w14:paraId="79B84F07" w14:textId="77777777" w:rsidR="00920854" w:rsidRPr="0032178F" w:rsidRDefault="00920854" w:rsidP="000A7365">
      <w:pPr>
        <w:pStyle w:val="HTMLPreformatted"/>
        <w:shd w:val="clear" w:color="auto" w:fill="FFFFFF"/>
        <w:rPr>
          <w:rFonts w:ascii="Times New Roman" w:eastAsiaTheme="minorHAnsi" w:hAnsi="Times New Roman" w:cs="Times New Roman"/>
          <w:sz w:val="24"/>
          <w:szCs w:val="24"/>
          <w:highlight w:val="yellow"/>
          <w:lang w:val="en-GB" w:eastAsia="en-GB"/>
        </w:rPr>
      </w:pPr>
    </w:p>
    <w:p w14:paraId="16AAE096" w14:textId="660B4FE6" w:rsidR="000A7365" w:rsidRPr="00D541E2" w:rsidRDefault="000A7365" w:rsidP="00920854">
      <w:pPr>
        <w:pStyle w:val="HTMLPreformatted"/>
        <w:shd w:val="clear" w:color="auto" w:fill="FFFFFF"/>
        <w:jc w:val="both"/>
        <w:rPr>
          <w:rFonts w:ascii="Times New Roman" w:eastAsiaTheme="minorHAnsi" w:hAnsi="Times New Roman" w:cs="Times New Roman"/>
          <w:sz w:val="24"/>
          <w:szCs w:val="24"/>
          <w:lang w:val="en-GB" w:eastAsia="en-GB"/>
        </w:rPr>
      </w:pPr>
      <w:r>
        <w:rPr>
          <w:rFonts w:ascii="Times New Roman" w:eastAsiaTheme="minorHAnsi" w:hAnsi="Times New Roman" w:cs="Times New Roman"/>
          <w:sz w:val="24"/>
          <w:szCs w:val="24"/>
          <w:lang w:val="en-GB" w:eastAsia="en-GB"/>
        </w:rPr>
        <w:t>The southern Common Market (</w:t>
      </w:r>
      <w:r w:rsidRPr="0032178F">
        <w:rPr>
          <w:rFonts w:ascii="Times New Roman" w:eastAsiaTheme="minorHAnsi" w:hAnsi="Times New Roman" w:cs="Times New Roman"/>
          <w:i/>
          <w:sz w:val="24"/>
          <w:szCs w:val="24"/>
          <w:lang w:val="en-GB" w:eastAsia="en-GB"/>
        </w:rPr>
        <w:t xml:space="preserve">Mercado Común del Sur  </w:t>
      </w:r>
      <w:r>
        <w:rPr>
          <w:rFonts w:ascii="Times New Roman" w:eastAsiaTheme="minorHAnsi" w:hAnsi="Times New Roman" w:cs="Times New Roman"/>
          <w:sz w:val="24"/>
          <w:szCs w:val="24"/>
          <w:lang w:val="en-GB" w:eastAsia="en-GB"/>
        </w:rPr>
        <w:t xml:space="preserve">or </w:t>
      </w:r>
      <w:r w:rsidRPr="00984F8C">
        <w:rPr>
          <w:rFonts w:ascii="Times New Roman" w:eastAsiaTheme="minorHAnsi" w:hAnsi="Times New Roman" w:cs="Times New Roman"/>
          <w:sz w:val="24"/>
          <w:szCs w:val="24"/>
          <w:lang w:val="en-GB" w:eastAsia="en-GB"/>
        </w:rPr>
        <w:t>Mercosur</w:t>
      </w:r>
      <w:r>
        <w:rPr>
          <w:rFonts w:ascii="Times New Roman" w:eastAsiaTheme="minorHAnsi" w:hAnsi="Times New Roman" w:cs="Times New Roman"/>
          <w:sz w:val="24"/>
          <w:szCs w:val="24"/>
          <w:lang w:val="en-GB" w:eastAsia="en-GB"/>
        </w:rPr>
        <w:t>)</w:t>
      </w:r>
      <w:r w:rsidRPr="00984F8C">
        <w:rPr>
          <w:rFonts w:ascii="Times New Roman" w:eastAsiaTheme="minorHAnsi" w:hAnsi="Times New Roman" w:cs="Times New Roman"/>
          <w:sz w:val="24"/>
          <w:szCs w:val="24"/>
          <w:lang w:val="en-GB" w:eastAsia="en-GB"/>
        </w:rPr>
        <w:t> is a </w:t>
      </w:r>
      <w:hyperlink r:id="rId91" w:tooltip="South America" w:history="1">
        <w:r w:rsidRPr="00984F8C">
          <w:rPr>
            <w:rFonts w:ascii="Times New Roman" w:eastAsiaTheme="minorHAnsi" w:hAnsi="Times New Roman" w:cs="Times New Roman"/>
            <w:sz w:val="24"/>
            <w:szCs w:val="24"/>
            <w:lang w:val="en-GB" w:eastAsia="en-GB"/>
          </w:rPr>
          <w:t>South American</w:t>
        </w:r>
      </w:hyperlink>
      <w:r w:rsidRPr="00984F8C">
        <w:rPr>
          <w:rFonts w:ascii="Times New Roman" w:eastAsiaTheme="minorHAnsi" w:hAnsi="Times New Roman" w:cs="Times New Roman"/>
          <w:sz w:val="24"/>
          <w:szCs w:val="24"/>
          <w:lang w:val="en-GB" w:eastAsia="en-GB"/>
        </w:rPr>
        <w:t> </w:t>
      </w:r>
      <w:hyperlink r:id="rId92" w:tooltip="Trade bloc" w:history="1">
        <w:r w:rsidRPr="00984F8C">
          <w:rPr>
            <w:rFonts w:ascii="Times New Roman" w:eastAsiaTheme="minorHAnsi" w:hAnsi="Times New Roman" w:cs="Times New Roman"/>
            <w:sz w:val="24"/>
            <w:szCs w:val="24"/>
            <w:lang w:val="en-GB" w:eastAsia="en-GB"/>
          </w:rPr>
          <w:t>trade bloc</w:t>
        </w:r>
      </w:hyperlink>
      <w:r w:rsidRPr="00984F8C">
        <w:rPr>
          <w:rFonts w:ascii="Times New Roman" w:eastAsiaTheme="minorHAnsi" w:hAnsi="Times New Roman" w:cs="Times New Roman"/>
          <w:sz w:val="24"/>
          <w:szCs w:val="24"/>
          <w:lang w:val="en-GB" w:eastAsia="en-GB"/>
        </w:rPr>
        <w:t> established</w:t>
      </w:r>
      <w:r w:rsidRPr="00821B45">
        <w:rPr>
          <w:rFonts w:ascii="Times New Roman" w:eastAsiaTheme="minorHAnsi" w:hAnsi="Times New Roman" w:cs="Times New Roman"/>
          <w:sz w:val="24"/>
          <w:szCs w:val="24"/>
          <w:lang w:val="en-GB" w:eastAsia="en-GB"/>
        </w:rPr>
        <w:t xml:space="preserve"> by the </w:t>
      </w:r>
      <w:hyperlink r:id="rId93" w:tooltip="Treaty of Asunción" w:history="1">
        <w:r w:rsidRPr="00821B45">
          <w:rPr>
            <w:rFonts w:ascii="Times New Roman" w:eastAsiaTheme="minorHAnsi" w:hAnsi="Times New Roman" w:cs="Times New Roman"/>
            <w:sz w:val="24"/>
            <w:szCs w:val="24"/>
            <w:lang w:val="en-GB" w:eastAsia="en-GB"/>
          </w:rPr>
          <w:t>Treaty of Asunción</w:t>
        </w:r>
      </w:hyperlink>
      <w:r w:rsidRPr="00821B45">
        <w:rPr>
          <w:rFonts w:ascii="Times New Roman" w:eastAsiaTheme="minorHAnsi" w:hAnsi="Times New Roman" w:cs="Times New Roman"/>
          <w:sz w:val="24"/>
          <w:szCs w:val="24"/>
          <w:lang w:val="en-GB" w:eastAsia="en-GB"/>
        </w:rPr>
        <w:t> in 1991 and </w:t>
      </w:r>
      <w:hyperlink r:id="rId94" w:tooltip="Protocol of Ouro Preto" w:history="1">
        <w:r w:rsidRPr="00821B45">
          <w:rPr>
            <w:rFonts w:ascii="Times New Roman" w:eastAsiaTheme="minorHAnsi" w:hAnsi="Times New Roman" w:cs="Times New Roman"/>
            <w:sz w:val="24"/>
            <w:szCs w:val="24"/>
            <w:lang w:val="en-GB" w:eastAsia="en-GB"/>
          </w:rPr>
          <w:t>Protocol of Ouro Preto</w:t>
        </w:r>
      </w:hyperlink>
      <w:r w:rsidRPr="00821B45">
        <w:rPr>
          <w:rFonts w:ascii="Times New Roman" w:eastAsiaTheme="minorHAnsi" w:hAnsi="Times New Roman" w:cs="Times New Roman"/>
          <w:sz w:val="24"/>
          <w:szCs w:val="24"/>
          <w:lang w:val="en-GB" w:eastAsia="en-GB"/>
        </w:rPr>
        <w:t> in 1994. Its full members</w:t>
      </w:r>
      <w:r>
        <w:rPr>
          <w:rFonts w:ascii="Times New Roman" w:eastAsiaTheme="minorHAnsi" w:hAnsi="Times New Roman" w:cs="Times New Roman"/>
          <w:sz w:val="24"/>
          <w:szCs w:val="24"/>
          <w:lang w:val="en-GB" w:eastAsia="en-GB"/>
        </w:rPr>
        <w:t xml:space="preserve"> </w:t>
      </w:r>
      <w:r w:rsidRPr="00821B45">
        <w:rPr>
          <w:rFonts w:ascii="Times New Roman" w:eastAsiaTheme="minorHAnsi" w:hAnsi="Times New Roman" w:cs="Times New Roman"/>
          <w:sz w:val="24"/>
          <w:szCs w:val="24"/>
          <w:lang w:val="en-GB" w:eastAsia="en-GB"/>
        </w:rPr>
        <w:t>are </w:t>
      </w:r>
      <w:hyperlink r:id="rId95" w:tooltip="Argentina" w:history="1">
        <w:r w:rsidRPr="00821B45">
          <w:rPr>
            <w:rFonts w:ascii="Times New Roman" w:eastAsiaTheme="minorHAnsi" w:hAnsi="Times New Roman" w:cs="Times New Roman"/>
            <w:sz w:val="24"/>
            <w:szCs w:val="24"/>
            <w:lang w:val="en-GB" w:eastAsia="en-GB"/>
          </w:rPr>
          <w:t>Argentina</w:t>
        </w:r>
      </w:hyperlink>
      <w:r w:rsidRPr="00821B45">
        <w:rPr>
          <w:rFonts w:ascii="Times New Roman" w:eastAsiaTheme="minorHAnsi" w:hAnsi="Times New Roman" w:cs="Times New Roman"/>
          <w:sz w:val="24"/>
          <w:szCs w:val="24"/>
          <w:lang w:val="en-GB" w:eastAsia="en-GB"/>
        </w:rPr>
        <w:t>, </w:t>
      </w:r>
      <w:hyperlink r:id="rId96" w:tooltip="Brazil" w:history="1">
        <w:r w:rsidRPr="00821B45">
          <w:rPr>
            <w:rFonts w:ascii="Times New Roman" w:eastAsiaTheme="minorHAnsi" w:hAnsi="Times New Roman" w:cs="Times New Roman"/>
            <w:sz w:val="24"/>
            <w:szCs w:val="24"/>
            <w:lang w:val="en-GB" w:eastAsia="en-GB"/>
          </w:rPr>
          <w:t>Brazil</w:t>
        </w:r>
      </w:hyperlink>
      <w:r w:rsidRPr="00821B45">
        <w:rPr>
          <w:rFonts w:ascii="Times New Roman" w:eastAsiaTheme="minorHAnsi" w:hAnsi="Times New Roman" w:cs="Times New Roman"/>
          <w:sz w:val="24"/>
          <w:szCs w:val="24"/>
          <w:lang w:val="en-GB" w:eastAsia="en-GB"/>
        </w:rPr>
        <w:t>, </w:t>
      </w:r>
      <w:hyperlink r:id="rId97" w:tooltip="Paraguay" w:history="1">
        <w:r w:rsidRPr="00821B45">
          <w:rPr>
            <w:rFonts w:ascii="Times New Roman" w:eastAsiaTheme="minorHAnsi" w:hAnsi="Times New Roman" w:cs="Times New Roman"/>
            <w:sz w:val="24"/>
            <w:szCs w:val="24"/>
            <w:lang w:val="en-GB" w:eastAsia="en-GB"/>
          </w:rPr>
          <w:t>Paraguay</w:t>
        </w:r>
      </w:hyperlink>
      <w:r w:rsidRPr="00821B45">
        <w:rPr>
          <w:rFonts w:ascii="Times New Roman" w:eastAsiaTheme="minorHAnsi" w:hAnsi="Times New Roman" w:cs="Times New Roman"/>
          <w:sz w:val="24"/>
          <w:szCs w:val="24"/>
          <w:lang w:val="en-GB" w:eastAsia="en-GB"/>
        </w:rPr>
        <w:t> and </w:t>
      </w:r>
      <w:hyperlink r:id="rId98" w:tooltip="Uruguay" w:history="1">
        <w:r w:rsidRPr="00821B45">
          <w:rPr>
            <w:rFonts w:ascii="Times New Roman" w:eastAsiaTheme="minorHAnsi" w:hAnsi="Times New Roman" w:cs="Times New Roman"/>
            <w:sz w:val="24"/>
            <w:szCs w:val="24"/>
            <w:lang w:val="en-GB" w:eastAsia="en-GB"/>
          </w:rPr>
          <w:t>Uruguay</w:t>
        </w:r>
      </w:hyperlink>
      <w:r w:rsidRPr="00821B45">
        <w:rPr>
          <w:rFonts w:ascii="Times New Roman" w:eastAsiaTheme="minorHAnsi" w:hAnsi="Times New Roman" w:cs="Times New Roman"/>
          <w:sz w:val="24"/>
          <w:szCs w:val="24"/>
          <w:lang w:val="en-GB" w:eastAsia="en-GB"/>
        </w:rPr>
        <w:t>. Mercosur's purpose is to promote </w:t>
      </w:r>
      <w:hyperlink r:id="rId99" w:tooltip="Free trade" w:history="1">
        <w:r w:rsidRPr="00821B45">
          <w:rPr>
            <w:rFonts w:ascii="Times New Roman" w:eastAsiaTheme="minorHAnsi" w:hAnsi="Times New Roman" w:cs="Times New Roman"/>
            <w:sz w:val="24"/>
            <w:szCs w:val="24"/>
            <w:lang w:val="en-GB" w:eastAsia="en-GB"/>
          </w:rPr>
          <w:t>free trade</w:t>
        </w:r>
      </w:hyperlink>
      <w:r w:rsidRPr="00821B45">
        <w:rPr>
          <w:rFonts w:ascii="Times New Roman" w:eastAsiaTheme="minorHAnsi" w:hAnsi="Times New Roman" w:cs="Times New Roman"/>
          <w:sz w:val="24"/>
          <w:szCs w:val="24"/>
          <w:lang w:val="en-GB" w:eastAsia="en-GB"/>
        </w:rPr>
        <w:t> and the fluid movement of goods, people, and currency</w:t>
      </w:r>
      <w:r>
        <w:rPr>
          <w:rFonts w:ascii="Times New Roman" w:eastAsiaTheme="minorHAnsi" w:hAnsi="Times New Roman" w:cs="Times New Roman"/>
          <w:sz w:val="24"/>
          <w:szCs w:val="24"/>
          <w:lang w:val="en-GB" w:eastAsia="en-GB"/>
        </w:rPr>
        <w:t xml:space="preserve"> among member States</w:t>
      </w:r>
      <w:r w:rsidRPr="00821B45">
        <w:rPr>
          <w:rFonts w:ascii="Times New Roman" w:eastAsiaTheme="minorHAnsi" w:hAnsi="Times New Roman" w:cs="Times New Roman"/>
          <w:sz w:val="24"/>
          <w:szCs w:val="24"/>
          <w:lang w:val="en-GB" w:eastAsia="en-GB"/>
        </w:rPr>
        <w:t xml:space="preserve">. The States Parties signed a specific agreement on environmental issues within MERCOSUR, reaffirming their commitment to the principles enunciated in the Rio de Janeiro Declaration </w:t>
      </w:r>
      <w:r>
        <w:rPr>
          <w:rFonts w:ascii="Times New Roman" w:eastAsiaTheme="minorHAnsi" w:hAnsi="Times New Roman" w:cs="Times New Roman"/>
          <w:sz w:val="24"/>
          <w:szCs w:val="24"/>
          <w:lang w:val="en-GB" w:eastAsia="en-GB"/>
        </w:rPr>
        <w:t>on</w:t>
      </w:r>
      <w:r w:rsidRPr="00821B45">
        <w:rPr>
          <w:rFonts w:ascii="Times New Roman" w:eastAsiaTheme="minorHAnsi" w:hAnsi="Times New Roman" w:cs="Times New Roman"/>
          <w:sz w:val="24"/>
          <w:szCs w:val="24"/>
          <w:lang w:val="en-GB" w:eastAsia="en-GB"/>
        </w:rPr>
        <w:t xml:space="preserve"> Environment and Development. The Agreement aims at sustainable development and the protection of the </w:t>
      </w:r>
      <w:r w:rsidRPr="00D541E2">
        <w:rPr>
          <w:rFonts w:ascii="Times New Roman" w:eastAsiaTheme="minorHAnsi" w:hAnsi="Times New Roman" w:cs="Times New Roman"/>
          <w:sz w:val="24"/>
          <w:szCs w:val="24"/>
          <w:lang w:val="en-GB" w:eastAsia="en-GB"/>
        </w:rPr>
        <w:t xml:space="preserve">environment through the articulation of the economic, social and environmental dimensions, </w:t>
      </w:r>
      <w:r>
        <w:rPr>
          <w:rFonts w:ascii="Times New Roman" w:eastAsiaTheme="minorHAnsi" w:hAnsi="Times New Roman" w:cs="Times New Roman"/>
          <w:sz w:val="24"/>
          <w:szCs w:val="24"/>
          <w:lang w:val="en-GB" w:eastAsia="en-GB"/>
        </w:rPr>
        <w:t xml:space="preserve">and </w:t>
      </w:r>
      <w:r w:rsidRPr="00D541E2">
        <w:rPr>
          <w:rFonts w:ascii="Times New Roman" w:eastAsiaTheme="minorHAnsi" w:hAnsi="Times New Roman" w:cs="Times New Roman"/>
          <w:sz w:val="24"/>
          <w:szCs w:val="24"/>
          <w:lang w:val="en-GB" w:eastAsia="en-GB"/>
        </w:rPr>
        <w:t>contributing to a better quality of the environment and a better life for the population.</w:t>
      </w:r>
      <w:r>
        <w:rPr>
          <w:rFonts w:ascii="Times New Roman" w:eastAsiaTheme="minorHAnsi" w:hAnsi="Times New Roman" w:cs="Times New Roman"/>
          <w:sz w:val="24"/>
          <w:szCs w:val="24"/>
          <w:lang w:val="en-GB" w:eastAsia="en-GB"/>
        </w:rPr>
        <w:t xml:space="preserve"> </w:t>
      </w:r>
      <w:r w:rsidRPr="004E6C15">
        <w:rPr>
          <w:rFonts w:ascii="Times New Roman" w:eastAsiaTheme="minorHAnsi" w:hAnsi="Times New Roman" w:cs="Times New Roman"/>
          <w:sz w:val="24"/>
          <w:szCs w:val="24"/>
          <w:lang w:val="en-GB" w:eastAsia="en-GB"/>
        </w:rPr>
        <w:t>This would clearly require sustainability to be part of any regulated hunting for trade, but</w:t>
      </w:r>
      <w:r w:rsidR="00767BA2">
        <w:rPr>
          <w:rFonts w:ascii="Times New Roman" w:eastAsiaTheme="minorHAnsi" w:hAnsi="Times New Roman" w:cs="Times New Roman"/>
          <w:sz w:val="24"/>
          <w:szCs w:val="24"/>
          <w:lang w:val="en-GB" w:eastAsia="en-GB"/>
        </w:rPr>
        <w:t xml:space="preserve"> the </w:t>
      </w:r>
      <w:r w:rsidRPr="004E6C15">
        <w:rPr>
          <w:rFonts w:ascii="Times New Roman" w:eastAsiaTheme="minorHAnsi" w:hAnsi="Times New Roman" w:cs="Times New Roman"/>
          <w:sz w:val="24"/>
          <w:szCs w:val="24"/>
          <w:lang w:val="en-GB" w:eastAsia="en-GB"/>
        </w:rPr>
        <w:t xml:space="preserve"> </w:t>
      </w:r>
      <w:r w:rsidR="00767BA2">
        <w:rPr>
          <w:rFonts w:ascii="Times New Roman" w:eastAsiaTheme="minorHAnsi" w:hAnsi="Times New Roman" w:cs="Times New Roman"/>
          <w:sz w:val="24"/>
          <w:szCs w:val="24"/>
          <w:lang w:val="en-GB" w:eastAsia="en-GB"/>
        </w:rPr>
        <w:t>S</w:t>
      </w:r>
      <w:r w:rsidR="00767BA2" w:rsidRPr="00767BA2">
        <w:rPr>
          <w:rFonts w:ascii="Times New Roman" w:eastAsiaTheme="minorHAnsi" w:hAnsi="Times New Roman" w:cs="Times New Roman"/>
          <w:sz w:val="24"/>
          <w:szCs w:val="24"/>
          <w:lang w:val="en-GB" w:eastAsia="en-GB"/>
        </w:rPr>
        <w:t>outhern Common Market</w:t>
      </w:r>
      <w:r w:rsidR="00767BA2" w:rsidRPr="004E6C15">
        <w:rPr>
          <w:rFonts w:ascii="Times New Roman" w:eastAsiaTheme="minorHAnsi" w:hAnsi="Times New Roman" w:cs="Times New Roman"/>
          <w:sz w:val="24"/>
          <w:szCs w:val="24"/>
          <w:lang w:val="en-GB" w:eastAsia="en-GB"/>
        </w:rPr>
        <w:t xml:space="preserve"> </w:t>
      </w:r>
      <w:r w:rsidR="00767BA2">
        <w:rPr>
          <w:rFonts w:ascii="Times New Roman" w:eastAsiaTheme="minorHAnsi" w:hAnsi="Times New Roman" w:cs="Times New Roman"/>
          <w:sz w:val="24"/>
          <w:szCs w:val="24"/>
          <w:lang w:val="en-GB" w:eastAsia="en-GB"/>
        </w:rPr>
        <w:t>(</w:t>
      </w:r>
      <w:r w:rsidRPr="004E6C15">
        <w:rPr>
          <w:rFonts w:ascii="Times New Roman" w:eastAsiaTheme="minorHAnsi" w:hAnsi="Times New Roman" w:cs="Times New Roman"/>
          <w:sz w:val="24"/>
          <w:szCs w:val="24"/>
          <w:lang w:val="en-GB" w:eastAsia="en-GB"/>
        </w:rPr>
        <w:t>Mercosur</w:t>
      </w:r>
      <w:r w:rsidR="00767BA2">
        <w:rPr>
          <w:rFonts w:ascii="Times New Roman" w:eastAsiaTheme="minorHAnsi" w:hAnsi="Times New Roman" w:cs="Times New Roman"/>
          <w:sz w:val="24"/>
          <w:szCs w:val="24"/>
          <w:lang w:val="en-GB" w:eastAsia="en-GB"/>
        </w:rPr>
        <w:t>)</w:t>
      </w:r>
      <w:r w:rsidRPr="004E6C15">
        <w:rPr>
          <w:rFonts w:ascii="Times New Roman" w:eastAsiaTheme="minorHAnsi" w:hAnsi="Times New Roman" w:cs="Times New Roman"/>
          <w:sz w:val="24"/>
          <w:szCs w:val="24"/>
          <w:lang w:val="en-GB" w:eastAsia="en-GB"/>
        </w:rPr>
        <w:t xml:space="preserve"> does not publish specific wild meat policies.</w:t>
      </w:r>
      <w:r>
        <w:rPr>
          <w:rFonts w:ascii="Times New Roman" w:eastAsiaTheme="minorHAnsi" w:hAnsi="Times New Roman" w:cs="Times New Roman"/>
          <w:sz w:val="24"/>
          <w:szCs w:val="24"/>
          <w:lang w:val="en-GB" w:eastAsia="en-GB"/>
        </w:rPr>
        <w:t xml:space="preserve"> </w:t>
      </w:r>
    </w:p>
    <w:p w14:paraId="34768B46" w14:textId="77777777" w:rsidR="000A7365" w:rsidRPr="00D541E2" w:rsidRDefault="000A7365" w:rsidP="000A736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inherit" w:hAnsi="inherit" w:cs="Courier New"/>
          <w:color w:val="212121"/>
          <w:sz w:val="20"/>
          <w:szCs w:val="20"/>
          <w:lang w:val="en-US"/>
        </w:rPr>
      </w:pPr>
    </w:p>
    <w:p w14:paraId="42C9B96C" w14:textId="77777777" w:rsidR="000A7365" w:rsidRDefault="000A7365" w:rsidP="001C1D6E">
      <w:pPr>
        <w:pStyle w:val="Heading3"/>
      </w:pPr>
      <w:r>
        <w:lastRenderedPageBreak/>
        <w:t xml:space="preserve">South East </w:t>
      </w:r>
      <w:r w:rsidRPr="00D541E2">
        <w:t>Asia</w:t>
      </w:r>
    </w:p>
    <w:p w14:paraId="4FDB3887" w14:textId="77777777" w:rsidR="000A7365" w:rsidRPr="00B403C2" w:rsidRDefault="000A7365" w:rsidP="00920854">
      <w:pPr>
        <w:jc w:val="both"/>
      </w:pPr>
      <w:r>
        <w:rPr>
          <w:lang w:val="en-US"/>
        </w:rPr>
        <w:t xml:space="preserve">South East Asian countries recognize an urgent need for improved hunting governance and it is expressed as a priority at national and regional level. However, hunting to supply the commercial trade in wildlife trophies and traditional medicines is at the forefront of policies. </w:t>
      </w:r>
    </w:p>
    <w:p w14:paraId="28147A25" w14:textId="63FE9E4F" w:rsidR="000A7365" w:rsidRPr="001B2590" w:rsidRDefault="005B53D0" w:rsidP="00920854">
      <w:pPr>
        <w:jc w:val="both"/>
        <w:rPr>
          <w:lang w:val="en-US"/>
        </w:rPr>
      </w:pPr>
      <w:r>
        <w:rPr>
          <w:lang w:val="en-US"/>
        </w:rPr>
        <w:t xml:space="preserve">ASEAN </w:t>
      </w:r>
      <w:r w:rsidR="000A7365">
        <w:rPr>
          <w:lang w:val="en-US"/>
        </w:rPr>
        <w:t xml:space="preserve">is a regional </w:t>
      </w:r>
      <w:r w:rsidR="000A7365" w:rsidRPr="00562E6D">
        <w:rPr>
          <w:lang w:val="en-US"/>
        </w:rPr>
        <w:t>intergovernmental organization comprising ten Southeast Asian countries that promotes intergovernmental cooperation and facilitates economic, political, security, military, educational, and sociocultural integration amongst its members</w:t>
      </w:r>
      <w:r w:rsidR="000A7365">
        <w:rPr>
          <w:lang w:val="en-US"/>
        </w:rPr>
        <w:t xml:space="preserve">. Members include </w:t>
      </w:r>
      <w:r w:rsidR="000A7365" w:rsidRPr="00562E6D">
        <w:rPr>
          <w:lang w:val="en-US"/>
        </w:rPr>
        <w:t>Brunei, Cambodia, Indonesia, Lao PDR, Malaysia, Myanmar, the</w:t>
      </w:r>
      <w:r w:rsidR="000A7365">
        <w:rPr>
          <w:lang w:val="en-US"/>
        </w:rPr>
        <w:t xml:space="preserve"> </w:t>
      </w:r>
      <w:r w:rsidR="000A7365" w:rsidRPr="00562E6D">
        <w:rPr>
          <w:lang w:val="en-US"/>
        </w:rPr>
        <w:t>Philippines, Singapore, Thailand and Vietnam</w:t>
      </w:r>
      <w:r w:rsidR="000A7365">
        <w:rPr>
          <w:lang w:val="en-US"/>
        </w:rPr>
        <w:t xml:space="preserve">. </w:t>
      </w:r>
      <w:r w:rsidR="000A7365" w:rsidRPr="001B2590">
        <w:rPr>
          <w:lang w:val="en-US"/>
        </w:rPr>
        <w:t>ASEAN’s overarching objectives and policies are detailed in three</w:t>
      </w:r>
      <w:r w:rsidR="000A7365">
        <w:rPr>
          <w:lang w:val="en-US"/>
        </w:rPr>
        <w:t xml:space="preserve"> </w:t>
      </w:r>
      <w:r w:rsidR="000A7365" w:rsidRPr="001B2590">
        <w:rPr>
          <w:lang w:val="en-US"/>
        </w:rPr>
        <w:t>‘blueprint’ documents</w:t>
      </w:r>
      <w:r w:rsidR="000A7365">
        <w:rPr>
          <w:lang w:val="en-US"/>
        </w:rPr>
        <w:t xml:space="preserve"> for community policies in economics, socio-cultural affairs and politics-security.</w:t>
      </w:r>
      <w:r w:rsidR="000A7365" w:rsidRPr="001B2590">
        <w:rPr>
          <w:lang w:val="en-US"/>
        </w:rPr>
        <w:t xml:space="preserve"> Th</w:t>
      </w:r>
      <w:r w:rsidR="000A7365">
        <w:rPr>
          <w:lang w:val="en-US"/>
        </w:rPr>
        <w:t>e socio-cultural blueprint for policies until 2025</w:t>
      </w:r>
      <w:r w:rsidR="000A7365" w:rsidRPr="001B2590">
        <w:rPr>
          <w:lang w:val="en-US"/>
        </w:rPr>
        <w:t xml:space="preserve"> includes</w:t>
      </w:r>
      <w:r w:rsidR="000A7365">
        <w:rPr>
          <w:lang w:val="en-US"/>
        </w:rPr>
        <w:t xml:space="preserve"> </w:t>
      </w:r>
      <w:r w:rsidR="000A7365" w:rsidRPr="001B2590">
        <w:rPr>
          <w:lang w:val="en-US"/>
        </w:rPr>
        <w:t>environmental cooperation</w:t>
      </w:r>
      <w:r w:rsidR="000A7365">
        <w:rPr>
          <w:lang w:val="en-US"/>
        </w:rPr>
        <w:t xml:space="preserve">. It </w:t>
      </w:r>
      <w:r w:rsidR="000A7365" w:rsidRPr="001B2590">
        <w:rPr>
          <w:lang w:val="en-US"/>
        </w:rPr>
        <w:t>identif</w:t>
      </w:r>
      <w:r w:rsidR="000A7365">
        <w:rPr>
          <w:lang w:val="en-US"/>
        </w:rPr>
        <w:t>ies</w:t>
      </w:r>
      <w:r w:rsidR="000A7365" w:rsidRPr="001B2590">
        <w:rPr>
          <w:lang w:val="en-US"/>
        </w:rPr>
        <w:t xml:space="preserve"> several</w:t>
      </w:r>
      <w:r w:rsidR="000A7365">
        <w:rPr>
          <w:lang w:val="en-US"/>
        </w:rPr>
        <w:t xml:space="preserve"> </w:t>
      </w:r>
      <w:r w:rsidR="000A7365" w:rsidRPr="001B2590">
        <w:rPr>
          <w:lang w:val="en-US"/>
        </w:rPr>
        <w:t>priority areas of regional importance</w:t>
      </w:r>
      <w:r w:rsidR="000A7365">
        <w:rPr>
          <w:lang w:val="en-US"/>
        </w:rPr>
        <w:t xml:space="preserve">, including </w:t>
      </w:r>
      <w:r w:rsidR="000A7365" w:rsidRPr="001B2590">
        <w:rPr>
          <w:lang w:val="en-US"/>
        </w:rPr>
        <w:t>sustainable use of terrestrial,</w:t>
      </w:r>
      <w:r w:rsidR="000A7365">
        <w:rPr>
          <w:lang w:val="en-US"/>
        </w:rPr>
        <w:t xml:space="preserve"> </w:t>
      </w:r>
      <w:r w:rsidR="000A7365" w:rsidRPr="001B2590">
        <w:rPr>
          <w:lang w:val="en-US"/>
        </w:rPr>
        <w:t xml:space="preserve">marine and coastal ecosystems and </w:t>
      </w:r>
      <w:r w:rsidR="000A7365">
        <w:rPr>
          <w:lang w:val="en-US"/>
        </w:rPr>
        <w:t xml:space="preserve">a </w:t>
      </w:r>
      <w:r w:rsidR="000A7365" w:rsidRPr="001B2590">
        <w:rPr>
          <w:lang w:val="en-US"/>
        </w:rPr>
        <w:t>halt to biodiversity loss and</w:t>
      </w:r>
      <w:r w:rsidR="000A7365">
        <w:rPr>
          <w:lang w:val="en-US"/>
        </w:rPr>
        <w:t xml:space="preserve"> land degradation.</w:t>
      </w:r>
    </w:p>
    <w:p w14:paraId="349EB4E2" w14:textId="6E1B5F1B" w:rsidR="000A7365" w:rsidRDefault="000A7365" w:rsidP="00920854">
      <w:pPr>
        <w:jc w:val="both"/>
        <w:rPr>
          <w:lang w:val="en-US"/>
        </w:rPr>
      </w:pPr>
      <w:r w:rsidRPr="00562E6D">
        <w:rPr>
          <w:lang w:val="en-US"/>
        </w:rPr>
        <w:t>Member states of ASEAN</w:t>
      </w:r>
      <w:r>
        <w:rPr>
          <w:lang w:val="en-US"/>
        </w:rPr>
        <w:t xml:space="preserve"> </w:t>
      </w:r>
      <w:r w:rsidRPr="00562E6D">
        <w:rPr>
          <w:lang w:val="en-US"/>
        </w:rPr>
        <w:t>have recogni</w:t>
      </w:r>
      <w:r>
        <w:rPr>
          <w:lang w:val="en-US"/>
        </w:rPr>
        <w:t>z</w:t>
      </w:r>
      <w:r w:rsidRPr="00562E6D">
        <w:rPr>
          <w:lang w:val="en-US"/>
        </w:rPr>
        <w:t>ed the importance of action on wildlife crime,</w:t>
      </w:r>
      <w:r>
        <w:rPr>
          <w:lang w:val="en-US"/>
        </w:rPr>
        <w:t xml:space="preserve"> </w:t>
      </w:r>
      <w:r w:rsidRPr="00562E6D">
        <w:rPr>
          <w:lang w:val="en-US"/>
        </w:rPr>
        <w:t xml:space="preserve">with ASEAN </w:t>
      </w:r>
      <w:r>
        <w:rPr>
          <w:lang w:val="en-US"/>
        </w:rPr>
        <w:t>m</w:t>
      </w:r>
      <w:r w:rsidRPr="00562E6D">
        <w:rPr>
          <w:lang w:val="en-US"/>
        </w:rPr>
        <w:t>inisters adding wildlife and timber trafficking to</w:t>
      </w:r>
      <w:r>
        <w:rPr>
          <w:lang w:val="en-US"/>
        </w:rPr>
        <w:t xml:space="preserve"> </w:t>
      </w:r>
      <w:r w:rsidRPr="00562E6D">
        <w:rPr>
          <w:lang w:val="en-US"/>
        </w:rPr>
        <w:t>the list of priority transnational crimes, mandating follow-up</w:t>
      </w:r>
      <w:r>
        <w:rPr>
          <w:lang w:val="en-US"/>
        </w:rPr>
        <w:t xml:space="preserve"> </w:t>
      </w:r>
      <w:r w:rsidRPr="00562E6D">
        <w:rPr>
          <w:lang w:val="en-US"/>
        </w:rPr>
        <w:t>through the ASEAN Senior Officials Meeting on Trans-National</w:t>
      </w:r>
      <w:r>
        <w:rPr>
          <w:lang w:val="en-US"/>
        </w:rPr>
        <w:t xml:space="preserve"> </w:t>
      </w:r>
      <w:r w:rsidRPr="00562E6D">
        <w:rPr>
          <w:lang w:val="en-US"/>
        </w:rPr>
        <w:t>Crime.</w:t>
      </w:r>
      <w:r>
        <w:rPr>
          <w:lang w:val="en-US"/>
        </w:rPr>
        <w:t xml:space="preserve"> Fo</w:t>
      </w:r>
      <w:r w:rsidRPr="00562E6D">
        <w:rPr>
          <w:lang w:val="en-US"/>
        </w:rPr>
        <w:t>llowing this decision</w:t>
      </w:r>
      <w:r>
        <w:rPr>
          <w:lang w:val="en-US"/>
        </w:rPr>
        <w:t xml:space="preserve"> </w:t>
      </w:r>
      <w:r w:rsidRPr="00562E6D">
        <w:rPr>
          <w:lang w:val="en-US"/>
        </w:rPr>
        <w:t>the ASEAN National Police</w:t>
      </w:r>
      <w:r>
        <w:rPr>
          <w:lang w:val="en-US"/>
        </w:rPr>
        <w:t xml:space="preserve"> </w:t>
      </w:r>
      <w:r w:rsidRPr="00562E6D">
        <w:rPr>
          <w:lang w:val="en-US"/>
        </w:rPr>
        <w:t>Network</w:t>
      </w:r>
      <w:r>
        <w:t xml:space="preserve"> (</w:t>
      </w:r>
      <w:hyperlink r:id="rId100" w:history="1">
        <w:r w:rsidRPr="00D541E2">
          <w:rPr>
            <w:rStyle w:val="Hyperlink"/>
            <w:lang w:val="en-US"/>
          </w:rPr>
          <w:t>ASEANAPOL</w:t>
        </w:r>
      </w:hyperlink>
      <w:r>
        <w:rPr>
          <w:lang w:val="en-US"/>
        </w:rPr>
        <w:t xml:space="preserve">), </w:t>
      </w:r>
      <w:r w:rsidRPr="00562E6D">
        <w:rPr>
          <w:lang w:val="en-US"/>
        </w:rPr>
        <w:t>is also seeking to work more closely with the</w:t>
      </w:r>
      <w:r>
        <w:rPr>
          <w:lang w:val="en-US"/>
        </w:rPr>
        <w:t xml:space="preserve"> ICCWC’s </w:t>
      </w:r>
      <w:r w:rsidRPr="00562E6D">
        <w:rPr>
          <w:lang w:val="en-US"/>
        </w:rPr>
        <w:t>ASEAN-Wildlife Enforcement Network (</w:t>
      </w:r>
      <w:hyperlink r:id="rId101" w:history="1">
        <w:r w:rsidRPr="00D541E2">
          <w:rPr>
            <w:rStyle w:val="Hyperlink"/>
            <w:lang w:val="en-US"/>
          </w:rPr>
          <w:t>ASEAN-WEN</w:t>
        </w:r>
      </w:hyperlink>
      <w:r w:rsidRPr="00562E6D">
        <w:rPr>
          <w:lang w:val="en-US"/>
        </w:rPr>
        <w:t>).</w:t>
      </w:r>
      <w:r>
        <w:rPr>
          <w:lang w:val="en-US"/>
        </w:rPr>
        <w:t xml:space="preserve"> </w:t>
      </w:r>
    </w:p>
    <w:p w14:paraId="478E1AF7" w14:textId="77777777" w:rsidR="000A7365" w:rsidRPr="004904D8" w:rsidRDefault="000A7365" w:rsidP="00DF57F3">
      <w:pPr>
        <w:pStyle w:val="Heading2"/>
      </w:pPr>
      <w:bookmarkStart w:id="160" w:name="_Toc517693760"/>
      <w:bookmarkStart w:id="161" w:name="_Toc506383653"/>
      <w:bookmarkStart w:id="162" w:name="_Toc519156104"/>
      <w:bookmarkStart w:id="163" w:name="_Toc520802791"/>
      <w:bookmarkStart w:id="164" w:name="_Toc529390363"/>
      <w:r w:rsidRPr="004904D8">
        <w:t xml:space="preserve">Voluntary </w:t>
      </w:r>
      <w:bookmarkEnd w:id="160"/>
      <w:bookmarkEnd w:id="161"/>
      <w:r>
        <w:t xml:space="preserve">intergovernmental and multi-stakeholder </w:t>
      </w:r>
      <w:r w:rsidRPr="004904D8">
        <w:t>initiatives</w:t>
      </w:r>
      <w:bookmarkEnd w:id="162"/>
      <w:bookmarkEnd w:id="163"/>
      <w:bookmarkEnd w:id="164"/>
    </w:p>
    <w:p w14:paraId="63450984" w14:textId="593306A4" w:rsidR="000A7365" w:rsidRPr="00EE2428" w:rsidRDefault="000A7365" w:rsidP="00920854">
      <w:pPr>
        <w:pStyle w:val="CommentText"/>
        <w:jc w:val="both"/>
      </w:pPr>
      <w:r>
        <w:t>International and regional g</w:t>
      </w:r>
      <w:r w:rsidRPr="005512D2">
        <w:t>overnance</w:t>
      </w:r>
      <w:r>
        <w:t xml:space="preserve"> of wildlife resources</w:t>
      </w:r>
      <w:r w:rsidRPr="005512D2">
        <w:t xml:space="preserve"> can be influenced by regional alliances, NGO activity, social media and voluntar</w:t>
      </w:r>
      <w:r w:rsidRPr="003E3238">
        <w:t xml:space="preserve">y initiatives of individuals. Social movements lobby </w:t>
      </w:r>
      <w:r>
        <w:t>g</w:t>
      </w:r>
      <w:r w:rsidRPr="003E3238">
        <w:t>overnment to ensure legal refor</w:t>
      </w:r>
      <w:r>
        <w:t xml:space="preserve">m, but </w:t>
      </w:r>
      <w:r w:rsidRPr="003E3238">
        <w:t xml:space="preserve">can </w:t>
      </w:r>
      <w:r>
        <w:t xml:space="preserve">also </w:t>
      </w:r>
      <w:r w:rsidRPr="003E3238">
        <w:t>be powerful in influencing behaviour</w:t>
      </w:r>
      <w:r>
        <w:t>al change,</w:t>
      </w:r>
      <w:r w:rsidRPr="00EE2428">
        <w:t xml:space="preserve"> even </w:t>
      </w:r>
      <w:r>
        <w:t xml:space="preserve">before any legislation obliges it. In this section, we review some of the larger voluntary initiatives with the objective of improving sustainability in management of wildlife. </w:t>
      </w:r>
    </w:p>
    <w:p w14:paraId="6A8AFCAB" w14:textId="0890313A" w:rsidR="000A7365" w:rsidRDefault="000A7365" w:rsidP="00920854">
      <w:pPr>
        <w:jc w:val="both"/>
      </w:pPr>
      <w:r>
        <w:t>C</w:t>
      </w:r>
      <w:r w:rsidRPr="004904D8">
        <w:t xml:space="preserve">ivil society is now giving </w:t>
      </w:r>
      <w:r>
        <w:t xml:space="preserve">high importance </w:t>
      </w:r>
      <w:r w:rsidRPr="004904D8">
        <w:t>to the issue</w:t>
      </w:r>
      <w:r>
        <w:t xml:space="preserve"> of sustainability, from governments to NGOs to individual actions as consumers</w:t>
      </w:r>
      <w:r w:rsidRPr="004904D8">
        <w:t xml:space="preserve">. </w:t>
      </w:r>
      <w:r>
        <w:t>T</w:t>
      </w:r>
      <w:r w:rsidRPr="004904D8">
        <w:t xml:space="preserve">he </w:t>
      </w:r>
      <w:r>
        <w:t>clear demand for reform</w:t>
      </w:r>
      <w:r w:rsidRPr="004904D8">
        <w:t xml:space="preserve"> provided by voluntary initiatives </w:t>
      </w:r>
      <w:r>
        <w:t>has made n</w:t>
      </w:r>
      <w:r w:rsidRPr="004904D8">
        <w:t>ational wildlife legislation in tropical countries markedly stronger for globally commercialised species</w:t>
      </w:r>
      <w:r w:rsidR="004E6C15">
        <w:t xml:space="preserve"> (i.e. decisions of the CITES CO</w:t>
      </w:r>
      <w:r>
        <w:t>P17 to place all pangolins on Appendix 1, in view of the trade volumes recently registered by civil action groups has then led to improved national protection in Cameroon)</w:t>
      </w:r>
      <w:r w:rsidRPr="004904D8">
        <w:t xml:space="preserve">. However, domestically commercialised wild meat legislation is mostly under reform or requiring reform.  </w:t>
      </w:r>
      <w:r w:rsidRPr="005512D2">
        <w:t xml:space="preserve">Unsustainable hunting for food or trophies has promoted common platforms for </w:t>
      </w:r>
      <w:r>
        <w:t xml:space="preserve">research, </w:t>
      </w:r>
      <w:r w:rsidRPr="005512D2">
        <w:t>lobbying and dissemination of information to the public</w:t>
      </w:r>
      <w:r>
        <w:t xml:space="preserve">, with a view to designing legal frameworks more fit for the dual purposes of protecting wildlife whilst ensuring sustainable livelihoods. </w:t>
      </w:r>
    </w:p>
    <w:p w14:paraId="710C25A7" w14:textId="7AE74E54" w:rsidR="000A7365" w:rsidRPr="0070404D" w:rsidRDefault="000A7365" w:rsidP="00920854">
      <w:pPr>
        <w:jc w:val="both"/>
      </w:pPr>
      <w:r w:rsidRPr="0070404D">
        <w:t xml:space="preserve">Governments can also </w:t>
      </w:r>
      <w:r>
        <w:t>get involved</w:t>
      </w:r>
      <w:r w:rsidRPr="0070404D">
        <w:t xml:space="preserve"> in voluntary initiatives without legal status. They often do so to move regional cooperation forward, or to create an enabling environment for practical solutions to guide policy change. Many such initiatives have recently emerged in governments attempting to find pathways to sustainable wildlife management and use.</w:t>
      </w:r>
      <w:r>
        <w:t xml:space="preserve"> The most high profile of these is probably the founding and participation in the Illegal Wildlife Trade summits (2015-2018), led by the UK and Botswana </w:t>
      </w:r>
      <w:r w:rsidR="007F6C0B">
        <w:fldChar w:fldCharType="begin" w:fldLock="1"/>
      </w:r>
      <w:r w:rsidR="002F6BDE">
        <w:instrText>ADDIN CSL_CITATION {"citationItems":[{"id":"ITEM-1","itemData":{"abstract":"(i) We, the representatives of Governments and Regional Economic Integration Organisations*, gathered in Kasane on 25 March 2015, recognising the detrimental economic, security, social, and environmental implications of the illegal trade in wildlife, make the following political commitment and call upon the international community to act together to bring this to an end. (ii) In doing so the Governments and Regional Economic Integration Organisations which adopted the London Declaration on the Illegal Wildlife Trade reaffirm our determination to implement the commitments made in that Declaration. We welcome the important action already being taken by Governments and others in implementing the actions decided at the London Conference. (iii) We welcome the action taken by Governments to implement their obligations and commitments under international agreements, including under the Convention on International Trade in Endangered Species of Wild Fauna and Flora (CITES). (iv) We also welcome the convening of a number of other high-level events and the commitments to combat the illegal wildlife trade made at them. The London Conference and these events have generated significant momentum at international, regional and national level to enhance efforts to combat the illegal wildlife trade more effectively, to raise the profile of illegal wildlife trade and to secure political support for these efforts. (v) The need for decisive and urgent action to tackle the trafficking of endangered fauna and flora remains greater than ever. Despite efforts to date for many species, the illegal trade, and the poaching which fuels it, is an ongoing and growing problem. To this end we, the Governments and Regional Economic Integration Organisations which adopted the London Declaration and are represented in Kasane, recognise the progress made since the London Conference and welcome those Governments that are newly participating in the Kasane Conference. All participants commit to provide the political leadership and practical support needed to find a lasting solution to the illegal wildlife trade and decide to take the following actions.","author":[{"dropping-particle":"","family":"Governments","given":"","non-dropping-particle":"","parse-names":false,"suffix":""}],"id":"ITEM-1","issued":{"date-parts":[["2015"]]},"number-of-pages":"6","publisher-place":"Kasane, Botswana","title":"Kasane Conference on the Illegal Wildlife Trade: Statement","type":"report"},"uris":["http://www.mendeley.com/documents/?uuid=be41d586-1c59-3414-883a-4c5d07d3bf18"]},{"id":"ITEM-2","itemData":{"author":[{"dropping-particle":"","family":"Kasane Conference on Illegal Wildlife Trade","given":"","non-dropping-particle":"","parse-names":false,"suffix":""}],"id":"ITEM-2","issued":{"date-parts":[["2015"]]},"publisher-place":"Kasane, Botswana","title":"London Declaration on the Illegal Wildlife Trade: Review of Progress","type":"report"},"uris":["http://www.mendeley.com/documents/?uuid=b36f101b-80c1-467b-bfd5-20242c428478"]}],"mendeley":{"formattedCitation":"(Governments 2015; Kasane Conference on Illegal Wildlife Trade 2015)","plainTextFormattedCitation":"(Governments 2015; Kasane Conference on Illegal Wildlife Trade 2015)","previouslyFormattedCitation":"(Governments 2015; Kasane Conference on Illegal Wildlife Trade 2015)"},"properties":{"noteIndex":0},"schema":"https://github.com/citation-style-language/schema/raw/master/csl-citation.json"}</w:instrText>
      </w:r>
      <w:r w:rsidR="007F6C0B">
        <w:fldChar w:fldCharType="separate"/>
      </w:r>
      <w:r w:rsidR="00566AAF" w:rsidRPr="00566AAF">
        <w:rPr>
          <w:noProof/>
        </w:rPr>
        <w:t>(Governments 2015; Kasane Conference on Illegal Wildlife Trade 2015)</w:t>
      </w:r>
      <w:r w:rsidR="007F6C0B">
        <w:fldChar w:fldCharType="end"/>
      </w:r>
      <w:r w:rsidR="00F45B59">
        <w:t>.</w:t>
      </w:r>
      <w:r>
        <w:t xml:space="preserve"> </w:t>
      </w:r>
    </w:p>
    <w:p w14:paraId="7A0D6955" w14:textId="77777777" w:rsidR="000A7365" w:rsidRPr="0070404D" w:rsidRDefault="000A7365" w:rsidP="00920854">
      <w:pPr>
        <w:jc w:val="both"/>
      </w:pPr>
      <w:r w:rsidRPr="0070404D">
        <w:lastRenderedPageBreak/>
        <w:t xml:space="preserve">Several wildlife management consortia have recently emerged, bringing together governments and civil society groups to ensure that a) governments are fully aware of the evidence </w:t>
      </w:r>
      <w:r>
        <w:t>that current hunting practices are unsustainable</w:t>
      </w:r>
      <w:r w:rsidRPr="0070404D">
        <w:t xml:space="preserve"> and b) have access to civil society support for initiatives to effect change in policy and practice when required.</w:t>
      </w:r>
      <w:r>
        <w:t xml:space="preserve"> The joint participation of research institutions, governments with the power to legislate, and broad representation from NGOs and other civil society groups should facilitate the holistic solutions necessary for change towards more sustainable practices in  wildlife use. Examples of some of the larger multi-stakeholder initiatives are given below. </w:t>
      </w:r>
    </w:p>
    <w:p w14:paraId="05DEAD1A" w14:textId="77777777" w:rsidR="00920854" w:rsidRDefault="000A7365" w:rsidP="000A7365">
      <w:r w:rsidRPr="005512D2">
        <w:rPr>
          <w:b/>
          <w:i/>
        </w:rPr>
        <w:t>Collaborative Partnership on Sustainable Wildlife Management</w:t>
      </w:r>
      <w:r>
        <w:rPr>
          <w:b/>
          <w:i/>
        </w:rPr>
        <w:t xml:space="preserve"> (CPW)</w:t>
      </w:r>
      <w:r w:rsidRPr="005512D2">
        <w:t xml:space="preserve">. </w:t>
      </w:r>
    </w:p>
    <w:p w14:paraId="6F8ED0D8" w14:textId="000C2A42" w:rsidR="000A7365" w:rsidRPr="004904D8" w:rsidRDefault="000A7365" w:rsidP="00920854">
      <w:pPr>
        <w:jc w:val="both"/>
      </w:pPr>
      <w:r w:rsidRPr="003E3238">
        <w:t xml:space="preserve">The </w:t>
      </w:r>
      <w:hyperlink r:id="rId102" w:history="1">
        <w:r w:rsidRPr="004904D8">
          <w:rPr>
            <w:rStyle w:val="Hyperlink"/>
          </w:rPr>
          <w:t>CPW</w:t>
        </w:r>
      </w:hyperlink>
      <w:r w:rsidRPr="0070404D">
        <w:t xml:space="preserve"> is a voluntary partnership of 14 international organizations with substantive mandates and programmes to promote the sustainable use and conservation of wildlife resources. It provides a platform for addres</w:t>
      </w:r>
      <w:r w:rsidRPr="004904D8">
        <w:t>sing wildlife management issues that require both national and supra-national responses. The mission of the CPW is to promote conservation through the sustainable management of terrestrial vertebrate wildlife in all biomes and geographic areas, and to incr</w:t>
      </w:r>
      <w:r w:rsidRPr="005512D2">
        <w:t xml:space="preserve">ease cooperation and coordination on sustainable wildlife management issues among its members and partners. Among the useful resources produced by the CPW is the </w:t>
      </w:r>
      <w:hyperlink r:id="rId103" w:history="1">
        <w:r w:rsidRPr="004904D8">
          <w:rPr>
            <w:rStyle w:val="Hyperlink"/>
          </w:rPr>
          <w:t>BushMeat Sourcebook</w:t>
        </w:r>
      </w:hyperlink>
      <w:r w:rsidRPr="0070404D">
        <w:t>, which provides an objective and comprehensive understanding of the global tropical wild meat issue.</w:t>
      </w:r>
    </w:p>
    <w:p w14:paraId="70015CA0" w14:textId="77777777" w:rsidR="00920854" w:rsidRDefault="000A7365" w:rsidP="000A7365">
      <w:r w:rsidRPr="004904D8">
        <w:rPr>
          <w:b/>
          <w:i/>
        </w:rPr>
        <w:t>Elephant Protection Initiative</w:t>
      </w:r>
      <w:r>
        <w:rPr>
          <w:b/>
          <w:i/>
        </w:rPr>
        <w:t xml:space="preserve"> (EPI)</w:t>
      </w:r>
      <w:r w:rsidRPr="004904D8">
        <w:t>.</w:t>
      </w:r>
      <w:r w:rsidRPr="005512D2">
        <w:t xml:space="preserve"> </w:t>
      </w:r>
    </w:p>
    <w:p w14:paraId="4C23D336" w14:textId="294E91AB" w:rsidR="000F760D" w:rsidRPr="00CB3EE6" w:rsidRDefault="000A7365" w:rsidP="00CB3EE6">
      <w:pPr>
        <w:jc w:val="both"/>
      </w:pPr>
      <w:r w:rsidRPr="0070404D">
        <w:t xml:space="preserve">The </w:t>
      </w:r>
      <w:hyperlink r:id="rId104" w:history="1">
        <w:r w:rsidRPr="004904D8">
          <w:rPr>
            <w:rStyle w:val="Hyperlink"/>
          </w:rPr>
          <w:t>EPI</w:t>
        </w:r>
      </w:hyperlink>
      <w:r w:rsidRPr="0070404D">
        <w:t xml:space="preserve"> was founded 2014 by 5 African governm</w:t>
      </w:r>
      <w:r w:rsidRPr="004904D8">
        <w:t>ents</w:t>
      </w:r>
      <w:r>
        <w:t xml:space="preserve">, named </w:t>
      </w:r>
      <w:r w:rsidRPr="004904D8">
        <w:t xml:space="preserve"> Botswana, Chad, Ethiopia, Gabon and Tanzania. It now brings together 38 range states, global NGOs </w:t>
      </w:r>
      <w:r>
        <w:t xml:space="preserve">such as the </w:t>
      </w:r>
      <w:r w:rsidRPr="004904D8">
        <w:t>Conservation International and Stop Ivory</w:t>
      </w:r>
      <w:r>
        <w:t xml:space="preserve"> which</w:t>
      </w:r>
      <w:r w:rsidRPr="004904D8">
        <w:t xml:space="preserve"> run the Secretariat</w:t>
      </w:r>
      <w:r>
        <w:t>,</w:t>
      </w:r>
      <w:r w:rsidRPr="004904D8">
        <w:t xml:space="preserve"> and other partners. The initiative is mainly aimed at preventing elephant hunting for ivory in Africa</w:t>
      </w:r>
      <w:r>
        <w:t>.</w:t>
      </w:r>
      <w:r w:rsidRPr="004904D8">
        <w:t xml:space="preserve"> </w:t>
      </w:r>
      <w:r>
        <w:t>It also</w:t>
      </w:r>
      <w:r w:rsidRPr="004904D8">
        <w:t xml:space="preserve"> supports countries to build national strategies for elephant protection from all threats, including hunting for meat. The EPI explicitly states that its </w:t>
      </w:r>
      <w:hyperlink r:id="rId105" w:history="1">
        <w:r w:rsidRPr="004904D8">
          <w:rPr>
            <w:rStyle w:val="Hyperlink"/>
          </w:rPr>
          <w:t>governance framework</w:t>
        </w:r>
      </w:hyperlink>
      <w:r w:rsidRPr="0070404D">
        <w:t xml:space="preserve"> will be to create National Elephant A</w:t>
      </w:r>
      <w:r>
        <w:t>ction Plans in conformity with a P</w:t>
      </w:r>
      <w:r w:rsidRPr="0070404D">
        <w:t>an</w:t>
      </w:r>
      <w:r>
        <w:t xml:space="preserve"> A</w:t>
      </w:r>
      <w:r w:rsidRPr="0070404D">
        <w:t>frican Elephant Action Plan, which in turn finds its roots in the UN S</w:t>
      </w:r>
      <w:r>
        <w:t xml:space="preserve">ustainable Development </w:t>
      </w:r>
      <w:r w:rsidRPr="0070404D">
        <w:t>G</w:t>
      </w:r>
      <w:r>
        <w:t>oal</w:t>
      </w:r>
      <w:r w:rsidRPr="0070404D">
        <w:t xml:space="preserve">s. The EPI has used technical expertise from NGOs to support an African government vision for </w:t>
      </w:r>
      <w:r w:rsidRPr="004904D8">
        <w:t>conservation and provides easy access to technical support documents in several languages, and methodologies and templates for data collection.</w:t>
      </w:r>
    </w:p>
    <w:p w14:paraId="7324FA95" w14:textId="77777777" w:rsidR="00920854" w:rsidRDefault="000A7365" w:rsidP="000A7365">
      <w:pPr>
        <w:rPr>
          <w:b/>
          <w:i/>
        </w:rPr>
      </w:pPr>
      <w:r w:rsidRPr="004904D8">
        <w:rPr>
          <w:b/>
          <w:i/>
        </w:rPr>
        <w:t>The Global Tiger Initiative</w:t>
      </w:r>
      <w:r>
        <w:rPr>
          <w:b/>
          <w:i/>
        </w:rPr>
        <w:t xml:space="preserve"> (GTI)</w:t>
      </w:r>
      <w:r w:rsidRPr="004904D8">
        <w:rPr>
          <w:b/>
          <w:i/>
        </w:rPr>
        <w:t xml:space="preserve">. </w:t>
      </w:r>
    </w:p>
    <w:p w14:paraId="6D584D74" w14:textId="46370518" w:rsidR="000A7365" w:rsidRPr="005512D2" w:rsidRDefault="000A7365" w:rsidP="00920854">
      <w:pPr>
        <w:jc w:val="both"/>
        <w:rPr>
          <w:b/>
          <w:i/>
        </w:rPr>
      </w:pPr>
      <w:r w:rsidRPr="005512D2">
        <w:t xml:space="preserve">The </w:t>
      </w:r>
      <w:hyperlink r:id="rId106" w:history="1">
        <w:r w:rsidRPr="004904D8">
          <w:rPr>
            <w:rStyle w:val="Hyperlink"/>
          </w:rPr>
          <w:t>GTI</w:t>
        </w:r>
      </w:hyperlink>
      <w:r w:rsidRPr="0070404D">
        <w:t>, established in 2008, is a further example of a mixed consortium of actors, grouping together to find solutions to the overharvesting of wildlife – in this case tigers and their prey. Amongst other actions, the initiative addresses ha</w:t>
      </w:r>
      <w:r w:rsidRPr="004904D8">
        <w:t>rvesting of tiger prey for local human food security</w:t>
      </w:r>
      <w:r>
        <w:t xml:space="preserve">. It also </w:t>
      </w:r>
      <w:r w:rsidRPr="004904D8">
        <w:t xml:space="preserve">provides a model for how civil society expertise and advocacy can be harnessed to support government policy and practices in wild meat management, via organised cooperation in a consortium. </w:t>
      </w:r>
    </w:p>
    <w:p w14:paraId="62EA499C" w14:textId="77777777" w:rsidR="00920854" w:rsidRDefault="000A7365" w:rsidP="000A7365">
      <w:r w:rsidRPr="005512D2">
        <w:rPr>
          <w:b/>
          <w:i/>
        </w:rPr>
        <w:t>The Beyond Enforcement I</w:t>
      </w:r>
      <w:r w:rsidRPr="003E3238">
        <w:rPr>
          <w:b/>
          <w:i/>
        </w:rPr>
        <w:t>nitiative</w:t>
      </w:r>
      <w:r w:rsidRPr="003E3238">
        <w:t xml:space="preserve">. </w:t>
      </w:r>
    </w:p>
    <w:p w14:paraId="456FDBF7" w14:textId="309B102F" w:rsidR="00367A9B" w:rsidRPr="00DF57F3" w:rsidRDefault="000A7365" w:rsidP="00367A9B">
      <w:pPr>
        <w:jc w:val="both"/>
        <w:rPr>
          <w:lang w:val="fr-FR"/>
        </w:rPr>
      </w:pPr>
      <w:r w:rsidRPr="00EE2428">
        <w:t xml:space="preserve">Since mid-2014, IUCN,TRAFFIC  and </w:t>
      </w:r>
      <w:r>
        <w:t xml:space="preserve">the </w:t>
      </w:r>
      <w:r w:rsidRPr="000F65CA">
        <w:t>International Institute for Environment and Development</w:t>
      </w:r>
      <w:r>
        <w:t xml:space="preserve"> (</w:t>
      </w:r>
      <w:r w:rsidRPr="00EE2428">
        <w:t>IIED</w:t>
      </w:r>
      <w:r>
        <w:t>)</w:t>
      </w:r>
      <w:r w:rsidRPr="00EE2428">
        <w:t xml:space="preserve"> have collaborated with a range of partners on the </w:t>
      </w:r>
      <w:hyperlink r:id="rId107" w:history="1">
        <w:r w:rsidRPr="004904D8">
          <w:rPr>
            <w:rStyle w:val="Hyperlink"/>
          </w:rPr>
          <w:t>Beyond Enforcement Initiative</w:t>
        </w:r>
      </w:hyperlink>
      <w:r w:rsidRPr="0070404D">
        <w:t xml:space="preserve"> to highlight the importance of the role that </w:t>
      </w:r>
      <w:r>
        <w:t>indigenous people and local communities</w:t>
      </w:r>
      <w:r w:rsidRPr="0070404D">
        <w:t xml:space="preserve"> play in conserving wildlife and combating </w:t>
      </w:r>
      <w:r>
        <w:t xml:space="preserve">illegal wildlife trade, </w:t>
      </w:r>
      <w:r w:rsidRPr="0070404D">
        <w:t xml:space="preserve">as well as examining where, when, </w:t>
      </w:r>
      <w:r w:rsidRPr="004904D8">
        <w:t xml:space="preserve">and how community-level interventions to stop poaching for </w:t>
      </w:r>
      <w:r>
        <w:t xml:space="preserve">the illegal wildlife trade </w:t>
      </w:r>
      <w:r w:rsidRPr="004904D8">
        <w:lastRenderedPageBreak/>
        <w:t>can be effective. Current</w:t>
      </w:r>
      <w:r w:rsidRPr="005512D2">
        <w:t xml:space="preserve"> efforts </w:t>
      </w:r>
      <w:r w:rsidRPr="00367A9B">
        <w:t xml:space="preserve">have included three regional symposia in </w:t>
      </w:r>
      <w:hyperlink r:id="rId108" w:history="1">
        <w:r w:rsidRPr="00367A9B">
          <w:rPr>
            <w:rStyle w:val="Hyperlink"/>
          </w:rPr>
          <w:t>Vietnam</w:t>
        </w:r>
      </w:hyperlink>
      <w:r w:rsidRPr="00367A9B">
        <w:t xml:space="preserve">, </w:t>
      </w:r>
      <w:hyperlink r:id="rId109" w:history="1">
        <w:r w:rsidRPr="00367A9B">
          <w:rPr>
            <w:rStyle w:val="Hyperlink"/>
          </w:rPr>
          <w:t>Cameroon</w:t>
        </w:r>
      </w:hyperlink>
      <w:r w:rsidRPr="00367A9B">
        <w:t xml:space="preserve"> and </w:t>
      </w:r>
      <w:hyperlink r:id="rId110" w:history="1">
        <w:r w:rsidRPr="00367A9B">
          <w:rPr>
            <w:rStyle w:val="Hyperlink"/>
          </w:rPr>
          <w:t>South Africa</w:t>
        </w:r>
      </w:hyperlink>
      <w:r w:rsidRPr="00367A9B">
        <w:rPr>
          <w:rStyle w:val="Hyperlink"/>
        </w:rPr>
        <w:t xml:space="preserve"> </w:t>
      </w:r>
      <w:r w:rsidRPr="00367A9B">
        <w:t xml:space="preserve">to share experiences. </w:t>
      </w:r>
      <w:r w:rsidR="00367A9B" w:rsidRPr="00367A9B">
        <w:fldChar w:fldCharType="begin" w:fldLock="1"/>
      </w:r>
      <w:r w:rsidR="00B2630D">
        <w:instrText>ADDIN CSL_CITATION {"citationItems":[{"id":"ITEM-1","itemData":{"author":[{"dropping-particle":"","family":"SULi","given":"IUCN","non-dropping-particle":"","parse-names":false,"suffix":""},{"dropping-particle":"","family":"IIED","given":"","non-dropping-particle":"","parse-names":false,"suffix":""},{"dropping-particle":"","family":"CEED","given":"","non-dropping-particle":"","parse-names":false,"suffix":""},{"dropping-particle":"","family":"Austrian Ministry of Environment","given":"","non-dropping-particle":"","parse-names":false,"suffix":""},{"dropping-particle":"","family":"TRAFFIC","given":"","non-dropping-particle":"","parse-names":false,"suffix":""}],"id":"ITEM-1","issue":"February","issued":{"date-parts":[["2015"]]},"publisher-place":"Muldersdrift, South Africa","title":"Beyond enforcement: Communities, governance, incentives and sustainable use in combating wildlife crime","type":"report"},"uris":["http://www.mendeley.com/documents/?uuid=7073abad-212e-4e9f-89d5-d19650f6b99f"]},{"id":"ITEM-2","itemData":{"author":[{"dropping-particle":"","family":"Cooney","given":"Rosie","non-dropping-particle":"","parse-names":false,"suffix":""},{"dropping-particle":"","family":"Roe","given":"Dilys","non-dropping-particle":"","parse-names":false,"suffix":""},{"dropping-particle":"","family":"Melisch","give</w:instrText>
      </w:r>
      <w:r w:rsidR="00B2630D" w:rsidRPr="00DF57F3">
        <w:rPr>
          <w:lang w:val="fr-FR"/>
        </w:rPr>
        <w:instrText>n":"Roland","non-dropping-particle":"","parse-names":false,"suffix":""},{"dropping-particle":"","family":"Dublin","given":"Holly","non-dropping-particle":"","parse-names":false,"suffix":""},{"dropping-particle":"","family":"Dinsi","given":"Stanley","non-dropping-particle":"","parse-names":false,"suffix":""}],"id":"ITEM-2","issued":{"date-parts":[["2016"]]},"title":"Workshop Proceedings: Beyond Enforcement: Involving Indigenous Peoples and Local Communities in Combating Illegal Wildlife Trade. Regional Workshop for West and Central Africa. Published by IUCN SULi.","type":"report"},"uris":["http://www.mendeley.com/documents/?uuid=ebc70f9e-5c75-4b14-9138-554cee69e5b7"]},{"id":"ITEM-3","itemData":{"author":[{"dropping-particle":"","family":"IUCN SULi","given":"","non-dropping-particle":"","parse-names":false,"suffix":""}],"id":"ITEM-3","issued":{"date-parts":[["2017"]]},"publisher-place":"Hanoi, Vietnam","title":"Engaging Communities in Combating Illegal Wildlife Trade: Lessons from Southeast Asia","type":"report"},"uris":["http://www.mendeley.com/documents/?uuid=41008b2f-9cdc-4a25-bbc2-c41b6664f474"]}],"mendeley":{"formattedCitation":"(SULi et al. 2015; Cooney et al. 2016; IUCN SULi 2017)","plainTextFormattedCitation":"(SULi et al. 2015; Cooney et al. 2016; IUCN SULi 2017)","previouslyFormattedCitation":"(SULi et al. 2015; Cooney et al. 2016; IUCN SULi 2017)"},"properties":{"noteIndex":0},"schema":"https://github.com/citation-style-language/schema/raw/master/csl-citation.json"}</w:instrText>
      </w:r>
      <w:r w:rsidR="00367A9B" w:rsidRPr="00367A9B">
        <w:fldChar w:fldCharType="separate"/>
      </w:r>
      <w:r w:rsidR="00367A9B" w:rsidRPr="00DF57F3">
        <w:rPr>
          <w:noProof/>
          <w:lang w:val="fr-FR"/>
        </w:rPr>
        <w:t>(SULi et al. 2015; Cooney et al. 2016; IUCN SULi 2017)</w:t>
      </w:r>
      <w:r w:rsidR="00367A9B" w:rsidRPr="00367A9B">
        <w:fldChar w:fldCharType="end"/>
      </w:r>
    </w:p>
    <w:p w14:paraId="2FDA6C49" w14:textId="5E0A1FB9" w:rsidR="00920854" w:rsidRDefault="000A7365" w:rsidP="00367A9B">
      <w:pPr>
        <w:jc w:val="both"/>
      </w:pPr>
      <w:r w:rsidRPr="00DF57F3">
        <w:rPr>
          <w:b/>
          <w:i/>
          <w:lang w:val="fr-FR"/>
        </w:rPr>
        <w:t>Congo Basin Fore</w:t>
      </w:r>
      <w:r w:rsidRPr="004904D8">
        <w:rPr>
          <w:b/>
          <w:i/>
        </w:rPr>
        <w:t>st Partnership</w:t>
      </w:r>
      <w:r>
        <w:rPr>
          <w:b/>
          <w:i/>
        </w:rPr>
        <w:t xml:space="preserve"> (CBFP)</w:t>
      </w:r>
      <w:r w:rsidRPr="004904D8">
        <w:t xml:space="preserve">. </w:t>
      </w:r>
    </w:p>
    <w:p w14:paraId="73229010" w14:textId="75291217" w:rsidR="000A7365" w:rsidRPr="004904D8" w:rsidRDefault="000A7365" w:rsidP="00920854">
      <w:pPr>
        <w:jc w:val="both"/>
      </w:pPr>
      <w:r w:rsidRPr="005512D2">
        <w:t xml:space="preserve">The </w:t>
      </w:r>
      <w:hyperlink r:id="rId111" w:history="1">
        <w:r w:rsidRPr="004904D8">
          <w:rPr>
            <w:rStyle w:val="Hyperlink"/>
          </w:rPr>
          <w:t>CBFP</w:t>
        </w:r>
      </w:hyperlink>
      <w:r w:rsidRPr="0070404D">
        <w:t xml:space="preserve"> was created in 2002 a</w:t>
      </w:r>
      <w:r w:rsidRPr="004904D8">
        <w:t>t the Johannesburg World Summit on Sustainable Development (also known as Rio +10). It brings together 10 Central African governments and around 95 other partners from the academia, NGOs and private business to support COMIFAC and the Convergence Plan for forest management across the region. It hosts a Working group on Biodiversity and prioritises establishing good governance frameworks for Forest management across the region, including for hunting and sustainable harvesting of wil</w:t>
      </w:r>
      <w:r>
        <w:t>d</w:t>
      </w:r>
      <w:r w:rsidR="00367A9B">
        <w:t>life.</w:t>
      </w:r>
    </w:p>
    <w:p w14:paraId="291DD55F" w14:textId="77777777" w:rsidR="00920854" w:rsidRDefault="000A7365" w:rsidP="000A7365">
      <w:r w:rsidRPr="004904D8">
        <w:rPr>
          <w:b/>
          <w:i/>
        </w:rPr>
        <w:t>Bushmeat Crisis Task Forc</w:t>
      </w:r>
      <w:r w:rsidRPr="005512D2">
        <w:rPr>
          <w:b/>
          <w:i/>
        </w:rPr>
        <w:t>e</w:t>
      </w:r>
      <w:r>
        <w:rPr>
          <w:b/>
          <w:i/>
        </w:rPr>
        <w:t xml:space="preserve"> (BCTF)</w:t>
      </w:r>
      <w:r w:rsidRPr="005512D2">
        <w:t xml:space="preserve">. </w:t>
      </w:r>
    </w:p>
    <w:p w14:paraId="0FFDB99D" w14:textId="4C087074" w:rsidR="000A7365" w:rsidRDefault="000A7365" w:rsidP="00920854">
      <w:pPr>
        <w:jc w:val="both"/>
      </w:pPr>
      <w:r w:rsidRPr="003E3238">
        <w:t xml:space="preserve">Created in 2000, the </w:t>
      </w:r>
      <w:hyperlink r:id="rId112" w:history="1">
        <w:r w:rsidRPr="004904D8">
          <w:rPr>
            <w:rStyle w:val="Hyperlink"/>
          </w:rPr>
          <w:t>Bushmeat Crisis Task Force</w:t>
        </w:r>
      </w:hyperlink>
      <w:r w:rsidRPr="0070404D">
        <w:t xml:space="preserve"> (BCTF) worked to bring the declines in tropical mammal and bird numbers attributed to overhunting to public attention. The organisation worked mainly in the technic</w:t>
      </w:r>
      <w:r w:rsidRPr="004904D8">
        <w:t xml:space="preserve">al and communications arenas, collating information </w:t>
      </w:r>
      <w:r>
        <w:t xml:space="preserve">for </w:t>
      </w:r>
      <w:r w:rsidRPr="004904D8">
        <w:t>fact sheets and standardising methods fro</w:t>
      </w:r>
      <w:r>
        <w:t>m</w:t>
      </w:r>
      <w:r w:rsidRPr="004904D8">
        <w:t xml:space="preserve"> documenting hunting practices and impacts. As public awareness has grown, the BCTF mission has been largely fulfilled and it is now almost inactive. </w:t>
      </w:r>
    </w:p>
    <w:p w14:paraId="0DA5CBEA" w14:textId="56108BD7" w:rsidR="00920854" w:rsidRPr="00DF57F3" w:rsidRDefault="000A7365" w:rsidP="00920854">
      <w:pPr>
        <w:rPr>
          <w:lang w:val="en-CA"/>
        </w:rPr>
      </w:pPr>
      <w:r w:rsidRPr="00DF57F3">
        <w:rPr>
          <w:b/>
          <w:i/>
          <w:lang w:val="en-CA"/>
        </w:rPr>
        <w:t>Comunidad de Manejo de Fauna Silvestre en la Amazonía y en Latinoamérica</w:t>
      </w:r>
      <w:r w:rsidR="00D04B6E" w:rsidRPr="00DF57F3">
        <w:rPr>
          <w:lang w:val="en-CA"/>
        </w:rPr>
        <w:t xml:space="preserve"> </w:t>
      </w:r>
      <w:r w:rsidR="00D04B6E" w:rsidRPr="00DF57F3">
        <w:rPr>
          <w:b/>
          <w:i/>
          <w:lang w:val="en-CA"/>
        </w:rPr>
        <w:t>(COMFAUNA).</w:t>
      </w:r>
    </w:p>
    <w:p w14:paraId="13C682FF" w14:textId="0D4974BF" w:rsidR="000A7365" w:rsidRDefault="00D04B6E" w:rsidP="00920854">
      <w:pPr>
        <w:jc w:val="both"/>
      </w:pPr>
      <w:r w:rsidRPr="00DD65C9">
        <w:rPr>
          <w:lang w:val="en-US"/>
        </w:rPr>
        <w:t>COMFAUNA</w:t>
      </w:r>
      <w:r>
        <w:t xml:space="preserve"> </w:t>
      </w:r>
      <w:r w:rsidR="000A7365">
        <w:t>was established in 1992 and consists of a community of Latin American researchers, wildlife managers, students, indigenous and local people. Its mission is to implement multicultural and multidisciplinary systems promoting sustainable management of wildlife, through scientific research and empowerment of local people and the resulting improvements to public policies. COMFAUNA conducts international congresses in the participating countries, with the support of local political agencies and the private sector, to foster communication and debate among stakeholders and strengthen methodologies for management. The community now has 280 members from Latin American and Caribbean countries.</w:t>
      </w:r>
    </w:p>
    <w:p w14:paraId="419C24A3" w14:textId="38FE5FC4" w:rsidR="000A7365" w:rsidRPr="004904D8" w:rsidRDefault="000A7365" w:rsidP="00920854">
      <w:pPr>
        <w:jc w:val="both"/>
      </w:pPr>
      <w:r w:rsidRPr="0070404D">
        <w:t>The emerg</w:t>
      </w:r>
      <w:r>
        <w:t>ing</w:t>
      </w:r>
      <w:r w:rsidRPr="0070404D">
        <w:t xml:space="preserve"> voluntary consortium initiatives such as the </w:t>
      </w:r>
      <w:r w:rsidR="00D04B6E">
        <w:t>CPW (</w:t>
      </w:r>
      <w:r>
        <w:t>see above)</w:t>
      </w:r>
      <w:r w:rsidRPr="0070404D">
        <w:t xml:space="preserve"> or </w:t>
      </w:r>
      <w:r>
        <w:t>Elephant Protection Initiative (</w:t>
      </w:r>
      <w:r w:rsidRPr="0070404D">
        <w:t>EPI</w:t>
      </w:r>
      <w:r>
        <w:t xml:space="preserve">; </w:t>
      </w:r>
      <w:r w:rsidRPr="0070404D">
        <w:t xml:space="preserve">see </w:t>
      </w:r>
      <w:r>
        <w:t>above</w:t>
      </w:r>
      <w:r w:rsidRPr="0070404D">
        <w:t xml:space="preserve">) </w:t>
      </w:r>
      <w:r>
        <w:t xml:space="preserve">are </w:t>
      </w:r>
      <w:r w:rsidRPr="0070404D">
        <w:t>facilitat</w:t>
      </w:r>
      <w:r>
        <w:t>ing</w:t>
      </w:r>
      <w:r w:rsidRPr="0070404D">
        <w:t xml:space="preserve"> the collection of an evidence base and </w:t>
      </w:r>
      <w:r w:rsidRPr="004904D8">
        <w:t>access</w:t>
      </w:r>
      <w:r w:rsidRPr="0070404D">
        <w:t xml:space="preserve"> </w:t>
      </w:r>
      <w:r>
        <w:t xml:space="preserve">to </w:t>
      </w:r>
      <w:r w:rsidRPr="004904D8">
        <w:t>that evidence base</w:t>
      </w:r>
      <w:r w:rsidRPr="0070404D">
        <w:t xml:space="preserve"> </w:t>
      </w:r>
      <w:r>
        <w:t>for all stakeholders.</w:t>
      </w:r>
      <w:r w:rsidRPr="004904D8">
        <w:t xml:space="preserve"> </w:t>
      </w:r>
      <w:r w:rsidRPr="004E6C15">
        <w:t>As such, these initiatives may be the fastest road to designing and piloting field projects to test best practices and designing informed improvements to legislation.</w:t>
      </w:r>
      <w:r w:rsidRPr="004904D8">
        <w:t xml:space="preserve"> </w:t>
      </w:r>
      <w:r>
        <w:t>The</w:t>
      </w:r>
      <w:r w:rsidRPr="004904D8">
        <w:t xml:space="preserve"> obstacles that have thus far prevented national legal reform for sustainable harvesting, despite the clear global push for this, need to be better understood, and solutions found, in order to affect long-term </w:t>
      </w:r>
      <w:r>
        <w:t>improvement to sustainability.</w:t>
      </w:r>
    </w:p>
    <w:p w14:paraId="1E365D4E" w14:textId="77777777" w:rsidR="000A7365" w:rsidRDefault="000A7365" w:rsidP="001C1D6E">
      <w:pPr>
        <w:pStyle w:val="Heading3"/>
      </w:pPr>
      <w:r>
        <w:t>Summary of International Enabling Environment</w:t>
      </w:r>
    </w:p>
    <w:p w14:paraId="26A635E1" w14:textId="77777777" w:rsidR="000A7365" w:rsidRDefault="000A7365" w:rsidP="00920854">
      <w:pPr>
        <w:jc w:val="both"/>
        <w:rPr>
          <w:lang w:val="en-US"/>
        </w:rPr>
      </w:pPr>
      <w:r>
        <w:rPr>
          <w:lang w:val="en-US"/>
        </w:rPr>
        <w:t xml:space="preserve">The multiplicity of international agreements to attempt better governance of wildlife use attests to a global recognition of the unsustainability of human use of wildlife to date, but also to a belief that human impacts can be reduced to sustainable levels if action is taken. </w:t>
      </w:r>
    </w:p>
    <w:p w14:paraId="516DC996" w14:textId="77777777" w:rsidR="000A7365" w:rsidRDefault="000A7365" w:rsidP="00920854">
      <w:pPr>
        <w:jc w:val="both"/>
        <w:rPr>
          <w:lang w:val="en-US"/>
        </w:rPr>
      </w:pPr>
      <w:r>
        <w:rPr>
          <w:lang w:val="en-US"/>
        </w:rPr>
        <w:t xml:space="preserve">Although efforts tend to divide into those that have a primary objective to reduce illegal wildlife trade, and those whose primary objective is sustainable harvesting, there is considerable </w:t>
      </w:r>
      <w:r>
        <w:rPr>
          <w:lang w:val="en-US"/>
        </w:rPr>
        <w:lastRenderedPageBreak/>
        <w:t xml:space="preserve">overlap and many institutions are involved in multiple efforts. There is potential for redundancy of some of these above initiatives in the future. </w:t>
      </w:r>
    </w:p>
    <w:p w14:paraId="7BDB58F4" w14:textId="77777777" w:rsidR="000A7365" w:rsidRPr="0032178F" w:rsidRDefault="000A7365" w:rsidP="00920854">
      <w:pPr>
        <w:jc w:val="both"/>
        <w:rPr>
          <w:lang w:val="en-US"/>
        </w:rPr>
      </w:pPr>
      <w:r>
        <w:rPr>
          <w:lang w:val="en-US"/>
        </w:rPr>
        <w:t xml:space="preserve">The international political environment enables national policies, and facilitates funding streams. However, it is national policies and legislation, enacted through local practices that will ultimately assure sustainable harvesting, or not. In the next section we examine national governance of subsistence hunting and wild meat trading across the tropics. </w:t>
      </w:r>
    </w:p>
    <w:p w14:paraId="28F08433" w14:textId="77777777" w:rsidR="000A7365" w:rsidRDefault="000A7365" w:rsidP="00DF57F3">
      <w:pPr>
        <w:pStyle w:val="Heading2"/>
      </w:pPr>
      <w:bookmarkStart w:id="165" w:name="_Ref520219448"/>
      <w:bookmarkStart w:id="166" w:name="_Toc520802792"/>
      <w:bookmarkStart w:id="167" w:name="_Toc529390364"/>
      <w:bookmarkStart w:id="168" w:name="_Ref519862433"/>
      <w:r>
        <w:t>National Governance</w:t>
      </w:r>
      <w:bookmarkEnd w:id="165"/>
      <w:bookmarkEnd w:id="166"/>
      <w:bookmarkEnd w:id="167"/>
    </w:p>
    <w:bookmarkEnd w:id="168"/>
    <w:p w14:paraId="2E0C603C" w14:textId="77777777" w:rsidR="000A7365" w:rsidRPr="003E3238" w:rsidRDefault="000A7365" w:rsidP="00920854">
      <w:pPr>
        <w:jc w:val="both"/>
      </w:pPr>
      <w:r w:rsidRPr="004904D8">
        <w:t>In an ideal world, at national level we will see a transcripti</w:t>
      </w:r>
      <w:r>
        <w:t>on of international commitments</w:t>
      </w:r>
      <w:r w:rsidRPr="004904D8">
        <w:t xml:space="preserve"> into the legal frameworks</w:t>
      </w:r>
      <w:r>
        <w:t>, while ensuring that national regulations suit the local context</w:t>
      </w:r>
      <w:r w:rsidRPr="005512D2">
        <w:t xml:space="preserve">. </w:t>
      </w:r>
      <w:r>
        <w:t>National l</w:t>
      </w:r>
      <w:r w:rsidRPr="005512D2">
        <w:t>egal framework</w:t>
      </w:r>
      <w:r>
        <w:t>s</w:t>
      </w:r>
      <w:r w:rsidRPr="005512D2">
        <w:t xml:space="preserve"> governing wildlife should be more detailed than just the legally binding international commitments </w:t>
      </w:r>
      <w:r>
        <w:t>a country</w:t>
      </w:r>
      <w:r w:rsidRPr="005512D2">
        <w:t xml:space="preserve"> </w:t>
      </w:r>
      <w:r w:rsidRPr="003E3238">
        <w:t>has made.</w:t>
      </w:r>
    </w:p>
    <w:p w14:paraId="2BD4B11E" w14:textId="3EF361E7" w:rsidR="000A7365" w:rsidRDefault="000A7365" w:rsidP="00920854">
      <w:pPr>
        <w:jc w:val="both"/>
      </w:pPr>
      <w:r w:rsidRPr="004904D8">
        <w:t xml:space="preserve">The </w:t>
      </w:r>
      <w:r>
        <w:t>political will</w:t>
      </w:r>
      <w:r w:rsidRPr="004904D8">
        <w:t xml:space="preserve"> for sustainable management of wild meat harvests clearly exists at international level </w:t>
      </w:r>
      <w:r>
        <w:t>and enables international legislation and conventions to provide for this. However, m</w:t>
      </w:r>
      <w:r w:rsidRPr="00EE2428">
        <w:t xml:space="preserve">any international stakeholders </w:t>
      </w:r>
      <w:r>
        <w:t>are focusing</w:t>
      </w:r>
      <w:r w:rsidRPr="00EE2428">
        <w:t xml:space="preserve"> much more on </w:t>
      </w:r>
      <w:r>
        <w:t>international</w:t>
      </w:r>
      <w:r w:rsidRPr="00EE2428">
        <w:t xml:space="preserve"> </w:t>
      </w:r>
      <w:r>
        <w:t xml:space="preserve">illegal wildlife trade </w:t>
      </w:r>
      <w:r w:rsidRPr="00EE2428">
        <w:t>issues</w:t>
      </w:r>
      <w:r>
        <w:t>, rather than the unsustainability of legal hunting for food</w:t>
      </w:r>
      <w:r w:rsidRPr="00EE2428">
        <w:t xml:space="preserve">. Hunting of pangolins, for example, </w:t>
      </w:r>
      <w:r w:rsidRPr="0064175F">
        <w:t>rose up the international agenda</w:t>
      </w:r>
      <w:r w:rsidRPr="0070404D">
        <w:t xml:space="preserve"> when they entered the illegal wildlife trade for their scales, and not because they have been hunted for food for decades</w:t>
      </w:r>
      <w:r>
        <w:t xml:space="preserve"> </w:t>
      </w:r>
      <w:r w:rsidR="003F4E56">
        <w:fldChar w:fldCharType="begin" w:fldLock="1"/>
      </w:r>
      <w:r w:rsidR="003F4E56">
        <w:instrText>ADDIN CSL_CITATION {"citationItems":[{"id":"ITEM-1","itemData":{"DOI":"10.1016/j.gecco.2014.11.010","ISBN":"23519894","ISSN":"23519894","abstract":"International trade in wildlife is a key threat to biodiversity conservation. CITES, the Convention on International Trade in Endangered Species of Wild Fauna and Flora, seeks to ensure international wildlife trade is sustainable, relying on trade bans and controls. However, there has been little comprehensive review of its effectiveness and here we review approaches taken to regulate wildlife trade in CITES. Although assessing its effectiveness is problematic, we assert that CITES boasts few measurable conservation successes. We attribute this to: non-compliance, an over reliance on regulation, lack of knowledge and monitoring of listed species, ignorance of market forces, and influence among CITES actors. To more effectively manage trade we argue that interventions should go beyond regulation and should be multi-faceted, reflecting the complexity of wildlife trade. To inform these interventions we assert an intensive research effort is needed around six key areas: (1) factors undermining wildlife trade governance at the national level, (2) determining sustainable harvest rates for, and adaptive management of CITES species, (3) gaining the buy-in of local communities in implementing CITES, (4) supply and demand based market interventions, (5) means of quantifying illicit trade, and (6) political processes and influence within CITES.","author":[{"dropping-particle":"","family":"Challender","given":"Daniel W S","non-dropping-particle":"","parse-names":false,"suffix":""},{"dropping-particle":"","family":"Harrop","given":"Stuart R.","non-dropping-particle":"","parse-names":false,"suffix":""},{"dropping-particle":"","family":"MacMillan","given":"Douglas C.","non-dropping-particle":"","parse-names":false,"suffix":""}],"container-title":"Global Ecology and Conservation","id":"ITEM-1","issued":{"date-parts":[["2015"]]},"page":"129-148","publisher":"Elsevier B.V.","title":"Towards informed and multi-faceted wildlife trade interventions","type":"article-journal","volume":"3"},"uris":["http://www.mendeley.com/documents/?uuid=b3f0719a-7a89-4b10-9fac-0e02f6ea2b48"]}],"mendeley":{"formattedCitation":"(Challender et al. 2015)","plainTextFormattedCitation":"(Challender et al. 2015)","previouslyFormattedCitation":"(Challender et al. 2015)"},"properties":{"noteIndex":0},"schema":"https://github.com/citation-style-language/schema/raw/master/csl-citation.json"}</w:instrText>
      </w:r>
      <w:r w:rsidR="003F4E56">
        <w:fldChar w:fldCharType="separate"/>
      </w:r>
      <w:r w:rsidR="003F4E56" w:rsidRPr="003F4E56">
        <w:rPr>
          <w:noProof/>
        </w:rPr>
        <w:t>(Challender et al. 2015)</w:t>
      </w:r>
      <w:r w:rsidR="003F4E56">
        <w:fldChar w:fldCharType="end"/>
      </w:r>
      <w:r w:rsidRPr="0070404D">
        <w:t xml:space="preserve">. </w:t>
      </w:r>
      <w:r w:rsidRPr="00EE2428">
        <w:t xml:space="preserve">Governments </w:t>
      </w:r>
      <w:r>
        <w:t>o</w:t>
      </w:r>
      <w:r w:rsidRPr="00EE2428">
        <w:t>ften overlook the need for governance of wildlife for food, as the practice is traditional, ancient, and in the past has largely been governed by social customs</w:t>
      </w:r>
      <w:r>
        <w:t xml:space="preserve"> (e.g. </w:t>
      </w:r>
      <w:r w:rsidR="003F4E56">
        <w:fldChar w:fldCharType="begin" w:fldLock="1"/>
      </w:r>
      <w:r w:rsidR="003F4E56">
        <w:instrText>ADDIN CSL_CITATION {"citationItems":[{"id":"ITEM-1","itemData":{"DOI":"10.5751/ES-08047-200431","ISSN":"17083087","abstract":"©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Society","id":"ITEM-1","issue":"4","issued":{"date-parts":[["2015"]]},"title":"Evolving hunting practices in gabon: Lessons for community-based conservation interventions","type":"article-journal","volume":"20"},"uris":["http://www.mendeley.com/documents/?uuid=929a2061-e229-4516-9546-6b6fcea8cade"]}],"mendeley":{"formattedCitation":"(Walters et al. 2015)","manualFormatting":"Walters et al. 2015)","plainTextFormattedCitation":"(Walters et al. 2015)","previouslyFormattedCitation":"(Walters et al. 2015)"},"properties":{"noteIndex":0},"schema":"https://github.com/citation-style-language/schema/raw/master/csl-citation.json"}</w:instrText>
      </w:r>
      <w:r w:rsidR="003F4E56">
        <w:fldChar w:fldCharType="separate"/>
      </w:r>
      <w:r w:rsidR="003F4E56" w:rsidRPr="003F4E56">
        <w:rPr>
          <w:noProof/>
        </w:rPr>
        <w:t>Walters et al. 2015)</w:t>
      </w:r>
      <w:r w:rsidR="003F4E56">
        <w:fldChar w:fldCharType="end"/>
      </w:r>
      <w:r w:rsidR="003F4E56">
        <w:t>.</w:t>
      </w:r>
      <w:r w:rsidRPr="00EE2428">
        <w:t xml:space="preserve"> </w:t>
      </w:r>
      <w:r>
        <w:t>Nowadays, balancing the interests of declining wildlife and people reliant on hunting for subsistence is very complex and requires detailed national legislation. In addition, methods to ensure sustainable harvests on the ground have not really been determined</w:t>
      </w:r>
      <w:r w:rsidRPr="004904D8">
        <w:t>.</w:t>
      </w:r>
      <w:r>
        <w:t xml:space="preserve"> </w:t>
      </w:r>
    </w:p>
    <w:p w14:paraId="199BA524" w14:textId="3041872E" w:rsidR="000A7365" w:rsidRDefault="000A7365" w:rsidP="00920854">
      <w:pPr>
        <w:jc w:val="both"/>
      </w:pPr>
      <w:r w:rsidRPr="0070404D">
        <w:t xml:space="preserve">There is an urgent need in many tropical nations to </w:t>
      </w:r>
      <w:r w:rsidRPr="0070404D">
        <w:rPr>
          <w:bCs/>
          <w:iCs/>
        </w:rPr>
        <w:t>acknowledge the role of wild meat in food security</w:t>
      </w:r>
      <w:r>
        <w:rPr>
          <w:bCs/>
          <w:iCs/>
        </w:rPr>
        <w:t>. We should also r</w:t>
      </w:r>
      <w:r w:rsidRPr="0070404D">
        <w:rPr>
          <w:bCs/>
          <w:iCs/>
        </w:rPr>
        <w:t xml:space="preserve">ecognise that the last century brought changes in land tenure, hunting technologies and human populations which have altered traditional hunting practices and </w:t>
      </w:r>
      <w:r>
        <w:rPr>
          <w:bCs/>
          <w:iCs/>
        </w:rPr>
        <w:t xml:space="preserve">community governance structures </w:t>
      </w:r>
      <w:r w:rsidR="0057519D">
        <w:rPr>
          <w:bCs/>
          <w:iCs/>
        </w:rPr>
        <w:fldChar w:fldCharType="begin" w:fldLock="1"/>
      </w:r>
      <w:r w:rsidR="00B2630D">
        <w:rPr>
          <w:bCs/>
          <w:iCs/>
        </w:rPr>
        <w:instrText>ADDIN CSL_CITATION {"citationItems":[{"id":"ITEM-1","itemData":{"author":[{"dropping-particle":"","family":"Krech","given":"S.","non-dropping-particle":"","parse-names":false,"suffix":""}],"id":"ITEM-1","issued":{"date-parts":[["2000"]]},"publisher":"Norton, New York, USA","title":"The ecological Indian: myth and history","type":"book"},"uris":["http://www.mendeley.com/documents/?uuid=ace6793e-2040-47aa-a4d1-f6ae2761a375"]},{"id":"ITEM-2","itemData":{"DOI":"10.1017/S0376892910000366","ISBN":"0376-8929","ISSN":"03768929","PMID":"15011474","abstract":"Community-based natural resource management (CBNRM) has been a pervasive paradigm in conservation circles for three decades. Despite many potentially attractive attributes it has been extensively critiqued from both ecological and sociological perspectives with respect to theory and practice (for example Leach et al. 1999; Berkes 2004; Fabricius et al. 2004; Blaikie 2006). Nonetheless, many successful examples exist, although an equal number have seemingly not met expectations. Is this because of poor implementation or rather a generally flawed model? If the criteria and conditions for success are so onerous that relatively few projects or situations are likely to qualify, what then is the value of themodel? The questions thus become: how and what can we learn from the past theoryandpractice todevelop anewgeneration of flexible, locally responsive and implementable CBNRM models, and what are likely to be the attributes of such models?","author":[{"dropping-particle":"","family":"Shackleton","given":"C. M.","non-dropping-particle":"","parse-names":false,"suffix":""},{"dropping-particle":"","family":"Willis","given":"T. J.","non-dropping-particle":"","parse-names":false,"suffix":""},{"dropping-particle":"","family":"Brown","given":"K.","non-dropping-particle":"","parse-names":false,"suffix":""},{"dropping-particle":"","family":"Polunin","given":"N. V C","non-dropping-particle":"","parse-names":false,"suffix":""}],"container-title":"Environmental Conservation","id":"ITEM-2","issue":"1","issued":{"date-parts":[["2010"]]},"page":"1-4","title":"Reflecting on the next generation of models for community-based natural resources management","type":"article-journal","volume":"37"},"uris":["http://www.mendeley.com/documents/?uuid=0d4b8dd7-c7fd-495a-aa2d-21b9bbe1a4ee"]},{"id":"ITEM-3","itemData":{"DOI":"10.5751/ES-08047-200431","ISSN":"17083087","abstract":"©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Society","id":"ITEM-3","issue":"4","issued":{"date-parts":[["2015"]]},"title":"Evolving hunting practices in gabon: Lessons for community-based conservation interventions","type":"article-journal","volume":"20"},"uris":["http://www.mendeley.com/documents/?uuid=929a2061-e229-4516-9546-6b6fcea8cade"]},{"id":"ITEM-4","itemData":{"ISBN":"9781843697558","ISSN":"1605-1017","abstract":"Across sub-Saharan Africa, natural resources remain central to rural people’s livelihoods. Local norms and customs shape people’s everyday forms of resource use. In contrast, the commercial uses of natural resources often remain highly centralized, conditioned by government policies of the colonial and post-colonial eras. During the past several decades, there has been a shift from this predominantly centralized natural resource management towards more devolved models known very broadly as Community-Based Natural Resource Management (CBNRM). CBNRM models work to strengthen locally accountable institutions for natural resource use and management, enabling local groups of people to make better decisions about the use of land and resources. Because it involves the transfer of authority over natural resources to local communities, including of potentially valuable resources such as wildlife and timber, CBNRM is often about major institutional reforms and fundamental changes in power. This pan-African review of the impacts, challenges, and future directions of CBNRM highlights the diverse range of forms of community involvement in natural resource management that have emerged across the continent during the past twenty years. CBNRM means different things to different actors in different places across sub-Saharan Africa. In much of western and central Africa, CBNRM is interpreted by government authorities, donor agencies, and NGOs as benefit-sharing or outreach between national parks and adjacent communities. In such instances communities are not empowered as authorized local resource managers but are involved principally as passive recipients of benefits controlled elsewhere. This form of outreach and benefit-sharing is also a characteristic of some protected area management in East African countries. In Southern Africa, CBNRM is most clearly defined in terms of the devolution of rights to make management decisions, and capture benefits, in relation to resources located on communal lands. In all instances CBNRM involves some degree of co-management of reso</w:instrText>
      </w:r>
      <w:r w:rsidR="00B2630D" w:rsidRPr="00DF57F3">
        <w:rPr>
          <w:bCs/>
          <w:iCs/>
          <w:lang w:val="fr-FR"/>
        </w:rPr>
        <w:instrText>urces between central authorities, local government, and local communities which share rights and responsibilities through diverse institutional arrangements. The various forms of CBNRM and their many locally-specific adaptations have greatly diversified approaches to natural resource governance in sub-Saharan Africa. Some notable ecological, economic, and institutional achievements have been documented.","author":[{"dropping-particle":"","family":"Roe","given":"Dilys","non-dropping-particle":"","parse-names":false,"suffix":""},{"dropping-particle":"","family":"Nelson","given":"Fred","non-dropping-particle":"","parse-names":false,"suffix":""},{"dropping-particle":"","family":"Sandbrook","given":"Chris","non-dropping-particle":"","parse-names":false,"suffix":""}],"id":"ITEM-4","issued":{"date-parts":[["2009"]]},"number-of-pages":"207","title":"Community management of natural resources in Africa: impacts, experiences and future directions","type":"book"},"uris":["http://www.mendeley.com/documents/?uuid=3e3b5fac-4311-4b0b-81b0-ae6aef9ae38a"]}],"mendeley":{"formattedCitation":"(Krech 2000; Roe et al. 2009; Shackleton et al. 2010; Walters et al. 2015)","plainTextFormattedCitation":"(Krech 2000; Roe et al. 2009; Shackleton et al. 2010; Walters et al. 2015)","previouslyFormattedCitation":"(Krech 2000; Roe et al. 2009; Shackleton et al. 2010; Walters et al. 2015)"},"properties":{"noteIndex":0},"schema":"https://github.com/citation-style-language/schema/raw/master/csl-citation.json"}</w:instrText>
      </w:r>
      <w:r w:rsidR="0057519D">
        <w:rPr>
          <w:bCs/>
          <w:iCs/>
        </w:rPr>
        <w:fldChar w:fldCharType="separate"/>
      </w:r>
      <w:r w:rsidR="009510A7" w:rsidRPr="00DF57F3">
        <w:rPr>
          <w:bCs/>
          <w:iCs/>
          <w:noProof/>
          <w:lang w:val="fr-FR"/>
        </w:rPr>
        <w:t>(Krech 2000; Roe et al. 2009; Shackleton et al. 2010; Walters et al. 2015)</w:t>
      </w:r>
      <w:r w:rsidR="0057519D">
        <w:rPr>
          <w:bCs/>
          <w:iCs/>
        </w:rPr>
        <w:fldChar w:fldCharType="end"/>
      </w:r>
      <w:r w:rsidR="0057519D" w:rsidRPr="00DF57F3">
        <w:rPr>
          <w:bCs/>
          <w:iCs/>
          <w:lang w:val="fr-FR"/>
        </w:rPr>
        <w:t xml:space="preserve">. </w:t>
      </w:r>
      <w:r>
        <w:rPr>
          <w:bCs/>
          <w:iCs/>
        </w:rPr>
        <w:t>In many tropical countries, reform of current hunting legislation is a priority.</w:t>
      </w:r>
      <w:r w:rsidRPr="0070404D">
        <w:rPr>
          <w:bCs/>
          <w:iCs/>
        </w:rPr>
        <w:t xml:space="preserve"> </w:t>
      </w:r>
      <w:r w:rsidRPr="003E3238">
        <w:t>Much of the current wild meat trade is not legal</w:t>
      </w:r>
      <w:r>
        <w:t xml:space="preserve"> under current national hunting laws</w:t>
      </w:r>
      <w:r w:rsidRPr="003E3238">
        <w:t xml:space="preserve">, particularly when some hunting </w:t>
      </w:r>
      <w:r>
        <w:t>is for trade and</w:t>
      </w:r>
      <w:r w:rsidRPr="00EE2428">
        <w:t xml:space="preserve"> not for food</w:t>
      </w:r>
      <w:r>
        <w:t>. T</w:t>
      </w:r>
      <w:r w:rsidRPr="00EE2428">
        <w:t xml:space="preserve">his can keep information out of the public domain, hinder policy processes and prevent a sound assessment of management requirements </w:t>
      </w:r>
      <w:r w:rsidR="003F4E56">
        <w:fldChar w:fldCharType="begin" w:fldLock="1"/>
      </w:r>
      <w:r w:rsidR="00B2630D">
        <w:instrText>ADDIN CSL_CITATION {"citationItems":[{"id":"ITEM-1","itemData":{"DOI":"ISBN 92-9225-083-3","ISBN":"9292250833","abstract":"2008. Conservation and use of wildlife-based resources: The bushmeat crisis. Technical series No. 33. Montreal: Secretariat of the Convention on Biological Diversity; and Bogor, Indonesia: Centre on International Forestry Research.","author":[{"dropping-particle":"","family":"Nasi","given":"R","non-dropping-particle":"","parse-names":false,"suffix":""},{"dropping-particle":"","family":"Brown","given":"D","non-dropping-particle":"","parse-names":false,"suffix":""},{"dropping-particle":"","family":"Wilkie","given":"D","non-dropping-particle":"","parse-names":false,"suffix":""},{"dropping-particle":"","family":"Bennett","given":"E","non-dropping-particle":"","parse-names":false,"suffix":""},{"dropping-particle":"","family":"Tutin","given":"C","non-dropping-particle":"","parse-names":false,"suffix":""},{"dropping-particle":"","family":"Tol","given":"G","non-dropping-particle":"Van","parse-names":false,"suffix":""},{"dropping-particle":"","family":"Christophersen","given":"T","non-dropping-particle":"","parse-names":false,"suffix":""}],"id":"ITEM-1","issued":{"date-parts":[["2008"]]},"number-of-pages":"50","publisher-place":"Secretariat of the Convention on Biological Diversity, Montreal, Canada, and Centre for International Forestry Research (CIFOR), Bogor, Indonesia.","title":"Conservation and use of wildlife-based resources: the bushmeat crisis. CBD Technical Series No. 33","type":"report"},"uris":["http://www.mendeley.com/documents/?uuid=820bb019-82b3-449a-b6b2-fbc4d35d17d6"]}],"mendeley":{"formattedCitation":"(Nasi et al. 2008)","plainTextFormattedCitation":"(Nasi et al. 2008)","previouslyFormattedCitation":"(Nasi et al. 2008)"},"properties":{"noteIndex":0},"schema":"https://github.com/citation-style-language/schema/raw/master/csl-citation.json"}</w:instrText>
      </w:r>
      <w:r w:rsidR="003F4E56">
        <w:fldChar w:fldCharType="separate"/>
      </w:r>
      <w:r w:rsidR="003F4E56" w:rsidRPr="003F4E56">
        <w:rPr>
          <w:noProof/>
        </w:rPr>
        <w:t>(Nasi et al. 2008)</w:t>
      </w:r>
      <w:r w:rsidR="003F4E56">
        <w:fldChar w:fldCharType="end"/>
      </w:r>
      <w:r w:rsidRPr="00EE2428">
        <w:t xml:space="preserve">. </w:t>
      </w:r>
      <w:r>
        <w:t>In addition, without legislation that allows local hunting of resilient species and community co-management of wildlife resources, many community and NGO projects aiming for sustainable hunting management will find themselves acting outside of national hunting laws. This is likely to impede projects from achieving positive long-term impacts</w:t>
      </w:r>
      <w:r w:rsidRPr="004904D8">
        <w:t xml:space="preserve"> </w:t>
      </w:r>
      <w:r w:rsidR="0057519D">
        <w:fldChar w:fldCharType="begin" w:fldLock="1"/>
      </w:r>
      <w:r w:rsidR="00763BF5">
        <w:instrText>ADDIN CSL_CITATION {"citationItems":[{"id":"ITEM-1","itemData":{"DOI":"10.4172/2168-9601.1000107","ISBN":"9789958250934","ISSN":"21689601","author":[{"dropping-particle":"","family":"Asare","given":"Nicholas","non-dropping-particle":"","parse-names":false,"suffix":""},{"dropping-particle":"","family":"Onumah","given":"J M","non-dropping-particle":"","parse-names":false,"suffix":""},{"dropping-particle":"","family":"Simpson","given":"S N Y","non-dropping-particle":"","parse-names":false,"suffix":""}],"container-title":"Journal of Accounting &amp; Marketing","id":"ITEM-1","issue":"3","issued":{"date-parts":[["2013"]]},"title":"Exploring the disclosure of intellectual capital in Ghana: evidence from listed companies","type":"article-journal","volume":"2"},"uris":["http://www.mendeley.com/documents/?uuid=e6f939d5-6dc9-4af7-8679-a073687ef7be"]},{"id":"ITEM-2","itemData":{"ISBN":"9781843697558","ISSN":"1605-1017","abstract":"Across sub-Saharan Africa, natural resources remain central to rural people’s livelihoods. Local norms and customs shape people’s everyday forms of resource use. In contrast, the commercial uses of natural resources often remain highly centralized, conditioned by government policies of the colonial and post-colonial eras. During the past several decades, there has been a shift from this predominantly centralized natural resource management towards more devolved models known very broadly as Community-Based Natural Resource Management (CBNRM). CBNRM models work to strengthen locally accountable institutions for natural resource use and management, enabling local groups of people to make better decisions about the use of land and resources. Because it involves the transfer of authority over natural resources to local communities, including of potentially valuable resources such as wildlife and timber, CBNRM is often about major institutional reforms and fundamental changes in power. This pan-African review of the impacts, challenges, and future directions of CBNRM highlights the diverse range of forms of community involvement in natural resource management that have emerged across the continent during the past twenty years. CBNRM means different things to different actors in different places across sub-Saharan Africa. In much of western and central Africa, CBNRM is interpreted by government authorities, donor agencies, and NGOs as benefit-sharing or outreach between national parks and adjacent communities. In such instances communities are not empowered as authorized local resource managers but are involved principally as passive recipients of benefits controlled elsewhere. This form of outreach and benefit-sharing is also a characteristic of some protected area management in East African countries. In Southern Africa, CBNRM is most clearly defined in terms of the devolution of rights to make management decisions, and capture benefits, in relation to resources located on communal lands. In all instances CBNRM involves some degree of co-management of resources between central authorities, local government, and local communities which share rights and responsibilities through diverse institutional arrangements. The various forms of CBNRM and their many locally-specific adaptations have greatly diversified approaches to natural resource governance in sub-Saharan Africa. Some notable ecological, economic, and institutional achievements have been documented.","author":[{"dropping-particle":"","family":"Roe","given":"Dilys","non-dropping-particle":"","parse-names":false,"suffix":""},{"dropping-particle":"","family":"Nelson","given":"Fred","non-dropping-particle":"","parse-names":false,"suffix":""},{"dropping-particle":"","family":"Sandbrook","given":"Chris","non-dropping-particle":"","parse-names":false,"suffix":""}],"id":"ITEM-2","issued":{"date-parts":[["2009"]]},"number-of-pages":"207","title":"Community management of natural resources in Africa: impacts, experiences and future directions","type":"book"},"uris":["http://www.mendeley.com/documents/?uuid=3e3b5fac-4311-4b0b-81b0-ae6aef9ae38a"]}],"mendeley":{"formattedCitation":"(Roe et al. 2009; Asare et al. 2013)","plainTextFormattedCitation":"(Roe et al. 2009; Asare et al. 2013)","previouslyFormattedCitation":"(Roe et al. 2009; Asare et al. 2013)"},"properties":{"noteIndex":0},"schema":"https://github.com/citation-style-language/schema/raw/master/csl-citation.json"}</w:instrText>
      </w:r>
      <w:r w:rsidR="0057519D">
        <w:fldChar w:fldCharType="separate"/>
      </w:r>
      <w:r w:rsidR="00763BF5" w:rsidRPr="00763BF5">
        <w:rPr>
          <w:noProof/>
        </w:rPr>
        <w:t>(Roe et al. 2009; Asare et al. 2013)</w:t>
      </w:r>
      <w:r w:rsidR="0057519D">
        <w:fldChar w:fldCharType="end"/>
      </w:r>
    </w:p>
    <w:p w14:paraId="031B165F" w14:textId="697189A0" w:rsidR="000A7365" w:rsidRPr="008C5A25" w:rsidRDefault="000A7365" w:rsidP="00920854">
      <w:pPr>
        <w:jc w:val="both"/>
      </w:pPr>
      <w:r w:rsidRPr="0070404D">
        <w:rPr>
          <w:color w:val="000000" w:themeColor="text1"/>
        </w:rPr>
        <w:t>Here</w:t>
      </w:r>
      <w:r>
        <w:rPr>
          <w:color w:val="000000" w:themeColor="text1"/>
        </w:rPr>
        <w:t xml:space="preserve"> we provide examples of the national laws governing hunting from countries in </w:t>
      </w:r>
      <w:r w:rsidRPr="0070404D">
        <w:rPr>
          <w:color w:val="000000" w:themeColor="text1"/>
        </w:rPr>
        <w:t xml:space="preserve">Central Africa, South </w:t>
      </w:r>
      <w:r w:rsidRPr="0057519D">
        <w:rPr>
          <w:color w:val="000000" w:themeColor="text1"/>
        </w:rPr>
        <w:t>America and Asia and discuss some of the key areas that require reform in each case.</w:t>
      </w:r>
      <w:r w:rsidR="008F4D60" w:rsidRPr="0057519D">
        <w:rPr>
          <w:color w:val="000000" w:themeColor="text1"/>
        </w:rPr>
        <w:t xml:space="preserve"> Detailed analyses of national hunting regulations in 15 tropical/subtropical States is also provided by </w:t>
      </w:r>
      <w:r w:rsidR="0057519D" w:rsidRPr="0057519D">
        <w:rPr>
          <w:color w:val="000000" w:themeColor="text1"/>
        </w:rPr>
        <w:fldChar w:fldCharType="begin" w:fldLock="1"/>
      </w:r>
      <w:r w:rsidR="00566AAF">
        <w:rPr>
          <w:color w:val="000000" w:themeColor="text1"/>
        </w:rPr>
        <w:instrText>ADDIN CSL_CITATION {"citationItems":[{"id":"ITEM-1","itemData":{"author":[{"dropping-particle":"","family":"D L A Piper","given":"","non-dropping-particle":"","parse-names":false,"suffix":""}],"id":"ITEM-1","issued":{"date-parts":[["2015"]]},"publisher-place":"DLA Piper","title":"Empty Threat: Does the Law Combat Illegal Wildlife Trade? A Review of Legislative and Judicial Approaches in Fifteen Jurisdictions.","type":"report"},"uris":["http://www.mendeley.com/documents/?uuid=f27e5e95-0b28-4e2f-a6f7-ef135de9c5a6"]}],"mendeley":{"formattedCitation":"(D L A Piper 2015)","plainTextFormattedCitation":"(D L A Piper 2015)","previouslyFormattedCitation":"(D L A Piper 2015)"},"properties":{"noteIndex":0},"schema":"https://github.com/citation-style-language/schema/raw/master/csl-citation.json"}</w:instrText>
      </w:r>
      <w:r w:rsidR="0057519D" w:rsidRPr="0057519D">
        <w:rPr>
          <w:color w:val="000000" w:themeColor="text1"/>
        </w:rPr>
        <w:fldChar w:fldCharType="separate"/>
      </w:r>
      <w:r w:rsidR="0057519D" w:rsidRPr="0057519D">
        <w:rPr>
          <w:noProof/>
          <w:color w:val="000000" w:themeColor="text1"/>
        </w:rPr>
        <w:t>(D L A Piper 2015)</w:t>
      </w:r>
      <w:r w:rsidR="0057519D" w:rsidRPr="0057519D">
        <w:rPr>
          <w:color w:val="000000" w:themeColor="text1"/>
        </w:rPr>
        <w:fldChar w:fldCharType="end"/>
      </w:r>
    </w:p>
    <w:p w14:paraId="4135E825" w14:textId="77777777" w:rsidR="000A7365" w:rsidRPr="007B2134" w:rsidRDefault="000A7365" w:rsidP="001C1D6E">
      <w:pPr>
        <w:pStyle w:val="Heading3"/>
      </w:pPr>
      <w:bookmarkStart w:id="169" w:name="_Ref520467399"/>
      <w:r w:rsidRPr="007B2134">
        <w:t>Central Africa</w:t>
      </w:r>
      <w:bookmarkEnd w:id="169"/>
    </w:p>
    <w:p w14:paraId="4C179EAC" w14:textId="5F61DC18" w:rsidR="000A7365" w:rsidRPr="00AB48A3" w:rsidRDefault="000A7365" w:rsidP="00920854">
      <w:pPr>
        <w:jc w:val="both"/>
        <w:rPr>
          <w:color w:val="000000" w:themeColor="text1"/>
        </w:rPr>
      </w:pPr>
      <w:r>
        <w:t>Hunting</w:t>
      </w:r>
      <w:r w:rsidRPr="00CD659F">
        <w:t xml:space="preserve"> in Central African countries is governed by specific and thematic sections of forest laws</w:t>
      </w:r>
      <w:r>
        <w:t>.</w:t>
      </w:r>
      <w:r w:rsidRPr="00CD659F">
        <w:t xml:space="preserve"> </w:t>
      </w:r>
      <w:r>
        <w:t xml:space="preserve">Forest laws were generally instigated under colonial rule and have their origins in legislation designed for sport hunting in Europe; for instance a closed season between March </w:t>
      </w:r>
      <w:r>
        <w:lastRenderedPageBreak/>
        <w:t xml:space="preserve">and September. This often renders them unfit for the purpose of regulating a subsistence hunt, even though all countries’ legal texts </w:t>
      </w:r>
      <w:r w:rsidRPr="0070404D">
        <w:rPr>
          <w:color w:val="000000" w:themeColor="text1"/>
        </w:rPr>
        <w:t>ac</w:t>
      </w:r>
      <w:r w:rsidRPr="004904D8">
        <w:rPr>
          <w:color w:val="000000" w:themeColor="text1"/>
        </w:rPr>
        <w:t xml:space="preserve">knowledge the user rights of local people and thereby allow traditional hunting and fishing for ‘subsistence’ purposes </w:t>
      </w:r>
      <w:r w:rsidR="003F4E56">
        <w:rPr>
          <w:color w:val="000000" w:themeColor="text1"/>
        </w:rPr>
        <w:fldChar w:fldCharType="begin" w:fldLock="1"/>
      </w:r>
      <w:r w:rsidR="00B2630D">
        <w:rPr>
          <w:color w:val="000000" w:themeColor="text1"/>
        </w:rPr>
        <w:instrText>ADDIN CSL_CITATION {"citationItems":[{"id":"ITEM-1","itemData":{"DOI":"ISBN 92-9225-083-3","ISBN":"9292250833","abstract":"2008. Conservation and use of wildlife-based resources: The bushmeat crisis. Technical series No. 33. Montreal: Secretariat of the Convention on Biological Diversity; and Bogor, Indonesia: Centre on International Forestry Research.","author":[{"dropping-particle":"","family":"Nasi","given":"R","non-dropping-particle":"","parse-names":false,"suffix":""},{"dropping-particle":"","family":"Brown","given":"D","non-dropping-particle":"","parse-names":false,"suffix":""},{"dropping-particle":"","family":"Wilkie","given":"D","non-dropping-particle":"","parse-names":false,"suffix":""},{"dropping-particle":"","family":"Bennett","given":"E","non-dropping-particle":"","parse-names":false,"suffix":""},{"dropping-particle":"","family":"Tutin","given":"C","non-dropping-particle":"","parse-names":false,"suffix":""},{"dropping-particle":"","family":"Tol","given":"G","non-dropping-particle":"Van","parse-names":false,"suffix":""},{"dropping-particle":"","family":"Christophersen","given":"T","non-dropping-particle":"","parse-names":false,"suffix":""}],"id":"ITEM-1","issued":{"date-parts":[["2008"]]},"number-of-pages":"50","publisher-place":"Secretariat of the Convention on Biological Diversity, Montreal, Canada, and Centre for International Forestry Research (CIFOR), Bogor, Indonesia.","title":"Conservation and use of wildlife-based resources: the bushmeat crisis. CBD Technical Series No. 33","type":"report"},"uris":["http://www.mendeley.com/documents/?uuid=820bb019-82b3-449a-b6b2-fbc4d35d17d6"]}],"mendeley":{"formattedCitation":"(Nasi et al. 2008)","plainTextFormattedCitation":"(Nasi et al. 2008)","previouslyFormattedCitation":"(Nasi et al. 2008)"},"properties":{"noteIndex":0},"schema":"https://github.com/citation-style-language/schema/raw/master/csl-citation.json"}</w:instrText>
      </w:r>
      <w:r w:rsidR="003F4E56">
        <w:rPr>
          <w:color w:val="000000" w:themeColor="text1"/>
        </w:rPr>
        <w:fldChar w:fldCharType="separate"/>
      </w:r>
      <w:r w:rsidR="003F4E56" w:rsidRPr="003F4E56">
        <w:rPr>
          <w:noProof/>
          <w:color w:val="000000" w:themeColor="text1"/>
        </w:rPr>
        <w:t>(Nasi et al. 2008)</w:t>
      </w:r>
      <w:r w:rsidR="003F4E56">
        <w:rPr>
          <w:color w:val="000000" w:themeColor="text1"/>
        </w:rPr>
        <w:fldChar w:fldCharType="end"/>
      </w:r>
      <w:r>
        <w:t xml:space="preserve">. Post-independence, updates to forest laws </w:t>
      </w:r>
      <w:r w:rsidRPr="00CD659F">
        <w:t xml:space="preserve">have appeared </w:t>
      </w:r>
      <w:r>
        <w:t xml:space="preserve">irregularly and have been applied </w:t>
      </w:r>
      <w:r w:rsidRPr="00CD659F">
        <w:t>inconsistently. This has contributed to creating gaps and confusion concerning the boundaries between legal</w:t>
      </w:r>
      <w:r>
        <w:t xml:space="preserve"> and illegal</w:t>
      </w:r>
      <w:r w:rsidRPr="00CD659F">
        <w:t xml:space="preserve"> hunting activities</w:t>
      </w:r>
      <w:r>
        <w:rPr>
          <w:lang w:val="en-US"/>
        </w:rPr>
        <w:t xml:space="preserve"> </w:t>
      </w:r>
      <w:r w:rsidR="003F4E56">
        <w:rPr>
          <w:lang w:val="en-US"/>
        </w:rPr>
        <w:fldChar w:fldCharType="begin" w:fldLock="1"/>
      </w:r>
      <w:r w:rsidR="003F4E56">
        <w:rPr>
          <w:lang w:val="en-US"/>
        </w:rPr>
        <w:instrText>ADDIN CSL_CITATION {"citationItems":[{"id":"ITEM-1","itemData":{"author":[{"dropping-particle":"","family":"Sartoretto","given":"E","non-dropping-particle":"","parse-names":false,"suffix":""},{"dropping-particle":"","family":"Henriot","given":"C","non-dropping-particle":"","parse-names":false,"suffix":""},{"dropping-particle":"","family":"Bassaland","given":"M-M","non-dropping-particle":"","parse-names":false,"suffix":""},{"dropping-particle":"","family":"Nguiffo","given":"S","non-dropping-particle":"","parse-names":false,"suffix":""}],"id":"ITEM-1","issued":{"date-parts":[["2017"]]},"publisher-place":"Food and Agriculture Organization, Rome, Italy","title":"How existing legal frameworks shape forest conversion to agriculture: a study of the Congo basin. FAO Legal Papers No. 102","type":"report"},"uris":["http://www.mendeley.com/documents/?uuid=741b99ff-d50a-4f4c-b8f5-0d9311676ba8"]}],"mendeley":{"formattedCitation":"(Sartoretto et al. 2017)","plainTextFormattedCitation":"(Sartoretto et al. 2017)","previouslyFormattedCitation":"(Sartoretto et al. 2017)"},"properties":{"noteIndex":0},"schema":"https://github.com/citation-style-language/schema/raw/master/csl-citation.json"}</w:instrText>
      </w:r>
      <w:r w:rsidR="003F4E56">
        <w:rPr>
          <w:lang w:val="en-US"/>
        </w:rPr>
        <w:fldChar w:fldCharType="separate"/>
      </w:r>
      <w:r w:rsidR="003F4E56" w:rsidRPr="003F4E56">
        <w:rPr>
          <w:noProof/>
          <w:lang w:val="en-US"/>
        </w:rPr>
        <w:t>(Sartoretto et al. 2017)</w:t>
      </w:r>
      <w:r w:rsidR="003F4E56">
        <w:rPr>
          <w:lang w:val="en-US"/>
        </w:rPr>
        <w:fldChar w:fldCharType="end"/>
      </w:r>
      <w:r w:rsidRPr="004904D8">
        <w:rPr>
          <w:snapToGrid w:val="0"/>
          <w:color w:val="000000" w:themeColor="text1"/>
          <w:lang w:eastAsia="ja-JP" w:bidi="th-TH"/>
        </w:rPr>
        <w:t>.</w:t>
      </w:r>
      <w:r>
        <w:rPr>
          <w:color w:val="000000" w:themeColor="text1"/>
        </w:rPr>
        <w:t xml:space="preserve"> </w:t>
      </w:r>
      <w:r>
        <w:rPr>
          <w:lang w:val="en-US"/>
        </w:rPr>
        <w:t>A</w:t>
      </w:r>
      <w:r w:rsidRPr="00B26804">
        <w:rPr>
          <w:lang w:val="en-US"/>
        </w:rPr>
        <w:t xml:space="preserve">lthough hunting is not illegal per se, the vast majority of wild meat hunting practiced in Central Africa is in contravention </w:t>
      </w:r>
      <w:r>
        <w:rPr>
          <w:lang w:val="en-US"/>
        </w:rPr>
        <w:t>of</w:t>
      </w:r>
      <w:r w:rsidRPr="00B26804">
        <w:rPr>
          <w:lang w:val="en-US"/>
        </w:rPr>
        <w:t xml:space="preserve"> the current legislation</w:t>
      </w:r>
      <w:r>
        <w:rPr>
          <w:lang w:val="en-US"/>
        </w:rPr>
        <w:t xml:space="preserve"> in respect of the methods used, the timing of hunting or the species taken. S</w:t>
      </w:r>
      <w:r w:rsidRPr="00CD659F">
        <w:rPr>
          <w:lang w:val="en-US"/>
        </w:rPr>
        <w:t>ince customary rights are only granted for subsistence purposes, the law either forbids</w:t>
      </w:r>
      <w:r>
        <w:rPr>
          <w:lang w:val="en-US"/>
        </w:rPr>
        <w:t xml:space="preserve"> </w:t>
      </w:r>
      <w:r w:rsidRPr="00CD659F">
        <w:rPr>
          <w:lang w:val="en-US"/>
        </w:rPr>
        <w:t xml:space="preserve">trade, as in </w:t>
      </w:r>
      <w:r>
        <w:rPr>
          <w:lang w:val="en-US"/>
        </w:rPr>
        <w:t>the Republic of Congo (ROC)</w:t>
      </w:r>
      <w:r w:rsidRPr="00CD659F">
        <w:rPr>
          <w:lang w:val="en-US"/>
        </w:rPr>
        <w:t xml:space="preserve">, or restricts it within the local community, as in Gabon. </w:t>
      </w:r>
      <w:r>
        <w:rPr>
          <w:lang w:val="en-US"/>
        </w:rPr>
        <w:t>In addition,</w:t>
      </w:r>
      <w:r w:rsidRPr="00CD659F">
        <w:rPr>
          <w:lang w:val="en-US"/>
        </w:rPr>
        <w:t xml:space="preserve"> land tenure systems concerning access to hunting resources are not sufficiently precise and often do not recognize customary land rights for </w:t>
      </w:r>
      <w:r w:rsidR="0077363A">
        <w:rPr>
          <w:lang w:val="en-US"/>
        </w:rPr>
        <w:t>IPLCs</w:t>
      </w:r>
      <w:r>
        <w:rPr>
          <w:lang w:val="en-US"/>
        </w:rPr>
        <w:t xml:space="preserve"> or allocate land rights at the level of a community, without definition of the members of that </w:t>
      </w:r>
      <w:r w:rsidRPr="008B6183">
        <w:rPr>
          <w:lang w:val="en-US"/>
        </w:rPr>
        <w:t xml:space="preserve">community </w:t>
      </w:r>
      <w:r w:rsidR="0057519D" w:rsidRPr="008B6183">
        <w:rPr>
          <w:lang w:val="en-US"/>
        </w:rPr>
        <w:fldChar w:fldCharType="begin" w:fldLock="1"/>
      </w:r>
      <w:r w:rsidR="00B2630D">
        <w:rPr>
          <w:lang w:val="en-US"/>
        </w:rPr>
        <w:instrText>ADDIN CSL_CITATION {"citationItems":[{"id":"ITEM-1","itemData":{"author":[{"dropping-particle":"","family":"Sartoretto","given":"E","non-dropping-particle":"","parse-names":false,"suffix":""},{"dropping-particle":"","family":"Henriot","given":"C","non-dropping-particle":"","parse-names":false,"suffix":""},{"dropping-particle":"","family":"Bassaland","given":"M-M","non-dropping-particle":"","parse-names":false,"suffix":""},{"dropping-particle":"","family":"Nguiffo","given":"S","non-dropping-particle":"","parse-names":false,"suffix":""}],"id":"ITEM-1","issued":{"date-parts":[["2017"]]},"publisher-place":"Food and Agriculture Organization, Rome, Italy","title":"How existing legal frameworks shape forest conversion to agriculture: a study of the Congo basin. FAO Legal Papers No. 102","type":"report"},"uris":["http://www.mendeley.com/documents/?uuid=741b99ff-d50a-4f4c-b8f5-0d9311676ba8"]},{"id":"ITEM-2","itemData":{"author":[{"dropping-particle":"","family":"Christy","given":"P.","non-dropping-particle":"","parse-names":false,"suffix":""}],"id":"ITEM-2","issued":{"date-parts":[["2006"]]},"publisher-place":"Libreville, Gabon","title":"Legal Review of Hunting Laws in Gabon.","type":"report"},"uris":["http://www.mendeley.com/documents/?uuid=76f0b115-fb9a-4839-8f70-91d428761b7c"]}],"mendeley":{"formattedCitation":"(Christy 2006; Sartoretto et al. 2017)","plainTextFormattedCitation":"(Christy 2006; Sartoretto et al. 2017)","previouslyFormattedCitation":"(Christy 2006; Sartoretto et al. 2017)"},"properties":{"noteIndex":0},"schema":"https://github.com/citation-style-language/schema/raw/master/csl-citation.json"}</w:instrText>
      </w:r>
      <w:r w:rsidR="0057519D" w:rsidRPr="008B6183">
        <w:rPr>
          <w:lang w:val="en-US"/>
        </w:rPr>
        <w:fldChar w:fldCharType="separate"/>
      </w:r>
      <w:r w:rsidR="0057519D" w:rsidRPr="008B6183">
        <w:rPr>
          <w:noProof/>
          <w:lang w:val="en-US"/>
        </w:rPr>
        <w:t>(Christy 2006; Sartoretto et al. 2017)</w:t>
      </w:r>
      <w:r w:rsidR="0057519D" w:rsidRPr="008B6183">
        <w:rPr>
          <w:lang w:val="en-US"/>
        </w:rPr>
        <w:fldChar w:fldCharType="end"/>
      </w:r>
      <w:r w:rsidR="0057519D" w:rsidRPr="008B6183">
        <w:rPr>
          <w:lang w:val="en-US"/>
        </w:rPr>
        <w:t>.</w:t>
      </w:r>
      <w:r w:rsidRPr="008B6183">
        <w:rPr>
          <w:lang w:val="en-US"/>
        </w:rPr>
        <w:t xml:space="preserve"> There has been almost no devolution of forest tenure rights in Africa where national governments still own 98 percent of forest land </w:t>
      </w:r>
      <w:r w:rsidR="008B6183" w:rsidRPr="008B6183">
        <w:rPr>
          <w:lang w:val="en-US"/>
        </w:rPr>
        <w:fldChar w:fldCharType="begin" w:fldLock="1"/>
      </w:r>
      <w:r w:rsidR="00B2630D">
        <w:rPr>
          <w:lang w:val="en-US"/>
        </w:rPr>
        <w:instrText>ADDIN CSL_CITATION {"citationItems":[{"id":"ITEM-1","itemData":{"ISBN":"34914700-b3f8-4a26-8f2d-c138bb069348","abstract":"Rural development issues are critical not only for the rural areas themselves but also for addressing pressing global concerns of food security (FS), climate change, biodiversity conservation, poverty reduction, provision of environmental goods and services, and good governance. Community-based natural resource management (CBNRM) has been a rural development strategy for over 30 years. This paper has a two-fold objective: to assess the CBNRM experience in order to improve the performance of CBNRM itself, and to evaluate the lessons learned from CBNRM for critical issues – especially food security and climate change.","author":[{"dropping-particle":"","family":"Anderson","given":"J","non-dropping-particle":"","parse-names":false,"suffix":""},{"dropping-particle":"","family":"Mehta","given":"S","non-dropping-particle":"","parse-names":false,"suffix":""}],"container-title":"Report prepared by the International Resources Group (IRG) for the United States Agency for International Development (USAID)","id":"ITEM-1","issue":"May","issued":{"date-parts":[["2013"]]},"number-of-pages":"74","title":"A Global Assessment of Community Based Natural Resource Management : Addressing the Critical Challenges of the Rural Sector","type":"report"},"uris":["http://www.mendeley.com/documents/?uuid=df06e872-a2b3-4db3-ad7f-540e9ce6e181"]}],"mendeley":{"formattedCitation":"(Anderson &amp; Mehta 2013)","plainTextFormattedCitation":"(Anderson &amp; Mehta 2013)","previouslyFormattedCitation":"(Anderson &amp; Mehta 2013)"},"properties":{"noteIndex":0},"schema":"https://github.com/citation-style-language/schema/raw/master/csl-citation.json"}</w:instrText>
      </w:r>
      <w:r w:rsidR="008B6183" w:rsidRPr="008B6183">
        <w:rPr>
          <w:lang w:val="en-US"/>
        </w:rPr>
        <w:fldChar w:fldCharType="separate"/>
      </w:r>
      <w:r w:rsidR="008B6183" w:rsidRPr="008B6183">
        <w:rPr>
          <w:noProof/>
          <w:lang w:val="en-US"/>
        </w:rPr>
        <w:t>(Anderson &amp; Mehta 2013)</w:t>
      </w:r>
      <w:r w:rsidR="008B6183" w:rsidRPr="008B6183">
        <w:rPr>
          <w:lang w:val="en-US"/>
        </w:rPr>
        <w:fldChar w:fldCharType="end"/>
      </w:r>
      <w:r w:rsidRPr="008B6183">
        <w:rPr>
          <w:lang w:val="en-US"/>
        </w:rPr>
        <w:t>.</w:t>
      </w:r>
      <w:r w:rsidRPr="00CD659F">
        <w:rPr>
          <w:lang w:val="en-US"/>
        </w:rPr>
        <w:t xml:space="preserve"> </w:t>
      </w:r>
    </w:p>
    <w:p w14:paraId="412F050D" w14:textId="77777777" w:rsidR="000A7365" w:rsidRPr="00785A38" w:rsidRDefault="000A7365" w:rsidP="001C1D6E">
      <w:pPr>
        <w:pStyle w:val="Heading3"/>
      </w:pPr>
      <w:r w:rsidRPr="00785A38">
        <w:t>South America</w:t>
      </w:r>
    </w:p>
    <w:p w14:paraId="43E19206" w14:textId="2C4D9937" w:rsidR="000A7365" w:rsidRPr="000E3CF8" w:rsidRDefault="000A7365" w:rsidP="00920854">
      <w:pPr>
        <w:jc w:val="both"/>
        <w:rPr>
          <w:color w:val="000000" w:themeColor="text1"/>
        </w:rPr>
      </w:pPr>
      <w:r>
        <w:rPr>
          <w:color w:val="000000" w:themeColor="text1"/>
        </w:rPr>
        <w:t xml:space="preserve">South American countries show contrasting policies and regulations concerning hunting and wild meat trade. In general, the lack of clarity and the ambiguity prevailing in legal texts leaves room for diverse interpretations. </w:t>
      </w:r>
      <w:r w:rsidRPr="00B26804">
        <w:t>In comparison with Africa, Latin America</w:t>
      </w:r>
      <w:r>
        <w:t>n laws</w:t>
      </w:r>
      <w:r w:rsidRPr="00B26804">
        <w:t xml:space="preserve"> </w:t>
      </w:r>
      <w:r>
        <w:t>present</w:t>
      </w:r>
      <w:r w:rsidRPr="00B26804">
        <w:t xml:space="preserve"> more </w:t>
      </w:r>
      <w:r w:rsidRPr="00205E04">
        <w:t>devolution of la</w:t>
      </w:r>
      <w:r w:rsidR="005F0B04" w:rsidRPr="00205E04">
        <w:t>nd rights to local communities</w:t>
      </w:r>
      <w:r w:rsidR="005F0B04">
        <w:t>, who own approximately 18</w:t>
      </w:r>
      <w:r w:rsidR="00205E04">
        <w:t>%</w:t>
      </w:r>
      <w:r w:rsidR="005F0B04">
        <w:t xml:space="preserve"> of the land</w:t>
      </w:r>
      <w:r w:rsidR="00205E04">
        <w:t xml:space="preserve"> </w:t>
      </w:r>
      <w:r w:rsidR="00205E04">
        <w:fldChar w:fldCharType="begin" w:fldLock="1"/>
      </w:r>
      <w:r w:rsidR="00205E04">
        <w:instrText>ADDIN CSL_CITATION {"citationItems":[{"id":"ITEM-1","itemData":{"abstract":"RRI released a first-of-its-kind baseline to quantify the amount of land formally recognized by national governments as owned by Indigenous Peoples and local communities.","author":[{"dropping-particle":"","family":"Rights and Resources Initiative","given":"","non-dropping-particle":"","parse-names":false,"suffix":""}],"id":"ITEM-1","issue":"September","issued":{"date-parts":[["2015"]]},"page":"56","title":"Who owns the Worlds land? A global baseline of formally recognized indigenous and community land rights","type":"article-journal"},"uris":["http://www.mendeley.com/documents/?uuid=449a2a9d-9498-47d7-8d1c-60b90161b8d2"]}],"mendeley":{"formattedCitation":"(Rights and Resources Initiative 2015)","plainTextFormattedCitation":"(Rights and Resources Initiative 2015)","previouslyFormattedCitation":"(Rights and Resources Initiative 2015)"},"properties":{"noteIndex":0},"schema":"https://github.com/citation-style-language/schema/raw/master/csl-citation.json"}</w:instrText>
      </w:r>
      <w:r w:rsidR="00205E04">
        <w:fldChar w:fldCharType="separate"/>
      </w:r>
      <w:r w:rsidR="00205E04" w:rsidRPr="00205E04">
        <w:rPr>
          <w:noProof/>
        </w:rPr>
        <w:t>(Rights and Resources Initiative 2015)</w:t>
      </w:r>
      <w:r w:rsidR="00205E04">
        <w:fldChar w:fldCharType="end"/>
      </w:r>
      <w:r w:rsidR="00205E04">
        <w:t>.</w:t>
      </w:r>
    </w:p>
    <w:p w14:paraId="3FABC2E7" w14:textId="77777777" w:rsidR="000A7365" w:rsidRDefault="000A7365" w:rsidP="00920854">
      <w:pPr>
        <w:jc w:val="both"/>
        <w:rPr>
          <w:color w:val="000000" w:themeColor="text1"/>
        </w:rPr>
      </w:pPr>
      <w:r>
        <w:rPr>
          <w:color w:val="000000" w:themeColor="text1"/>
        </w:rPr>
        <w:t>Here we use the case studies of Brazil, Guyana and Colombia to outline the main legal hurdles to sustainable hunting management. Hunting for subsistence is generally not submitted to any licensing process and therefore not monitored for sustainability. This is except in Guyana where the right to hunt for subsistence is only granted to indigenous communities with titled lands and all others require a license to hunt. The commercial use of wildlife is prohibited in Brazil, legal in Colombia and legal in Guyana where a licensing system is now being defined. The differences in wildlife regulations between countries sharing boundaries make it particularly difficult to manage transboundary trade.</w:t>
      </w:r>
    </w:p>
    <w:p w14:paraId="3B60DFC6" w14:textId="77777777" w:rsidR="000A7365" w:rsidRDefault="000A7365" w:rsidP="00920854">
      <w:pPr>
        <w:jc w:val="both"/>
        <w:rPr>
          <w:lang w:val="en-US"/>
        </w:rPr>
      </w:pPr>
      <w:r>
        <w:rPr>
          <w:color w:val="000000" w:themeColor="text1"/>
        </w:rPr>
        <w:t xml:space="preserve">In Colombia, </w:t>
      </w:r>
      <w:r w:rsidRPr="0010258B">
        <w:rPr>
          <w:color w:val="000000" w:themeColor="text1"/>
        </w:rPr>
        <w:t>current regulations allow regional governments to issue permits for commercial hunting of species approved by the Environment Ministry, but the ministry has not issued a list of approved species or quotas. Hunters must also file environmental impact statements, with technical and economic requirements that are difficult if not impossible for them to meet.</w:t>
      </w:r>
      <w:r>
        <w:rPr>
          <w:color w:val="000000" w:themeColor="text1"/>
        </w:rPr>
        <w:t xml:space="preserve"> </w:t>
      </w:r>
      <w:r>
        <w:rPr>
          <w:lang w:val="en-US"/>
        </w:rPr>
        <w:t>H</w:t>
      </w:r>
      <w:r w:rsidRPr="004F219A">
        <w:rPr>
          <w:lang w:val="en-US"/>
        </w:rPr>
        <w:t>unting for subsistence is legal in Colombia</w:t>
      </w:r>
      <w:r>
        <w:rPr>
          <w:lang w:val="en-US"/>
        </w:rPr>
        <w:t xml:space="preserve"> for every citizen without restrictions on hunting techniques (except poisoning) or seasons. On the other hand, wild</w:t>
      </w:r>
      <w:r w:rsidRPr="004F219A">
        <w:rPr>
          <w:lang w:val="en-US"/>
        </w:rPr>
        <w:t xml:space="preserve"> meat trade without </w:t>
      </w:r>
      <w:r>
        <w:rPr>
          <w:lang w:val="en-US"/>
        </w:rPr>
        <w:t xml:space="preserve">a </w:t>
      </w:r>
      <w:r w:rsidRPr="004F219A">
        <w:rPr>
          <w:lang w:val="en-US"/>
        </w:rPr>
        <w:t xml:space="preserve">permit is illegal. The illegality of the trade has pushed it to hidden channels and made it invisible from formal institutions. </w:t>
      </w:r>
      <w:r>
        <w:rPr>
          <w:lang w:val="en-US"/>
        </w:rPr>
        <w:t>In addition</w:t>
      </w:r>
      <w:r w:rsidRPr="004F219A">
        <w:rPr>
          <w:lang w:val="en-US"/>
        </w:rPr>
        <w:t xml:space="preserve">, the lack of clarity in national laws and the loopholes in current regulations have resulted in ambiguous interpretations on how local communities can use wildlife for their livelihoods. The current regulatory framework does not differentiate the sale of surplus by a local hunter from the large scale lucrative trade. </w:t>
      </w:r>
      <w:r>
        <w:rPr>
          <w:lang w:val="en-US"/>
        </w:rPr>
        <w:t>In addition, t</w:t>
      </w:r>
      <w:r w:rsidRPr="004F219A">
        <w:rPr>
          <w:lang w:val="en-US"/>
        </w:rPr>
        <w:t xml:space="preserve">he technical complexity of the requirements needed to obtain </w:t>
      </w:r>
      <w:r w:rsidRPr="00143DCE">
        <w:rPr>
          <w:lang w:val="en-US"/>
        </w:rPr>
        <w:t xml:space="preserve">commercial harvesting permits excludes, </w:t>
      </w:r>
      <w:r w:rsidRPr="0032178F">
        <w:rPr>
          <w:i/>
          <w:lang w:val="en-US"/>
        </w:rPr>
        <w:t>de facto</w:t>
      </w:r>
      <w:r w:rsidRPr="00143DCE">
        <w:rPr>
          <w:lang w:val="en-US"/>
        </w:rPr>
        <w:t>, any type of community led initia</w:t>
      </w:r>
      <w:r>
        <w:rPr>
          <w:lang w:val="en-US"/>
        </w:rPr>
        <w:t>ti</w:t>
      </w:r>
      <w:r w:rsidRPr="00143DCE">
        <w:rPr>
          <w:lang w:val="en-US"/>
        </w:rPr>
        <w:t>ve. In 2015, the Ministry of Environment and Development, organized a technical workshop in Leticia, Amazonas, Colombia, to discuss practical recommendations on how to adapt and operationalize the legal framework to allow the sustainable use and trade of wild meat by rural communities</w:t>
      </w:r>
      <w:r>
        <w:rPr>
          <w:lang w:val="en-US"/>
        </w:rPr>
        <w:t>. Three main recommendations followed from this workshop:</w:t>
      </w:r>
    </w:p>
    <w:p w14:paraId="0E759031" w14:textId="77777777" w:rsidR="000A7365" w:rsidRPr="00E13702" w:rsidRDefault="000A7365" w:rsidP="000A7365">
      <w:pPr>
        <w:pStyle w:val="ListParagraph"/>
        <w:numPr>
          <w:ilvl w:val="0"/>
          <w:numId w:val="19"/>
        </w:numPr>
        <w:spacing w:before="240"/>
        <w:rPr>
          <w:lang w:val="en-US"/>
        </w:rPr>
      </w:pPr>
      <w:r w:rsidRPr="00E13702">
        <w:rPr>
          <w:lang w:val="en-US"/>
        </w:rPr>
        <w:lastRenderedPageBreak/>
        <w:t>Clarify the legal frameworks, including the definition of subsistence and commercial sales. Consider the feasibility of regulation of legal markets as an alternative to enforcement of hunting bans.</w:t>
      </w:r>
    </w:p>
    <w:p w14:paraId="4F29526F" w14:textId="77777777" w:rsidR="000A7365" w:rsidRPr="00E13702" w:rsidRDefault="000A7365" w:rsidP="000A7365">
      <w:pPr>
        <w:pStyle w:val="ListParagraph"/>
        <w:numPr>
          <w:ilvl w:val="0"/>
          <w:numId w:val="19"/>
        </w:numPr>
        <w:spacing w:before="240"/>
        <w:rPr>
          <w:lang w:val="en-US"/>
        </w:rPr>
      </w:pPr>
      <w:r w:rsidRPr="00E13702">
        <w:rPr>
          <w:lang w:val="en-US"/>
        </w:rPr>
        <w:t>Increase inter-sectional coordination between different national ministries</w:t>
      </w:r>
    </w:p>
    <w:p w14:paraId="7F4C53B9" w14:textId="711CF862" w:rsidR="000A7365" w:rsidRPr="00E13702" w:rsidRDefault="000A7365" w:rsidP="000A7365">
      <w:pPr>
        <w:pStyle w:val="ListParagraph"/>
        <w:numPr>
          <w:ilvl w:val="0"/>
          <w:numId w:val="19"/>
        </w:numPr>
        <w:spacing w:before="240"/>
        <w:rPr>
          <w:lang w:val="en-US"/>
        </w:rPr>
      </w:pPr>
      <w:r w:rsidRPr="00E13702">
        <w:rPr>
          <w:lang w:val="en-US"/>
        </w:rPr>
        <w:t xml:space="preserve">Consider how quotas might be set using an adaptive management process (see </w:t>
      </w:r>
      <w:r>
        <w:rPr>
          <w:lang w:val="en-US"/>
        </w:rPr>
        <w:fldChar w:fldCharType="begin"/>
      </w:r>
      <w:r>
        <w:rPr>
          <w:lang w:val="en-US"/>
        </w:rPr>
        <w:instrText xml:space="preserve"> REF _Ref519603431 \r \h </w:instrText>
      </w:r>
      <w:r>
        <w:rPr>
          <w:lang w:val="en-US"/>
        </w:rPr>
      </w:r>
      <w:r>
        <w:rPr>
          <w:lang w:val="en-US"/>
        </w:rPr>
        <w:fldChar w:fldCharType="separate"/>
      </w:r>
      <w:r w:rsidR="007034F1">
        <w:rPr>
          <w:lang w:val="en-US"/>
        </w:rPr>
        <w:t>8.3</w:t>
      </w:r>
      <w:r>
        <w:rPr>
          <w:lang w:val="en-US"/>
        </w:rPr>
        <w:fldChar w:fldCharType="end"/>
      </w:r>
      <w:r>
        <w:rPr>
          <w:lang w:val="en-US"/>
        </w:rPr>
        <w:t xml:space="preserve"> </w:t>
      </w:r>
      <w:r w:rsidRPr="00E13702">
        <w:rPr>
          <w:lang w:val="en-US"/>
        </w:rPr>
        <w:t>for further detail)</w:t>
      </w:r>
    </w:p>
    <w:p w14:paraId="2E34D386" w14:textId="059E7292" w:rsidR="000A7365" w:rsidRDefault="000A7365" w:rsidP="00920854">
      <w:pPr>
        <w:spacing w:after="0"/>
        <w:jc w:val="both"/>
      </w:pPr>
      <w:r w:rsidRPr="00D063CB">
        <w:t>In Brazil, although the “</w:t>
      </w:r>
      <w:r w:rsidRPr="00D063CB">
        <w:rPr>
          <w:i/>
          <w:iCs/>
        </w:rPr>
        <w:t>use, persecution, destruction, hunting or harvesting</w:t>
      </w:r>
      <w:r w:rsidRPr="00D063CB">
        <w:t xml:space="preserve">” of wildlife were banned by the Brazilian Faunal Protection Law (Law 5197 of 3rd January 1967, Article 1), </w:t>
      </w:r>
      <w:r>
        <w:t xml:space="preserve">subsistence </w:t>
      </w:r>
      <w:r w:rsidRPr="00D063CB">
        <w:t>hunting is permitted by the Environmental Crimes Law (Law 9605 of 12th February 1998) whenever carried out as a “</w:t>
      </w:r>
      <w:r w:rsidRPr="00D063CB">
        <w:rPr>
          <w:i/>
          <w:iCs/>
        </w:rPr>
        <w:t>necessity, to satiate the hunger of the agent or his/her family</w:t>
      </w:r>
      <w:r w:rsidRPr="00D063CB">
        <w:t>” (Article 37)</w:t>
      </w:r>
      <w:r>
        <w:t xml:space="preserve"> </w:t>
      </w:r>
      <w:r w:rsidR="005B5533">
        <w:fldChar w:fldCharType="begin" w:fldLock="1"/>
      </w:r>
      <w:r w:rsidR="005B5533">
        <w:instrText>ADDIN CSL_CITATION {"citationItems":[{"id":"ITEM-1","itemData":{"DOI":"10.5751/ES-07882-200330","ISBN":"1708-3087","ISSN":"17083087","PMID":"20415643","abstract":"The impacts of unregulated sport hunting can severely affect populations of target game species. Because hunting in Brazil is limited by law, obtaining data on illegal sport hunting in this country is challenging. We used an unusual online resource, YouTube™, to detect the occurrence of sport hunting in Brazil, measure the impacts of the activity on the main Brazilian game species and biomes, evaluate the opinions of hunters and internet users on sport hunting, and discuss the need for policy interventions in wildlife conservation in this country. We found 383 videos related to Brazilian sport hunting on YouTube™, accounting for more than 15 million views. Most videos were produced in the Cerrado (Brazilian savannah) and approximately 70% of them depicted events of pursuit and killing of wild animals, especially lowland pacas (Cuniculus paca) and armadillos (Family Dasypodidae). Videos were posted primarily in July and December, coinciding with the two main Brazilian vacation periods. Furthermore, the shotguns identified on videos show that sport hunters expend large sums of money to undertake their hunts. These results indicate that Brazilian sport hunters are possibly wealthier urban residents who travel to rural areas to hunt, contrasting with previous hunting studies in the country. Most viewers declared themselves in favor of sport hunting in comments (n = 2893) and ratings (n = 36,570) of the videos. Discussions generated by comments suggest that Brazilian sport hunters employ several informal management strategies to maintain game species stocks for future hunting and intensely question the restrictions of Brazilian environmental policies. Our results demonstrate that solutions are needed for the regulation of sport hunting in Brazil. Government actions, whether to increase surveillance or legalize hunting programs, should take into account the opinions of sport hunters and their perceptions on hunting dynamics to support effective policy decisions on wildlife conservation in Brazil. Key Words: bushmeat; conservation; mammals; public opinion","author":[{"dropping-particle":"","family":"Bizri","given":"Hani R.","non-dropping-particle":"El","parse-names":false,"suffix":""},{"dropping-particle":"","family":"Morcatty","given":"Thaís Q.","non-dropping-particle":"","parse-names":false,"suffix":""},{"dropping-particle":"","family":"Lima","given":"Jéssica J.S.","non-dropping-particle":"","parse-names":false,"suffix":""},{"dropping-particle":"","family":"Valsecchi","given":"João","non-dropping-particle":"","parse-names":false,"suffix":""}],"container-title":"Ecology and Society","id":"ITEM-1","issue":"3","issued":{"date-parts":[["2015"]]},"page":"30","title":"The thrill of the chase: uncovering illegal sport hunting in Brazil through YouTube™ posts","type":"article-journal","volume":"20"},"uris":["http://www.mendeley.com/documents/?uuid=94a05866-4b25-4812-a507-a679220fdbcf"]},{"id":"ITEM-2","itemData":{"DOI":"10.1016/j.pecon.2017.08.004","ISSN":"25300644","abstract":"The Amazon Basin experienced a pervasive process of resource overexploitation during the 20th-century, which induced severe population declines of many iconic vertebrate species. In addition to biodiversity loss and the ecological consequences of defaunation, food security of local communities was relentlessly threatened because wild meat had a historically pivotal role in protein acquisition by local dwellers. Here we discuss the urgent need to regulate subsistence hunting by Amazonian semi-subsistence local communities, which are far removed from the market and information economy. Following positive examples from community-based management of aquatic and terrestrial resources, we advocate that hunting practices, based on modern scientific principles firmly grounded in population ecology, represent a strong window of opportunity to recover viable populations of previously overexploited wildlife.","author":[{"dropping-particle":"","family":"Campos-Silva","given":"João Vitor","non-dropping-particle":"","parse-names":false,"suffix":""},{"dropping-particle":"","family":"Peres","given":"Carlos A.","non-dropping-particle":"","parse-names":false,"suffix":""},{"dropping-particle":"","family":"Antunes","given":"André P.","non-dropping-particle":"","parse-names":false,"suffix":""},{"dropping-particle":"","family":"Valsecchi","given":"João","non-dropping-particle":"","parse-names":false,"suffix":""},{"dropping-particle":"","family":"Pezzuti","given":"Juarez","non-dropping-particle":"","parse-names":false,"suffix":""}],"container-title":"Perspectives in Ecology and Conservation","id":"ITEM-2","issue":"4","issued":{"date-parts":[["2017"]]},"page":"266-270","publisher":"Associação Brasileira de Ciência Ecológica e Conservação","title":"Community-based population recovery of overexploited Amazonian wildlife","type":"article-journal","volume":"15"},"uris":["http://www.mendeley.com/documents/?uuid=30e49d8f-b293-4bd6-8258-77e883eb9eea"]}],"mendeley":{"formattedCitation":"(El Bizri et al. 2015; Campos-Silva et al. 2017)","plainTextFormattedCitation":"(El Bizri et al. 2015; Campos-Silva et al. 2017)","previouslyFormattedCitation":"(El Bizri et al. 2015; Campos-Silva et al. 2017)"},"properties":{"noteIndex":0},"schema":"https://github.com/citation-style-language/schema/raw/master/csl-citation.json"}</w:instrText>
      </w:r>
      <w:r w:rsidR="005B5533">
        <w:fldChar w:fldCharType="separate"/>
      </w:r>
      <w:r w:rsidR="005B5533" w:rsidRPr="005B5533">
        <w:rPr>
          <w:noProof/>
        </w:rPr>
        <w:t>(El Bizri et al. 2015; Campos-Silva et al. 2017)</w:t>
      </w:r>
      <w:r w:rsidR="005B5533">
        <w:fldChar w:fldCharType="end"/>
      </w:r>
      <w:r w:rsidRPr="00D063CB">
        <w:t xml:space="preserve">. However, </w:t>
      </w:r>
      <w:r w:rsidRPr="0070404D">
        <w:t>there is a lack of clarity on the definition of “ in a state of need”. This often causes contradictory surveillance actions, since the federal environmental control agencies have the discretion to decide what “a state of need” entails and whether a hunter has exceed</w:t>
      </w:r>
      <w:r>
        <w:t>ed</w:t>
      </w:r>
      <w:r w:rsidRPr="0070404D">
        <w:t xml:space="preserve"> it or not. This discretionary power frequently leads to corruption, with exchange of favours between enforcement agents and hunters, wh</w:t>
      </w:r>
      <w:r>
        <w:t>o</w:t>
      </w:r>
      <w:r w:rsidRPr="0070404D">
        <w:t xml:space="preserve"> have to</w:t>
      </w:r>
      <w:r>
        <w:t xml:space="preserve"> </w:t>
      </w:r>
      <w:r w:rsidRPr="0070404D">
        <w:t>pa</w:t>
      </w:r>
      <w:r>
        <w:t>y</w:t>
      </w:r>
      <w:r w:rsidRPr="0070404D">
        <w:t xml:space="preserve"> to </w:t>
      </w:r>
      <w:r>
        <w:t>avoid</w:t>
      </w:r>
      <w:r w:rsidRPr="0070404D">
        <w:t xml:space="preserve"> </w:t>
      </w:r>
      <w:r>
        <w:t>punishment.</w:t>
      </w:r>
      <w:r w:rsidRPr="0070404D">
        <w:t xml:space="preserve"> In addition, there is a trend towards consider</w:t>
      </w:r>
      <w:r>
        <w:t>ing</w:t>
      </w:r>
      <w:r w:rsidRPr="0070404D">
        <w:t xml:space="preserve"> that the need to hunt for food is a characteristic only of Amazonian people</w:t>
      </w:r>
      <w:r>
        <w:t>;</w:t>
      </w:r>
      <w:r w:rsidRPr="0070404D">
        <w:t xml:space="preserve"> anybody hunting in other biomes is doing so illegally. Furthermore, similar to Central Africa, night hunting is not permitted in Brazil. In the country, several nocturnal species </w:t>
      </w:r>
      <w:r>
        <w:t>are</w:t>
      </w:r>
      <w:r w:rsidRPr="0070404D">
        <w:t xml:space="preserve"> main items in the diet of local hunters </w:t>
      </w:r>
      <w:r>
        <w:t>such as</w:t>
      </w:r>
      <w:r w:rsidRPr="0070404D">
        <w:t xml:space="preserve"> </w:t>
      </w:r>
      <w:r>
        <w:t>paca (</w:t>
      </w:r>
      <w:r w:rsidRPr="0070404D">
        <w:rPr>
          <w:i/>
        </w:rPr>
        <w:t>Cuniculus paca</w:t>
      </w:r>
      <w:r w:rsidRPr="0032178F">
        <w:t>;</w:t>
      </w:r>
      <w:r>
        <w:rPr>
          <w:i/>
        </w:rPr>
        <w:t xml:space="preserve"> </w:t>
      </w:r>
      <w:r w:rsidR="005B5533">
        <w:rPr>
          <w:i/>
        </w:rPr>
        <w:fldChar w:fldCharType="begin" w:fldLock="1"/>
      </w:r>
      <w:r w:rsidR="00AD11E1">
        <w:rPr>
          <w:i/>
        </w:rPr>
        <w:instrText>ADDIN CSL_CITATION {"citationItems":[{"id":"ITEM-1","itemData":{"DOI":"10.1590/bjb.2014.0098","ISBN":"1519-6984","ISSN":"1519-6984","PMID":"25296203","abstract":"&lt;p&gt;Ungulates, large primates and caviomorfs are cited by Amazonian hunters as preferred species. In this research, paca (Cuniculus paca) hunting was investigated in relation to water levels and the lunar cycle. In eight years of monitoring in the Amanã Sustainable Development Reserve, the killing of 625 pacas was registered in five monitored communities. Paca hunting took place mainly at night and the most commonly used method is “spotlighting”. A positive correlation between the number of pacas killed and water level (rs=0.890; p&amp;lt;0.0001) was found. At least 37% of the pacas were hunted when moon illumination level was less than 10%, before moonrise or after moonset. In the Boa Esperança community, capture of paca tended to decrease on nights with high moon illumination (rs= −0.663; p=0.067). At the same time, an expressive catch-per-unity-effort decrease was also observed in this community (r2= −0.881; p&amp;lt;0.001), allowing us to predict unsustainable hunting levels for the next decade. The stock of animals in these areas could be continuously replaced if surrounding areas consisted of continuous forests. However, continuous hunting and deforestation force local hunters to travel longer distances to kill prey such as pacas. The confirmation of the relation between paca habits and lunar illumination and water level, a pattern described by local hunters, demonstrates the potential value of participatory research and the possibility of integrating traditional knowledge into scientific knowledge.&lt;/p&gt;","author":[{"dropping-particle":"","family":"Valsecchi","given":"J","non-dropping-particle":"","parse-names":false,"suffix":""},{"dropping-particle":"","family":"Bizri","given":"HR","non-dropping-particle":"El","parse-names":false,"suffix":""},{"dropping-particle":"","family":"Figueira","given":"JEC","non-dropping-particle":"","parse-names":false,"suffix":""}],"container-title":"Brazilian Journal of Biology","id":"ITEM-1","issue":"3","issued":{"date-parts":[["2014"]]},"page":"560-568","title":"Subsistence hunting of Cuniculus pacain the middle of the Solimões River, Amazonas, Brazil","type":"article-journal","volume":"74"},"uris":["http://www.mendeley.com/documents/?uuid=199d7e59-2fb8-4857-8957-667ca4525d43"]}],"mendeley":{"formattedCitation":"(Valsecchi et al. 2014)","manualFormatting":"Valsecchi et al. 2014)","plainTextFormattedCitation":"(Valsecchi et al. 2014)","previouslyFormattedCitation":"(Valsecchi et al. 2014)"},"properties":{"noteIndex":0},"schema":"https://github.com/citation-style-language/schema/raw/master/csl-citation.json"}</w:instrText>
      </w:r>
      <w:r w:rsidR="005B5533">
        <w:rPr>
          <w:i/>
        </w:rPr>
        <w:fldChar w:fldCharType="separate"/>
      </w:r>
      <w:r w:rsidR="005B5533" w:rsidRPr="005B5533">
        <w:rPr>
          <w:noProof/>
        </w:rPr>
        <w:t>Valsecchi et al. 2014)</w:t>
      </w:r>
      <w:r w:rsidR="005B5533">
        <w:rPr>
          <w:i/>
        </w:rPr>
        <w:fldChar w:fldCharType="end"/>
      </w:r>
      <w:r>
        <w:t>.</w:t>
      </w:r>
      <w:r w:rsidRPr="0070404D">
        <w:t xml:space="preserve"> </w:t>
      </w:r>
      <w:r>
        <w:t>E</w:t>
      </w:r>
      <w:r w:rsidRPr="0070404D">
        <w:t xml:space="preserve">ven if the hunter is acting </w:t>
      </w:r>
      <w:r w:rsidRPr="004904D8">
        <w:t>“in a state of need”</w:t>
      </w:r>
      <w:r w:rsidRPr="005512D2">
        <w:t xml:space="preserve"> when hunting these species</w:t>
      </w:r>
      <w:r>
        <w:t xml:space="preserve"> at night</w:t>
      </w:r>
      <w:r w:rsidRPr="005512D2">
        <w:t xml:space="preserve"> it would be a </w:t>
      </w:r>
      <w:r w:rsidRPr="005512D2">
        <w:rPr>
          <w:color w:val="000000" w:themeColor="text1"/>
        </w:rPr>
        <w:t xml:space="preserve">contravention </w:t>
      </w:r>
      <w:r w:rsidRPr="00B26804">
        <w:t xml:space="preserve">with the current legislation. </w:t>
      </w:r>
    </w:p>
    <w:p w14:paraId="21246E3D" w14:textId="77777777" w:rsidR="00920854" w:rsidRPr="00B26804" w:rsidRDefault="00920854" w:rsidP="000A7365">
      <w:pPr>
        <w:spacing w:after="0"/>
      </w:pPr>
    </w:p>
    <w:p w14:paraId="3BA38423" w14:textId="77777777" w:rsidR="000A7365" w:rsidRPr="00D541E2" w:rsidRDefault="000A7365" w:rsidP="00920854">
      <w:pPr>
        <w:jc w:val="both"/>
        <w:rPr>
          <w:lang w:val="en-US"/>
        </w:rPr>
      </w:pPr>
      <w:r>
        <w:t>In Guyana</w:t>
      </w:r>
      <w:r w:rsidRPr="003E7F25">
        <w:t xml:space="preserve"> </w:t>
      </w:r>
      <w:r>
        <w:rPr>
          <w:lang w:val="en-US"/>
        </w:rPr>
        <w:t>t</w:t>
      </w:r>
      <w:r w:rsidRPr="003E7F25">
        <w:rPr>
          <w:lang w:val="en-US"/>
        </w:rPr>
        <w:t>he main regulations for the management and use of wildlife resources are established on the Wildlife Management and Conservation Regulations of 2013</w:t>
      </w:r>
      <w:r>
        <w:rPr>
          <w:lang w:val="en-US"/>
        </w:rPr>
        <w:t xml:space="preserve">, </w:t>
      </w:r>
      <w:r w:rsidRPr="003E7F25">
        <w:rPr>
          <w:lang w:val="en-US"/>
        </w:rPr>
        <w:t>issued under the Environmental Protection Act of 1996</w:t>
      </w:r>
      <w:r>
        <w:rPr>
          <w:lang w:val="en-US"/>
        </w:rPr>
        <w:t xml:space="preserve"> </w:t>
      </w:r>
      <w:r w:rsidRPr="003E7F25">
        <w:rPr>
          <w:lang w:val="en-US"/>
        </w:rPr>
        <w:t xml:space="preserve"> and the Wildlife Conservation and Management Act of 2016. </w:t>
      </w:r>
      <w:r>
        <w:rPr>
          <w:lang w:val="en-US"/>
        </w:rPr>
        <w:t>The</w:t>
      </w:r>
      <w:r w:rsidRPr="003E7F25">
        <w:rPr>
          <w:lang w:val="en-US"/>
        </w:rPr>
        <w:t xml:space="preserve"> Wildlife </w:t>
      </w:r>
      <w:r>
        <w:rPr>
          <w:lang w:val="en-US"/>
        </w:rPr>
        <w:t xml:space="preserve">Conservation and Management Commission is </w:t>
      </w:r>
      <w:r w:rsidRPr="003E7F25">
        <w:rPr>
          <w:lang w:val="en-US"/>
        </w:rPr>
        <w:t>the authority in charge</w:t>
      </w:r>
      <w:r>
        <w:rPr>
          <w:lang w:val="en-US"/>
        </w:rPr>
        <w:t xml:space="preserve"> of managing wildlife in Guyana and </w:t>
      </w:r>
      <w:r w:rsidRPr="003E7F25">
        <w:rPr>
          <w:lang w:val="en-US"/>
        </w:rPr>
        <w:t xml:space="preserve">is in the process of developing </w:t>
      </w:r>
      <w:r>
        <w:rPr>
          <w:lang w:val="en-US"/>
        </w:rPr>
        <w:t>new</w:t>
      </w:r>
      <w:r w:rsidRPr="003E7F25">
        <w:rPr>
          <w:lang w:val="en-US"/>
        </w:rPr>
        <w:t xml:space="preserve"> </w:t>
      </w:r>
      <w:r>
        <w:rPr>
          <w:lang w:val="en-US"/>
        </w:rPr>
        <w:t>r</w:t>
      </w:r>
      <w:r w:rsidRPr="003E7F25">
        <w:rPr>
          <w:lang w:val="en-US"/>
        </w:rPr>
        <w:t xml:space="preserve">egulations on hunting, trapping, protection, conservation, management, and sustainable use of wildlife. </w:t>
      </w:r>
      <w:r>
        <w:rPr>
          <w:lang w:val="en-US"/>
        </w:rPr>
        <w:t>Currently, s</w:t>
      </w:r>
      <w:r w:rsidRPr="009B73C9">
        <w:rPr>
          <w:lang w:val="en-US"/>
        </w:rPr>
        <w:t xml:space="preserve">ubsistence use is allowed in Guyana only for people from Amerindian </w:t>
      </w:r>
      <w:r>
        <w:rPr>
          <w:lang w:val="en-US"/>
        </w:rPr>
        <w:t>v</w:t>
      </w:r>
      <w:r w:rsidRPr="009B73C9">
        <w:rPr>
          <w:lang w:val="en-US"/>
        </w:rPr>
        <w:t>illages</w:t>
      </w:r>
      <w:r>
        <w:rPr>
          <w:lang w:val="en-US"/>
        </w:rPr>
        <w:t xml:space="preserve"> with titled lands </w:t>
      </w:r>
      <w:r>
        <w:t xml:space="preserve">- </w:t>
      </w:r>
      <w:r>
        <w:rPr>
          <w:lang w:val="en-US"/>
        </w:rPr>
        <w:t xml:space="preserve">and only </w:t>
      </w:r>
      <w:r w:rsidRPr="009B73C9">
        <w:rPr>
          <w:lang w:val="en-US"/>
        </w:rPr>
        <w:t>within th</w:t>
      </w:r>
      <w:r>
        <w:rPr>
          <w:lang w:val="en-US"/>
        </w:rPr>
        <w:t>ose titled</w:t>
      </w:r>
      <w:r w:rsidRPr="009B73C9">
        <w:rPr>
          <w:lang w:val="en-US"/>
        </w:rPr>
        <w:t xml:space="preserve"> </w:t>
      </w:r>
      <w:r>
        <w:rPr>
          <w:lang w:val="en-US"/>
        </w:rPr>
        <w:t>v</w:t>
      </w:r>
      <w:r w:rsidRPr="009B73C9">
        <w:rPr>
          <w:lang w:val="en-US"/>
        </w:rPr>
        <w:t xml:space="preserve">illage lands. </w:t>
      </w:r>
      <w:r>
        <w:rPr>
          <w:lang w:val="en-US"/>
        </w:rPr>
        <w:t xml:space="preserve">Amerindian communities without </w:t>
      </w:r>
      <w:r w:rsidRPr="009B73C9">
        <w:rPr>
          <w:lang w:val="en-US"/>
        </w:rPr>
        <w:t xml:space="preserve">a land title are not able to hunt for subsistence purposes without a license. In the same way, non-Amerindians </w:t>
      </w:r>
      <w:r>
        <w:rPr>
          <w:lang w:val="en-US"/>
        </w:rPr>
        <w:t>a</w:t>
      </w:r>
      <w:r w:rsidRPr="009B73C9">
        <w:rPr>
          <w:lang w:val="en-US"/>
        </w:rPr>
        <w:t xml:space="preserve">lso require a license to conduct </w:t>
      </w:r>
      <w:r>
        <w:rPr>
          <w:lang w:val="en-US"/>
        </w:rPr>
        <w:t>hunting</w:t>
      </w:r>
      <w:r w:rsidRPr="009B73C9">
        <w:rPr>
          <w:lang w:val="en-US"/>
        </w:rPr>
        <w:t xml:space="preserve"> for subsistence purposes. </w:t>
      </w:r>
      <w:r>
        <w:rPr>
          <w:lang w:val="en-US"/>
        </w:rPr>
        <w:t>Although the regulations are still being developed, hunting licenses will regulate hunting seasons, hunting zones and hunting equipment. Concerning trade, t</w:t>
      </w:r>
      <w:r w:rsidRPr="009B73C9">
        <w:rPr>
          <w:lang w:val="en-US"/>
        </w:rPr>
        <w:t>he Wildlife Regulations of 2013 establis</w:t>
      </w:r>
      <w:r>
        <w:rPr>
          <w:lang w:val="en-US"/>
        </w:rPr>
        <w:t>h</w:t>
      </w:r>
      <w:r w:rsidRPr="009B73C9">
        <w:rPr>
          <w:lang w:val="en-US"/>
        </w:rPr>
        <w:t xml:space="preserve"> that “any person who proposes to engage in activities to farm, ranch, buy, sell or otherwise deal in wildlife on a local basis shall, before </w:t>
      </w:r>
      <w:r w:rsidRPr="00D541E2">
        <w:rPr>
          <w:lang w:val="en-US"/>
        </w:rPr>
        <w:t xml:space="preserve">commencing such activities, apply for a commercial license”. As such, hunting and wildlife trade are regulated separately. </w:t>
      </w:r>
    </w:p>
    <w:p w14:paraId="0B10FEFF" w14:textId="77777777" w:rsidR="000A7365" w:rsidRPr="00D541E2" w:rsidRDefault="000A7365" w:rsidP="001C1D6E">
      <w:pPr>
        <w:pStyle w:val="Heading3"/>
      </w:pPr>
      <w:r w:rsidRPr="00D541E2">
        <w:t>Asia</w:t>
      </w:r>
    </w:p>
    <w:p w14:paraId="025CE3EB" w14:textId="6CFF165E" w:rsidR="00701C0D" w:rsidRPr="00CC5E3D" w:rsidRDefault="000A7365" w:rsidP="00701C0D">
      <w:pPr>
        <w:rPr>
          <w:rFonts w:eastAsiaTheme="minorHAnsi"/>
          <w:lang w:val="en-US"/>
        </w:rPr>
      </w:pPr>
      <w:r w:rsidRPr="00D541E2">
        <w:rPr>
          <w:rFonts w:eastAsiaTheme="minorHAnsi"/>
          <w:lang w:val="en-US"/>
        </w:rPr>
        <w:t>Across Asia, national governments typically retain ultimate control over land and natural reso</w:t>
      </w:r>
      <w:r w:rsidR="008F4D60">
        <w:rPr>
          <w:rFonts w:eastAsiaTheme="minorHAnsi"/>
          <w:lang w:val="en-US"/>
        </w:rPr>
        <w:t>urces</w:t>
      </w:r>
      <w:r w:rsidRPr="00D541E2">
        <w:rPr>
          <w:rFonts w:eastAsiaTheme="minorHAnsi"/>
          <w:lang w:val="en-US"/>
        </w:rPr>
        <w:t xml:space="preserve"> including wildlife</w:t>
      </w:r>
      <w:r w:rsidR="00701C0D">
        <w:rPr>
          <w:rFonts w:eastAsiaTheme="minorHAnsi"/>
          <w:lang w:val="en-US"/>
        </w:rPr>
        <w:t>, a</w:t>
      </w:r>
      <w:r w:rsidR="00701C0D" w:rsidRPr="00D541E2">
        <w:rPr>
          <w:rFonts w:eastAsiaTheme="minorHAnsi"/>
          <w:lang w:val="en-US"/>
        </w:rPr>
        <w:t>lthough P</w:t>
      </w:r>
      <w:r w:rsidR="00701C0D">
        <w:rPr>
          <w:rFonts w:eastAsiaTheme="minorHAnsi"/>
          <w:lang w:val="en-US"/>
        </w:rPr>
        <w:t xml:space="preserve">apua </w:t>
      </w:r>
      <w:r w:rsidR="00701C0D" w:rsidRPr="00D541E2">
        <w:rPr>
          <w:rFonts w:eastAsiaTheme="minorHAnsi"/>
          <w:lang w:val="en-US"/>
        </w:rPr>
        <w:t>N</w:t>
      </w:r>
      <w:r w:rsidR="00701C0D">
        <w:rPr>
          <w:rFonts w:eastAsiaTheme="minorHAnsi"/>
          <w:lang w:val="en-US"/>
        </w:rPr>
        <w:t xml:space="preserve">ew </w:t>
      </w:r>
      <w:r w:rsidR="00701C0D" w:rsidRPr="00D541E2">
        <w:rPr>
          <w:rFonts w:eastAsiaTheme="minorHAnsi"/>
          <w:lang w:val="en-US"/>
        </w:rPr>
        <w:t>G</w:t>
      </w:r>
      <w:r w:rsidR="00701C0D">
        <w:rPr>
          <w:rFonts w:eastAsiaTheme="minorHAnsi"/>
          <w:lang w:val="en-US"/>
        </w:rPr>
        <w:t>uinea,</w:t>
      </w:r>
      <w:r w:rsidR="00701C0D" w:rsidRPr="00F62FB5">
        <w:rPr>
          <w:rFonts w:eastAsiaTheme="minorHAnsi"/>
          <w:lang w:val="en-US"/>
        </w:rPr>
        <w:t xml:space="preserve"> </w:t>
      </w:r>
      <w:r w:rsidR="00701C0D" w:rsidRPr="00CC5E3D">
        <w:rPr>
          <w:rFonts w:eastAsiaTheme="minorHAnsi"/>
          <w:lang w:val="en-US"/>
        </w:rPr>
        <w:t>Timor-Leste</w:t>
      </w:r>
      <w:r w:rsidR="00701C0D" w:rsidRPr="00D541E2">
        <w:rPr>
          <w:rFonts w:eastAsiaTheme="minorHAnsi"/>
          <w:lang w:val="en-US"/>
        </w:rPr>
        <w:t xml:space="preserve"> and the Solomon Islands recogni</w:t>
      </w:r>
      <w:r w:rsidR="00701C0D">
        <w:rPr>
          <w:rFonts w:eastAsiaTheme="minorHAnsi"/>
          <w:lang w:val="en-US"/>
        </w:rPr>
        <w:t>z</w:t>
      </w:r>
      <w:r w:rsidR="00701C0D" w:rsidRPr="00D541E2">
        <w:rPr>
          <w:rFonts w:eastAsiaTheme="minorHAnsi"/>
          <w:lang w:val="en-US"/>
        </w:rPr>
        <w:t>e the pre-eminence of customary</w:t>
      </w:r>
      <w:r w:rsidR="00701C0D" w:rsidRPr="00CC5E3D">
        <w:rPr>
          <w:rFonts w:eastAsiaTheme="minorHAnsi"/>
          <w:lang w:val="en-US"/>
        </w:rPr>
        <w:t xml:space="preserve"> rights. </w:t>
      </w:r>
      <w:r w:rsidR="00701C0D" w:rsidRPr="00EA0FD3">
        <w:t xml:space="preserve">Generally forest and wildlife conservation initiatives and institutions have existed since colonial times and were largely directed at commercial and elitist interests, rather than at the rural people whose livelihoods depended on forest resources </w:t>
      </w:r>
      <w:r w:rsidR="00AD11E1">
        <w:fldChar w:fldCharType="begin" w:fldLock="1"/>
      </w:r>
      <w:r w:rsidR="00763BF5">
        <w:instrText>ADDIN CSL_CITATION {"citationItems":[{"id":"ITEM-1","itemData":{"author":[{"dropping-particle":"","family":"Ashton","given":"P","non-dropping-particle":"","parse-names":false,"suffix":""}],"container-title":"Current Science","id":"ITEM-1","issue":"11","issued":{"date-parts":[["2007"]]},"page":"1538-1543","title":"Asia's tropics are the most intensively used: contrasting conservation strategies between South and East","type":"article-journal","volume":"93"},"uris":["http://www.mendeley.com/documents/?uuid=509d42b1-7458-473d-95b4-b66c3d8ee274"]}],"mendeley":{"formattedCitation":"(Ashton 2007)","plainTextFormattedCitation":"(Ashton 2007)","previouslyFormattedCitation":"(Ashton 2007)"},"properties":{"noteIndex":0},"schema":"https://github.com/citation-style-language/schema/raw/master/csl-citation.json"}</w:instrText>
      </w:r>
      <w:r w:rsidR="00AD11E1">
        <w:fldChar w:fldCharType="separate"/>
      </w:r>
      <w:r w:rsidR="00763BF5" w:rsidRPr="00763BF5">
        <w:rPr>
          <w:noProof/>
        </w:rPr>
        <w:t>(Ashton 2007)</w:t>
      </w:r>
      <w:r w:rsidR="00AD11E1">
        <w:fldChar w:fldCharType="end"/>
      </w:r>
      <w:r w:rsidR="00701C0D">
        <w:t>. T</w:t>
      </w:r>
      <w:r w:rsidR="00701C0D" w:rsidRPr="00EA0FD3">
        <w:t xml:space="preserve">his is one </w:t>
      </w:r>
      <w:r w:rsidR="00701C0D" w:rsidRPr="00CC5E3D">
        <w:rPr>
          <w:rFonts w:eastAsiaTheme="minorHAnsi"/>
          <w:lang w:val="en-US"/>
        </w:rPr>
        <w:t>of the major problems of conservation in the</w:t>
      </w:r>
      <w:r w:rsidR="00701C0D" w:rsidRPr="00EA0FD3">
        <w:t xml:space="preserve"> </w:t>
      </w:r>
      <w:r w:rsidR="00701C0D" w:rsidRPr="00CC5E3D">
        <w:rPr>
          <w:rFonts w:eastAsiaTheme="minorHAnsi"/>
          <w:lang w:val="en-US"/>
        </w:rPr>
        <w:t>Asian tropics. State management of wildlife is often governed by an impractical, centrally cont</w:t>
      </w:r>
      <w:r w:rsidR="00701C0D">
        <w:rPr>
          <w:rFonts w:eastAsiaTheme="minorHAnsi"/>
          <w:lang w:val="en-US"/>
        </w:rPr>
        <w:t xml:space="preserve">rolled permitting system </w:t>
      </w:r>
      <w:r w:rsidR="00AD11E1">
        <w:rPr>
          <w:rFonts w:eastAsiaTheme="minorHAnsi"/>
          <w:lang w:val="en-US"/>
        </w:rPr>
        <w:fldChar w:fldCharType="begin" w:fldLock="1"/>
      </w:r>
      <w:r w:rsidR="00AD11E1">
        <w:rPr>
          <w:rFonts w:eastAsiaTheme="minorHAnsi"/>
          <w:lang w:val="en-US"/>
        </w:rPr>
        <w:instrText>ADDIN CSL_CITATION {"citationItems":[{"id":"ITEM-1","itemData":{"author":[{"dropping-particle":"","family":"Kawanishi","given":"K","non-dropping-particle":"","parse-names":false,"suffix":""},{"dropping-particle":"","family":"Rayan","given":"D M","non-dropping-particle":"","parse-names":false,"suffix":""},{"dropping-particle":"","family":"Gumal","given":"M T","non-dropping-particle":"","parse-names":false,"suffix":""},{"dropping-particle":"","family":"Shepherd","given":"C R","non-dropping-particle":"","parse-names":false,"suffix":""}],"container-title":"Deer Specialist Group Newsletter No. 26","id":"ITEM-1","issued":{"date-parts":[["2014"]]},"title":"Extinction process of the sambar in Peninsular Malaysia","type":"article-journal"},"uris":["http://www.mendeley.com/documents/?uuid=b651947e-fdae-4f69-a66b-302b246ebcf0"]}],"mendeley":{"formattedCitation":"(Kawanishi et al. 2014)","plainTextFormattedCitation":"(Kawanishi et al. 2014)","previouslyFormattedCitation":"(Kawanishi et al. 2014)"},"properties":{"noteIndex":0},"schema":"https://github.com/citation-style-language/schema/raw/master/csl-citation.json"}</w:instrText>
      </w:r>
      <w:r w:rsidR="00AD11E1">
        <w:rPr>
          <w:rFonts w:eastAsiaTheme="minorHAnsi"/>
          <w:lang w:val="en-US"/>
        </w:rPr>
        <w:fldChar w:fldCharType="separate"/>
      </w:r>
      <w:r w:rsidR="00AD11E1" w:rsidRPr="00AD11E1">
        <w:rPr>
          <w:rFonts w:eastAsiaTheme="minorHAnsi"/>
          <w:noProof/>
          <w:lang w:val="en-US"/>
        </w:rPr>
        <w:t>(Kawanishi et al. 2014)</w:t>
      </w:r>
      <w:r w:rsidR="00AD11E1">
        <w:rPr>
          <w:rFonts w:eastAsiaTheme="minorHAnsi"/>
          <w:lang w:val="en-US"/>
        </w:rPr>
        <w:fldChar w:fldCharType="end"/>
      </w:r>
      <w:r w:rsidR="00701C0D" w:rsidRPr="00CC5E3D">
        <w:rPr>
          <w:rFonts w:eastAsiaTheme="minorHAnsi"/>
          <w:lang w:val="en-US"/>
        </w:rPr>
        <w:t xml:space="preserve">, making most </w:t>
      </w:r>
      <w:r w:rsidR="00701C0D" w:rsidRPr="00CC5E3D">
        <w:rPr>
          <w:rFonts w:eastAsiaTheme="minorHAnsi"/>
          <w:lang w:val="en-US"/>
        </w:rPr>
        <w:lastRenderedPageBreak/>
        <w:t>hunting illegal in practice</w:t>
      </w:r>
      <w:r w:rsidR="00701C0D">
        <w:rPr>
          <w:rFonts w:eastAsiaTheme="minorHAnsi"/>
          <w:lang w:val="en-US"/>
        </w:rPr>
        <w:t>, even though the activity could be conducted legally</w:t>
      </w:r>
      <w:r w:rsidR="00701C0D" w:rsidRPr="00CC5E3D">
        <w:rPr>
          <w:rFonts w:eastAsiaTheme="minorHAnsi"/>
          <w:lang w:val="en-US"/>
        </w:rPr>
        <w:t>. This places most resource users outside the law and makes them essentially ungovernable.</w:t>
      </w:r>
    </w:p>
    <w:p w14:paraId="033D9C3E" w14:textId="10619B0D" w:rsidR="00701C0D" w:rsidRDefault="00701C0D" w:rsidP="00701C0D">
      <w:pPr>
        <w:rPr>
          <w:rFonts w:eastAsiaTheme="minorHAnsi"/>
          <w:lang w:val="en-US"/>
        </w:rPr>
      </w:pPr>
      <w:r>
        <w:rPr>
          <w:rFonts w:eastAsiaTheme="minorHAnsi"/>
          <w:lang w:val="en-US"/>
        </w:rPr>
        <w:t xml:space="preserve">Cambodia’s hunting legislation provides an example which allows for community hunting in theory, but is difficult to follow in practice. </w:t>
      </w:r>
      <w:r w:rsidRPr="00D27837">
        <w:rPr>
          <w:rFonts w:cstheme="minorHAnsi"/>
          <w:szCs w:val="22"/>
          <w:lang w:val="en-US"/>
        </w:rPr>
        <w:t xml:space="preserve">Cambodia’s principal wildlife legislation, the Law on Forestry </w:t>
      </w:r>
      <w:r w:rsidR="00205E04">
        <w:rPr>
          <w:rFonts w:cstheme="minorHAnsi"/>
          <w:szCs w:val="22"/>
          <w:lang w:val="en-US"/>
        </w:rPr>
        <w:fldChar w:fldCharType="begin" w:fldLock="1"/>
      </w:r>
      <w:r w:rsidR="00B2630D">
        <w:rPr>
          <w:rFonts w:cstheme="minorHAnsi"/>
          <w:szCs w:val="22"/>
          <w:lang w:val="en-US"/>
        </w:rPr>
        <w:instrText>ADDIN CSL_CITATION {"citationItems":[{"id":"ITEM-1","itemData":{"author":[{"dropping-particle":"","family":"Kingdom of Cambodia","given":"","non-dropping-particle":"","parse-names":false,"suffix":""}],"id":"ITEM-1","issue":"December","issued":{"date-parts":[["2003"]]},"number":"NS/RKM/0802/016","publisher-place":"Cambodia","title":"Law on Forestry","type":"legislation"},"uris":["http://www.mendeley.com/documents/?uuid=c0187ab8-d30b-4351-9380-93d652ff4d97"]}],"mendeley":{"formattedCitation":"(Kingdom of Cambodia 2003)","plainTextFormattedCitation":"(Kingdom of Cambodia 2003)","previouslyFormattedCitation":"(Kingdom of Cambodia 2003)"},"properties":{"noteIndex":0},"schema":"https://github.com/citation-style-language/schema/raw/master/csl-citation.json"}</w:instrText>
      </w:r>
      <w:r w:rsidR="00205E04">
        <w:rPr>
          <w:rFonts w:cstheme="minorHAnsi"/>
          <w:szCs w:val="22"/>
          <w:lang w:val="en-US"/>
        </w:rPr>
        <w:fldChar w:fldCharType="separate"/>
      </w:r>
      <w:r w:rsidR="00205E04" w:rsidRPr="00205E04">
        <w:rPr>
          <w:rFonts w:cstheme="minorHAnsi"/>
          <w:noProof/>
          <w:szCs w:val="22"/>
          <w:lang w:val="en-US"/>
        </w:rPr>
        <w:t>(Kingdom of Cambodia 2003)</w:t>
      </w:r>
      <w:r w:rsidR="00205E04">
        <w:rPr>
          <w:rFonts w:cstheme="minorHAnsi"/>
          <w:szCs w:val="22"/>
          <w:lang w:val="en-US"/>
        </w:rPr>
        <w:fldChar w:fldCharType="end"/>
      </w:r>
      <w:r w:rsidR="00205E04">
        <w:rPr>
          <w:rFonts w:cstheme="minorHAnsi"/>
          <w:szCs w:val="22"/>
          <w:lang w:val="en-US"/>
        </w:rPr>
        <w:t xml:space="preserve"> </w:t>
      </w:r>
      <w:r>
        <w:rPr>
          <w:rFonts w:cstheme="minorHAnsi"/>
          <w:szCs w:val="22"/>
          <w:lang w:val="en-US"/>
        </w:rPr>
        <w:t>was enacted in 2003</w:t>
      </w:r>
      <w:r w:rsidRPr="00D27837">
        <w:rPr>
          <w:rFonts w:cstheme="minorHAnsi"/>
          <w:szCs w:val="22"/>
          <w:lang w:val="en-US"/>
        </w:rPr>
        <w:t xml:space="preserve"> and is overseen by the Ministry of Agriculture, Forestry and Fisheries. </w:t>
      </w:r>
      <w:r w:rsidRPr="00D27837">
        <w:rPr>
          <w:rFonts w:cstheme="minorHAnsi"/>
        </w:rPr>
        <w:t xml:space="preserve">Under this legislation, wildlife in Cambodia is considered State property. Hunting which uses ‘dangerous means’, is conducted during the closed season (not yet defined) and of rare and endangered species (as categorised by separate Ministerial Declarations), is illegal. Local communities are allowed to hunt </w:t>
      </w:r>
      <w:r>
        <w:rPr>
          <w:rFonts w:cstheme="minorHAnsi"/>
        </w:rPr>
        <w:t>‘common</w:t>
      </w:r>
      <w:r w:rsidR="00011466">
        <w:rPr>
          <w:rFonts w:cstheme="minorHAnsi"/>
        </w:rPr>
        <w:t>’</w:t>
      </w:r>
      <w:r>
        <w:rPr>
          <w:rFonts w:cstheme="minorHAnsi"/>
        </w:rPr>
        <w:t xml:space="preserve"> wildlife </w:t>
      </w:r>
      <w:r w:rsidRPr="00D27837">
        <w:rPr>
          <w:rFonts w:cstheme="minorHAnsi"/>
        </w:rPr>
        <w:t xml:space="preserve">using traditional methods, </w:t>
      </w:r>
      <w:r w:rsidR="008F4D60">
        <w:rPr>
          <w:rFonts w:cstheme="minorHAnsi"/>
          <w:szCs w:val="22"/>
        </w:rPr>
        <w:t>for ‘customary subsistence use’</w:t>
      </w:r>
      <w:r w:rsidRPr="00D27837">
        <w:rPr>
          <w:rFonts w:cstheme="minorHAnsi"/>
          <w:szCs w:val="22"/>
        </w:rPr>
        <w:t xml:space="preserve"> (this important term has never been clearly defined)</w:t>
      </w:r>
      <w:r>
        <w:rPr>
          <w:rFonts w:cstheme="minorHAnsi"/>
          <w:szCs w:val="22"/>
        </w:rPr>
        <w:t xml:space="preserve">, although </w:t>
      </w:r>
      <w:r w:rsidRPr="00D27837">
        <w:rPr>
          <w:rFonts w:cstheme="minorHAnsi"/>
        </w:rPr>
        <w:t>‘</w:t>
      </w:r>
      <w:r>
        <w:rPr>
          <w:rFonts w:cstheme="minorHAnsi"/>
        </w:rPr>
        <w:t>c</w:t>
      </w:r>
      <w:r w:rsidRPr="00D27837">
        <w:rPr>
          <w:rFonts w:cstheme="minorHAnsi"/>
        </w:rPr>
        <w:t xml:space="preserve">ommon’ wildlife may not be </w:t>
      </w:r>
      <w:r w:rsidR="008F4D60">
        <w:rPr>
          <w:rFonts w:cstheme="minorHAnsi"/>
          <w:szCs w:val="22"/>
          <w:lang w:val="en-US"/>
        </w:rPr>
        <w:t>transported and traded in “</w:t>
      </w:r>
      <w:r w:rsidRPr="00D27837">
        <w:rPr>
          <w:rFonts w:cstheme="minorHAnsi"/>
          <w:szCs w:val="22"/>
          <w:lang w:val="en-US"/>
        </w:rPr>
        <w:t>an amount exceeding th</w:t>
      </w:r>
      <w:r w:rsidR="008F4D60">
        <w:rPr>
          <w:rFonts w:cstheme="minorHAnsi"/>
          <w:szCs w:val="22"/>
          <w:lang w:val="en-US"/>
        </w:rPr>
        <w:t>at necessary for customary use”</w:t>
      </w:r>
      <w:r w:rsidRPr="00D27837">
        <w:rPr>
          <w:rFonts w:cstheme="minorHAnsi"/>
        </w:rPr>
        <w:t>. The uncertainties surrounding the definitions of</w:t>
      </w:r>
      <w:r>
        <w:rPr>
          <w:rFonts w:cstheme="minorHAnsi"/>
        </w:rPr>
        <w:t xml:space="preserve"> ‘dangerous means’,</w:t>
      </w:r>
      <w:r w:rsidRPr="00D27837">
        <w:rPr>
          <w:rFonts w:cstheme="minorHAnsi"/>
        </w:rPr>
        <w:t xml:space="preserve"> the closed season and</w:t>
      </w:r>
      <w:r>
        <w:rPr>
          <w:rFonts w:cstheme="minorHAnsi"/>
        </w:rPr>
        <w:t xml:space="preserve"> ‘</w:t>
      </w:r>
      <w:r w:rsidRPr="00D27837">
        <w:rPr>
          <w:rFonts w:cstheme="minorHAnsi"/>
        </w:rPr>
        <w:t>customary use</w:t>
      </w:r>
      <w:r>
        <w:rPr>
          <w:rFonts w:cstheme="minorHAnsi"/>
        </w:rPr>
        <w:t>’</w:t>
      </w:r>
      <w:r w:rsidRPr="00D27837">
        <w:rPr>
          <w:rFonts w:cstheme="minorHAnsi"/>
        </w:rPr>
        <w:t xml:space="preserve"> </w:t>
      </w:r>
      <w:r w:rsidR="00416E52">
        <w:rPr>
          <w:rFonts w:cstheme="minorHAnsi"/>
        </w:rPr>
        <w:t xml:space="preserve">make the distinction between legal and illegal hunting unclear. </w:t>
      </w:r>
    </w:p>
    <w:p w14:paraId="0B66B5AD" w14:textId="1D0B29F8" w:rsidR="000A7365" w:rsidRPr="00701C0D" w:rsidRDefault="000A7365" w:rsidP="00701C0D">
      <w:pPr>
        <w:rPr>
          <w:lang w:val="en-US"/>
        </w:rPr>
      </w:pPr>
      <w:r w:rsidRPr="00583B33">
        <w:rPr>
          <w:lang w:val="en-US"/>
        </w:rPr>
        <w:t>Traditional management systems and institutions offer</w:t>
      </w:r>
      <w:r>
        <w:rPr>
          <w:lang w:val="en-US"/>
        </w:rPr>
        <w:t xml:space="preserve"> </w:t>
      </w:r>
      <w:r w:rsidRPr="00583B33">
        <w:rPr>
          <w:lang w:val="en-US"/>
        </w:rPr>
        <w:t xml:space="preserve">strong customary systems of </w:t>
      </w:r>
      <w:r>
        <w:rPr>
          <w:lang w:val="en-US"/>
        </w:rPr>
        <w:t xml:space="preserve">wildlife, </w:t>
      </w:r>
      <w:r w:rsidRPr="00583B33">
        <w:rPr>
          <w:lang w:val="en-US"/>
        </w:rPr>
        <w:t>land and resource ownership and</w:t>
      </w:r>
      <w:r>
        <w:rPr>
          <w:lang w:val="en-US"/>
        </w:rPr>
        <w:t xml:space="preserve"> </w:t>
      </w:r>
      <w:r w:rsidRPr="00583B33">
        <w:rPr>
          <w:lang w:val="en-US"/>
        </w:rPr>
        <w:t>management in P</w:t>
      </w:r>
      <w:r>
        <w:rPr>
          <w:lang w:val="en-US"/>
        </w:rPr>
        <w:t xml:space="preserve">apua </w:t>
      </w:r>
      <w:r w:rsidRPr="00583B33">
        <w:rPr>
          <w:lang w:val="en-US"/>
        </w:rPr>
        <w:t>N</w:t>
      </w:r>
      <w:r>
        <w:rPr>
          <w:lang w:val="en-US"/>
        </w:rPr>
        <w:t xml:space="preserve">ew </w:t>
      </w:r>
      <w:r w:rsidRPr="00583B33">
        <w:rPr>
          <w:lang w:val="en-US"/>
        </w:rPr>
        <w:t>G</w:t>
      </w:r>
      <w:r>
        <w:rPr>
          <w:lang w:val="en-US"/>
        </w:rPr>
        <w:t>uinea</w:t>
      </w:r>
      <w:r w:rsidRPr="00583B33">
        <w:rPr>
          <w:lang w:val="en-US"/>
        </w:rPr>
        <w:t xml:space="preserve"> and the</w:t>
      </w:r>
      <w:r>
        <w:rPr>
          <w:lang w:val="en-US"/>
        </w:rPr>
        <w:t xml:space="preserve"> </w:t>
      </w:r>
      <w:r w:rsidRPr="00583B33">
        <w:rPr>
          <w:lang w:val="en-US"/>
        </w:rPr>
        <w:t>Solomon Islands</w:t>
      </w:r>
      <w:r>
        <w:rPr>
          <w:lang w:val="en-US"/>
        </w:rPr>
        <w:t>. T</w:t>
      </w:r>
      <w:r w:rsidRPr="00583B33">
        <w:rPr>
          <w:lang w:val="en-US"/>
        </w:rPr>
        <w:t>hey are</w:t>
      </w:r>
      <w:r>
        <w:rPr>
          <w:lang w:val="en-US"/>
        </w:rPr>
        <w:t xml:space="preserve"> </w:t>
      </w:r>
      <w:r w:rsidRPr="00583B33">
        <w:rPr>
          <w:lang w:val="en-US"/>
        </w:rPr>
        <w:t>also an important component of management systems in</w:t>
      </w:r>
      <w:r>
        <w:rPr>
          <w:lang w:val="en-US"/>
        </w:rPr>
        <w:t xml:space="preserve"> </w:t>
      </w:r>
      <w:r w:rsidRPr="00583B33">
        <w:rPr>
          <w:lang w:val="en-US"/>
        </w:rPr>
        <w:t>Timor-Leste. In some cases, cus</w:t>
      </w:r>
      <w:r>
        <w:rPr>
          <w:lang w:val="en-US"/>
        </w:rPr>
        <w:t xml:space="preserve">tomary institutions are becoming </w:t>
      </w:r>
      <w:r w:rsidRPr="00583B33">
        <w:rPr>
          <w:lang w:val="en-US"/>
        </w:rPr>
        <w:t>more formali</w:t>
      </w:r>
      <w:r>
        <w:rPr>
          <w:lang w:val="en-US"/>
        </w:rPr>
        <w:t>z</w:t>
      </w:r>
      <w:r w:rsidRPr="00583B33">
        <w:rPr>
          <w:lang w:val="en-US"/>
        </w:rPr>
        <w:t>ed to enable them to run projects and engage</w:t>
      </w:r>
      <w:r>
        <w:rPr>
          <w:lang w:val="en-US"/>
        </w:rPr>
        <w:t xml:space="preserve"> </w:t>
      </w:r>
      <w:r w:rsidRPr="00583B33">
        <w:rPr>
          <w:lang w:val="en-US"/>
        </w:rPr>
        <w:t>with external organi</w:t>
      </w:r>
      <w:r>
        <w:rPr>
          <w:lang w:val="en-US"/>
        </w:rPr>
        <w:t>z</w:t>
      </w:r>
      <w:r w:rsidRPr="00583B33">
        <w:rPr>
          <w:lang w:val="en-US"/>
        </w:rPr>
        <w:t>ations more effectively</w:t>
      </w:r>
      <w:r>
        <w:rPr>
          <w:lang w:val="en-US"/>
        </w:rPr>
        <w:t>.</w:t>
      </w:r>
      <w:r w:rsidRPr="00583B33">
        <w:rPr>
          <w:lang w:val="en-US"/>
        </w:rPr>
        <w:t xml:space="preserve"> </w:t>
      </w:r>
      <w:r>
        <w:rPr>
          <w:lang w:val="en-US"/>
        </w:rPr>
        <w:t>A</w:t>
      </w:r>
      <w:r w:rsidRPr="00583B33">
        <w:rPr>
          <w:lang w:val="en-US"/>
        </w:rPr>
        <w:t>n example is the</w:t>
      </w:r>
      <w:r>
        <w:rPr>
          <w:lang w:val="en-US"/>
        </w:rPr>
        <w:t xml:space="preserve"> </w:t>
      </w:r>
      <w:r w:rsidRPr="00583B33">
        <w:rPr>
          <w:lang w:val="en-US"/>
        </w:rPr>
        <w:t>Y</w:t>
      </w:r>
      <w:r>
        <w:rPr>
          <w:lang w:val="en-US"/>
        </w:rPr>
        <w:t>opno – Uruwa-Som (Y</w:t>
      </w:r>
      <w:r w:rsidRPr="00583B33">
        <w:rPr>
          <w:lang w:val="en-US"/>
        </w:rPr>
        <w:t>US</w:t>
      </w:r>
      <w:r>
        <w:rPr>
          <w:lang w:val="en-US"/>
        </w:rPr>
        <w:t>)</w:t>
      </w:r>
      <w:r w:rsidRPr="00583B33">
        <w:rPr>
          <w:lang w:val="en-US"/>
        </w:rPr>
        <w:t xml:space="preserve"> Conservation Organi</w:t>
      </w:r>
      <w:r>
        <w:rPr>
          <w:lang w:val="en-US"/>
        </w:rPr>
        <w:t>z</w:t>
      </w:r>
      <w:r w:rsidRPr="00583B33">
        <w:rPr>
          <w:lang w:val="en-US"/>
        </w:rPr>
        <w:t>ation, in P</w:t>
      </w:r>
      <w:r>
        <w:rPr>
          <w:lang w:val="en-US"/>
        </w:rPr>
        <w:t xml:space="preserve">apua </w:t>
      </w:r>
      <w:r w:rsidRPr="00583B33">
        <w:rPr>
          <w:lang w:val="en-US"/>
        </w:rPr>
        <w:t>N</w:t>
      </w:r>
      <w:r>
        <w:rPr>
          <w:lang w:val="en-US"/>
        </w:rPr>
        <w:t xml:space="preserve">ew </w:t>
      </w:r>
      <w:r w:rsidRPr="00583B33">
        <w:rPr>
          <w:lang w:val="en-US"/>
        </w:rPr>
        <w:t>G</w:t>
      </w:r>
      <w:r>
        <w:rPr>
          <w:lang w:val="en-US"/>
        </w:rPr>
        <w:t>uinea</w:t>
      </w:r>
      <w:r w:rsidRPr="00583B33">
        <w:rPr>
          <w:lang w:val="en-US"/>
        </w:rPr>
        <w:t>, an association of customary</w:t>
      </w:r>
      <w:r>
        <w:rPr>
          <w:lang w:val="en-US"/>
        </w:rPr>
        <w:t xml:space="preserve"> </w:t>
      </w:r>
      <w:r w:rsidRPr="00583B33">
        <w:rPr>
          <w:lang w:val="en-US"/>
        </w:rPr>
        <w:t>landowners promoting conservation and communit</w:t>
      </w:r>
      <w:r>
        <w:rPr>
          <w:lang w:val="en-US"/>
        </w:rPr>
        <w:t xml:space="preserve">y </w:t>
      </w:r>
      <w:r w:rsidRPr="00583B33">
        <w:rPr>
          <w:lang w:val="en-US"/>
        </w:rPr>
        <w:t>development needs on behalf of the YUS communities</w:t>
      </w:r>
      <w:r>
        <w:rPr>
          <w:lang w:val="en-US"/>
        </w:rPr>
        <w:t>.</w:t>
      </w:r>
      <w:r w:rsidR="00701C0D">
        <w:rPr>
          <w:lang w:val="en-US"/>
        </w:rPr>
        <w:t xml:space="preserve"> </w:t>
      </w:r>
      <w:r>
        <w:rPr>
          <w:lang w:val="en-US"/>
        </w:rPr>
        <w:t>In Indonesia, c</w:t>
      </w:r>
      <w:r w:rsidRPr="00583B33">
        <w:rPr>
          <w:lang w:val="en-US"/>
        </w:rPr>
        <w:t>ustomary ownership and mechanisms to</w:t>
      </w:r>
      <w:r>
        <w:rPr>
          <w:lang w:val="en-US"/>
        </w:rPr>
        <w:t xml:space="preserve"> </w:t>
      </w:r>
      <w:r w:rsidRPr="00583B33">
        <w:rPr>
          <w:lang w:val="en-US"/>
        </w:rPr>
        <w:t>prevent over-harvest of wild resource</w:t>
      </w:r>
      <w:r>
        <w:rPr>
          <w:lang w:val="en-US"/>
        </w:rPr>
        <w:t>s,</w:t>
      </w:r>
      <w:r w:rsidRPr="00583B33">
        <w:rPr>
          <w:lang w:val="en-US"/>
        </w:rPr>
        <w:t xml:space="preserve"> </w:t>
      </w:r>
      <w:r>
        <w:rPr>
          <w:lang w:val="en-US"/>
        </w:rPr>
        <w:t xml:space="preserve">may </w:t>
      </w:r>
      <w:r w:rsidRPr="00583B33">
        <w:rPr>
          <w:lang w:val="en-US"/>
        </w:rPr>
        <w:t xml:space="preserve">survive in more remote areas, </w:t>
      </w:r>
      <w:r>
        <w:rPr>
          <w:lang w:val="en-US"/>
        </w:rPr>
        <w:t xml:space="preserve">such as in the Sasi people’s fisheries </w:t>
      </w:r>
      <w:r w:rsidR="00AD11E1">
        <w:rPr>
          <w:lang w:val="en-US"/>
        </w:rPr>
        <w:fldChar w:fldCharType="begin" w:fldLock="1"/>
      </w:r>
      <w:r w:rsidR="00AD11E1">
        <w:rPr>
          <w:lang w:val="en-US"/>
        </w:rPr>
        <w:instrText>ADDIN CSL_CITATION {"citationItems":[{"id":"ITEM-1","itemData":{"DOI":"10.1080/08920750903244143","ISBN":"0892075090","ISSN":"15210421","abstract":"Raja Ampat, Indonesia, possesses the greatest diversity of corals and reef fishes on the planet. The area is a priority for marine conservation for the provincial government, local communities, and major international nongovernmental organizations such as The Nature Conservancy and Conservation International. Traditional marine resource management practices in the region, referred to as sasi, have the potential to support conservation objectives. This article contends that while traditional marine resource management systems may support conservation, they must be reinforced by a supportive social structure and governance system to remain relevant in a rapidly changing world. Two villages in Raja Ampat were studied to gain a better understanding of sasi and how this practice has been affected by cultural, political, and economic change. These villages illustrate how the role of religious authorities, access to alternative livelihoods, proximity to urban centers, and capacity for monitoring and enforcement may influence the effectiveness of marine resource management systems. Our research suggests that the continued relevance of sasi in marine resource management relies on the support of influential local leaders and businesses and government regulations that reinforce traditional resource use practices.","author":[{"dropping-particle":"","family":"McLeod","given":"Elizabeth","non-dropping-particle":"","parse-names":false,"suffix":""},{"dropping-particle":"","family":"Szuster","given":"Brian","non-dropping-particle":"","parse-names":false,"suffix":""},{"dropping-particle":"","family":"Salm","given":"Rodney","non-dropping-particle":"","parse-names":false,"suffix":""}],"container-title":"Coastal Management","id":"ITEM-1","issue":"6","issued":{"date-parts":[["2009"]]},"page":"656-676","title":"Sasi and marine conservation in raja ampat, Indonesia","type":"article-journal","volume":"37"},"uris":["http://www.mendeley.com/documents/?uuid=c33ca56b-666a-42cb-acc0-025094b18a66"]}],"mendeley":{"formattedCitation":"(McLeod et al. 2009)","plainTextFormattedCitation":"(McLeod et al. 2009)","previouslyFormattedCitation":"(McLeod et al. 2009)"},"properties":{"noteIndex":0},"schema":"https://github.com/citation-style-language/schema/raw/master/csl-citation.json"}</w:instrText>
      </w:r>
      <w:r w:rsidR="00AD11E1">
        <w:rPr>
          <w:lang w:val="en-US"/>
        </w:rPr>
        <w:fldChar w:fldCharType="separate"/>
      </w:r>
      <w:r w:rsidR="00AD11E1" w:rsidRPr="00AD11E1">
        <w:rPr>
          <w:noProof/>
          <w:lang w:val="en-US"/>
        </w:rPr>
        <w:t>(McLeod et al. 2009)</w:t>
      </w:r>
      <w:r w:rsidR="00AD11E1">
        <w:rPr>
          <w:lang w:val="en-US"/>
        </w:rPr>
        <w:fldChar w:fldCharType="end"/>
      </w:r>
      <w:r>
        <w:rPr>
          <w:lang w:val="en-US"/>
        </w:rPr>
        <w:t xml:space="preserve">, </w:t>
      </w:r>
      <w:r w:rsidRPr="00583B33">
        <w:rPr>
          <w:lang w:val="en-US"/>
        </w:rPr>
        <w:t xml:space="preserve">but </w:t>
      </w:r>
      <w:r>
        <w:rPr>
          <w:lang w:val="en-US"/>
        </w:rPr>
        <w:t xml:space="preserve">lessons learned from these practices have not been integrated into national </w:t>
      </w:r>
      <w:r w:rsidRPr="00583B33">
        <w:rPr>
          <w:lang w:val="en-US"/>
        </w:rPr>
        <w:t>polic</w:t>
      </w:r>
      <w:r>
        <w:rPr>
          <w:lang w:val="en-US"/>
        </w:rPr>
        <w:t>ies</w:t>
      </w:r>
      <w:r w:rsidRPr="00583B33">
        <w:rPr>
          <w:lang w:val="en-US"/>
        </w:rPr>
        <w:t>. Countries such as the Philippines have made progress</w:t>
      </w:r>
      <w:r>
        <w:rPr>
          <w:lang w:val="en-US"/>
        </w:rPr>
        <w:t xml:space="preserve"> </w:t>
      </w:r>
      <w:r w:rsidRPr="00583B33">
        <w:rPr>
          <w:lang w:val="en-US"/>
        </w:rPr>
        <w:t>in integrating customary communities and practices with</w:t>
      </w:r>
      <w:r>
        <w:rPr>
          <w:lang w:val="en-US"/>
        </w:rPr>
        <w:t xml:space="preserve"> </w:t>
      </w:r>
      <w:r w:rsidRPr="00583B33">
        <w:rPr>
          <w:lang w:val="en-US"/>
        </w:rPr>
        <w:t>the state’s governance of land and resources</w:t>
      </w:r>
      <w:r>
        <w:rPr>
          <w:lang w:val="en-US"/>
        </w:rPr>
        <w:t xml:space="preserve">, however, failure </w:t>
      </w:r>
      <w:r w:rsidRPr="00583B33">
        <w:rPr>
          <w:lang w:val="en-US"/>
        </w:rPr>
        <w:t>to recognize the rights of local communities through the</w:t>
      </w:r>
      <w:r>
        <w:rPr>
          <w:lang w:val="en-US"/>
        </w:rPr>
        <w:t xml:space="preserve"> </w:t>
      </w:r>
      <w:r w:rsidRPr="00583B33">
        <w:rPr>
          <w:lang w:val="en-US"/>
        </w:rPr>
        <w:t>imposition of national protected-species legislation has</w:t>
      </w:r>
      <w:r>
        <w:rPr>
          <w:lang w:val="en-US"/>
        </w:rPr>
        <w:t xml:space="preserve"> </w:t>
      </w:r>
      <w:r w:rsidRPr="00583B33">
        <w:rPr>
          <w:lang w:val="en-US"/>
        </w:rPr>
        <w:t>sometimes promoted unsustainable exploitation</w:t>
      </w:r>
      <w:r>
        <w:rPr>
          <w:lang w:val="en-US"/>
        </w:rPr>
        <w:t xml:space="preserve"> </w:t>
      </w:r>
      <w:r w:rsidRPr="00583B33">
        <w:rPr>
          <w:lang w:val="en-US"/>
        </w:rPr>
        <w:t>of species</w:t>
      </w:r>
      <w:r>
        <w:rPr>
          <w:lang w:val="en-US"/>
        </w:rPr>
        <w:t xml:space="preserve"> when communities disengage from active management.</w:t>
      </w:r>
    </w:p>
    <w:p w14:paraId="525E1322" w14:textId="31E9A13D" w:rsidR="00791D9D" w:rsidRDefault="00791D9D" w:rsidP="00DF57F3">
      <w:pPr>
        <w:pStyle w:val="Heading2"/>
      </w:pPr>
      <w:bookmarkStart w:id="170" w:name="_Ref528677766"/>
      <w:bookmarkStart w:id="171" w:name="_Ref528679127"/>
      <w:bookmarkStart w:id="172" w:name="_Ref528679141"/>
      <w:bookmarkStart w:id="173" w:name="_Toc529390365"/>
      <w:bookmarkStart w:id="174" w:name="_Toc519156106"/>
      <w:bookmarkStart w:id="175" w:name="_Toc520802794"/>
      <w:r w:rsidRPr="0099644B">
        <w:t>C</w:t>
      </w:r>
      <w:r w:rsidR="00D022AE">
        <w:t>ommunity gover</w:t>
      </w:r>
      <w:r w:rsidR="009E4C7B">
        <w:t>n</w:t>
      </w:r>
      <w:r w:rsidR="00D022AE">
        <w:t xml:space="preserve">ance and customary </w:t>
      </w:r>
      <w:bookmarkEnd w:id="170"/>
      <w:bookmarkEnd w:id="171"/>
      <w:bookmarkEnd w:id="172"/>
      <w:r w:rsidR="00D022AE">
        <w:t>hunting systems</w:t>
      </w:r>
      <w:bookmarkEnd w:id="173"/>
    </w:p>
    <w:p w14:paraId="3CA9704C" w14:textId="33A8AD50" w:rsidR="00FB0183" w:rsidRPr="00FB0183" w:rsidRDefault="00FB0183" w:rsidP="00FB0183">
      <w:pPr>
        <w:pStyle w:val="Heading3"/>
      </w:pPr>
      <w:r>
        <w:t>Community Governance</w:t>
      </w:r>
    </w:p>
    <w:p w14:paraId="53965DFC" w14:textId="63529A87" w:rsidR="0014647E" w:rsidRDefault="001A223D" w:rsidP="001A223D">
      <w:pPr>
        <w:pStyle w:val="NormalWeb"/>
      </w:pPr>
      <w:r>
        <w:rPr>
          <w:rFonts w:ascii="TimesNewRomanPSMT" w:hAnsi="TimesNewRomanPSMT" w:cs="TimesNewRomanPSMT"/>
        </w:rPr>
        <w:t xml:space="preserve">Community governance may </w:t>
      </w:r>
      <w:r w:rsidRPr="006138A8">
        <w:rPr>
          <w:rFonts w:ascii="TimesNewRomanPSMT" w:hAnsi="TimesNewRomanPSMT" w:cs="TimesNewRomanPSMT"/>
        </w:rPr>
        <w:t xml:space="preserve">be defined as community level management and decision-making that is undertaken by a community, or on behalf of a community by a group of community stakeholders </w:t>
      </w:r>
      <w:r w:rsidR="006138A8" w:rsidRPr="006138A8">
        <w:rPr>
          <w:rFonts w:ascii="TimesNewRomanPSMT" w:hAnsi="TimesNewRomanPSMT" w:cs="TimesNewRomanPSMT"/>
        </w:rPr>
        <w:fldChar w:fldCharType="begin" w:fldLock="1"/>
      </w:r>
      <w:r w:rsidR="00763BF5">
        <w:rPr>
          <w:rFonts w:ascii="TimesNewRomanPSMT" w:hAnsi="TimesNewRomanPSMT" w:cs="TimesNewRomanPSMT"/>
        </w:rPr>
        <w:instrText>ADDIN CSL_CITATION {"citationItems":[{"id":"ITEM-1","itemData":{"author":[{"dropping-particle":"","family":"Totikidis","given":"V. D.","non-dropping-particle":"","parse-names":false,"suffix":""},{"dropping-particle":"","family":"F.","given":"Armstrong A.","non-dropping-particle":"","parse-names":false,"suffix":""},{"dropping-particle":"","family":"Francis","given":"R.","non-dropping-particle":"","parse-names":false,"suffix":""}],"container-title":"Corporate Governance","id":"ITEM-1","issued":{"date-parts":[["2005"]]},"title":"The Concept of Community Governance: A Preliminary Review","type":"article-journal"},"uris":["http://www.mendeley.com/documents/?uuid=16130a5d-337e-4d91-8eb4-634a8730ff9d"]}],"mendeley":{"formattedCitation":"(Totikidis et al. 2005)","plainTextFormattedCitation":"(Totikidis et al. 2005)","previouslyFormattedCitation":"(Totikidis et al. 2005)"},"properties":{"noteIndex":0},"schema":"https://github.com/citation-style-language/schema/raw/master/csl-citation.json"}</w:instrText>
      </w:r>
      <w:r w:rsidR="006138A8" w:rsidRPr="006138A8">
        <w:rPr>
          <w:rFonts w:ascii="TimesNewRomanPSMT" w:hAnsi="TimesNewRomanPSMT" w:cs="TimesNewRomanPSMT"/>
        </w:rPr>
        <w:fldChar w:fldCharType="separate"/>
      </w:r>
      <w:r w:rsidR="006138A8" w:rsidRPr="006138A8">
        <w:rPr>
          <w:rFonts w:ascii="TimesNewRomanPSMT" w:hAnsi="TimesNewRomanPSMT" w:cs="TimesNewRomanPSMT"/>
          <w:noProof/>
        </w:rPr>
        <w:t>(Totikidis et al. 2005)</w:t>
      </w:r>
      <w:r w:rsidR="006138A8" w:rsidRPr="006138A8">
        <w:rPr>
          <w:rFonts w:ascii="TimesNewRomanPSMT" w:hAnsi="TimesNewRomanPSMT" w:cs="TimesNewRomanPSMT"/>
        </w:rPr>
        <w:fldChar w:fldCharType="end"/>
      </w:r>
      <w:r w:rsidR="006138A8" w:rsidRPr="006138A8">
        <w:rPr>
          <w:rFonts w:ascii="TimesNewRomanPSMT" w:hAnsi="TimesNewRomanPSMT" w:cs="TimesNewRomanPSMT"/>
        </w:rPr>
        <w:t>.</w:t>
      </w:r>
      <w:r w:rsidRPr="006138A8">
        <w:rPr>
          <w:rFonts w:ascii="TimesNewRomanPSMT" w:hAnsi="TimesNewRomanPSMT" w:cs="TimesNewRomanPSMT"/>
        </w:rPr>
        <w:t xml:space="preserve"> Regarding natural resource use, </w:t>
      </w:r>
      <w:r w:rsidRPr="006138A8">
        <w:t>c</w:t>
      </w:r>
      <w:r w:rsidR="00791D9D" w:rsidRPr="006138A8">
        <w:t>ommunities of place and practice, clans, or people with a shared</w:t>
      </w:r>
      <w:r w:rsidR="00791D9D" w:rsidRPr="0099644B">
        <w:t xml:space="preserve"> ethnic identity</w:t>
      </w:r>
      <w:r w:rsidR="00791D9D">
        <w:t xml:space="preserve">, </w:t>
      </w:r>
      <w:r w:rsidR="00791D9D" w:rsidRPr="0099644B">
        <w:t xml:space="preserve">decide who should have access to their lands and waters, </w:t>
      </w:r>
      <w:r w:rsidR="00791D9D">
        <w:t xml:space="preserve">and </w:t>
      </w:r>
      <w:r w:rsidR="00791D9D" w:rsidRPr="0099644B">
        <w:t xml:space="preserve">determine how much of a </w:t>
      </w:r>
      <w:r w:rsidR="00791D9D" w:rsidRPr="00FB0183">
        <w:t>particular resource these rights holders could take. It requires sufficient social cohesion to encourage individuals to act collectively to solve a common problem (</w:t>
      </w:r>
      <w:r w:rsidR="00FB0183" w:rsidRPr="00FB0183">
        <w:t>e.g.</w:t>
      </w:r>
      <w:r w:rsidR="00791D9D" w:rsidRPr="00FB0183">
        <w:t xml:space="preserve"> maintain stocks and flows</w:t>
      </w:r>
      <w:r w:rsidR="00791D9D" w:rsidRPr="0099644B">
        <w:t xml:space="preserve"> of valued natural resources</w:t>
      </w:r>
      <w:r w:rsidR="00FB0183">
        <w:t xml:space="preserve">; </w:t>
      </w:r>
      <w:r w:rsidR="00AD11E1">
        <w:fldChar w:fldCharType="begin" w:fldLock="1"/>
      </w:r>
      <w:r w:rsidR="00B2630D">
        <w:instrText>ADDIN CSL_CITATION {"citationItems":[{"id":"ITEM-1","itemData":{"author":[{"dropping-particle":"","family":"Olson","given":"Mancur","non-dropping-particle":"","parse-names":false,"suffix":""}],"id":"ITEM-1","issued":{"date-parts":[["1965"]]},"publisher":"Harvard University Press","publisher-place":"Cambridge, MA, USA","title":"The logic of collective action","type":"book"},"uris":["http://www.mendeley.com/documents/?uuid=8f265ff6-8b37-4ffc-81dc-12049d5ff419"]},{"id":"ITEM-2","itemData":{"author":[{"dropping-particle":"","family":"Ostrom","given":"E","non-dropping-particle":"","parse-names":false,"suffix":""}],"id":"ITEM-2","issued":{"date-parts":[["1990"]]},"publisher":"Cambridge University Press","publisher-place":"Cambridge","title":"Governing the Commons: The Evolution of Institutions for Collective Action","type":"book"},"uris":["http://www.mendeley.com/documents/?uuid=639aab37-cb79-4e3c-b1a3-f2b8fc935fdb"]}],"mendeley":{"formattedCitation":"(Olson 1965; Ostrom 1990)","manualFormatting":"Olson 1965; Ostrom 1990)","plainTextFormattedCitation":"(Olson 1965; Ostrom 1990)","previouslyFormattedCitation":"(Olson 1965; Ostrom 1990)"},"properties":{"noteIndex":0},"schema":"https://github.com/citation-style-language/schema/raw/master/csl-citation.json"}</w:instrText>
      </w:r>
      <w:r w:rsidR="00AD11E1">
        <w:fldChar w:fldCharType="separate"/>
      </w:r>
      <w:r w:rsidR="00AD11E1" w:rsidRPr="00AD11E1">
        <w:rPr>
          <w:noProof/>
        </w:rPr>
        <w:t>Olson 1965; Ostrom 1990)</w:t>
      </w:r>
      <w:r w:rsidR="00AD11E1">
        <w:fldChar w:fldCharType="end"/>
      </w:r>
      <w:r w:rsidR="00791D9D" w:rsidRPr="0099644B">
        <w:t xml:space="preserve">. Collective action </w:t>
      </w:r>
      <w:r w:rsidR="00791D9D">
        <w:t>needs</w:t>
      </w:r>
      <w:r w:rsidR="00791D9D" w:rsidRPr="0099644B">
        <w:t xml:space="preserve"> individuals </w:t>
      </w:r>
      <w:r w:rsidR="00791D9D">
        <w:t xml:space="preserve">to </w:t>
      </w:r>
      <w:r w:rsidR="00791D9D" w:rsidRPr="0099644B">
        <w:t xml:space="preserve">feel </w:t>
      </w:r>
      <w:r w:rsidR="00791D9D">
        <w:t>that they are members</w:t>
      </w:r>
      <w:r w:rsidR="00791D9D" w:rsidRPr="0099644B">
        <w:t xml:space="preserve"> of a community with common interests and </w:t>
      </w:r>
      <w:r w:rsidR="00791D9D">
        <w:t xml:space="preserve">to </w:t>
      </w:r>
      <w:r w:rsidR="00791D9D" w:rsidRPr="0099644B">
        <w:t>trust one another to share responsibilities, and be accountable to each other. This is most likely when a social group is small, stable in membership, and relatively equitable (i.e., not dominated by a few “elites”). All effective and successful governance groups must have the skills and knowledge to know how to manage their lands and waters sustainably, they must have the resources to put their governance plans into action and enforce their resource access and use rules</w:t>
      </w:r>
      <w:r w:rsidR="00791D9D">
        <w:t xml:space="preserve">, and </w:t>
      </w:r>
      <w:r w:rsidR="00791D9D" w:rsidRPr="0099644B">
        <w:t xml:space="preserve">they must </w:t>
      </w:r>
      <w:r w:rsidR="00791D9D" w:rsidRPr="0099644B">
        <w:lastRenderedPageBreak/>
        <w:t xml:space="preserve">have the power to exercise their formal or customary authority to manage their territory </w:t>
      </w:r>
      <w:r w:rsidR="00B22F26">
        <w:fldChar w:fldCharType="begin" w:fldLock="1"/>
      </w:r>
      <w:r w:rsidR="00566AAF">
        <w:instrText>ADDIN CSL_CITATION {"citationItems":[{"id":"ITEM-1","itemData":{"DOI":"10.1016/j.envsci.2013.08.012","ISBN":"1462-9011","ISSN":"14629011","abstract":"The study of common-pool resources has benefited immensely from the contributions of Elinor Ostrom. Continuing advances in the field will require that scholars of commons use the insights in her work. But they must also (1) make conceptual and theoretical advances in terms of differentiating the social and ecological outcomes related to commons governance, (2) deploy more sophisticated analytical methods to make sense of different outcomes and patterns of relationships among outcomes, and (3) create better, globally representative, hierarchically organized datasets on the commons. Efforts to build better theories and develop a more rigorous understanding of outcomes are also necessary to keep in view the needs of poor, marginal populations that depend on the commons globally. © 2013 Elsevier Ltd.","author":[{"dropping-particle":"","family":"Agrawal","given":"Arun","non-dropping-particle":"","parse-names":false,"suffix":""}],"container-title":"Environmental Science and Policy","id":"ITEM-1","issue":"20","issued":{"date-parts":[["2014"]]},"page":"502-503","publisher":"Elsevier Ltd","title":"Studying the commons, governing common-pool resource outcomes: some concluding thoughts","type":"article-journal","volume":"174"},"uris":["http://www.mendeley.com/documents/?uuid=604d694e-76ad-4459-a4c1-44c818a7947f"]},{"id":"ITEM-2","itemData":{"author":[{"dropping-particle":"","family":"Wilkie","given":"David S.","non-dropping-particle":"","parse-names":false,"suffix":""},{"dropping-particle":"","family":"Wieland","given":"Michelle","non-dropping-particle":"","parse-names":false,"suffix":""},{"dropping-particle":"","family":"Detoeuf","given":"D.","non-dropping-particle":"","parse-names":false,"suffix":""}],"id":"ITEM-2","issued":{"date-parts":[["2015"]]},"publisher-place":"USAID, Washington DC, and WCS, New York, USA","title":"Guidelines for learning and applying the natural resource governance tool (NRGT) in landscapes and seascapes","type":"report"},"uris":["http://www.mendeley.com/documents/?uuid=5f1fad88-480b-40ed-a799-06f82b907e97"]}],"mendeley":{"formattedCitation":"(Agrawal 2014; Wilkie et al. 2015)","plainTextFormattedCitation":"(Agrawal 2014; Wilkie et al. 2015)","previouslyFormattedCitation":"(Agrawal 2014; Wilkie et al. 2015)"},"properties":{"noteIndex":0},"schema":"https://github.com/citation-style-language/schema/raw/master/csl-citation.json"}</w:instrText>
      </w:r>
      <w:r w:rsidR="00B22F26">
        <w:fldChar w:fldCharType="separate"/>
      </w:r>
      <w:r w:rsidR="00B22F26" w:rsidRPr="00B22F26">
        <w:rPr>
          <w:noProof/>
        </w:rPr>
        <w:t>(Agrawal 2014; Wilkie et al. 2015)</w:t>
      </w:r>
      <w:r w:rsidR="00B22F26">
        <w:fldChar w:fldCharType="end"/>
      </w:r>
      <w:r w:rsidR="00B22F26">
        <w:t>.</w:t>
      </w:r>
      <w:r w:rsidR="00791D9D" w:rsidRPr="0099644B">
        <w:t xml:space="preserve"> </w:t>
      </w:r>
    </w:p>
    <w:p w14:paraId="173B0E17" w14:textId="33243C46" w:rsidR="0014647E" w:rsidRPr="0014647E" w:rsidRDefault="00791D9D" w:rsidP="00791D9D">
      <w:r w:rsidRPr="0099644B">
        <w:t>A primary reason for c</w:t>
      </w:r>
      <w:r>
        <w:t>ommunity</w:t>
      </w:r>
      <w:r w:rsidRPr="0099644B">
        <w:t xml:space="preserve"> governance failing in the past, and at times failing today, is because powerful actor</w:t>
      </w:r>
      <w:r>
        <w:t>s</w:t>
      </w:r>
      <w:r w:rsidRPr="0099644B">
        <w:t xml:space="preserve"> (i.e., government agency, private sector company, wealthy land-owner)</w:t>
      </w:r>
      <w:r>
        <w:t>,</w:t>
      </w:r>
      <w:r w:rsidRPr="0099644B">
        <w:t xml:space="preserve"> inadvertently or intentionally</w:t>
      </w:r>
      <w:r>
        <w:t>,</w:t>
      </w:r>
      <w:r w:rsidRPr="0099644B">
        <w:t xml:space="preserve"> undermine the decision making authority of the governance groups and prevent</w:t>
      </w:r>
      <w:r w:rsidR="002733EE">
        <w:t>ing</w:t>
      </w:r>
      <w:r w:rsidRPr="0099644B">
        <w:t xml:space="preserve"> them from taking the</w:t>
      </w:r>
      <w:r>
        <w:t xml:space="preserve"> </w:t>
      </w:r>
      <w:r w:rsidRPr="0099644B">
        <w:t>necessary actions to sustainably manage their lands and waters. Alternatively, powerful external actors can reinforce the rights and authority of c</w:t>
      </w:r>
      <w:r>
        <w:t>ommunity</w:t>
      </w:r>
      <w:r w:rsidRPr="0099644B">
        <w:t xml:space="preserve"> governance groups by providing, timely and competent assistance by, for example, arresting law-breakers </w:t>
      </w:r>
      <w:r w:rsidR="00B22F26">
        <w:fldChar w:fldCharType="begin" w:fldLock="1"/>
      </w:r>
      <w:r w:rsidR="00566AAF">
        <w:instrText>ADDIN CSL_CITATION {"citationItems":[{"id":"ITEM-1","itemData":{"DOI":"10.1111/conl.12294","ISBN":"2375-2548","ISSN":"1755263X","PMID":"27313045","abstract":"Hydroxyapatite (HAp) has been successfully synthesized by hydrothermal treatment of calcite crystals in H3PO4 suspensions at 120 or 180 ??C. Synthesis of HAp crystals under different H3PO4 concentrations and time conditions were studied. The results showed that HAp can be produced by the hydrothermal conversion of calcite crystals in the presence of a neutral suspension consisted of Ca 50 mM and PO4 60 mM, at 120 and 180 ??C for 6 h. Unreacted CaCO3 remained when PO4 concentration was less than this at lower temperature. The major formation mechanism of HAp seems to be dissolution/precipitation. ?? 2004 Elsevier B.V. All rights reserved.","author":[{"dropping-particle":"","family":"Cooney","given":"Rosie","non-dropping-particle":"","parse-names":false,"suffix":""},{"dropping-particle":"","family":"Roe","given":"Dilys","non-dropping-particle":"","parse-names":false,"suffix":""},{"dropping-particle":"","family":"Dublin","given":"Holly","non-dropping-particle":"","parse-names":false,"suffix":""},{"dropping-particle":"","family":"Phelps","given":"Jacob","non-dropping-particle":"","parse-names":false,"suffix":""},{"dropping-particle":"","family":"Wilkie","given":"David","non-dropping-particle":"","parse-names":false,"suffix":""},{"dropping-particle":"","family":"Keane","given":"Aidan","non-dropping-particle":"","parse-names":false,"suffix":""},{"dropping-particle":"","family":"Travers","given":"Henry","non-dropping-particle":"","parse-names":false,"suffix":""},{"dropping-particle":"","family":"Skinner","given":"Diane","non-dropping-particle":"","parse-names":false,"suffix":""},{"dropping-particle":"","family":"Challender","given":"Daniel W.S.","non-dropping-particle":"","parse-names":false,"suffix":""},{"dropping-particle":"","family":"Allan","given":"James R.","non-dropping-particle":"","parse-names":false,"suffix":""},{"dropping-particle":"","family":"Biggs","given":"Duan","non-dropping-particle":"","parse-names":false,"suffix":""}],"container-title":"Conservation Letters","id":"ITEM-1","issue":"3","issued":{"date-parts":[["2017"]]},"page":"367-374","title":"From poachers to protectors: engaging local communities in solutions to illegal wildlife trade","type":"article-journal","volume":"10"},"uris":["http://www.mendeley.com/documents/?uuid=bfe81fa4-61cd-43da-84e9-59605db58e18"]},{"id":"ITEM-2","itemData":{"author":[{"dropping-particle":"","family":"Wilkie","given":"David S.","non-dropping-particle":"","parse-names":false,"suffix":""},{"dropping-particle":"","family":"Wieland","given":"Michelle","non-dropping-particle":"","parse-names":false,"suffix":""},{"dropping-particle":"","family":"Detoeuf","given":"D.","non-dropping-particle":"","parse-names":false,"suffix":""}],"id":"ITEM-2","issued":{"date-parts":[["2015"]]},"publisher-place":"USAID, Washington DC, and WCS, New York, USA","title":"Guidelines for learning and applying the natural resource governance tool (NRGT) in landscapes and seascapes","type":"report"},"uris":["http://www.mendeley.com/documents/?uuid=5f1fad88-480b-40ed-a799-06f82b907e97"]}],"mendeley":{"formattedCitation":"(Wilkie et al. 2015; Cooney et al. 2017)","plainTextFormattedCitation":"(Wilkie et al. 2015; Cooney et al. 2017)","previouslyFormattedCitation":"(Wilkie et al. 2015; Cooney et al. 2017)"},"properties":{"noteIndex":0},"schema":"https://github.com/citation-style-language/schema/raw/master/csl-citation.json"}</w:instrText>
      </w:r>
      <w:r w:rsidR="00B22F26">
        <w:fldChar w:fldCharType="separate"/>
      </w:r>
      <w:r w:rsidR="00B22F26" w:rsidRPr="00B22F26">
        <w:rPr>
          <w:noProof/>
        </w:rPr>
        <w:t>(Wilkie et al. 2015; Cooney et al. 2017)</w:t>
      </w:r>
      <w:r w:rsidR="00B22F26">
        <w:fldChar w:fldCharType="end"/>
      </w:r>
      <w:r w:rsidR="00B22F26">
        <w:t xml:space="preserve">. </w:t>
      </w:r>
      <w:r w:rsidR="0014647E" w:rsidRPr="0099644B">
        <w:t>C</w:t>
      </w:r>
      <w:r w:rsidR="0014647E">
        <w:t>ommunity</w:t>
      </w:r>
      <w:r w:rsidR="0014647E" w:rsidRPr="0099644B">
        <w:t xml:space="preserve"> governance of wildlife and other natural resources has great potential to conserve biodiversity across large areas of relatively intact ecosystems, and support the wellbeing of Indigenous and traditional Peoples. However, unless </w:t>
      </w:r>
      <w:r w:rsidR="00FB0183">
        <w:t>communities</w:t>
      </w:r>
      <w:r w:rsidR="0014647E" w:rsidRPr="0099644B">
        <w:t xml:space="preserve"> gain formal authority to manage their traditional territories</w:t>
      </w:r>
      <w:r w:rsidR="00FB0183">
        <w:t xml:space="preserve"> (see section </w:t>
      </w:r>
      <w:r w:rsidR="00FB0183">
        <w:fldChar w:fldCharType="begin"/>
      </w:r>
      <w:r w:rsidR="00FB0183">
        <w:instrText xml:space="preserve"> REF _Ref520219448 \r \h </w:instrText>
      </w:r>
      <w:r w:rsidR="00FB0183">
        <w:fldChar w:fldCharType="separate"/>
      </w:r>
      <w:r w:rsidR="00FB0183">
        <w:t>7.4</w:t>
      </w:r>
      <w:r w:rsidR="00FB0183">
        <w:fldChar w:fldCharType="end"/>
      </w:r>
      <w:r w:rsidR="00FB0183">
        <w:t xml:space="preserve"> above)</w:t>
      </w:r>
      <w:r w:rsidR="0014647E" w:rsidRPr="0099644B">
        <w:t xml:space="preserve">, and unless they receive the timely and competent support of a trusted and accountable national </w:t>
      </w:r>
      <w:r w:rsidR="0014647E">
        <w:t xml:space="preserve">law-enforcement </w:t>
      </w:r>
      <w:r w:rsidR="0014647E" w:rsidRPr="0099644B">
        <w:t>agency, this potential will remain unmet.</w:t>
      </w:r>
    </w:p>
    <w:p w14:paraId="4AEBBC11" w14:textId="749B7660" w:rsidR="00FB0183" w:rsidRDefault="00FB0183" w:rsidP="00FB0183">
      <w:pPr>
        <w:pStyle w:val="Heading3"/>
      </w:pPr>
      <w:r>
        <w:t>Customary Governance</w:t>
      </w:r>
    </w:p>
    <w:p w14:paraId="2B05894C" w14:textId="039DA67E" w:rsidR="00711BA9" w:rsidRDefault="00791D9D" w:rsidP="00791D9D">
      <w:r w:rsidRPr="0099644B">
        <w:t>Customary governance</w:t>
      </w:r>
      <w:r w:rsidR="00FB0183">
        <w:t xml:space="preserve"> describes governance that is according to </w:t>
      </w:r>
      <w:r w:rsidR="00FB0183" w:rsidRPr="00FB0183">
        <w:t>customs or usual practices associated with a particular society, place, or set of circumstances</w:t>
      </w:r>
      <w:r w:rsidR="00FB0183">
        <w:t xml:space="preserve">. </w:t>
      </w:r>
      <w:r w:rsidR="00711BA9" w:rsidRPr="002C77FD">
        <w:t xml:space="preserve">Customary </w:t>
      </w:r>
      <w:r w:rsidR="00711BA9">
        <w:t>governance systems</w:t>
      </w:r>
      <w:r w:rsidR="00711BA9" w:rsidRPr="002C77FD">
        <w:t xml:space="preserve"> are typically only effective in curbing community member behaviour; outsiders with different belief systems and no relationships to maintain, are much less likely to be influenced by social strictures. They may also not be aware of the regulations. </w:t>
      </w:r>
    </w:p>
    <w:p w14:paraId="363A96FF" w14:textId="4E39C4EE" w:rsidR="0014647E" w:rsidRDefault="00FB0183" w:rsidP="00791D9D">
      <w:r>
        <w:t>Customary</w:t>
      </w:r>
      <w:r w:rsidR="00791D9D" w:rsidRPr="0099644B">
        <w:t xml:space="preserve"> systems</w:t>
      </w:r>
      <w:r w:rsidR="002722B0">
        <w:t xml:space="preserve"> for hunting</w:t>
      </w:r>
      <w:r w:rsidR="00791D9D" w:rsidRPr="0099644B">
        <w:t xml:space="preserve"> often rely on permanent or rotating territorial closures, rather than quotas of target species or banning specific methods. Rotating closures were often an </w:t>
      </w:r>
      <w:r w:rsidR="00791D9D">
        <w:t xml:space="preserve">unintentional consequence </w:t>
      </w:r>
      <w:r w:rsidR="00791D9D" w:rsidRPr="0099644B">
        <w:t xml:space="preserve">of nomadic hunter groups or entire villages moving to a new, not recently hunted, area after hunting </w:t>
      </w:r>
      <w:r w:rsidR="00791D9D">
        <w:t>returns</w:t>
      </w:r>
      <w:r w:rsidR="00791D9D" w:rsidRPr="0099644B">
        <w:t xml:space="preserve"> and other resources began to decline. This allowed wildlife populations in the previous hunting grounds to </w:t>
      </w:r>
      <w:r w:rsidR="00791D9D">
        <w:t>recover</w:t>
      </w:r>
      <w:r w:rsidR="00791D9D" w:rsidRPr="0099644B">
        <w:t xml:space="preserve">. This system </w:t>
      </w:r>
      <w:r w:rsidR="00791D9D">
        <w:t>likely predominated</w:t>
      </w:r>
      <w:r w:rsidR="00791D9D" w:rsidRPr="0099644B">
        <w:t xml:space="preserve"> in pre-colonial Central Africa </w:t>
      </w:r>
      <w:r w:rsidR="00C213D2">
        <w:fldChar w:fldCharType="begin" w:fldLock="1"/>
      </w:r>
      <w:r w:rsidR="00B2630D">
        <w:instrText>ADDIN CSL_CITATION {"citationItems":[{"id":"ITEM-1","itemData":{"author":[{"dropping-particle":"","family":"Vansina","given":"J","non-dropping-particle":"","parse-names":false,"suffix":""}],"id":"ITEM-1","issued":{"date-parts":[["1990"]]},"publisher-place":"University of Wisconsin Press, Wisconsin, USA","title":"Paths in the rainforest: toward a history of political tradition in equatorial Africa","type":"report"},"uris":["http://www.mendeley.com/documents/?uuid=ab773302-61ad-43f8-8b39-40cc3bc1cd8e"]},{"id":"ITEM-2","itemData":{"author":[{"dropping-particle":"","family":"Bahuchet","given":"S","non-dropping-particle":"","parse-names":false,"suffix":""},{"dropping-particle":"","family":"Maret","given":"P","non-dropping-particle":"de","parse-names":false,"suffix":""}],"id":"ITEM-2","issued":{"date-parts":[["2000"]]},"publisher":"Universite Libre de Bruxelles, Brussels, Belgium","publisher-place":"Universite Libre de Bruxelles, Brussels, Belgium","title":"Programme Avenir des People des Forêts Tropicales (APFT)","type":"book"},"uris":["http://www.mendeley.com/documents/?uuid=bb734103-45f7-45ce-a35f-a8feafeb3e3f"]}],"mendeley":{"formattedCitation":"(Vansina 1990; Bahuchet &amp; de Maret 2000)","plainTextFormattedCitation":"(Vansina 1990; Bahuchet &amp; de Maret 2000)","previouslyFormattedCitation":"(Vansina 1990; Bahuchet &amp; de Maret 2000)"},"properties":{"noteIndex":0},"schema":"https://github.com/citation-style-language/schema/raw/master/csl-citation.json"}</w:instrText>
      </w:r>
      <w:r w:rsidR="00C213D2">
        <w:fldChar w:fldCharType="separate"/>
      </w:r>
      <w:r w:rsidR="00C213D2" w:rsidRPr="00C213D2">
        <w:rPr>
          <w:noProof/>
        </w:rPr>
        <w:t>(Vansina 1990; Bahuchet &amp; de Maret 2000)</w:t>
      </w:r>
      <w:r w:rsidR="00C213D2">
        <w:fldChar w:fldCharType="end"/>
      </w:r>
      <w:r w:rsidR="00791D9D" w:rsidRPr="0099644B">
        <w:t xml:space="preserve">. Closures are much easier to enforce because they are </w:t>
      </w:r>
      <w:r w:rsidR="002733EE">
        <w:t>straightforward</w:t>
      </w:r>
      <w:r w:rsidR="002733EE" w:rsidRPr="0099644B">
        <w:t xml:space="preserve"> </w:t>
      </w:r>
      <w:r w:rsidR="00791D9D" w:rsidRPr="0099644B">
        <w:t xml:space="preserve">to monitor, and do not require setting and enforcing quotas. Truly nomadic lifestyles have now become less common, and most communities now manage resources around a fixed village location. When hunter communities </w:t>
      </w:r>
      <w:r w:rsidR="002733EE">
        <w:t>who practised</w:t>
      </w:r>
      <w:r w:rsidR="002733EE" w:rsidRPr="0099644B">
        <w:t xml:space="preserve"> </w:t>
      </w:r>
      <w:r w:rsidR="00791D9D" w:rsidRPr="0099644B">
        <w:t xml:space="preserve">a rotational system become fixed in one location, previous levels of hunting offtake that were sustainable in a rotational hunting system may become unsustainable. In this situation, communities may need to adapt traditions and </w:t>
      </w:r>
      <w:r>
        <w:t xml:space="preserve">customary </w:t>
      </w:r>
      <w:r w:rsidR="00791D9D" w:rsidRPr="0099644B">
        <w:t xml:space="preserve">management systems. </w:t>
      </w:r>
    </w:p>
    <w:p w14:paraId="3A5578B9" w14:textId="5C2EA546" w:rsidR="00791D9D" w:rsidRPr="0099644B" w:rsidRDefault="00791D9D" w:rsidP="00791D9D">
      <w:r w:rsidRPr="0099644B">
        <w:t xml:space="preserve">Customary hunting areas are often delimited by streams, topography, trees and other distinct geographic features </w:t>
      </w:r>
      <w:r w:rsidR="00C213D2">
        <w:fldChar w:fldCharType="begin" w:fldLock="1"/>
      </w:r>
      <w:r w:rsidR="00C213D2">
        <w:instrText>ADDIN CSL_CITATION {"citationItems":[{"id":"ITEM-1","itemData":{"DOI":"10.1016/j.apgeog.2014.11.015","ISBN":"1087-0547","ISSN":"01436228","PMID":"23269196","abstract":"Indigenous Lands in the Brazilian Amazon intend to guarantee indigenous rights and conserve forests, although many do not correspond to peoples' territorial needs and may not effectively preserve wildlife. Most indigenous people rely on game for subsistence, and the spatial distribution of hunts and prey determine hunting sustainability and wildlife conservation. I examined the Kaxinawa hunting territory dynamics through the participatory monitoring and mapping of 10 ILs. The Kaxinawa are central-place foragers whose ideal hunting territories have a circular shape with a radius of 5km. The geopolitics of the Kaxinawa combined with spatial occupation distort hunting territories to maintain indigenous control while respecting the territories of nearby villages. The fission of large villages leads to reduced hunting territories but increases the overall hunted area, consequently affecting game populations. Kaxinawa hunting did not lead species to extinction. The Kaxinawa hunted 65% of prey within 2.5km of the villages and the other 30% within 5km. Although all of the species were hunted close to villages, the prey were smaller, and several sensitive species were rarely hunted. The replacement of such sensitivity for more resilient low-ranked species on hunting bags suggests that these species might be depleted near villages. These findings provide objective standards for titling Indigenous Lands and for improving wildlife management within these lands.","author":[{"dropping-particle":"","family":"Constantino","given":"P A L","non-dropping-particle":"","parse-names":false,"suffix":""}],"container-title":"Applied Geography","id":"ITEM-1","issued":{"date-parts":[["2015"]]},"page":"222-231","publisher":"Elsevier Ltd","title":"Dynamics of hunting territories and prey distribution in Amazonian indigenous lands","type":"article-journal","volume":"56"},"uris":["http://www.mendeley.com/documents/?uuid=1dd02b59-ec28-4aa8-af85-4d851a325d15"]},{"id":"ITEM-2","itemData":{"DOI":"10.5751/ES-08047-200431","ISSN":"17083087","abstract":"©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Society","id":"ITEM-2","issue":"4","issued":{"date-parts":[["2015"]]},"title":"Evolving hunting practices in gabon: Lessons for community-based conservation interventions","type":"article-journal","volume":"20"},"uris":["http://www.mendeley.com/documents/?uuid=929a2061-e229-4516-9546-6b6fcea8cade"]}],"mendeley":{"formattedCitation":"(Constantino 2015; Walters et al. 2015)","plainTextFormattedCitation":"(Constantino 2015; Walters et al. 2015)","previouslyFormattedCitation":"(Constantino 2015; Walters et al. 2015)"},"properties":{"noteIndex":0},"schema":"https://github.com/citation-style-language/schema/raw/master/csl-citation.json"}</w:instrText>
      </w:r>
      <w:r w:rsidR="00C213D2">
        <w:fldChar w:fldCharType="separate"/>
      </w:r>
      <w:r w:rsidR="00C213D2" w:rsidRPr="00C213D2">
        <w:rPr>
          <w:noProof/>
        </w:rPr>
        <w:t>(Constantino 2015; Walters et al. 2015)</w:t>
      </w:r>
      <w:r w:rsidR="00C213D2">
        <w:fldChar w:fldCharType="end"/>
      </w:r>
      <w:r w:rsidRPr="0099644B">
        <w:t xml:space="preserve">. Participatory mapping of hunting and other community areas has been used to establish legal recognition of village territories and </w:t>
      </w:r>
      <w:r>
        <w:t xml:space="preserve">to </w:t>
      </w:r>
      <w:r w:rsidRPr="0099644B">
        <w:t xml:space="preserve">secure local tenure, inform participatory land-use planning and biodiversity conservation priorities, gather information on natural resources and special sites (e.g. sacred sites) and understand local perceptions of a shared geographical framework </w:t>
      </w:r>
      <w:r w:rsidR="002C0E6B">
        <w:fldChar w:fldCharType="begin" w:fldLock="1"/>
      </w:r>
      <w:r w:rsidR="00763BF5">
        <w:instrText>ADDIN CSL_CITATION {"citationItems":[{"id":"ITEM-1","itemData":{"DOI":"9","ISBN":"1195-5449","ISSN":"17083087","PMID":"259","abstract":"The methods used to value tropical forests have the potential to influence how policy makers and others perceive forest lands. A small number of valuation studies achieve real impact. These are generally succinct accounts supporting a specific perception. However, such reports risk being used to justify inappropriate actions. The end users of such results are rarely those who produced them, and misunderstanding of key details is a concern. One defense is to ensure that shortcomings and common pitfalls are better appreciated by the ultimate users. In this article, we aim to reduce such risks by discussing how valuation studies should be assessed and challenged by users. We consider two concise, high-profile valuation papers here, by Peters and colleagues and by Godoy and colleagues. We illustrate a series of questions that should be asked, not only about the two papers, but also about any landscape valuation study. We highlight the many challenges faced in valuing tropical forest lands and in presenting and using the results sensibly, and we offer some suggestions for improvement. Attention to complexities and clarity about uncertainties are required. Forest valuation must be pursued and promoted with caution. INTRODUCTION","author":[{"dropping-particle":"","family":"Sheil","given":"Douglas","non-dropping-particle":"","parse-names":false,"suffix":""},{"dropping-particle":"","family":"Wunder","given":"Sven","non-dropping-particle":"","parse-names":false,"suffix":""}],"container-title":"Ecology and Society","id":"ITEM-1","issue":"2","issued":{"date-parts":[["2002"]]},"page":"9","title":"The value of tropical forest to local communities: complications, caveats, and cautions","type":"article-journal","volume":"6"},"uris":["http://www.mendeley.com/documents/?uuid=813ff154-af84-42fd-9095-85029e7631a9"]},{"id":"ITEM-2","itemData":{"author":[{"dropping-particle":"","family":"Rainforest Foundation UK","given":"","non-dropping-particle":"","parse-names":false,"suffix":""}],"id":"ITEM-2","issue":"October","issued":{"date-parts":[["2018"]]},"title":"Mapping for Rights: Putting Rainforest Communities on the Map","type":"article-journal"},"uris":["http://www.mendeley.com/documents/?uuid=71994788-8610-42bb-9b13-d2ca5a18e8d3"]},{"id":"ITEM-3","itemData":{"author":[{"dropping-particle":"","family":"Balram","given":"S","non-dropping-particle":"","parse-names":false,"suffix":""},{"dropping-particle":"","family":"Dragićević","given":"S","non-dropping-particle":"","parse-names":false,"suffix":""},{"dropping-particle":"","family":"Meredith","given":"T","non-dropping-particle":"","parse-names":false,"suffix":""}],"container-title":"Biodiversity and Conservation","id":"ITEM-3","issue":"6","issued":{"date-parts":[["2004"]]},"page":"1195 - 1208","title":"A collaborative GIS method for integrating local and technical knowledge in establishing biodiversity conservation priorities","type":"article-journal","volume":"13"},"uris":["http://www.mendeley.com/documents/?uuid=a172fbae-1e11-4d02-8630-9998faa43c98"]}],"mendeley":{"formattedCitation":"(Sheil &amp; Wunder 2002; Balram et al. 2004; Rainforest Foundation UK 2018)","plainTextFormattedCitation":"(Sheil &amp; Wunder 2002; Balram et al. 2004; Rainforest Foundation UK 2018)","previouslyFormattedCitation":"(Sheil &amp; Wunder 2002; Balram et al. 2004; Rainforest Foundation UK 2018)"},"properties":{"noteIndex":0},"schema":"https://github.com/citation-style-language/schema/raw/master/csl-citation.json"}</w:instrText>
      </w:r>
      <w:r w:rsidR="002C0E6B">
        <w:fldChar w:fldCharType="separate"/>
      </w:r>
      <w:r w:rsidR="002C0E6B" w:rsidRPr="002C0E6B">
        <w:rPr>
          <w:noProof/>
        </w:rPr>
        <w:t>(Sheil &amp; Wunder 2002; Balram et al. 2004; Rainforest Foundation UK 2018)</w:t>
      </w:r>
      <w:r w:rsidR="002C0E6B">
        <w:fldChar w:fldCharType="end"/>
      </w:r>
    </w:p>
    <w:p w14:paraId="7C051444" w14:textId="248E4E28" w:rsidR="00791D9D" w:rsidRPr="002C77FD" w:rsidRDefault="00791D9D" w:rsidP="00791D9D">
      <w:r w:rsidRPr="0099644B">
        <w:t xml:space="preserve">Many cultures prohibit the taking and eating of specific animals </w:t>
      </w:r>
      <w:r w:rsidR="00C213D2">
        <w:fldChar w:fldCharType="begin" w:fldLock="1"/>
      </w:r>
      <w:r w:rsidR="00C213D2">
        <w:instrText>ADDIN CSL_CITATION {"citationItems":[{"id":"ITEM-1","itemData":{"author":[{"dropping-particle":"","family":"Cormier","given":"L.","non-dropping-particle":"","parse-names":false,"suffix":""}],"container-title":"Ecol. Envir. Anthr.","id":"ITEM-1","issue":"1","issued":{"date-parts":[["2006"]]},"page":"14 - 32","title":"A preliminary review of Neotropical primates in the subsistence and symbolism of indigenous lowland South American peoples.","type":"article-journal","volume":"2"},"uris":["http://www.mendeley.com/documents/?uuid=17285f04-0f5b-46b9-93fc-20afa048036e"]}],"mendeley":{"formattedCitation":"(Cormier 2006)","plainTextFormattedCitation":"(Cormier 2006)","previouslyFormattedCitation":"(Cormier 2006)"},"properties":{"noteIndex":0},"schema":"https://github.com/citation-style-language/schema/raw/master/csl-citation.json"}</w:instrText>
      </w:r>
      <w:r w:rsidR="00C213D2">
        <w:fldChar w:fldCharType="separate"/>
      </w:r>
      <w:r w:rsidR="00C213D2" w:rsidRPr="00C213D2">
        <w:rPr>
          <w:noProof/>
        </w:rPr>
        <w:t>(Cormier 2006)</w:t>
      </w:r>
      <w:r w:rsidR="00C213D2">
        <w:fldChar w:fldCharType="end"/>
      </w:r>
      <w:r w:rsidRPr="0099644B">
        <w:t xml:space="preserve">. For instance, the leopard is the totem animal of the Bretuo clan of Ghana </w:t>
      </w:r>
      <w:r w:rsidR="00C213D2">
        <w:fldChar w:fldCharType="begin" w:fldLock="1"/>
      </w:r>
      <w:r w:rsidR="00E44BA0">
        <w:instrText>ADDIN CSL_CITATION {"citationItems":[{"id":"ITEM-1","itemData":{"author":[{"dropping-particle":"","family":"Ntiamoa-Baidu","given":"Y","non-dropping-particle":"","parse-names":false,"suffix":""}],"id":"ITEM-1","issued":{"date-parts":[["1997"]]},"publisher-place":"Food and Agriculture Organization of the United Nations, Rome, Italy","title":"Wildlife and food security in Africa. FAO Conservation Guide 33.","type":"report"},"uris":["http://www.mendeley.com/documents/?uuid=d2366b1b-4470-49cc-b158-637aaa38f4a5"]}],"mendeley":{"formattedCitation":"(Ntiamoa-Baidu 1997)","plainTextFormattedCitation":"(Ntiamoa-Baidu 1997)","previouslyFormattedCitation":"(Ntiamoa-Baidu 1997)"},"properties":{"noteIndex":0},"schema":"https://github.com/citation-style-language/schema/raw/master/csl-citation.json"}</w:instrText>
      </w:r>
      <w:r w:rsidR="00C213D2">
        <w:fldChar w:fldCharType="separate"/>
      </w:r>
      <w:r w:rsidR="00C213D2" w:rsidRPr="00C213D2">
        <w:rPr>
          <w:noProof/>
        </w:rPr>
        <w:t>(Ntiamoa-Baidu 1997)</w:t>
      </w:r>
      <w:r w:rsidR="00C213D2">
        <w:fldChar w:fldCharType="end"/>
      </w:r>
      <w:r w:rsidRPr="0099644B">
        <w:t>, the Pouvi of Gabon</w:t>
      </w:r>
      <w:r w:rsidR="00E44BA0">
        <w:t xml:space="preserve"> </w:t>
      </w:r>
      <w:r w:rsidR="00E44BA0">
        <w:fldChar w:fldCharType="begin" w:fldLock="1"/>
      </w:r>
      <w:r w:rsidR="00E44BA0">
        <w:instrText>ADDIN CSL_CITATION {"citationItems":[{"id":"ITEM-1","itemData":{"DOI":"10.5751/ES-08047-200431","ISSN":"17083087","abstract":"©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Society","id":"ITEM-1","issue":"4","issued":{"date-parts":[["2015"]]},"title":"Evolving hunting practices in gabon: Lessons for community-based conservation interventions","type":"article-journal","volume":"20"},"uris":["http://www.mendeley.com/documents/?uuid=929a2061-e229-4516-9546-6b6fcea8cade"]}],"mendeley":{"formattedCitation":"(Walters et al. 2015)","plainTextFormattedCitation":"(Walters et al. 2015)","previouslyFormattedCitation":"(Walters et al. 2015)"},"properties":{"noteIndex":0},"schema":"https://github.com/citation-style-language/schema/raw/master/csl-citation.json"}</w:instrText>
      </w:r>
      <w:r w:rsidR="00E44BA0">
        <w:fldChar w:fldCharType="separate"/>
      </w:r>
      <w:r w:rsidR="00E44BA0" w:rsidRPr="00E44BA0">
        <w:rPr>
          <w:noProof/>
        </w:rPr>
        <w:t>(Walters et al. 2015)</w:t>
      </w:r>
      <w:r w:rsidR="00E44BA0">
        <w:fldChar w:fldCharType="end"/>
      </w:r>
      <w:r w:rsidRPr="0099644B">
        <w:t xml:space="preserve"> and the Mbutis of the DRC. In Ugweno, Tanzania, the ground hornbill is protected by a belief that a person who kills it cannot stay alive </w:t>
      </w:r>
      <w:r w:rsidR="00E44BA0">
        <w:lastRenderedPageBreak/>
        <w:fldChar w:fldCharType="begin" w:fldLock="1"/>
      </w:r>
      <w:r w:rsidR="00E44BA0">
        <w:instrText>ADDIN CSL_CITATION {"citationItems":[{"id":"ITEM-1","itemData":{"DOI":"10.1080/17451590903065579","ISBN":"1745-1590","ISSN":"17451590","abstract":"Both colonial and post-colonial conservation policies ignored the potential role of traditional African cultural practices in contributing to conservation goals. Recently, there has been a growing global interest in these practices, although recognition in official conservation policies is still minimal in many countries. This global interest is enthused by the reality that although the use of wild species and their habitats remains the foundation for human survival all over the world, there is a huge risk of losing these species. Factors such as rapid human population increase, inadequate local support for conservation policies, limited strategies for survival among local communities and inadequate capacity of the government to fund law enforcement operations against illegal activities subject the species and habitats to unsustainable use. Traditional cultural practices, among other strategies, have promising potential to enhance sustainable resource use and conservation and, therefore, realize the desire for ecological and social sustainability. Using examples and data drawn from different parts of Tanzania, this paper attempts to uncover some of these potentials on which policy-makers and conservationists can capitalize to augment conservation work. The paper begins by reviewing the ecological impacts of two major conservation problems facing Tanzania ? species overexploitation and habitat loss. Then the possible advantages of traditional cultural practices (compared to conventional conservation strategies) are outlined. The traditional practices are presented as more cost-effective, more socially acceptable and having minimal risk of failure. Furthermore, the idea of reviving these practices coincides with the philosophy of co-management approaches, which advocate sharing of power, rights and responsibilities between the state and local resource users. This is based on the idea that local communities constitute voices ?from the ground? that should be heard. In showing the efficacy of traditional African cultural practices, the paper specifically focuses on four elements: traditional institutions, taboos, sacred sites and totemic species.\\nBoth colonial and post-colonial conservation policies ignored the potential role of traditional African cultural practices in contributing to conservation goals. Recently, there has been a growing global interest in these practices, although recognition in official conservation policies is still minimal in many cou…","author":[{"dropping-particle":"","family":"Kideghesho","given":"Jafari R.","non-dropping-particle":"","parse-names":false,"suffix":""}],"container-title":"International Journal of Biodiversity Science and Management","id":"ITEM-1","issue":"2","issued":{"date-parts":[["2009"]]},"page":"83-94","title":"The potentials of traditional African cultural practices in mitigating overexploitation of wildlife species and habitat loss: experience of Tanzania","type":"article-journal","volume":"5"},"uris":["http://www.mendeley.com/documents/?uuid=24cc42e7-b96a-45cf-a783-076b8c0ddbef"]}],"mendeley":{"formattedCitation":"(Kideghesho 2009)","plainTextFormattedCitation":"(Kideghesho 2009)","previouslyFormattedCitation":"(Kideghesho 2009)"},"properties":{"noteIndex":0},"schema":"https://github.com/citation-style-language/schema/raw/master/csl-citation.json"}</w:instrText>
      </w:r>
      <w:r w:rsidR="00E44BA0">
        <w:fldChar w:fldCharType="separate"/>
      </w:r>
      <w:r w:rsidR="00E44BA0" w:rsidRPr="00E44BA0">
        <w:rPr>
          <w:noProof/>
        </w:rPr>
        <w:t>(Kideghesho 2009)</w:t>
      </w:r>
      <w:r w:rsidR="00E44BA0">
        <w:fldChar w:fldCharType="end"/>
      </w:r>
      <w:r w:rsidRPr="0099644B">
        <w:t xml:space="preserve">. In the Rupununi region of the Guianan Amazon, indigenous tribes believe that the gray brocket deer is a “master deer” species that controls the movements of all </w:t>
      </w:r>
      <w:r>
        <w:t xml:space="preserve">other </w:t>
      </w:r>
      <w:r w:rsidRPr="0099644B">
        <w:t xml:space="preserve">deer species, and this </w:t>
      </w:r>
      <w:r>
        <w:t>animal</w:t>
      </w:r>
      <w:r w:rsidRPr="0099644B">
        <w:t xml:space="preserve"> and its meat are associated with a spirit that is dangerous to children </w:t>
      </w:r>
      <w:r w:rsidR="00E44BA0">
        <w:fldChar w:fldCharType="begin" w:fldLock="1"/>
      </w:r>
      <w:r w:rsidR="00E44BA0">
        <w:instrText>ADDIN CSL_CITATION {"citationItems":[{"id":"ITEM-1","itemData":{"DOI":"10.1002/fee.1203","ISBN":"1540-9309","ISSN":"15409309","abstract":"Understanding pathways to environmental sustainability in tropical\\nregions is a priority for conservation and development policies. Because\\ndrivers of environmental degradation often occur simultaneously, a\\nholistic approach is needed. We analyzed environmental degradation on\\ndemarcated indigenous lands in Guyana, using a spatially explicit,\\nagent-based simulation model representing human livelihoods, forest\\ndynamics, and animal metapopulations. We examined four plausible drivers\\nof ecological degradation: conversion of land for agro-industrial use,\\nerosion of hunting and dietary taboos, reduction in child mortality\\nrates, and introduction of external food resources. Although\\nsocial-ecological systems were resilient to internal changes, the\\nintroduction of external food resources resulted in large fluctuations\\nin the system, leading to a deterioration in environmental\\nsustainability. Our simulation model also revealed unexpected linkages\\nwithin the system; for example, population growth rates of non-human\\nanimal species were related to the sustainability of human livelihoods.\\nWe highlight the value of simulation models as social-ecological\\nexperiments that can synthesize interdisciplinary knowledge bases and\\nsupport policy development.","author":[{"dropping-particle":"","family":"Iwamura","given":"Takuya","non-dropping-particle":"","parse-names":false,"suffix":""},{"dropping-particle":"","family":"Lambin","given":"Eric F.","non-dropping-particle":"","parse-names":false,"suffix":""},{"dropping-particle":"","family":"Silvius","given":"Kirsten M.","non-dropping-particle":"","parse-names":false,"suffix":""},{"dropping-particle":"","family":"Luzar","given":"Jeffrey B.","non-dropping-particle":"","parse-names":false,"suffix":""},{"dropping-particle":"","family":"Fragoso","given":"José M.V.","non-dropping-particle":"","parse-names":false,"suffix":""}],"container-title":"Frontiers in Ecology and the Environment","id":"ITEM-1","issue":"2","issued":{"date-parts":[["2016"]]},"page":"77-83","title":"Socio-environmental sustainability of indigenous lands: simulating coupled human-natural systems in the Amazon","type":"article-journal","volume":"14"},"uris":["http://www.mendeley.com/documents/?uuid=d6e39d1c-2b0b-429a-83b7-25c195a6eeb1"]}],"mendeley":{"formattedCitation":"(Iwamura et al. 2016)","plainTextFormattedCitation":"(Iwamura et al. 2016)","previouslyFormattedCitation":"(Iwamura et al. 2016)"},"properties":{"noteIndex":0},"schema":"https://github.com/citation-style-language/schema/raw/master/csl-citation.json"}</w:instrText>
      </w:r>
      <w:r w:rsidR="00E44BA0">
        <w:fldChar w:fldCharType="separate"/>
      </w:r>
      <w:r w:rsidR="00E44BA0" w:rsidRPr="00E44BA0">
        <w:rPr>
          <w:noProof/>
        </w:rPr>
        <w:t>(Iwamura et al. 2016)</w:t>
      </w:r>
      <w:r w:rsidR="00E44BA0">
        <w:fldChar w:fldCharType="end"/>
      </w:r>
      <w:r w:rsidRPr="0099644B">
        <w:t>. Wherever animals are hunted or fished for food</w:t>
      </w:r>
      <w:r>
        <w:t>,</w:t>
      </w:r>
      <w:r w:rsidRPr="0099644B">
        <w:t xml:space="preserve"> these taboos</w:t>
      </w:r>
      <w:r>
        <w:t xml:space="preserve"> </w:t>
      </w:r>
      <w:r w:rsidRPr="0099644B">
        <w:t>never limit the takers</w:t>
      </w:r>
      <w:r>
        <w:t>’</w:t>
      </w:r>
      <w:r w:rsidRPr="0099644B">
        <w:t xml:space="preserve"> ability to feed her or his family. For each food taboo</w:t>
      </w:r>
      <w:r>
        <w:t>,</w:t>
      </w:r>
      <w:r w:rsidRPr="0099644B">
        <w:t xml:space="preserve"> there is generally a traditional medicinal cure, or offering, just in case you ate your taboo animal by mistake </w:t>
      </w:r>
      <w:r w:rsidR="00E44BA0">
        <w:fldChar w:fldCharType="begin" w:fldLock="1"/>
      </w:r>
      <w:r w:rsidR="00B2630D">
        <w:instrText>ADDIN CSL_CITATION {"citationItems":[{"id":"ITEM-1","itemData":{"author":[{"dropping-particle":"","family":"Aunger","given":"R","non-dropping-particle":"","parse-names":false,"suffix":""}],"id":"ITEM-1","issued":{"date-parts":[["1992"]]},"publisher":"PhD Thesis, University of California, Los Angeles, USA","title":"An ethnography of variation: food avoidance among horticulturalists and foragers in the Ituri forest, Zaire","type":"book"},"uris":["http://www.mendeley.com/documents/?uuid=6720285b-81a4-4367-bdc3-0caa87705ee0"]}],"mendeley":{"formattedCitation":"(Aunger 1992)","plainTextFormattedCitation":"(Aunger 1992)","previouslyFormattedCitation":"(Aunger 1992)"},"properties":{"noteIndex":0},"schema":"https://github.com/citation-style-language/schema/raw/master/csl-citation.json"}</w:instrText>
      </w:r>
      <w:r w:rsidR="00E44BA0">
        <w:fldChar w:fldCharType="separate"/>
      </w:r>
      <w:r w:rsidR="00E44BA0" w:rsidRPr="00E44BA0">
        <w:rPr>
          <w:noProof/>
        </w:rPr>
        <w:t>(Aunger 1992)</w:t>
      </w:r>
      <w:r w:rsidR="00E44BA0">
        <w:fldChar w:fldCharType="end"/>
      </w:r>
      <w:r w:rsidRPr="002C77FD">
        <w:t>.</w:t>
      </w:r>
    </w:p>
    <w:p w14:paraId="6D0176AE" w14:textId="404ACC09" w:rsidR="00791D9D" w:rsidRPr="002C77FD" w:rsidRDefault="00791D9D" w:rsidP="00791D9D">
      <w:r w:rsidRPr="002C77FD">
        <w:t xml:space="preserve">Community managers (i.e., the individuals that enforce the rules and regulations) use a wide range of measures to prevent law breaking and </w:t>
      </w:r>
      <w:r w:rsidR="006E6232" w:rsidRPr="002C77FD">
        <w:t>sanction</w:t>
      </w:r>
      <w:r w:rsidRPr="002C77FD">
        <w:t xml:space="preserve"> law breakers.</w:t>
      </w:r>
      <w:r w:rsidR="00295B80" w:rsidRPr="002C77FD">
        <w:t xml:space="preserve"> For hunting infractions, such as the hunting of a taboo species, or trespassing within another hunter’s territory, fines might be levied, in the form of hunting returns, money or valuable goods </w:t>
      </w:r>
      <w:r w:rsidR="00E44BA0">
        <w:fldChar w:fldCharType="begin" w:fldLock="1"/>
      </w:r>
      <w:r w:rsidR="00E44BA0">
        <w:instrText>ADDIN CSL_CITATION {"citationItems":[{"id":"ITEM-1","itemData":{"DOI":"10.1080/09709274.2006.11905897","ISBN":"0970-9274","ISSN":"0970-9274","abstract":"An analysis of a series of biodiversity related areas in Ghana, including ecosystem, water and soil management, farming, fishing and hunting practices and the collection of herbal medicines, shows that indigenous knowledge has the potential to contribute to the conservation of species, genes and ecosystems. Moreover, as these traditional rules are owned by the locals, they might be implemented more rigorously than governmental laws. However, in the contemporary fast changing societies of sub Saharan Africa IK is less and less applied and at risk of disappearance. In spite of important paradigmatic differences between IKS and modern science, traditional knowledge is at its best when it is matched with scientific approaches. Eminent examples of this can be found in the development of medical drugs that stem from herbal medicines. Similar approaches are needed and possible for biodiversity conservation. They should focus on questions on effectiveness, efficiency and monitoring of situations where IK is brought in into biodiversity conservation and management. At the governmental policy level it is remarkable that IK has currently no place in biodiversity conservation strategies. Nevertheless there is a high need to involve local communities in such policies. This is illustrated by providing two examples: the urgent need to curb fundamentally Ghana’s logging policy of its tropical forest and the need to involve local communities in the management of the Kakum Conservation area.","author":[{"dropping-particle":"","family":"Hens","given":"Luc","non-dropping-particle":"","parse-names":false,"suffix":""}],"container-title":"Journal of Human Ecology","id":"ITEM-1","issue":"1","issued":{"date-parts":[["2006"]]},"page":"21-30","title":"Indigenous knowledge and biodiversity conservation and management in Ghana","type":"article-journal","volume":"20"},"uris":["http://www.mendeley.com/documents/?uuid=5348c7bf-49b0-4538-b624-8492161c2de7"]},{"id":"ITEM-2","itemData":{"DOI":"10.5751/ES-08047-200431","ISSN":"17083087","abstract":"©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Society","id":"ITEM-2","issue":"4","issued":{"date-parts":[["2015"]]},"title":"Evolving hunting practices in gabon: Lessons for community-based conservation interventions","type":"article-journal","volume":"20"},"uris":["http://www.mendeley.com/documents/?uuid=929a2061-e229-4516-9546-6b6fcea8cade"]}],"mendeley":{"formattedCitation":"(Hens 2006; Walters et al. 2015)","plainTextFormattedCitation":"(Hens 2006; Walters et al. 2015)","previouslyFormattedCitation":"(Hens 2006; Walters et al. 2015)"},"properties":{"noteIndex":0},"schema":"https://github.com/citation-style-language/schema/raw/master/csl-citation.json"}</w:instrText>
      </w:r>
      <w:r w:rsidR="00E44BA0">
        <w:fldChar w:fldCharType="separate"/>
      </w:r>
      <w:r w:rsidR="00E44BA0" w:rsidRPr="00E44BA0">
        <w:rPr>
          <w:noProof/>
        </w:rPr>
        <w:t>(Hens 2006; Walters et al. 2015)</w:t>
      </w:r>
      <w:r w:rsidR="00E44BA0">
        <w:fldChar w:fldCharType="end"/>
      </w:r>
      <w:r w:rsidR="00295B80" w:rsidRPr="002C77FD">
        <w:t xml:space="preserve">. </w:t>
      </w:r>
      <w:r w:rsidRPr="002C77FD">
        <w:t xml:space="preserve">In the past, customary penalties </w:t>
      </w:r>
      <w:r w:rsidR="002733EE">
        <w:t>could be quite</w:t>
      </w:r>
      <w:r w:rsidRPr="002C77FD">
        <w:t xml:space="preserve"> severe</w:t>
      </w:r>
      <w:r w:rsidR="00711BA9">
        <w:t>. They</w:t>
      </w:r>
      <w:r w:rsidR="00551A0B" w:rsidRPr="002C77FD">
        <w:t xml:space="preserve"> </w:t>
      </w:r>
      <w:r w:rsidRPr="002C77FD">
        <w:t>ofte</w:t>
      </w:r>
      <w:r w:rsidR="00551A0B" w:rsidRPr="002C77FD">
        <w:t>n relied</w:t>
      </w:r>
      <w:r w:rsidRPr="002C77FD">
        <w:t xml:space="preserve"> on </w:t>
      </w:r>
      <w:r w:rsidR="002C77FD" w:rsidRPr="002C77FD">
        <w:t>resource-users</w:t>
      </w:r>
      <w:r w:rsidRPr="002C77FD">
        <w:t xml:space="preserve"> being part of the community and sharing its beliefs and norms</w:t>
      </w:r>
      <w:r w:rsidR="00551A0B" w:rsidRPr="002C77FD">
        <w:t xml:space="preserve"> (e.g. </w:t>
      </w:r>
      <w:r w:rsidR="002C0E6B">
        <w:fldChar w:fldCharType="begin" w:fldLock="1"/>
      </w:r>
      <w:r w:rsidR="00B2630D">
        <w:instrText>ADDIN CSL_CITATION {"citationItems":[{"id":"ITEM-1","itemData":{"DOI":"10.1080/17451590903065579","ISBN":"1745-1590","ISSN":"17451590","abstract":"Both colonial and post-colonial conservation policies ignored the potential role of traditional African cultural practices in contributing to conservation goals. Recently, there has been a growing global interest in these practices, although recognition in official conservation policies is still minimal in many countries. This global interest is enthused by the reality that although the use of wild species and their habitats remains the foundation for human survival all over the world, there is a huge risk of losing these species. Factors such as rapid human population increase, inadequate local support for conservation policies, limited strategies for survival among local communities and inadequate capacity of the government to fund law enforcement operations against illegal activities subject the species and habitats to unsustainable use. Traditional cultural practices, among other strategies, have promising potential to enhance sustainable resource use and conservation and, therefore, realize the desire for ecological and social sustainability. Using examples and data drawn from different parts of Tanzania, this paper attempts to uncover some of these potentials on which policy-makers and conservationists can capitalize to augment conservation work. The paper begins by reviewing the ecological impacts of two major conservation problems facing Tanzania ? species overexploitation and habitat loss. Then the possible advantages of traditional cultural practices (compared to conventional conservation strategies) are outlined. The traditional practices are presented as more cost-effective, more socially acceptable and having minimal risk of failure. Furthermore, the idea of reviving these practices coincides with the philosophy of co-management approaches, which advocate sharing of power, rights and responsibilities between the state and local resource users. This is based on the idea that local communities constitute voices ?from the ground? that should be heard. In showing the efficacy of traditional African cultural practices, the paper specifically focuses on four elements: traditional institutions, taboos, sacred sites and totemic species.\\nBoth colonial and post-colonial conservation policies ignored the potential role of traditional African cultural practices in contributing to conservation goals. Recently, there has been a growing global interest in these practices, although recognition in official conservation policies is still minimal in many cou…","author":[{"dropping-particle":"","family":"Kideghesho","given":"Jafari R.","non-dropping-particle":"","parse-names":false,"suffix":""}],"container-title":"International Journal of Biodiversity Science and Management","id":"ITEM-1","issue":"2","issued":{"date-parts":[["2009"]]},"page":"83-94","title":"The potentials of traditional African cultural practices in mitigating overexploitation of wildlife species and habitat loss: experience of Tanzania","type":"article-journal","volume":"5"},"uris":["http://www.mendeley.com/documents/?uuid=24cc42e7-b96a-45cf-a783-076b8c0ddbef"]},{"id":"ITEM-2","itemData":{"DOI":"10.5751/ES-08047-200431","ISSN":"17083087","abstract":"©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Society","id":"ITEM-2","issue":"4","issued":{"date-parts":[["2015"]]},"title":"Evolving hunting practices in gabon: Lessons for community-based conservation interventions","type":"article-journal","volume":"20"},"uris":["http://www.mendeley.com/documents/?uuid=929a2061-e229-4516-9546-6b6fcea8cade"]},{"id":"ITEM-3","itemData":{"author":[{"dropping-particle":"","family":"Findlay","given":"M","non-dropping-particle":"","parse-names":false,"suffix":""}],"container-title":"Revue Internationale de Droit Pénal","id":"ITEM-3","issued":{"date-parts":[["2001"]]},"title":"Community participation, and the integration within legal formalism in the South Pacific","type":"article-journal","volume":"72"},"uris":["http://www.mendeley.com/documents/?uuid=3aca89ec-44b4-467d-aeaf-903b42f4edfc"]}],"mendeley":{"formattedCitation":"(Findlay 2001; Kideghesho 2009; Walters et al. 2015)","plainTextFormattedCitation":"(Findlay 2001; Kideghesho 2009; Walters et al. 2015)","previouslyFormattedCitation":"(Findlay 2001; Kideghesho 2009; Walters et al. 2015)"},"properties":{"noteIndex":0},"schema":"https://github.com/citation-style-language/schema/raw/master/csl-citation.json"}</w:instrText>
      </w:r>
      <w:r w:rsidR="002C0E6B">
        <w:fldChar w:fldCharType="separate"/>
      </w:r>
      <w:r w:rsidR="002C0E6B" w:rsidRPr="002C0E6B">
        <w:rPr>
          <w:noProof/>
        </w:rPr>
        <w:t>(Findlay 2001; Kideghesho 2009; Walters et al. 2015)</w:t>
      </w:r>
      <w:r w:rsidR="002C0E6B">
        <w:fldChar w:fldCharType="end"/>
      </w:r>
      <w:r w:rsidRPr="002C77FD">
        <w:t>. Spiritual</w:t>
      </w:r>
      <w:r w:rsidR="002C77FD" w:rsidRPr="002C77FD">
        <w:t>/magical</w:t>
      </w:r>
      <w:r w:rsidRPr="002C77FD">
        <w:t xml:space="preserve"> belief systems can evoke great fear of the consequences of </w:t>
      </w:r>
      <w:r w:rsidR="002C77FD" w:rsidRPr="002C77FD">
        <w:t>law-breaking</w:t>
      </w:r>
      <w:r w:rsidRPr="002C77FD">
        <w:t xml:space="preserve"> in community members and constitute a powerful disincentive to breaking community nor</w:t>
      </w:r>
      <w:r w:rsidR="00551A0B" w:rsidRPr="002C77FD">
        <w:t xml:space="preserve">ms </w:t>
      </w:r>
      <w:r w:rsidR="00E44BA0">
        <w:fldChar w:fldCharType="begin" w:fldLock="1"/>
      </w:r>
      <w:r w:rsidR="00E44BA0">
        <w:instrText>ADDIN CSL_CITATION {"citationItems":[{"id":"ITEM-1","itemData":{"DOI":"10.5751/ES-08047-200431","ISSN":"17083087","abstract":"©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Society","id":"ITEM-1","issue":"4","issued":{"date-parts":[["2015"]]},"title":"Evolving hunting practices in gabon: Lessons for community-based conservation interventions","type":"article-journal","volume":"20"},"uris":["http://www.mendeley.com/documents/?uuid=929a2061-e229-4516-9546-6b6fcea8cade"]}],"mendeley":{"formattedCitation":"(Walters et al. 2015)","plainTextFormattedCitation":"(Walters et al. 2015)","previouslyFormattedCitation":"(Walters et al. 2015)"},"properties":{"noteIndex":0},"schema":"https://github.com/citation-style-language/schema/raw/master/csl-citation.json"}</w:instrText>
      </w:r>
      <w:r w:rsidR="00E44BA0">
        <w:fldChar w:fldCharType="separate"/>
      </w:r>
      <w:r w:rsidR="00E44BA0" w:rsidRPr="00E44BA0">
        <w:rPr>
          <w:noProof/>
        </w:rPr>
        <w:t>(Walters et al. 2015)</w:t>
      </w:r>
      <w:r w:rsidR="00E44BA0">
        <w:fldChar w:fldCharType="end"/>
      </w:r>
      <w:r w:rsidR="00E44BA0">
        <w:t>.</w:t>
      </w:r>
      <w:r w:rsidR="00381241" w:rsidRPr="002C77FD">
        <w:t xml:space="preserve"> For example, in western Serengeti the </w:t>
      </w:r>
      <w:r w:rsidR="00381241" w:rsidRPr="002C77FD">
        <w:rPr>
          <w:i/>
        </w:rPr>
        <w:t>Ritongo</w:t>
      </w:r>
      <w:r w:rsidR="00381241" w:rsidRPr="002C77FD">
        <w:t xml:space="preserve"> elders' council uses traditional aspects of the invisible world to regulate community behaviour according to traditional values and norms, including through an oath, called ‘</w:t>
      </w:r>
      <w:r w:rsidR="00381241" w:rsidRPr="002C0E6B">
        <w:rPr>
          <w:i/>
        </w:rPr>
        <w:t>Kihore</w:t>
      </w:r>
      <w:r w:rsidR="00381241" w:rsidRPr="002C0E6B">
        <w:t xml:space="preserve">’ </w:t>
      </w:r>
      <w:r w:rsidR="00E44BA0" w:rsidRPr="002C0E6B">
        <w:fldChar w:fldCharType="begin" w:fldLock="1"/>
      </w:r>
      <w:r w:rsidR="00E44BA0" w:rsidRPr="002C0E6B">
        <w:instrText>ADDIN CSL_CITATION {"citationItems":[{"id":"ITEM-1","itemData":{"DOI":"10.1080/17451590903065579","ISBN":"1745-1590","ISSN":"17451590","abstract":"Both colonial and post-colonial conservation policies ignored the potential role of traditional African cultural practices in contributing to conservation goals. Recently, there has been a growing global interest in these practices, although recognition in official conservation policies is still minimal in many countries. This global interest is enthused by the reality that although the use of wild species and their habitats remains the foundation for human survival all over the world, there is a huge risk of losing these species. Factors such as rapid human population increase, inadequate local support for conservation policies, limited strategies for survival among local communities and inadequate capacity of the government to fund law enforcement operations against illegal activities subject the species and habitats to unsustainable use. Traditional cultural practices, among other strategies, have promising potential to enhance sustainable resource use and conservation and, therefore, realize the desire for ecological and social sustainability. Using examples and data drawn from different parts of Tanzania, this paper attempts to uncover some of these potentials on which policy-makers and conservationists can capitalize to augment conservation work. The paper begins by reviewing the ecological impacts of two major conservation problems facing Tanzania ? species overexploitation and habitat loss. Then the possible advantages of traditional cultural practices (compared to conventional conservation strategies) are outlined. The traditional practices are presented as more cost-effective, more socially acceptable and having minimal risk of failure. Furthermore, the idea of reviving these practices coincides with the philosophy of co-management approaches, which advocate sharing of power, rights and responsibilities between the state and local resource users. This is based on the idea that local communities constitute voices ?from the ground? that should be heard. In showing the efficacy of traditional African cultural practices, the paper specifically focuses on four elements: traditional institutions, taboos, sacred sites and totemic species.\\nBoth colonial and post-colonial conservation policies ignored the potential role of traditional African cultural practices in contributing to conservation goals. Recently, there has been a growing global interest in these practices, although recognition in official conservation policies is still minimal in many cou…","author":[{"dropping-particle":"","family":"Kideghesho","given":"Jafari R.","non-dropping-particle":"","parse-names":false,"suffix":""}],"container-title":"International Journal of Biodiversity Science and Management","id":"ITEM-1","issue":"2","issued":{"date-parts":[["2009"]]},"page":"83-94","title":"The potentials of traditional African cultural practices in mitigating overexploitation of wildlife species and habitat loss: experience of Tanzania","type":"article-journal","volume":"5"},"uris":["http://www.mendeley.com/documents/?uuid=24cc42e7-b96a-45cf-a783-076b8c0ddbef"]}],"mendeley":{"formattedCitation":"(Kideghesho 2009)","plainTextFormattedCitation":"(Kideghesho 2009)","previouslyFormattedCitation":"(Kideghesho 2009)"},"properties":{"noteIndex":0},"schema":"https://github.com/citation-style-language/schema/raw/master/csl-citation.json"}</w:instrText>
      </w:r>
      <w:r w:rsidR="00E44BA0" w:rsidRPr="002C0E6B">
        <w:fldChar w:fldCharType="separate"/>
      </w:r>
      <w:r w:rsidR="00E44BA0" w:rsidRPr="002C0E6B">
        <w:rPr>
          <w:noProof/>
        </w:rPr>
        <w:t>(Kideghesho 2009)</w:t>
      </w:r>
      <w:r w:rsidR="00E44BA0" w:rsidRPr="002C0E6B">
        <w:fldChar w:fldCharType="end"/>
      </w:r>
      <w:r w:rsidRPr="002C0E6B">
        <w:t xml:space="preserve">. </w:t>
      </w:r>
      <w:r w:rsidR="00551A0B" w:rsidRPr="002C0E6B">
        <w:t>T</w:t>
      </w:r>
      <w:r w:rsidRPr="002C0E6B">
        <w:t>emporary or permanent banishment</w:t>
      </w:r>
      <w:r w:rsidR="00551A0B" w:rsidRPr="002C0E6B">
        <w:t xml:space="preserve"> as a penalty for law-breaking</w:t>
      </w:r>
      <w:r w:rsidRPr="002C0E6B">
        <w:t xml:space="preserve"> can encourage compliance for fear of losing communion with family and friends </w:t>
      </w:r>
      <w:r w:rsidR="002C0E6B" w:rsidRPr="002C0E6B">
        <w:fldChar w:fldCharType="begin" w:fldLock="1"/>
      </w:r>
      <w:r w:rsidR="00B2630D">
        <w:instrText>ADDIN CSL_CITATION {"citationItems":[{"id":"ITEM-1","itemData":{"author":[{"dropping-particle":"","family":"Findlay","given":"M","non-dropping-particle":"","parse-names":false,"suffix":""}],"container-title":"Revue Internationale de Droit Pénal","id":"ITEM-1","issued":{"date-parts":[["2001"]]},"title":"Community participation, and the integration within legal formalism in the South Pacific","type":"article-journal","volume":"72"},"uris":["http://www.mendeley.com/documents/?uuid=3aca89ec-44b4-467d-aeaf-903b42f4edfc"]}],"mendeley":{"formattedCitation":"(Findlay 2001)","manualFormatting":"(e.g. Findlay 2001)","plainTextFormattedCitation":"(Findlay 2001)","previouslyFormattedCitation":"(Findlay 2001)"},"properties":{"noteIndex":0},"schema":"https://github.com/citation-style-language/schema/raw/master/csl-citation.json"}</w:instrText>
      </w:r>
      <w:r w:rsidR="002C0E6B" w:rsidRPr="002C0E6B">
        <w:fldChar w:fldCharType="separate"/>
      </w:r>
      <w:r w:rsidR="002C0E6B" w:rsidRPr="002C0E6B">
        <w:rPr>
          <w:noProof/>
        </w:rPr>
        <w:t>(e.g. Findlay 2001)</w:t>
      </w:r>
      <w:r w:rsidR="002C0E6B" w:rsidRPr="002C0E6B">
        <w:fldChar w:fldCharType="end"/>
      </w:r>
      <w:r w:rsidRPr="002C0E6B">
        <w:t xml:space="preserve">. The severity of </w:t>
      </w:r>
      <w:r w:rsidR="006E6232" w:rsidRPr="002C0E6B">
        <w:t xml:space="preserve">past </w:t>
      </w:r>
      <w:r w:rsidRPr="002C0E6B">
        <w:t>customary hunting penalties shows that respect for hunting regulation was considered very important by local communities who relied on wild meat for survival</w:t>
      </w:r>
      <w:r w:rsidRPr="002C77FD">
        <w:t xml:space="preserve">. </w:t>
      </w:r>
    </w:p>
    <w:p w14:paraId="6C32F4EF" w14:textId="4AD9C175" w:rsidR="00791D9D" w:rsidRPr="0099644B" w:rsidRDefault="00791D9D" w:rsidP="00791D9D">
      <w:r w:rsidRPr="002C77FD">
        <w:t xml:space="preserve">As highlighted by </w:t>
      </w:r>
      <w:r w:rsidR="00E44BA0">
        <w:fldChar w:fldCharType="begin" w:fldLock="1"/>
      </w:r>
      <w:r w:rsidR="00E44BA0">
        <w:instrText>ADDIN CSL_CITATION {"citationItems":[{"id":"ITEM-1","itemData":{"DOI":"10.5751/ES-08047-200431","ISSN":"17083087","abstract":"©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Society","id":"ITEM-1","issue":"4","issued":{"date-parts":[["2015"]]},"title":"Evolving hunting practices in gabon: Lessons for community-based conservation interventions","type":"article-journal","volume":"20"},"uris":["http://www.mendeley.com/documents/?uuid=929a2061-e229-4516-9546-6b6fcea8cade"]}],"mendeley":{"formattedCitation":"(Walters et al. 2015)","manualFormatting":"Walters et al. (2015)","plainTextFormattedCitation":"(Walters et al. 2015)","previouslyFormattedCitation":"(Walters et al. 2015)"},"properties":{"noteIndex":0},"schema":"https://github.com/citation-style-language/schema/raw/master/csl-citation.json"}</w:instrText>
      </w:r>
      <w:r w:rsidR="00E44BA0">
        <w:fldChar w:fldCharType="separate"/>
      </w:r>
      <w:r w:rsidR="00E44BA0" w:rsidRPr="00E44BA0">
        <w:rPr>
          <w:noProof/>
        </w:rPr>
        <w:t xml:space="preserve">Walters et al. </w:t>
      </w:r>
      <w:r w:rsidR="00E44BA0">
        <w:rPr>
          <w:noProof/>
        </w:rPr>
        <w:t>(</w:t>
      </w:r>
      <w:r w:rsidR="00E44BA0" w:rsidRPr="00E44BA0">
        <w:rPr>
          <w:noProof/>
        </w:rPr>
        <w:t>2015)</w:t>
      </w:r>
      <w:r w:rsidR="00E44BA0">
        <w:fldChar w:fldCharType="end"/>
      </w:r>
      <w:r w:rsidRPr="002C77FD">
        <w:t>, communities’ customary hunting governance</w:t>
      </w:r>
      <w:r w:rsidRPr="0099644B">
        <w:t xml:space="preserve"> in Africa has </w:t>
      </w:r>
      <w:r>
        <w:t>changed</w:t>
      </w:r>
      <w:r w:rsidRPr="0099644B">
        <w:t xml:space="preserve"> significant</w:t>
      </w:r>
      <w:r>
        <w:t>ly</w:t>
      </w:r>
      <w:r w:rsidRPr="0099644B">
        <w:t xml:space="preserve"> since the pre-colonial period </w:t>
      </w:r>
      <w:r>
        <w:t xml:space="preserve">largely as a consequence of </w:t>
      </w:r>
      <w:r w:rsidRPr="0099644B">
        <w:t xml:space="preserve">colonial and early state rules, </w:t>
      </w:r>
      <w:r>
        <w:t xml:space="preserve">often </w:t>
      </w:r>
      <w:r w:rsidRPr="0099644B">
        <w:t xml:space="preserve">resulting in more open-access governance systems </w:t>
      </w:r>
      <w:r>
        <w:t>and</w:t>
      </w:r>
      <w:r w:rsidRPr="0099644B">
        <w:t xml:space="preserve"> tensions between customary and national regulation. </w:t>
      </w:r>
      <w:r w:rsidRPr="002C0E6B">
        <w:t xml:space="preserve">Although many customary governance systems were present only a few decades ago </w:t>
      </w:r>
      <w:r w:rsidR="002C0E6B" w:rsidRPr="002C0E6B">
        <w:fldChar w:fldCharType="begin" w:fldLock="1"/>
      </w:r>
      <w:r w:rsidR="00B2630D">
        <w:instrText>ADDIN CSL_CITATION {"citationItems":[{"id":"ITEM-1","itemData":{"author":[{"dropping-particle":"","family":"Findlay","given":"M","non-dropping-particle":"","parse-names":false,"suffix":""}],"container-title":"Revue Internationale de Droit Pénal","id":"ITEM-1","issued":{"date-parts":[["2001"]]},"title":"Community participation, and the integration within legal formalism in the South Pacific","type":"article-journal","volume":"72"},"uris":["http://www.mendeley.com/documents/?uuid=3aca89ec-44b4-467d-aeaf-903b42f4edfc"]}],"mendeley":{"formattedCitation":"(Findlay 2001)","plainTextFormattedCitation":"(Findlay 2001)","previouslyFormattedCitation":"(Findlay 2001)"},"properties":{"noteIndex":0},"schema":"https://github.com/citation-style-language/schema/raw/master/csl-citation.json"}</w:instrText>
      </w:r>
      <w:r w:rsidR="002C0E6B" w:rsidRPr="002C0E6B">
        <w:fldChar w:fldCharType="separate"/>
      </w:r>
      <w:r w:rsidR="002C0E6B" w:rsidRPr="002C0E6B">
        <w:rPr>
          <w:noProof/>
        </w:rPr>
        <w:t>(Findlay 2001)</w:t>
      </w:r>
      <w:r w:rsidR="002C0E6B" w:rsidRPr="002C0E6B">
        <w:fldChar w:fldCharType="end"/>
      </w:r>
      <w:r w:rsidR="002C0E6B" w:rsidRPr="002C0E6B">
        <w:t xml:space="preserve">, </w:t>
      </w:r>
      <w:r w:rsidRPr="002C0E6B">
        <w:t xml:space="preserve">these past governance arrangements operate in a very different setting today </w:t>
      </w:r>
      <w:r w:rsidR="002C0E6B" w:rsidRPr="002C0E6B">
        <w:fldChar w:fldCharType="begin" w:fldLock="1"/>
      </w:r>
      <w:r w:rsidR="00B2630D">
        <w:instrText>ADDIN CSL_CITATION {"citationItems":[{"id":"ITEM-1","itemData":{"author":[{"dropping-particle":"","family":"Cordell","given":"J","non-dropping-particle":"","parse-names":false,"suffix":""}],"container-title":"The Law of the Mother: Protecting Indigenous Peoples in Protected Areas.","editor":[{"dropping-particle":"","family":"Kemf","given":"E.","non-dropping-particle":"","parse-names":false,"suffix":""}],"id":"ITEM-1","issued":{"date-parts":[["1993"]]},"page":"61-68","publisher":"Sierra Book Clubs","publisher-place":"San Fransisco, California, USA","title":"Boundaries and bloodlines: tenure of indigenous homelands and protected areas","type":"chapter"},"uris":["http://www.mendeley.com/documents/?uuid=bb056cf4-269c-465c-bd66-fd1ad97c9086"]}],"mendeley":{"formattedCitation":"(Cordell 1993)","plainTextFormattedCitation":"(Cordell 1993)","previouslyFormattedCitation":"(Cordell 1993)"},"properties":{"noteIndex":0},"schema":"https://github.com/citation-style-language/schema/raw/master/csl-citation.json"}</w:instrText>
      </w:r>
      <w:r w:rsidR="002C0E6B" w:rsidRPr="002C0E6B">
        <w:fldChar w:fldCharType="separate"/>
      </w:r>
      <w:r w:rsidR="002C0E6B" w:rsidRPr="002C0E6B">
        <w:rPr>
          <w:noProof/>
        </w:rPr>
        <w:t>(Cordell 1993)</w:t>
      </w:r>
      <w:r w:rsidR="002C0E6B" w:rsidRPr="002C0E6B">
        <w:fldChar w:fldCharType="end"/>
      </w:r>
      <w:r w:rsidR="002C0E6B" w:rsidRPr="002C0E6B">
        <w:t xml:space="preserve">. </w:t>
      </w:r>
      <w:r w:rsidRPr="002C0E6B">
        <w:t>Currently, where people are more mobile and villages may contain people of diverse ethnic</w:t>
      </w:r>
      <w:r w:rsidRPr="0099644B">
        <w:t xml:space="preserve"> origins and religious beliefs, reliance on customary governance systems is </w:t>
      </w:r>
      <w:r>
        <w:t>variable</w:t>
      </w:r>
      <w:r w:rsidRPr="0099644B">
        <w:t xml:space="preserve"> </w:t>
      </w:r>
      <w:r w:rsidR="00E44BA0">
        <w:fldChar w:fldCharType="begin" w:fldLock="1"/>
      </w:r>
      <w:r w:rsidR="00B2630D">
        <w:instrText>ADDIN CSL_CITATION {"citationItems":[{"id":"ITEM-1","itemData":{"DOI":"http://dx.doi.org/10.1177/0961203314528062","author":[{"dropping-particle":"","family":"Angoue","given":"Claudine-Augee","non-dropping-particle":"","parse-names":false,"suffix":""}],"container-title":"L'homme et la Forêt Tropicale","editor":[{"dropping-particle":"","family":"Bahuchet","given":"S","non-dropping-particle":"","parse-names":false,"suffix":""},{"dropping-particle":"","family":"Bley","given":"D.","non-dropping-particle":"","parse-names":false,"suffix":""},{"dropping-particle":"","family":"Pagézy","given":"H","non-dropping-particle":"","parse-names":false,"suffix":""},{"dropping-particle":"","family":"Vernazza-Licht","given":"N","non-dropping-particle":"","parse-names":false,"suffix":""}],"id":"ITEM-1","issued":{"date-parts":[["1999"]]},"page":"477-485","title":"Une gestion du milieu selon les rapports historiques et économiques de l’homme à la terre dans la réserve de faune de la Lopé (Gabon)","type":"chapter"},"uris":["http://www.mendeley.com/documents/?uuid=dc9ec1d8-4562-4dd3-adc8-d8564b13bda0"]}],"mendeley":{"formattedCitation":"(Angoue 1999)","plainTextFormattedCitation":"(Angoue 1999)","previouslyFormattedCitation":"(Angoue 1999)"},"properties":{"noteIndex":0},"schema":"https://github.com/citation-style-language/schema/raw/master/csl-citation.json"}</w:instrText>
      </w:r>
      <w:r w:rsidR="00E44BA0">
        <w:fldChar w:fldCharType="separate"/>
      </w:r>
      <w:r w:rsidR="00E44BA0" w:rsidRPr="00E44BA0">
        <w:rPr>
          <w:noProof/>
        </w:rPr>
        <w:t>(Angoue 1999)</w:t>
      </w:r>
      <w:r w:rsidR="00E44BA0">
        <w:fldChar w:fldCharType="end"/>
      </w:r>
      <w:r w:rsidRPr="0099644B">
        <w:t xml:space="preserve">. In situations where people have recently migrated onto already populated lands, often because of conflict or economic stress, establishing new systems based on customary governance are extremely difficult </w:t>
      </w:r>
      <w:r w:rsidR="00E44BA0">
        <w:fldChar w:fldCharType="begin" w:fldLock="1"/>
      </w:r>
      <w:r w:rsidR="00E44BA0">
        <w:instrText>ADDIN CSL_CITATION {"citationItems":[{"id":"ITEM-1","itemData":{"ISBN":"0099002280","ISSN":"00189235","author":[{"dropping-particle":"","family":"Shambaugh","given":"J","non-dropping-particle":"","parse-names":false,"suffix":""},{"dropping-particle":"","family":"Oglethorpe","given":"J","non-dropping-particle":"","parse-names":false,"suffix":""},{"dropping-particle":"","family":"Ham","given":"R","non-dropping-particle":"","parse-names":false,"suffix":""},{"dropping-particle":"","family":"Tognetti","given":"S","non-dropping-particle":"","parse-names":false,"suffix":""}],"id":"ITEM-1","issue":"1","issued":{"date-parts":[["2001"]]},"number-of-pages":"94","publisher-place":"Biodiversity Support Program, Washington DC, USA","title":"The trampled grass. Mitigating the impacts of armed conflict on the environment","type":"report","volume":"34"},"uris":["http://www.mendeley.com/documents/?uuid=a8e605de-a78b-4f01-a4df-947978518e7b"]},{"id":"ITEM-2","itemData":{"author":[{"dropping-particle":"","family":"Jambiya","given":"J","non-dropping-particle":"","parse-names":false,"suffix":""},{"dropping-particle":"","family":"Milledge","given":"S","non-dropping-particle":"","parse-names":false,"suffix":""},{"dropping-particle":"","family":"Mtango","given":"N","non-dropping-particle":"","parse-names":false,"suffix":""}],"id":"ITEM-2","issued":{"date-parts":[["2007"]]},"publisher-place":"TRAFFIC East-southern Africa, Dar Es Salaam, Tanzania","title":"Night time spinach: conservation and livelihood implications of wild meat use in refugee situations in north-western Tanzania","type":"report"},"uris":["http://www.mendeley.com/documents/?uuid=534e5a34-23d1-4af2-9326-bd6a499dd194"]}],"mendeley":{"formattedCitation":"(Shambaugh et al. 2001; Jambiya et al. 2007)","plainTextFormattedCitation":"(Shambaugh et al. 2001; Jambiya et al. 2007)","previouslyFormattedCitation":"(Shambaugh et al. 2001; Jambiya et al. 2007)"},"properties":{"noteIndex":0},"schema":"https://github.com/citation-style-language/schema/raw/master/csl-citation.json"}</w:instrText>
      </w:r>
      <w:r w:rsidR="00E44BA0">
        <w:fldChar w:fldCharType="separate"/>
      </w:r>
      <w:r w:rsidR="00E44BA0" w:rsidRPr="00E44BA0">
        <w:rPr>
          <w:noProof/>
        </w:rPr>
        <w:t>(Shambaugh et al. 2001; Jambiya et al. 2007)</w:t>
      </w:r>
      <w:r w:rsidR="00E44BA0">
        <w:fldChar w:fldCharType="end"/>
      </w:r>
      <w:r w:rsidRPr="0099644B">
        <w:t xml:space="preserve">. </w:t>
      </w:r>
    </w:p>
    <w:p w14:paraId="55188BC7" w14:textId="6ADB5F80" w:rsidR="00791D9D" w:rsidRPr="0099644B" w:rsidRDefault="00791D9D" w:rsidP="00791D9D">
      <w:r w:rsidRPr="0099644B">
        <w:t xml:space="preserve">An understanding of the history of governance of natural resource use </w:t>
      </w:r>
      <w:r w:rsidR="00615304">
        <w:t>can</w:t>
      </w:r>
      <w:r w:rsidRPr="0099644B">
        <w:t xml:space="preserve"> help </w:t>
      </w:r>
      <w:r>
        <w:t xml:space="preserve">in </w:t>
      </w:r>
      <w:r w:rsidRPr="0099644B">
        <w:t>design</w:t>
      </w:r>
      <w:r>
        <w:t>ing</w:t>
      </w:r>
      <w:r w:rsidRPr="0099644B">
        <w:t xml:space="preserve"> systems for sustainable management that do not clash with existing </w:t>
      </w:r>
      <w:r>
        <w:t>or</w:t>
      </w:r>
      <w:r w:rsidRPr="0099644B">
        <w:t xml:space="preserve"> remnant governance structures</w:t>
      </w:r>
      <w:r w:rsidR="002C77FD">
        <w:t xml:space="preserve"> </w:t>
      </w:r>
      <w:r w:rsidR="00E44BA0">
        <w:fldChar w:fldCharType="begin" w:fldLock="1"/>
      </w:r>
      <w:r w:rsidR="00B55AAD">
        <w:instrText>ADDIN CSL_CITATION {"citationItems":[{"id":"ITEM-1","itemData":{"DOI":"10.5751/ES-08047-200431","ISSN":"17083087","abstract":"©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Society","id":"ITEM-1","issue":"4","issued":{"date-parts":[["2015"]]},"title":"Evolving hunting practices in gabon: Lessons for community-based conservation interventions","type":"article-journal","volume":"20"},"uris":["http://www.mendeley.com/documents/?uuid=929a2061-e229-4516-9546-6b6fcea8cade"]}],"mendeley":{"formattedCitation":"(Walters et al. 2015)","plainTextFormattedCitation":"(Walters et al. 2015)","previouslyFormattedCitation":"(Walters et al. 2015)"},"properties":{"noteIndex":0},"schema":"https://github.com/citation-style-language/schema/raw/master/csl-citation.json"}</w:instrText>
      </w:r>
      <w:r w:rsidR="00E44BA0">
        <w:fldChar w:fldCharType="separate"/>
      </w:r>
      <w:r w:rsidR="00E44BA0" w:rsidRPr="00E44BA0">
        <w:rPr>
          <w:noProof/>
        </w:rPr>
        <w:t>(Walters et al. 2015)</w:t>
      </w:r>
      <w:r w:rsidR="00E44BA0">
        <w:fldChar w:fldCharType="end"/>
      </w:r>
      <w:r w:rsidRPr="0099644B">
        <w:t>. For instance, a project aiming to regulate hunting through the use of spatial hunting zones would need an understanding of how the forest was, and the extent to which it still is, divided and divisions enforced by the local community</w:t>
      </w:r>
      <w:r w:rsidR="002C77FD">
        <w:t xml:space="preserve">. </w:t>
      </w:r>
      <w:r w:rsidRPr="0099644B">
        <w:t xml:space="preserve">Where </w:t>
      </w:r>
      <w:r w:rsidR="0014647E">
        <w:t>cu</w:t>
      </w:r>
      <w:r w:rsidR="009E4C7B">
        <w:t>s</w:t>
      </w:r>
      <w:r w:rsidR="0014647E">
        <w:t>tomary</w:t>
      </w:r>
      <w:r w:rsidRPr="0099644B">
        <w:t xml:space="preserve"> systems involve complex spiritual</w:t>
      </w:r>
      <w:r w:rsidR="002C77FD">
        <w:t>/magical</w:t>
      </w:r>
      <w:r w:rsidRPr="0099644B">
        <w:t xml:space="preserve"> beliefs, </w:t>
      </w:r>
      <w:r w:rsidR="002C77FD">
        <w:t xml:space="preserve">the </w:t>
      </w:r>
      <w:r w:rsidRPr="0099644B">
        <w:t>potential</w:t>
      </w:r>
      <w:r w:rsidR="0014647E">
        <w:t xml:space="preserve"> unintended</w:t>
      </w:r>
      <w:r w:rsidRPr="0099644B">
        <w:t xml:space="preserve"> consequences</w:t>
      </w:r>
      <w:r w:rsidR="0014647E">
        <w:t xml:space="preserve"> </w:t>
      </w:r>
      <w:r w:rsidRPr="0099644B">
        <w:t xml:space="preserve">of </w:t>
      </w:r>
      <w:r w:rsidR="002C77FD" w:rsidRPr="0099644B">
        <w:t>strengthening o</w:t>
      </w:r>
      <w:r w:rsidR="002C77FD">
        <w:t xml:space="preserve">r </w:t>
      </w:r>
      <w:r w:rsidRPr="0099644B">
        <w:t xml:space="preserve">re-establishing </w:t>
      </w:r>
      <w:r w:rsidR="0014647E">
        <w:t>these systems</w:t>
      </w:r>
      <w:r w:rsidRPr="0099644B">
        <w:t xml:space="preserve"> need to be</w:t>
      </w:r>
      <w:r w:rsidR="002C77FD">
        <w:t xml:space="preserve"> </w:t>
      </w:r>
      <w:r w:rsidRPr="0099644B">
        <w:t>considered carefully</w:t>
      </w:r>
      <w:r w:rsidR="002C77FD">
        <w:t xml:space="preserve"> </w:t>
      </w:r>
      <w:r w:rsidR="00B55AAD">
        <w:fldChar w:fldCharType="begin" w:fldLock="1"/>
      </w:r>
      <w:r w:rsidR="00A11C8C">
        <w:instrText>ADDIN CSL_CITATION {"citationItems":[{"id":"ITEM-1","itemData":{"DOI":"10.5751/ES-08047-200431","ISSN":"17083087","abstract":"©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Society","id":"ITEM-1","issue":"4","issued":{"date-parts":[["2015"]]},"title":"Evolving hunting practices in gabon: Lessons for community-based conservation interventions","type":"article-journal","volume":"20"},"uris":["http://www.mendeley.com/documents/?uuid=929a2061-e229-4516-9546-6b6fcea8cade"]},{"id":"ITEM-2","itemData":{"DOI":"10.1017/S003060531700059X","ISSN":"13653008","abstract":"There is a broad set of human beliefs, attitudes and behaviours around the issue of magical animals, referring to both mythical animals not recognized by science and extant animals that are recognized by science but have magical properties. This is a broad issue ranging from spiritual beliefs around mythical animals living in Malagasy forests, to cultural heritage associated with the Loch Ness Monster in Scotland. Beliefs and behaviours around magical animals can have positive and negative impacts on biodiversity conservation goals. Yet, so far, the discipline of conservation biology has not adequately considered magical animals, neglecting to account for the broader knowledge from outside the natural sciences on this issue, and taking a narrow, utilitarian approach to how magical animals should be managed, without necessarily considering the broader impacts on conservation goals or ethics. Here we explore how magical animals can influence conservation goals, how conservation biology and practice has thought about magical animals, and some of the limitations of current approaches, particularly the failure to consider magical animals as part of wider systems of belief and culture. We argue that magical animals and their implications for conservation merit wider consideration.","author":[{"dropping-particle":"","family":"Holmes","given":"George","non-dropping-particle":"","parse-names":false,"suffix":""},{"dropping-particle":"","family":"Smith","given":"Thomas Aneurin","non-dropping-particle":"","parse-names":false,"suffix":""},{"dropping-particle":"","family":"Ward","given":"Caroline","non-dropping-particle":"","parse-names":false,"suffix":""}],"container-title":"Oryx","id":"ITEM-2","issue":"2","issued":{"date-parts":[["2018"]]},"page":"231-239","title":"Fantastic beasts and why to conserve them: Animals, magic and biodiversity conservation","type":"article-journal","volume":"52"},"uris":["http://www.mendeley.com/documents/?uuid=bfffa575-6885-46f8-8b70-ba71d17803f0"]}],"mendeley":{"formattedCitation":"(Walters et al. 2015; Holmes et al. 2018)","plainTextFormattedCitation":"(Walters et al. 2015; Holmes et al. 2018)","previouslyFormattedCitation":"(Walters et al. 2015; Holmes et al. 2018)"},"properties":{"noteIndex":0},"schema":"https://github.com/citation-style-language/schema/raw/master/csl-citation.json"}</w:instrText>
      </w:r>
      <w:r w:rsidR="00B55AAD">
        <w:fldChar w:fldCharType="separate"/>
      </w:r>
      <w:r w:rsidR="00B55AAD" w:rsidRPr="00B55AAD">
        <w:rPr>
          <w:noProof/>
        </w:rPr>
        <w:t>(Walters et al. 2015; Holmes et al. 2018)</w:t>
      </w:r>
      <w:r w:rsidR="00B55AAD">
        <w:fldChar w:fldCharType="end"/>
      </w:r>
      <w:r w:rsidRPr="0099644B">
        <w:t>.</w:t>
      </w:r>
    </w:p>
    <w:p w14:paraId="28D83C66" w14:textId="77777777" w:rsidR="000A7365" w:rsidRPr="004904D8" w:rsidRDefault="000A7365" w:rsidP="00DF57F3">
      <w:pPr>
        <w:pStyle w:val="Heading2"/>
      </w:pPr>
      <w:bookmarkStart w:id="176" w:name="_Toc529390366"/>
      <w:r w:rsidRPr="004904D8">
        <w:lastRenderedPageBreak/>
        <w:t xml:space="preserve">Suggested steps to improve </w:t>
      </w:r>
      <w:bookmarkEnd w:id="174"/>
      <w:r>
        <w:t>the enabling environment for the wild meat sector</w:t>
      </w:r>
      <w:bookmarkEnd w:id="175"/>
      <w:bookmarkEnd w:id="176"/>
      <w:r w:rsidRPr="004904D8">
        <w:t xml:space="preserve"> </w:t>
      </w:r>
    </w:p>
    <w:p w14:paraId="0A91D20D" w14:textId="77777777" w:rsidR="000A7365" w:rsidRPr="00785A38" w:rsidRDefault="000A7365" w:rsidP="001C1D6E">
      <w:pPr>
        <w:pStyle w:val="Heading3"/>
      </w:pPr>
      <w:r w:rsidRPr="00785A38">
        <w:t>Evidence-based policy-making</w:t>
      </w:r>
      <w:r>
        <w:t xml:space="preserve"> and legislative reform</w:t>
      </w:r>
    </w:p>
    <w:p w14:paraId="1733EAA8" w14:textId="77777777" w:rsidR="000A7365" w:rsidRDefault="000A7365" w:rsidP="00920854">
      <w:pPr>
        <w:jc w:val="both"/>
        <w:rPr>
          <w:bCs/>
          <w:iCs/>
        </w:rPr>
      </w:pPr>
      <w:r w:rsidRPr="0070404D">
        <w:rPr>
          <w:bCs/>
          <w:iCs/>
        </w:rPr>
        <w:t>To govern hunting in a sustainable manner, most tropical</w:t>
      </w:r>
      <w:r>
        <w:rPr>
          <w:bCs/>
          <w:iCs/>
        </w:rPr>
        <w:t xml:space="preserve"> and sub-tropical</w:t>
      </w:r>
      <w:r w:rsidRPr="0070404D">
        <w:rPr>
          <w:bCs/>
          <w:iCs/>
        </w:rPr>
        <w:t xml:space="preserve"> countries need to redesign hunting legislation. Ideally, they </w:t>
      </w:r>
      <w:r>
        <w:rPr>
          <w:bCs/>
          <w:iCs/>
        </w:rPr>
        <w:t>would use</w:t>
      </w:r>
      <w:r w:rsidRPr="004904D8">
        <w:rPr>
          <w:bCs/>
          <w:iCs/>
        </w:rPr>
        <w:t xml:space="preserve"> an evidence-based approach </w:t>
      </w:r>
      <w:r>
        <w:rPr>
          <w:bCs/>
          <w:iCs/>
        </w:rPr>
        <w:t xml:space="preserve">to make their </w:t>
      </w:r>
      <w:r w:rsidRPr="004904D8">
        <w:rPr>
          <w:bCs/>
          <w:iCs/>
        </w:rPr>
        <w:t>polic</w:t>
      </w:r>
      <w:r>
        <w:rPr>
          <w:bCs/>
          <w:iCs/>
        </w:rPr>
        <w:t>ies.</w:t>
      </w:r>
      <w:r w:rsidRPr="004904D8">
        <w:rPr>
          <w:bCs/>
          <w:iCs/>
        </w:rPr>
        <w:t xml:space="preserve"> </w:t>
      </w:r>
      <w:r>
        <w:rPr>
          <w:bCs/>
          <w:iCs/>
        </w:rPr>
        <w:t>This approach would</w:t>
      </w:r>
      <w:r w:rsidRPr="004904D8">
        <w:rPr>
          <w:bCs/>
          <w:iCs/>
        </w:rPr>
        <w:t xml:space="preserve"> consider </w:t>
      </w:r>
      <w:r>
        <w:rPr>
          <w:bCs/>
          <w:iCs/>
        </w:rPr>
        <w:t>empirical data and projections on local food security and livelihood needs, as well as the status and</w:t>
      </w:r>
      <w:r w:rsidRPr="004904D8">
        <w:rPr>
          <w:bCs/>
          <w:iCs/>
        </w:rPr>
        <w:t xml:space="preserve"> productivity of wildlife</w:t>
      </w:r>
      <w:r>
        <w:rPr>
          <w:bCs/>
          <w:iCs/>
        </w:rPr>
        <w:t xml:space="preserve">, in order to determine the need for, and possibility of, </w:t>
      </w:r>
      <w:r w:rsidRPr="004E6C15">
        <w:rPr>
          <w:bCs/>
          <w:iCs/>
        </w:rPr>
        <w:t>sustainable usage. Without such evidence, policies may be misguided and based on harvests that are impossible to sustain.</w:t>
      </w:r>
    </w:p>
    <w:p w14:paraId="3DBDEFC5" w14:textId="77777777" w:rsidR="000A7365" w:rsidRPr="00710BDF" w:rsidRDefault="000A7365" w:rsidP="00920854">
      <w:pPr>
        <w:jc w:val="both"/>
      </w:pPr>
      <w:r>
        <w:t xml:space="preserve">The creation of </w:t>
      </w:r>
      <w:r w:rsidRPr="00320E0C">
        <w:rPr>
          <w:color w:val="000000"/>
          <w:kern w:val="22"/>
          <w:szCs w:val="22"/>
        </w:rPr>
        <w:t>regional and national monitoring frameworks for wild meat to inform policy and legal interventions</w:t>
      </w:r>
      <w:r>
        <w:rPr>
          <w:color w:val="000000"/>
          <w:kern w:val="22"/>
          <w:szCs w:val="22"/>
        </w:rPr>
        <w:t xml:space="preserve"> are crucial steps in  recognising the importance of existing wild meat use and trade, and designing relevant interventions to manage it sustainably. </w:t>
      </w:r>
    </w:p>
    <w:p w14:paraId="3AA43002" w14:textId="77777777" w:rsidR="000A7365" w:rsidRPr="006F5EBC" w:rsidRDefault="000A7365" w:rsidP="00920854">
      <w:pPr>
        <w:jc w:val="both"/>
        <w:rPr>
          <w:bCs/>
          <w:iCs/>
        </w:rPr>
      </w:pPr>
      <w:r w:rsidRPr="003E3238">
        <w:t>Good governance looks to the futur</w:t>
      </w:r>
      <w:r>
        <w:t>e</w:t>
      </w:r>
      <w:r w:rsidRPr="003E3238">
        <w:t>, and allows for adaptive management</w:t>
      </w:r>
      <w:r>
        <w:t>;</w:t>
      </w:r>
      <w:r w:rsidRPr="003E3238">
        <w:t xml:space="preserve"> accepting that laws designed in one time or space may become obsolete under future conditions</w:t>
      </w:r>
      <w:r>
        <w:t xml:space="preserve">. </w:t>
      </w:r>
      <w:r w:rsidRPr="00EE2428">
        <w:rPr>
          <w:bCs/>
          <w:iCs/>
        </w:rPr>
        <w:t xml:space="preserve">The true sustainability of hunting offtakes can only be measured over several generations of the system, as it must consider natural variation in both predator and prey populations, perhaps caused by </w:t>
      </w:r>
      <w:r w:rsidRPr="0064175F">
        <w:rPr>
          <w:bCs/>
          <w:iCs/>
        </w:rPr>
        <w:t>famine, disease, climate change or</w:t>
      </w:r>
      <w:r w:rsidRPr="006F5EBC">
        <w:rPr>
          <w:bCs/>
          <w:iCs/>
        </w:rPr>
        <w:t xml:space="preserve"> genetic factors. </w:t>
      </w:r>
    </w:p>
    <w:p w14:paraId="47D29597" w14:textId="77777777" w:rsidR="000A7365" w:rsidRPr="0070404D" w:rsidRDefault="000A7365" w:rsidP="00920854">
      <w:pPr>
        <w:jc w:val="both"/>
      </w:pPr>
      <w:r w:rsidRPr="0070404D">
        <w:rPr>
          <w:bCs/>
          <w:iCs/>
        </w:rPr>
        <w:t>To make policy decisions</w:t>
      </w:r>
      <w:r>
        <w:rPr>
          <w:bCs/>
          <w:iCs/>
        </w:rPr>
        <w:t>,</w:t>
      </w:r>
      <w:r w:rsidRPr="0070404D">
        <w:rPr>
          <w:bCs/>
          <w:iCs/>
        </w:rPr>
        <w:t xml:space="preserve"> </w:t>
      </w:r>
      <w:r>
        <w:rPr>
          <w:bCs/>
          <w:iCs/>
        </w:rPr>
        <w:t xml:space="preserve">and any resulting legislation, </w:t>
      </w:r>
      <w:r w:rsidRPr="0070404D">
        <w:rPr>
          <w:bCs/>
          <w:iCs/>
        </w:rPr>
        <w:t>evidence-based, countries</w:t>
      </w:r>
      <w:r>
        <w:rPr>
          <w:bCs/>
          <w:iCs/>
        </w:rPr>
        <w:t xml:space="preserve"> and regions</w:t>
      </w:r>
      <w:r w:rsidRPr="0070404D">
        <w:rPr>
          <w:bCs/>
          <w:iCs/>
        </w:rPr>
        <w:t xml:space="preserve"> require standardised, robust data, ideally kept over long periods.</w:t>
      </w:r>
      <w:r>
        <w:rPr>
          <w:bCs/>
          <w:iCs/>
        </w:rPr>
        <w:t xml:space="preserve"> The data collection outlined in points </w:t>
      </w:r>
      <w:r w:rsidRPr="0070404D">
        <w:rPr>
          <w:bCs/>
          <w:iCs/>
        </w:rPr>
        <w:t xml:space="preserve">i) to iv) </w:t>
      </w:r>
      <w:r>
        <w:rPr>
          <w:bCs/>
          <w:iCs/>
        </w:rPr>
        <w:t>below are suggested as the basis for a</w:t>
      </w:r>
      <w:r w:rsidRPr="0070404D">
        <w:rPr>
          <w:bCs/>
          <w:iCs/>
        </w:rPr>
        <w:t xml:space="preserve"> solid analysis of current sustainability. </w:t>
      </w:r>
      <w:r>
        <w:rPr>
          <w:bCs/>
          <w:iCs/>
        </w:rPr>
        <w:t xml:space="preserve">The collection of these databases and </w:t>
      </w:r>
      <w:r>
        <w:t>regular</w:t>
      </w:r>
      <w:r w:rsidRPr="0070404D">
        <w:t xml:space="preserve"> analyses should be considered in national resource assessments and major policy planning documents, such as national development and poverty reduction strategies.</w:t>
      </w:r>
      <w:r>
        <w:t xml:space="preserve"> </w:t>
      </w:r>
    </w:p>
    <w:p w14:paraId="74C1AC07" w14:textId="75637AD0" w:rsidR="000A7365" w:rsidRPr="004904D8" w:rsidRDefault="000A7365" w:rsidP="000A7365">
      <w:pPr>
        <w:numPr>
          <w:ilvl w:val="6"/>
          <w:numId w:val="10"/>
        </w:numPr>
        <w:spacing w:before="240"/>
        <w:ind w:left="540" w:hanging="450"/>
        <w:rPr>
          <w:bCs/>
          <w:iCs/>
        </w:rPr>
      </w:pPr>
      <w:r w:rsidRPr="0070404D">
        <w:rPr>
          <w:bCs/>
          <w:iCs/>
        </w:rPr>
        <w:t xml:space="preserve">Standardised robust figures </w:t>
      </w:r>
      <w:r>
        <w:rPr>
          <w:bCs/>
          <w:iCs/>
        </w:rPr>
        <w:t xml:space="preserve">collected through </w:t>
      </w:r>
      <w:r w:rsidRPr="0070404D">
        <w:rPr>
          <w:bCs/>
          <w:iCs/>
        </w:rPr>
        <w:t>field surveys</w:t>
      </w:r>
      <w:r>
        <w:rPr>
          <w:bCs/>
          <w:iCs/>
        </w:rPr>
        <w:t xml:space="preserve"> and</w:t>
      </w:r>
      <w:r w:rsidRPr="0070404D">
        <w:rPr>
          <w:bCs/>
          <w:iCs/>
        </w:rPr>
        <w:t xml:space="preserve"> </w:t>
      </w:r>
      <w:r>
        <w:rPr>
          <w:bCs/>
          <w:iCs/>
        </w:rPr>
        <w:t xml:space="preserve">appropriate </w:t>
      </w:r>
      <w:r w:rsidRPr="0070404D">
        <w:rPr>
          <w:bCs/>
          <w:iCs/>
        </w:rPr>
        <w:t>analysis on the state of the wildlife populations to be hunted</w:t>
      </w:r>
      <w:r>
        <w:rPr>
          <w:bCs/>
          <w:iCs/>
        </w:rPr>
        <w:t>, and the levels of current hunting offtake</w:t>
      </w:r>
      <w:r w:rsidRPr="0070404D">
        <w:rPr>
          <w:bCs/>
          <w:iCs/>
        </w:rPr>
        <w:t xml:space="preserve">. Wildlife </w:t>
      </w:r>
      <w:r>
        <w:rPr>
          <w:bCs/>
          <w:iCs/>
        </w:rPr>
        <w:t>and hunting surveys</w:t>
      </w:r>
      <w:r w:rsidRPr="004904D8">
        <w:rPr>
          <w:bCs/>
          <w:iCs/>
        </w:rPr>
        <w:t xml:space="preserve"> should be conducted with tested methodologies of known precision and accuracy</w:t>
      </w:r>
      <w:r>
        <w:rPr>
          <w:bCs/>
          <w:iCs/>
        </w:rPr>
        <w:t xml:space="preserve"> and</w:t>
      </w:r>
      <w:r w:rsidRPr="003E3238">
        <w:rPr>
          <w:bCs/>
          <w:iCs/>
        </w:rPr>
        <w:t xml:space="preserve"> contributed to nation</w:t>
      </w:r>
      <w:r w:rsidRPr="00EE2428">
        <w:rPr>
          <w:bCs/>
          <w:iCs/>
        </w:rPr>
        <w:t xml:space="preserve">al </w:t>
      </w:r>
      <w:r>
        <w:rPr>
          <w:bCs/>
          <w:iCs/>
        </w:rPr>
        <w:t xml:space="preserve">and/or international </w:t>
      </w:r>
      <w:r w:rsidRPr="00EE2428">
        <w:rPr>
          <w:bCs/>
          <w:iCs/>
        </w:rPr>
        <w:t xml:space="preserve">databases such as those </w:t>
      </w:r>
      <w:r w:rsidRPr="0064175F">
        <w:rPr>
          <w:bCs/>
          <w:iCs/>
        </w:rPr>
        <w:t>provided by the</w:t>
      </w:r>
      <w:r>
        <w:rPr>
          <w:bCs/>
          <w:iCs/>
        </w:rPr>
        <w:t xml:space="preserve"> World Resources Institute (WRI) for agricultural or mineral resources</w:t>
      </w:r>
      <w:r w:rsidRPr="0064175F">
        <w:rPr>
          <w:bCs/>
          <w:iCs/>
        </w:rPr>
        <w:t>. I</w:t>
      </w:r>
      <w:r w:rsidRPr="006F5EBC">
        <w:rPr>
          <w:bCs/>
          <w:iCs/>
        </w:rPr>
        <w:t>dea</w:t>
      </w:r>
      <w:r w:rsidRPr="0070404D">
        <w:rPr>
          <w:bCs/>
          <w:iCs/>
        </w:rPr>
        <w:t>lly trends in wildlife populations</w:t>
      </w:r>
      <w:r>
        <w:rPr>
          <w:bCs/>
          <w:iCs/>
        </w:rPr>
        <w:t xml:space="preserve"> and hunting offtakes</w:t>
      </w:r>
      <w:r w:rsidRPr="0070404D">
        <w:rPr>
          <w:bCs/>
          <w:iCs/>
        </w:rPr>
        <w:t xml:space="preserve"> could be derived from these and projected to at least a 10-year horizon</w:t>
      </w:r>
      <w:r>
        <w:rPr>
          <w:bCs/>
          <w:iCs/>
        </w:rPr>
        <w:t xml:space="preserve">. Such data would underpin applications for CITES listings, or </w:t>
      </w:r>
      <w:hyperlink r:id="rId113" w:history="1">
        <w:r w:rsidRPr="007A1CAC">
          <w:rPr>
            <w:rStyle w:val="Hyperlink"/>
            <w:bCs/>
            <w:iCs/>
          </w:rPr>
          <w:t>non-detriment findings</w:t>
        </w:r>
      </w:hyperlink>
      <w:r>
        <w:rPr>
          <w:bCs/>
          <w:iCs/>
        </w:rPr>
        <w:t xml:space="preserve">. </w:t>
      </w:r>
    </w:p>
    <w:p w14:paraId="44F17125" w14:textId="77777777" w:rsidR="000A7365" w:rsidRPr="003E3238" w:rsidRDefault="000A7365" w:rsidP="000A7365">
      <w:pPr>
        <w:numPr>
          <w:ilvl w:val="6"/>
          <w:numId w:val="10"/>
        </w:numPr>
        <w:spacing w:before="240"/>
        <w:ind w:left="540" w:hanging="450"/>
        <w:rPr>
          <w:bCs/>
          <w:iCs/>
        </w:rPr>
      </w:pPr>
      <w:r w:rsidRPr="004904D8">
        <w:rPr>
          <w:bCs/>
          <w:iCs/>
        </w:rPr>
        <w:t>Standardised robust</w:t>
      </w:r>
      <w:r w:rsidRPr="005512D2">
        <w:rPr>
          <w:bCs/>
          <w:iCs/>
        </w:rPr>
        <w:t xml:space="preserve"> figures</w:t>
      </w:r>
      <w:r>
        <w:rPr>
          <w:bCs/>
          <w:iCs/>
        </w:rPr>
        <w:t xml:space="preserve"> </w:t>
      </w:r>
      <w:r w:rsidRPr="005512D2">
        <w:rPr>
          <w:bCs/>
          <w:iCs/>
        </w:rPr>
        <w:t>for human population distribution and demography and socio-economic status</w:t>
      </w:r>
      <w:r w:rsidRPr="00703518">
        <w:rPr>
          <w:bCs/>
          <w:iCs/>
        </w:rPr>
        <w:t xml:space="preserve"> </w:t>
      </w:r>
      <w:r>
        <w:rPr>
          <w:bCs/>
          <w:iCs/>
        </w:rPr>
        <w:t>collected and analysed using published methods</w:t>
      </w:r>
      <w:r w:rsidRPr="005512D2">
        <w:rPr>
          <w:bCs/>
          <w:iCs/>
        </w:rPr>
        <w:t>. I</w:t>
      </w:r>
      <w:r w:rsidRPr="003E3238">
        <w:rPr>
          <w:bCs/>
          <w:iCs/>
        </w:rPr>
        <w:t xml:space="preserve">deally this would also include projections to at least 10-year horizons. </w:t>
      </w:r>
      <w:r>
        <w:rPr>
          <w:bCs/>
          <w:iCs/>
        </w:rPr>
        <w:t xml:space="preserve">Although such data are collated by the World Bank, precision is rather low for the key rural communities most affected by policies for subsistence sustainability. </w:t>
      </w:r>
    </w:p>
    <w:p w14:paraId="7D8E61CB" w14:textId="77777777" w:rsidR="000A7365" w:rsidRPr="0070404D" w:rsidRDefault="000A7365" w:rsidP="000A7365">
      <w:pPr>
        <w:numPr>
          <w:ilvl w:val="6"/>
          <w:numId w:val="10"/>
        </w:numPr>
        <w:spacing w:before="240"/>
        <w:ind w:left="540" w:hanging="450"/>
        <w:rPr>
          <w:bCs/>
          <w:iCs/>
        </w:rPr>
      </w:pPr>
      <w:r w:rsidRPr="00EE2428">
        <w:rPr>
          <w:bCs/>
          <w:iCs/>
        </w:rPr>
        <w:t xml:space="preserve"> Standardized robust</w:t>
      </w:r>
      <w:r w:rsidRPr="0064175F">
        <w:rPr>
          <w:bCs/>
          <w:iCs/>
        </w:rPr>
        <w:t xml:space="preserve"> figures for human </w:t>
      </w:r>
      <w:r>
        <w:rPr>
          <w:bCs/>
          <w:iCs/>
        </w:rPr>
        <w:t xml:space="preserve">livelihoods and nutrition, </w:t>
      </w:r>
      <w:r w:rsidRPr="006F5EBC">
        <w:rPr>
          <w:bCs/>
          <w:iCs/>
        </w:rPr>
        <w:t>including wild meat</w:t>
      </w:r>
      <w:r w:rsidRPr="0070404D">
        <w:rPr>
          <w:bCs/>
          <w:iCs/>
        </w:rPr>
        <w:t xml:space="preserve"> consumption and trade incomes. For these to be reliable, standard methodologies for recording consumption into national statistics must be tested and their precision assessed (at the individual or household level). To be informative, surveys must cover the full range of socio-economic situations in the country and have a full geographic coverage.</w:t>
      </w:r>
    </w:p>
    <w:p w14:paraId="5A4AA247" w14:textId="77777777" w:rsidR="000A7365" w:rsidRDefault="000A7365" w:rsidP="000A7365">
      <w:pPr>
        <w:numPr>
          <w:ilvl w:val="6"/>
          <w:numId w:val="10"/>
        </w:numPr>
        <w:spacing w:before="240"/>
        <w:ind w:left="540" w:hanging="450"/>
        <w:rPr>
          <w:bCs/>
          <w:iCs/>
        </w:rPr>
      </w:pPr>
      <w:r w:rsidRPr="0070404D">
        <w:rPr>
          <w:bCs/>
          <w:iCs/>
        </w:rPr>
        <w:lastRenderedPageBreak/>
        <w:t xml:space="preserve">Standardized robust </w:t>
      </w:r>
      <w:r w:rsidRPr="0064175F">
        <w:rPr>
          <w:bCs/>
          <w:iCs/>
        </w:rPr>
        <w:t>figures</w:t>
      </w:r>
      <w:r w:rsidRPr="0070404D">
        <w:rPr>
          <w:bCs/>
          <w:iCs/>
        </w:rPr>
        <w:t xml:space="preserve"> for the macro-economic context of the country, particularly status and trends in the Consumer Price Index</w:t>
      </w:r>
      <w:r>
        <w:rPr>
          <w:bCs/>
          <w:iCs/>
        </w:rPr>
        <w:t xml:space="preserve"> (CPI)</w:t>
      </w:r>
      <w:r w:rsidRPr="0070404D">
        <w:rPr>
          <w:bCs/>
          <w:iCs/>
        </w:rPr>
        <w:t>, foreign exchange, imports and exports, agricultural trends, investment flows</w:t>
      </w:r>
      <w:r>
        <w:rPr>
          <w:bCs/>
          <w:iCs/>
        </w:rPr>
        <w:t xml:space="preserve">. These can </w:t>
      </w:r>
      <w:r w:rsidRPr="0070404D">
        <w:rPr>
          <w:bCs/>
          <w:iCs/>
        </w:rPr>
        <w:t>provide projections as to the likely availability and price of alternatives to wild meat on a 10</w:t>
      </w:r>
      <w:r>
        <w:rPr>
          <w:bCs/>
          <w:iCs/>
        </w:rPr>
        <w:t xml:space="preserve">-year </w:t>
      </w:r>
      <w:r w:rsidRPr="0070404D">
        <w:rPr>
          <w:bCs/>
          <w:iCs/>
        </w:rPr>
        <w:t>horizon.</w:t>
      </w:r>
    </w:p>
    <w:p w14:paraId="7C406F9B" w14:textId="77777777" w:rsidR="000A7365" w:rsidRPr="00785A38" w:rsidRDefault="000A7365" w:rsidP="00920854">
      <w:pPr>
        <w:jc w:val="both"/>
      </w:pPr>
      <w:r w:rsidRPr="0070404D">
        <w:t>Countries where citizens currently rely on wild meat for food security</w:t>
      </w:r>
      <w:r w:rsidRPr="004904D8">
        <w:t xml:space="preserve"> are </w:t>
      </w:r>
      <w:r>
        <w:t xml:space="preserve">particularly </w:t>
      </w:r>
      <w:r w:rsidRPr="00785A38">
        <w:t>encouraged to set up the collection and archiving of the necessary evidence at national level</w:t>
      </w:r>
      <w:r>
        <w:t xml:space="preserve">. </w:t>
      </w:r>
      <w:r w:rsidRPr="00785A38">
        <w:t xml:space="preserve"> </w:t>
      </w:r>
      <w:r>
        <w:t>This evidence would be used</w:t>
      </w:r>
      <w:r w:rsidRPr="00785A38">
        <w:t xml:space="preserve"> to review</w:t>
      </w:r>
      <w:r>
        <w:t xml:space="preserve"> and revise</w:t>
      </w:r>
      <w:r w:rsidRPr="00785A38">
        <w:t xml:space="preserve"> existing hunting and wildlife trade legislation, looking in particular at:</w:t>
      </w:r>
    </w:p>
    <w:p w14:paraId="4F068A23" w14:textId="77777777" w:rsidR="000A7365" w:rsidRDefault="000A7365" w:rsidP="000A7365">
      <w:pPr>
        <w:numPr>
          <w:ilvl w:val="0"/>
          <w:numId w:val="27"/>
        </w:numPr>
        <w:spacing w:before="240"/>
        <w:ind w:hanging="720"/>
      </w:pPr>
      <w:r w:rsidRPr="00320E0C">
        <w:rPr>
          <w:color w:val="000000"/>
          <w:kern w:val="22"/>
          <w:szCs w:val="22"/>
        </w:rPr>
        <w:t>A rationalization of wildlife laws to focus on sustainability</w:t>
      </w:r>
      <w:r>
        <w:rPr>
          <w:color w:val="000000"/>
          <w:kern w:val="22"/>
          <w:szCs w:val="22"/>
        </w:rPr>
        <w:t xml:space="preserve"> (for a 10+ yr horizon)</w:t>
      </w:r>
      <w:r w:rsidRPr="00320E0C">
        <w:rPr>
          <w:color w:val="000000"/>
          <w:kern w:val="22"/>
          <w:szCs w:val="22"/>
        </w:rPr>
        <w:t xml:space="preserve"> ensure that they are fit-for purpose and can be properly applied and enforced, and with due consideration to both food security and conservation concerns</w:t>
      </w:r>
      <w:r w:rsidRPr="004904D8">
        <w:rPr>
          <w:bCs/>
          <w:iCs/>
        </w:rPr>
        <w:t xml:space="preserve">. </w:t>
      </w:r>
    </w:p>
    <w:p w14:paraId="48EE523B" w14:textId="77777777" w:rsidR="000A7365" w:rsidRPr="00710BDF" w:rsidRDefault="000A7365" w:rsidP="000A7365">
      <w:pPr>
        <w:numPr>
          <w:ilvl w:val="0"/>
          <w:numId w:val="27"/>
        </w:numPr>
        <w:spacing w:before="240"/>
        <w:ind w:hanging="720"/>
      </w:pPr>
      <w:r w:rsidRPr="00710BDF">
        <w:rPr>
          <w:color w:val="000000"/>
          <w:kern w:val="22"/>
          <w:szCs w:val="22"/>
        </w:rPr>
        <w:t xml:space="preserve">Development of guidelines distinguishing species that are resilient to hunting and those that are not, in order to </w:t>
      </w:r>
      <w:r>
        <w:rPr>
          <w:color w:val="000000"/>
          <w:kern w:val="22"/>
          <w:szCs w:val="22"/>
        </w:rPr>
        <w:t>orient offtakes to</w:t>
      </w:r>
      <w:r w:rsidRPr="00710BDF">
        <w:rPr>
          <w:color w:val="000000"/>
          <w:kern w:val="22"/>
          <w:szCs w:val="22"/>
        </w:rPr>
        <w:t xml:space="preserve"> </w:t>
      </w:r>
      <w:r>
        <w:rPr>
          <w:color w:val="000000"/>
          <w:kern w:val="22"/>
          <w:szCs w:val="22"/>
        </w:rPr>
        <w:t xml:space="preserve">those </w:t>
      </w:r>
      <w:r w:rsidRPr="00710BDF">
        <w:rPr>
          <w:color w:val="000000"/>
          <w:kern w:val="22"/>
          <w:szCs w:val="22"/>
        </w:rPr>
        <w:t xml:space="preserve">species that can be hunted sustainably. Laws regulating hunting and trade should distinguish those wildlife species that reproduce rapidly </w:t>
      </w:r>
      <w:r>
        <w:rPr>
          <w:color w:val="000000"/>
          <w:kern w:val="22"/>
          <w:szCs w:val="22"/>
        </w:rPr>
        <w:t>such as</w:t>
      </w:r>
      <w:r w:rsidRPr="00710BDF">
        <w:rPr>
          <w:color w:val="000000"/>
          <w:kern w:val="22"/>
          <w:szCs w:val="22"/>
        </w:rPr>
        <w:t xml:space="preserve"> rodents and pigs from those that do not </w:t>
      </w:r>
      <w:r>
        <w:rPr>
          <w:color w:val="000000"/>
          <w:kern w:val="22"/>
          <w:szCs w:val="22"/>
        </w:rPr>
        <w:t>such as</w:t>
      </w:r>
      <w:r w:rsidRPr="00710BDF">
        <w:rPr>
          <w:color w:val="000000"/>
          <w:kern w:val="22"/>
          <w:szCs w:val="22"/>
        </w:rPr>
        <w:t xml:space="preserve"> primates and most large bodied mammals. </w:t>
      </w:r>
      <w:r w:rsidRPr="00710BDF">
        <w:rPr>
          <w:kern w:val="22"/>
          <w:szCs w:val="22"/>
        </w:rPr>
        <w:t>Legislation should be responsive enough to allow adaptive management, with quotas or other regulatory mechanisms recognizing a species’ resilience to harvest</w:t>
      </w:r>
      <w:r w:rsidRPr="00710BDF">
        <w:rPr>
          <w:color w:val="000000"/>
          <w:kern w:val="22"/>
          <w:szCs w:val="22"/>
        </w:rPr>
        <w:t>;</w:t>
      </w:r>
    </w:p>
    <w:p w14:paraId="79D58263" w14:textId="77777777" w:rsidR="000A7365" w:rsidRPr="00710BDF" w:rsidRDefault="000A7365" w:rsidP="000A7365">
      <w:pPr>
        <w:numPr>
          <w:ilvl w:val="0"/>
          <w:numId w:val="27"/>
        </w:numPr>
        <w:spacing w:before="240"/>
        <w:ind w:hanging="720"/>
      </w:pPr>
      <w:r w:rsidRPr="00710BDF">
        <w:rPr>
          <w:color w:val="000000"/>
          <w:kern w:val="22"/>
          <w:szCs w:val="22"/>
        </w:rPr>
        <w:t xml:space="preserve">Devolution of wildlife rights to local populations, </w:t>
      </w:r>
      <w:r>
        <w:rPr>
          <w:color w:val="000000"/>
          <w:kern w:val="22"/>
          <w:szCs w:val="22"/>
        </w:rPr>
        <w:t xml:space="preserve">with clear membership criteria, </w:t>
      </w:r>
      <w:r w:rsidRPr="00710BDF">
        <w:rPr>
          <w:color w:val="000000"/>
          <w:kern w:val="22"/>
          <w:szCs w:val="22"/>
        </w:rPr>
        <w:t>where appropriate, and in line with the Plan of Action on Custom</w:t>
      </w:r>
      <w:r>
        <w:rPr>
          <w:color w:val="000000"/>
          <w:kern w:val="22"/>
          <w:szCs w:val="22"/>
        </w:rPr>
        <w:t>ary Sustainable Use under the CBD and the UNDRIP.</w:t>
      </w:r>
      <w:r w:rsidRPr="00710BDF">
        <w:rPr>
          <w:color w:val="000000"/>
          <w:kern w:val="22"/>
          <w:szCs w:val="22"/>
        </w:rPr>
        <w:t xml:space="preserve"> </w:t>
      </w:r>
      <w:r>
        <w:rPr>
          <w:color w:val="000000"/>
          <w:kern w:val="22"/>
          <w:szCs w:val="22"/>
        </w:rPr>
        <w:t>E</w:t>
      </w:r>
      <w:r w:rsidRPr="00710BDF">
        <w:rPr>
          <w:color w:val="000000"/>
          <w:kern w:val="22"/>
          <w:szCs w:val="22"/>
        </w:rPr>
        <w:t>nhancing appropriate forms of land tenure, including ownership</w:t>
      </w:r>
      <w:r>
        <w:rPr>
          <w:color w:val="000000"/>
          <w:kern w:val="22"/>
          <w:szCs w:val="22"/>
        </w:rPr>
        <w:t>,</w:t>
      </w:r>
      <w:r w:rsidRPr="00710BDF">
        <w:rPr>
          <w:color w:val="000000"/>
          <w:kern w:val="22"/>
          <w:szCs w:val="22"/>
        </w:rPr>
        <w:t xml:space="preserve"> to increase </w:t>
      </w:r>
      <w:r>
        <w:rPr>
          <w:color w:val="000000"/>
          <w:kern w:val="22"/>
          <w:szCs w:val="22"/>
        </w:rPr>
        <w:t>communities’</w:t>
      </w:r>
      <w:r w:rsidRPr="00710BDF">
        <w:rPr>
          <w:color w:val="000000"/>
          <w:kern w:val="22"/>
          <w:szCs w:val="22"/>
        </w:rPr>
        <w:t xml:space="preserve"> incentive to sustainably manage the</w:t>
      </w:r>
      <w:r>
        <w:rPr>
          <w:color w:val="000000"/>
          <w:kern w:val="22"/>
          <w:szCs w:val="22"/>
        </w:rPr>
        <w:t>ir</w:t>
      </w:r>
      <w:r w:rsidRPr="00710BDF">
        <w:rPr>
          <w:color w:val="000000"/>
          <w:kern w:val="22"/>
          <w:szCs w:val="22"/>
        </w:rPr>
        <w:t xml:space="preserve"> resource and </w:t>
      </w:r>
      <w:r>
        <w:rPr>
          <w:color w:val="000000"/>
          <w:kern w:val="22"/>
          <w:szCs w:val="22"/>
        </w:rPr>
        <w:t xml:space="preserve">exclude </w:t>
      </w:r>
      <w:r w:rsidRPr="00710BDF">
        <w:rPr>
          <w:color w:val="000000"/>
          <w:kern w:val="22"/>
          <w:szCs w:val="22"/>
        </w:rPr>
        <w:t xml:space="preserve">external </w:t>
      </w:r>
      <w:r>
        <w:rPr>
          <w:color w:val="000000"/>
          <w:kern w:val="22"/>
          <w:szCs w:val="22"/>
        </w:rPr>
        <w:t>hunters</w:t>
      </w:r>
      <w:r w:rsidRPr="00710BDF">
        <w:rPr>
          <w:color w:val="000000"/>
          <w:kern w:val="22"/>
          <w:szCs w:val="22"/>
        </w:rPr>
        <w:t>. In this, communities should be supported by a competent and trusted national agency with the authority to arrest and prosecute law breakers in a timely manner;</w:t>
      </w:r>
    </w:p>
    <w:p w14:paraId="0EF811D2" w14:textId="77777777" w:rsidR="000A7365" w:rsidRDefault="000A7365" w:rsidP="000A7365">
      <w:pPr>
        <w:numPr>
          <w:ilvl w:val="0"/>
          <w:numId w:val="27"/>
        </w:numPr>
        <w:spacing w:before="240"/>
        <w:ind w:hanging="720"/>
      </w:pPr>
      <w:r w:rsidRPr="004904D8">
        <w:t>Incorporation of wildlife management measures into jurisdictional land use planning for sustainability</w:t>
      </w:r>
      <w:r w:rsidRPr="005512D2">
        <w:t>.</w:t>
      </w:r>
    </w:p>
    <w:p w14:paraId="5DD05085" w14:textId="77777777" w:rsidR="000A7365" w:rsidRPr="00710BDF" w:rsidRDefault="000A7365" w:rsidP="000A7365">
      <w:pPr>
        <w:numPr>
          <w:ilvl w:val="0"/>
          <w:numId w:val="27"/>
        </w:numPr>
        <w:spacing w:before="240"/>
        <w:ind w:hanging="720"/>
      </w:pPr>
      <w:r w:rsidRPr="00710BDF">
        <w:rPr>
          <w:color w:val="000000"/>
          <w:kern w:val="22"/>
          <w:szCs w:val="22"/>
        </w:rPr>
        <w:t>Where a system of taxation is being considered</w:t>
      </w:r>
      <w:r>
        <w:rPr>
          <w:color w:val="000000"/>
          <w:kern w:val="22"/>
          <w:szCs w:val="22"/>
        </w:rPr>
        <w:t xml:space="preserve">, </w:t>
      </w:r>
      <w:r w:rsidRPr="00710BDF">
        <w:rPr>
          <w:color w:val="000000"/>
          <w:kern w:val="22"/>
          <w:szCs w:val="22"/>
        </w:rPr>
        <w:t>a full investigation of the current and required capacities, and the sustainability of the taxation system  that the revenues will cover the costs is conducted;</w:t>
      </w:r>
    </w:p>
    <w:p w14:paraId="1BADF71A" w14:textId="77777777" w:rsidR="000A7365" w:rsidRDefault="000A7365" w:rsidP="000A7365">
      <w:r w:rsidRPr="004904D8">
        <w:t xml:space="preserve">In addition, </w:t>
      </w:r>
      <w:r>
        <w:t>S</w:t>
      </w:r>
      <w:r w:rsidRPr="004904D8">
        <w:t>tates</w:t>
      </w:r>
      <w:r w:rsidRPr="0070404D">
        <w:t xml:space="preserve"> a</w:t>
      </w:r>
      <w:r w:rsidRPr="004904D8">
        <w:t>re encouraged to</w:t>
      </w:r>
      <w:r>
        <w:t xml:space="preserve"> strengthen their capacity to enforce wildlife hunting and trade legislation, including to:</w:t>
      </w:r>
    </w:p>
    <w:p w14:paraId="7BED72CA" w14:textId="261E4C9B" w:rsidR="000A7365" w:rsidRPr="00320E0C" w:rsidRDefault="000A7365" w:rsidP="00920854">
      <w:pPr>
        <w:numPr>
          <w:ilvl w:val="0"/>
          <w:numId w:val="28"/>
        </w:numPr>
        <w:suppressLineNumbers/>
        <w:suppressAutoHyphens/>
        <w:spacing w:before="120" w:after="120"/>
        <w:ind w:hanging="720"/>
        <w:rPr>
          <w:color w:val="000000"/>
          <w:kern w:val="22"/>
          <w:szCs w:val="22"/>
        </w:rPr>
      </w:pPr>
      <w:r>
        <w:rPr>
          <w:kern w:val="22"/>
          <w:szCs w:val="22"/>
          <w:lang w:eastAsia="ja-JP" w:bidi="th-TH"/>
        </w:rPr>
        <w:t>Fairly e</w:t>
      </w:r>
      <w:r w:rsidRPr="00320E0C">
        <w:rPr>
          <w:kern w:val="22"/>
          <w:szCs w:val="22"/>
          <w:lang w:eastAsia="ja-JP" w:bidi="th-TH"/>
        </w:rPr>
        <w:t xml:space="preserve">nforce national wildlife laws in partnership </w:t>
      </w:r>
      <w:r>
        <w:rPr>
          <w:kern w:val="22"/>
          <w:szCs w:val="22"/>
          <w:lang w:eastAsia="ja-JP" w:bidi="th-TH"/>
        </w:rPr>
        <w:t>with</w:t>
      </w:r>
      <w:r w:rsidRPr="00320E0C">
        <w:rPr>
          <w:kern w:val="22"/>
          <w:szCs w:val="22"/>
          <w:lang w:eastAsia="ja-JP" w:bidi="th-TH"/>
        </w:rPr>
        <w:t xml:space="preserve"> local communities</w:t>
      </w:r>
      <w:r>
        <w:rPr>
          <w:kern w:val="22"/>
          <w:szCs w:val="22"/>
          <w:lang w:eastAsia="ja-JP" w:bidi="th-TH"/>
        </w:rPr>
        <w:t xml:space="preserve">, </w:t>
      </w:r>
      <w:r>
        <w:rPr>
          <w:kern w:val="22"/>
          <w:szCs w:val="22"/>
        </w:rPr>
        <w:t>enhancing</w:t>
      </w:r>
      <w:r w:rsidRPr="00320E0C">
        <w:rPr>
          <w:kern w:val="22"/>
          <w:szCs w:val="22"/>
        </w:rPr>
        <w:t xml:space="preserve"> measures to protect the rights of </w:t>
      </w:r>
      <w:r w:rsidR="0077363A">
        <w:rPr>
          <w:kern w:val="22"/>
          <w:szCs w:val="22"/>
        </w:rPr>
        <w:t>IPLCs</w:t>
      </w:r>
      <w:r w:rsidRPr="00320E0C">
        <w:rPr>
          <w:kern w:val="22"/>
          <w:szCs w:val="22"/>
        </w:rPr>
        <w:t xml:space="preserve">, and to deter </w:t>
      </w:r>
      <w:r>
        <w:rPr>
          <w:kern w:val="22"/>
          <w:szCs w:val="22"/>
        </w:rPr>
        <w:t>illegal hunting;</w:t>
      </w:r>
    </w:p>
    <w:p w14:paraId="5F59A11F" w14:textId="7F561778" w:rsidR="000A7365" w:rsidRPr="00320E0C" w:rsidRDefault="000A7365" w:rsidP="00920854">
      <w:pPr>
        <w:numPr>
          <w:ilvl w:val="0"/>
          <w:numId w:val="28"/>
        </w:numPr>
        <w:suppressLineNumbers/>
        <w:suppressAutoHyphens/>
        <w:spacing w:before="120" w:after="120"/>
        <w:ind w:hanging="720"/>
        <w:rPr>
          <w:color w:val="000000"/>
          <w:kern w:val="22"/>
          <w:szCs w:val="22"/>
        </w:rPr>
      </w:pPr>
      <w:r>
        <w:rPr>
          <w:rFonts w:eastAsia="Batang"/>
          <w:bCs/>
          <w:iCs/>
          <w:color w:val="000000"/>
          <w:kern w:val="22"/>
          <w:szCs w:val="22"/>
          <w:lang w:eastAsia="ja-JP" w:bidi="th-TH"/>
        </w:rPr>
        <w:t>E</w:t>
      </w:r>
      <w:r w:rsidRPr="00320E0C">
        <w:rPr>
          <w:rFonts w:eastAsia="Batang"/>
          <w:bCs/>
          <w:iCs/>
          <w:color w:val="000000"/>
          <w:kern w:val="22"/>
          <w:szCs w:val="22"/>
          <w:lang w:eastAsia="ja-JP" w:bidi="th-TH"/>
        </w:rPr>
        <w:t xml:space="preserve">nhancing control, inspection and arresting procedures and methods, together with training and employment of </w:t>
      </w:r>
      <w:r w:rsidR="0077363A">
        <w:rPr>
          <w:rFonts w:eastAsia="Batang"/>
          <w:bCs/>
          <w:iCs/>
          <w:color w:val="000000"/>
          <w:kern w:val="22"/>
          <w:szCs w:val="22"/>
          <w:lang w:eastAsia="ja-JP" w:bidi="th-TH"/>
        </w:rPr>
        <w:t>IPLCs</w:t>
      </w:r>
      <w:r w:rsidRPr="00320E0C">
        <w:rPr>
          <w:rFonts w:eastAsia="Batang"/>
          <w:bCs/>
          <w:iCs/>
          <w:color w:val="000000"/>
          <w:kern w:val="22"/>
          <w:szCs w:val="22"/>
          <w:lang w:eastAsia="ja-JP" w:bidi="th-TH"/>
        </w:rPr>
        <w:t>, including domestically and at border-crossing points;</w:t>
      </w:r>
    </w:p>
    <w:p w14:paraId="0C871847" w14:textId="77777777" w:rsidR="000A7365" w:rsidRPr="00320E0C" w:rsidRDefault="000A7365" w:rsidP="00920854">
      <w:pPr>
        <w:numPr>
          <w:ilvl w:val="0"/>
          <w:numId w:val="28"/>
        </w:numPr>
        <w:suppressLineNumbers/>
        <w:suppressAutoHyphens/>
        <w:spacing w:before="120" w:after="120"/>
        <w:ind w:hanging="720"/>
        <w:rPr>
          <w:rFonts w:eastAsia="Batang"/>
          <w:bCs/>
          <w:iCs/>
          <w:color w:val="000000"/>
          <w:kern w:val="22"/>
          <w:szCs w:val="22"/>
          <w:lang w:eastAsia="ja-JP" w:bidi="th-TH"/>
        </w:rPr>
      </w:pPr>
      <w:r w:rsidRPr="00320E0C">
        <w:rPr>
          <w:rFonts w:eastAsia="Batang"/>
          <w:bCs/>
          <w:iCs/>
          <w:color w:val="000000"/>
          <w:kern w:val="22"/>
          <w:szCs w:val="22"/>
          <w:lang w:eastAsia="ja-JP" w:bidi="th-TH"/>
        </w:rPr>
        <w:t>Enhance cooperation and coordination among wildlife trade enforcement officers, prosecutors and judges and other relevant personnel</w:t>
      </w:r>
      <w:r>
        <w:rPr>
          <w:rFonts w:eastAsia="Batang"/>
          <w:bCs/>
          <w:iCs/>
          <w:color w:val="000000"/>
          <w:kern w:val="22"/>
          <w:szCs w:val="22"/>
          <w:lang w:eastAsia="ja-JP" w:bidi="th-TH"/>
        </w:rPr>
        <w:t xml:space="preserve"> to ensure more coherence in application of the law and penalties</w:t>
      </w:r>
      <w:r w:rsidRPr="00320E0C">
        <w:rPr>
          <w:rFonts w:eastAsia="Batang"/>
          <w:bCs/>
          <w:iCs/>
          <w:color w:val="000000"/>
          <w:kern w:val="22"/>
          <w:szCs w:val="22"/>
          <w:lang w:eastAsia="ja-JP" w:bidi="th-TH"/>
        </w:rPr>
        <w:t>;</w:t>
      </w:r>
    </w:p>
    <w:p w14:paraId="35BB127E" w14:textId="77777777" w:rsidR="000A7365" w:rsidRDefault="000A7365" w:rsidP="00920854">
      <w:pPr>
        <w:numPr>
          <w:ilvl w:val="0"/>
          <w:numId w:val="28"/>
        </w:numPr>
        <w:suppressLineNumbers/>
        <w:suppressAutoHyphens/>
        <w:spacing w:before="120" w:after="120"/>
        <w:ind w:hanging="720"/>
        <w:rPr>
          <w:rFonts w:eastAsia="Batang"/>
          <w:bCs/>
          <w:iCs/>
          <w:color w:val="000000"/>
          <w:kern w:val="22"/>
          <w:szCs w:val="22"/>
          <w:lang w:eastAsia="ja-JP" w:bidi="th-TH"/>
        </w:rPr>
      </w:pPr>
      <w:r w:rsidRPr="00320E0C">
        <w:rPr>
          <w:rFonts w:eastAsia="Batang"/>
          <w:bCs/>
          <w:iCs/>
          <w:color w:val="000000"/>
          <w:kern w:val="22"/>
          <w:szCs w:val="22"/>
          <w:lang w:eastAsia="ja-JP" w:bidi="th-TH"/>
        </w:rPr>
        <w:lastRenderedPageBreak/>
        <w:t xml:space="preserve">Strengthen the capacity of fiscal, legal and judicial personnel on environmental laws and policies to increase their awareness and effectiveness </w:t>
      </w:r>
      <w:r>
        <w:rPr>
          <w:rFonts w:eastAsia="Batang"/>
          <w:bCs/>
          <w:iCs/>
          <w:color w:val="000000"/>
          <w:kern w:val="22"/>
          <w:szCs w:val="22"/>
          <w:lang w:eastAsia="ja-JP" w:bidi="th-TH"/>
        </w:rPr>
        <w:t>in</w:t>
      </w:r>
      <w:r w:rsidRPr="00320E0C">
        <w:rPr>
          <w:rFonts w:eastAsia="Batang"/>
          <w:bCs/>
          <w:iCs/>
          <w:color w:val="000000"/>
          <w:kern w:val="22"/>
          <w:szCs w:val="22"/>
          <w:lang w:eastAsia="ja-JP" w:bidi="th-TH"/>
        </w:rPr>
        <w:t xml:space="preserve"> </w:t>
      </w:r>
      <w:r>
        <w:rPr>
          <w:rFonts w:eastAsia="Batang"/>
          <w:bCs/>
          <w:iCs/>
          <w:color w:val="000000"/>
          <w:kern w:val="22"/>
          <w:szCs w:val="22"/>
          <w:lang w:eastAsia="ja-JP" w:bidi="th-TH"/>
        </w:rPr>
        <w:t xml:space="preserve">recognising and </w:t>
      </w:r>
      <w:r w:rsidRPr="00320E0C">
        <w:rPr>
          <w:rFonts w:eastAsia="Batang"/>
          <w:bCs/>
          <w:iCs/>
          <w:color w:val="000000"/>
          <w:kern w:val="22"/>
          <w:szCs w:val="22"/>
          <w:lang w:eastAsia="ja-JP" w:bidi="th-TH"/>
        </w:rPr>
        <w:t>address</w:t>
      </w:r>
      <w:r>
        <w:rPr>
          <w:rFonts w:eastAsia="Batang"/>
          <w:bCs/>
          <w:iCs/>
          <w:color w:val="000000"/>
          <w:kern w:val="22"/>
          <w:szCs w:val="22"/>
          <w:lang w:eastAsia="ja-JP" w:bidi="th-TH"/>
        </w:rPr>
        <w:t>ing</w:t>
      </w:r>
      <w:r w:rsidRPr="00320E0C">
        <w:rPr>
          <w:rFonts w:eastAsia="Batang"/>
          <w:bCs/>
          <w:iCs/>
          <w:color w:val="000000"/>
          <w:kern w:val="22"/>
          <w:szCs w:val="22"/>
          <w:lang w:eastAsia="ja-JP" w:bidi="th-TH"/>
        </w:rPr>
        <w:t xml:space="preserve"> crimes against wildlife;</w:t>
      </w:r>
    </w:p>
    <w:p w14:paraId="64C1362D" w14:textId="77777777" w:rsidR="000A7365" w:rsidRPr="00B403C2" w:rsidRDefault="000A7365" w:rsidP="00920854">
      <w:pPr>
        <w:numPr>
          <w:ilvl w:val="0"/>
          <w:numId w:val="28"/>
        </w:numPr>
        <w:spacing w:before="240"/>
        <w:ind w:hanging="720"/>
      </w:pPr>
      <w:r w:rsidRPr="005512D2">
        <w:t>Include the concept of sustainable harvesting of wild resources</w:t>
      </w:r>
      <w:r>
        <w:t>, and introduce national and local legislation on wildlife,</w:t>
      </w:r>
      <w:r w:rsidRPr="005512D2">
        <w:t xml:space="preserve"> in relevant educational curricula, ensuring that a future population will be more able to </w:t>
      </w:r>
      <w:r w:rsidRPr="003E3238">
        <w:t>consider and assess</w:t>
      </w:r>
      <w:r w:rsidRPr="00EE2428">
        <w:t xml:space="preserve"> the </w:t>
      </w:r>
      <w:r w:rsidRPr="0064175F">
        <w:t>sustainability of wild meat use as part of the</w:t>
      </w:r>
      <w:r w:rsidRPr="006F5EBC">
        <w:t xml:space="preserve"> national economy;</w:t>
      </w:r>
    </w:p>
    <w:p w14:paraId="7A2AF9AD" w14:textId="77777777" w:rsidR="000A7365" w:rsidRDefault="000A7365" w:rsidP="000A7365"/>
    <w:p w14:paraId="7A36A472" w14:textId="72B71CC3" w:rsidR="00C621B6" w:rsidRPr="00785A38" w:rsidRDefault="00C621B6" w:rsidP="00C258BC">
      <w:pPr>
        <w:spacing w:after="160" w:line="259" w:lineRule="auto"/>
        <w:jc w:val="both"/>
        <w:sectPr w:rsidR="00C621B6" w:rsidRPr="00785A38">
          <w:footerReference w:type="default" r:id="rId114"/>
          <w:pgSz w:w="11906" w:h="16838"/>
          <w:pgMar w:top="1440" w:right="1440" w:bottom="1440" w:left="1440" w:header="708" w:footer="708" w:gutter="0"/>
          <w:cols w:space="708"/>
          <w:docGrid w:linePitch="360"/>
        </w:sectPr>
      </w:pPr>
    </w:p>
    <w:p w14:paraId="1E32560E" w14:textId="2858A64A" w:rsidR="00AB0B50" w:rsidRPr="00785A38" w:rsidRDefault="00AB0B50" w:rsidP="00DF57F3">
      <w:pPr>
        <w:pStyle w:val="Heading1"/>
      </w:pPr>
    </w:p>
    <w:p w14:paraId="2CF94C05" w14:textId="72914B0F" w:rsidR="005128FE" w:rsidRPr="00785A38" w:rsidRDefault="00882A2E" w:rsidP="00DF57F3">
      <w:pPr>
        <w:pStyle w:val="Heading1"/>
      </w:pPr>
      <w:bookmarkStart w:id="177" w:name="_Toc517693768"/>
      <w:bookmarkStart w:id="178" w:name="_Ref518893099"/>
      <w:bookmarkStart w:id="179" w:name="_Toc519156114"/>
      <w:bookmarkStart w:id="180" w:name="_Ref520377886"/>
      <w:bookmarkStart w:id="181" w:name="_Ref520377894"/>
      <w:bookmarkStart w:id="182" w:name="_Ref520454527"/>
      <w:bookmarkStart w:id="183" w:name="_Toc529390367"/>
      <w:bookmarkEnd w:id="140"/>
      <w:bookmarkEnd w:id="141"/>
      <w:bookmarkEnd w:id="142"/>
      <w:bookmarkEnd w:id="143"/>
      <w:r w:rsidRPr="00702881">
        <w:t>IMPROVING</w:t>
      </w:r>
      <w:r w:rsidRPr="00785A38">
        <w:t xml:space="preserve"> THE SUSTAINABILITY OF THE SUPPLY OF WILD MEAT</w:t>
      </w:r>
      <w:bookmarkEnd w:id="177"/>
      <w:bookmarkEnd w:id="178"/>
      <w:bookmarkEnd w:id="179"/>
      <w:bookmarkEnd w:id="180"/>
      <w:bookmarkEnd w:id="181"/>
      <w:bookmarkEnd w:id="182"/>
      <w:bookmarkEnd w:id="183"/>
      <w:r w:rsidRPr="00785A38">
        <w:t xml:space="preserve"> </w:t>
      </w:r>
    </w:p>
    <w:p w14:paraId="22BD08ED" w14:textId="53659D91" w:rsidR="008A4E70" w:rsidRPr="00EE2428" w:rsidRDefault="00E529BC" w:rsidP="00C258BC">
      <w:pPr>
        <w:jc w:val="both"/>
        <w:rPr>
          <w:color w:val="000000" w:themeColor="text1"/>
        </w:rPr>
      </w:pPr>
      <w:r w:rsidRPr="004904D8">
        <w:rPr>
          <w:color w:val="000000" w:themeColor="text1"/>
        </w:rPr>
        <w:t>According</w:t>
      </w:r>
      <w:r w:rsidR="0014508D" w:rsidRPr="004904D8">
        <w:rPr>
          <w:color w:val="000000" w:themeColor="text1"/>
        </w:rPr>
        <w:t xml:space="preserve"> to the definition of the CBD, sustainable wildlife m</w:t>
      </w:r>
      <w:r w:rsidRPr="004904D8">
        <w:rPr>
          <w:color w:val="000000" w:themeColor="text1"/>
        </w:rPr>
        <w:t xml:space="preserve">anagement (SWM) is </w:t>
      </w:r>
      <w:r w:rsidR="00CA2131" w:rsidRPr="004904D8">
        <w:rPr>
          <w:color w:val="000000" w:themeColor="text1"/>
        </w:rPr>
        <w:t>‘</w:t>
      </w:r>
      <w:r w:rsidRPr="004904D8">
        <w:rPr>
          <w:color w:val="000000" w:themeColor="text1"/>
        </w:rPr>
        <w:t>the sound management of wildlife species to sustain their</w:t>
      </w:r>
      <w:r w:rsidRPr="005512D2">
        <w:rPr>
          <w:color w:val="000000" w:themeColor="text1"/>
        </w:rPr>
        <w:t xml:space="preserve"> </w:t>
      </w:r>
      <w:r w:rsidRPr="009510A7">
        <w:rPr>
          <w:color w:val="000000" w:themeColor="text1"/>
        </w:rPr>
        <w:t>populations and habitat over time, taking into account the socio-economic needs of human populations</w:t>
      </w:r>
      <w:r w:rsidR="00CA2131" w:rsidRPr="009510A7">
        <w:rPr>
          <w:color w:val="000000" w:themeColor="text1"/>
        </w:rPr>
        <w:t>’</w:t>
      </w:r>
      <w:r w:rsidR="009510A7">
        <w:rPr>
          <w:color w:val="000000" w:themeColor="text1"/>
        </w:rPr>
        <w:t xml:space="preserve"> </w:t>
      </w:r>
      <w:r w:rsidR="009510A7">
        <w:rPr>
          <w:color w:val="000000" w:themeColor="text1"/>
        </w:rPr>
        <w:fldChar w:fldCharType="begin" w:fldLock="1"/>
      </w:r>
      <w:r w:rsidR="00AB268B">
        <w:rPr>
          <w:color w:val="000000" w:themeColor="text1"/>
        </w:rPr>
        <w:instrText>ADDIN CSL_CITATION {"citationItems":[{"id":"ITEM-1","itemData":{"author":[{"dropping-particle":"","family":"CBD","given":"","non-dropping-particle":"","parse-names":false,"suffix":""}],"container-title":"https://www.cbd.int/sustainable/swm.shtml","id":"ITEM-1","issued":{"date-parts":[["2018"]]},"title":"Sustainable Wildlife Management","type":"webpage"},"uris":["http://www.mendeley.com/documents/?uuid=eb0e6fc1-9440-42e6-844e-5b8adaca96d2"]}],"mendeley":{"formattedCitation":"(CBD 2018)","plainTextFormattedCitation":"(CBD 2018)","previouslyFormattedCitation":"(CBD 2018)"},"properties":{"noteIndex":0},"schema":"https://github.com/citation-style-language/schema/raw/master/csl-citation.json"}</w:instrText>
      </w:r>
      <w:r w:rsidR="009510A7">
        <w:rPr>
          <w:color w:val="000000" w:themeColor="text1"/>
        </w:rPr>
        <w:fldChar w:fldCharType="separate"/>
      </w:r>
      <w:r w:rsidR="009510A7" w:rsidRPr="009510A7">
        <w:rPr>
          <w:noProof/>
          <w:color w:val="000000" w:themeColor="text1"/>
        </w:rPr>
        <w:t>(CBD 2018)</w:t>
      </w:r>
      <w:r w:rsidR="009510A7">
        <w:rPr>
          <w:color w:val="000000" w:themeColor="text1"/>
        </w:rPr>
        <w:fldChar w:fldCharType="end"/>
      </w:r>
      <w:r w:rsidRPr="009510A7">
        <w:rPr>
          <w:color w:val="000000" w:themeColor="text1"/>
        </w:rPr>
        <w:t>.</w:t>
      </w:r>
      <w:r w:rsidR="0014508D" w:rsidRPr="00EE2428">
        <w:rPr>
          <w:color w:val="000000" w:themeColor="text1"/>
        </w:rPr>
        <w:t xml:space="preserve"> </w:t>
      </w:r>
    </w:p>
    <w:p w14:paraId="2A4B25F6" w14:textId="15A1472F" w:rsidR="00010D1D" w:rsidRPr="0070404D" w:rsidRDefault="008A4E70" w:rsidP="00C258BC">
      <w:pPr>
        <w:jc w:val="both"/>
        <w:rPr>
          <w:color w:val="000000" w:themeColor="text1"/>
        </w:rPr>
      </w:pPr>
      <w:r w:rsidRPr="0064175F">
        <w:rPr>
          <w:color w:val="000000" w:themeColor="text1"/>
        </w:rPr>
        <w:t>Sustainable wildlife management</w:t>
      </w:r>
      <w:r w:rsidR="00261A54" w:rsidRPr="0070404D">
        <w:rPr>
          <w:color w:val="000000" w:themeColor="text1"/>
        </w:rPr>
        <w:t xml:space="preserve"> is a social process </w:t>
      </w:r>
      <w:r w:rsidR="00811E34" w:rsidRPr="0070404D">
        <w:rPr>
          <w:color w:val="000000" w:themeColor="text1"/>
        </w:rPr>
        <w:t>in which</w:t>
      </w:r>
      <w:r w:rsidR="00261A54" w:rsidRPr="0070404D">
        <w:rPr>
          <w:color w:val="000000" w:themeColor="text1"/>
        </w:rPr>
        <w:t xml:space="preserve"> people decide to regulate who has access to </w:t>
      </w:r>
      <w:r w:rsidR="00975527">
        <w:rPr>
          <w:color w:val="000000" w:themeColor="text1"/>
        </w:rPr>
        <w:t>wildlife</w:t>
      </w:r>
      <w:r w:rsidR="00D01D15" w:rsidRPr="0070404D">
        <w:rPr>
          <w:color w:val="000000" w:themeColor="text1"/>
        </w:rPr>
        <w:t>,</w:t>
      </w:r>
      <w:r w:rsidR="00261A54" w:rsidRPr="0070404D">
        <w:rPr>
          <w:color w:val="000000" w:themeColor="text1"/>
        </w:rPr>
        <w:t xml:space="preserve"> and how much of </w:t>
      </w:r>
      <w:r w:rsidR="00975527">
        <w:rPr>
          <w:color w:val="000000" w:themeColor="text1"/>
        </w:rPr>
        <w:t>it</w:t>
      </w:r>
      <w:r w:rsidR="00261A54" w:rsidRPr="0070404D">
        <w:rPr>
          <w:color w:val="000000" w:themeColor="text1"/>
        </w:rPr>
        <w:t xml:space="preserve"> they can use.</w:t>
      </w:r>
      <w:r w:rsidR="002474D7" w:rsidRPr="0070404D">
        <w:rPr>
          <w:color w:val="000000" w:themeColor="text1"/>
        </w:rPr>
        <w:t xml:space="preserve"> </w:t>
      </w:r>
      <w:r w:rsidR="00A852F7">
        <w:rPr>
          <w:color w:val="000000" w:themeColor="text1"/>
        </w:rPr>
        <w:t>I</w:t>
      </w:r>
      <w:r w:rsidRPr="0070404D">
        <w:rPr>
          <w:color w:val="000000" w:themeColor="text1"/>
        </w:rPr>
        <w:t>t</w:t>
      </w:r>
      <w:r w:rsidR="00261A54" w:rsidRPr="0070404D">
        <w:rPr>
          <w:color w:val="000000" w:themeColor="text1"/>
        </w:rPr>
        <w:t xml:space="preserve"> is </w:t>
      </w:r>
      <w:r w:rsidRPr="0070404D">
        <w:rPr>
          <w:color w:val="000000" w:themeColor="text1"/>
        </w:rPr>
        <w:t>based</w:t>
      </w:r>
      <w:r w:rsidR="00261A54" w:rsidRPr="0070404D">
        <w:rPr>
          <w:color w:val="000000" w:themeColor="text1"/>
        </w:rPr>
        <w:t xml:space="preserve"> on the desire to avoid </w:t>
      </w:r>
      <w:r w:rsidR="00D01D15" w:rsidRPr="0070404D">
        <w:rPr>
          <w:color w:val="000000" w:themeColor="text1"/>
        </w:rPr>
        <w:t xml:space="preserve">uncontrolled </w:t>
      </w:r>
      <w:r w:rsidRPr="0070404D">
        <w:rPr>
          <w:color w:val="000000" w:themeColor="text1"/>
        </w:rPr>
        <w:t xml:space="preserve">access to, and the </w:t>
      </w:r>
      <w:r w:rsidR="00E03CF6" w:rsidRPr="0070404D">
        <w:rPr>
          <w:color w:val="000000" w:themeColor="text1"/>
        </w:rPr>
        <w:t>over-exploitation</w:t>
      </w:r>
      <w:r w:rsidRPr="0070404D">
        <w:rPr>
          <w:color w:val="000000" w:themeColor="text1"/>
        </w:rPr>
        <w:t xml:space="preserve"> and</w:t>
      </w:r>
      <w:r w:rsidR="00D01D15" w:rsidRPr="0070404D">
        <w:rPr>
          <w:color w:val="000000" w:themeColor="text1"/>
        </w:rPr>
        <w:t xml:space="preserve"> </w:t>
      </w:r>
      <w:r w:rsidR="00261A54" w:rsidRPr="0070404D">
        <w:rPr>
          <w:color w:val="000000" w:themeColor="text1"/>
        </w:rPr>
        <w:t>local extinction of</w:t>
      </w:r>
      <w:r w:rsidRPr="0070404D">
        <w:rPr>
          <w:color w:val="000000" w:themeColor="text1"/>
        </w:rPr>
        <w:t>,</w:t>
      </w:r>
      <w:r w:rsidR="00261A54" w:rsidRPr="0070404D">
        <w:rPr>
          <w:color w:val="000000" w:themeColor="text1"/>
        </w:rPr>
        <w:t xml:space="preserve"> hunted wildlife</w:t>
      </w:r>
      <w:r w:rsidR="0059436E">
        <w:rPr>
          <w:color w:val="000000" w:themeColor="text1"/>
        </w:rPr>
        <w:t xml:space="preserve">. </w:t>
      </w:r>
      <w:r w:rsidR="00261A54" w:rsidRPr="0070404D">
        <w:rPr>
          <w:color w:val="000000" w:themeColor="text1"/>
        </w:rPr>
        <w:t xml:space="preserve">This requires rules and regulations </w:t>
      </w:r>
      <w:r w:rsidR="007F7287" w:rsidRPr="0070404D">
        <w:rPr>
          <w:color w:val="000000" w:themeColor="text1"/>
        </w:rPr>
        <w:t xml:space="preserve">to </w:t>
      </w:r>
      <w:r w:rsidR="00B4136B" w:rsidRPr="0070404D">
        <w:rPr>
          <w:color w:val="000000" w:themeColor="text1"/>
        </w:rPr>
        <w:t>be</w:t>
      </w:r>
      <w:r w:rsidR="00261A54" w:rsidRPr="0070404D">
        <w:rPr>
          <w:color w:val="000000" w:themeColor="text1"/>
        </w:rPr>
        <w:t xml:space="preserve"> established that make explicit who has the right to </w:t>
      </w:r>
      <w:r w:rsidR="00B4136B" w:rsidRPr="0070404D">
        <w:rPr>
          <w:color w:val="000000" w:themeColor="text1"/>
        </w:rPr>
        <w:t>use</w:t>
      </w:r>
      <w:r w:rsidR="00261A54" w:rsidRPr="0070404D">
        <w:rPr>
          <w:color w:val="000000" w:themeColor="text1"/>
        </w:rPr>
        <w:t xml:space="preserve"> wildlife in a given area</w:t>
      </w:r>
      <w:r w:rsidR="00D01D15" w:rsidRPr="0070404D">
        <w:rPr>
          <w:color w:val="000000" w:themeColor="text1"/>
        </w:rPr>
        <w:t>,</w:t>
      </w:r>
      <w:r w:rsidR="00261A54" w:rsidRPr="0070404D">
        <w:rPr>
          <w:color w:val="000000" w:themeColor="text1"/>
        </w:rPr>
        <w:t xml:space="preserve"> and </w:t>
      </w:r>
      <w:r w:rsidR="00D01D15" w:rsidRPr="0070404D">
        <w:rPr>
          <w:color w:val="000000" w:themeColor="text1"/>
        </w:rPr>
        <w:t xml:space="preserve">the </w:t>
      </w:r>
      <w:r w:rsidR="00261A54" w:rsidRPr="009503F7">
        <w:rPr>
          <w:color w:val="000000" w:themeColor="text1"/>
        </w:rPr>
        <w:t>quantity</w:t>
      </w:r>
      <w:r w:rsidR="00062294" w:rsidRPr="009503F7">
        <w:rPr>
          <w:color w:val="000000" w:themeColor="text1"/>
        </w:rPr>
        <w:t xml:space="preserve"> and </w:t>
      </w:r>
      <w:r w:rsidR="00CF1EE9" w:rsidRPr="009503F7">
        <w:rPr>
          <w:color w:val="000000" w:themeColor="text1"/>
        </w:rPr>
        <w:t xml:space="preserve">species </w:t>
      </w:r>
      <w:r w:rsidR="00261A54" w:rsidRPr="009503F7">
        <w:rPr>
          <w:color w:val="000000" w:themeColor="text1"/>
        </w:rPr>
        <w:t xml:space="preserve">of wildlife each rights-holder can hunt within a </w:t>
      </w:r>
      <w:r w:rsidR="00D01D15" w:rsidRPr="009503F7">
        <w:rPr>
          <w:color w:val="000000" w:themeColor="text1"/>
        </w:rPr>
        <w:t xml:space="preserve">defined </w:t>
      </w:r>
      <w:r w:rsidR="00261A54" w:rsidRPr="009503F7">
        <w:rPr>
          <w:color w:val="000000" w:themeColor="text1"/>
        </w:rPr>
        <w:t>area,</w:t>
      </w:r>
      <w:r w:rsidR="00B4136B" w:rsidRPr="009503F7">
        <w:rPr>
          <w:color w:val="000000" w:themeColor="text1"/>
        </w:rPr>
        <w:t xml:space="preserve"> </w:t>
      </w:r>
      <w:r w:rsidR="00261A54" w:rsidRPr="009503F7">
        <w:rPr>
          <w:color w:val="000000" w:themeColor="text1"/>
        </w:rPr>
        <w:t>over a specified time period</w:t>
      </w:r>
      <w:r w:rsidR="00975527">
        <w:rPr>
          <w:color w:val="000000" w:themeColor="text1"/>
        </w:rPr>
        <w:t xml:space="preserve"> and the penalties for </w:t>
      </w:r>
      <w:r w:rsidR="00A479D2">
        <w:rPr>
          <w:color w:val="000000" w:themeColor="text1"/>
        </w:rPr>
        <w:t>infringement</w:t>
      </w:r>
      <w:r w:rsidR="00975527">
        <w:rPr>
          <w:color w:val="000000" w:themeColor="text1"/>
        </w:rPr>
        <w:t xml:space="preserve"> of these rights.</w:t>
      </w:r>
      <w:r w:rsidR="00261A54" w:rsidRPr="009503F7">
        <w:rPr>
          <w:color w:val="000000" w:themeColor="text1"/>
        </w:rPr>
        <w:t xml:space="preserve"> These rules and regulations need to be enforced fairly and effectively. </w:t>
      </w:r>
      <w:r w:rsidR="00010D1D" w:rsidRPr="009503F7">
        <w:rPr>
          <w:color w:val="000000" w:themeColor="text1"/>
        </w:rPr>
        <w:t>In this chapter we</w:t>
      </w:r>
      <w:r w:rsidR="00F8235E" w:rsidRPr="009503F7">
        <w:rPr>
          <w:color w:val="000000" w:themeColor="text1"/>
        </w:rPr>
        <w:t xml:space="preserve"> discuss the pre-requisites for effective management of</w:t>
      </w:r>
      <w:r w:rsidR="00975527">
        <w:rPr>
          <w:color w:val="000000" w:themeColor="text1"/>
        </w:rPr>
        <w:t xml:space="preserve"> access to</w:t>
      </w:r>
      <w:r w:rsidR="00F8235E" w:rsidRPr="009503F7">
        <w:rPr>
          <w:color w:val="000000" w:themeColor="text1"/>
        </w:rPr>
        <w:t xml:space="preserve"> wild meat, </w:t>
      </w:r>
      <w:r w:rsidR="009503F7">
        <w:rPr>
          <w:color w:val="000000" w:themeColor="text1"/>
        </w:rPr>
        <w:t>provide examples of</w:t>
      </w:r>
      <w:r w:rsidR="00F8235E" w:rsidRPr="009503F7">
        <w:rPr>
          <w:color w:val="000000" w:themeColor="text1"/>
        </w:rPr>
        <w:t xml:space="preserve"> </w:t>
      </w:r>
      <w:r w:rsidR="009503F7">
        <w:rPr>
          <w:color w:val="000000" w:themeColor="text1"/>
        </w:rPr>
        <w:t xml:space="preserve">current and proposed community and co- management models, review methods for setting sustainable hunting levels or practices, debate the place of law enforcement and regulation through taxation in controlling supply, and provide overarching recommendations. </w:t>
      </w:r>
    </w:p>
    <w:p w14:paraId="63106293" w14:textId="604C6195" w:rsidR="00CA7AAE" w:rsidRDefault="00614734" w:rsidP="00C258BC">
      <w:pPr>
        <w:jc w:val="both"/>
      </w:pPr>
      <w:bookmarkStart w:id="184" w:name="_Toc517693769"/>
      <w:bookmarkStart w:id="185" w:name="_Toc519156115"/>
      <w:bookmarkStart w:id="186" w:name="_Ref519874776"/>
      <w:bookmarkStart w:id="187" w:name="_Toc486594791"/>
      <w:r>
        <w:t xml:space="preserve">As discussed at the start of Section 2, management to promote sustainability must be tailored to the type of socio-economic situation the intervention will take place in. Improving the sustainability of </w:t>
      </w:r>
      <w:r w:rsidR="00804383">
        <w:t>wild meat s</w:t>
      </w:r>
      <w:r>
        <w:t xml:space="preserve">upply will be a prime consideration in Scenario 1(rural subsistence communities) and important to deal with directly in Scenario 2 (urbanising rural populations). In managing Scenarios 3 and 4 (urban and international consumers), a sustainable supply generated in Scenarios 1 and 2 is a prerequisite of holistic success, but unlikely to be the prime focus of project activities. </w:t>
      </w:r>
    </w:p>
    <w:p w14:paraId="43E9BF8D" w14:textId="7A1AE99C" w:rsidR="001F491C" w:rsidRPr="004904D8" w:rsidRDefault="001F491C" w:rsidP="00DF57F3">
      <w:pPr>
        <w:pStyle w:val="Heading2"/>
      </w:pPr>
      <w:bookmarkStart w:id="188" w:name="_Ref528416137"/>
      <w:bookmarkStart w:id="189" w:name="_Toc529390368"/>
      <w:r w:rsidRPr="0070404D">
        <w:t>Managing hunting in collaboration with local communities</w:t>
      </w:r>
      <w:bookmarkEnd w:id="184"/>
      <w:bookmarkEnd w:id="185"/>
      <w:bookmarkEnd w:id="186"/>
      <w:bookmarkEnd w:id="188"/>
      <w:bookmarkEnd w:id="189"/>
    </w:p>
    <w:p w14:paraId="3EEC3A11" w14:textId="74D65493" w:rsidR="00FC4DAF" w:rsidRPr="00FC4DAF" w:rsidRDefault="003A427C" w:rsidP="00FC4DAF">
      <w:pPr>
        <w:jc w:val="both"/>
        <w:rPr>
          <w:color w:val="000000" w:themeColor="text1"/>
        </w:rPr>
      </w:pPr>
      <w:r w:rsidRPr="004904D8">
        <w:rPr>
          <w:color w:val="000000" w:themeColor="text1"/>
        </w:rPr>
        <w:t>D</w:t>
      </w:r>
      <w:r w:rsidR="001F491C" w:rsidRPr="004904D8">
        <w:rPr>
          <w:color w:val="000000" w:themeColor="text1"/>
        </w:rPr>
        <w:t>ecisions about the equitable use of natural resources by a society are best made by the lowest competent authority</w:t>
      </w:r>
      <w:r w:rsidR="00A520FB" w:rsidRPr="004904D8">
        <w:rPr>
          <w:color w:val="000000" w:themeColor="text1"/>
        </w:rPr>
        <w:t xml:space="preserve"> </w:t>
      </w:r>
      <w:r w:rsidR="00485C4B">
        <w:rPr>
          <w:color w:val="000000" w:themeColor="text1"/>
        </w:rPr>
        <w:fldChar w:fldCharType="begin" w:fldLock="1"/>
      </w:r>
      <w:r w:rsidR="00485C4B">
        <w:rPr>
          <w:color w:val="000000" w:themeColor="text1"/>
        </w:rPr>
        <w:instrText>ADDIN CSL_CITATION {"citationItems":[{"id":"ITEM-1","itemData":{"author":[{"dropping-particle":"","family":"Ribot","given":"J C","non-dropping-particle":"","parse-names":false,"suffix":""}],"id":"ITEM-1","issued":{"date-parts":[["1999"]]},"number-of-pages":"18","publisher":"World Resources Institute","publisher-place":"Washington, D.C.","title":"Framework for environmental governance","type":"report"},"uris":["http://www.mendeley.com/documents/?uuid=e4bcfa24-4468-4e08-90aa-28e9054b971a"]},{"id":"ITEM-2","itemData":{"ISBN":"1136869441","author":[{"dropping-particle":"","family":"Ribot","given":"Jesse C","non-dropping-particle":"","parse-names":false,"suffix":""},{"dropping-particle":"","family":"Larson","given":"Anne M","non-dropping-particle":"","parse-names":false,"suffix":""}],"id":"ITEM-2","issued":{"date-parts":[["2013"]]},"publisher":"Routledge","title":"Democratic decentralisation through a natural resource lens: cases from Africa, Asia and Latin America","type":"book"},"uris":["http://www.mendeley.com/documents/?uuid=e4ee1a53-cdbd-4ba0-9d78-1611ca76255c"]}],"mendeley":{"formattedCitation":"(Ribot 1999; Ribot &amp; Larson 2013)","plainTextFormattedCitation":"(Ribot 1999; Ribot &amp; Larson 2013)","previouslyFormattedCitation":"(Ribot 1999; Ribot &amp; Larson 2013)"},"properties":{"noteIndex":0},"schema":"https://github.com/citation-style-language/schema/raw/master/csl-citation.json"}</w:instrText>
      </w:r>
      <w:r w:rsidR="00485C4B">
        <w:rPr>
          <w:color w:val="000000" w:themeColor="text1"/>
        </w:rPr>
        <w:fldChar w:fldCharType="separate"/>
      </w:r>
      <w:r w:rsidR="00485C4B" w:rsidRPr="00485C4B">
        <w:rPr>
          <w:noProof/>
          <w:color w:val="000000" w:themeColor="text1"/>
        </w:rPr>
        <w:t>(Ribot 1999; Ribot &amp; Larson 2013)</w:t>
      </w:r>
      <w:r w:rsidR="00485C4B">
        <w:rPr>
          <w:color w:val="000000" w:themeColor="text1"/>
        </w:rPr>
        <w:fldChar w:fldCharType="end"/>
      </w:r>
      <w:r w:rsidR="001F491C" w:rsidRPr="004904D8">
        <w:rPr>
          <w:color w:val="000000" w:themeColor="text1"/>
        </w:rPr>
        <w:t xml:space="preserve">. </w:t>
      </w:r>
      <w:r w:rsidR="00DD39E8" w:rsidRPr="00785A38">
        <w:rPr>
          <w:color w:val="000000" w:themeColor="text1"/>
        </w:rPr>
        <w:t>A</w:t>
      </w:r>
      <w:r w:rsidR="001F491C" w:rsidRPr="00785A38">
        <w:rPr>
          <w:color w:val="000000" w:themeColor="text1"/>
        </w:rPr>
        <w:t xml:space="preserve">lthough there are many advantages linked to </w:t>
      </w:r>
      <w:r w:rsidR="009B35A7">
        <w:rPr>
          <w:color w:val="000000" w:themeColor="text1"/>
        </w:rPr>
        <w:t>C</w:t>
      </w:r>
      <w:r w:rsidR="001F491C" w:rsidRPr="00785A38">
        <w:rPr>
          <w:color w:val="000000" w:themeColor="text1"/>
        </w:rPr>
        <w:t>ommunity-</w:t>
      </w:r>
      <w:r w:rsidR="009B35A7">
        <w:rPr>
          <w:color w:val="000000" w:themeColor="text1"/>
        </w:rPr>
        <w:t>based Natural Resource M</w:t>
      </w:r>
      <w:r w:rsidR="001F491C" w:rsidRPr="00785A38">
        <w:rPr>
          <w:color w:val="000000" w:themeColor="text1"/>
        </w:rPr>
        <w:t>anagement (CBNRM),</w:t>
      </w:r>
      <w:r w:rsidR="001F491C" w:rsidRPr="00785A38">
        <w:rPr>
          <w:color w:val="000000" w:themeColor="text1"/>
          <w:shd w:val="clear" w:color="auto" w:fill="FFFFFF"/>
        </w:rPr>
        <w:t xml:space="preserve"> </w:t>
      </w:r>
      <w:r w:rsidR="001F491C" w:rsidRPr="00785A38">
        <w:rPr>
          <w:color w:val="000000" w:themeColor="text1"/>
        </w:rPr>
        <w:t xml:space="preserve">it often requires certain enabling conditions to succeed; the most significant being </w:t>
      </w:r>
      <w:r w:rsidR="001F491C" w:rsidRPr="004904D8">
        <w:rPr>
          <w:color w:val="000000" w:themeColor="text1"/>
        </w:rPr>
        <w:t xml:space="preserve">the </w:t>
      </w:r>
      <w:r w:rsidR="00242E8E" w:rsidRPr="004904D8">
        <w:rPr>
          <w:color w:val="000000" w:themeColor="text1"/>
        </w:rPr>
        <w:t xml:space="preserve">initial </w:t>
      </w:r>
      <w:r w:rsidR="001F491C" w:rsidRPr="004904D8">
        <w:rPr>
          <w:color w:val="000000" w:themeColor="text1"/>
        </w:rPr>
        <w:t>devolution of natural resource management to communities, giving local people the rights and authority to manage their lands</w:t>
      </w:r>
      <w:r w:rsidR="00ED1E43" w:rsidRPr="00ED1E43">
        <w:rPr>
          <w:color w:val="000000" w:themeColor="text1"/>
        </w:rPr>
        <w:t xml:space="preserve"> </w:t>
      </w:r>
      <w:r w:rsidR="00485C4B">
        <w:rPr>
          <w:color w:val="000000" w:themeColor="text1"/>
        </w:rPr>
        <w:fldChar w:fldCharType="begin" w:fldLock="1"/>
      </w:r>
      <w:r w:rsidR="00B2630D">
        <w:rPr>
          <w:color w:val="000000" w:themeColor="text1"/>
        </w:rPr>
        <w:instrText>ADDIN CSL_CITATION {"citationItems":[{"id":"ITEM-1","itemData":{"author":[{"dropping-particle":"","family":"Nelson","given":"F","non-dropping-particle":"","parse-names":false,"suffix":""}],"id":"ITEM-1","issued":{"date-parts":[["2010"]]},"publisher-place":"Earthscan, London, UK, and New York, USA","title":"Community rights, conservation and contested land: the politics of natural resource governance in Africa","type":"report"},"uris":["http://www.mendeley.com/documents/?uuid=fe83c5dc-b244-4c52-a058-9c39c4929ed9"]}],"mendeley":{"formattedCitation":"(Nelson 2010)","plainTextFormattedCitation":"(Nelson 2010)","previouslyFormattedCitation":"(Nelson 2010)"},"properties":{"noteIndex":0},"schema":"https://github.com/citation-style-language/schema/raw/master/csl-citation.json"}</w:instrText>
      </w:r>
      <w:r w:rsidR="00485C4B">
        <w:rPr>
          <w:color w:val="000000" w:themeColor="text1"/>
        </w:rPr>
        <w:fldChar w:fldCharType="separate"/>
      </w:r>
      <w:r w:rsidR="00485C4B" w:rsidRPr="00485C4B">
        <w:rPr>
          <w:noProof/>
          <w:color w:val="000000" w:themeColor="text1"/>
        </w:rPr>
        <w:t>(Nelson 2010)</w:t>
      </w:r>
      <w:r w:rsidR="00485C4B">
        <w:rPr>
          <w:color w:val="000000" w:themeColor="text1"/>
        </w:rPr>
        <w:fldChar w:fldCharType="end"/>
      </w:r>
      <w:r w:rsidR="001F491C" w:rsidRPr="004904D8">
        <w:rPr>
          <w:color w:val="000000" w:themeColor="text1"/>
        </w:rPr>
        <w:t xml:space="preserve">. </w:t>
      </w:r>
      <w:r w:rsidR="00242E8E" w:rsidRPr="005512D2">
        <w:rPr>
          <w:color w:val="000000" w:themeColor="text1"/>
        </w:rPr>
        <w:t>W</w:t>
      </w:r>
      <w:r w:rsidR="001F491C" w:rsidRPr="005512D2">
        <w:rPr>
          <w:color w:val="000000" w:themeColor="text1"/>
        </w:rPr>
        <w:t xml:space="preserve">ildlife and land tenure legislation must be harmonised to support the development of local management institutions, and national governments </w:t>
      </w:r>
      <w:r w:rsidR="001F491C" w:rsidRPr="003E3238">
        <w:rPr>
          <w:color w:val="000000" w:themeColor="text1"/>
        </w:rPr>
        <w:t>must create an enabling environment in which communities, civil society and the private sector can develop suitable models of land and natural resource managemen</w:t>
      </w:r>
      <w:r w:rsidR="009510A7">
        <w:rPr>
          <w:color w:val="000000" w:themeColor="text1"/>
        </w:rPr>
        <w:t xml:space="preserve">t. </w:t>
      </w:r>
      <w:r w:rsidR="001F491C" w:rsidRPr="003E3238">
        <w:rPr>
          <w:color w:val="000000" w:themeColor="text1"/>
        </w:rPr>
        <w:t xml:space="preserve">There are many governance models that aim for increased local participation in different ways, from </w:t>
      </w:r>
      <w:r w:rsidR="00242E8E" w:rsidRPr="00EE2428">
        <w:rPr>
          <w:color w:val="000000" w:themeColor="text1"/>
        </w:rPr>
        <w:t xml:space="preserve">de-concentration </w:t>
      </w:r>
      <w:r w:rsidR="001F491C" w:rsidRPr="00EE2428">
        <w:rPr>
          <w:color w:val="000000" w:themeColor="text1"/>
        </w:rPr>
        <w:t>of power to local government representatives, to co-management with local communities, to full devolution of land rights</w:t>
      </w:r>
      <w:r w:rsidR="009510A7">
        <w:rPr>
          <w:color w:val="000000" w:themeColor="text1"/>
        </w:rPr>
        <w:t xml:space="preserve"> </w:t>
      </w:r>
      <w:r w:rsidR="009510A7">
        <w:rPr>
          <w:color w:val="000000" w:themeColor="text1"/>
        </w:rPr>
        <w:fldChar w:fldCharType="begin" w:fldLock="1"/>
      </w:r>
      <w:r w:rsidR="009510A7">
        <w:rPr>
          <w:color w:val="000000" w:themeColor="text1"/>
        </w:rPr>
        <w:instrText>ADDIN CSL_CITATION {"citationItems":[{"id":"ITEM-1","itemData":{"ISBN":"9781843697558","ISSN":"1605-1017","abstract":"Across sub-Saharan Africa, natural resources remain central to rural people’s livelihoods. Local norms and customs shape people’s everyday forms of resource use. In contrast, the commercial uses of natural resources often remain highly centralized, conditioned by government policies of the colonial and post-colonial eras. During the past several decades, there has been a shift from this predominantly centralized natural resource management towards more devolved models known very broadly as Community-Based Natural Resource Management (CBNRM). CBNRM models work to strengthen locally accountable institutions for natural resource use and management, enabling local groups of people to make better decisions about the use of land and resources. Because it involves the transfer of authority over natural resources to local communities, including of potentially valuable resources such as wildlife and timber, CBNRM is often about major institutional reforms and fundamental changes in power. This pan-African review of the impacts, challenges, and future directions of CBNRM highlights the diverse range of forms of community involvement in natural resource management that have emerged across the continent during the past twenty years. CBNRM means different things to different actors in different places across sub-Saharan Africa. In much of western and central Africa, CBNRM is interpreted by government authorities, donor agencies, and NGOs as benefit-sharing or outreach between national parks and adjacent communities. In such instances communities are not empowered as authorized local resource managers but are involved principally as passive recipients of benefits controlled elsewhere. This form of outreach and benefit-sharing is also a characteristic of some protected area management in East African countries. In Southern Africa, CBNRM is most clearly defined in terms of the devolution of rights to make management decisions, and capture benefits, in relation to resources located on communal lands. In all instances CBNRM involves some degree of co-management of resources between central authorities, local government, and local communities which share rights and responsibilities through diverse institutional arrangements. The various forms of CBNRM and their many locally-specific adaptations have greatly diversified approaches to natural resource governance in sub-Saharan Africa. Some notable ecological, economic, and institutional achievements have been documented.","author":[{"dropping-particle":"","family":"Roe","given":"Dilys","non-dropping-particle":"","parse-names":false,"suffix":""},{"dropping-particle":"","family":"Nelson","given":"Fred","non-dropping-particle":"","parse-names":false,"suffix":""},{"dropping-particle":"","family":"Sandbrook","given":"Chris","non-dropping-particle":"","parse-names":false,"suffix":""}],"id":"ITEM-1","issued":{"date-parts":[["2009"]]},"number-of-pages":"207","title":"Community management of natural resources in Africa: impacts, experiences and future directions","type":"book"},"uris":["http://www.mendeley.com/documents/?uuid=3e3b5fac-4311-4b0b-81b0-ae6aef9ae38a"]}],"mendeley":{"formattedCitation":"(Roe et al. 2009)","plainTextFormattedCitation":"(Roe et al. 2009)","previouslyFormattedCitation":"(Roe et al. 2009)"},"properties":{"noteIndex":0},"schema":"https://github.com/citation-style-language/schema/raw/master/csl-citation.json"}</w:instrText>
      </w:r>
      <w:r w:rsidR="009510A7">
        <w:rPr>
          <w:color w:val="000000" w:themeColor="text1"/>
        </w:rPr>
        <w:fldChar w:fldCharType="separate"/>
      </w:r>
      <w:r w:rsidR="009510A7" w:rsidRPr="009510A7">
        <w:rPr>
          <w:noProof/>
          <w:color w:val="000000" w:themeColor="text1"/>
        </w:rPr>
        <w:t>(Roe et al. 2009)</w:t>
      </w:r>
      <w:r w:rsidR="009510A7">
        <w:rPr>
          <w:color w:val="000000" w:themeColor="text1"/>
        </w:rPr>
        <w:fldChar w:fldCharType="end"/>
      </w:r>
      <w:r w:rsidR="001F491C" w:rsidRPr="00EE2428">
        <w:rPr>
          <w:color w:val="000000" w:themeColor="text1"/>
        </w:rPr>
        <w:t>.</w:t>
      </w:r>
      <w:r w:rsidR="009503F7">
        <w:rPr>
          <w:color w:val="000000" w:themeColor="text1"/>
        </w:rPr>
        <w:t xml:space="preserve"> A synthesis of the lessons learned and best practice for CBNRM success is provided by </w:t>
      </w:r>
      <w:r w:rsidR="00485C4B">
        <w:rPr>
          <w:color w:val="000000" w:themeColor="text1"/>
        </w:rPr>
        <w:fldChar w:fldCharType="begin" w:fldLock="1"/>
      </w:r>
      <w:r w:rsidR="00A11C8C">
        <w:rPr>
          <w:color w:val="000000" w:themeColor="text1"/>
        </w:rPr>
        <w:instrText>ADDIN CSL_CITATION {"citationItems":[{"id":"ITEM-1","itemData":{"ISBN":"9789280736960","author":[{"dropping-particle":"","family":"Cooney","given":"R","non-dropping-particle":"","parse-names":false,"suffix":""},{"dropping-particle":"","family":"Roe","given":"D","non-dropping-particle":"","parse-names":false,"suffix":""},{"dropping-particle":"","family":"Dublin","given":"H","non-dropping-particle":"","parse-names":false,"suffix":""},{"dropping-particle":"","family":"Booker","given":"F","non-dropping-particle":"","parse-names":false,"suffix":""}],"id":"ITEM-1","issued":{"date-parts":[["2018"]]},"publisher-place":"United Nations Environment Programme, Nairobi, Kenya","title":"Wild life, wild livelihoods: involving communities in sustainable wildlife management and combating illegal wildlife trade","type":"report"},"uris":["http://www.mendeley.com/documents/?uuid=685f5ffa-5b74-46e7-b7d2-36f8480346cf"]}],"mendeley":{"formattedCitation":"(Cooney et al. 2018)","manualFormatting":"Cooney et al. (2018)","plainTextFormattedCitation":"(Cooney et al. 2018)","previouslyFormattedCitation":"(Cooney et al. 2018)"},"properties":{"noteIndex":0},"schema":"https://github.com/citation-style-language/schema/raw/master/csl-citation.json"}</w:instrText>
      </w:r>
      <w:r w:rsidR="00485C4B">
        <w:rPr>
          <w:color w:val="000000" w:themeColor="text1"/>
        </w:rPr>
        <w:fldChar w:fldCharType="separate"/>
      </w:r>
      <w:r w:rsidR="00485C4B" w:rsidRPr="00485C4B">
        <w:rPr>
          <w:noProof/>
          <w:color w:val="000000" w:themeColor="text1"/>
        </w:rPr>
        <w:t xml:space="preserve">Cooney et al. </w:t>
      </w:r>
      <w:r w:rsidR="00485C4B">
        <w:rPr>
          <w:noProof/>
          <w:color w:val="000000" w:themeColor="text1"/>
        </w:rPr>
        <w:t>(</w:t>
      </w:r>
      <w:r w:rsidR="00485C4B" w:rsidRPr="00485C4B">
        <w:rPr>
          <w:noProof/>
          <w:color w:val="000000" w:themeColor="text1"/>
        </w:rPr>
        <w:t>2018)</w:t>
      </w:r>
      <w:r w:rsidR="00485C4B">
        <w:rPr>
          <w:color w:val="000000" w:themeColor="text1"/>
        </w:rPr>
        <w:fldChar w:fldCharType="end"/>
      </w:r>
      <w:r w:rsidR="009503F7">
        <w:rPr>
          <w:color w:val="000000" w:themeColor="text1"/>
        </w:rPr>
        <w:t xml:space="preserve">, in  </w:t>
      </w:r>
      <w:hyperlink r:id="rId115" w:history="1">
        <w:r w:rsidR="009503F7" w:rsidRPr="009503F7">
          <w:rPr>
            <w:rStyle w:val="Hyperlink"/>
          </w:rPr>
          <w:t>Wild Life, Wild Livelihoods</w:t>
        </w:r>
      </w:hyperlink>
      <w:r w:rsidR="009503F7">
        <w:rPr>
          <w:color w:val="000000" w:themeColor="text1"/>
        </w:rPr>
        <w:t xml:space="preserve">. </w:t>
      </w:r>
    </w:p>
    <w:p w14:paraId="3F2CC491" w14:textId="225315E3" w:rsidR="00FC4DAF" w:rsidRPr="00FC4DAF" w:rsidRDefault="0077363A" w:rsidP="00E64E1D">
      <w:pPr>
        <w:jc w:val="both"/>
      </w:pPr>
      <w:r>
        <w:t>I</w:t>
      </w:r>
      <w:r w:rsidR="002C64CB">
        <w:t xml:space="preserve">ndigenous </w:t>
      </w:r>
      <w:r>
        <w:t>P</w:t>
      </w:r>
      <w:r w:rsidR="002C64CB">
        <w:t xml:space="preserve">eoples and </w:t>
      </w:r>
      <w:r>
        <w:t>L</w:t>
      </w:r>
      <w:r w:rsidR="002C64CB">
        <w:t xml:space="preserve">ocal </w:t>
      </w:r>
      <w:r>
        <w:t>C</w:t>
      </w:r>
      <w:r w:rsidR="002C64CB">
        <w:t>ommunitie</w:t>
      </w:r>
      <w:r>
        <w:t>s</w:t>
      </w:r>
      <w:r w:rsidR="00FC4DAF" w:rsidRPr="00FC4DAF">
        <w:t xml:space="preserve"> live on and manage more than 50% of the world’s land area. Despite existing laws that secure their rights, they have formal legal ownership of just 10% </w:t>
      </w:r>
      <w:r w:rsidR="009510A7">
        <w:fldChar w:fldCharType="begin" w:fldLock="1"/>
      </w:r>
      <w:r w:rsidR="009510A7">
        <w:instrText>ADDIN CSL_CITATION {"citationItems":[{"id":"ITEM-1","itemData":{"abstract":"RRI released a first-of-its-kind baseline to quantify the amount of land formally recognized by national governments as owned by Indigenous Peoples and local communities.","author":[{"dropping-particle":"","family":"Rights and Resources Initiative","given":"","non-dropping-particle":"","parse-names":false,"suffix":""}],"id":"ITEM-1","issue":"September","issued":{"date-parts":[["2015"]]},"page":"56","title":"Who owns the Worlds land? A global baseline of formally recognized indigenous and community land rights","type":"article-journal"},"uris":["http://www.mendeley.com/documents/?uuid=449a2a9d-9498-47d7-8d1c-60b90161b8d2"]}],"mendeley":{"formattedCitation":"(Rights and Resources Initiative 2015)","plainTextFormattedCitation":"(Rights and Resources Initiative 2015)","previouslyFormattedCitation":"(Rights and Resources Initiative 2015)"},"properties":{"noteIndex":0},"schema":"https://github.com/citation-style-language/schema/raw/master/csl-citation.json"}</w:instrText>
      </w:r>
      <w:r w:rsidR="009510A7">
        <w:fldChar w:fldCharType="separate"/>
      </w:r>
      <w:r w:rsidR="009510A7" w:rsidRPr="009510A7">
        <w:rPr>
          <w:noProof/>
        </w:rPr>
        <w:t>(Rights and Resources Initiative 2015)</w:t>
      </w:r>
      <w:r w:rsidR="009510A7">
        <w:fldChar w:fldCharType="end"/>
      </w:r>
      <w:r w:rsidR="00FC4DAF" w:rsidRPr="00FC4DAF">
        <w:t>. </w:t>
      </w:r>
      <w:r w:rsidR="001F491C" w:rsidRPr="0064175F">
        <w:t xml:space="preserve">While some countries have moved to a more devolved system of land rights </w:t>
      </w:r>
      <w:r w:rsidR="00485C4B">
        <w:fldChar w:fldCharType="begin" w:fldLock="1"/>
      </w:r>
      <w:r w:rsidR="00485C4B">
        <w:instrText>ADDIN CSL_CITATION {"citationItems":[{"id":"ITEM-1","itemData":{"author":[{"dropping-particle":"","family":"Ubink","given":"J M","non-dropping-particle":"","parse-names":false,"suffix":""},{"dropping-particle":"","family":"Hoekema","given":"A J","non-dropping-particle":"","parse-names":false,"suffix":""},{"dropping-particle":"","family":"Assies","given":"W J","non-dropping-particle":"","parse-names":false,"suffix":""}],"id":"ITEM-1","issued":{"date-parts":[["2016"]]},"publisher-place":"Leiden University Press, Leiden, Netherlands","title":"Legalising land rights. Local practices, state responses and tenure security in Africa, Asia and Latin America","type":"report"},"uris":["http://www.mendeley.com/documents/?uuid=e7b13edd-8af7-4c5a-adb1-49df5ec89e26"]}],"mendeley":{"formattedCitation":"(Ubink et al. 2016)","plainTextFormattedCitation":"(Ubink et al. 2016)","previouslyFormattedCitation":"(Ubink et al. 2016)"},"properties":{"noteIndex":0},"schema":"https://github.com/citation-style-language/schema/raw/master/csl-citation.json"}</w:instrText>
      </w:r>
      <w:r w:rsidR="00485C4B">
        <w:fldChar w:fldCharType="separate"/>
      </w:r>
      <w:r w:rsidR="00485C4B" w:rsidRPr="00485C4B">
        <w:rPr>
          <w:noProof/>
        </w:rPr>
        <w:t>(Ubink et al. 2016)</w:t>
      </w:r>
      <w:r w:rsidR="00485C4B">
        <w:fldChar w:fldCharType="end"/>
      </w:r>
      <w:r w:rsidR="001F491C" w:rsidRPr="0064175F">
        <w:t xml:space="preserve">, although not </w:t>
      </w:r>
      <w:r w:rsidR="001F491C" w:rsidRPr="0070404D">
        <w:t xml:space="preserve">without problems (see </w:t>
      </w:r>
      <w:r w:rsidR="00485C4B">
        <w:fldChar w:fldCharType="begin" w:fldLock="1"/>
      </w:r>
      <w:r w:rsidR="00485C4B">
        <w:instrText>ADDIN CSL_CITATION {"citationItems":[{"id":"ITEM-1","itemData":{"DOI":"10.1146/annurev.anthro.33.070203.143844","ISBN":"0084-6570","ISSN":"0084-6570","abstract":"AbstractIn a number of countries in Latin America, recent changes in the constitutional and legislative environment under which indigenous people hold or claim land and natural resource rights have triggered a number of processes and projects to demarcate, legalize, or otherwise consolidate indigenous lands. This review begins with a look at Nicaragua and goes on to examine five of the South American processes, allegedly with the most favorable legal and policy environments, and concludes that they suffer from common problems related to (a) the amount of land and resources being claimed by relatively small numbers of people, (b) the contestation of the claims by non-indigenous sectors, and (c) the nature of indigenous organizations and the NGOs that support them. The confrontation between policy and reality yields some lessons for the future.","author":[{"dropping-particle":"","family":"Stocks","given":"Anthony","non-dropping-particle":"","parse-names":false,"suffix":""}],"container-title":"Annual Review of Anthropology","id":"ITEM-1","issue":"1","issued":{"date-parts":[["2005"]]},"page":"85-104","title":"Too much for too few: problems of indigenous land rights in Latin America","type":"article-journal","volume":"34"},"uris":["http://www.mendeley.com/documents/?uuid=d2bb14d2-6b39-4f67-b2d5-8763f297d749"]}],"mendeley":{"formattedCitation":"(Stocks 2005)","manualFormatting":"Stocks 2005","plainTextFormattedCitation":"(Stocks 2005)","previouslyFormattedCitation":"(Stocks 2005)"},"properties":{"noteIndex":0},"schema":"https://github.com/citation-style-language/schema/raw/master/csl-citation.json"}</w:instrText>
      </w:r>
      <w:r w:rsidR="00485C4B">
        <w:fldChar w:fldCharType="separate"/>
      </w:r>
      <w:r w:rsidR="00485C4B" w:rsidRPr="00485C4B">
        <w:rPr>
          <w:noProof/>
        </w:rPr>
        <w:t>Stocks 2005</w:t>
      </w:r>
      <w:r w:rsidR="00485C4B">
        <w:fldChar w:fldCharType="end"/>
      </w:r>
      <w:r w:rsidR="001F491C" w:rsidRPr="0070404D">
        <w:t xml:space="preserve"> for example</w:t>
      </w:r>
      <w:r w:rsidR="005F756D" w:rsidRPr="0070404D">
        <w:t>s</w:t>
      </w:r>
      <w:r w:rsidR="001F491C" w:rsidRPr="0070404D">
        <w:t>), others have retained centralised governance models, which have delayed the emergence of CBNRM</w:t>
      </w:r>
      <w:r w:rsidR="001F491C" w:rsidRPr="0070404D" w:rsidDel="00C36C69">
        <w:t xml:space="preserve"> </w:t>
      </w:r>
      <w:r w:rsidR="001F491C" w:rsidRPr="0070404D">
        <w:t>systems</w:t>
      </w:r>
      <w:r w:rsidR="00242E8E" w:rsidRPr="0070404D">
        <w:t xml:space="preserve"> </w:t>
      </w:r>
      <w:r w:rsidR="009510A7">
        <w:fldChar w:fldCharType="begin" w:fldLock="1"/>
      </w:r>
      <w:r w:rsidR="009510A7">
        <w:instrText>ADDIN CSL_CITATION {"citationItems":[{"id":"ITEM-1","itemData":{"ISBN":"9781843697558","ISSN":"1605-1017","abstract":"Across sub-Saharan Africa, natural resources remain central to rural people’s livelihoods. Local norms and customs shape people’s everyday forms of resource use. In contrast, the commercial uses of natural resources often remain highly centralized, conditioned by government policies of the colonial and post-colonial eras. During the past several decades, there has been a shift from this predominantly centralized natural resource management towards more devolved models known very broadly as Community-Based Natural Resource Management (CBNRM). CBNRM models work to strengthen locally accountable institutions for natural resource use and management, enabling local groups of people to make better decisions about the use of land and resources. Because it involves the transfer of authority over natural resources to local communities, including of potentially valuable resources such as wildlife and timber, CBNRM is often about major institutional reforms and fundamental changes in power. This pan-African review of the impacts, challenges, and future directions of CBNRM highlights the diverse range of forms of community involvement in natural resource management that have emerged across the continent during the past twenty years. CBNRM means different things to different actors in different places across sub-Saharan Africa. In much of western and central Africa, CBNRM is interpreted by government authorities, donor agencies, and NGOs as benefit-sharing or outreach between national parks and adjacent communities. In such instances communities are not empowered as authorized local resource managers but are involved principally as passive recipients of benefits controlled elsewhere. This form of outreach and benefit-sharing is also a characteristic of some protected area management in East African countries. In Southern Africa, CBNRM is most clearly defined in terms of the devolution of rights to make management decisions, and capture benefits, in relation to resources located on communal lands. In all instances CBNRM involves some degree of co-management of resources between central authorities, local government, and local communities which share rights and responsibilities through diverse institutional arrangements. The various forms of CBNRM and their many locally-specific adaptations have greatly diversified approaches to natural resource governance in sub-Saharan Africa. Some notable ecological, economic, and institutional achievements have been documented.","author":[{"dropping-particle":"","family":"Roe","given":"Dilys","non-dropping-particle":"","parse-names":false,"suffix":""},{"dropping-particle":"","family":"Nelson","given":"Fred","non-dropping-particle":"","parse-names":false,"suffix":""},{"dropping-particle":"","family":"Sandbrook","given":"Chris","non-dropping-particle":"","parse-names":false,"suffix":""}],"id":"ITEM-1","issued":{"date-parts":[["2009"]]},"number-of-pages":"207","title":"Community management of natural resources in Africa: impacts, experiences and future directions","type":"book"},"uris":["http://www.mendeley.com/documents/?uuid=3e3b5fac-4311-4b0b-81b0-ae6aef9ae38a"]}],"mendeley":{"formattedCitation":"(Roe et al. 2009)","plainTextFormattedCitation":"(Roe et al. 2009)","previouslyFormattedCitation":"(Roe et al. 2009)"},"properties":{"noteIndex":0},"schema":"https://github.com/citation-style-language/schema/raw/master/csl-citation.json"}</w:instrText>
      </w:r>
      <w:r w:rsidR="009510A7">
        <w:fldChar w:fldCharType="separate"/>
      </w:r>
      <w:r w:rsidR="009510A7" w:rsidRPr="009510A7">
        <w:rPr>
          <w:noProof/>
        </w:rPr>
        <w:t>(Roe et al. 2009)</w:t>
      </w:r>
      <w:r w:rsidR="009510A7">
        <w:fldChar w:fldCharType="end"/>
      </w:r>
      <w:r w:rsidR="001F491C" w:rsidRPr="0070404D">
        <w:t xml:space="preserve">. Probably in large part due to the absence </w:t>
      </w:r>
      <w:r w:rsidR="001F491C" w:rsidRPr="0070404D">
        <w:lastRenderedPageBreak/>
        <w:t xml:space="preserve">of a satisfactory enabling environment, there have been few CBNRM success stories (and even frequent failures) reported during the last few decades </w:t>
      </w:r>
      <w:r w:rsidR="00485C4B">
        <w:fldChar w:fldCharType="begin" w:fldLock="1"/>
      </w:r>
      <w:r w:rsidR="00846866">
        <w:instrText>ADDIN CSL_CITATION {"citationItems":[{"id":"ITEM-1","itemData":{"author":[{"dropping-particle":"","family":"Jones","given":"B.","non-dropping-particle":"","parse-names":false,"suffix":""},{"dropping-particle":"","family":"Murphree","given":"M.","non-dropping-particle":"","parse-names":false,"suffix":""}],"container-title":"African Wildlife and African Livelihoods: the promise and performance of community conservation.","id":"ITEM-1","issued":{"date-parts":[["2001"]]},"publisher":"James Currey","publisher-place":"Oxford","title":"The evolution of policy on community conservation in Namibia and Zimbabwe.","type":"chapter"},"uris":["http://www.mendeley.com/documents/?uuid=c7dacb08-cad6-4ecf-aebc-da2fe5e44257"]}],"mendeley":{"formattedCitation":"(Jones &amp; Murphree 2001)","plainTextFormattedCitation":"(Jones &amp; Murphree 2001)","previouslyFormattedCitation":"(Jones &amp; Murphree 2001)"},"properties":{"noteIndex":0},"schema":"https://github.com/citation-style-language/schema/raw/master/csl-citation.json"}</w:instrText>
      </w:r>
      <w:r w:rsidR="00485C4B">
        <w:fldChar w:fldCharType="separate"/>
      </w:r>
      <w:r w:rsidR="00485C4B" w:rsidRPr="00485C4B">
        <w:rPr>
          <w:noProof/>
        </w:rPr>
        <w:t>(Jones &amp; Murphree 2001)</w:t>
      </w:r>
      <w:r w:rsidR="00485C4B">
        <w:fldChar w:fldCharType="end"/>
      </w:r>
      <w:r w:rsidR="00242E8E" w:rsidRPr="004904D8">
        <w:t xml:space="preserve">, which </w:t>
      </w:r>
      <w:r w:rsidR="00E71425">
        <w:t>has</w:t>
      </w:r>
      <w:r w:rsidR="00242E8E" w:rsidRPr="004904D8">
        <w:t xml:space="preserve"> </w:t>
      </w:r>
      <w:r w:rsidR="001F491C" w:rsidRPr="004904D8">
        <w:t xml:space="preserve">reduced support for CBNRM by conservation donors and NGOs. </w:t>
      </w:r>
    </w:p>
    <w:p w14:paraId="78158911" w14:textId="78739CF2" w:rsidR="00FC4DAF" w:rsidRDefault="00242E8E" w:rsidP="00C258BC">
      <w:pPr>
        <w:jc w:val="both"/>
        <w:rPr>
          <w:color w:val="000000" w:themeColor="text1"/>
        </w:rPr>
      </w:pPr>
      <w:r w:rsidRPr="004904D8">
        <w:rPr>
          <w:color w:val="000000" w:themeColor="text1"/>
        </w:rPr>
        <w:t xml:space="preserve">An </w:t>
      </w:r>
      <w:r w:rsidRPr="00FC4DAF">
        <w:t xml:space="preserve">enabling environment </w:t>
      </w:r>
      <w:r w:rsidR="001F491C" w:rsidRPr="00FC4DAF">
        <w:t xml:space="preserve">for </w:t>
      </w:r>
      <w:r w:rsidRPr="00FC4DAF">
        <w:t xml:space="preserve">successful </w:t>
      </w:r>
      <w:r w:rsidR="001F491C" w:rsidRPr="00FC4DAF">
        <w:t xml:space="preserve">community-based sustainable wildlife management </w:t>
      </w:r>
      <w:r w:rsidR="00F862D1" w:rsidRPr="00FC4DAF">
        <w:t>would ideally include</w:t>
      </w:r>
      <w:r w:rsidR="00F862D1" w:rsidRPr="003E3238">
        <w:rPr>
          <w:color w:val="000000" w:themeColor="text1"/>
        </w:rPr>
        <w:t>:</w:t>
      </w:r>
    </w:p>
    <w:p w14:paraId="22AB8603" w14:textId="77777777" w:rsidR="00F862D1" w:rsidRPr="008F376F" w:rsidRDefault="00F862D1" w:rsidP="00C258BC">
      <w:pPr>
        <w:pStyle w:val="ListParagraph"/>
        <w:numPr>
          <w:ilvl w:val="0"/>
          <w:numId w:val="58"/>
        </w:numPr>
        <w:jc w:val="both"/>
        <w:rPr>
          <w:b/>
          <w:i/>
          <w:color w:val="000000" w:themeColor="text1"/>
        </w:rPr>
      </w:pPr>
      <w:r w:rsidRPr="008F376F">
        <w:rPr>
          <w:b/>
          <w:i/>
          <w:color w:val="000000" w:themeColor="text1"/>
        </w:rPr>
        <w:t>Recognition of a local governance structure for the management of hunting:</w:t>
      </w:r>
    </w:p>
    <w:p w14:paraId="2940F16A" w14:textId="77777777" w:rsidR="00F862D1" w:rsidRDefault="00F862D1" w:rsidP="00C258BC">
      <w:pPr>
        <w:pStyle w:val="Para1"/>
        <w:numPr>
          <w:ilvl w:val="0"/>
          <w:numId w:val="9"/>
        </w:numPr>
        <w:ind w:left="0" w:firstLine="720"/>
        <w:jc w:val="both"/>
        <w:rPr>
          <w:rFonts w:eastAsia="Batang" w:cs="Times New Roman"/>
          <w:iCs/>
          <w:snapToGrid w:val="0"/>
          <w:color w:val="000000" w:themeColor="text1"/>
          <w:kern w:val="22"/>
          <w:lang w:eastAsia="ja-JP" w:bidi="th-TH"/>
        </w:rPr>
      </w:pPr>
      <w:r w:rsidRPr="0070404D">
        <w:rPr>
          <w:rFonts w:eastAsia="Batang" w:cs="Times New Roman"/>
          <w:iCs/>
          <w:snapToGrid w:val="0"/>
          <w:color w:val="000000" w:themeColor="text1"/>
          <w:kern w:val="22"/>
          <w:lang w:eastAsia="ja-JP" w:bidi="th-TH"/>
        </w:rPr>
        <w:t xml:space="preserve">Local communities and hunters are explicitly interested in benefiting from their rights to use wildlife, including customary rights, and take the responsibility to be accountable for its sustainability and habitat conservation. </w:t>
      </w:r>
    </w:p>
    <w:p w14:paraId="3B7A3E8F" w14:textId="2D371CBA" w:rsidR="00F862D1" w:rsidRPr="001C53FF" w:rsidRDefault="00F862D1" w:rsidP="00C258BC">
      <w:pPr>
        <w:pStyle w:val="Para1"/>
        <w:numPr>
          <w:ilvl w:val="0"/>
          <w:numId w:val="9"/>
        </w:numPr>
        <w:ind w:left="0" w:firstLine="720"/>
        <w:jc w:val="both"/>
        <w:rPr>
          <w:rFonts w:eastAsia="Batang" w:cs="Times New Roman"/>
          <w:iCs/>
          <w:snapToGrid w:val="0"/>
          <w:color w:val="000000" w:themeColor="text1"/>
          <w:kern w:val="22"/>
          <w:lang w:eastAsia="ja-JP" w:bidi="th-TH"/>
        </w:rPr>
      </w:pPr>
      <w:r w:rsidRPr="00EE2428">
        <w:rPr>
          <w:rFonts w:eastAsia="Batang" w:cs="Times New Roman"/>
          <w:iCs/>
          <w:snapToGrid w:val="0"/>
          <w:color w:val="000000" w:themeColor="text1"/>
          <w:kern w:val="22"/>
          <w:lang w:eastAsia="ja-JP" w:bidi="th-TH"/>
        </w:rPr>
        <w:t>Communities have social cohesion (i.e</w:t>
      </w:r>
      <w:r>
        <w:rPr>
          <w:rFonts w:eastAsia="Batang" w:cs="Times New Roman"/>
          <w:iCs/>
          <w:snapToGrid w:val="0"/>
          <w:color w:val="000000" w:themeColor="text1"/>
          <w:kern w:val="22"/>
          <w:lang w:eastAsia="ja-JP" w:bidi="th-TH"/>
        </w:rPr>
        <w:t>. members</w:t>
      </w:r>
      <w:r w:rsidRPr="00EE2428">
        <w:rPr>
          <w:rFonts w:eastAsia="Batang" w:cs="Times New Roman"/>
          <w:iCs/>
          <w:snapToGrid w:val="0"/>
          <w:color w:val="000000" w:themeColor="text1"/>
          <w:kern w:val="22"/>
          <w:lang w:eastAsia="ja-JP" w:bidi="th-TH"/>
        </w:rPr>
        <w:t xml:space="preserve"> trust one another and feel kinship with their community neighbours) sufficient to take collective act</w:t>
      </w:r>
      <w:r w:rsidR="00FC4DAF">
        <w:rPr>
          <w:rFonts w:eastAsia="Batang" w:cs="Times New Roman"/>
          <w:iCs/>
          <w:snapToGrid w:val="0"/>
          <w:color w:val="000000" w:themeColor="text1"/>
          <w:kern w:val="22"/>
          <w:lang w:eastAsia="ja-JP" w:bidi="th-TH"/>
        </w:rPr>
        <w:t xml:space="preserve">ions to address shared problems. </w:t>
      </w:r>
      <w:r w:rsidRPr="001C53FF">
        <w:rPr>
          <w:rFonts w:eastAsia="Batang" w:cs="Times New Roman"/>
          <w:iCs/>
          <w:snapToGrid w:val="0"/>
          <w:color w:val="000000" w:themeColor="text1"/>
          <w:kern w:val="22"/>
          <w:lang w:eastAsia="ja-JP" w:bidi="th-TH"/>
        </w:rPr>
        <w:t>The corresponding right holders are identified and formally recognized to prevent non-right holders (illegitimate users) abusing the use of wildlife resources. The relationship between individuals and their community must be clearly visible in this legislation. i.e. if rights are given at community-level, the membership of this community must be clearly defined at the individual level, including the rights pertaining to an individual who does not wish to act within the community, even though they have traditional membership.</w:t>
      </w:r>
    </w:p>
    <w:p w14:paraId="5DB7FC13" w14:textId="2C308BAB" w:rsidR="00F862D1" w:rsidRDefault="00F862D1" w:rsidP="00C258BC">
      <w:pPr>
        <w:pStyle w:val="Para1"/>
        <w:numPr>
          <w:ilvl w:val="0"/>
          <w:numId w:val="9"/>
        </w:numPr>
        <w:ind w:left="0" w:firstLine="720"/>
        <w:jc w:val="both"/>
        <w:rPr>
          <w:rFonts w:eastAsia="Batang" w:cs="Times New Roman"/>
          <w:iCs/>
          <w:snapToGrid w:val="0"/>
          <w:color w:val="000000" w:themeColor="text1"/>
          <w:kern w:val="22"/>
          <w:lang w:eastAsia="ja-JP" w:bidi="th-TH"/>
        </w:rPr>
      </w:pPr>
      <w:r>
        <w:rPr>
          <w:rFonts w:eastAsia="Batang" w:cs="Times New Roman"/>
          <w:iCs/>
          <w:snapToGrid w:val="0"/>
          <w:color w:val="000000" w:themeColor="text1"/>
          <w:kern w:val="22"/>
          <w:lang w:eastAsia="ja-JP" w:bidi="th-TH"/>
        </w:rPr>
        <w:t>Community r</w:t>
      </w:r>
      <w:r w:rsidRPr="001C53FF">
        <w:rPr>
          <w:rFonts w:eastAsia="Batang" w:cs="Times New Roman"/>
          <w:iCs/>
          <w:snapToGrid w:val="0"/>
          <w:color w:val="000000" w:themeColor="text1"/>
          <w:kern w:val="22"/>
          <w:lang w:eastAsia="ja-JP" w:bidi="th-TH"/>
        </w:rPr>
        <w:t xml:space="preserve">ights over land and rights </w:t>
      </w:r>
      <w:r w:rsidRPr="001C53FF">
        <w:rPr>
          <w:snapToGrid w:val="0"/>
          <w:color w:val="000000" w:themeColor="text1"/>
          <w:lang w:eastAsia="ja-JP" w:bidi="th-TH"/>
        </w:rPr>
        <w:t xml:space="preserve">to manage and benefit from wildlife </w:t>
      </w:r>
      <w:r w:rsidRPr="001C53FF">
        <w:rPr>
          <w:rFonts w:eastAsia="Batang" w:cs="Times New Roman"/>
          <w:iCs/>
          <w:snapToGrid w:val="0"/>
          <w:color w:val="000000" w:themeColor="text1"/>
          <w:kern w:val="22"/>
          <w:lang w:eastAsia="ja-JP" w:bidi="th-TH"/>
        </w:rPr>
        <w:t xml:space="preserve">are clearly defined and </w:t>
      </w:r>
      <w:r w:rsidRPr="001C53FF">
        <w:rPr>
          <w:snapToGrid w:val="0"/>
          <w:color w:val="000000" w:themeColor="text1"/>
          <w:lang w:eastAsia="ja-JP" w:bidi="th-TH"/>
        </w:rPr>
        <w:t>recognized and defended by the State.</w:t>
      </w:r>
      <w:r w:rsidRPr="001C53FF">
        <w:rPr>
          <w:rFonts w:eastAsia="Batang" w:cs="Times New Roman"/>
          <w:iCs/>
          <w:snapToGrid w:val="0"/>
          <w:color w:val="000000" w:themeColor="text1"/>
          <w:kern w:val="22"/>
          <w:lang w:eastAsia="ja-JP" w:bidi="th-TH"/>
        </w:rPr>
        <w:t xml:space="preserve"> </w:t>
      </w:r>
      <w:r w:rsidRPr="003E3238">
        <w:rPr>
          <w:color w:val="000000" w:themeColor="text1"/>
        </w:rPr>
        <w:t xml:space="preserve">Procedural rights of </w:t>
      </w:r>
      <w:r w:rsidR="0077363A">
        <w:rPr>
          <w:color w:val="000000" w:themeColor="text1"/>
        </w:rPr>
        <w:t>IPLCs</w:t>
      </w:r>
      <w:r w:rsidRPr="003E3238">
        <w:rPr>
          <w:color w:val="000000" w:themeColor="text1"/>
        </w:rPr>
        <w:t xml:space="preserve"> such as access to information, participation in decision making and access to justice should be guaranteed.</w:t>
      </w:r>
      <w:r>
        <w:rPr>
          <w:color w:val="000000" w:themeColor="text1"/>
        </w:rPr>
        <w:t xml:space="preserve"> </w:t>
      </w:r>
      <w:r w:rsidRPr="005512D2">
        <w:rPr>
          <w:rFonts w:eastAsia="Batang" w:cs="Times New Roman"/>
          <w:iCs/>
          <w:snapToGrid w:val="0"/>
          <w:color w:val="000000" w:themeColor="text1"/>
          <w:kern w:val="22"/>
          <w:lang w:eastAsia="ja-JP" w:bidi="th-TH"/>
        </w:rPr>
        <w:t>Administrative procedures are simplified, available in local languages, and local</w:t>
      </w:r>
      <w:r>
        <w:rPr>
          <w:rFonts w:eastAsia="Batang" w:cs="Times New Roman"/>
          <w:iCs/>
          <w:snapToGrid w:val="0"/>
          <w:color w:val="000000" w:themeColor="text1"/>
          <w:kern w:val="22"/>
          <w:lang w:eastAsia="ja-JP" w:bidi="th-TH"/>
        </w:rPr>
        <w:t xml:space="preserve"> and community</w:t>
      </w:r>
      <w:r w:rsidRPr="005512D2">
        <w:rPr>
          <w:rFonts w:eastAsia="Batang" w:cs="Times New Roman"/>
          <w:iCs/>
          <w:snapToGrid w:val="0"/>
          <w:color w:val="000000" w:themeColor="text1"/>
          <w:kern w:val="22"/>
          <w:lang w:eastAsia="ja-JP" w:bidi="th-TH"/>
        </w:rPr>
        <w:t xml:space="preserve"> leadership capacities are developed</w:t>
      </w:r>
      <w:r>
        <w:rPr>
          <w:rFonts w:eastAsia="Batang" w:cs="Times New Roman"/>
          <w:iCs/>
          <w:snapToGrid w:val="0"/>
          <w:color w:val="000000" w:themeColor="text1"/>
          <w:kern w:val="22"/>
          <w:lang w:eastAsia="ja-JP" w:bidi="th-TH"/>
        </w:rPr>
        <w:t>;</w:t>
      </w:r>
    </w:p>
    <w:p w14:paraId="646869D3" w14:textId="65AD5678" w:rsidR="00F862D1" w:rsidRDefault="00F862D1" w:rsidP="00C258BC">
      <w:pPr>
        <w:pStyle w:val="Para1"/>
        <w:numPr>
          <w:ilvl w:val="0"/>
          <w:numId w:val="9"/>
        </w:numPr>
        <w:ind w:left="0" w:firstLine="720"/>
        <w:jc w:val="both"/>
        <w:rPr>
          <w:rFonts w:eastAsia="Batang" w:cs="Times New Roman"/>
          <w:iCs/>
          <w:snapToGrid w:val="0"/>
          <w:color w:val="000000" w:themeColor="text1"/>
          <w:kern w:val="22"/>
          <w:lang w:eastAsia="ja-JP" w:bidi="th-TH"/>
        </w:rPr>
      </w:pPr>
      <w:r w:rsidRPr="00F862D1">
        <w:rPr>
          <w:rFonts w:eastAsia="Batang" w:cs="Times New Roman"/>
          <w:iCs/>
          <w:snapToGrid w:val="0"/>
          <w:color w:val="000000" w:themeColor="text1"/>
          <w:kern w:val="22"/>
          <w:lang w:eastAsia="ja-JP" w:bidi="th-TH"/>
        </w:rPr>
        <w:t xml:space="preserve">Relevant authorities (e.g. government officials and local authorities, local communities) have the structures, capacity and budgets to support local communities in their management of </w:t>
      </w:r>
      <w:r w:rsidR="00A479D2" w:rsidRPr="001B297C">
        <w:rPr>
          <w:rFonts w:eastAsia="Batang" w:cs="Times New Roman"/>
          <w:iCs/>
          <w:snapToGrid w:val="0"/>
          <w:color w:val="000000" w:themeColor="text1"/>
          <w:kern w:val="22"/>
          <w:lang w:eastAsia="ja-JP" w:bidi="th-TH"/>
        </w:rPr>
        <w:t>wildlife and</w:t>
      </w:r>
      <w:r w:rsidRPr="001B297C">
        <w:rPr>
          <w:rFonts w:eastAsia="Batang" w:cs="Times New Roman"/>
          <w:iCs/>
          <w:snapToGrid w:val="0"/>
          <w:color w:val="000000" w:themeColor="text1"/>
          <w:kern w:val="22"/>
          <w:lang w:eastAsia="ja-JP" w:bidi="th-TH"/>
        </w:rPr>
        <w:t xml:space="preserve"> </w:t>
      </w:r>
      <w:r w:rsidRPr="00306DFB">
        <w:rPr>
          <w:rFonts w:eastAsia="Batang" w:cs="Times New Roman"/>
          <w:iCs/>
          <w:snapToGrid w:val="0"/>
          <w:color w:val="000000" w:themeColor="text1"/>
          <w:kern w:val="22"/>
          <w:lang w:eastAsia="ja-JP" w:bidi="th-TH"/>
        </w:rPr>
        <w:t>enforce local and national hunting rules</w:t>
      </w:r>
      <w:r w:rsidRPr="001B297C">
        <w:rPr>
          <w:rFonts w:eastAsia="Batang" w:cs="Times New Roman"/>
          <w:iCs/>
          <w:snapToGrid w:val="0"/>
          <w:color w:val="000000" w:themeColor="text1"/>
          <w:kern w:val="22"/>
          <w:lang w:eastAsia="ja-JP" w:bidi="th-TH"/>
        </w:rPr>
        <w:t xml:space="preserve">. Authorities should have the skills and knowledge to develop sustainable wildlife management plans in collaboration with local communities and other stakeholders. </w:t>
      </w:r>
    </w:p>
    <w:p w14:paraId="38A0BB82" w14:textId="07357038" w:rsidR="00F862D1" w:rsidRPr="00090FD0" w:rsidRDefault="00F862D1" w:rsidP="00090FD0">
      <w:pPr>
        <w:pStyle w:val="Para1"/>
        <w:numPr>
          <w:ilvl w:val="0"/>
          <w:numId w:val="9"/>
        </w:numPr>
        <w:ind w:left="0" w:firstLine="720"/>
        <w:jc w:val="both"/>
        <w:rPr>
          <w:rFonts w:eastAsia="Batang" w:cs="Times New Roman"/>
          <w:iCs/>
          <w:snapToGrid w:val="0"/>
          <w:color w:val="000000" w:themeColor="text1"/>
          <w:kern w:val="22"/>
          <w:lang w:eastAsia="ja-JP" w:bidi="th-TH"/>
        </w:rPr>
      </w:pPr>
      <w:r w:rsidRPr="00F862D1">
        <w:rPr>
          <w:rFonts w:eastAsia="Batang" w:cs="Times New Roman"/>
          <w:iCs/>
          <w:snapToGrid w:val="0"/>
          <w:color w:val="000000" w:themeColor="text1"/>
          <w:kern w:val="22"/>
          <w:lang w:eastAsia="ja-JP" w:bidi="th-TH"/>
        </w:rPr>
        <w:t>Communities develop, or receive support to develop, benefit-sharing mechanisms for wildlife over which they have traditional and legitimate claims. The right to benefit is devolved to the lowest community level, with support from the State and/or NGOs and the private sector, to ensure th</w:t>
      </w:r>
      <w:r w:rsidRPr="001B297C">
        <w:rPr>
          <w:rFonts w:eastAsia="Batang" w:cs="Times New Roman"/>
          <w:iCs/>
          <w:snapToGrid w:val="0"/>
          <w:color w:val="000000" w:themeColor="text1"/>
          <w:kern w:val="22"/>
          <w:lang w:eastAsia="ja-JP" w:bidi="th-TH"/>
        </w:rPr>
        <w:t xml:space="preserve">at communities gain a just share of benefits from wildlife use. </w:t>
      </w:r>
    </w:p>
    <w:p w14:paraId="2C4963DB" w14:textId="77777777" w:rsidR="00F862D1" w:rsidRPr="008F376F" w:rsidRDefault="00F862D1" w:rsidP="00C258BC">
      <w:pPr>
        <w:pStyle w:val="Para1"/>
        <w:numPr>
          <w:ilvl w:val="0"/>
          <w:numId w:val="58"/>
        </w:numPr>
        <w:jc w:val="both"/>
        <w:rPr>
          <w:rFonts w:eastAsia="Batang" w:cs="Times New Roman"/>
          <w:b/>
          <w:i/>
          <w:iCs/>
          <w:snapToGrid w:val="0"/>
          <w:color w:val="000000" w:themeColor="text1"/>
          <w:kern w:val="22"/>
          <w:lang w:eastAsia="ja-JP" w:bidi="th-TH"/>
        </w:rPr>
      </w:pPr>
      <w:r>
        <w:rPr>
          <w:rFonts w:eastAsia="Batang" w:cs="Times New Roman"/>
          <w:b/>
          <w:i/>
          <w:iCs/>
          <w:snapToGrid w:val="0"/>
          <w:color w:val="000000" w:themeColor="text1"/>
          <w:kern w:val="22"/>
          <w:lang w:eastAsia="ja-JP" w:bidi="th-TH"/>
        </w:rPr>
        <w:t>Identification</w:t>
      </w:r>
      <w:r w:rsidRPr="008F376F">
        <w:rPr>
          <w:rFonts w:eastAsia="Batang" w:cs="Times New Roman"/>
          <w:b/>
          <w:i/>
          <w:iCs/>
          <w:snapToGrid w:val="0"/>
          <w:color w:val="000000" w:themeColor="text1"/>
          <w:kern w:val="22"/>
          <w:lang w:eastAsia="ja-JP" w:bidi="th-TH"/>
        </w:rPr>
        <w:t xml:space="preserve"> and demarcat</w:t>
      </w:r>
      <w:r>
        <w:rPr>
          <w:rFonts w:eastAsia="Batang" w:cs="Times New Roman"/>
          <w:b/>
          <w:i/>
          <w:iCs/>
          <w:snapToGrid w:val="0"/>
          <w:color w:val="000000" w:themeColor="text1"/>
          <w:kern w:val="22"/>
          <w:lang w:eastAsia="ja-JP" w:bidi="th-TH"/>
        </w:rPr>
        <w:t>ion of hunting territories</w:t>
      </w:r>
      <w:r w:rsidRPr="008F376F">
        <w:rPr>
          <w:rFonts w:eastAsia="Batang" w:cs="Times New Roman"/>
          <w:b/>
          <w:i/>
          <w:iCs/>
          <w:snapToGrid w:val="0"/>
          <w:color w:val="000000" w:themeColor="text1"/>
          <w:kern w:val="22"/>
          <w:lang w:eastAsia="ja-JP" w:bidi="th-TH"/>
        </w:rPr>
        <w:t>:</w:t>
      </w:r>
    </w:p>
    <w:p w14:paraId="16889A62" w14:textId="3FE2D01C" w:rsidR="00F862D1" w:rsidRDefault="00F862D1" w:rsidP="00C258BC">
      <w:pPr>
        <w:pStyle w:val="Para1"/>
        <w:numPr>
          <w:ilvl w:val="0"/>
          <w:numId w:val="9"/>
        </w:numPr>
        <w:ind w:left="0" w:firstLine="720"/>
        <w:jc w:val="both"/>
        <w:rPr>
          <w:rFonts w:eastAsia="Batang" w:cs="Times New Roman"/>
          <w:iCs/>
          <w:snapToGrid w:val="0"/>
          <w:color w:val="000000" w:themeColor="text1"/>
          <w:kern w:val="22"/>
          <w:lang w:eastAsia="ja-JP" w:bidi="th-TH"/>
        </w:rPr>
      </w:pPr>
      <w:r w:rsidRPr="003E3238">
        <w:rPr>
          <w:rFonts w:eastAsia="Batang" w:cs="Times New Roman"/>
          <w:bCs w:val="0"/>
          <w:iCs/>
          <w:snapToGrid w:val="0"/>
          <w:color w:val="000000" w:themeColor="text1"/>
          <w:kern w:val="22"/>
          <w:lang w:eastAsia="ja-JP" w:bidi="th-TH"/>
        </w:rPr>
        <w:t xml:space="preserve">The legitimate territory of community rights-holders is </w:t>
      </w:r>
      <w:r w:rsidRPr="001C53FF">
        <w:rPr>
          <w:rFonts w:eastAsia="Batang" w:cs="Times New Roman"/>
          <w:iCs/>
          <w:snapToGrid w:val="0"/>
          <w:color w:val="000000" w:themeColor="text1"/>
          <w:kern w:val="22"/>
          <w:lang w:eastAsia="ja-JP" w:bidi="th-TH"/>
        </w:rPr>
        <w:t>d</w:t>
      </w:r>
      <w:r w:rsidRPr="003E3238">
        <w:rPr>
          <w:rFonts w:eastAsia="Batang" w:cs="Times New Roman"/>
          <w:bCs w:val="0"/>
          <w:iCs/>
          <w:snapToGrid w:val="0"/>
          <w:color w:val="000000" w:themeColor="text1"/>
          <w:kern w:val="22"/>
          <w:lang w:eastAsia="ja-JP" w:bidi="th-TH"/>
        </w:rPr>
        <w:t xml:space="preserve">efined, demarcated </w:t>
      </w:r>
      <w:r w:rsidRPr="00EE2428">
        <w:rPr>
          <w:rFonts w:eastAsia="Batang" w:cs="Times New Roman"/>
          <w:bCs w:val="0"/>
          <w:iCs/>
          <w:snapToGrid w:val="0"/>
          <w:color w:val="000000" w:themeColor="text1"/>
          <w:kern w:val="22"/>
          <w:lang w:eastAsia="ja-JP" w:bidi="th-TH"/>
        </w:rPr>
        <w:t xml:space="preserve">and </w:t>
      </w:r>
      <w:r w:rsidR="00A479D2" w:rsidRPr="00EE2428">
        <w:rPr>
          <w:rFonts w:eastAsia="Batang" w:cs="Times New Roman"/>
          <w:bCs w:val="0"/>
          <w:iCs/>
          <w:snapToGrid w:val="0"/>
          <w:color w:val="000000" w:themeColor="text1"/>
          <w:kern w:val="22"/>
          <w:lang w:eastAsia="ja-JP" w:bidi="th-TH"/>
        </w:rPr>
        <w:t>auto demarcated</w:t>
      </w:r>
      <w:r w:rsidRPr="00EE2428">
        <w:rPr>
          <w:rFonts w:eastAsia="Batang" w:cs="Times New Roman"/>
          <w:bCs w:val="0"/>
          <w:iCs/>
          <w:snapToGrid w:val="0"/>
          <w:color w:val="000000" w:themeColor="text1"/>
          <w:kern w:val="22"/>
          <w:lang w:eastAsia="ja-JP" w:bidi="th-TH"/>
        </w:rPr>
        <w:t>, and define</w:t>
      </w:r>
      <w:r w:rsidRPr="001C53FF">
        <w:rPr>
          <w:rFonts w:eastAsia="Batang" w:cs="Times New Roman"/>
          <w:iCs/>
          <w:snapToGrid w:val="0"/>
          <w:color w:val="000000" w:themeColor="text1"/>
          <w:kern w:val="22"/>
          <w:lang w:eastAsia="ja-JP" w:bidi="th-TH"/>
        </w:rPr>
        <w:t>d</w:t>
      </w:r>
      <w:r w:rsidRPr="00EE2428">
        <w:rPr>
          <w:rFonts w:eastAsia="Batang" w:cs="Times New Roman"/>
          <w:bCs w:val="0"/>
          <w:iCs/>
          <w:snapToGrid w:val="0"/>
          <w:color w:val="000000" w:themeColor="text1"/>
          <w:kern w:val="22"/>
          <w:lang w:eastAsia="ja-JP" w:bidi="th-TH"/>
        </w:rPr>
        <w:t xml:space="preserve"> and titled under national law</w:t>
      </w:r>
      <w:r w:rsidRPr="0064175F">
        <w:rPr>
          <w:rFonts w:eastAsia="Batang" w:cs="Times New Roman"/>
          <w:bCs w:val="0"/>
          <w:iCs/>
          <w:snapToGrid w:val="0"/>
          <w:color w:val="000000" w:themeColor="text1"/>
          <w:kern w:val="22"/>
          <w:lang w:eastAsia="ja-JP" w:bidi="th-TH"/>
        </w:rPr>
        <w:t>;</w:t>
      </w:r>
      <w:r w:rsidRPr="0070404D" w:rsidDel="006D74BC">
        <w:rPr>
          <w:rFonts w:eastAsia="Batang" w:cs="Times New Roman"/>
          <w:iCs/>
          <w:snapToGrid w:val="0"/>
          <w:color w:val="000000" w:themeColor="text1"/>
          <w:kern w:val="22"/>
          <w:lang w:eastAsia="ja-JP" w:bidi="th-TH"/>
        </w:rPr>
        <w:t xml:space="preserve"> </w:t>
      </w:r>
    </w:p>
    <w:p w14:paraId="11976291" w14:textId="09464D23" w:rsidR="00F862D1" w:rsidRPr="0031471E" w:rsidRDefault="00F862D1" w:rsidP="00C258BC">
      <w:pPr>
        <w:pStyle w:val="Para1"/>
        <w:numPr>
          <w:ilvl w:val="0"/>
          <w:numId w:val="9"/>
        </w:numPr>
        <w:ind w:left="0" w:firstLine="720"/>
        <w:jc w:val="both"/>
        <w:rPr>
          <w:rFonts w:eastAsia="Batang"/>
          <w:iCs/>
          <w:snapToGrid w:val="0"/>
          <w:color w:val="000000" w:themeColor="text1"/>
          <w:kern w:val="22"/>
          <w:lang w:eastAsia="ja-JP" w:bidi="th-TH"/>
        </w:rPr>
      </w:pPr>
      <w:r w:rsidRPr="004904D8">
        <w:rPr>
          <w:rFonts w:eastAsia="Batang" w:cs="Times New Roman"/>
          <w:iCs/>
          <w:snapToGrid w:val="0"/>
          <w:color w:val="000000" w:themeColor="text1"/>
          <w:kern w:val="22"/>
          <w:lang w:eastAsia="ja-JP" w:bidi="th-TH"/>
        </w:rPr>
        <w:t>Hunting zones are clearly defined, comply with a specific land use, and respect the management plans and conservation parameters of protected areas</w:t>
      </w:r>
      <w:r>
        <w:rPr>
          <w:rFonts w:eastAsia="Batang" w:cs="Times New Roman"/>
          <w:iCs/>
          <w:snapToGrid w:val="0"/>
          <w:color w:val="000000" w:themeColor="text1"/>
          <w:kern w:val="22"/>
          <w:lang w:eastAsia="ja-JP" w:bidi="th-TH"/>
        </w:rPr>
        <w:t xml:space="preserve">. </w:t>
      </w:r>
      <w:r>
        <w:rPr>
          <w:lang w:val="en-US"/>
        </w:rPr>
        <w:t xml:space="preserve">Land use zones should delineate: 1) areas where hunting is strictly prohibited to allow for population recovery and protect undisturbed habitats for species very sensitive to human perturbation; 2) areas where some hunting is allowed through permits, licenses, etc.; 3) areas where hunting is less restricted, except for protected species.   </w:t>
      </w:r>
    </w:p>
    <w:p w14:paraId="0546F8A2" w14:textId="77777777" w:rsidR="00F862D1" w:rsidRDefault="00F862D1" w:rsidP="00C258BC">
      <w:pPr>
        <w:pStyle w:val="Para1"/>
        <w:numPr>
          <w:ilvl w:val="0"/>
          <w:numId w:val="0"/>
        </w:numPr>
        <w:ind w:left="720"/>
        <w:jc w:val="both"/>
        <w:rPr>
          <w:rFonts w:eastAsia="Batang"/>
          <w:iCs/>
          <w:snapToGrid w:val="0"/>
          <w:color w:val="000000" w:themeColor="text1"/>
          <w:kern w:val="22"/>
          <w:lang w:eastAsia="ja-JP" w:bidi="th-TH"/>
        </w:rPr>
      </w:pPr>
    </w:p>
    <w:p w14:paraId="49BDE990" w14:textId="56129BBC" w:rsidR="00F862D1" w:rsidRPr="0031471E" w:rsidRDefault="00F862D1" w:rsidP="00C258BC">
      <w:pPr>
        <w:pStyle w:val="Para1"/>
        <w:numPr>
          <w:ilvl w:val="0"/>
          <w:numId w:val="58"/>
        </w:numPr>
        <w:jc w:val="both"/>
        <w:rPr>
          <w:rFonts w:eastAsia="Batang"/>
          <w:b/>
          <w:i/>
          <w:iCs/>
          <w:snapToGrid w:val="0"/>
          <w:color w:val="000000" w:themeColor="text1"/>
          <w:kern w:val="22"/>
          <w:lang w:eastAsia="ja-JP" w:bidi="th-TH"/>
        </w:rPr>
      </w:pPr>
      <w:r w:rsidRPr="008F376F">
        <w:rPr>
          <w:b/>
          <w:i/>
          <w:color w:val="000000" w:themeColor="text1"/>
        </w:rPr>
        <w:t>Context specific and locally relevant rules</w:t>
      </w:r>
      <w:r>
        <w:rPr>
          <w:b/>
          <w:i/>
          <w:color w:val="000000" w:themeColor="text1"/>
        </w:rPr>
        <w:t xml:space="preserve">, </w:t>
      </w:r>
      <w:r w:rsidRPr="008F376F">
        <w:rPr>
          <w:b/>
          <w:i/>
          <w:color w:val="000000" w:themeColor="text1"/>
        </w:rPr>
        <w:t>to guaranty sustainable harvest levels:</w:t>
      </w:r>
    </w:p>
    <w:p w14:paraId="15B61E52" w14:textId="77777777" w:rsidR="00F862D1" w:rsidRPr="00FC4DAF" w:rsidRDefault="00F862D1" w:rsidP="00C258BC">
      <w:pPr>
        <w:pStyle w:val="Para1"/>
        <w:numPr>
          <w:ilvl w:val="0"/>
          <w:numId w:val="9"/>
        </w:numPr>
        <w:ind w:left="0" w:firstLine="720"/>
        <w:jc w:val="both"/>
        <w:rPr>
          <w:rFonts w:eastAsia="Batang" w:cs="Times New Roman"/>
          <w:iCs/>
          <w:snapToGrid w:val="0"/>
          <w:color w:val="000000" w:themeColor="text1"/>
          <w:kern w:val="22"/>
          <w:lang w:eastAsia="ja-JP" w:bidi="th-TH"/>
        </w:rPr>
      </w:pPr>
      <w:r w:rsidRPr="004904D8">
        <w:rPr>
          <w:rFonts w:eastAsia="Batang" w:cs="Times New Roman"/>
          <w:iCs/>
          <w:snapToGrid w:val="0"/>
          <w:color w:val="000000" w:themeColor="text1"/>
          <w:kern w:val="22"/>
          <w:lang w:eastAsia="ja-JP" w:bidi="th-TH"/>
        </w:rPr>
        <w:lastRenderedPageBreak/>
        <w:t xml:space="preserve">Species that can or cannot tolerate harvesting are identified. Among those that can be harvested sustainably, species needing maximum harvesting quotas (and those such as pests needing minimum harvesting quotas) should be distinguished from species for which no quota is necessary. For species requiring maximum harvesting quotas, sustainable offtake rates should be </w:t>
      </w:r>
      <w:r w:rsidRPr="00FC4DAF">
        <w:rPr>
          <w:rFonts w:eastAsia="Batang" w:cs="Times New Roman"/>
          <w:iCs/>
          <w:snapToGrid w:val="0"/>
          <w:color w:val="000000" w:themeColor="text1"/>
          <w:kern w:val="22"/>
          <w:lang w:eastAsia="ja-JP" w:bidi="th-TH"/>
        </w:rPr>
        <w:t>calculated and adjusted on a regular basis;</w:t>
      </w:r>
    </w:p>
    <w:p w14:paraId="06B5DD93" w14:textId="129186FF" w:rsidR="00F862D1" w:rsidRPr="00FC4DAF" w:rsidRDefault="00F862D1" w:rsidP="00C258BC">
      <w:pPr>
        <w:pStyle w:val="Para1"/>
        <w:numPr>
          <w:ilvl w:val="0"/>
          <w:numId w:val="9"/>
        </w:numPr>
        <w:ind w:left="0" w:firstLine="720"/>
        <w:jc w:val="both"/>
        <w:rPr>
          <w:rFonts w:eastAsia="Batang" w:cs="Times New Roman"/>
          <w:iCs/>
          <w:snapToGrid w:val="0"/>
          <w:color w:val="000000" w:themeColor="text1"/>
          <w:kern w:val="22"/>
          <w:lang w:eastAsia="ja-JP" w:bidi="th-TH"/>
        </w:rPr>
      </w:pPr>
      <w:r w:rsidRPr="00FC4DAF">
        <w:rPr>
          <w:rFonts w:eastAsia="Batang" w:cs="Times New Roman"/>
          <w:iCs/>
          <w:snapToGrid w:val="0"/>
          <w:color w:val="000000" w:themeColor="text1"/>
          <w:kern w:val="22"/>
          <w:lang w:eastAsia="ja-JP" w:bidi="th-TH"/>
        </w:rPr>
        <w:t>Systems to establish sustainable</w:t>
      </w:r>
      <w:r w:rsidR="00FC4DAF">
        <w:rPr>
          <w:rFonts w:eastAsia="Batang" w:cs="Times New Roman"/>
          <w:iCs/>
          <w:snapToGrid w:val="0"/>
          <w:color w:val="000000" w:themeColor="text1"/>
          <w:kern w:val="22"/>
          <w:lang w:eastAsia="ja-JP" w:bidi="th-TH"/>
        </w:rPr>
        <w:t xml:space="preserve"> offtake</w:t>
      </w:r>
      <w:r w:rsidRPr="00FC4DAF">
        <w:rPr>
          <w:rFonts w:eastAsia="Batang" w:cs="Times New Roman"/>
          <w:iCs/>
          <w:snapToGrid w:val="0"/>
          <w:color w:val="000000" w:themeColor="text1"/>
          <w:kern w:val="22"/>
          <w:lang w:eastAsia="ja-JP" w:bidi="th-TH"/>
        </w:rPr>
        <w:t xml:space="preserve"> </w:t>
      </w:r>
      <w:r w:rsidR="00FC4DAF">
        <w:rPr>
          <w:rFonts w:eastAsia="Batang" w:cs="Times New Roman"/>
          <w:iCs/>
          <w:snapToGrid w:val="0"/>
          <w:color w:val="000000" w:themeColor="text1"/>
          <w:kern w:val="22"/>
          <w:lang w:eastAsia="ja-JP" w:bidi="th-TH"/>
        </w:rPr>
        <w:t xml:space="preserve">(such as quotas or </w:t>
      </w:r>
      <w:r w:rsidRPr="00FC4DAF">
        <w:rPr>
          <w:rFonts w:eastAsia="Batang" w:cs="Times New Roman"/>
          <w:iCs/>
          <w:snapToGrid w:val="0"/>
          <w:color w:val="000000" w:themeColor="text1"/>
          <w:kern w:val="22"/>
          <w:lang w:eastAsia="ja-JP" w:bidi="th-TH"/>
        </w:rPr>
        <w:t>rotation of hunting grounds and/or hunting seasons</w:t>
      </w:r>
      <w:r w:rsidR="00FC4DAF">
        <w:rPr>
          <w:rFonts w:eastAsia="Batang" w:cs="Times New Roman"/>
          <w:iCs/>
          <w:snapToGrid w:val="0"/>
          <w:color w:val="000000" w:themeColor="text1"/>
          <w:kern w:val="22"/>
          <w:lang w:eastAsia="ja-JP" w:bidi="th-TH"/>
        </w:rPr>
        <w:t xml:space="preserve">) </w:t>
      </w:r>
      <w:r w:rsidRPr="00FC4DAF">
        <w:rPr>
          <w:rFonts w:eastAsia="Batang" w:cs="Times New Roman"/>
          <w:iCs/>
          <w:snapToGrid w:val="0"/>
          <w:color w:val="000000" w:themeColor="text1"/>
          <w:kern w:val="22"/>
          <w:lang w:eastAsia="ja-JP" w:bidi="th-TH"/>
        </w:rPr>
        <w:t>are established to maximise offtakes while achieving sustainability.</w:t>
      </w:r>
    </w:p>
    <w:p w14:paraId="0A020335" w14:textId="77777777" w:rsidR="00F862D1" w:rsidRPr="00FC4DAF" w:rsidRDefault="00F862D1" w:rsidP="00C258BC">
      <w:pPr>
        <w:pStyle w:val="Para1"/>
        <w:numPr>
          <w:ilvl w:val="0"/>
          <w:numId w:val="9"/>
        </w:numPr>
        <w:ind w:left="0" w:firstLine="720"/>
        <w:jc w:val="both"/>
        <w:rPr>
          <w:rFonts w:eastAsia="Batang" w:cs="Times New Roman"/>
          <w:iCs/>
          <w:snapToGrid w:val="0"/>
          <w:color w:val="000000" w:themeColor="text1"/>
          <w:kern w:val="22"/>
          <w:lang w:eastAsia="ja-JP" w:bidi="th-TH"/>
        </w:rPr>
      </w:pPr>
      <w:r w:rsidRPr="00FC4DAF">
        <w:rPr>
          <w:rFonts w:eastAsia="Batang" w:cs="Times New Roman"/>
          <w:iCs/>
          <w:snapToGrid w:val="0"/>
          <w:color w:val="000000" w:themeColor="text1"/>
          <w:kern w:val="22"/>
          <w:lang w:eastAsia="ja-JP" w:bidi="th-TH"/>
        </w:rPr>
        <w:t>Agreements on the use of certain hunting tools and practices are reached to reduce accidents in hunting, reduce waste and reduce indiscriminate hunting</w:t>
      </w:r>
    </w:p>
    <w:p w14:paraId="0A41C194" w14:textId="49C47DCC" w:rsidR="00F862D1" w:rsidRDefault="00F862D1" w:rsidP="00C258BC">
      <w:pPr>
        <w:pStyle w:val="Para1"/>
        <w:numPr>
          <w:ilvl w:val="0"/>
          <w:numId w:val="9"/>
        </w:numPr>
        <w:ind w:left="0" w:firstLine="720"/>
        <w:jc w:val="both"/>
        <w:rPr>
          <w:rFonts w:eastAsia="Batang" w:cs="Times New Roman"/>
          <w:iCs/>
          <w:snapToGrid w:val="0"/>
          <w:color w:val="000000" w:themeColor="text1"/>
          <w:kern w:val="22"/>
          <w:lang w:eastAsia="ja-JP" w:bidi="th-TH"/>
        </w:rPr>
      </w:pPr>
      <w:r w:rsidRPr="00FC4DAF">
        <w:rPr>
          <w:rFonts w:eastAsia="Batang" w:cs="Times New Roman"/>
          <w:iCs/>
          <w:snapToGrid w:val="0"/>
          <w:color w:val="000000" w:themeColor="text1"/>
          <w:kern w:val="22"/>
          <w:lang w:eastAsia="ja-JP" w:bidi="th-TH"/>
        </w:rPr>
        <w:t>Long term monitoring</w:t>
      </w:r>
      <w:r>
        <w:rPr>
          <w:rFonts w:eastAsia="Batang" w:cs="Times New Roman"/>
          <w:iCs/>
          <w:snapToGrid w:val="0"/>
          <w:color w:val="000000" w:themeColor="text1"/>
          <w:kern w:val="22"/>
          <w:lang w:eastAsia="ja-JP" w:bidi="th-TH"/>
        </w:rPr>
        <w:t xml:space="preserve"> systems are put in place to </w:t>
      </w:r>
      <w:r w:rsidRPr="005512D2">
        <w:rPr>
          <w:rFonts w:eastAsia="Batang" w:cs="Times New Roman"/>
          <w:iCs/>
          <w:snapToGrid w:val="0"/>
          <w:color w:val="000000" w:themeColor="text1"/>
          <w:kern w:val="22"/>
          <w:lang w:eastAsia="ja-JP" w:bidi="th-TH"/>
        </w:rPr>
        <w:t xml:space="preserve">monitor trends in target wildlife species, </w:t>
      </w:r>
      <w:r>
        <w:rPr>
          <w:rFonts w:eastAsia="Batang" w:cs="Times New Roman"/>
          <w:iCs/>
          <w:snapToGrid w:val="0"/>
          <w:color w:val="000000" w:themeColor="text1"/>
          <w:kern w:val="22"/>
          <w:lang w:eastAsia="ja-JP" w:bidi="th-TH"/>
        </w:rPr>
        <w:t>and results used to adapt management rules</w:t>
      </w:r>
      <w:r w:rsidR="00FC4DAF">
        <w:rPr>
          <w:rFonts w:eastAsia="Batang" w:cs="Times New Roman"/>
          <w:iCs/>
          <w:snapToGrid w:val="0"/>
          <w:color w:val="000000" w:themeColor="text1"/>
          <w:kern w:val="22"/>
          <w:lang w:eastAsia="ja-JP" w:bidi="th-TH"/>
        </w:rPr>
        <w:t xml:space="preserve"> and </w:t>
      </w:r>
      <w:r>
        <w:rPr>
          <w:rFonts w:eastAsia="Batang" w:cs="Times New Roman"/>
          <w:iCs/>
          <w:snapToGrid w:val="0"/>
          <w:color w:val="000000" w:themeColor="text1"/>
          <w:kern w:val="22"/>
          <w:lang w:eastAsia="ja-JP" w:bidi="th-TH"/>
        </w:rPr>
        <w:t>quotas</w:t>
      </w:r>
      <w:r w:rsidRPr="005512D2">
        <w:rPr>
          <w:rFonts w:eastAsia="Batang" w:cs="Times New Roman"/>
          <w:iCs/>
          <w:snapToGrid w:val="0"/>
          <w:color w:val="000000" w:themeColor="text1"/>
          <w:kern w:val="22"/>
          <w:lang w:eastAsia="ja-JP" w:bidi="th-TH"/>
        </w:rPr>
        <w:t>.</w:t>
      </w:r>
    </w:p>
    <w:p w14:paraId="17ABFC85" w14:textId="0BDC48CB" w:rsidR="00F862D1" w:rsidRDefault="00F862D1" w:rsidP="00C258BC">
      <w:pPr>
        <w:pStyle w:val="Para1"/>
        <w:numPr>
          <w:ilvl w:val="0"/>
          <w:numId w:val="9"/>
        </w:numPr>
        <w:ind w:left="0" w:firstLine="720"/>
        <w:jc w:val="both"/>
        <w:rPr>
          <w:rFonts w:eastAsia="Batang" w:cs="Times New Roman"/>
          <w:iCs/>
          <w:snapToGrid w:val="0"/>
          <w:color w:val="000000" w:themeColor="text1"/>
          <w:kern w:val="22"/>
          <w:lang w:eastAsia="ja-JP" w:bidi="th-TH"/>
        </w:rPr>
      </w:pPr>
      <w:r>
        <w:rPr>
          <w:rFonts w:eastAsia="Batang" w:cs="Times New Roman"/>
          <w:iCs/>
          <w:snapToGrid w:val="0"/>
          <w:color w:val="000000" w:themeColor="text1"/>
          <w:kern w:val="22"/>
          <w:lang w:eastAsia="ja-JP" w:bidi="th-TH"/>
        </w:rPr>
        <w:t>Conflicts between humans and wildlife are identified, measured and mitigated to reduce retaliatory killings and harmonize the co-</w:t>
      </w:r>
      <w:r w:rsidR="00A479D2">
        <w:rPr>
          <w:rFonts w:eastAsia="Batang" w:cs="Times New Roman"/>
          <w:iCs/>
          <w:snapToGrid w:val="0"/>
          <w:color w:val="000000" w:themeColor="text1"/>
          <w:kern w:val="22"/>
          <w:lang w:eastAsia="ja-JP" w:bidi="th-TH"/>
        </w:rPr>
        <w:t>existence</w:t>
      </w:r>
      <w:r>
        <w:rPr>
          <w:rFonts w:eastAsia="Batang" w:cs="Times New Roman"/>
          <w:iCs/>
          <w:snapToGrid w:val="0"/>
          <w:color w:val="000000" w:themeColor="text1"/>
          <w:kern w:val="22"/>
          <w:lang w:eastAsia="ja-JP" w:bidi="th-TH"/>
        </w:rPr>
        <w:t xml:space="preserve"> of wildlife with other activities important for people’s livelihoods (agriculture, livestock rearing etc.). </w:t>
      </w:r>
    </w:p>
    <w:p w14:paraId="4C395558" w14:textId="45BDDF37" w:rsidR="00FC4DAF" w:rsidRPr="00FC4DAF" w:rsidRDefault="00F862D1" w:rsidP="00C258BC">
      <w:pPr>
        <w:pStyle w:val="Para1"/>
        <w:numPr>
          <w:ilvl w:val="0"/>
          <w:numId w:val="9"/>
        </w:numPr>
        <w:ind w:left="0" w:firstLine="720"/>
        <w:jc w:val="both"/>
        <w:rPr>
          <w:rFonts w:eastAsia="Batang" w:cs="Times New Roman"/>
          <w:iCs/>
          <w:snapToGrid w:val="0"/>
          <w:color w:val="000000" w:themeColor="text1"/>
          <w:kern w:val="22"/>
          <w:lang w:eastAsia="ja-JP" w:bidi="th-TH"/>
        </w:rPr>
      </w:pPr>
      <w:r>
        <w:rPr>
          <w:rFonts w:eastAsia="Batang" w:cs="Times New Roman"/>
          <w:iCs/>
          <w:snapToGrid w:val="0"/>
          <w:color w:val="000000" w:themeColor="text1"/>
          <w:kern w:val="22"/>
          <w:lang w:eastAsia="ja-JP" w:bidi="th-TH"/>
        </w:rPr>
        <w:t>Measures to manage fires, reduce habitat destruction and road kills, protect critical landscape features and increase food and shelter for wildlife may be considered as complementary measures to allow for sustainable wildlife populations.</w:t>
      </w:r>
    </w:p>
    <w:p w14:paraId="0D2857EC" w14:textId="4D58B4CB" w:rsidR="00FC4DAF" w:rsidRPr="00FC4DAF" w:rsidRDefault="00846866" w:rsidP="00FC4DAF">
      <w:r>
        <w:fldChar w:fldCharType="begin" w:fldLock="1"/>
      </w:r>
      <w:r w:rsidR="00730F44">
        <w:instrText>ADDIN CSL_CITATION {"citationItems":[{"id":"ITEM-1","itemData":{"ISBN":"1936221519","author":[{"dropping-particle":"","family":"Groves","given":"Craig","non-dropping-particle":"","parse-names":false,"suffix":""},{"dropping-particle":"","family":"Game","given":"Edward T","non-dropping-particle":"","parse-names":false,"suffix":""}],"id":"ITEM-1","issued":{"date-parts":[["2016"]]},"publisher":"Roberts Publishers","title":"Conservation planning: informed decisions for a healthier planet","type":"book"},"uris":["http://www.mendeley.com/documents/?uuid=f8e01c79-14fe-44bd-a78d-320ffd975c30"]}],"mendeley":{"formattedCitation":"(Groves &amp; Game 2016)","manualFormatting":"Groves &amp; Game (2016)","plainTextFormattedCitation":"(Groves &amp; Game 2016)","previouslyFormattedCitation":"(Groves &amp; Game 2016)"},"properties":{"noteIndex":0},"schema":"https://github.com/citation-style-language/schema/raw/master/csl-citation.json"}</w:instrText>
      </w:r>
      <w:r>
        <w:fldChar w:fldCharType="separate"/>
      </w:r>
      <w:r w:rsidRPr="00846866">
        <w:rPr>
          <w:noProof/>
        </w:rPr>
        <w:t xml:space="preserve">Groves &amp; Game </w:t>
      </w:r>
      <w:r w:rsidR="00730F44">
        <w:rPr>
          <w:noProof/>
        </w:rPr>
        <w:t>(</w:t>
      </w:r>
      <w:r w:rsidRPr="00846866">
        <w:rPr>
          <w:noProof/>
        </w:rPr>
        <w:t>2016)</w:t>
      </w:r>
      <w:r>
        <w:fldChar w:fldCharType="end"/>
      </w:r>
      <w:r w:rsidR="001F491C" w:rsidRPr="004904D8">
        <w:t xml:space="preserve"> provide detailed guidance for </w:t>
      </w:r>
      <w:r w:rsidR="00A520FB" w:rsidRPr="004904D8">
        <w:t xml:space="preserve">community </w:t>
      </w:r>
      <w:r w:rsidR="001F491C" w:rsidRPr="004904D8">
        <w:t>conservation planning, and there is a vast literature on the factors that enable effective CBNRM guided by theories of collective action</w:t>
      </w:r>
      <w:r w:rsidR="00730F44">
        <w:t xml:space="preserve"> </w:t>
      </w:r>
      <w:r w:rsidR="00730F44">
        <w:fldChar w:fldCharType="begin" w:fldLock="1"/>
      </w:r>
      <w:r w:rsidR="00730F44">
        <w:instrText>ADDIN CSL_CITATION {"citationItems":[{"id":"ITEM-1","itemData":{"author":[{"dropping-particle":"","family":"Olson","given":"Mancur","non-dropping-particle":"","parse-names":false,"suffix":""}],"id":"ITEM-1","issued":{"date-parts":[["1965"]]},"publisher":"Harvard University Press","publisher-place":"Cambridge, MA, USA","title":"The logic of collective action","type":"book"},"uris":["http://www.mendeley.com/documents/?uuid=8f265ff6-8b37-4ffc-81dc-12049d5ff419"]}],"mendeley":{"formattedCitation":"(Olson 1965)","plainTextFormattedCitation":"(Olson 1965)","previouslyFormattedCitation":"(Olson 1965)"},"properties":{"noteIndex":0},"schema":"https://github.com/citation-style-language/schema/raw/master/csl-citation.json"}</w:instrText>
      </w:r>
      <w:r w:rsidR="00730F44">
        <w:fldChar w:fldCharType="separate"/>
      </w:r>
      <w:r w:rsidR="00730F44" w:rsidRPr="00730F44">
        <w:rPr>
          <w:noProof/>
        </w:rPr>
        <w:t>(Olson 1965)</w:t>
      </w:r>
      <w:r w:rsidR="00730F44">
        <w:fldChar w:fldCharType="end"/>
      </w:r>
      <w:r w:rsidR="001F491C" w:rsidRPr="004904D8">
        <w:t xml:space="preserve">, and common pool natural resource management </w:t>
      </w:r>
      <w:r w:rsidR="00730F44">
        <w:fldChar w:fldCharType="begin" w:fldLock="1"/>
      </w:r>
      <w:r w:rsidR="00B2630D">
        <w:instrText>ADDIN CSL_CITATION {"citationItems":[{"id":"ITEM-1","itemData":{"author":[{"dropping-particle":"","family":"Ostrom","given":"E","non-dropping-particle":"","parse-names":false,"suffix":""}],"id":"ITEM-1","issued":{"date-parts":[["1990"]]},"publisher":"Cambridge University Press","publisher-place":"Cambridge","title":"Governing the Commons: The Evolution of Institutions for Collective Action","type":"book"},"uris":["http://www.mendeley.com/documents/?uuid=639aab37-cb79-4e3c-b1a3-f2b8fc935fdb"]},{"id":"ITEM-2","itemData":{"author":[{"dropping-particle":"","family":"Ostrom","given":"E","non-dropping-particle":"","parse-names":false,"suffix":""}],"container-title":"Journal of Economic Perspectives","id":"ITEM-2","issue":"3","issued":{"date-parts":[["2000"]]},"page":"137-158","title":"Collective action and the evolution of social norms","type":"article-journal","volume":"14"},"uris":["http://www.mendeley.com/documents/?uuid=1c48d989-b447-4bc1-bd68-a262e7f64bbc"]}],"mendeley":{"formattedCitation":"(Ostrom 1990, 2000)","plainTextFormattedCitation":"(Ostrom 1990, 2000)","previouslyFormattedCitation":"(Ostrom 1990, 2000)"},"properties":{"noteIndex":0},"schema":"https://github.com/citation-style-language/schema/raw/master/csl-citation.json"}</w:instrText>
      </w:r>
      <w:r w:rsidR="00730F44">
        <w:fldChar w:fldCharType="separate"/>
      </w:r>
      <w:r w:rsidR="00730F44" w:rsidRPr="00730F44">
        <w:rPr>
          <w:noProof/>
        </w:rPr>
        <w:t>(Ostrom 1990, 2000)</w:t>
      </w:r>
      <w:r w:rsidR="00730F44">
        <w:fldChar w:fldCharType="end"/>
      </w:r>
      <w:r w:rsidR="001F491C" w:rsidRPr="004904D8">
        <w:t xml:space="preserve">. </w:t>
      </w:r>
      <w:r w:rsidR="001163C3">
        <w:t>Useful assessments of CBNRM projects are</w:t>
      </w:r>
      <w:r w:rsidR="00D84C43">
        <w:t xml:space="preserve"> provided by</w:t>
      </w:r>
      <w:r w:rsidR="001163C3" w:rsidRPr="001163C3">
        <w:rPr>
          <w:noProof/>
        </w:rPr>
        <w:t xml:space="preserve"> Anderson &amp; Mehta</w:t>
      </w:r>
      <w:r w:rsidR="004B55ED">
        <w:rPr>
          <w:noProof/>
        </w:rPr>
        <w:t xml:space="preserve"> </w:t>
      </w:r>
      <w:r w:rsidR="001163C3">
        <w:fldChar w:fldCharType="begin" w:fldLock="1"/>
      </w:r>
      <w:r w:rsidR="00B2630D">
        <w:instrText>ADDIN CSL_CITATION {"citationItems":[{"id":"ITEM-1","itemData":{"ISBN":"34914700-b3f8-4a26-8f2d-c138bb069348","abstract":"Rural development issues are critical not only for the rural areas themselves but also for addressing pressing global concerns of food security (FS), climate change, biodiversity conservation, poverty reduction, provision of environmental goods and services, and good governance. Community-based natural resource management (CBNRM) has been a rural development strategy for over 30 years. This paper has a two-fold objective: to assess the CBNRM experience in order to improve the performance of CBNRM itself, and to evaluate the lessons learned from CBNRM for critical issues – especially food security and climate change.","author":[{"dropping-particle":"","family":"Anderson","given":"J","non-dropping-particle":"","parse-names":false,"suffix":""},{"dropping-particle":"","family":"Mehta","given":"S","non-dropping-particle":"","parse-names":false,"suffix":""}],"container-title":"Report prepared by the International Resources Group (IRG) for the United States Agency for International Development (USAID)","id":"ITEM-1","issue":"May","issued":{"date-parts":[["2013"]]},"number-of-pages":"74","title":"A Global Assessment of Community Based Natural Resource Management : Addressing the Critical Challenges of the Rural Sector","type":"report"},"uris":["http://www.mendeley.com/documents/?uuid=df06e872-a2b3-4db3-ad7f-540e9ce6e181"]}],"mendeley":{"formattedCitation":"(Anderson &amp; Mehta 2013)","manualFormatting":"(2013)","plainTextFormattedCitation":"(Anderson &amp; Mehta 2013)","previouslyFormattedCitation":"(Anderson &amp; Mehta 2013)"},"properties":{"noteIndex":0},"schema":"https://github.com/citation-style-language/schema/raw/master/csl-citation.json"}</w:instrText>
      </w:r>
      <w:r w:rsidR="001163C3">
        <w:fldChar w:fldCharType="separate"/>
      </w:r>
      <w:r w:rsidR="001163C3" w:rsidRPr="001163C3">
        <w:rPr>
          <w:noProof/>
        </w:rPr>
        <w:t>(2013)</w:t>
      </w:r>
      <w:r w:rsidR="001163C3">
        <w:fldChar w:fldCharType="end"/>
      </w:r>
      <w:r w:rsidR="001163C3">
        <w:t xml:space="preserve"> and </w:t>
      </w:r>
      <w:r w:rsidR="001163C3">
        <w:rPr>
          <w:color w:val="000000" w:themeColor="text1"/>
        </w:rPr>
        <w:fldChar w:fldCharType="begin" w:fldLock="1"/>
      </w:r>
      <w:r w:rsidR="001163C3">
        <w:rPr>
          <w:color w:val="000000" w:themeColor="text1"/>
        </w:rPr>
        <w:instrText>ADDIN CSL_CITATION {"citationItems":[{"id":"ITEM-1","itemData":{"ISBN":"9789280736960","author":[{"dropping-particle":"","family":"Cooney","given":"R","non-dropping-particle":"","parse-names":false,"suffix":""},{"dropping-particle":"","family":"Roe","given":"D","non-dropping-particle":"","parse-names":false,"suffix":""},{"dropping-particle":"","family":"Dublin","given":"H","non-dropping-particle":"","parse-names":false,"suffix":""},{"dropping-particle":"","family":"Booker","given":"F","non-dropping-particle":"","parse-names":false,"suffix":""}],"id":"ITEM-1","issued":{"date-parts":[["2018"]]},"publisher-place":"United Nations Environment Programme, Nairobi, Kenya","title":"Wild life, wild livelihoods: involving communities in sustainable wildlife management and combating illegal wildlife trade","type":"report"},"uris":["http://www.mendeley.com/documents/?uuid=685f5ffa-5b74-46e7-b7d2-36f8480346cf"]}],"mendeley":{"formattedCitation":"(Cooney et al. 2018)","manualFormatting":"Cooney et al. (2018)","plainTextFormattedCitation":"(Cooney et al. 2018)","previouslyFormattedCitation":"(Cooney et al. 2018)"},"properties":{"noteIndex":0},"schema":"https://github.com/citation-style-language/schema/raw/master/csl-citation.json"}</w:instrText>
      </w:r>
      <w:r w:rsidR="001163C3">
        <w:rPr>
          <w:color w:val="000000" w:themeColor="text1"/>
        </w:rPr>
        <w:fldChar w:fldCharType="separate"/>
      </w:r>
      <w:r w:rsidR="001163C3" w:rsidRPr="00485C4B">
        <w:rPr>
          <w:noProof/>
          <w:color w:val="000000" w:themeColor="text1"/>
        </w:rPr>
        <w:t xml:space="preserve">Cooney et al. </w:t>
      </w:r>
      <w:r w:rsidR="001163C3">
        <w:rPr>
          <w:noProof/>
          <w:color w:val="000000" w:themeColor="text1"/>
        </w:rPr>
        <w:t>(</w:t>
      </w:r>
      <w:r w:rsidR="001163C3" w:rsidRPr="00485C4B">
        <w:rPr>
          <w:noProof/>
          <w:color w:val="000000" w:themeColor="text1"/>
        </w:rPr>
        <w:t>2018)</w:t>
      </w:r>
      <w:r w:rsidR="001163C3">
        <w:rPr>
          <w:color w:val="000000" w:themeColor="text1"/>
        </w:rPr>
        <w:fldChar w:fldCharType="end"/>
      </w:r>
      <w:r w:rsidR="001163C3">
        <w:rPr>
          <w:color w:val="000000" w:themeColor="text1"/>
        </w:rPr>
        <w:t>.</w:t>
      </w:r>
    </w:p>
    <w:p w14:paraId="5D9BCADF" w14:textId="35C081A9" w:rsidR="001F491C" w:rsidRPr="004904D8" w:rsidRDefault="001F491C" w:rsidP="00DF57F3">
      <w:pPr>
        <w:pStyle w:val="Heading2"/>
      </w:pPr>
      <w:bookmarkStart w:id="190" w:name="_Toc517693770"/>
      <w:bookmarkStart w:id="191" w:name="_Toc519156116"/>
      <w:bookmarkStart w:id="192" w:name="_Toc529390369"/>
      <w:r w:rsidRPr="004904D8">
        <w:t>Examples of community-based approaches for managing wildlife</w:t>
      </w:r>
      <w:bookmarkEnd w:id="190"/>
      <w:bookmarkEnd w:id="191"/>
      <w:bookmarkEnd w:id="192"/>
      <w:r w:rsidRPr="004904D8">
        <w:t xml:space="preserve"> </w:t>
      </w:r>
    </w:p>
    <w:p w14:paraId="40989453" w14:textId="00EFA336" w:rsidR="008804A7" w:rsidRPr="004904D8" w:rsidRDefault="001F491C" w:rsidP="00FC4DAF">
      <w:r w:rsidRPr="004904D8">
        <w:t>The term CBNRM covers a varied suite of approaches, often varying by region, country and different socio-poli</w:t>
      </w:r>
      <w:r w:rsidR="001163C3">
        <w:t xml:space="preserve">tical and biophysical contexts </w:t>
      </w:r>
      <w:r w:rsidR="001163C3">
        <w:fldChar w:fldCharType="begin" w:fldLock="1"/>
      </w:r>
      <w:r w:rsidR="00C73BBD">
        <w:instrText>ADDIN CSL_CITATION {"citationItems":[{"id":"ITEM-1","itemData":{"ISBN":"9789280736960","author":[{"dropping-particle":"","family":"Cooney","given":"R","non-dropping-particle":"","parse-names":false,"suffix":""},{"dropping-particle":"","family":"Roe","given":"D","non-dropping-particle":"","parse-names":false,"suffix":""},{"dropping-particle":"","family":"Dublin","given":"H","non-dropping-particle":"","parse-names":false,"suffix":""},{"dropping-particle":"","family":"Booker","given":"F","non-dropping-particle":"","parse-names":false,"suffix":""}],"id":"ITEM-1","issued":{"date-parts":[["2018"]]},"publisher-place":"United Nations Environment Programme, Nairobi, Kenya","title":"Wild life, wild livelihoods: involving communities in sustainable wildlife management and combating illegal wildlife trade","type":"report"},"uris":["http://www.mendeley.com/documents/?uuid=685f5ffa-5b74-46e7-b7d2-36f8480346cf"]},{"id":"ITEM-2","itemData":{"ISBN":"9781843697558","ISSN":"1605-1017","abstract":"Across sub-Saharan Africa, natural resources remain central to rural people’s livelihoods. Local norms and customs shape people’s everyday forms of resource use. In contrast, the commercial uses of natural resources often remain highly centralized, conditioned by government policies of the colonial and post-colonial eras. During the past several decades, there has been a shift from this predominantly centralized natural resource management towards more devolved models known very broadly as Community-Based Natural Resource Management (CBNRM). CBNRM models work to strengthen locally accountable institutions for natural resource use and management, enabling local groups of people to make better decisions about the use of land and resources. Because it involves the transfer of authority over natural resources to local communities, including of potentially valuable resources such as wildlife and timber, CBNRM is often about major institutional reforms and fundamental changes in power. This pan-African review of the impacts, challenges, and future directions of CBNRM highlights the diverse range of forms of community involvement in natural resource management that have emerged across the continent during the past twenty years. CBNRM means different things to different actors in different places across sub-Saharan Africa. In much of western and central Africa, CBNRM is interpreted by government authorities, donor agencies, and NGOs as benefit-sharing or outreach between national parks and adjacent communities. In such instances communities are not empowered as authorized local resource managers but are involved principally as passive recipients of benefits controlled elsewhere. This form of outreach and benefit-sharing is also a characteristic of some protected area management in East African countries. In Southern Africa, CBNRM is most clearly defined in terms of the devolution of rights to make management decisions, and capture benefits, in relation to resources located on communal lands. In all instances CBNRM involves some degree of co-management of resources between central authorities, local government, and local communities which share rights and responsibilities through diverse institutional arrangements. The various forms of CBNRM and their many locally-specific adaptations have greatly diversified approaches to natural resource governance in sub-Saharan Africa. Some notable ecological, economic, and institutional achievements have been documented.","author":[{"dropping-particle":"","family":"Roe","given":"Dilys","non-dropping-particle":"","parse-names":false,"suffix":""},{"dropping-particle":"","family":"Nelson","given":"Fred","non-dropping-particle":"","parse-names":false,"suffix":""},{"dropping-particle":"","family":"Sandbrook","given":"Chris","non-dropping-particle":"","parse-names":false,"suffix":""}],"id":"ITEM-2","issued":{"date-parts":[["2009"]]},"number-of-pages":"207","title":"Community management of natural resources in Africa: impacts, experiences and future directions","type":"book"},"uris":["http://www.mendeley.com/documents/?uuid=3e3b5fac-4311-4b0b-81b0-ae6aef9ae38a"]}],"mendeley":{"formattedCitation":"(Roe et al. 2009; Cooney et al. 2018)","plainTextFormattedCitation":"(Roe et al. 2009; Cooney et al. 2018)","previouslyFormattedCitation":"(Roe et al. 2009; Cooney et al. 2018)"},"properties":{"noteIndex":0},"schema":"https://github.com/citation-style-language/schema/raw/master/csl-citation.json"}</w:instrText>
      </w:r>
      <w:r w:rsidR="001163C3">
        <w:fldChar w:fldCharType="separate"/>
      </w:r>
      <w:r w:rsidR="001163C3" w:rsidRPr="001163C3">
        <w:rPr>
          <w:noProof/>
        </w:rPr>
        <w:t>(Roe et al. 2009; Cooney et al. 2018)</w:t>
      </w:r>
      <w:r w:rsidR="001163C3">
        <w:fldChar w:fldCharType="end"/>
      </w:r>
      <w:r w:rsidRPr="004904D8">
        <w:t>. Here we outline some of the most commonly applied for the management of wildlife.</w:t>
      </w:r>
    </w:p>
    <w:p w14:paraId="5DFA6B1E" w14:textId="4773C193" w:rsidR="007D5D22" w:rsidRDefault="006C3511" w:rsidP="001C1D6E">
      <w:pPr>
        <w:pStyle w:val="Heading3"/>
      </w:pPr>
      <w:r>
        <w:t>Co- and Community-managed Protected Areas</w:t>
      </w:r>
    </w:p>
    <w:p w14:paraId="0060BE0B" w14:textId="445C4A8A" w:rsidR="008240D9" w:rsidRPr="00964029" w:rsidRDefault="00964029" w:rsidP="00C258BC">
      <w:pPr>
        <w:spacing w:before="100" w:beforeAutospacing="1" w:after="100" w:afterAutospacing="1"/>
        <w:jc w:val="both"/>
      </w:pPr>
      <w:r>
        <w:t xml:space="preserve">Community </w:t>
      </w:r>
      <w:r w:rsidR="00C62930">
        <w:t xml:space="preserve">co-management of protected areas </w:t>
      </w:r>
      <w:r w:rsidR="00D85930">
        <w:t>with</w:t>
      </w:r>
      <w:r>
        <w:t xml:space="preserve"> </w:t>
      </w:r>
      <w:r w:rsidR="00C62930">
        <w:t>government, NGO</w:t>
      </w:r>
      <w:r>
        <w:t xml:space="preserve"> or industry</w:t>
      </w:r>
      <w:r w:rsidR="00C62930">
        <w:t xml:space="preserve"> </w:t>
      </w:r>
      <w:r w:rsidR="00A479D2">
        <w:t>partners has</w:t>
      </w:r>
      <w:r>
        <w:t xml:space="preserve"> been put forward as a way of reducing resource-use conflicts since the 1990s</w:t>
      </w:r>
      <w:r w:rsidR="00A852F7">
        <w:t>. Since</w:t>
      </w:r>
      <w:r>
        <w:t xml:space="preserve"> then </w:t>
      </w:r>
      <w:r w:rsidRPr="00964029">
        <w:t xml:space="preserve">there has been a significant increase in the extent of protected areas that support sustainable use of natural resources (Category VI). Their contribution to the total area protected with assigned IUCN categories has increased from 14% in 1990 to 32% in 2010 </w:t>
      </w:r>
      <w:r w:rsidR="00C73BBD">
        <w:fldChar w:fldCharType="begin" w:fldLock="1"/>
      </w:r>
      <w:r w:rsidR="00C73BBD">
        <w:instrText>ADDIN CSL_CITATION {"citationItems":[{"id":"ITEM-1","itemData":{"DOI":"DEW/1233/CA","ISBN":"9789280734164","abstract":"(2014): .","author":[{"dropping-particle":"","family":"Juffe-Bignoli","given":"D","non-dropping-particle":"","parse-names":false,"suffix":""},{"dropping-particle":"","family":"Burgess","given":"N D","non-dropping-particle":"","parse-names":false,"suffix":""},{"dropping-particle":"","family":"Bingham","given":"H","non-dropping-particle":"","parse-names":false,"suffix":""},{"dropping-particle":"","family":"Belle","given":"E M S","non-dropping-particle":"","parse-names":false,"suffix":""},{"dropping-particle":"","family":"Lima","given":"M G","non-dropping-particle":"de","parse-names":false,"suffix":""},{"dropping-particle":"","family":"Deguignet","given":"M","non-dropping-particle":"","parse-names":false,"suffix":""},{"dropping-particle":"","family":"Bertzky","given":"B","non-dropping-particle":"","parse-names":false,"suffix":""},{"dropping-particle":"","family":"Milam","given":"a N","non-dropping-particle":"","parse-names":false,"suffix":""},{"dropping-particle":"","family":"Martinez-Lopez","given":"J","non-dropping-particle":"","parse-names":false,"suffix":""},{"dropping-particle":"","family":"Lewis","given":"E","non-dropping-particle":"","parse-names":false,"suffix":""},{"dropping-particle":"","family":"Eassom","given":"A","non-dropping-particle":"","parse-names":false,"suffix":""},{"dropping-particle":"","family":"Wicander","given":"S","non-dropping-particle":"","parse-names":false,"suffix":""},{"dropping-particle":"","family":"Geldmann","given":"J","non-dropping-particle":"","parse-names":false,"suffix":""},{"dropping-particle":"","family":"Soesbergen","given":"A","non-dropping-particle":"van","parse-names":false,"suffix":""},{"dropping-particle":"","family":"Arnell","given":"a P","non-dropping-particle":"","parse-names":false,"suffix":""},{"dropping-particle":"","family":"O'Connor","given":"B","non-dropping-particle":"","parse-names":false,"suffix":""},{"dropping-particle":"","family":"Park","given":"S","non-dropping-particle":"","parse-names":false,"suffix":""},{"dropping-particle":"","family":"Shi","given":"Y N","non-dropping-particle":"","parse-names":false,"suffix":""},{"dropping-particle":"","family":"Danks","given":"F S","non-dropping-particle":"","parse-names":false,"suffix":""},{"dropping-particle":"","family":"MacSharry","given":"B","non-dropping-particle":"","parse-names":false,"suffix":""},{"dropping-particle":"","family":"Kingston","given":"N","non-dropping-particle":"","parse-names":false,"suffix":""}],"container-title":"Protected Planet Report","id":"ITEM-1","issued":{"date-parts":[["2014"]]},"number-of-pages":"69","title":"Protected Planet Report 2014","type":"book"},"uris":["http://www.mendeley.com/documents/?uuid=b1a64d03-fcf5-49fb-8094-57a7e5058c91"]}],"mendeley":{"formattedCitation":"(Juffe-Bignoli et al. 2014)","plainTextFormattedCitation":"(Juffe-Bignoli et al. 2014)","previouslyFormattedCitation":"(Juffe-Bignoli et al. 2014)"},"properties":{"noteIndex":0},"schema":"https://github.com/citation-style-language/schema/raw/master/csl-citation.json"}</w:instrText>
      </w:r>
      <w:r w:rsidR="00C73BBD">
        <w:fldChar w:fldCharType="separate"/>
      </w:r>
      <w:r w:rsidR="00C73BBD" w:rsidRPr="00C73BBD">
        <w:rPr>
          <w:noProof/>
        </w:rPr>
        <w:t>(Juffe-Bignoli et al. 2014)</w:t>
      </w:r>
      <w:r w:rsidR="00C73BBD">
        <w:fldChar w:fldCharType="end"/>
      </w:r>
      <w:r w:rsidRPr="00964029">
        <w:t xml:space="preserve">. </w:t>
      </w:r>
      <w:r w:rsidR="004502ED">
        <w:t>There are now several examples of PAs that are co-managed for sustainable hunting, including:</w:t>
      </w:r>
    </w:p>
    <w:p w14:paraId="15E8C551" w14:textId="71C0EC20" w:rsidR="0035665C" w:rsidRPr="000A7365" w:rsidRDefault="004502ED" w:rsidP="00C258BC">
      <w:pPr>
        <w:pStyle w:val="ListParagraph"/>
        <w:numPr>
          <w:ilvl w:val="0"/>
          <w:numId w:val="25"/>
        </w:numPr>
        <w:spacing w:after="0"/>
        <w:jc w:val="both"/>
        <w:rPr>
          <w:color w:val="000000" w:themeColor="text1"/>
        </w:rPr>
      </w:pPr>
      <w:r>
        <w:t xml:space="preserve">The </w:t>
      </w:r>
      <w:r w:rsidRPr="004502ED">
        <w:t xml:space="preserve">Ranobe PK32 PA, </w:t>
      </w:r>
      <w:r w:rsidRPr="000A7365">
        <w:rPr>
          <w:color w:val="000000" w:themeColor="text1"/>
        </w:rPr>
        <w:t xml:space="preserve">managed by </w:t>
      </w:r>
      <w:r w:rsidR="003B05D5" w:rsidRPr="000A7365">
        <w:rPr>
          <w:color w:val="000000" w:themeColor="text1"/>
        </w:rPr>
        <w:t>World Wide Fund for Nature (</w:t>
      </w:r>
      <w:r w:rsidRPr="000A7365">
        <w:rPr>
          <w:color w:val="000000" w:themeColor="text1"/>
        </w:rPr>
        <w:t>WWF</w:t>
      </w:r>
      <w:r w:rsidR="003B05D5" w:rsidRPr="000A7365">
        <w:rPr>
          <w:color w:val="000000" w:themeColor="text1"/>
        </w:rPr>
        <w:t>)</w:t>
      </w:r>
      <w:r w:rsidRPr="000A7365">
        <w:rPr>
          <w:color w:val="000000" w:themeColor="text1"/>
        </w:rPr>
        <w:t xml:space="preserve"> and local communities in Madagascar, which manages hunting through resource use zoning </w:t>
      </w:r>
      <w:r w:rsidR="00730F44">
        <w:rPr>
          <w:color w:val="000000" w:themeColor="text1"/>
        </w:rPr>
        <w:fldChar w:fldCharType="begin" w:fldLock="1"/>
      </w:r>
      <w:r w:rsidR="00815E9A">
        <w:rPr>
          <w:color w:val="000000" w:themeColor="text1"/>
        </w:rPr>
        <w:instrText>ADDIN CSL_CITATION {"citationItems":[{"id":"ITEM-1","itemData":{"DOI":"10.1007/s10745-013-9629-1","ISBN":"0300-7839","ISSN":"03007839","abstract":"Ensuring the sustainability of bushmeat consumption is critical for both biodiversity conservation and poverty alleviation in tropical developing countries, yet we know little about the role of hunting and bushmeat consumption in the daily lives of rural communities. We provide the first detailed, qualitative examination of bushmeat hunting activities conducted by a rural community within one of Madagascar's new, multiple-use protected areas, in order to inform appropriate management strategies. Results suggest that most species are eaten, but that few are favoured above domestic meat. Hunting is generally a secondary pursuit, carried out opportunistically during the course of other activities, although its importance does increase in times of food stress. Management focused on increasing domestic meat availability and directing hunting effort away from sensitive species may improve the sustainability of hunting, but development interventions to reduce forest dependence may be required to promote conservation and poverty alleviation simultaneously.[PUBLICATION ABSTRACT]","author":[{"dropping-particle":"","family":"Gardner","given":"Charlie J.","non-dropping-particle":"","parse-names":false,"suffix":""},{"dropping-particle":"","family":"Davies","given":"Zoe G.","non-dropping-particle":"","parse-names":false,"suffix":""}],"container-title":"Human Ecology","id":"ITEM-1","issue":"1","issued":{"date-parts":[["2014"]]},"page":"21-34","title":"Rural bushmeat consumption within multiple-use protected areas: qualitative evidence from southwest Madagascar","type":"article-journal","volume":"42"},"uris":["http://www.mendeley.com/documents/?uuid=c3c6aa7f-7903-3e69-8bbf-68304dc966b5"]}],"mendeley":{"formattedCitation":"(Gardner &amp; Davies 2014)","plainTextFormattedCitation":"(Gardner &amp; Davies 2014)","previouslyFormattedCitation":"(Gardner &amp; Davies 2014)"},"properties":{"noteIndex":0},"schema":"https://github.com/citation-style-language/schema/raw/master/csl-citation.json"}</w:instrText>
      </w:r>
      <w:r w:rsidR="00730F44">
        <w:rPr>
          <w:color w:val="000000" w:themeColor="text1"/>
        </w:rPr>
        <w:fldChar w:fldCharType="separate"/>
      </w:r>
      <w:r w:rsidR="0043640D" w:rsidRPr="0043640D">
        <w:rPr>
          <w:noProof/>
          <w:color w:val="000000" w:themeColor="text1"/>
        </w:rPr>
        <w:t>(Gardner &amp; Davies 2014)</w:t>
      </w:r>
      <w:r w:rsidR="00730F44">
        <w:rPr>
          <w:color w:val="000000" w:themeColor="text1"/>
        </w:rPr>
        <w:fldChar w:fldCharType="end"/>
      </w:r>
      <w:r w:rsidRPr="000A7365">
        <w:rPr>
          <w:color w:val="000000" w:themeColor="text1"/>
        </w:rPr>
        <w:t>;</w:t>
      </w:r>
    </w:p>
    <w:p w14:paraId="513A67F6" w14:textId="1A857035" w:rsidR="004502ED" w:rsidRPr="000A7365" w:rsidRDefault="003D3A1B" w:rsidP="00C258BC">
      <w:pPr>
        <w:pStyle w:val="ListParagraph"/>
        <w:numPr>
          <w:ilvl w:val="0"/>
          <w:numId w:val="25"/>
        </w:numPr>
        <w:spacing w:after="0"/>
        <w:jc w:val="both"/>
        <w:rPr>
          <w:color w:val="000000" w:themeColor="text1"/>
        </w:rPr>
      </w:pPr>
      <w:hyperlink r:id="rId116" w:history="1">
        <w:r w:rsidR="0035665C" w:rsidRPr="000A7365">
          <w:rPr>
            <w:rStyle w:val="Hyperlink"/>
            <w:color w:val="000000" w:themeColor="text1"/>
          </w:rPr>
          <w:t>Community Wildlife Management Areas</w:t>
        </w:r>
      </w:hyperlink>
      <w:r w:rsidR="000F760D">
        <w:rPr>
          <w:color w:val="000000" w:themeColor="text1"/>
        </w:rPr>
        <w:t xml:space="preserve"> (CWMA</w:t>
      </w:r>
      <w:r w:rsidR="0035665C" w:rsidRPr="000A7365">
        <w:rPr>
          <w:color w:val="000000" w:themeColor="text1"/>
        </w:rPr>
        <w:t xml:space="preserve">) in Tanzania, whereby a Community-Based Organisation manages hunting in collaboration with the Tanzanian Government, and revenues are shared </w:t>
      </w:r>
      <w:r w:rsidR="00CB55C0">
        <w:rPr>
          <w:color w:val="000000" w:themeColor="text1"/>
        </w:rPr>
        <w:fldChar w:fldCharType="begin" w:fldLock="1"/>
      </w:r>
      <w:r w:rsidR="00B2630D">
        <w:rPr>
          <w:color w:val="000000" w:themeColor="text1"/>
        </w:rPr>
        <w:instrText>ADDIN CSL_CITATION {"citationItems":[{"id":"ITEM-1","itemData":{"DOI":"10.1177/194008291000300102","ISBN":"19400829 (ISSN)","ISSN":"19400829","abstract":"Within the last few years, Tanzania has witnessed mushrooming growth of “wildlife management areas” (WMAs). These are broadly meant to halt (or reduce) loss of wildlife populations, and ensure that local people benefit from their conservation. However, human pressure is rapidly increasing and causing management problems in the WMAs. Some human land-use activities also limit wildlife dispersal, potentially destabilizing wildlife population dynamics. In addition, poor resource use diversification and lack of creativity constrain sustainable use of natural resources in the WMAs; consequently, their contribution to sustainable livelihoods is seriously undermined. A key question is how WMAs can be a sustainable and competitive land-use option that meets their predetermined objectives? Without doubt, a road map to sustainable WMAs should responsibly engage the government, non-governmental organizations, and community-based organizations in a joint effort towards realization of simple and flexible WMAs establishment process, quality wildlife habitat, and reduced human pressure on the wildlife resources, as well as successful and sustainable wildlife-based enterprises","author":[{"dropping-particle":"","family":"Wilfred","given":"Paulo","non-dropping-particle":"","parse-names":false,"suffix":""}],"container-title":"Tropical Conservation Science","id":"ITEM-1","issue":"1","issued":{"date-parts":[["2010"]]},"page":"103-116","title":"Towards sustainable wildlife management areas in Tanzania","type":"article-journal","volume":"3"},"uris":["http://www.mendeley.com/documents/?uuid=d7c4bce7-2437-467f-b73a-904c4a093a1f"]},{"id":"ITEM-2","itemData":{"author":[{"dropping-particle":"","family":"ESPA","given":"","non-dropping-particle":"","parse-names":false,"suffix":""}],"id":"ITEM-2","issued":{"date-parts":[["2017"]]},"publisher-place":"Ecosystem Services for Poverty Alleviation (ESPA), London, UK","title":"Realising the promise of Tanzania's Wildlife Management Areas. Policy and Practice Briefing, Nov. 2017","type":"report"},"uris":["http://www.mendeley.com/documents/?uuid=fd001e68-0ede-463a-b47a-349c745c8690"]}],"mendeley":{"formattedCitation":"(Wilfred 2010; ESPA 2017)","plainTextFormattedCitation":"(Wilfred 2010; ESPA 2017)","previouslyFormattedCitation":"(Wilfred 2010; ESPA 2017)"},"properties":{"noteIndex":0},"schema":"https://github.com/citation-style-language/schema/raw/master/csl-citation.json"}</w:instrText>
      </w:r>
      <w:r w:rsidR="00CB55C0">
        <w:rPr>
          <w:color w:val="000000" w:themeColor="text1"/>
        </w:rPr>
        <w:fldChar w:fldCharType="separate"/>
      </w:r>
      <w:r w:rsidR="00CB55C0" w:rsidRPr="00CB55C0">
        <w:rPr>
          <w:noProof/>
          <w:color w:val="000000" w:themeColor="text1"/>
        </w:rPr>
        <w:t>(Wilfred 2010; ESPA 2017)</w:t>
      </w:r>
      <w:r w:rsidR="00CB55C0">
        <w:rPr>
          <w:color w:val="000000" w:themeColor="text1"/>
        </w:rPr>
        <w:fldChar w:fldCharType="end"/>
      </w:r>
      <w:r w:rsidR="00CB55C0">
        <w:rPr>
          <w:color w:val="000000" w:themeColor="text1"/>
        </w:rPr>
        <w:t>.</w:t>
      </w:r>
    </w:p>
    <w:p w14:paraId="43DF076A" w14:textId="27F1C6A7" w:rsidR="0035665C" w:rsidRPr="000A7365" w:rsidRDefault="006D491B" w:rsidP="00C258BC">
      <w:pPr>
        <w:pStyle w:val="ListParagraph"/>
        <w:numPr>
          <w:ilvl w:val="0"/>
          <w:numId w:val="25"/>
        </w:numPr>
        <w:spacing w:after="0"/>
        <w:jc w:val="both"/>
        <w:rPr>
          <w:color w:val="000000" w:themeColor="text1"/>
        </w:rPr>
      </w:pPr>
      <w:r w:rsidRPr="000A7365">
        <w:rPr>
          <w:color w:val="000000" w:themeColor="text1"/>
        </w:rPr>
        <w:t>Br</w:t>
      </w:r>
      <w:r w:rsidR="008240D9" w:rsidRPr="000A7365">
        <w:rPr>
          <w:color w:val="000000" w:themeColor="text1"/>
        </w:rPr>
        <w:t xml:space="preserve">azilian Sustainable Development Reserves (see </w:t>
      </w:r>
      <w:r w:rsidR="000D26AC" w:rsidRPr="000A7365">
        <w:rPr>
          <w:color w:val="000000" w:themeColor="text1"/>
        </w:rPr>
        <w:fldChar w:fldCharType="begin"/>
      </w:r>
      <w:r w:rsidR="000D26AC" w:rsidRPr="000A7365">
        <w:rPr>
          <w:color w:val="000000" w:themeColor="text1"/>
        </w:rPr>
        <w:instrText xml:space="preserve"> REF _Ref519873441 \h </w:instrText>
      </w:r>
      <w:r w:rsidR="000D26AC" w:rsidRPr="000A7365">
        <w:rPr>
          <w:color w:val="000000" w:themeColor="text1"/>
        </w:rPr>
      </w:r>
      <w:r w:rsidR="000D26AC" w:rsidRPr="000A7365">
        <w:rPr>
          <w:color w:val="000000" w:themeColor="text1"/>
        </w:rPr>
        <w:fldChar w:fldCharType="separate"/>
      </w:r>
      <w:r w:rsidR="007034F1">
        <w:t xml:space="preserve">Box </w:t>
      </w:r>
      <w:r w:rsidR="007034F1">
        <w:rPr>
          <w:noProof/>
        </w:rPr>
        <w:t>1</w:t>
      </w:r>
      <w:r w:rsidR="000D26AC" w:rsidRPr="000A7365">
        <w:rPr>
          <w:color w:val="000000" w:themeColor="text1"/>
        </w:rPr>
        <w:fldChar w:fldCharType="end"/>
      </w:r>
      <w:r w:rsidR="008240D9" w:rsidRPr="000A7365">
        <w:rPr>
          <w:color w:val="000000" w:themeColor="text1"/>
        </w:rPr>
        <w:t>).</w:t>
      </w:r>
    </w:p>
    <w:p w14:paraId="6B2C2175" w14:textId="78C734C0" w:rsidR="006C3511" w:rsidRPr="000A7365" w:rsidRDefault="004502ED" w:rsidP="00C258BC">
      <w:pPr>
        <w:spacing w:after="0"/>
        <w:jc w:val="both"/>
        <w:rPr>
          <w:color w:val="000000" w:themeColor="text1"/>
        </w:rPr>
      </w:pPr>
      <w:r w:rsidRPr="000A7365">
        <w:rPr>
          <w:color w:val="000000" w:themeColor="text1"/>
        </w:rPr>
        <w:t xml:space="preserve"> </w:t>
      </w:r>
    </w:p>
    <w:p w14:paraId="441AD0FD" w14:textId="0564DC9F" w:rsidR="006C3511" w:rsidRPr="00964029" w:rsidRDefault="008240D9" w:rsidP="00962540">
      <w:pPr>
        <w:jc w:val="both"/>
      </w:pPr>
      <w:r w:rsidRPr="000A7365">
        <w:rPr>
          <w:color w:val="000000" w:themeColor="text1"/>
        </w:rPr>
        <w:lastRenderedPageBreak/>
        <w:t xml:space="preserve">In addition, </w:t>
      </w:r>
      <w:r w:rsidR="00CE69CD" w:rsidRPr="000A7365">
        <w:rPr>
          <w:color w:val="000000" w:themeColor="text1"/>
        </w:rPr>
        <w:t>Indigenous Peoples’ and Community Conserved Territories and Areas (</w:t>
      </w:r>
      <w:hyperlink r:id="rId117" w:history="1">
        <w:r w:rsidR="002B3FAB" w:rsidRPr="000A7365">
          <w:rPr>
            <w:rStyle w:val="Hyperlink"/>
            <w:color w:val="000000" w:themeColor="text1"/>
          </w:rPr>
          <w:t>ICCAs</w:t>
        </w:r>
      </w:hyperlink>
      <w:r w:rsidR="00CE69CD" w:rsidRPr="000A7365">
        <w:rPr>
          <w:color w:val="000000" w:themeColor="text1"/>
        </w:rPr>
        <w:t xml:space="preserve">) </w:t>
      </w:r>
      <w:r w:rsidR="002B3FAB" w:rsidRPr="000A7365">
        <w:rPr>
          <w:color w:val="000000" w:themeColor="text1"/>
        </w:rPr>
        <w:t xml:space="preserve">are </w:t>
      </w:r>
      <w:r w:rsidR="00964029" w:rsidRPr="000A7365">
        <w:rPr>
          <w:color w:val="000000" w:themeColor="text1"/>
        </w:rPr>
        <w:t xml:space="preserve">conserved </w:t>
      </w:r>
      <w:r w:rsidR="002B3FAB" w:rsidRPr="000A7365">
        <w:rPr>
          <w:color w:val="000000" w:themeColor="text1"/>
        </w:rPr>
        <w:t xml:space="preserve">areas </w:t>
      </w:r>
      <w:r w:rsidR="007D5508" w:rsidRPr="000A7365">
        <w:rPr>
          <w:color w:val="000000" w:themeColor="text1"/>
        </w:rPr>
        <w:t xml:space="preserve">voluntarily </w:t>
      </w:r>
      <w:r w:rsidRPr="000A7365">
        <w:rPr>
          <w:color w:val="000000" w:themeColor="text1"/>
        </w:rPr>
        <w:t>managed</w:t>
      </w:r>
      <w:r w:rsidR="002B3FAB" w:rsidRPr="000A7365">
        <w:rPr>
          <w:color w:val="000000" w:themeColor="text1"/>
        </w:rPr>
        <w:t xml:space="preserve"> by </w:t>
      </w:r>
      <w:r w:rsidR="0077363A">
        <w:rPr>
          <w:color w:val="000000" w:themeColor="text1"/>
        </w:rPr>
        <w:t>IPLCs</w:t>
      </w:r>
      <w:r w:rsidR="002B3FAB" w:rsidRPr="000A7365">
        <w:rPr>
          <w:color w:val="000000" w:themeColor="text1"/>
        </w:rPr>
        <w:t>.</w:t>
      </w:r>
      <w:r w:rsidRPr="000A7365">
        <w:rPr>
          <w:color w:val="000000" w:themeColor="text1"/>
        </w:rPr>
        <w:t xml:space="preserve"> The number of ICCAs worldwide is currently </w:t>
      </w:r>
      <w:r w:rsidR="00A479D2" w:rsidRPr="000A7365">
        <w:rPr>
          <w:color w:val="000000" w:themeColor="text1"/>
        </w:rPr>
        <w:t>unknown but</w:t>
      </w:r>
      <w:r w:rsidRPr="000A7365">
        <w:rPr>
          <w:color w:val="000000" w:themeColor="text1"/>
        </w:rPr>
        <w:t xml:space="preserve"> estimates suggest that ICCAs may cover an equal or greater area than government-designated protected areas </w:t>
      </w:r>
      <w:r w:rsidR="00CB55C0">
        <w:rPr>
          <w:color w:val="000000" w:themeColor="text1"/>
        </w:rPr>
        <w:fldChar w:fldCharType="begin" w:fldLock="1"/>
      </w:r>
      <w:r w:rsidR="0011263D">
        <w:rPr>
          <w:color w:val="000000" w:themeColor="text1"/>
        </w:rPr>
        <w:instrText>ADDIN CSL_CITATION {"citationItems":[{"id":"ITEM-1","itemData":{"URL":"http://www.iccaregistry.org","author":[{"dropping-particle":"","family":"UNEP-WCMC","given":"","non-dropping-particle":"","parse-names":false,"suffix":""},{"dropping-particle":"","family":"UNDP","given":"","non-dropping-particle":"","parse-names":false,"suffix":""},{"dropping-particle":"","family":"GEF","given":"","non-dropping-particle":"","parse-names":false,"suffix":""},{"dropping-particle":"","family":"IUCN","given":"","non-dropping-particle":"","parse-names":false,"suffix":""},{"dropping-particle":"","family":"WCPA","given":"","non-dropping-particle":"","parse-names":false,"suffix":""},{"dropping-particle":"","family":"BMU","given":"","non-dropping-particle":"","parse-names":false,"suffix":""}],"id":"ITEM-1","issued":{"date-parts":[["2018"]]},"title":"ICCA Registry","type":"webpage"},"uris":["http://www.mendeley.com/documents/?uuid=38287af9-3868-4765-8c69-5f4925221584"]}],"mendeley":{"formattedCitation":"(UNEP-WCMC et al. 2018)","plainTextFormattedCitation":"(UNEP-WCMC et al. 2018)","previouslyFormattedCitation":"(UNEP-WCMC et al. 2018)"},"properties":{"noteIndex":0},"schema":"https://github.com/citation-style-language/schema/raw/master/csl-citation.json"}</w:instrText>
      </w:r>
      <w:r w:rsidR="00CB55C0">
        <w:rPr>
          <w:color w:val="000000" w:themeColor="text1"/>
        </w:rPr>
        <w:fldChar w:fldCharType="separate"/>
      </w:r>
      <w:r w:rsidR="00CB55C0" w:rsidRPr="00CB55C0">
        <w:rPr>
          <w:noProof/>
          <w:color w:val="000000" w:themeColor="text1"/>
        </w:rPr>
        <w:t>(UNEP-WCMC et al. 2018)</w:t>
      </w:r>
      <w:r w:rsidR="00CB55C0">
        <w:rPr>
          <w:color w:val="000000" w:themeColor="text1"/>
        </w:rPr>
        <w:fldChar w:fldCharType="end"/>
      </w:r>
      <w:r w:rsidRPr="000A7365">
        <w:rPr>
          <w:color w:val="000000" w:themeColor="text1"/>
        </w:rPr>
        <w:t>.</w:t>
      </w:r>
      <w:r w:rsidR="009D10A6" w:rsidRPr="000A7365">
        <w:rPr>
          <w:color w:val="000000" w:themeColor="text1"/>
        </w:rPr>
        <w:t xml:space="preserve"> </w:t>
      </w:r>
      <w:r w:rsidR="002B3FAB" w:rsidRPr="000A7365">
        <w:rPr>
          <w:color w:val="000000" w:themeColor="text1"/>
        </w:rPr>
        <w:t xml:space="preserve">Communities may decide to conserve an area in response </w:t>
      </w:r>
      <w:r w:rsidR="002B3FAB">
        <w:t xml:space="preserve">to external and internal pressure on natural resources, to preserve specific ecological, economic, social and/or cultural values. </w:t>
      </w:r>
      <w:r w:rsidR="00964029" w:rsidRPr="00964029">
        <w:t>At the national level, ICCAs</w:t>
      </w:r>
      <w:r w:rsidR="009515D8">
        <w:t xml:space="preserve"> are</w:t>
      </w:r>
      <w:r w:rsidR="00964029" w:rsidRPr="00964029">
        <w:t xml:space="preserve"> </w:t>
      </w:r>
      <w:r w:rsidR="00964029">
        <w:t>not always</w:t>
      </w:r>
      <w:r w:rsidR="00964029" w:rsidRPr="00964029">
        <w:t xml:space="preserve"> recognised by th</w:t>
      </w:r>
      <w:r w:rsidR="00964029">
        <w:t>e government as protected areas</w:t>
      </w:r>
      <w:r w:rsidR="00964029" w:rsidRPr="00964029">
        <w:t>.</w:t>
      </w:r>
      <w:r w:rsidR="00964029">
        <w:t xml:space="preserve"> </w:t>
      </w:r>
      <w:r w:rsidR="007D5508">
        <w:t xml:space="preserve">ICCA </w:t>
      </w:r>
      <w:r w:rsidR="007D5508" w:rsidRPr="002C64CB">
        <w:rPr>
          <w:color w:val="000000" w:themeColor="text1"/>
        </w:rPr>
        <w:t xml:space="preserve">regulation may be through customary systems or newly created systems; for example, an analysis of 116 </w:t>
      </w:r>
      <w:r w:rsidR="00A831E6" w:rsidRPr="002C64CB">
        <w:rPr>
          <w:color w:val="000000" w:themeColor="text1"/>
        </w:rPr>
        <w:t>I</w:t>
      </w:r>
      <w:r w:rsidR="007D5508" w:rsidRPr="002C64CB">
        <w:rPr>
          <w:color w:val="000000" w:themeColor="text1"/>
        </w:rPr>
        <w:t xml:space="preserve">CCAs in India found that 38% used old or revived traditional practices, whereas 62% </w:t>
      </w:r>
      <w:r w:rsidR="007D5508">
        <w:t xml:space="preserve">applied </w:t>
      </w:r>
      <w:r w:rsidR="007D5508" w:rsidRPr="007D5508">
        <w:t xml:space="preserve">new management practices, </w:t>
      </w:r>
      <w:r w:rsidR="00C62930" w:rsidRPr="007D5508">
        <w:t>developed</w:t>
      </w:r>
      <w:r w:rsidR="007D5508" w:rsidRPr="007D5508">
        <w:t xml:space="preserve"> after the decision to conserve</w:t>
      </w:r>
      <w:r w:rsidR="004B55ED">
        <w:t xml:space="preserve"> </w:t>
      </w:r>
      <w:r w:rsidR="004B55ED">
        <w:fldChar w:fldCharType="begin" w:fldLock="1"/>
      </w:r>
      <w:r w:rsidR="00B2630D">
        <w:instrText>ADDIN CSL_CITATION {"citationItems":[{"id":"ITEM-1","itemData":{"author":[{"dropping-particle":"","family":"Pathak","given":"N.","non-dropping-particle":"","parse-names":false,"suffix":""}],"id":"ITEM-1","issued":{"date-parts":[["2009"]]},"publisher":"Kalpavriksh, Maharashtra, India","title":"Community Conserved Areas in India: A Directory","type":"book"},"uris":["http://www.mendeley.com/documents/?uuid=b60a004e-e20e-4423-92ea-d749749fc358"]}],"mendeley":{"formattedCitation":"(Pathak 2009)","plainTextFormattedCitation":"(Pathak 2009)","previouslyFormattedCitation":"(Pathak 2009)"},"properties":{"noteIndex":0},"schema":"https://github.com/citation-style-language/schema/raw/master/csl-citation.json"}</w:instrText>
      </w:r>
      <w:r w:rsidR="004B55ED">
        <w:fldChar w:fldCharType="separate"/>
      </w:r>
      <w:r w:rsidR="004B55ED" w:rsidRPr="004B55ED">
        <w:rPr>
          <w:noProof/>
        </w:rPr>
        <w:t>(Pathak 2009)</w:t>
      </w:r>
      <w:r w:rsidR="004B55ED">
        <w:fldChar w:fldCharType="end"/>
      </w:r>
      <w:r w:rsidR="007D5508">
        <w:t>.</w:t>
      </w:r>
      <w:r w:rsidR="006C3511">
        <w:t xml:space="preserve"> </w:t>
      </w:r>
    </w:p>
    <w:p w14:paraId="573BE096" w14:textId="72EAD1A0" w:rsidR="00C1775D" w:rsidRDefault="001F491C" w:rsidP="00C258BC">
      <w:pPr>
        <w:jc w:val="both"/>
        <w:rPr>
          <w:color w:val="000000" w:themeColor="text1"/>
        </w:rPr>
      </w:pPr>
      <w:r w:rsidRPr="004904D8">
        <w:rPr>
          <w:color w:val="000000" w:themeColor="text1"/>
        </w:rPr>
        <w:t xml:space="preserve">Community hunting zones </w:t>
      </w:r>
      <w:r w:rsidR="009515D8">
        <w:rPr>
          <w:color w:val="000000" w:themeColor="text1"/>
        </w:rPr>
        <w:t>are one</w:t>
      </w:r>
      <w:r w:rsidR="00382C3E">
        <w:rPr>
          <w:color w:val="000000" w:themeColor="text1"/>
        </w:rPr>
        <w:t xml:space="preserve"> way of allowing</w:t>
      </w:r>
      <w:r w:rsidRPr="004904D8">
        <w:rPr>
          <w:color w:val="000000" w:themeColor="text1"/>
        </w:rPr>
        <w:t xml:space="preserve"> regulate</w:t>
      </w:r>
      <w:r w:rsidR="00382C3E">
        <w:rPr>
          <w:color w:val="000000" w:themeColor="text1"/>
        </w:rPr>
        <w:t>d</w:t>
      </w:r>
      <w:r w:rsidRPr="004904D8">
        <w:rPr>
          <w:color w:val="000000" w:themeColor="text1"/>
        </w:rPr>
        <w:t xml:space="preserve"> hunting in </w:t>
      </w:r>
      <w:r w:rsidR="00C32567">
        <w:rPr>
          <w:color w:val="000000" w:themeColor="text1"/>
        </w:rPr>
        <w:t xml:space="preserve">co-managed </w:t>
      </w:r>
      <w:r w:rsidRPr="004904D8">
        <w:rPr>
          <w:color w:val="000000" w:themeColor="text1"/>
        </w:rPr>
        <w:t>protected areas</w:t>
      </w:r>
      <w:r w:rsidR="00FC4DAF">
        <w:rPr>
          <w:color w:val="000000" w:themeColor="text1"/>
        </w:rPr>
        <w:t xml:space="preserve"> or ICCAs</w:t>
      </w:r>
      <w:r w:rsidRPr="004904D8">
        <w:rPr>
          <w:color w:val="000000" w:themeColor="text1"/>
        </w:rPr>
        <w:t xml:space="preserve">. </w:t>
      </w:r>
      <w:r w:rsidR="006C4501" w:rsidRPr="004904D8">
        <w:t>Hunting zones may also</w:t>
      </w:r>
      <w:r w:rsidR="00CE69CD">
        <w:t xml:space="preserve"> be set up simply as part of a Community Land Use Planning </w:t>
      </w:r>
      <w:r w:rsidR="00D04B6E" w:rsidRPr="004904D8">
        <w:t>(CLUP)</w:t>
      </w:r>
      <w:r w:rsidR="00D04B6E">
        <w:t xml:space="preserve"> </w:t>
      </w:r>
      <w:r w:rsidR="00CE69CD">
        <w:t>p</w:t>
      </w:r>
      <w:r w:rsidR="006C4501" w:rsidRPr="004904D8">
        <w:t>rocess</w:t>
      </w:r>
      <w:r w:rsidR="00C32567">
        <w:t>, within industry concessions, or within the buffer-zones of protected areas</w:t>
      </w:r>
      <w:r w:rsidR="006C4501" w:rsidRPr="004904D8">
        <w:t xml:space="preserve">. </w:t>
      </w:r>
      <w:r w:rsidRPr="004904D8">
        <w:rPr>
          <w:color w:val="000000" w:themeColor="text1"/>
        </w:rPr>
        <w:t>The basic premise is that regulated hunting</w:t>
      </w:r>
      <w:r w:rsidR="006C4501" w:rsidRPr="005512D2">
        <w:rPr>
          <w:color w:val="000000" w:themeColor="text1"/>
        </w:rPr>
        <w:t xml:space="preserve"> by a defined set of users</w:t>
      </w:r>
      <w:r w:rsidRPr="003E3238">
        <w:rPr>
          <w:color w:val="000000" w:themeColor="text1"/>
        </w:rPr>
        <w:t xml:space="preserve"> is allowed within delimited hunting </w:t>
      </w:r>
      <w:r w:rsidR="00A479D2" w:rsidRPr="003E3238">
        <w:rPr>
          <w:color w:val="000000" w:themeColor="text1"/>
        </w:rPr>
        <w:t>zones and</w:t>
      </w:r>
      <w:r w:rsidRPr="003E3238">
        <w:rPr>
          <w:color w:val="000000" w:themeColor="text1"/>
        </w:rPr>
        <w:t xml:space="preserve"> is managed collaboratively by the communities</w:t>
      </w:r>
      <w:r w:rsidR="00C32567">
        <w:rPr>
          <w:color w:val="000000" w:themeColor="text1"/>
        </w:rPr>
        <w:t xml:space="preserve"> with any relevant co-managers</w:t>
      </w:r>
      <w:r w:rsidRPr="003E3238">
        <w:rPr>
          <w:color w:val="000000" w:themeColor="text1"/>
        </w:rPr>
        <w:t xml:space="preserve">. </w:t>
      </w:r>
      <w:r w:rsidR="00C24D4C">
        <w:rPr>
          <w:color w:val="000000" w:themeColor="text1"/>
        </w:rPr>
        <w:t>An example is provided by</w:t>
      </w:r>
      <w:r w:rsidR="00C32567">
        <w:rPr>
          <w:color w:val="000000" w:themeColor="text1"/>
        </w:rPr>
        <w:t xml:space="preserve"> the </w:t>
      </w:r>
      <w:r w:rsidRPr="004904D8">
        <w:rPr>
          <w:color w:val="000000" w:themeColor="text1"/>
        </w:rPr>
        <w:t xml:space="preserve">Zones Cynégétiques Villageoises (ZCV) in </w:t>
      </w:r>
      <w:r w:rsidR="000469C9" w:rsidRPr="004904D8">
        <w:rPr>
          <w:color w:val="000000" w:themeColor="text1"/>
        </w:rPr>
        <w:t>C</w:t>
      </w:r>
      <w:r w:rsidR="000469C9">
        <w:rPr>
          <w:color w:val="000000" w:themeColor="text1"/>
        </w:rPr>
        <w:t>AR and Cameroon</w:t>
      </w:r>
      <w:r w:rsidRPr="004904D8">
        <w:rPr>
          <w:color w:val="000000" w:themeColor="text1"/>
        </w:rPr>
        <w:t xml:space="preserve"> (</w:t>
      </w:r>
      <w:r w:rsidR="002257F6">
        <w:rPr>
          <w:color w:val="000000" w:themeColor="text1"/>
        </w:rPr>
        <w:fldChar w:fldCharType="begin"/>
      </w:r>
      <w:r w:rsidR="002257F6">
        <w:rPr>
          <w:color w:val="000000" w:themeColor="text1"/>
        </w:rPr>
        <w:instrText xml:space="preserve"> REF _Ref520712288 \h </w:instrText>
      </w:r>
      <w:r w:rsidR="002257F6">
        <w:rPr>
          <w:color w:val="000000" w:themeColor="text1"/>
        </w:rPr>
      </w:r>
      <w:r w:rsidR="002257F6">
        <w:rPr>
          <w:color w:val="000000" w:themeColor="text1"/>
        </w:rPr>
        <w:fldChar w:fldCharType="separate"/>
      </w:r>
      <w:r w:rsidR="007034F1">
        <w:t xml:space="preserve">Box </w:t>
      </w:r>
      <w:r w:rsidR="007034F1">
        <w:rPr>
          <w:noProof/>
        </w:rPr>
        <w:t>2</w:t>
      </w:r>
      <w:r w:rsidR="002257F6">
        <w:rPr>
          <w:color w:val="000000" w:themeColor="text1"/>
        </w:rPr>
        <w:fldChar w:fldCharType="end"/>
      </w:r>
      <w:r w:rsidRPr="004904D8">
        <w:rPr>
          <w:color w:val="000000" w:themeColor="text1"/>
        </w:rPr>
        <w:t xml:space="preserve">). </w:t>
      </w:r>
    </w:p>
    <w:p w14:paraId="5A207880" w14:textId="23DF39A2" w:rsidR="001F491C" w:rsidRPr="00785A38" w:rsidRDefault="001F491C" w:rsidP="001C1D6E">
      <w:pPr>
        <w:pStyle w:val="Heading3"/>
      </w:pPr>
      <w:bookmarkStart w:id="193" w:name="_Ref528670188"/>
      <w:r w:rsidRPr="00785A38">
        <w:t>Wildlife ranching</w:t>
      </w:r>
      <w:bookmarkEnd w:id="193"/>
      <w:r w:rsidRPr="00785A38">
        <w:t xml:space="preserve"> </w:t>
      </w:r>
    </w:p>
    <w:p w14:paraId="2ABB9BD8" w14:textId="1D81C229" w:rsidR="001F491C" w:rsidRPr="0070404D" w:rsidRDefault="004960B6" w:rsidP="00C258BC">
      <w:pPr>
        <w:jc w:val="both"/>
        <w:rPr>
          <w:snapToGrid w:val="0"/>
          <w:color w:val="000000" w:themeColor="text1"/>
          <w:sz w:val="22"/>
          <w:lang w:eastAsia="ja-JP" w:bidi="th-TH"/>
        </w:rPr>
      </w:pPr>
      <w:r w:rsidRPr="004904D8">
        <w:rPr>
          <w:snapToGrid w:val="0"/>
          <w:color w:val="000000" w:themeColor="text1"/>
          <w:lang w:eastAsia="ja-JP" w:bidi="th-TH"/>
        </w:rPr>
        <w:t>Wildlife (or game) ranching comprises the maintenance of wild animals in areas delineated by fences. It is a form of husbandry similar to cattle ranching, the animals are managed on natural vegetation although the habitat may be manipulated to improve production efficiency. The animals on the ranch are the property of the ranch owner (</w:t>
      </w:r>
      <w:r w:rsidR="00A852F7">
        <w:rPr>
          <w:snapToGrid w:val="0"/>
          <w:color w:val="000000" w:themeColor="text1"/>
          <w:lang w:eastAsia="ja-JP" w:bidi="th-TH"/>
        </w:rPr>
        <w:t xml:space="preserve">an </w:t>
      </w:r>
      <w:r w:rsidRPr="004904D8">
        <w:rPr>
          <w:snapToGrid w:val="0"/>
          <w:color w:val="000000" w:themeColor="text1"/>
          <w:lang w:eastAsia="ja-JP" w:bidi="th-TH"/>
        </w:rPr>
        <w:t xml:space="preserve">individual or </w:t>
      </w:r>
      <w:r w:rsidR="00A852F7">
        <w:rPr>
          <w:snapToGrid w:val="0"/>
          <w:color w:val="000000" w:themeColor="text1"/>
          <w:lang w:eastAsia="ja-JP" w:bidi="th-TH"/>
        </w:rPr>
        <w:t xml:space="preserve">a </w:t>
      </w:r>
      <w:r w:rsidRPr="004904D8">
        <w:rPr>
          <w:snapToGrid w:val="0"/>
          <w:color w:val="000000" w:themeColor="text1"/>
          <w:lang w:eastAsia="ja-JP" w:bidi="th-TH"/>
        </w:rPr>
        <w:t xml:space="preserve">community) for as long as they remain on the ranch. </w:t>
      </w:r>
      <w:r w:rsidR="001F491C" w:rsidRPr="004904D8">
        <w:rPr>
          <w:color w:val="000000" w:themeColor="text1"/>
        </w:rPr>
        <w:t xml:space="preserve">In southern Africa, landowners were granted user rights to wildlife in the 1960’s and 70’s. In the 1980’s </w:t>
      </w:r>
      <w:r w:rsidR="001F491C" w:rsidRPr="005512D2">
        <w:rPr>
          <w:color w:val="000000" w:themeColor="text1"/>
        </w:rPr>
        <w:t>increasing demand for tourism and safari hunting shifted private land use away from livestock ranching, and wildlife ranches now cover approximately 288,000 km</w:t>
      </w:r>
      <w:r w:rsidR="001F491C" w:rsidRPr="005512D2">
        <w:rPr>
          <w:color w:val="000000" w:themeColor="text1"/>
          <w:vertAlign w:val="superscript"/>
        </w:rPr>
        <w:t>2</w:t>
      </w:r>
      <w:r w:rsidR="001F491C" w:rsidRPr="003E3238">
        <w:rPr>
          <w:color w:val="000000" w:themeColor="text1"/>
        </w:rPr>
        <w:t xml:space="preserve"> in Namibia, 200,000 km</w:t>
      </w:r>
      <w:r w:rsidR="001F491C" w:rsidRPr="003E3238">
        <w:rPr>
          <w:color w:val="000000" w:themeColor="text1"/>
          <w:vertAlign w:val="superscript"/>
        </w:rPr>
        <w:t>2</w:t>
      </w:r>
      <w:r w:rsidR="001F491C" w:rsidRPr="00EE2428">
        <w:rPr>
          <w:color w:val="000000" w:themeColor="text1"/>
        </w:rPr>
        <w:t xml:space="preserve"> in South Africa and 27,000 km</w:t>
      </w:r>
      <w:r w:rsidR="001F491C" w:rsidRPr="00EE2428">
        <w:rPr>
          <w:color w:val="000000" w:themeColor="text1"/>
          <w:vertAlign w:val="superscript"/>
        </w:rPr>
        <w:t>2</w:t>
      </w:r>
      <w:r w:rsidR="001F491C" w:rsidRPr="0064175F">
        <w:rPr>
          <w:color w:val="000000" w:themeColor="text1"/>
        </w:rPr>
        <w:t xml:space="preserve"> in Zimbabwe (pre-land reform), and exist to a lesser extent in Botswana, Z</w:t>
      </w:r>
      <w:r w:rsidR="001F491C" w:rsidRPr="0070404D">
        <w:rPr>
          <w:color w:val="000000" w:themeColor="text1"/>
        </w:rPr>
        <w:t xml:space="preserve">ambia and Mozambique </w:t>
      </w:r>
      <w:r w:rsidR="00730F44">
        <w:rPr>
          <w:color w:val="000000" w:themeColor="text1"/>
        </w:rPr>
        <w:fldChar w:fldCharType="begin" w:fldLock="1"/>
      </w:r>
      <w:r w:rsidR="00730F44">
        <w:rPr>
          <w:color w:val="000000" w:themeColor="text1"/>
        </w:rPr>
        <w:instrText>ADDIN CSL_CITATION {"citationItems":[{"id":"ITEM-1","itemData":{"DOI":"10.1017/S0030605311001049","ISBN":"1365-3008","ISSN":"0030-6053","abstract":"Legislative changes during the 1960s-1970s granted user rights over wildlife to landowners in southern Africa, resulting in a shift from livestock farming to wildlife-based land uses. Few comprehensive assessments of such land uses on private land in southern Africa have been conducted and the associated benefits are not always acknowledged by politicians. Nonetheless, wildlife-based land uses are growing in prevalence on private land. In Namibia wildlife-based land use occurs over c. 287,000 km2. Employment is positively related to income from ecotourism and negatively related to income from livestock. While 87% of meat from livestock is exported 95% of venison from wildlife-based land uses remains within the country, contributing to food security. Wildlife populations are increasing with expansion of wildlife-based land uses, and private farms contain 21-33 times more wildlife than in protected areas. Because of the popularity of wildlife-based land uses among younger farmers, increasing tourist arrivals and projected impacts of climate change on livestock production, the economic output of wildlife-based land uses will probably soon exceed that of livestock. However, existing policies favour livestock production and are prejudiced against wildlife-based land uses by prohibiting reintroductions of buffalo Syncerus caffer, a key species for tourism and safari hunting, and through subsidies that artificially inflate the profitability of livestock production. Returns from wildlife-based land uses are also limited by the failure to reintroduce other charismatic species, failure to develop fully-integrated conservancies and to integrate black farmers sufficiently.","author":[{"dropping-particle":"","family":"Lindsey","given":"P. A.","non-dropping-particle":"","parse-names":false,"suffix":""},{"dropping-particle":"","family":"Havemann","given":"C. P.","non-dropping-particle":"","parse-names":false,"suffix":""},{"dropping-particle":"","family":"Lines","given":"R. M.","non-dropping-particle":"","parse-names":false,"suffix":""},{"dropping-particle":"","family":"Price","given":"A. E.","non-dropping-particle":"","parse-names":false,"suffix":""},{"dropping-particle":"","family":"Retief","given":"T. A.","non-dropping-particle":"","parse-names":false,"suffix":""},{"dropping-particle":"","family":"Rhebergen","given":"T.","non-dropping-particle":"","parse-names":false,"suffix":""},{"dropping-particle":"","family":"Waal","given":"C.","non-dropping-particle":"Van der","parse-names":false,"suffix":""},{"dropping-particle":"","family":"Romañach","given":"S. S.","non-dropping-particle":"","parse-names":false,"suffix":""}],"container-title":"Oryx","id":"ITEM-1","issue":"01","issued":{"date-parts":[["2013"]]},"page":"41-53","title":"Benefits of wildlife-based land uses on private lands in Namibia and limitations affecting their development","type":"article-journal","volume":"47"},"uris":["http://www.mendeley.com/documents/?uuid=e1cb96e8-7122-4ab1-ae78-9078b34c72c8"]}],"mendeley":{"formattedCitation":"(Lindsey et al. 2013b)","plainTextFormattedCitation":"(Lindsey et al. 2013b)","previouslyFormattedCitation":"(Lindsey et al. 2013b)"},"properties":{"noteIndex":0},"schema":"https://github.com/citation-style-language/schema/raw/master/csl-citation.json"}</w:instrText>
      </w:r>
      <w:r w:rsidR="00730F44">
        <w:rPr>
          <w:color w:val="000000" w:themeColor="text1"/>
        </w:rPr>
        <w:fldChar w:fldCharType="separate"/>
      </w:r>
      <w:r w:rsidR="00730F44" w:rsidRPr="00730F44">
        <w:rPr>
          <w:noProof/>
          <w:color w:val="000000" w:themeColor="text1"/>
        </w:rPr>
        <w:t>(Lindsey et al. 2013b)</w:t>
      </w:r>
      <w:r w:rsidR="00730F44">
        <w:rPr>
          <w:color w:val="000000" w:themeColor="text1"/>
        </w:rPr>
        <w:fldChar w:fldCharType="end"/>
      </w:r>
      <w:r w:rsidR="001F491C" w:rsidRPr="0070404D">
        <w:rPr>
          <w:color w:val="000000" w:themeColor="text1"/>
        </w:rPr>
        <w:t xml:space="preserve">. </w:t>
      </w:r>
    </w:p>
    <w:p w14:paraId="080367C4" w14:textId="6BBF2D6F" w:rsidR="004960B6" w:rsidRDefault="001F491C" w:rsidP="00C258BC">
      <w:pPr>
        <w:jc w:val="both"/>
        <w:rPr>
          <w:color w:val="000000" w:themeColor="text1"/>
        </w:rPr>
      </w:pPr>
      <w:r w:rsidRPr="0070404D">
        <w:rPr>
          <w:color w:val="000000" w:themeColor="text1"/>
        </w:rPr>
        <w:t>In semi-arid areas in southern Africa, wildlife-based land use is commonly more profitable than livestock. Wildlife ranching and tourism on freehold land contributed US</w:t>
      </w:r>
      <w:r w:rsidR="00474CEF">
        <w:rPr>
          <w:color w:val="000000" w:themeColor="text1"/>
        </w:rPr>
        <w:t>$</w:t>
      </w:r>
      <w:r w:rsidRPr="0070404D">
        <w:rPr>
          <w:color w:val="000000" w:themeColor="text1"/>
        </w:rPr>
        <w:t xml:space="preserve"> 166 million to GNI in Namibia in 2009, compared to US</w:t>
      </w:r>
      <w:r w:rsidR="00474CEF">
        <w:rPr>
          <w:color w:val="000000" w:themeColor="text1"/>
        </w:rPr>
        <w:t>$</w:t>
      </w:r>
      <w:r w:rsidRPr="0070404D">
        <w:rPr>
          <w:color w:val="000000" w:themeColor="text1"/>
        </w:rPr>
        <w:t xml:space="preserve">235 million from livestock </w:t>
      </w:r>
      <w:r w:rsidR="004B55ED">
        <w:rPr>
          <w:color w:val="000000" w:themeColor="text1"/>
        </w:rPr>
        <w:fldChar w:fldCharType="begin" w:fldLock="1"/>
      </w:r>
      <w:r w:rsidR="00B2630D">
        <w:rPr>
          <w:color w:val="000000" w:themeColor="text1"/>
        </w:rPr>
        <w:instrText>ADDIN CSL_CITATION {"citationItems":[{"id":"ITEM-1","itemData":{"author":[{"dropping-particle":"","family":"Barnes","given":"J.","non-dropping-particle":"","parse-names":false,"suffix":""},{"dropping-particle":"","family":"Lange","given":"G.","non-dropping-particle":"","parse-names":false,"suffix":""},{"dropping-particle":"","family":"Nhuleipo","given":"O.","non-dropping-particle":"","parse-names":false,"suffix":""},{"dropping-particle":"","family":"Muteyauli","given":"P.","non-dropping-particle":"","parse-names":false,"suffix":""},{"dropping-particle":"","family":"Katoma","given":"P.","non-dropping-particle":"","parse-names":false,"suffix":""},{"dropping-particle":"","family":"Amupolo","given":"H","non-dropping-particle":"","parse-names":false,"suffix":""}],"id":"ITEM-1","issued":{"date-parts":[["2009"]]},"publisher-place":"Ministry of Environment and Tourism, Windhoek, Namibia","title":"Preliminary valuation of the wildlife stocks in Namibia: wildlife asset accounts","type":"report"},"uris":["http://www.mendeley.com/documents/?uuid=6dd00889-0507-46e0-b328-29cb25a75822"]}],"mendeley":{"formattedCitation":"(Barnes et al. 2009)","plainTextFormattedCitation":"(Barnes et al. 2009)","previouslyFormattedCitation":"(Barnes et al. 2009)"},"properties":{"noteIndex":0},"schema":"https://github.com/citation-style-language/schema/raw/master/csl-citation.json"}</w:instrText>
      </w:r>
      <w:r w:rsidR="004B55ED">
        <w:rPr>
          <w:color w:val="000000" w:themeColor="text1"/>
        </w:rPr>
        <w:fldChar w:fldCharType="separate"/>
      </w:r>
      <w:r w:rsidR="004B55ED" w:rsidRPr="004B55ED">
        <w:rPr>
          <w:noProof/>
          <w:color w:val="000000" w:themeColor="text1"/>
        </w:rPr>
        <w:t>(Barnes et al. 2009)</w:t>
      </w:r>
      <w:r w:rsidR="004B55ED">
        <w:rPr>
          <w:color w:val="000000" w:themeColor="text1"/>
        </w:rPr>
        <w:fldChar w:fldCharType="end"/>
      </w:r>
      <w:r w:rsidRPr="0070404D">
        <w:rPr>
          <w:color w:val="000000" w:themeColor="text1"/>
        </w:rPr>
        <w:t>, and recent estimates suggest that wildlife-based land use is pract</w:t>
      </w:r>
      <w:r w:rsidR="00730F44">
        <w:rPr>
          <w:color w:val="000000" w:themeColor="text1"/>
        </w:rPr>
        <w:t xml:space="preserve">ised by 75% of Namibian farmers </w:t>
      </w:r>
      <w:r w:rsidR="00730F44">
        <w:rPr>
          <w:color w:val="000000" w:themeColor="text1"/>
        </w:rPr>
        <w:fldChar w:fldCharType="begin" w:fldLock="1"/>
      </w:r>
      <w:r w:rsidR="0021332A">
        <w:rPr>
          <w:color w:val="000000" w:themeColor="text1"/>
        </w:rPr>
        <w:instrText>ADDIN CSL_CITATION {"citationItems":[{"id":"ITEM-1","itemData":{"DOI":"10.1017/S0030605311001049","ISBN":"1365-3008","ISSN":"0030-6053","abstract":"Legislative changes during the 1960s-1970s granted user rights over wildlife to landowners in southern Africa, resulting in a shift from livestock farming to wildlife-based land uses. Few comprehensive assessments of such land uses on private land in southern Africa have been conducted and the associated benefits are not always acknowledged by politicians. Nonetheless, wildlife-based land uses are growing in prevalence on private land. In Namibia wildlife-based land use occurs over c. 287,000 km2. Employment is positively related to income from ecotourism and negatively related to income from livestock. While 87% of meat from livestock is exported 95% of venison from wildlife-based land uses remains within the country, contributing to food security. Wildlife populations are increasing with expansion of wildlife-based land uses, and private farms contain 21-33 times more wildlife than in protected areas. Because of the popularity of wildlife-based land uses among younger farmers, increasing tourist arrivals and projected impacts of climate change on livestock production, the economic output of wildlife-based land uses will probably soon exceed that of livestock. However, existing policies favour livestock production and are prejudiced against wildlife-based land uses by prohibiting reintroductions of buffalo Syncerus caffer, a key species for tourism and safari hunting, and through subsidies that artificially inflate the profitability of livestock production. Returns from wildlife-based land uses are also limited by the failure to reintroduce other charismatic species, failure to develop fully-integrated conservancies and to integrate black farmers sufficiently.","author":[{"dropping-particle":"","family":"Lindsey","given":"P. A.","non-dropping-particle":"","parse-names":false,"suffix":""},{"dropping-particle":"","family":"Havemann","given":"C. P.","non-dropping-particle":"","parse-names":false,"suffix":""},{"dropping-particle":"","family":"Lines","given":"R. M.","non-dropping-particle":"","parse-names":false,"suffix":""},{"dropping-particle":"","family":"Price","given":"A. E.","non-dropping-particle":"","parse-names":false,"suffix":""},{"dropping-particle":"","family":"Retief","given":"T. A.","non-dropping-particle":"","parse-names":false,"suffix":""},{"dropping-particle":"","family":"Rhebergen","given":"T.","non-dropping-particle":"","parse-names":false,"suffix":""},{"dropping-particle":"","family":"Waal","given":"C.","non-dropping-particle":"Van der","parse-names":false,"suffix":""},{"dropping-particle":"","family":"Romañach","given":"S. S.","non-dropping-particle":"","parse-names":false,"suffix":""}],"container-title":"Oryx","id":"ITEM-1","issue":"01","issued":{"date-parts":[["2013"]]},"page":"41-53","title":"Benefits of wildlife-based land uses on private lands in Namibia and limitations affecting their development","type":"article-journal","volume":"47"},"uris":["http://www.mendeley.com/documents/?uuid=e1cb96e8-7122-4ab1-ae78-9078b34c72c8"]}],"mendeley":{"formattedCitation":"(Lindsey et al. 2013b)","plainTextFormattedCitation":"(Lindsey et al. 2013b)","previouslyFormattedCitation":"(Lindsey et al. 2013b)"},"properties":{"noteIndex":0},"schema":"https://github.com/citation-style-language/schema/raw/master/csl-citation.json"}</w:instrText>
      </w:r>
      <w:r w:rsidR="00730F44">
        <w:rPr>
          <w:color w:val="000000" w:themeColor="text1"/>
        </w:rPr>
        <w:fldChar w:fldCharType="separate"/>
      </w:r>
      <w:r w:rsidR="00730F44" w:rsidRPr="00730F44">
        <w:rPr>
          <w:noProof/>
          <w:color w:val="000000" w:themeColor="text1"/>
        </w:rPr>
        <w:t>(Lindsey et al. 2013b)</w:t>
      </w:r>
      <w:r w:rsidR="00730F44">
        <w:rPr>
          <w:color w:val="000000" w:themeColor="text1"/>
        </w:rPr>
        <w:fldChar w:fldCharType="end"/>
      </w:r>
      <w:r w:rsidRPr="0070404D">
        <w:rPr>
          <w:color w:val="000000" w:themeColor="text1"/>
        </w:rPr>
        <w:t>. While game ranching provides a useful model for conserving wildlife on private lands, the benefits of ranching are mainly captured by wealthy private landowners</w:t>
      </w:r>
      <w:r w:rsidR="00A852F7">
        <w:rPr>
          <w:color w:val="000000" w:themeColor="text1"/>
        </w:rPr>
        <w:t>. A</w:t>
      </w:r>
      <w:r w:rsidRPr="0070404D">
        <w:rPr>
          <w:color w:val="000000" w:themeColor="text1"/>
        </w:rPr>
        <w:t xml:space="preserve"> recent survey of ranchers in Namibia </w:t>
      </w:r>
      <w:r w:rsidR="0021332A">
        <w:rPr>
          <w:color w:val="000000" w:themeColor="text1"/>
        </w:rPr>
        <w:fldChar w:fldCharType="begin" w:fldLock="1"/>
      </w:r>
      <w:r w:rsidR="0021332A">
        <w:rPr>
          <w:color w:val="000000" w:themeColor="text1"/>
        </w:rPr>
        <w:instrText>ADDIN CSL_CITATION {"citationItems":[{"id":"ITEM-1","itemData":{"DOI":"10.1017/S0030605311001049","ISBN":"1365-3008","ISSN":"0030-6053","abstract":"Legislative changes during the 1960s-1970s granted user rights over wildlife to landowners in southern Africa, resulting in a shift from livestock farming to wildlife-based land uses. Few comprehensive assessments of such land uses on private land in southern Africa have been conducted and the associated benefits are not always acknowledged by politicians. Nonetheless, wildlife-based land uses are growing in prevalence on private land. In Namibia wildlife-based land use occurs over c. 287,000 km2. Employment is positively related to income from ecotourism and negatively related to income from livestock. While 87% of meat from livestock is exported 95% of venison from wildlife-based land uses remains within the country, contributing to food security. Wildlife populations are increasing with expansion of wildlife-based land uses, and private farms contain 21-33 times more wildlife than in protected areas. Because of the popularity of wildlife-based land uses among younger farmers, increasing tourist arrivals and projected impacts of climate change on livestock production, the economic output of wildlife-based land uses will probably soon exceed that of livestock. However, existing policies favour livestock production and are prejudiced against wildlife-based land uses by prohibiting reintroductions of buffalo Syncerus caffer, a key species for tourism and safari hunting, and through subsidies that artificially inflate the profitability of livestock production. Returns from wildlife-based land uses are also limited by the failure to reintroduce other charismatic species, failure to develop fully-integrated conservancies and to integrate black farmers sufficiently.","author":[{"dropping-particle":"","family":"Lindsey","given":"P. A.","non-dropping-particle":"","parse-names":false,"suffix":""},{"dropping-particle":"","family":"Havemann","given":"C. P.","non-dropping-particle":"","parse-names":false,"suffix":""},{"dropping-particle":"","family":"Lines","given":"R. M.","non-dropping-particle":"","parse-names":false,"suffix":""},{"dropping-particle":"","family":"Price","given":"A. E.","non-dropping-particle":"","parse-names":false,"suffix":""},{"dropping-particle":"","family":"Retief","given":"T. A.","non-dropping-particle":"","parse-names":false,"suffix":""},{"dropping-particle":"","family":"Rhebergen","given":"T.","non-dropping-particle":"","parse-names":false,"suffix":""},{"dropping-particle":"","family":"Waal","given":"C.","non-dropping-particle":"Van der","parse-names":false,"suffix":""},{"dropping-particle":"","family":"Romañach","given":"S. S.","non-dropping-particle":"","parse-names":false,"suffix":""}],"container-title":"Oryx","id":"ITEM-1","issue":"01","issued":{"date-parts":[["2013"]]},"page":"41-53","title":"Benefits of wildlife-based land uses on private lands in Namibia and limitations affecting their development","type":"article-journal","volume":"47"},"uris":["http://www.mendeley.com/documents/?uuid=e1cb96e8-7122-4ab1-ae78-9078b34c72c8"]}],"mendeley":{"formattedCitation":"(Lindsey et al. 2013b)","plainTextFormattedCitation":"(Lindsey et al. 2013b)","previouslyFormattedCitation":"(Lindsey et al. 2013b)"},"properties":{"noteIndex":0},"schema":"https://github.com/citation-style-language/schema/raw/master/csl-citation.json"}</w:instrText>
      </w:r>
      <w:r w:rsidR="0021332A">
        <w:rPr>
          <w:color w:val="000000" w:themeColor="text1"/>
        </w:rPr>
        <w:fldChar w:fldCharType="separate"/>
      </w:r>
      <w:r w:rsidR="0021332A" w:rsidRPr="0021332A">
        <w:rPr>
          <w:noProof/>
          <w:color w:val="000000" w:themeColor="text1"/>
        </w:rPr>
        <w:t>(Lindsey et al. 2013b)</w:t>
      </w:r>
      <w:r w:rsidR="0021332A">
        <w:rPr>
          <w:color w:val="000000" w:themeColor="text1"/>
        </w:rPr>
        <w:fldChar w:fldCharType="end"/>
      </w:r>
      <w:r w:rsidRPr="0070404D">
        <w:rPr>
          <w:color w:val="000000" w:themeColor="text1"/>
        </w:rPr>
        <w:t xml:space="preserve"> found that most landowners engaged in game ranching were white Southern Africans. The same study, however, found that wildlife ranching significantly increased local employment, compared to livestock ranching. </w:t>
      </w:r>
    </w:p>
    <w:p w14:paraId="0A94E2A0" w14:textId="0CC6D1DF" w:rsidR="00A93F55" w:rsidRDefault="00A93F55" w:rsidP="00C258BC">
      <w:pPr>
        <w:jc w:val="both"/>
        <w:rPr>
          <w:color w:val="000000" w:themeColor="text1"/>
        </w:rPr>
      </w:pPr>
    </w:p>
    <w:p w14:paraId="426DFEE6" w14:textId="4C1EFBD4" w:rsidR="00A93F55" w:rsidRDefault="00A93F55" w:rsidP="00C258BC">
      <w:pPr>
        <w:jc w:val="both"/>
        <w:rPr>
          <w:color w:val="000000" w:themeColor="text1"/>
        </w:rPr>
      </w:pPr>
      <w:r w:rsidRPr="0031471E">
        <w:rPr>
          <w:noProof/>
          <w:color w:val="000000" w:themeColor="text1"/>
          <w:lang w:val="en-US"/>
        </w:rPr>
        <w:lastRenderedPageBreak/>
        <mc:AlternateContent>
          <mc:Choice Requires="wps">
            <w:drawing>
              <wp:inline distT="0" distB="0" distL="0" distR="0" wp14:anchorId="5BAFCF0D" wp14:editId="7B1F99B0">
                <wp:extent cx="5727700" cy="8280400"/>
                <wp:effectExtent l="12700" t="12700" r="16510" b="12700"/>
                <wp:docPr id="3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8280400"/>
                        </a:xfrm>
                        <a:prstGeom prst="rect">
                          <a:avLst/>
                        </a:prstGeom>
                        <a:solidFill>
                          <a:schemeClr val="bg1">
                            <a:lumMod val="85000"/>
                          </a:schemeClr>
                        </a:solidFill>
                        <a:ln w="22225">
                          <a:solidFill>
                            <a:schemeClr val="tx1">
                              <a:lumMod val="100000"/>
                              <a:lumOff val="0"/>
                            </a:schemeClr>
                          </a:solidFill>
                          <a:miter lim="800000"/>
                          <a:headEnd/>
                          <a:tailEnd/>
                        </a:ln>
                        <a:extLst/>
                      </wps:spPr>
                      <wps:txbx>
                        <w:txbxContent>
                          <w:p w14:paraId="1E41E9ED" w14:textId="657B5E30" w:rsidR="00B82BFD" w:rsidRDefault="00B82BFD" w:rsidP="000D26AC">
                            <w:pPr>
                              <w:pStyle w:val="Caption"/>
                            </w:pPr>
                            <w:bookmarkStart w:id="194" w:name="_Ref519873441"/>
                            <w:r>
                              <w:t xml:space="preserve">Box </w:t>
                            </w:r>
                            <w:r>
                              <w:fldChar w:fldCharType="begin"/>
                            </w:r>
                            <w:r>
                              <w:instrText xml:space="preserve"> SEQ Box \* ARABIC </w:instrText>
                            </w:r>
                            <w:r>
                              <w:fldChar w:fldCharType="separate"/>
                            </w:r>
                            <w:r>
                              <w:rPr>
                                <w:noProof/>
                              </w:rPr>
                              <w:t>1</w:t>
                            </w:r>
                            <w:r>
                              <w:fldChar w:fldCharType="end"/>
                            </w:r>
                            <w:bookmarkEnd w:id="194"/>
                            <w:r w:rsidRPr="00803DEE">
                              <w:rPr>
                                <w:b w:val="0"/>
                                <w:sz w:val="22"/>
                              </w:rPr>
                              <w:t xml:space="preserve">: </w:t>
                            </w:r>
                            <w:r w:rsidRPr="000D26AC">
                              <w:t>Sustainable Development Reserves (SDRs) in Brazil</w:t>
                            </w:r>
                          </w:p>
                          <w:p w14:paraId="7D6330CC" w14:textId="6191D1BD" w:rsidR="00B82BFD" w:rsidRPr="006134A7" w:rsidRDefault="00B82BFD" w:rsidP="00A93F55">
                            <w:pPr>
                              <w:rPr>
                                <w:color w:val="000000"/>
                                <w:lang w:val="en-US"/>
                              </w:rPr>
                            </w:pPr>
                            <w:r>
                              <w:t>SDRs are a category of protected area aimed to promote the coexistence of biodiversity conservation and human use</w:t>
                            </w:r>
                            <w:r w:rsidRPr="00D52904">
                              <w:rPr>
                                <w:color w:val="000000"/>
                                <w:lang w:val="en-US"/>
                              </w:rPr>
                              <w:t xml:space="preserve">, considering and incorporating the needs of local communities </w:t>
                            </w:r>
                            <w:r w:rsidRPr="006134A7">
                              <w:rPr>
                                <w:color w:val="000000"/>
                                <w:lang w:val="en-US"/>
                              </w:rPr>
                              <w:t>and their sustainable use of natural resources to bring social and economic benefits (Ayres </w:t>
                            </w:r>
                            <w:r w:rsidRPr="006134A7">
                              <w:rPr>
                                <w:iCs/>
                                <w:color w:val="000000"/>
                                <w:lang w:val="en-US"/>
                              </w:rPr>
                              <w:t>et al</w:t>
                            </w:r>
                            <w:r w:rsidRPr="006134A7">
                              <w:rPr>
                                <w:color w:val="000000"/>
                                <w:lang w:val="en-US"/>
                              </w:rPr>
                              <w:t>., 2005).</w:t>
                            </w:r>
                            <w:r w:rsidRPr="006134A7">
                              <w:t xml:space="preserve"> The Mamirauá Sustainable Development Reserve, located in Central Amazonia, was created in 1996 as the first Sustainable Development Reserve (SDR) in Brazil (Queiroz and Peralta, 2010). and encouraged the creation of further 39 SDRs in Brazil. Over 11,000 local inhabitants live within the Reserve</w:t>
                            </w:r>
                            <w:r w:rsidRPr="006134A7">
                              <w:rPr>
                                <w:color w:val="000000"/>
                                <w:lang w:val="en-US"/>
                              </w:rPr>
                              <w:t xml:space="preserve">. Since the 1980’s, and before the creation of the Reserve, local artisanal and commercial fishermen were involved in sometimes violent clashes over the use of fisheries resources </w:t>
                            </w:r>
                            <w:r w:rsidRPr="006134A7">
                              <w:rPr>
                                <w:sz w:val="23"/>
                                <w:szCs w:val="23"/>
                                <w:lang w:val="en-US"/>
                              </w:rPr>
                              <w:t>(Queiroz &amp; Sardinha, 1999)</w:t>
                            </w:r>
                            <w:r w:rsidRPr="006134A7">
                              <w:rPr>
                                <w:color w:val="000000"/>
                                <w:lang w:val="en-US"/>
                              </w:rPr>
                              <w:t>, and stocks of important species were highly threatened by overfishing. In response, local inhabitants engaged in a social movement for preservation of lakes, which was one of the drivers for creating the Mamirauá Reserve (Lima-Ayres, 1992). This movement was also the catalyst for the creation of the first voluntary environmental agents (VEAs) in Brazil, who are local people responsible to monitor and protect the areas against external users, and promote environmental awareness among the communities (Reis &amp; Souza, 2001). The success of the actions of these VEAs stimulated the inclusion of their activities as a legal federal action in the Brazilian legal system (Normative Instruction 19/2001). With the support by VEAs for lake protection, a strategy of management to generate income, and recover and sustainably use fish resources was implemented in the Mamirauá Reserve focused primarily on the giant arapaima (</w:t>
                            </w:r>
                            <w:r w:rsidRPr="006134A7">
                              <w:rPr>
                                <w:i/>
                                <w:color w:val="000000"/>
                                <w:lang w:val="en-US"/>
                              </w:rPr>
                              <w:t>Arapaima gigas</w:t>
                            </w:r>
                            <w:r w:rsidRPr="006134A7">
                              <w:rPr>
                                <w:color w:val="000000"/>
                                <w:lang w:val="en-US"/>
                              </w:rPr>
                              <w:t>) (Amaral, 2009). This species’ populations were severely declined in the Amazon due to overexploitation of its meat, and in that time, its harvest was forbidden by the Brazilian government. The first commercial management of this species was conducted in 1999, based on a source-sink model of lake protection and a method for measuring the species stocks developed through the traditional knowledge of local fishermen (Castello et al., 2009). Today, the Mamirauá Reserve has six arapaima management areas, involving at least 900 people and generating around US$ 550,000 annually. This method had been widely replicated in other Amazonian areas (Queiroz and Peralta, 2006; Viana et al., 2007; Amaral, 2009), and has been shown effective to both protect and recover the species’ populations and economically benefit local people (Campos-Silva &amp; Peres, 2016). The giant arapaima is now permitted to be fished and commercialized only under management programmes based on this system.</w:t>
                            </w:r>
                          </w:p>
                          <w:p w14:paraId="61540DC6" w14:textId="436316B4" w:rsidR="00B82BFD" w:rsidRPr="00E63D54" w:rsidRDefault="00B82BFD" w:rsidP="00A93F55">
                            <w:pPr>
                              <w:rPr>
                                <w:lang w:val="en-US"/>
                              </w:rPr>
                            </w:pPr>
                            <w:r w:rsidRPr="006134A7">
                              <w:rPr>
                                <w:color w:val="000000"/>
                                <w:lang w:val="en-US"/>
                              </w:rPr>
                              <w:t>Together with the management of giant arapaimas, since 1996 local people of the Mamirauá Reserve engaged themselves in a voluntary protection of nesting beaches of endangered freshwater turtles, which are key species in their susbsistence diet. Recent research estimating the harvest rates of chelonians in the Mamirauá Reserve showed that after 20 years of beach protection, this strategy has been</w:t>
                            </w:r>
                            <w:r w:rsidRPr="006134A7">
                              <w:rPr>
                                <w:lang w:val="en-US"/>
                              </w:rPr>
                              <w:t xml:space="preserve"> effective to maintain the use of chelonian species at sustainable levels and even promote the recovery of their populations (Morcatty et al., 2018). Based on the success of the previous strategies, in 2018 the harvest of caimans in this reserve was approved by the Amazonas</w:t>
                            </w:r>
                            <w:r w:rsidRPr="001D3D48">
                              <w:rPr>
                                <w:lang w:val="en-US"/>
                              </w:rPr>
                              <w:t xml:space="preserve"> state government, with a </w:t>
                            </w:r>
                            <w:r>
                              <w:rPr>
                                <w:lang w:val="en-US"/>
                              </w:rPr>
                              <w:t xml:space="preserve">possible </w:t>
                            </w:r>
                            <w:r w:rsidRPr="001D3D48">
                              <w:rPr>
                                <w:lang w:val="en-US"/>
                              </w:rPr>
                              <w:t>first</w:t>
                            </w:r>
                            <w:r>
                              <w:rPr>
                                <w:lang w:val="en-US"/>
                              </w:rPr>
                              <w:t xml:space="preserve"> quota of 1200 individuals allowed to be harvested annually, </w:t>
                            </w:r>
                            <w:r w:rsidRPr="00C55EB9">
                              <w:rPr>
                                <w:lang w:val="en-US"/>
                              </w:rPr>
                              <w:t>which will benefit around 5,000</w:t>
                            </w:r>
                            <w:r>
                              <w:rPr>
                                <w:lang w:val="en-US"/>
                              </w:rPr>
                              <w:t xml:space="preserve"> </w:t>
                            </w:r>
                            <w:r w:rsidRPr="00C55EB9">
                              <w:rPr>
                                <w:lang w:val="en-US"/>
                              </w:rPr>
                              <w:t xml:space="preserve">people </w:t>
                            </w:r>
                            <w:r>
                              <w:rPr>
                                <w:lang w:val="en-US"/>
                              </w:rPr>
                              <w:t>in</w:t>
                            </w:r>
                            <w:r w:rsidRPr="00C55EB9">
                              <w:rPr>
                                <w:lang w:val="en-US"/>
                              </w:rPr>
                              <w:t xml:space="preserve"> the region.</w:t>
                            </w:r>
                          </w:p>
                          <w:p w14:paraId="5A6B279C" w14:textId="52D62C02" w:rsidR="00B82BFD" w:rsidRDefault="00B82BFD" w:rsidP="00A93F55">
                            <w:pPr>
                              <w:rPr>
                                <w:color w:val="000000"/>
                                <w:sz w:val="22"/>
                              </w:rPr>
                            </w:pPr>
                          </w:p>
                          <w:p w14:paraId="5BDB61B0" w14:textId="77777777" w:rsidR="00B82BFD" w:rsidRDefault="00B82BFD" w:rsidP="00A93F55">
                            <w:pPr>
                              <w:rPr>
                                <w:color w:val="000000"/>
                                <w:sz w:val="22"/>
                              </w:rPr>
                            </w:pPr>
                          </w:p>
                          <w:p w14:paraId="0A3F8ADC" w14:textId="77777777" w:rsidR="00B82BFD" w:rsidRPr="00803DEE" w:rsidRDefault="00B82BFD" w:rsidP="00A93F55">
                            <w:pPr>
                              <w:rPr>
                                <w:color w:val="000000"/>
                                <w:sz w:val="22"/>
                              </w:rPr>
                            </w:pPr>
                          </w:p>
                          <w:p w14:paraId="42BEDF4E" w14:textId="77777777" w:rsidR="00B82BFD" w:rsidRPr="00803DEE" w:rsidRDefault="00B82BFD" w:rsidP="00A93F55">
                            <w:pPr>
                              <w:pStyle w:val="NormalWeb"/>
                              <w:spacing w:before="0" w:beforeAutospacing="0" w:after="0" w:afterAutospacing="0"/>
                              <w:rPr>
                                <w:rFonts w:ascii="Helvetica" w:hAnsi="Helvetica"/>
                                <w:sz w:val="22"/>
                                <w:szCs w:val="22"/>
                              </w:rPr>
                            </w:pPr>
                          </w:p>
                        </w:txbxContent>
                      </wps:txbx>
                      <wps:bodyPr rot="0" vert="horz" wrap="none" lIns="91440" tIns="45720" rIns="91440" bIns="45720" anchor="t" anchorCtr="0" upright="1">
                        <a:noAutofit/>
                      </wps:bodyPr>
                    </wps:wsp>
                  </a:graphicData>
                </a:graphic>
              </wp:inline>
            </w:drawing>
          </mc:Choice>
          <mc:Fallback>
            <w:pict>
              <v:shapetype w14:anchorId="5BAFCF0D" id="_x0000_t202" coordsize="21600,21600" o:spt="202" path="m,l,21600r21600,l21600,xe">
                <v:stroke joinstyle="miter"/>
                <v:path gradientshapeok="t" o:connecttype="rect"/>
              </v:shapetype>
              <v:shape id="Text Box 10" o:spid="_x0000_s1026" type="#_x0000_t202" style="width:451pt;height:652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" fillcolor="#d8d8d8 [2732]" strokecolor="black [3213]" strokeweight="1.75pt">
                <v:textbox>
                  <w:txbxContent>
                    <w:p w14:paraId="1E41E9ED" w14:textId="657B5E30" w:rsidR="00B82BFD" w:rsidRDefault="00B82BFD" w:rsidP="000D26AC">
                      <w:pPr>
                        <w:pStyle w:val="Caption"/>
                      </w:pPr>
                      <w:bookmarkStart w:id="195" w:name="_Ref519873441"/>
                      <w:r>
                        <w:t xml:space="preserve">Box </w:t>
                      </w:r>
                      <w:r>
                        <w:fldChar w:fldCharType="begin"/>
                      </w:r>
                      <w:r>
                        <w:instrText xml:space="preserve"> SEQ Box \* ARABIC </w:instrText>
                      </w:r>
                      <w:r>
                        <w:fldChar w:fldCharType="separate"/>
                      </w:r>
                      <w:r>
                        <w:rPr>
                          <w:noProof/>
                        </w:rPr>
                        <w:t>1</w:t>
                      </w:r>
                      <w:r>
                        <w:fldChar w:fldCharType="end"/>
                      </w:r>
                      <w:bookmarkEnd w:id="195"/>
                      <w:r w:rsidRPr="00803DEE">
                        <w:rPr>
                          <w:b w:val="0"/>
                          <w:sz w:val="22"/>
                        </w:rPr>
                        <w:t xml:space="preserve">: </w:t>
                      </w:r>
                      <w:r w:rsidRPr="000D26AC">
                        <w:t>Sustainable Development Reserves (SDRs) in Brazil</w:t>
                      </w:r>
                    </w:p>
                    <w:p w14:paraId="7D6330CC" w14:textId="6191D1BD" w:rsidR="00B82BFD" w:rsidRPr="006134A7" w:rsidRDefault="00B82BFD" w:rsidP="00A93F55">
                      <w:pPr>
                        <w:rPr>
                          <w:color w:val="000000"/>
                          <w:lang w:val="en-US"/>
                        </w:rPr>
                      </w:pPr>
                      <w:r>
                        <w:t>SDRs are a category of protected area aimed to promote the coexistence of biodiversity conservation and human use</w:t>
                      </w:r>
                      <w:r w:rsidRPr="00D52904">
                        <w:rPr>
                          <w:color w:val="000000"/>
                          <w:lang w:val="en-US"/>
                        </w:rPr>
                        <w:t xml:space="preserve">, considering and incorporating the needs of local communities </w:t>
                      </w:r>
                      <w:r w:rsidRPr="006134A7">
                        <w:rPr>
                          <w:color w:val="000000"/>
                          <w:lang w:val="en-US"/>
                        </w:rPr>
                        <w:t>and their sustainable use of natural resources to bring social and economic benefits (Ayres </w:t>
                      </w:r>
                      <w:r w:rsidRPr="006134A7">
                        <w:rPr>
                          <w:iCs/>
                          <w:color w:val="000000"/>
                          <w:lang w:val="en-US"/>
                        </w:rPr>
                        <w:t>et al</w:t>
                      </w:r>
                      <w:r w:rsidRPr="006134A7">
                        <w:rPr>
                          <w:color w:val="000000"/>
                          <w:lang w:val="en-US"/>
                        </w:rPr>
                        <w:t>., 2005).</w:t>
                      </w:r>
                      <w:r w:rsidRPr="006134A7">
                        <w:t xml:space="preserve"> The Mamirauá Sustainable Development Reserve, located in Central Amazonia, was created in 1996 as the first Sustainable Development Reserve (SDR) in Brazil (Queiroz and Peralta, 2010). and encouraged the creation of further 39 SDRs in Brazil. Over 11,000 local inhabitants live within the Reserve</w:t>
                      </w:r>
                      <w:r w:rsidRPr="006134A7">
                        <w:rPr>
                          <w:color w:val="000000"/>
                          <w:lang w:val="en-US"/>
                        </w:rPr>
                        <w:t xml:space="preserve">. Since the 1980’s, and before the creation of the Reserve, local artisanal and commercial fishermen were involved in sometimes violent clashes over the use of fisheries resources </w:t>
                      </w:r>
                      <w:r w:rsidRPr="006134A7">
                        <w:rPr>
                          <w:sz w:val="23"/>
                          <w:szCs w:val="23"/>
                          <w:lang w:val="en-US"/>
                        </w:rPr>
                        <w:t>(Queiroz &amp; Sardinha, 1999)</w:t>
                      </w:r>
                      <w:r w:rsidRPr="006134A7">
                        <w:rPr>
                          <w:color w:val="000000"/>
                          <w:lang w:val="en-US"/>
                        </w:rPr>
                        <w:t>, and stocks of important species were highly threatened by overfishing. In response, local inhabitants engaged in a social movement for preservation of lakes, which was one of the drivers for creating the Mamirauá Reserve (Lima-Ayres, 1992). This movement was also the catalyst for the creation of the first voluntary environmental agents (VEAs) in Brazil, who are local people responsible to monitor and protect the areas against external users, and promote environmental awareness among the communities (Reis &amp; Souza, 2001). The success of the actions of these VEAs stimulated the inclusion of their activities as a legal federal action in the Brazilian legal system (Normative Instruction 19/2001). With the support by VEAs for lake protection, a strategy of management to generate income, and recover and sustainably use fish resources was implemented in the Mamirauá Reserve focused primarily on the giant arapaima (</w:t>
                      </w:r>
                      <w:r w:rsidRPr="006134A7">
                        <w:rPr>
                          <w:i/>
                          <w:color w:val="000000"/>
                          <w:lang w:val="en-US"/>
                        </w:rPr>
                        <w:t>Arapaima gigas</w:t>
                      </w:r>
                      <w:r w:rsidRPr="006134A7">
                        <w:rPr>
                          <w:color w:val="000000"/>
                          <w:lang w:val="en-US"/>
                        </w:rPr>
                        <w:t>) (Amaral, 2009). This species’ populations were severely declined in the Amazon due to overexploitation of its meat, and in that time, its harvest was forbidden by the Brazilian government. The first commercial management of this species was conducted in 1999, based on a source-sink model of lake protection and a method for measuring the species stocks developed through the traditional knowledge of local fishermen (Castello et al., 2009). Today, the Mamirauá Reserve has six arapaima management areas, involving at least 900 people and generating around US$ 550,000 annually. This method had been widely replicated in other Amazonian areas (Queiroz and Peralta, 2006; Viana et al., 2007; Amaral, 2009), and has been shown effective to both protect and recover the species’ populations and economically benefit local people (Campos-Silva &amp; Peres, 2016). The giant arapaima is now permitted to be fished and commercialized only under management programmes based on this system.</w:t>
                      </w:r>
                    </w:p>
                    <w:p w14:paraId="61540DC6" w14:textId="436316B4" w:rsidR="00B82BFD" w:rsidRPr="00E63D54" w:rsidRDefault="00B82BFD" w:rsidP="00A93F55">
                      <w:pPr>
                        <w:rPr>
                          <w:lang w:val="en-US"/>
                        </w:rPr>
                      </w:pPr>
                      <w:r w:rsidRPr="006134A7">
                        <w:rPr>
                          <w:color w:val="000000"/>
                          <w:lang w:val="en-US"/>
                        </w:rPr>
                        <w:t>Together with the management of giant arapaimas, since 1996 local people of the Mamirauá Reserve engaged themselves in a voluntary protection of nesting beaches of endangered freshwater turtles, which are key species in their susbsistence diet. Recent research estimating the harvest rates of chelonians in the Mamirauá Reserve showed that after 20 years of beach protection, this strategy has been</w:t>
                      </w:r>
                      <w:r w:rsidRPr="006134A7">
                        <w:rPr>
                          <w:lang w:val="en-US"/>
                        </w:rPr>
                        <w:t xml:space="preserve"> effective to maintain the use of chelonian species at sustainable levels and even promote the recovery of their populations (Morcatty et al., 2018). Based on the success of the previous strategies, in 2018 the harvest of caimans in this reserve was approved by the Amazonas</w:t>
                      </w:r>
                      <w:r w:rsidRPr="001D3D48">
                        <w:rPr>
                          <w:lang w:val="en-US"/>
                        </w:rPr>
                        <w:t xml:space="preserve"> state government, with a </w:t>
                      </w:r>
                      <w:r>
                        <w:rPr>
                          <w:lang w:val="en-US"/>
                        </w:rPr>
                        <w:t xml:space="preserve">possible </w:t>
                      </w:r>
                      <w:r w:rsidRPr="001D3D48">
                        <w:rPr>
                          <w:lang w:val="en-US"/>
                        </w:rPr>
                        <w:t>first</w:t>
                      </w:r>
                      <w:r>
                        <w:rPr>
                          <w:lang w:val="en-US"/>
                        </w:rPr>
                        <w:t xml:space="preserve"> quota of 1200 individuals allowed to be harvested annually, </w:t>
                      </w:r>
                      <w:r w:rsidRPr="00C55EB9">
                        <w:rPr>
                          <w:lang w:val="en-US"/>
                        </w:rPr>
                        <w:t>which will benefit around 5,000</w:t>
                      </w:r>
                      <w:r>
                        <w:rPr>
                          <w:lang w:val="en-US"/>
                        </w:rPr>
                        <w:t xml:space="preserve"> </w:t>
                      </w:r>
                      <w:r w:rsidRPr="00C55EB9">
                        <w:rPr>
                          <w:lang w:val="en-US"/>
                        </w:rPr>
                        <w:t xml:space="preserve">people </w:t>
                      </w:r>
                      <w:r>
                        <w:rPr>
                          <w:lang w:val="en-US"/>
                        </w:rPr>
                        <w:t>in</w:t>
                      </w:r>
                      <w:r w:rsidRPr="00C55EB9">
                        <w:rPr>
                          <w:lang w:val="en-US"/>
                        </w:rPr>
                        <w:t xml:space="preserve"> the region.</w:t>
                      </w:r>
                    </w:p>
                    <w:p w14:paraId="5A6B279C" w14:textId="52D62C02" w:rsidR="00B82BFD" w:rsidRDefault="00B82BFD" w:rsidP="00A93F55">
                      <w:pPr>
                        <w:rPr>
                          <w:color w:val="000000"/>
                          <w:sz w:val="22"/>
                        </w:rPr>
                      </w:pPr>
                    </w:p>
                    <w:p w14:paraId="5BDB61B0" w14:textId="77777777" w:rsidR="00B82BFD" w:rsidRDefault="00B82BFD" w:rsidP="00A93F55">
                      <w:pPr>
                        <w:rPr>
                          <w:color w:val="000000"/>
                          <w:sz w:val="22"/>
                        </w:rPr>
                      </w:pPr>
                    </w:p>
                    <w:p w14:paraId="0A3F8ADC" w14:textId="77777777" w:rsidR="00B82BFD" w:rsidRPr="00803DEE" w:rsidRDefault="00B82BFD" w:rsidP="00A93F55">
                      <w:pPr>
                        <w:rPr>
                          <w:color w:val="000000"/>
                          <w:sz w:val="22"/>
                        </w:rPr>
                      </w:pPr>
                    </w:p>
                    <w:p w14:paraId="42BEDF4E" w14:textId="77777777" w:rsidR="00B82BFD" w:rsidRPr="00803DEE" w:rsidRDefault="00B82BFD" w:rsidP="00A93F55">
                      <w:pPr>
                        <w:pStyle w:val="NormalWeb"/>
                        <w:spacing w:before="0" w:beforeAutospacing="0" w:after="0" w:afterAutospacing="0"/>
                        <w:rPr>
                          <w:rFonts w:ascii="Helvetica" w:hAnsi="Helvetica"/>
                          <w:sz w:val="22"/>
                          <w:szCs w:val="22"/>
                        </w:rPr>
                      </w:pPr>
                    </w:p>
                  </w:txbxContent>
                </v:textbox>
                <w10:anchorlock/>
              </v:shape>
            </w:pict>
          </mc:Fallback>
        </mc:AlternateContent>
      </w:r>
    </w:p>
    <w:p w14:paraId="12F8BF36" w14:textId="474EFBDE" w:rsidR="000D3F68" w:rsidRPr="00814265" w:rsidRDefault="007078FA" w:rsidP="007078FA">
      <w:pPr>
        <w:rPr>
          <w:lang w:val="pt-BR"/>
        </w:rPr>
      </w:pPr>
      <w:r>
        <w:rPr>
          <w:color w:val="000000" w:themeColor="text1"/>
        </w:rPr>
        <w:lastRenderedPageBreak/>
        <w:t xml:space="preserve">References for box 1: </w:t>
      </w:r>
      <w:r>
        <w:fldChar w:fldCharType="begin" w:fldLock="1"/>
      </w:r>
      <w:r w:rsidR="00B2630D">
        <w:instrText>ADDIN CSL_CITATION {"citationItems":[{"id":"ITEM-1","itemData":{"author":[{"dropping-particle":"","family":"Morcatty","given":"T.Q.","non-dropping-particle":"","parse-names":false,"suffix":""},{"dropping-particle":"","family":"Figueiredo","given":"FOG","non-dropping-particle":"","parse-names":false,"suffix":""},{"dropping-particle":"","family":"Valsecchi","given":"J.","non-dropping-particle":"","parse-names":false,"suffix":""},{"dropping-particle":"","family":"Werneck","given":"F.P.","non-dropping-particle":"","parse-names":false,"suffix":""}],"container-title":"Conservation Biology, In review","id":"ITEM-1","issued":{"date-parts":[["0"]]},"title":"Fourteen years of community-based monitoring of chelonian hunting and trade reveals sustainable use and population recovery of endangered freshwater turtles in Amazonia.","type":"article-journal"},"uris":["http://www.mendeley.com/documents/?uuid=475da644-b5dc-49aa-8e26-f60fa18c9560"]},{"id":"ITEM-2","itemData":{"DOI":"10.1038/srep34745","ISBN":"2045-2322","ISSN":"20452322","PMID":"27731319","abstract":"Tropical wetlands are highly threatened socio-ecological systems, where local communities rely heavily on aquatic animal protein, such as fish, to meet food security. Here, we quantify how a 'win-win' community-based resource management program induced stock recovery of the world's largest scaled freshwater fish (Arapaima gigas), providing both food and income. We analyzed stock assessment data over eight years and examined the effects of protected areas, community-based management, and landscape and limnological variables across 83 oxbow lakes monitored along a ~500-km section of the Juruá River of Western Brazilian Amazonia. Patterns of community management explained 71.8% of the variation in arapaima population sizes. Annual population counts showed that protected lakes on average contained 304.8 (±332.5) arapaimas, compared to only 9.2 (±9.8) in open-access lakes. Protected lakes have become analogous to a high-interest savings account, ensuring an average annual revenue of US$10,601 per community and US$1046.6 per household, greatly improving socioeconomic welfare. Arapaima management is a superb window of opportunity in harmonizing the co-delivery of sustainable resource management and poverty alleviation. We show that arapaima management deserves greater attention from policy makers across Amazonian countries, and highlight the need to include local stakeholders in conservation planning of Amazonian floodplains.","author":[{"dropping-particle":"","family":"Campos-Silva","given":"Joaõ Vitor","non-dropping-particle":"","parse-names":false,"suffix":""},{"dropping-particle":"","family":"Peres","given":"Carlos A.","non-dropping-particle":"","parse-names":false,"suffix":""}],"container-title":"Scientific Reports","id":"ITEM-2","issue":"October","issued":{"date-parts":[["2016"]]},"page":"1-13","publisher":"Nature Publishing Group","title":"Community-based management induces rapid recovery of a high-value tropical freshwater fishery","type":"article-journal","volume":"6"},"uris":["http://www.mendeley.com/documents/?uuid=9cdd25dd-e768-4f54-a4e4-d4c083a37e6e"]},{"id":"ITEM-3","itemData":{"author":[{"dropping-particle":"","family":"Viana","given":"J.P.","non-dropping-particle":"","parse-names":false,"suffix":""},{"dropping-particle":"","family":"Castello","given":"L.","non-dropping-particle":"","parse-names":false,"suffix":""},{"dropping-particle":"","family":"Damasceno","given":"J.M.B.","non-dropping-particle":"","parse-names":false,"suffix":""},{"dropping-particle":"","family":"Amaral","given":"E.S.R.","non-dropping-particle":"","parse-names":false,"suffix":""},{"dropping-particle":"","family":"Estupinan","given":"G.M.B.","non-dropping-particle":"","parse-names":false,"suffix":""},{"dropping-particle":"","family":"Arantes","given":"C.","non-dropping-particle":"","parse-names":false,"suffix":""},{"dropping-particle":"","family":"Batista","given":"G. S.","non-dropping-particle":"","parse-names":false,"suffix":""},{"dropping-particle":"","family":"GARCEZ","given":"D.S.","non-dropping-particle":"","parse-names":false,"suffix":""},{"dropping-particle":"","family":"BARBOSA","given":"S.","non-dropping-particle":"","parse-names":false,"suffix":""}],"container-title":"Áreas Aquáticas Protegidas como Instrumento de Gestão Pesqueira. Série Áreas Protegidas do Brasil, Volume 4.","id":"ITEM-3","issued":{"date-parts":[["2007"]]},"publisher":"Ministério do Meio Ambiente e IBAMA.","publisher-place":"Brasillia","title":"Manejo Comunitário do Pirarucu Arapaima gigas na Reserva de Desenvolvimento Sustentável Mamirauá - Amazonas, Brasil","type":"chapter"},"uris":["http://www.mendeley.com/documents/?uuid=3a34b6ea-4531-4e16-bbbf-3602aa67442e"]},{"id":"ITEM-4","itemData":{"author":[{"dropping-particle":"","family":"Queiroz","given":"H. L.","non-dropping-particle":"","parse-names":false,"suffix":""},{"dropping-particle":"","family":"Peralta","given":"N.","non-dropping-particle":"","parse-names":false,"suffix":""}],"container-title":"Dimensões Humanas da Biodiversidade.","editor":[{"dropping-particle":"","family":"Garay","given":"I.","non-dropping-particle":"","parse-names":false,"suffix":""},{"dropping-particle":"","family":"Becker","given":"B.K.","non-dropping-particle":"","parse-names":false,"suffix":""}],"id":"ITEM-4","issued":{"date-parts":[["2006"]]},"title":"Reserva de Desenvolvimento Sustentável: Manejo Integrado de Recursos Naturais e Gestão Participativa","type":"chapter"},"uris":["http://www.mendeley.com/documents/?uuid=8c2d906a-2bef-4ffb-9141-764be945a4b4"]},{"id":"ITEM-5","itemData":{"author":[{"dropping-particle":"","family":"Castello","given":"L.","non-dropping-particle":"","parse-names":false,"suffix":""},{"dropping-particle":"","family":"Viana","given":"J.P.","non-dropping-particle":"","parse-names":false,"suffix":""},{"dropping-particle":"","family":"Watkins","given":"G.","non-dropping-particle":"","parse-names":false,"suffix":""},{"dropping-particle":"","family":"Pinedo-Vasquez","given":"M.","non-dropping-particle":"","parse-names":false,"suffix":""},{"dropping-particle":"","family":"Luzadis","given":"V.A.","non-dropping-particle":"","parse-names":false,"suffix":""}],"container-title":"Environmental Management","id":"ITEM-5","issue":"2","issued":{"date-parts":[["2009"]]},"page":"197 - 209","title":"Lessons from Integrating Fishers of Arapaima in Small-Scale Fisheries Management at the Mamirauá Reserve, Amazon.","type":"article-journal","volume":"43"},"uris":["http://www.mendeley.com/documents/?uuid=615d6095-92e3-4174-b41a-c8b64e7f185b"]},{"id":"ITEM-6","itemData":{"author":[{"dropping-particle":"","family":"Amaral","given":"E. S. R.","non-dropping-particle":"","parse-names":false,"suffix":""}],"id":"ITEM-6","issued":{"date-parts":[["2009"]]},"publisher-place":"Belém, Brazil","title":"O manejo comunitário de pirarucu (Arapaima gigas) como alternativa econômica para pescadores das RDSs Amanã e Mamirauá, Amazonas, Brasil. Dissertação (Mestrado em Gestão de Recursos Naturais e Desenvolvimento Local na Amazônia – Núcleo de Meio Ambiente","type":"report"},"uris":["http://www.mendeley.com/documents/?uuid=e44ddaea-1942-4436-a84c-2077f3619d14"]},{"id":"ITEM-7","itemData":{"author":[{"dropping-particle":"","family":"Sonnewend Brondízio","given":"Luciana","non-dropping-particle":"","parse-names":false,"suffix":""}],"id":"ITEM-7","issued":{"date-parts":[["2005"]]},"title":"Manual dos agentes ambientais colaboradores. Luciana Sonnewend Brondízio, organizadora –","type":"report"},"uris":["http://www.mendeley.com/documents/?uuid=a88d935e-b643-46bf-ae5f-ebf2c237b059"]},{"id":"ITEM-8","itemData":{"author":[{"dropping-particle":"","family":"Reis","given":"M.","non-dropping-particle":"","parse-names":false,"suffix":""},{"dropping-particle":"","family":"Souza","given":"P.R.","non-dropping-particle":"","parse-names":false,"suffix":""}],"id":"ITEM-8","issued":{"date-parts":[["2001"]]},"publisher":"Instituto de Desenvolvimento Sustentável Mamirauá Instituto de Desenvolvimento Sustentável Mamirauá","publisher-place":"Tefe, Brasil","title":"Sistema de Fiscalização na Reserva de Desenvolvimento Sustentável Mamirauá. Relatório interno.","type":"book"},"uris":["http://www.mendeley.com/documents/?uuid=f005b23d-b647-4017-a4be-2b94d1989708"]},{"id":"ITEM-9","itemData":{"author":[{"dropping-particle":"","family":"Lima-Ayres","given":"D.","non-dropping-particle":"","parse-names":false,"suffix":""}],"id":"ITEM-9","issued":{"date-parts":[["1992"]]},"publisher":"Cambridge","title":"The social category caboclo: history, social organization, identity and outsider’s local social classification of the rural population of an Amazonian region. PhD Thesis","type":"thesis"},"uris":["http://www.mendeley.com/documents/?uuid=e1ad00bd-2352-466b-bec1-fcd686235a09"]},{"id":"ITEM-10","itemData":{"author":[{"dropping-particle":"","family":"Queiroz","given":"H.L.","non-dropping-particle":"","parse-names":false,"suffix":""},{"dropping-particle":"","family":"Peralta","given":"N.","non-dropping-particle":"","parse-names":false,"suffix":""}],"container-title":"Amazonian Floodplain Forests. Ecological Studies (Analysis and Synthesis), vol 210","editor":[{"dropping-particle":"","family":"Junk","given":"W.","non-dropping-particle":"","parse-names":false,"suffix":""},{"dropping-particle":"","family":"Piedade","given":"M.","non-dropping-particle":"","parse-names":false,"suffix":""},{"dropping-particle":"","family":"Wittmann","given":"F.","non-dropping-particle":"","parse-names":false,"suffix":""},{"dropping-particle":"","family":"Schöngart","given":"J.","non-dropping-particle":"","parse-names":false,"suffix":""},{"dropping-particle":"","family":"Parolin","given":"P.","non-dropping-particle":"","parse-names":false,"suffix":""}],"id":"ITEM-10","issued":{"date-parts":[["2010"]]},"title":"Protected Areas in the Amazonian Várzea and their Role in its Conservation: The Case of Mamirauá Sustainable Development Reserve (MSDR).","type":"chapter"},"uris":["http://www.mendeley.com/documents/?uuid=20f88437-3008-4dad-b3e2-4884046c5564"]},{"id":"ITEM-11","itemData":{"author":[{"dropping-particle":"","family":"Ayres","given":"J. M. C.","non-dropping-particle":"","parse-names":false,"suffix":""},{"dropping-particle":"","family":"Fonseca","given":"G. A. B.","non-dropping-particle":"","parse-names":false,"suffix":""},{"dropping-particle":"","family":"Rylands","given":"A. B.","non-dropping-particle":"","parse-names":false,"suffix":""},{"dropping-particle":"","family":"Queiroz","given":"H. L.","non-dropping-particle":"","parse-names":false,"suffix":""},{"dropping-particle"</w:instrText>
      </w:r>
      <w:r w:rsidR="00B2630D" w:rsidRPr="00814265">
        <w:rPr>
          <w:lang w:val="pt-BR"/>
        </w:rPr>
        <w:instrText>:"","family":"Pinto","given":"L. P.","non-dropping-particle":"","parse-names":false,"suffix":""},{"dropping-particle":"","family":"Masterson","given":"D.","non-dropping-particle":"","parse-names":false,"suffix":""},{"dropping-particle":"","family":"Cavalcanti","given":"R. B.","non-dropping-particle":"","parse-names":false,"suffix":""}],"id":"ITEM-11","issued":{"date-parts":[["2004"]]},"publisher":"Sociedade Civil Mamiraurá","publisher-place":"Belém, Brasil","title":"Os corredores ecológicos das florestas tropicais do Brasil.","type":"book"},"uris":["http://www.mendeley.com/documents/?uuid=f9bf70ac-fcde-47ca-9726-3a1aa441a52d"]}],"mendeley":{"formattedCitation":"(Morcatty et al. n.d.; Lima-Ayres 1992; Reis &amp; Souza 2001; Ayres et al. 2004; Sonnewend Brondízio 2005; Queiroz &amp; Peralta 2006, 2010; Viana et al. 2007; Amaral 2009; Castello et al. 2009; Campos-Silva &amp; Peres 2016)","plainTextFormattedCitation":"(Morcatty et al. n.d.; Lima-Ayres 1992; Reis &amp; Souza 2001; Ayres et al. 2004; Sonnewend Brondízio 2005; Queiroz &amp; Peralta 2006, 2010; Viana et al. 2007; Amaral 2009; Castello et al. 2009; Campos-Silva &amp; Peres 2016)","previouslyFormattedCitation":"(Morcatty et al. n.d.; Lima-Ayres 1992; Reis &amp; Souza 2001; Ayres et al. 2004; Sonnewend Brondízio 2005; Queiroz &amp; Peralta 2006, 2010; Viana et al. 2007; Amaral 2009; Castello et al. 2009; Campos-Silva &amp; Peres 2016)"},"properties":{"noteIndex":0},"schema":"https://github.com/citation-style-language/schema/raw/master/csl-citation.json"}</w:instrText>
      </w:r>
      <w:r>
        <w:fldChar w:fldCharType="separate"/>
      </w:r>
      <w:r w:rsidRPr="00814265">
        <w:rPr>
          <w:noProof/>
          <w:lang w:val="pt-BR"/>
        </w:rPr>
        <w:t>(Morcatty et al. n.d.; Lima-Ayres 1992; Reis &amp; Souza 2001; Ayres et al. 2004; Sonnewend Brondízio 2005; Queiroz &amp; Peralta 2006, 2010; Viana et al. 2007; Amaral 2009; Castello et al. 2009; Campos-Silva &amp; Peres 2016)</w:t>
      </w:r>
      <w:r>
        <w:fldChar w:fldCharType="end"/>
      </w:r>
    </w:p>
    <w:p w14:paraId="6F5276FF" w14:textId="1CF7D169" w:rsidR="00A93F55" w:rsidRPr="00814265" w:rsidRDefault="00C24D4C" w:rsidP="00C258BC">
      <w:pPr>
        <w:jc w:val="both"/>
        <w:rPr>
          <w:color w:val="000000" w:themeColor="text1"/>
          <w:lang w:val="pt-BR"/>
        </w:rPr>
      </w:pPr>
      <w:r w:rsidRPr="006740B0">
        <w:rPr>
          <w:noProof/>
          <w:color w:val="000000" w:themeColor="text1"/>
          <w:lang w:val="en-US"/>
        </w:rPr>
        <mc:AlternateContent>
          <mc:Choice Requires="wps">
            <w:drawing>
              <wp:inline distT="0" distB="0" distL="0" distR="0" wp14:anchorId="602D4304" wp14:editId="0AC332BE">
                <wp:extent cx="5727700" cy="6385620"/>
                <wp:effectExtent l="12700" t="12700" r="16510" b="16510"/>
                <wp:docPr id="2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6385620"/>
                        </a:xfrm>
                        <a:prstGeom prst="rect">
                          <a:avLst/>
                        </a:prstGeom>
                        <a:solidFill>
                          <a:schemeClr val="bg1">
                            <a:lumMod val="85000"/>
                          </a:schemeClr>
                        </a:solidFill>
                        <a:ln w="22225">
                          <a:solidFill>
                            <a:schemeClr val="tx1">
                              <a:lumMod val="100000"/>
                              <a:lumOff val="0"/>
                            </a:schemeClr>
                          </a:solidFill>
                          <a:miter lim="800000"/>
                          <a:headEnd/>
                          <a:tailEnd/>
                        </a:ln>
                        <a:extLst/>
                      </wps:spPr>
                      <wps:txbx>
                        <w:txbxContent>
                          <w:p w14:paraId="378BDDF3" w14:textId="7A11F5FE" w:rsidR="00B82BFD" w:rsidRPr="000D26AC" w:rsidRDefault="00B82BFD" w:rsidP="00C24D4C">
                            <w:pPr>
                              <w:pStyle w:val="Caption"/>
                            </w:pPr>
                            <w:bookmarkStart w:id="196" w:name="_Ref520712288"/>
                            <w:bookmarkStart w:id="197" w:name="_Ref520712271"/>
                            <w:bookmarkStart w:id="198" w:name="_Hlk529268510"/>
                            <w:r>
                              <w:t xml:space="preserve">Box </w:t>
                            </w:r>
                            <w:r>
                              <w:fldChar w:fldCharType="begin"/>
                            </w:r>
                            <w:r>
                              <w:instrText xml:space="preserve"> SEQ Box \* ARABIC </w:instrText>
                            </w:r>
                            <w:r>
                              <w:fldChar w:fldCharType="separate"/>
                            </w:r>
                            <w:r>
                              <w:rPr>
                                <w:noProof/>
                              </w:rPr>
                              <w:t>2</w:t>
                            </w:r>
                            <w:r>
                              <w:fldChar w:fldCharType="end"/>
                            </w:r>
                            <w:bookmarkEnd w:id="196"/>
                            <w:r w:rsidRPr="00803DEE">
                              <w:rPr>
                                <w:b w:val="0"/>
                                <w:sz w:val="22"/>
                              </w:rPr>
                              <w:t xml:space="preserve">: </w:t>
                            </w:r>
                            <w:r>
                              <w:rPr>
                                <w:sz w:val="22"/>
                              </w:rPr>
                              <w:t>Two examples of C</w:t>
                            </w:r>
                            <w:r w:rsidRPr="000D26AC">
                              <w:rPr>
                                <w:sz w:val="22"/>
                              </w:rPr>
                              <w:t>ommunity Hunting Zones</w:t>
                            </w:r>
                            <w:r>
                              <w:rPr>
                                <w:sz w:val="22"/>
                              </w:rPr>
                              <w:t xml:space="preserve"> around protected areas</w:t>
                            </w:r>
                            <w:bookmarkEnd w:id="197"/>
                            <w:r w:rsidRPr="00803DEE">
                              <w:rPr>
                                <w:b w:val="0"/>
                                <w:sz w:val="22"/>
                              </w:rPr>
                              <w:t xml:space="preserve"> </w:t>
                            </w:r>
                          </w:p>
                          <w:bookmarkEnd w:id="198"/>
                          <w:p w14:paraId="779C8B79" w14:textId="48DC984E" w:rsidR="00B82BFD" w:rsidRDefault="00B82BFD" w:rsidP="00C24D4C">
                            <w:pPr>
                              <w:rPr>
                                <w:sz w:val="22"/>
                              </w:rPr>
                            </w:pPr>
                            <w:r w:rsidRPr="00052476">
                              <w:rPr>
                                <w:b/>
                                <w:sz w:val="22"/>
                              </w:rPr>
                              <w:t>Zones Cynégétiques Villageoises (ZCV</w:t>
                            </w:r>
                            <w:r w:rsidRPr="00803DEE">
                              <w:rPr>
                                <w:sz w:val="22"/>
                              </w:rPr>
                              <w:t xml:space="preserve">): The ZCV are community hunting reserves buffering </w:t>
                            </w:r>
                            <w:r w:rsidRPr="00FD249F">
                              <w:rPr>
                                <w:sz w:val="22"/>
                              </w:rPr>
                              <w:t>two of the National Parks (Manovo-Gounda-Saint-Floris and Bamingui) in the North of CAR (Roulet et al., 2008). The reserves were created in 1992 and co-managed between the community and the government, with the aim of generating incomes for local communities while protecting the national parks and buffer zones from over-hunting. A management committee organises safari hunting using a quota system, collecting taxes and fees (50 to 70% of hunting taxes remain locally; Roulet and Binot, 2008), distributing revenues, and managing anti-poaching patrols. In 2008, there were 10 hunting reserves covering 80,000 km</w:t>
                            </w:r>
                            <w:r w:rsidRPr="00FD249F">
                              <w:rPr>
                                <w:sz w:val="22"/>
                                <w:vertAlign w:val="superscript"/>
                              </w:rPr>
                              <w:t>2</w:t>
                            </w:r>
                            <w:r w:rsidRPr="00FD249F">
                              <w:rPr>
                                <w:sz w:val="22"/>
                              </w:rPr>
                              <w:t xml:space="preserve"> and generating significant tourism revenue (</w:t>
                            </w:r>
                            <w:r w:rsidRPr="00FD249F">
                              <w:rPr>
                                <w:rFonts w:ascii="Times" w:hAnsi="Times" w:cs="Times"/>
                                <w:color w:val="000000"/>
                                <w:sz w:val="22"/>
                              </w:rPr>
                              <w:t>Mbikt</w:t>
                            </w:r>
                            <w:r w:rsidRPr="00FD249F">
                              <w:rPr>
                                <w:sz w:val="22"/>
                              </w:rPr>
                              <w:t>on 2005). However</w:t>
                            </w:r>
                            <w:r w:rsidRPr="00803DEE">
                              <w:rPr>
                                <w:sz w:val="22"/>
                              </w:rPr>
                              <w:t>, recent reports suggest that civil conflict, and a subsequent influx of migrant herders and commercial hunters into the area, have jeopardised the project (</w:t>
                            </w:r>
                            <w:hyperlink r:id="rId118" w:history="1">
                              <w:r w:rsidRPr="00803DEE">
                                <w:rPr>
                                  <w:sz w:val="22"/>
                                </w:rPr>
                                <w:t>Mill 2016</w:t>
                              </w:r>
                            </w:hyperlink>
                            <w:r w:rsidRPr="00803DEE">
                              <w:rPr>
                                <w:sz w:val="22"/>
                              </w:rPr>
                              <w:t xml:space="preserve">; </w:t>
                            </w:r>
                            <w:hyperlink r:id="rId119" w:history="1">
                              <w:r w:rsidRPr="00803DEE">
                                <w:rPr>
                                  <w:sz w:val="22"/>
                                </w:rPr>
                                <w:t>WCS 2017</w:t>
                              </w:r>
                            </w:hyperlink>
                            <w:r w:rsidRPr="00803DEE">
                              <w:rPr>
                                <w:sz w:val="22"/>
                              </w:rPr>
                              <w:t xml:space="preserve">). </w:t>
                            </w:r>
                          </w:p>
                          <w:p w14:paraId="4B9F9937" w14:textId="77777777" w:rsidR="00B82BFD" w:rsidRPr="008178D7" w:rsidRDefault="00B82BFD" w:rsidP="00C24D4C">
                            <w:pPr>
                              <w:rPr>
                                <w:sz w:val="22"/>
                              </w:rPr>
                            </w:pPr>
                            <w:r>
                              <w:rPr>
                                <w:b/>
                                <w:sz w:val="22"/>
                              </w:rPr>
                              <w:t xml:space="preserve">Exploring the concept of </w:t>
                            </w:r>
                            <w:r w:rsidRPr="00052476">
                              <w:rPr>
                                <w:b/>
                                <w:sz w:val="22"/>
                              </w:rPr>
                              <w:t xml:space="preserve">Community </w:t>
                            </w:r>
                            <w:r>
                              <w:rPr>
                                <w:b/>
                                <w:sz w:val="22"/>
                              </w:rPr>
                              <w:t>Hunting Zones (CHZ’s)</w:t>
                            </w:r>
                            <w:r w:rsidRPr="00052476">
                              <w:rPr>
                                <w:b/>
                                <w:sz w:val="22"/>
                              </w:rPr>
                              <w:t xml:space="preserve"> in </w:t>
                            </w:r>
                            <w:r w:rsidRPr="00FD249F">
                              <w:rPr>
                                <w:b/>
                                <w:sz w:val="22"/>
                              </w:rPr>
                              <w:t>Cameroon</w:t>
                            </w:r>
                            <w:r w:rsidRPr="00FD249F">
                              <w:rPr>
                                <w:sz w:val="22"/>
                              </w:rPr>
                              <w:t xml:space="preserve"> (van der Wal and Djoh, 2001)</w:t>
                            </w:r>
                          </w:p>
                          <w:p w14:paraId="44C5C15A" w14:textId="77777777" w:rsidR="00B82BFD" w:rsidRPr="008178D7" w:rsidRDefault="00B82BFD" w:rsidP="00C24D4C">
                            <w:pPr>
                              <w:rPr>
                                <w:sz w:val="22"/>
                              </w:rPr>
                            </w:pPr>
                            <w:r w:rsidRPr="008178D7">
                              <w:rPr>
                                <w:sz w:val="22"/>
                              </w:rPr>
                              <w:t>The village of Djaposten</w:t>
                            </w:r>
                            <w:r>
                              <w:rPr>
                                <w:sz w:val="22"/>
                              </w:rPr>
                              <w:t xml:space="preserve"> (population of 600)</w:t>
                            </w:r>
                            <w:r w:rsidRPr="008178D7">
                              <w:rPr>
                                <w:sz w:val="22"/>
                              </w:rPr>
                              <w:t xml:space="preserve"> is situated in Cameroon’s Eastern province, about 25 km east of the Dja Fauna Reserve. Hunting is the main income-generating activity in the area and provides an income throughout the year. However, the arrival of several conservation-oriented projects in the area confronted the people of Djaposten with the </w:t>
                            </w:r>
                            <w:r>
                              <w:rPr>
                                <w:sz w:val="22"/>
                              </w:rPr>
                              <w:t>information</w:t>
                            </w:r>
                            <w:r w:rsidRPr="008178D7">
                              <w:rPr>
                                <w:sz w:val="22"/>
                              </w:rPr>
                              <w:t xml:space="preserve"> that, per the law, their principal income-generating activity was illegal.</w:t>
                            </w:r>
                            <w:r>
                              <w:rPr>
                                <w:sz w:val="22"/>
                              </w:rPr>
                              <w:t xml:space="preserve"> Hunters expressed interest</w:t>
                            </w:r>
                            <w:r w:rsidRPr="008178D7">
                              <w:rPr>
                                <w:sz w:val="22"/>
                              </w:rPr>
                              <w:t xml:space="preserve"> </w:t>
                            </w:r>
                            <w:r>
                              <w:rPr>
                                <w:sz w:val="22"/>
                              </w:rPr>
                              <w:t>in legalising</w:t>
                            </w:r>
                            <w:r w:rsidRPr="008178D7">
                              <w:rPr>
                                <w:sz w:val="22"/>
                              </w:rPr>
                              <w:t xml:space="preserve"> th</w:t>
                            </w:r>
                            <w:r>
                              <w:rPr>
                                <w:sz w:val="22"/>
                              </w:rPr>
                              <w:t>eir current hunting, and reducing</w:t>
                            </w:r>
                            <w:r w:rsidRPr="008178D7">
                              <w:rPr>
                                <w:sz w:val="22"/>
                              </w:rPr>
                              <w:t xml:space="preserve"> pressure to sustainable levels</w:t>
                            </w:r>
                            <w:r>
                              <w:rPr>
                                <w:sz w:val="22"/>
                              </w:rPr>
                              <w:t>,</w:t>
                            </w:r>
                            <w:r w:rsidRPr="008178D7">
                              <w:rPr>
                                <w:sz w:val="22"/>
                              </w:rPr>
                              <w:t xml:space="preserve"> through the development of a ‘Community Hunting Zone’. However, hunters quickly faced issues raised by trying to fit </w:t>
                            </w:r>
                            <w:r>
                              <w:rPr>
                                <w:sz w:val="22"/>
                              </w:rPr>
                              <w:t xml:space="preserve">their vision </w:t>
                            </w:r>
                            <w:r w:rsidRPr="008178D7">
                              <w:rPr>
                                <w:sz w:val="22"/>
                              </w:rPr>
                              <w:t xml:space="preserve">with the legal </w:t>
                            </w:r>
                            <w:r>
                              <w:rPr>
                                <w:sz w:val="22"/>
                              </w:rPr>
                              <w:t xml:space="preserve">reality governing </w:t>
                            </w:r>
                            <w:r w:rsidRPr="00133BA5">
                              <w:rPr>
                                <w:sz w:val="22"/>
                              </w:rPr>
                              <w:t>CHZ’s</w:t>
                            </w:r>
                            <w:r w:rsidRPr="008178D7">
                              <w:rPr>
                                <w:sz w:val="22"/>
                              </w:rPr>
                              <w:t>:</w:t>
                            </w:r>
                          </w:p>
                          <w:p w14:paraId="71976286" w14:textId="74055213" w:rsidR="00B82BFD" w:rsidRPr="008178D7" w:rsidRDefault="00B82BFD" w:rsidP="00C24D4C">
                            <w:pPr>
                              <w:pStyle w:val="ListParagraph"/>
                              <w:numPr>
                                <w:ilvl w:val="0"/>
                                <w:numId w:val="4"/>
                              </w:numPr>
                              <w:rPr>
                                <w:sz w:val="22"/>
                              </w:rPr>
                            </w:pPr>
                            <w:r w:rsidRPr="00133BA5">
                              <w:rPr>
                                <w:sz w:val="22"/>
                              </w:rPr>
                              <w:t>CHZ’s</w:t>
                            </w:r>
                            <w:r w:rsidRPr="008178D7">
                              <w:rPr>
                                <w:sz w:val="22"/>
                              </w:rPr>
                              <w:t xml:space="preserve"> in Cameroon have a maximum size of 5,000 ha while the </w:t>
                            </w:r>
                            <w:r>
                              <w:rPr>
                                <w:sz w:val="22"/>
                              </w:rPr>
                              <w:t xml:space="preserve">communities’ </w:t>
                            </w:r>
                            <w:r w:rsidRPr="008178D7">
                              <w:rPr>
                                <w:sz w:val="22"/>
                              </w:rPr>
                              <w:t xml:space="preserve">hunting territory </w:t>
                            </w:r>
                            <w:r>
                              <w:rPr>
                                <w:sz w:val="22"/>
                              </w:rPr>
                              <w:t>in</w:t>
                            </w:r>
                            <w:r w:rsidRPr="008178D7">
                              <w:rPr>
                                <w:sz w:val="22"/>
                              </w:rPr>
                              <w:t xml:space="preserve"> Djaposten covers almost 52,000 ha.</w:t>
                            </w:r>
                          </w:p>
                          <w:p w14:paraId="57AB9DCC" w14:textId="77777777" w:rsidR="00B82BFD" w:rsidRPr="008178D7" w:rsidRDefault="00B82BFD" w:rsidP="00C24D4C">
                            <w:pPr>
                              <w:pStyle w:val="ListParagraph"/>
                              <w:numPr>
                                <w:ilvl w:val="0"/>
                                <w:numId w:val="4"/>
                              </w:numPr>
                              <w:rPr>
                                <w:sz w:val="22"/>
                              </w:rPr>
                            </w:pPr>
                            <w:r w:rsidRPr="008178D7">
                              <w:rPr>
                                <w:sz w:val="22"/>
                              </w:rPr>
                              <w:t>8% of Djaposten</w:t>
                            </w:r>
                            <w:r>
                              <w:rPr>
                                <w:sz w:val="22"/>
                              </w:rPr>
                              <w:t>’s</w:t>
                            </w:r>
                            <w:r w:rsidRPr="008178D7">
                              <w:rPr>
                                <w:sz w:val="22"/>
                              </w:rPr>
                              <w:t xml:space="preserve"> current hunting territory is located within the ‘agroforestry’ zone of the national forestry zoning plan; another 47% is in the ‘permanent forest estate’ and about 44% lies within the Dja Fauna Reserve. Around 83% of the game harvested comes from within the Reserve. Current legislation, however, does not permit any hunting inside the Reserve nor does it allow for the establishment of a </w:t>
                            </w:r>
                            <w:r w:rsidRPr="00133BA5">
                              <w:rPr>
                                <w:sz w:val="22"/>
                              </w:rPr>
                              <w:t>CHZ</w:t>
                            </w:r>
                            <w:r>
                              <w:rPr>
                                <w:sz w:val="22"/>
                              </w:rPr>
                              <w:t xml:space="preserve"> </w:t>
                            </w:r>
                            <w:r w:rsidRPr="008178D7">
                              <w:rPr>
                                <w:sz w:val="22"/>
                              </w:rPr>
                              <w:t xml:space="preserve">inside the ‘permanent forest estate’. </w:t>
                            </w:r>
                          </w:p>
                          <w:p w14:paraId="19A8471F" w14:textId="03AC4E2B" w:rsidR="00B82BFD" w:rsidRPr="00FD249F" w:rsidRDefault="00B82BFD" w:rsidP="00C24D4C">
                            <w:pPr>
                              <w:pStyle w:val="ListParagraph"/>
                              <w:numPr>
                                <w:ilvl w:val="0"/>
                                <w:numId w:val="4"/>
                              </w:numPr>
                              <w:rPr>
                                <w:sz w:val="22"/>
                              </w:rPr>
                            </w:pPr>
                            <w:r w:rsidRPr="008178D7">
                              <w:rPr>
                                <w:sz w:val="22"/>
                              </w:rPr>
                              <w:t xml:space="preserve">72% of the total harvest was destined for sale outside the village even though hunting for sale is forbidden by the current law. In theory, however, a </w:t>
                            </w:r>
                            <w:r w:rsidRPr="00133BA5">
                              <w:rPr>
                                <w:sz w:val="22"/>
                              </w:rPr>
                              <w:t>CHZ</w:t>
                            </w:r>
                            <w:r>
                              <w:rPr>
                                <w:sz w:val="22"/>
                              </w:rPr>
                              <w:t xml:space="preserve"> </w:t>
                            </w:r>
                            <w:r w:rsidRPr="008178D7">
                              <w:rPr>
                                <w:sz w:val="22"/>
                              </w:rPr>
                              <w:t>should permit hunting</w:t>
                            </w:r>
                            <w:r>
                              <w:rPr>
                                <w:sz w:val="22"/>
                              </w:rPr>
                              <w:t xml:space="preserve"> (at sustainable levels)</w:t>
                            </w:r>
                            <w:r w:rsidRPr="008178D7">
                              <w:rPr>
                                <w:sz w:val="22"/>
                              </w:rPr>
                              <w:t xml:space="preserve"> for commercial purposes. </w:t>
                            </w:r>
                          </w:p>
                        </w:txbxContent>
                      </wps:txbx>
                      <wps:bodyPr rot="0" vert="horz" wrap="none" lIns="91440" tIns="45720" rIns="91440" bIns="45720" anchor="t" anchorCtr="0" upright="1">
                        <a:spAutoFit/>
                      </wps:bodyPr>
                    </wps:wsp>
                  </a:graphicData>
                </a:graphic>
              </wp:inline>
            </w:drawing>
          </mc:Choice>
          <mc:Fallback>
            <w:pict>
              <v:shape w14:anchorId="602D4304" id="Text Box 9" o:spid="_x0000_s1027" type="#_x0000_t202" style="width:451pt;height:502.8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" fillcolor="#d8d8d8 [2732]" strokecolor="black [3213]" strokeweight="1.75pt">
                <v:textbox style="mso-fit-shape-to-text:t">
                  <w:txbxContent>
                    <w:p w14:paraId="378BDDF3" w14:textId="7A11F5FE" w:rsidR="00B82BFD" w:rsidRPr="000D26AC" w:rsidRDefault="00B82BFD" w:rsidP="00C24D4C">
                      <w:pPr>
                        <w:pStyle w:val="Caption"/>
                      </w:pPr>
                      <w:bookmarkStart w:id="199" w:name="_Ref520712288"/>
                      <w:bookmarkStart w:id="200" w:name="_Ref520712271"/>
                      <w:bookmarkStart w:id="201" w:name="_Hlk529268510"/>
                      <w:r>
                        <w:t xml:space="preserve">Box </w:t>
                      </w:r>
                      <w:r>
                        <w:fldChar w:fldCharType="begin"/>
                      </w:r>
                      <w:r>
                        <w:instrText xml:space="preserve"> SEQ Box \* ARABIC </w:instrText>
                      </w:r>
                      <w:r>
                        <w:fldChar w:fldCharType="separate"/>
                      </w:r>
                      <w:r>
                        <w:rPr>
                          <w:noProof/>
                        </w:rPr>
                        <w:t>2</w:t>
                      </w:r>
                      <w:r>
                        <w:fldChar w:fldCharType="end"/>
                      </w:r>
                      <w:bookmarkEnd w:id="199"/>
                      <w:r w:rsidRPr="00803DEE">
                        <w:rPr>
                          <w:b w:val="0"/>
                          <w:sz w:val="22"/>
                        </w:rPr>
                        <w:t xml:space="preserve">: </w:t>
                      </w:r>
                      <w:r>
                        <w:rPr>
                          <w:sz w:val="22"/>
                        </w:rPr>
                        <w:t>Two examples of C</w:t>
                      </w:r>
                      <w:r w:rsidRPr="000D26AC">
                        <w:rPr>
                          <w:sz w:val="22"/>
                        </w:rPr>
                        <w:t>ommunity Hunting Zones</w:t>
                      </w:r>
                      <w:r>
                        <w:rPr>
                          <w:sz w:val="22"/>
                        </w:rPr>
                        <w:t xml:space="preserve"> around protected areas</w:t>
                      </w:r>
                      <w:bookmarkEnd w:id="200"/>
                      <w:r w:rsidRPr="00803DEE">
                        <w:rPr>
                          <w:b w:val="0"/>
                          <w:sz w:val="22"/>
                        </w:rPr>
                        <w:t xml:space="preserve"> </w:t>
                      </w:r>
                    </w:p>
                    <w:bookmarkEnd w:id="201"/>
                    <w:p w14:paraId="779C8B79" w14:textId="48DC984E" w:rsidR="00B82BFD" w:rsidRDefault="00B82BFD" w:rsidP="00C24D4C">
                      <w:pPr>
                        <w:rPr>
                          <w:sz w:val="22"/>
                        </w:rPr>
                      </w:pPr>
                      <w:r w:rsidRPr="00052476">
                        <w:rPr>
                          <w:b/>
                          <w:sz w:val="22"/>
                        </w:rPr>
                        <w:t>Zones Cynégétiques Villageoises (ZCV</w:t>
                      </w:r>
                      <w:r w:rsidRPr="00803DEE">
                        <w:rPr>
                          <w:sz w:val="22"/>
                        </w:rPr>
                        <w:t xml:space="preserve">): The ZCV are community hunting reserves buffering </w:t>
                      </w:r>
                      <w:r w:rsidRPr="00FD249F">
                        <w:rPr>
                          <w:sz w:val="22"/>
                        </w:rPr>
                        <w:t>two of the National Parks (Manovo-Gounda-Saint-Floris and Bamingui) in the North of CAR (Roulet et al., 2008). The reserves were created in 1992 and co-managed between the community and the government, with the aim of generating incomes for local communities while protecting the national parks and buffer zones from over-hunting. A management committee organises safari hunting using a quota system, collecting taxes and fees (50 to 70% of hunting taxes remain locally; Roulet and Binot, 2008), distributing revenues, and managing anti-poaching patrols. In 2008, there were 10 hunting reserves covering 80,000 km</w:t>
                      </w:r>
                      <w:r w:rsidRPr="00FD249F">
                        <w:rPr>
                          <w:sz w:val="22"/>
                          <w:vertAlign w:val="superscript"/>
                        </w:rPr>
                        <w:t>2</w:t>
                      </w:r>
                      <w:r w:rsidRPr="00FD249F">
                        <w:rPr>
                          <w:sz w:val="22"/>
                        </w:rPr>
                        <w:t xml:space="preserve"> and generating significant tourism revenue (</w:t>
                      </w:r>
                      <w:r w:rsidRPr="00FD249F">
                        <w:rPr>
                          <w:rFonts w:ascii="Times" w:hAnsi="Times" w:cs="Times"/>
                          <w:color w:val="000000"/>
                          <w:sz w:val="22"/>
                        </w:rPr>
                        <w:t>Mbikt</w:t>
                      </w:r>
                      <w:r w:rsidRPr="00FD249F">
                        <w:rPr>
                          <w:sz w:val="22"/>
                        </w:rPr>
                        <w:t>on 2005). However</w:t>
                      </w:r>
                      <w:r w:rsidRPr="00803DEE">
                        <w:rPr>
                          <w:sz w:val="22"/>
                        </w:rPr>
                        <w:t>, recent reports suggest that civil conflict, and a subsequent influx of migrant herders and commercial hunters into the area, have jeopardised the project (</w:t>
                      </w:r>
                      <w:hyperlink r:id="rId120" w:history="1">
                        <w:r w:rsidRPr="00803DEE">
                          <w:rPr>
                            <w:sz w:val="22"/>
                          </w:rPr>
                          <w:t>Mill 2016</w:t>
                        </w:r>
                      </w:hyperlink>
                      <w:r w:rsidRPr="00803DEE">
                        <w:rPr>
                          <w:sz w:val="22"/>
                        </w:rPr>
                        <w:t xml:space="preserve">; </w:t>
                      </w:r>
                      <w:hyperlink r:id="rId121" w:history="1">
                        <w:r w:rsidRPr="00803DEE">
                          <w:rPr>
                            <w:sz w:val="22"/>
                          </w:rPr>
                          <w:t>WCS 2017</w:t>
                        </w:r>
                      </w:hyperlink>
                      <w:r w:rsidRPr="00803DEE">
                        <w:rPr>
                          <w:sz w:val="22"/>
                        </w:rPr>
                        <w:t xml:space="preserve">). </w:t>
                      </w:r>
                    </w:p>
                    <w:p w14:paraId="4B9F9937" w14:textId="77777777" w:rsidR="00B82BFD" w:rsidRPr="008178D7" w:rsidRDefault="00B82BFD" w:rsidP="00C24D4C">
                      <w:pPr>
                        <w:rPr>
                          <w:sz w:val="22"/>
                        </w:rPr>
                      </w:pPr>
                      <w:r>
                        <w:rPr>
                          <w:b/>
                          <w:sz w:val="22"/>
                        </w:rPr>
                        <w:t xml:space="preserve">Exploring the concept of </w:t>
                      </w:r>
                      <w:r w:rsidRPr="00052476">
                        <w:rPr>
                          <w:b/>
                          <w:sz w:val="22"/>
                        </w:rPr>
                        <w:t xml:space="preserve">Community </w:t>
                      </w:r>
                      <w:r>
                        <w:rPr>
                          <w:b/>
                          <w:sz w:val="22"/>
                        </w:rPr>
                        <w:t>Hunting Zones (CHZ’s)</w:t>
                      </w:r>
                      <w:r w:rsidRPr="00052476">
                        <w:rPr>
                          <w:b/>
                          <w:sz w:val="22"/>
                        </w:rPr>
                        <w:t xml:space="preserve"> in </w:t>
                      </w:r>
                      <w:r w:rsidRPr="00FD249F">
                        <w:rPr>
                          <w:b/>
                          <w:sz w:val="22"/>
                        </w:rPr>
                        <w:t>Cameroon</w:t>
                      </w:r>
                      <w:r w:rsidRPr="00FD249F">
                        <w:rPr>
                          <w:sz w:val="22"/>
                        </w:rPr>
                        <w:t xml:space="preserve"> (van der Wal and Djoh, 2001)</w:t>
                      </w:r>
                    </w:p>
                    <w:p w14:paraId="44C5C15A" w14:textId="77777777" w:rsidR="00B82BFD" w:rsidRPr="008178D7" w:rsidRDefault="00B82BFD" w:rsidP="00C24D4C">
                      <w:pPr>
                        <w:rPr>
                          <w:sz w:val="22"/>
                        </w:rPr>
                      </w:pPr>
                      <w:r w:rsidRPr="008178D7">
                        <w:rPr>
                          <w:sz w:val="22"/>
                        </w:rPr>
                        <w:t>The village of Djaposten</w:t>
                      </w:r>
                      <w:r>
                        <w:rPr>
                          <w:sz w:val="22"/>
                        </w:rPr>
                        <w:t xml:space="preserve"> (population of 600)</w:t>
                      </w:r>
                      <w:r w:rsidRPr="008178D7">
                        <w:rPr>
                          <w:sz w:val="22"/>
                        </w:rPr>
                        <w:t xml:space="preserve"> is situated in Cameroon’s Eastern province, about 25 km east of the Dja Fauna Reserve. Hunting is the main income-generating activity in the area and provides an income throughout the year. However, the arrival of several conservation-oriented projects in the area confronted the people of Djaposten with the </w:t>
                      </w:r>
                      <w:r>
                        <w:rPr>
                          <w:sz w:val="22"/>
                        </w:rPr>
                        <w:t>information</w:t>
                      </w:r>
                      <w:r w:rsidRPr="008178D7">
                        <w:rPr>
                          <w:sz w:val="22"/>
                        </w:rPr>
                        <w:t xml:space="preserve"> that, per the law, their principal income-generating activity was illegal.</w:t>
                      </w:r>
                      <w:r>
                        <w:rPr>
                          <w:sz w:val="22"/>
                        </w:rPr>
                        <w:t xml:space="preserve"> Hunters expressed interest</w:t>
                      </w:r>
                      <w:r w:rsidRPr="008178D7">
                        <w:rPr>
                          <w:sz w:val="22"/>
                        </w:rPr>
                        <w:t xml:space="preserve"> </w:t>
                      </w:r>
                      <w:r>
                        <w:rPr>
                          <w:sz w:val="22"/>
                        </w:rPr>
                        <w:t>in legalising</w:t>
                      </w:r>
                      <w:r w:rsidRPr="008178D7">
                        <w:rPr>
                          <w:sz w:val="22"/>
                        </w:rPr>
                        <w:t xml:space="preserve"> th</w:t>
                      </w:r>
                      <w:r>
                        <w:rPr>
                          <w:sz w:val="22"/>
                        </w:rPr>
                        <w:t>eir current hunting, and reducing</w:t>
                      </w:r>
                      <w:r w:rsidRPr="008178D7">
                        <w:rPr>
                          <w:sz w:val="22"/>
                        </w:rPr>
                        <w:t xml:space="preserve"> pressure to sustainable levels</w:t>
                      </w:r>
                      <w:r>
                        <w:rPr>
                          <w:sz w:val="22"/>
                        </w:rPr>
                        <w:t>,</w:t>
                      </w:r>
                      <w:r w:rsidRPr="008178D7">
                        <w:rPr>
                          <w:sz w:val="22"/>
                        </w:rPr>
                        <w:t xml:space="preserve"> through the development of a ‘Community Hunting Zone’. However, hunters quickly faced issues raised by trying to fit </w:t>
                      </w:r>
                      <w:r>
                        <w:rPr>
                          <w:sz w:val="22"/>
                        </w:rPr>
                        <w:t xml:space="preserve">their vision </w:t>
                      </w:r>
                      <w:r w:rsidRPr="008178D7">
                        <w:rPr>
                          <w:sz w:val="22"/>
                        </w:rPr>
                        <w:t xml:space="preserve">with the legal </w:t>
                      </w:r>
                      <w:r>
                        <w:rPr>
                          <w:sz w:val="22"/>
                        </w:rPr>
                        <w:t xml:space="preserve">reality governing </w:t>
                      </w:r>
                      <w:r w:rsidRPr="00133BA5">
                        <w:rPr>
                          <w:sz w:val="22"/>
                        </w:rPr>
                        <w:t>CHZ’s</w:t>
                      </w:r>
                      <w:r w:rsidRPr="008178D7">
                        <w:rPr>
                          <w:sz w:val="22"/>
                        </w:rPr>
                        <w:t>:</w:t>
                      </w:r>
                    </w:p>
                    <w:p w14:paraId="71976286" w14:textId="74055213" w:rsidR="00B82BFD" w:rsidRPr="008178D7" w:rsidRDefault="00B82BFD" w:rsidP="00C24D4C">
                      <w:pPr>
                        <w:pStyle w:val="ListParagraph"/>
                        <w:numPr>
                          <w:ilvl w:val="0"/>
                          <w:numId w:val="4"/>
                        </w:numPr>
                        <w:rPr>
                          <w:sz w:val="22"/>
                        </w:rPr>
                      </w:pPr>
                      <w:r w:rsidRPr="00133BA5">
                        <w:rPr>
                          <w:sz w:val="22"/>
                        </w:rPr>
                        <w:t>CHZ’s</w:t>
                      </w:r>
                      <w:r w:rsidRPr="008178D7">
                        <w:rPr>
                          <w:sz w:val="22"/>
                        </w:rPr>
                        <w:t xml:space="preserve"> in Cameroon have a maximum size of 5,000 ha while the </w:t>
                      </w:r>
                      <w:r>
                        <w:rPr>
                          <w:sz w:val="22"/>
                        </w:rPr>
                        <w:t xml:space="preserve">communities’ </w:t>
                      </w:r>
                      <w:r w:rsidRPr="008178D7">
                        <w:rPr>
                          <w:sz w:val="22"/>
                        </w:rPr>
                        <w:t xml:space="preserve">hunting territory </w:t>
                      </w:r>
                      <w:r>
                        <w:rPr>
                          <w:sz w:val="22"/>
                        </w:rPr>
                        <w:t>in</w:t>
                      </w:r>
                      <w:r w:rsidRPr="008178D7">
                        <w:rPr>
                          <w:sz w:val="22"/>
                        </w:rPr>
                        <w:t xml:space="preserve"> Djaposten covers almost 52,000 ha.</w:t>
                      </w:r>
                    </w:p>
                    <w:p w14:paraId="57AB9DCC" w14:textId="77777777" w:rsidR="00B82BFD" w:rsidRPr="008178D7" w:rsidRDefault="00B82BFD" w:rsidP="00C24D4C">
                      <w:pPr>
                        <w:pStyle w:val="ListParagraph"/>
                        <w:numPr>
                          <w:ilvl w:val="0"/>
                          <w:numId w:val="4"/>
                        </w:numPr>
                        <w:rPr>
                          <w:sz w:val="22"/>
                        </w:rPr>
                      </w:pPr>
                      <w:r w:rsidRPr="008178D7">
                        <w:rPr>
                          <w:sz w:val="22"/>
                        </w:rPr>
                        <w:t>8% of Djaposten</w:t>
                      </w:r>
                      <w:r>
                        <w:rPr>
                          <w:sz w:val="22"/>
                        </w:rPr>
                        <w:t>’s</w:t>
                      </w:r>
                      <w:r w:rsidRPr="008178D7">
                        <w:rPr>
                          <w:sz w:val="22"/>
                        </w:rPr>
                        <w:t xml:space="preserve"> current hunting territory is located within the ‘agroforestry’ zone of the national forestry zoning plan; another 47% is in the ‘permanent forest estate’ and about 44% lies within the Dja Fauna Reserve. Around 83% of the game harvested comes from within the Reserve. Current legislation, however, does not permit any hunting inside the Reserve nor does it allow for the establishment of a </w:t>
                      </w:r>
                      <w:r w:rsidRPr="00133BA5">
                        <w:rPr>
                          <w:sz w:val="22"/>
                        </w:rPr>
                        <w:t>CHZ</w:t>
                      </w:r>
                      <w:r>
                        <w:rPr>
                          <w:sz w:val="22"/>
                        </w:rPr>
                        <w:t xml:space="preserve"> </w:t>
                      </w:r>
                      <w:r w:rsidRPr="008178D7">
                        <w:rPr>
                          <w:sz w:val="22"/>
                        </w:rPr>
                        <w:t xml:space="preserve">inside the ‘permanent forest estate’. </w:t>
                      </w:r>
                    </w:p>
                    <w:p w14:paraId="19A8471F" w14:textId="03AC4E2B" w:rsidR="00B82BFD" w:rsidRPr="00FD249F" w:rsidRDefault="00B82BFD" w:rsidP="00C24D4C">
                      <w:pPr>
                        <w:pStyle w:val="ListParagraph"/>
                        <w:numPr>
                          <w:ilvl w:val="0"/>
                          <w:numId w:val="4"/>
                        </w:numPr>
                        <w:rPr>
                          <w:sz w:val="22"/>
                        </w:rPr>
                      </w:pPr>
                      <w:r w:rsidRPr="008178D7">
                        <w:rPr>
                          <w:sz w:val="22"/>
                        </w:rPr>
                        <w:t xml:space="preserve">72% of the total harvest was destined for sale outside the village even though hunting for sale is forbidden by the current law. In theory, however, a </w:t>
                      </w:r>
                      <w:r w:rsidRPr="00133BA5">
                        <w:rPr>
                          <w:sz w:val="22"/>
                        </w:rPr>
                        <w:t>CHZ</w:t>
                      </w:r>
                      <w:r>
                        <w:rPr>
                          <w:sz w:val="22"/>
                        </w:rPr>
                        <w:t xml:space="preserve"> </w:t>
                      </w:r>
                      <w:r w:rsidRPr="008178D7">
                        <w:rPr>
                          <w:sz w:val="22"/>
                        </w:rPr>
                        <w:t>should permit hunting</w:t>
                      </w:r>
                      <w:r>
                        <w:rPr>
                          <w:sz w:val="22"/>
                        </w:rPr>
                        <w:t xml:space="preserve"> (at sustainable levels)</w:t>
                      </w:r>
                      <w:r w:rsidRPr="008178D7">
                        <w:rPr>
                          <w:sz w:val="22"/>
                        </w:rPr>
                        <w:t xml:space="preserve"> for commercial purposes. </w:t>
                      </w:r>
                    </w:p>
                  </w:txbxContent>
                </v:textbox>
                <w10:anchorlock/>
              </v:shape>
            </w:pict>
          </mc:Fallback>
        </mc:AlternateContent>
      </w:r>
    </w:p>
    <w:p w14:paraId="6A29659C" w14:textId="66468B61" w:rsidR="007078FA" w:rsidRPr="007078FA" w:rsidRDefault="007078FA" w:rsidP="007078FA">
      <w:r w:rsidRPr="00814265">
        <w:rPr>
          <w:color w:val="000000" w:themeColor="text1"/>
          <w:lang w:val="pt-BR"/>
        </w:rPr>
        <w:t xml:space="preserve">References for Box 2: </w:t>
      </w:r>
      <w:r>
        <w:fldChar w:fldCharType="begin" w:fldLock="1"/>
      </w:r>
      <w:r w:rsidRPr="00814265">
        <w:rPr>
          <w:lang w:val="pt-BR"/>
        </w:rPr>
        <w:instrText>ADDIN CSL_CITATION {"citationItems":[{"id":"ITEM-1","itemData":{"author":[{"dropping-particle":"","family":"Waal","given":"M","non-dropping-particle":"van de","parse-names":false,"suffix":""},{"dropping-particle":"","family":"Djoh","given":"E.","non-dropping-particle":"","parse-names":false,"suffix":""}],"id":"ITEM-1","issued":{"date-parts":[["2001"]]},"publisher-place":"London, UK","title":"Community Hunting Zones: First Steps in the Decentralisation of Wildlife Management. Observations from the Village of Djaposten, Cameroon","type":"report"},"uris":["http://www.mendeley.com/documents/?uuid=8fe7fe73-70c2-48fc-a4be-e2ccf86c2095"]},{"id":"ITEM-2","itemData":{"author":[{"dropping-particle":"","family":"Mbikton","given":"R.","non-dropping-particle":"","parse-names":false,"suffix":""}],"container-title":"Game and Wildlife Science","id":"ITEM-2","issued":{"date-parts":[["2004"]]},"page":"219 -225","title":"Les zones cynegentiques villageoises: Une experience de gestion participative des resources naturelles en Republique Centrafricane.","type":"article-journal","volume":"21"},"uris":["http://www.mendeley.com/documents/?uuid=99b852c7-7a90-477f-bbae-88bb3c9c620b"]},{"id":"ITEM-3","itemData":{"author":[{"dropping-particle":"","family":"Roulet","g</w:instrText>
      </w:r>
      <w:r>
        <w:instrText>iven":"P.","non-dropping-particle":"","parse-names":false,"suffix":""},{"dropping-particle":"","family":"Binot","given":"A.","non-dropping-particle":"","parse-names":false,"suffix":""}],"container-title":"Gouvernance et environnement en Afrique centrale : le modèle participatif en question","editor":[{"dropping-particle":"","family":"Arnoldussen","given":"D.","non-dropping-particle":"","parse-names":false,"suffix":""},{"dropping-particle":"","family":"Binot","given":"A.","non-dropping-particle":"","parse-names":false,"suffix":""},{"dropping-particle":"","family":"Joiris","given":"D.","non-dropping-particle":"","parse-names":false,"suffix":""},{"dropping-particle":"","family":"Trefon","given":"T.","non-dropping-particle":"","parse-names":false,"suffix":""},{"dropping-particle":"","family":"Roulet","given":"P.","non-dropping-particle":"","parse-names":false,"suffix":""},{"dropping-particle":"","family":"Assenmaker","given":"P.","non-dropping-particle":"","parse-names":false,"suffix":""}],"id":"ITEM-3","issued":{"date-parts":[["2008"]]},"publisher":"MRAC","title":"Politiques d’aménagement forestier et approches participatives en République Centrafricaine.","type":"chapter"},"uris":["http://www.mendeley.com/documents/?uuid=51996b09-93f1-418c-9541-7b43ed3f6b49"]}],"mendeley":{"formattedCitation":"(van de Waal &amp; Djoh 2001; Mbikton 2004; Roulet &amp; Binot 2008)","plainTextFormattedCitation":"(van de Waal &amp; Djoh 2001; Mbikton 2004; Roulet &amp; Binot 2008)","previouslyFormattedCitation":"(van de Waal &amp; Djoh 2001; Mbikton 2004; Roulet &amp; Binot 2008)"},"properties":{"noteIndex":0},"schema":"https://github.com/citation-style-language/schema/raw/master/csl-citation.json"}</w:instrText>
      </w:r>
      <w:r>
        <w:fldChar w:fldCharType="separate"/>
      </w:r>
      <w:r w:rsidRPr="00381971">
        <w:rPr>
          <w:noProof/>
        </w:rPr>
        <w:t>(van de Waal &amp; Djoh 2001; Mbikton 2004; Roulet &amp; Binot 2008)</w:t>
      </w:r>
      <w:r>
        <w:fldChar w:fldCharType="end"/>
      </w:r>
    </w:p>
    <w:p w14:paraId="606D3AF8" w14:textId="597C1375" w:rsidR="004960B6" w:rsidRPr="00785A38" w:rsidRDefault="004960B6" w:rsidP="001C1D6E">
      <w:pPr>
        <w:pStyle w:val="Heading3"/>
      </w:pPr>
      <w:r w:rsidRPr="00785A38">
        <w:t>Community Conservancies</w:t>
      </w:r>
    </w:p>
    <w:p w14:paraId="51B59C75" w14:textId="09FB14F0" w:rsidR="001F491C" w:rsidRPr="004904D8" w:rsidRDefault="001F491C" w:rsidP="00C258BC">
      <w:pPr>
        <w:jc w:val="both"/>
        <w:rPr>
          <w:color w:val="000000" w:themeColor="text1"/>
        </w:rPr>
      </w:pPr>
      <w:r w:rsidRPr="004904D8">
        <w:rPr>
          <w:color w:val="000000" w:themeColor="text1"/>
        </w:rPr>
        <w:t>Namibia provides a successful example</w:t>
      </w:r>
      <w:r w:rsidR="009B4BDE">
        <w:rPr>
          <w:color w:val="000000" w:themeColor="text1"/>
        </w:rPr>
        <w:t xml:space="preserve"> of the use of community conservancies to manage wildlife</w:t>
      </w:r>
      <w:r w:rsidRPr="004904D8">
        <w:rPr>
          <w:color w:val="000000" w:themeColor="text1"/>
        </w:rPr>
        <w:t xml:space="preserve">. In 1996 an amendment was made to the Namibian wildlife laws, which devolved rights to communities over natural resources, through the creation of communal conservancies, and established rights for communities to set up tourism enterprises. Communities also own hunting licenses to big game species occurring in their areas, and auction these to (typically) wealthy European hunters. As well as trophy hunting, the potential to expand the game-ranching model from private lands to communal land has been suggested, with the development </w:t>
      </w:r>
      <w:r w:rsidRPr="004904D8">
        <w:rPr>
          <w:color w:val="000000" w:themeColor="text1"/>
        </w:rPr>
        <w:lastRenderedPageBreak/>
        <w:t xml:space="preserve">of private-community partnerships </w:t>
      </w:r>
      <w:r w:rsidR="0021332A">
        <w:rPr>
          <w:color w:val="000000" w:themeColor="text1"/>
        </w:rPr>
        <w:fldChar w:fldCharType="begin" w:fldLock="1"/>
      </w:r>
      <w:r w:rsidR="0021332A">
        <w:rPr>
          <w:color w:val="000000" w:themeColor="text1"/>
        </w:rPr>
        <w:instrText>ADDIN CSL_CITATION {"citationItems":[{"id":"ITEM-1","itemData":{"DOI":"10.1017/S0030605311001049","ISBN":"1365-3008","ISSN":"0030-6053","abstract":"Legislative changes during the 1960s-1970s granted user rights over wildlife to landowners in southern Africa, resulting in a shift from livestock farming to wildlife-based land uses. Few comprehensive assessments of such land uses on private land in southern Africa have been conducted and the associated benefits are not always acknowledged by politicians. Nonetheless, wildlife-based land uses are growing in prevalence on private land. In Namibia wildlife-based land use occurs over c. 287,000 km2. Employment is positively related to income from ecotourism and negatively related to income from livestock. While 87% of meat from livestock is exported 95% of venison from wildlife-based land uses remains within the country, contributing to food security. Wildlife populations are increasing with expansion of wildlife-based land uses, and private farms contain 21-33 times more wildlife than in protected areas. Because of the popularity of wildlife-based land uses among younger farmers, increasing tourist arrivals and projected impacts of climate change on livestock production, the economic output of wildlife-based land uses will probably soon exceed that of livestock. However, existing policies favour livestock production and are prejudiced against wildlife-based land uses by prohibiting reintroductions of buffalo Syncerus caffer, a key species for tourism and safari hunting, and through subsidies that artificially inflate the profitability of livestock production. Returns from wildlife-based land uses are also limited by the failure to reintroduce other charismatic species, failure to develop fully-integrated conservancies and to integrate black farmers sufficiently.","author":[{"dropping-particle":"","family":"Lindsey","given":"P. A.","non-dropping-particle":"","parse-names":false,"suffix":""},{"dropping-particle":"","family":"Havemann","given":"C. P.","non-dropping-particle":"","parse-names":false,"suffix":""},{"dropping-particle":"","family":"Lines","given":"R. M.","non-dropping-particle":"","parse-names":false,"suffix":""},{"dropping-particle":"","family":"Price","given":"A. E.","non-dropping-particle":"","parse-names":false,"suffix":""},{"dropping-particle":"","family":"Retief","given":"T. A.","non-dropping-particle":"","parse-names":false,"suffix":""},{"dropping-particle":"","family":"Rhebergen","given":"T.","non-dropping-particle":"","parse-names":false,"suffix":""},{"dropping-particle":"","family":"Waal","given":"C.","non-dropping-particle":"Van der","parse-names":false,"suffix":""},{"dropping-particle":"","family":"Romañach","given":"S. S.","non-dropping-particle":"","parse-names":false,"suffix":""}],"container-title":"Oryx","id":"ITEM-1","issue":"01","issued":{"date-parts":[["2013"]]},"page":"41-53","title":"Benefits of wildlife-based land uses on private lands in Namibia and limitations affecting their development","type":"article-journal","volume":"47"},"uris":["http://www.mendeley.com/documents/?uuid=e1cb96e8-7122-4ab1-ae78-9078b34c72c8"]}],"mendeley":{"formattedCitation":"(Lindsey et al. 2013b)","plainTextFormattedCitation":"(Lindsey et al. 2013b)","previouslyFormattedCitation":"(Lindsey et al. 2013b)"},"properties":{"noteIndex":0},"schema":"https://github.com/citation-style-language/schema/raw/master/csl-citation.json"}</w:instrText>
      </w:r>
      <w:r w:rsidR="0021332A">
        <w:rPr>
          <w:color w:val="000000" w:themeColor="text1"/>
        </w:rPr>
        <w:fldChar w:fldCharType="separate"/>
      </w:r>
      <w:r w:rsidR="0021332A" w:rsidRPr="0021332A">
        <w:rPr>
          <w:noProof/>
          <w:color w:val="000000" w:themeColor="text1"/>
        </w:rPr>
        <w:t>(Lindsey et al. 2013b)</w:t>
      </w:r>
      <w:r w:rsidR="0021332A">
        <w:rPr>
          <w:color w:val="000000" w:themeColor="text1"/>
        </w:rPr>
        <w:fldChar w:fldCharType="end"/>
      </w:r>
      <w:r w:rsidRPr="004904D8">
        <w:rPr>
          <w:color w:val="000000" w:themeColor="text1"/>
        </w:rPr>
        <w:t xml:space="preserve">. Hunting on conservancy land is governed by quotas, set by the </w:t>
      </w:r>
      <w:r w:rsidR="003467B1" w:rsidRPr="00962540">
        <w:t>Namibian</w:t>
      </w:r>
      <w:r w:rsidR="003467B1">
        <w:rPr>
          <w:color w:val="000000" w:themeColor="text1"/>
        </w:rPr>
        <w:t xml:space="preserve"> </w:t>
      </w:r>
      <w:r w:rsidRPr="004904D8">
        <w:rPr>
          <w:color w:val="000000" w:themeColor="text1"/>
        </w:rPr>
        <w:t>Ministry of Environment and Tourism (MET), based on ann</w:t>
      </w:r>
      <w:r w:rsidRPr="005512D2">
        <w:rPr>
          <w:color w:val="000000" w:themeColor="text1"/>
        </w:rPr>
        <w:t>ual game counts carried out by the Ministry and conservancies, and the MET has powers to de-register a conservancy if it fails to comply with conservation regulation. Conservancies are zoned accounting to land use, which includes agriculture, troph</w:t>
      </w:r>
      <w:r w:rsidR="00A852F7">
        <w:rPr>
          <w:color w:val="000000" w:themeColor="text1"/>
        </w:rPr>
        <w:t>y hunting and hunting for local consumption</w:t>
      </w:r>
      <w:r w:rsidRPr="005512D2">
        <w:rPr>
          <w:color w:val="000000" w:themeColor="text1"/>
        </w:rPr>
        <w:t>. The first four communal conservancies were formed in 1998, and there are now 82 registered conservancies, covering 161,900 km</w:t>
      </w:r>
      <w:r w:rsidRPr="003E3238">
        <w:rPr>
          <w:color w:val="000000" w:themeColor="text1"/>
          <w:vertAlign w:val="superscript"/>
        </w:rPr>
        <w:t>2</w:t>
      </w:r>
      <w:r w:rsidRPr="003E3238">
        <w:rPr>
          <w:color w:val="000000" w:themeColor="text1"/>
        </w:rPr>
        <w:t xml:space="preserve"> and involving over 189,000 people (</w:t>
      </w:r>
      <w:hyperlink r:id="rId122" w:anchor="statistics" w:history="1">
        <w:r w:rsidRPr="004904D8">
          <w:rPr>
            <w:rStyle w:val="Hyperlink"/>
            <w:color w:val="000000" w:themeColor="text1"/>
          </w:rPr>
          <w:t>http://www.nacso.org.na/conservancies - statistics</w:t>
        </w:r>
      </w:hyperlink>
      <w:r w:rsidRPr="004904D8">
        <w:rPr>
          <w:color w:val="000000" w:themeColor="text1"/>
        </w:rPr>
        <w:t>; accessed 12</w:t>
      </w:r>
      <w:r w:rsidRPr="004904D8">
        <w:rPr>
          <w:color w:val="000000" w:themeColor="text1"/>
          <w:vertAlign w:val="superscript"/>
        </w:rPr>
        <w:t>th</w:t>
      </w:r>
      <w:r w:rsidRPr="004904D8">
        <w:rPr>
          <w:color w:val="000000" w:themeColor="text1"/>
        </w:rPr>
        <w:t xml:space="preserve"> July 2017). </w:t>
      </w:r>
    </w:p>
    <w:p w14:paraId="3A9D8CB2" w14:textId="26108EC0" w:rsidR="004960B6" w:rsidRPr="005512D2" w:rsidRDefault="004960B6" w:rsidP="00C258BC">
      <w:pPr>
        <w:jc w:val="both"/>
        <w:rPr>
          <w:rStyle w:val="Hyperlink"/>
          <w:color w:val="000000" w:themeColor="text1"/>
          <w:sz w:val="28"/>
          <w:u w:val="none"/>
        </w:rPr>
      </w:pPr>
      <w:r w:rsidRPr="004904D8">
        <w:rPr>
          <w:color w:val="000000" w:themeColor="text1"/>
        </w:rPr>
        <w:t>In 2013, tourism and trophy hunting in Namibian communal conservancies generated US$26.4 million, 2850 jobs and 315,000 kg of game meat annually, (R. Dig</w:t>
      </w:r>
      <w:r w:rsidRPr="005512D2">
        <w:rPr>
          <w:color w:val="000000" w:themeColor="text1"/>
        </w:rPr>
        <w:t xml:space="preserve">gle unpublished data, in </w:t>
      </w:r>
      <w:r w:rsidR="0021332A">
        <w:rPr>
          <w:color w:val="000000" w:themeColor="text1"/>
        </w:rPr>
        <w:fldChar w:fldCharType="begin" w:fldLock="1"/>
      </w:r>
      <w:r w:rsidR="0021332A">
        <w:rPr>
          <w:color w:val="000000" w:themeColor="text1"/>
        </w:rPr>
        <w:instrText>ADDIN CSL_CITATION {"citationItems":[{"id":"ITEM-1","itemData":{"DOI":"10.1017/S0030605311001049","ISBN":"1365-3008","ISSN":"0030-6053","abstract":"Legislative changes during the 1960s-1970s granted user rights over wildlife to landowners in southern Africa, resulting in a shift from livestock farming to wildlife-based land uses. Few comprehensive assessments of such land uses on private land in southern Africa have been conducted and the associated benefits are not always acknowledged by politicians. Nonetheless, wildlife-based land uses are growing in prevalence on private land. In Namibia wildlife-based land use occurs over c. 287,000 km2. Employment is positively related to income from ecotourism and negatively related to income from livestock. While 87% of meat from livestock is exported 95% of venison from wildlife-based land uses remains within the country, contributing to food security. Wildlife populations are increasing with expansion of wildlife-based land uses, and private farms contain 21-33 times more wildlife than in protected areas. Because of the popularity of wildlife-based land uses among younger farmers, increasing tourist arrivals and projected impacts of climate change on livestock production, the economic output of wildlife-based land uses will probably soon exceed that of livestock. However, existing policies favour livestock production and are prejudiced against wildlife-based land uses by prohibiting reintroductions of buffalo Syncerus caffer, a key species for tourism and safari hunting, and through subsidies that artificially inflate the profitability of livestock production. Returns from wildlife-based land uses are also limited by the failure to reintroduce other charismatic species, failure to develop fully-integrated conservancies and to integrate black farmers sufficiently.","author":[{"dropping-particle":"","family":"Lindsey","given":"P. A.","non-dropping-particle":"","parse-names":false,"suffix":""},{"dropping-particle":"","family":"Havemann","given":"C. P.","non-dropping-particle":"","parse-names":false,"suffix":""},{"dropping-particle":"","family":"Lines","given":"R. M.","non-dropping-particle":"","parse-names":false,"suffix":""},{"dropping-particle":"","family":"Price","given":"A. E.","non-dropping-particle":"","parse-names":false,"suffix":""},{"dropping-particle":"","family":"Retief","given":"T. A.","non-dropping-particle":"","parse-names":false,"suffix":""},{"dropping-particle":"","family":"Rhebergen","given":"T.","non-dropping-particle":"","parse-names":false,"suffix":""},{"dropping-particle":"","family":"Waal","given":"C.","non-dropping-particle":"Van der","parse-names":false,"suffix":""},{"dropping-particle":"","family":"Romañach","given":"S. S.","non-dropping-particle":"","parse-names":false,"suffix":""}],"container-title":"Oryx","id":"ITEM-1","issue":"01","issued":{"date-parts":[["2013"]]},"page":"41-53","title":"Benefits of wildlife-based land uses on private lands in Namibia and limitations affecting their development","type":"article-journal","volume":"47"},"uris":["http://www.mendeley.com/documents/?uuid=e1cb96e8-7122-4ab1-ae78-9078b34c72c8"]}],"mendeley":{"formattedCitation":"(Lindsey et al. 2013b)","manualFormatting":"Lindsey et al. 2013b","plainTextFormattedCitation":"(Lindsey et al. 2013b)","previouslyFormattedCitation":"(Lindsey et al. 2013b)"},"properties":{"noteIndex":0},"schema":"https://github.com/citation-style-language/schema/raw/master/csl-citation.json"}</w:instrText>
      </w:r>
      <w:r w:rsidR="0021332A">
        <w:rPr>
          <w:color w:val="000000" w:themeColor="text1"/>
        </w:rPr>
        <w:fldChar w:fldCharType="separate"/>
      </w:r>
      <w:r w:rsidR="0021332A" w:rsidRPr="0021332A">
        <w:rPr>
          <w:noProof/>
          <w:color w:val="000000" w:themeColor="text1"/>
        </w:rPr>
        <w:t>Lindsey et al. 2013b</w:t>
      </w:r>
      <w:r w:rsidR="0021332A">
        <w:rPr>
          <w:color w:val="000000" w:themeColor="text1"/>
        </w:rPr>
        <w:fldChar w:fldCharType="end"/>
      </w:r>
      <w:r w:rsidRPr="005512D2">
        <w:rPr>
          <w:color w:val="000000" w:themeColor="text1"/>
        </w:rPr>
        <w:t xml:space="preserve">). A yearly monitoring system, funded from conservancy profits, collects data on wildlife population sizes, as well as incidents of </w:t>
      </w:r>
      <w:r w:rsidR="00746721">
        <w:rPr>
          <w:color w:val="000000" w:themeColor="text1"/>
        </w:rPr>
        <w:t>illegal hunting</w:t>
      </w:r>
      <w:r w:rsidR="00A852F7">
        <w:rPr>
          <w:color w:val="000000" w:themeColor="text1"/>
        </w:rPr>
        <w:t xml:space="preserve"> and human-wildlife conflict, </w:t>
      </w:r>
      <w:r w:rsidRPr="005512D2">
        <w:rPr>
          <w:color w:val="000000" w:themeColor="text1"/>
        </w:rPr>
        <w:t>for example c</w:t>
      </w:r>
      <w:r w:rsidR="00A852F7">
        <w:rPr>
          <w:color w:val="000000" w:themeColor="text1"/>
        </w:rPr>
        <w:t>rop raiding or livestock killed</w:t>
      </w:r>
      <w:r w:rsidRPr="005512D2">
        <w:rPr>
          <w:color w:val="000000" w:themeColor="text1"/>
        </w:rPr>
        <w:t xml:space="preserve"> </w:t>
      </w:r>
      <w:r w:rsidR="0021332A">
        <w:rPr>
          <w:color w:val="000000" w:themeColor="text1"/>
        </w:rPr>
        <w:fldChar w:fldCharType="begin" w:fldLock="1"/>
      </w:r>
      <w:r w:rsidR="0021332A">
        <w:rPr>
          <w:color w:val="000000" w:themeColor="text1"/>
        </w:rPr>
        <w:instrText>ADDIN CSL_CITATION {"citationItems":[{"id":"ITEM-1","itemData":{"DOI":"10.1007/s10531-005-8391-0","ISBN":"0960-3115","ISSN":"09603115","abstract":"Namibia's Community Based Natural Resource Management program is a joint venture between government, national non-governmental organisations and rural communities. A com-ponent of the program involves communities in monitoring various aspects of their conservancy, ranging from wildlife numbers, through economic returns, to patrolling records and infringements of the rules. A main feature of community monitoring is the Event Book System, which differs from conventional monitoring in that the community dictates what needs to be monitored, and scientists only facilitate the design process and conservancy members undertake all data analysis. The system has been adopted with good results by more than 30 communal conservancies in Namibia, covering almost seven million ha, and is now also being piloted in six national parks. Continued emphasis is needed on enhancing community interpretation and use of data for active adaptive management, particularly where conservancy leaders are transient due to the democratic nature of local orga-nizations. Moreover, because the system is driven by local priorities, it does not cover all aspects of a comprehensive biodiversity monitoring programme. Where society deems other biodiversity values worth monitoring, conservancies must either be willingly persuaded to act on this, or external systems must be established to cater for these needs. If a community already has a monitoring system of its own, a win–win solution might be for the community to be sub-contracted to undertake these 'external modules' on behalf of national agencies.","author":[{"dropping-particle":"","family":"Stuart-Hill","given":"Greg","non-dropping-particle":"","parse-names":false,"suffix":""},{"dropping-particle":"","family":"Diggle","given":"Richard","non-dropping-particle":"","parse-names":false,"suffix":""},{"dropping-particle":"","family":"Munali","given":"Bevan","non-dropping-particle":"","parse-names":false,"suffix":""},{"dropping-particle":"","family":"Tagg","given":"Jo","non-dropping-particle":"","parse-names":false,"suffix":""},{"dropping-particle":"","family":"Ward","given":"David","non-dropping-particle":"","parse-names":false,"suffix":""}],"container-title":"Biodiversity and Conservation","id":"ITEM-1","issue":"11","issued":{"date-parts":[["2005"]]},"page":"2611-2631","title":"The event book system: A community-based natural resource monitoring system from Namibia","type":"article-journal","volume":"14"},"uris":["http://www.mendeley.com/documents/?uuid=e5de4829-fcb4-4f29-94bc-9c6a19d66311"]}],"mendeley":{"formattedCitation":"(Stuart-Hill et al. 2005)","plainTextFormattedCitation":"(Stuart-Hill et al. 2005)","previouslyFormattedCitation":"(Stuart-Hill et al. 2005)"},"properties":{"noteIndex":0},"schema":"https://github.com/citation-style-language/schema/raw/master/csl-citation.json"}</w:instrText>
      </w:r>
      <w:r w:rsidR="0021332A">
        <w:rPr>
          <w:color w:val="000000" w:themeColor="text1"/>
        </w:rPr>
        <w:fldChar w:fldCharType="separate"/>
      </w:r>
      <w:r w:rsidR="0021332A" w:rsidRPr="0021332A">
        <w:rPr>
          <w:noProof/>
          <w:color w:val="000000" w:themeColor="text1"/>
        </w:rPr>
        <w:t>(Stuart-Hill et al. 2005)</w:t>
      </w:r>
      <w:r w:rsidR="0021332A">
        <w:rPr>
          <w:color w:val="000000" w:themeColor="text1"/>
        </w:rPr>
        <w:fldChar w:fldCharType="end"/>
      </w:r>
      <w:r w:rsidR="00A852F7">
        <w:rPr>
          <w:color w:val="000000" w:themeColor="text1"/>
        </w:rPr>
        <w:t xml:space="preserve">, This </w:t>
      </w:r>
      <w:r w:rsidRPr="003E3238">
        <w:rPr>
          <w:color w:val="000000" w:themeColor="text1"/>
        </w:rPr>
        <w:t xml:space="preserve">has </w:t>
      </w:r>
      <w:r w:rsidR="00A852F7">
        <w:rPr>
          <w:color w:val="000000" w:themeColor="text1"/>
        </w:rPr>
        <w:t>recorded</w:t>
      </w:r>
      <w:r w:rsidRPr="003E3238">
        <w:rPr>
          <w:color w:val="000000" w:themeColor="text1"/>
        </w:rPr>
        <w:t xml:space="preserve"> dramatic increases in wildlife populations </w:t>
      </w:r>
      <w:r w:rsidR="0021332A">
        <w:rPr>
          <w:color w:val="000000" w:themeColor="text1"/>
        </w:rPr>
        <w:fldChar w:fldCharType="begin" w:fldLock="1"/>
      </w:r>
      <w:r w:rsidR="0021332A">
        <w:rPr>
          <w:color w:val="000000" w:themeColor="text1"/>
        </w:rPr>
        <w:instrText>ADDIN CSL_CITATION {"citationItems":[{"id":"ITEM-1","itemData":{"DOI":"10.1017/S0376892911000476","ISBN":"0376-8929","ISSN":"0376-8929","abstract":"Payments for ecosystem services (PES) programmes are widely recognized as novel and innovative mechanisms that seek to promote the conservation of biodiversity while simultaneously improving human livelihoods. A number of national-level PES programmes have made significant contributions to advancing knowledge of these mechanisms. Namibia’s community-based natural resources management (CBNRM) programme effectively operates as one such large-scale PES programme, making it one of the world’s longest-standing schemes. In this review, Namibia’s CBNRM scheme is compared and contrasted with the formal definition of a PES programme, some of the outcomes that the programme has produced illustrated by examples, and the challenges that must still be faced identified. Most of the requirements for a PES programme are present in Namibia’s CBNRM programme, and when it does not meet these criteria, it is not exceptional. Notwithstanding the increases in wildlife populations and financial benefits that have been associated with the programme, a major challenge going forward revolves around diversifying the number of services produced. Namibia’s CBNRM programme has much to contribute to the design of large-scale PES schemes.","author":[{"dropping-particle":"","family":"Naidoo","given":"Robin","non-dropping-particle":"","parse-names":false,"suffix":""},{"dropping-particle":"","family":"Weaver","given":"L. Chris","non-dropping-particle":"","parse-names":false,"suffix":""},{"dropping-particle":"","family":"Longcamp","given":"M","non-dropping-particle":"De","parse-names":false,"suffix":""},{"dropping-particle":"","family":"Plessis","given":"P","non-dropping-particle":"Du","parse-names":false,"suffix":""}],"container-title":"Environmental Conservation","id":"ITEM-1","issue":"4","issued":{"date-parts":[["2011"]]},"page":"445-453","title":"Namibia's community-based natural resource management programme: an unrecognized payments for ecosystem services scheme","type":"article-journal","volume":"38"},"uris":["http://www.mendeley.com/documents/?uuid=a6d1d824-e617-4122-b3a8-aa5a7c44e42a"]}],"mendeley":{"formattedCitation":"(Naidoo et al. 2011)","plainTextFormattedCitation":"(Naidoo et al. 2011)","previouslyFormattedCitation":"(Naidoo et al. 2011)"},"properties":{"noteIndex":0},"schema":"https://github.com/citation-style-language/schema/raw/master/csl-citation.json"}</w:instrText>
      </w:r>
      <w:r w:rsidR="0021332A">
        <w:rPr>
          <w:color w:val="000000" w:themeColor="text1"/>
        </w:rPr>
        <w:fldChar w:fldCharType="separate"/>
      </w:r>
      <w:r w:rsidR="0021332A" w:rsidRPr="0021332A">
        <w:rPr>
          <w:noProof/>
          <w:color w:val="000000" w:themeColor="text1"/>
        </w:rPr>
        <w:t>(Naidoo et al. 2011)</w:t>
      </w:r>
      <w:r w:rsidR="0021332A">
        <w:rPr>
          <w:color w:val="000000" w:themeColor="text1"/>
        </w:rPr>
        <w:fldChar w:fldCharType="end"/>
      </w:r>
      <w:r w:rsidRPr="003E3238">
        <w:rPr>
          <w:color w:val="000000" w:themeColor="text1"/>
        </w:rPr>
        <w:t xml:space="preserve">. Further information on Namibia’s conservancies and community associations is available from the </w:t>
      </w:r>
      <w:r w:rsidRPr="004904D8">
        <w:rPr>
          <w:color w:val="000000" w:themeColor="text1"/>
        </w:rPr>
        <w:fldChar w:fldCharType="begin"/>
      </w:r>
      <w:r w:rsidRPr="0070404D">
        <w:rPr>
          <w:color w:val="000000" w:themeColor="text1"/>
        </w:rPr>
        <w:instrText xml:space="preserve"> HYPERLINK "http://www.nacso.org.na/" </w:instrText>
      </w:r>
      <w:r w:rsidRPr="004904D8">
        <w:rPr>
          <w:color w:val="000000" w:themeColor="text1"/>
        </w:rPr>
        <w:fldChar w:fldCharType="separate"/>
      </w:r>
      <w:r w:rsidRPr="004904D8">
        <w:rPr>
          <w:rStyle w:val="Hyperlink"/>
          <w:color w:val="000000" w:themeColor="text1"/>
        </w:rPr>
        <w:t>Namibian Association of CBNRM Support Organisations (NASCO).</w:t>
      </w:r>
    </w:p>
    <w:p w14:paraId="11E0FE58" w14:textId="4CA996A9" w:rsidR="00382C3E" w:rsidRPr="004904D8" w:rsidRDefault="004960B6" w:rsidP="00C258BC">
      <w:pPr>
        <w:jc w:val="both"/>
        <w:rPr>
          <w:color w:val="000000" w:themeColor="text1"/>
        </w:rPr>
      </w:pPr>
      <w:r w:rsidRPr="004904D8">
        <w:rPr>
          <w:color w:val="000000" w:themeColor="text1"/>
        </w:rPr>
        <w:fldChar w:fldCharType="end"/>
      </w:r>
      <w:r w:rsidRPr="004904D8">
        <w:rPr>
          <w:color w:val="000000" w:themeColor="text1"/>
        </w:rPr>
        <w:t xml:space="preserve">While </w:t>
      </w:r>
      <w:r w:rsidR="009B3486">
        <w:rPr>
          <w:color w:val="000000" w:themeColor="text1"/>
        </w:rPr>
        <w:t>Namibian</w:t>
      </w:r>
      <w:r w:rsidRPr="004904D8">
        <w:rPr>
          <w:color w:val="000000" w:themeColor="text1"/>
        </w:rPr>
        <w:t xml:space="preserve"> community conservancies have been incredibly successful, Namibia may be a fairly unique case in that</w:t>
      </w:r>
      <w:r w:rsidR="00A852F7">
        <w:rPr>
          <w:color w:val="000000" w:themeColor="text1"/>
        </w:rPr>
        <w:t>:</w:t>
      </w:r>
      <w:r w:rsidRPr="004904D8">
        <w:rPr>
          <w:color w:val="000000" w:themeColor="text1"/>
        </w:rPr>
        <w:t xml:space="preserve"> 1) communities have been granted strong rights to wildlife, and can develop their own partnerships with tourism outfits without the need for a middle-man 2) the opportunity costs of alternative land uses such as livestock production are lower than for wildlife </w:t>
      </w:r>
      <w:r w:rsidR="0021332A">
        <w:rPr>
          <w:color w:val="000000" w:themeColor="text1"/>
        </w:rPr>
        <w:fldChar w:fldCharType="begin" w:fldLock="1"/>
      </w:r>
      <w:r w:rsidR="0021332A">
        <w:rPr>
          <w:color w:val="000000" w:themeColor="text1"/>
        </w:rPr>
        <w:instrText>ADDIN CSL_CITATION {"citationItems":[{"id":"ITEM-1","itemData":{"DOI":"10.1017/S0030605311001049","ISBN":"1365-3008","ISSN":"0030-6053","abstract":"Legislative changes during the 1960s-1970s granted user rights over wildlife to landowners in southern Africa, resulting in a shift from livestock farming to wildlife-based land uses. Few comprehensive assessments of such land uses on private land in southern Africa have been conducted and the associated benefits are not always acknowledged by politicians. Nonetheless, wildlife-based land uses are growing in prevalence on private land. In Namibia wildlife-based land use occurs over c. 287,000 km2. Employment is positively related to income from ecotourism and negatively related to income from livestock. While 87% of meat from livestock is exported 95% of venison from wildlife-based land uses remains within the country, contributing to food security. Wildlife populations are increasing with expansion of wildlife-based land uses, and private farms contain 21-33 times more wildlife than in protected areas. Because of the popularity of wildlife-based land uses among younger farmers, increasing tourist arrivals and projected impacts of climate change on livestock production, the economic output of wildlife-based land uses will probably soon exceed that of livestock. However, existing policies favour livestock production and are prejudiced against wildlife-based land uses by prohibiting reintroductions of buffalo Syncerus caffer, a key species for tourism and safari hunting, and through subsidies that artificially inflate the profitability of livestock production. Returns from wildlife-based land uses are also limited by the failure to reintroduce other charismatic species, failure to develop fully-integrated conservancies and to integrate black farmers sufficiently.","author":[{"dropping-particle":"","family":"Lindsey","given":"P. A.","non-dropping-particle":"","parse-names":false,"suffix":""},{"dropping-particle":"","family":"Havemann","given":"C. P.","non-dropping-particle":"","parse-names":false,"suffix":""},{"dropping-particle":"","family":"Lines","given":"R. M.","non-dropping-particle":"","parse-names":false,"suffix":""},{"dropping-particle":"","family":"Price","given":"A. E.","non-dropping-particle":"","parse-names":false,"suffix":""},{"dropping-particle":"","family":"Retief","given":"T. A.","non-dropping-particle":"","parse-names":false,"suffix":""},{"dropping-particle":"","family":"Rhebergen","given":"T.","non-dropping-particle":"","parse-names":false,"suffix":""},{"dropping-particle":"","family":"Waal","given":"C.","non-dropping-particle":"Van der","parse-names":false,"suffix":""},{"dropping-particle":"","family":"Romañach","given":"S. S.","non-dropping-particle":"","parse-names":false,"suffix":""}],"container-title":"Oryx","id":"ITEM-1","issue":"01","issued":{"date-parts":[["2013"]]},"page":"41-53","title":"Benefits of wildlife-based land uses on private lands in Namibia and limitations affecting their development","type":"article-journal","volume":"47"},"uris":["http://www.mendeley.com/documents/?uuid=e1cb96e8-7122-4ab1-ae78-9078b34c72c8"]}],"mendeley":{"formattedCitation":"(Lindsey et al. 2013b)","plainTextFormattedCitation":"(Lindsey et al. 2013b)","previouslyFormattedCitation":"(Lindsey et al. 2013b)"},"properties":{"noteIndex":0},"schema":"https://github.com/citation-style-language/schema/raw/master/csl-citation.json"}</w:instrText>
      </w:r>
      <w:r w:rsidR="0021332A">
        <w:rPr>
          <w:color w:val="000000" w:themeColor="text1"/>
        </w:rPr>
        <w:fldChar w:fldCharType="separate"/>
      </w:r>
      <w:r w:rsidR="0021332A" w:rsidRPr="0021332A">
        <w:rPr>
          <w:noProof/>
          <w:color w:val="000000" w:themeColor="text1"/>
        </w:rPr>
        <w:t>(Lindsey et al. 2013b)</w:t>
      </w:r>
      <w:r w:rsidR="0021332A">
        <w:rPr>
          <w:color w:val="000000" w:themeColor="text1"/>
        </w:rPr>
        <w:fldChar w:fldCharType="end"/>
      </w:r>
      <w:r w:rsidRPr="004904D8">
        <w:rPr>
          <w:color w:val="000000" w:themeColor="text1"/>
        </w:rPr>
        <w:t xml:space="preserve"> due to the arid nature of most of the country and 3) there are relatively low levels of institutional corruption in Namibia, and devolution in general is </w:t>
      </w:r>
      <w:r w:rsidR="00944DD5">
        <w:rPr>
          <w:color w:val="000000" w:themeColor="text1"/>
        </w:rPr>
        <w:t xml:space="preserve">a </w:t>
      </w:r>
      <w:r w:rsidR="00A479D2" w:rsidRPr="004904D8">
        <w:rPr>
          <w:color w:val="000000" w:themeColor="text1"/>
        </w:rPr>
        <w:t>well-established</w:t>
      </w:r>
      <w:r w:rsidRPr="004904D8">
        <w:rPr>
          <w:color w:val="000000" w:themeColor="text1"/>
        </w:rPr>
        <w:t xml:space="preserve"> practice in Namibia, following the land reforms of the 1960’s and 70’s </w:t>
      </w:r>
      <w:r w:rsidR="00FD249F">
        <w:rPr>
          <w:color w:val="000000" w:themeColor="text1"/>
        </w:rPr>
        <w:fldChar w:fldCharType="begin" w:fldLock="1"/>
      </w:r>
      <w:r w:rsidR="005A25A7">
        <w:rPr>
          <w:color w:val="000000" w:themeColor="text1"/>
        </w:rPr>
        <w:instrText>ADDIN CSL_CITATION {"citationItems":[{"id":"ITEM-1","itemData":{"ISBN":"9781843697558","ISSN":"1605-1017","abstract":"Across sub-Saharan Africa, natural resources remain central to rural people’s livelihoods. Local norms and customs shape people’s everyday forms of resource use. In contrast, the commercial uses of natural resources often remain highly centralized, conditioned by government policies of the colonial and post-colonial eras. During the past several decades, there has been a shift from this predominantly centralized natural resource management towards more devolved models known very broadly as Community-Based Natural Resource Management (CBNRM). CBNRM models work to strengthen locally accountable institutions for natural resource use and management, enabling local groups of people to make better decisions about the use of land and resources. Because it involves the transfer of authority over natural resources to local communities, including of potentially valuable resources such as wildlife and timber, CBNRM is often about major institutional reforms and fundamental changes in power. This pan-African review of the impacts, challenges, and future directions of CBNRM highlights the diverse range of forms of community involvement in natural resource management that have emerged across the continent during the past twenty years. CBNRM means different things to different actors in different places across sub-Saharan Africa. In much of western and central Africa, CBNRM is interpreted by government authorities, donor agencies, and NGOs as benefit-sharing or outreach between national parks and adjacent communities. In such instances communities are not empowered as authorized local resource managers but are involved principally as passive recipients of benefits controlled elsewhere. This form of outreach and benefit-sharing is also a characteristic of some protected area management in East African countries. In Southern Africa, CBNRM is most clearly defined in terms of the devolution of rights to make management decisions, and capture benefits, in relation to resources located on communal lands. In all instances CBNRM involves some degree of co-management of resources between central authorities, local government, and local communities which share rights and responsibilities through diverse institutional arrangements. The various forms of CBNRM and their many locally-specific adaptations have greatly diversified approaches to natural resource governance in sub-Saharan Africa. Some notable ecological, economic, and institutional achievements have been documented.","author":[{"dropping-particle":"","family":"Roe","given":"Dilys","non-dropping-particle":"","parse-names":false,"suffix":""},{"dropping-particle":"","family":"Nelson","given":"Fred","non-dropping-particle":"","parse-names":false,"suffix":""},{"dropping-particle":"","family":"Sandbrook","given":"Chris","non-dropping-particle":"","parse-names":false,"suffix":""}],"id":"ITEM-1","issued":{"date-parts":[["2009"]]},"number-of-pages":"207","title":"Community management of natural resources in Africa: impacts, experiences and future directions","type":"book"},"uris":["http://www.mendeley.com/documents/?uuid=3e3b5fac-4311-4b0b-81b0-ae6aef9ae38a"]}],"mendeley":{"formattedCitation":"(Roe et al. 2009)","plainTextFormattedCitation":"(Roe et al. 2009)","previouslyFormattedCitation":"(Roe et al. 2009)"},"properties":{"noteIndex":0},"schema":"https://github.com/citation-style-language/schema/raw/master/csl-citation.json"}</w:instrText>
      </w:r>
      <w:r w:rsidR="00FD249F">
        <w:rPr>
          <w:color w:val="000000" w:themeColor="text1"/>
        </w:rPr>
        <w:fldChar w:fldCharType="separate"/>
      </w:r>
      <w:r w:rsidR="00FD249F" w:rsidRPr="00FD249F">
        <w:rPr>
          <w:noProof/>
          <w:color w:val="000000" w:themeColor="text1"/>
        </w:rPr>
        <w:t>(Roe et al. 2009)</w:t>
      </w:r>
      <w:r w:rsidR="00FD249F">
        <w:rPr>
          <w:color w:val="000000" w:themeColor="text1"/>
        </w:rPr>
        <w:fldChar w:fldCharType="end"/>
      </w:r>
      <w:r w:rsidRPr="004904D8">
        <w:rPr>
          <w:color w:val="000000" w:themeColor="text1"/>
        </w:rPr>
        <w:t xml:space="preserve">. This questions to what extent the Namibian model can </w:t>
      </w:r>
      <w:r w:rsidR="00B24570">
        <w:rPr>
          <w:color w:val="000000" w:themeColor="text1"/>
        </w:rPr>
        <w:t xml:space="preserve">currently </w:t>
      </w:r>
      <w:r w:rsidRPr="004904D8">
        <w:rPr>
          <w:color w:val="000000" w:themeColor="text1"/>
        </w:rPr>
        <w:t>be replicated across the continent: interventions will only be successful if they are designed with the socio-political and geographic context of the area in mind.</w:t>
      </w:r>
      <w:r w:rsidR="00B24570">
        <w:rPr>
          <w:color w:val="000000" w:themeColor="text1"/>
        </w:rPr>
        <w:t xml:space="preserve"> However, the success of the Namibians does provide a goal to work towards in </w:t>
      </w:r>
      <w:r w:rsidR="00944DD5">
        <w:rPr>
          <w:color w:val="000000" w:themeColor="text1"/>
        </w:rPr>
        <w:t xml:space="preserve">demonstrating that </w:t>
      </w:r>
      <w:r w:rsidR="00B24570">
        <w:rPr>
          <w:color w:val="000000" w:themeColor="text1"/>
        </w:rPr>
        <w:t xml:space="preserve">creating the enabling environment for </w:t>
      </w:r>
      <w:r w:rsidR="00A479D2">
        <w:rPr>
          <w:color w:val="000000" w:themeColor="text1"/>
        </w:rPr>
        <w:t>sustainability</w:t>
      </w:r>
      <w:r w:rsidR="00B24570">
        <w:rPr>
          <w:color w:val="000000" w:themeColor="text1"/>
        </w:rPr>
        <w:t xml:space="preserve"> </w:t>
      </w:r>
      <w:r w:rsidR="00944DD5">
        <w:rPr>
          <w:color w:val="000000" w:themeColor="text1"/>
        </w:rPr>
        <w:t>can produce tangible benefits.</w:t>
      </w:r>
    </w:p>
    <w:p w14:paraId="1C58CAC9" w14:textId="77777777" w:rsidR="001F491C" w:rsidRPr="00785A38" w:rsidRDefault="001F491C" w:rsidP="001C1D6E">
      <w:pPr>
        <w:pStyle w:val="Heading3"/>
      </w:pPr>
      <w:r w:rsidRPr="00785A38">
        <w:t>Payments for Ecosystem Services (PES)</w:t>
      </w:r>
    </w:p>
    <w:p w14:paraId="0D914A98" w14:textId="1A25010D" w:rsidR="006A540E" w:rsidRPr="000A7365" w:rsidRDefault="00742877" w:rsidP="00C258BC">
      <w:pPr>
        <w:jc w:val="both"/>
        <w:rPr>
          <w:color w:val="000000" w:themeColor="text1"/>
        </w:rPr>
      </w:pPr>
      <w:r>
        <w:rPr>
          <w:color w:val="000000" w:themeColor="text1"/>
        </w:rPr>
        <w:t>Payments for Ecosystem S</w:t>
      </w:r>
      <w:r w:rsidR="001F491C" w:rsidRPr="004904D8">
        <w:rPr>
          <w:color w:val="000000" w:themeColor="text1"/>
        </w:rPr>
        <w:t xml:space="preserve">ervices (PES) have been proposed as a mechanism for changing incentives for local people to protect wildlife </w:t>
      </w:r>
      <w:r w:rsidR="0021332A">
        <w:rPr>
          <w:color w:val="000000" w:themeColor="text1"/>
        </w:rPr>
        <w:fldChar w:fldCharType="begin" w:fldLock="1"/>
      </w:r>
      <w:r w:rsidR="0021332A">
        <w:rPr>
          <w:color w:val="000000" w:themeColor="text1"/>
        </w:rPr>
        <w:instrText>ADDIN CSL_CITATION {"citationItems":[{"id":"ITEM-1","itemData":{"author":[{"dropping-particle":"","family":"Ferraro","given":"P J","non-dropping-particle":"","parse-names":false,"suffix":""},{"dropping-particle":"","family":"Kiss","given":"A","non-dropping-particle":"","parse-names":false,"suffix":""}],"container-title":"Science","id":"ITEM-1","issue":"5599","issued":{"date-parts":[["2002"]]},"page":"1718-1719","title":"Direct payments to conserve biodiversity","type":"article-journal","volume":"298"},"uris":["http://www.mendeley.com/documents/?uuid=1f263228-b849-4551-8c8b-c888991bb65a"]}],"mendeley":{"formattedCitation":"(Ferraro &amp; Kiss 2002)","plainTextFormattedCitation":"(Ferraro &amp; Kiss 2002)","previouslyFormattedCitation":"(Ferraro &amp; Kiss 2002)"},"properties":{"noteIndex":0},"schema":"https://github.com/citation-style-language/schema/raw/master/csl-citation.json"}</w:instrText>
      </w:r>
      <w:r w:rsidR="0021332A">
        <w:rPr>
          <w:color w:val="000000" w:themeColor="text1"/>
        </w:rPr>
        <w:fldChar w:fldCharType="separate"/>
      </w:r>
      <w:r w:rsidR="0021332A" w:rsidRPr="0021332A">
        <w:rPr>
          <w:noProof/>
          <w:color w:val="000000" w:themeColor="text1"/>
        </w:rPr>
        <w:t>(Ferraro &amp; Kiss 2002)</w:t>
      </w:r>
      <w:r w:rsidR="0021332A">
        <w:rPr>
          <w:color w:val="000000" w:themeColor="text1"/>
        </w:rPr>
        <w:fldChar w:fldCharType="end"/>
      </w:r>
      <w:r w:rsidR="001F491C" w:rsidRPr="004904D8">
        <w:rPr>
          <w:color w:val="000000" w:themeColor="text1"/>
        </w:rPr>
        <w:t xml:space="preserve">. </w:t>
      </w:r>
      <w:r w:rsidR="0021332A">
        <w:rPr>
          <w:color w:val="000000" w:themeColor="text1"/>
        </w:rPr>
        <w:fldChar w:fldCharType="begin" w:fldLock="1"/>
      </w:r>
      <w:r w:rsidR="0021332A">
        <w:rPr>
          <w:color w:val="000000" w:themeColor="text1"/>
        </w:rPr>
        <w:instrText>ADDIN CSL_CITATION {"citationItems":[{"id":"ITEM-1","itemData":{"DOI":"10.1016/j.ecolecon.2008.03.011","ISBN":"0921-8009","ISSN":"09218009","PMID":"2535231","abstract":"Payments for environmental services (PES) have attracted increasing interest as a mechanism to translate external, non-market values of the environment into real financial incentives for local actors to provide environmental services (ES). In this introductory paper, we set the stage for the rest of this Special Issue of Ecological Economics by reviewing the main issues arising in PES design and implementation and discussing these in the light of environmental economics. We start with a discussion of PES definition and scope. We proceed to review some of the principal dimensions and design characteristics of PES programs and then analyze how PES compares to alternative policy instruments. Finally, we examine in detail two important aspects of PES programs: their effectiveness and their distributional implications. PES is not a silver bullet that can be used to address any environmental problem, but a tool tailored to address a specific set of problems: those in which ecosystems are mismanaged because many of their benefits are externalities from the perspective of ecosystem managers. PES is based on the beneficiary-pays rather than the polluter-pays principle, and as such is attractive in settings where ES providers are poor, marginalized landholders or powerful groups of actors. An important distinction within PES is between user-financed PES in which the buyers are the users of the ES, and government-financed PES in which the buyers are others (typically the government) acting on behalf of ES users. In practice, PES programs differ in the type and scale of ES demand, the payment source, the type of activity paid for, the performance measure used, as well as the payment mode and amount. The effectiveness and efficiency of PES depends crucially on program design. ?? 2008.","author":[{"dropping-particle":"","family":"Engel","given":"Stefanie","non-dropping-particle":"","parse-names":false,"suffix":""},{"dropping-particle":"","family":"Pagiola","given":"Stefano","non-dropping-particle":"","parse-names":false,"suffix":""},{"dropping-particle":"","family":"Wunder","given":"Sven","non-dropping-particle":"","parse-names":false,"suffix":""}],"container-title":"Ecological Economics","id":"ITEM-1","issue":"4","issued":{"date-parts":[["2008"]]},"page":"663-674","title":"Designing payments for environmental services in theory and practice: an overview of the issues","type":"article-journal","volume":"65"},"uris":["http://www.mendeley.com/documents/?uuid=1dfd84ea-7ac7-4c3d-9c8d-e4837b16987c"]}],"mendeley":{"formattedCitation":"(Engel et al. 2008)","manualFormatting":"(Engel et al. 2008","plainTextFormattedCitation":"(Engel et al. 2008)","previouslyFormattedCitation":"(Engel et al. 2008)"},"properties":{"noteIndex":0},"schema":"https://github.com/citation-style-language/schema/raw/master/csl-citation.json"}</w:instrText>
      </w:r>
      <w:r w:rsidR="0021332A">
        <w:rPr>
          <w:color w:val="000000" w:themeColor="text1"/>
        </w:rPr>
        <w:fldChar w:fldCharType="separate"/>
      </w:r>
      <w:r w:rsidR="0021332A" w:rsidRPr="0021332A">
        <w:rPr>
          <w:noProof/>
          <w:color w:val="000000" w:themeColor="text1"/>
        </w:rPr>
        <w:t>(Engel et al. 2008</w:t>
      </w:r>
      <w:r w:rsidR="0021332A">
        <w:rPr>
          <w:color w:val="000000" w:themeColor="text1"/>
        </w:rPr>
        <w:fldChar w:fldCharType="end"/>
      </w:r>
      <w:r w:rsidR="001F491C" w:rsidRPr="004904D8">
        <w:rPr>
          <w:color w:val="000000" w:themeColor="text1"/>
        </w:rPr>
        <w:t>, pp. 664) define PES as ‘</w:t>
      </w:r>
      <w:r w:rsidR="001F491C" w:rsidRPr="005512D2">
        <w:rPr>
          <w:i/>
          <w:color w:val="000000" w:themeColor="text1"/>
        </w:rPr>
        <w:t>a voluntary transaction where a well-defined ecosystem service is bought by a buyer from a service provider if and only if the provider secures its provision (conditionality)</w:t>
      </w:r>
      <w:r w:rsidR="001F491C" w:rsidRPr="003E3238">
        <w:rPr>
          <w:color w:val="000000" w:themeColor="text1"/>
        </w:rPr>
        <w:t xml:space="preserve">’. </w:t>
      </w:r>
      <w:r w:rsidR="004960B6" w:rsidRPr="003E3238">
        <w:rPr>
          <w:color w:val="000000" w:themeColor="text1"/>
        </w:rPr>
        <w:t>In the case of wild meat, local communities may be paid to maintain “food stocks” at sustainable levels or even to maintain “carbon stocks” through sustainable hunting or stri</w:t>
      </w:r>
      <w:r w:rsidR="004960B6" w:rsidRPr="00EE2428">
        <w:rPr>
          <w:color w:val="000000" w:themeColor="text1"/>
        </w:rPr>
        <w:t xml:space="preserve">ct conservation of key tree seed dispersers. Population monitoring of the target species </w:t>
      </w:r>
      <w:r w:rsidR="00A93FE8">
        <w:rPr>
          <w:color w:val="000000" w:themeColor="text1"/>
        </w:rPr>
        <w:t>is</w:t>
      </w:r>
      <w:r w:rsidR="004960B6" w:rsidRPr="00EE2428">
        <w:rPr>
          <w:color w:val="000000" w:themeColor="text1"/>
        </w:rPr>
        <w:t xml:space="preserve"> conducted to measure the delivery of the service. </w:t>
      </w:r>
      <w:r w:rsidR="00FC4DAF">
        <w:rPr>
          <w:color w:val="000000" w:themeColor="text1"/>
        </w:rPr>
        <w:t>E</w:t>
      </w:r>
      <w:r w:rsidR="001F491C" w:rsidRPr="00EE2428">
        <w:rPr>
          <w:color w:val="000000" w:themeColor="text1"/>
        </w:rPr>
        <w:t xml:space="preserve">lite capture of project benefits can be an issue </w:t>
      </w:r>
      <w:r w:rsidR="0021332A">
        <w:rPr>
          <w:color w:val="000000" w:themeColor="text1"/>
        </w:rPr>
        <w:fldChar w:fldCharType="begin" w:fldLock="1"/>
      </w:r>
      <w:r w:rsidR="0021332A">
        <w:rPr>
          <w:color w:val="000000" w:themeColor="text1"/>
        </w:rPr>
        <w:instrText>ADDIN CSL_CITATION {"citationItems":[{"id":"ITEM-1","itemData":{"DOI":"10.1016/j.ecolecon.2009.11.005","ISBN":"0921-8009","ISSN":"09218009","PMID":"20507351","abstract":"Community-based conservation interventions can only be successful in the long term if their aims and activities are accepted by local people. A key determinant of acceptability is the perceived fairness of the distribution of the costs and benefits of the intervention. We examined the opportunities and challenges posed by benefit distribution in community-based Payment for Environmental Services (PES) interventions through a case study from Menabe, Madagascar. The intervention appears to be an overall success, with individuals reporting high levels of perceived fairness of payment distribution and a high proportion of individuals expressing overall net benefit. Nevertheless, a lack of adequate benefits accruing to those individuals facing high agricultural opportunity costs and evidence of sub-groups in the community reaping excessive benefits was noted across communities, and instances of poor governance were observed as a barrier to success in some communities. We present solutions to address these key challenges in the design and implementation of community-based PES interventions. ?? 2009 Elsevier B.V. All rights reserved.","author":[{"dropping-particle":"","family":"Sommerville","given":"Matthew","non-dropping-particle":"","parse-names":false,"suffix":""},{"dropping-particle":"","family":"Jones","given":"Julia P G","non-dropping-particle":"","parse-names":false,"suffix":""},{"dropping-particle":"","family":"Rahajaharison","given":"Michael","non-dropping-particle":"","parse-names":false,"suffix":""},{"dropping-particle":"","family":"Milner-Gulland","given":"E. J.","non-dropping-particle":"","parse-names":false,"suffix":""}],"container-title":"Ecological Economics","id":"ITEM-1","issue":"6","issued":{"date-parts":[["2010"]]},"page":"1262-1271","publisher":"Elsevier B.V.","title":"The role of fairness and benefit distribution in community-based Payment for Environmental Services interventions: A case study from Menabe, Madagascar","type":"article-journal","volume":"69"},"uris":["http://www.mendeley.com/documents/?uuid=3db7d073-b3ae-4668-b9db-2a7f4bd81249"]}],"mendeley":{"formattedCitation":"(Sommerville et al. 2010)","plainTextFormattedCitation":"(Sommerville et al. 2010)","previouslyFormattedCitation":"(Sommerville et al. 2010)"},"properties":{"noteIndex":0},"schema":"https://github.com/citation-style-language/schema/raw/master/csl-citation.json"}</w:instrText>
      </w:r>
      <w:r w:rsidR="0021332A">
        <w:rPr>
          <w:color w:val="000000" w:themeColor="text1"/>
        </w:rPr>
        <w:fldChar w:fldCharType="separate"/>
      </w:r>
      <w:r w:rsidR="0021332A" w:rsidRPr="0021332A">
        <w:rPr>
          <w:noProof/>
          <w:color w:val="000000" w:themeColor="text1"/>
        </w:rPr>
        <w:t>(Sommerville et al. 2010)</w:t>
      </w:r>
      <w:r w:rsidR="0021332A">
        <w:rPr>
          <w:color w:val="000000" w:themeColor="text1"/>
        </w:rPr>
        <w:fldChar w:fldCharType="end"/>
      </w:r>
      <w:r w:rsidR="001F491C" w:rsidRPr="00EE2428">
        <w:rPr>
          <w:color w:val="000000" w:themeColor="text1"/>
        </w:rPr>
        <w:t>, with well-off lan</w:t>
      </w:r>
      <w:r w:rsidR="001F491C" w:rsidRPr="0064175F">
        <w:rPr>
          <w:color w:val="000000" w:themeColor="text1"/>
        </w:rPr>
        <w:t>dholders more likely to benefit</w:t>
      </w:r>
      <w:r w:rsidR="00FC4DAF">
        <w:rPr>
          <w:color w:val="000000" w:themeColor="text1"/>
        </w:rPr>
        <w:t>, although this is an issue for many types of projects aiming to deliver community benefits</w:t>
      </w:r>
      <w:r w:rsidR="001F491C" w:rsidRPr="0064175F">
        <w:rPr>
          <w:color w:val="000000" w:themeColor="text1"/>
        </w:rPr>
        <w:t>. P</w:t>
      </w:r>
      <w:r w:rsidR="001F491C" w:rsidRPr="0070404D">
        <w:rPr>
          <w:color w:val="000000" w:themeColor="text1"/>
        </w:rPr>
        <w:t xml:space="preserve">ES schemes, as with most community-based conservation initiatives, are also less likely to succeed where land ownership and resource tenure are unclear, with land and resources technically still owned and managed by the state </w:t>
      </w:r>
      <w:r w:rsidR="0021332A">
        <w:rPr>
          <w:color w:val="000000" w:themeColor="text1"/>
        </w:rPr>
        <w:fldChar w:fldCharType="begin" w:fldLock="1"/>
      </w:r>
      <w:r w:rsidR="0021332A">
        <w:rPr>
          <w:color w:val="000000" w:themeColor="text1"/>
        </w:rPr>
        <w:instrText>ADDIN CSL_CITATION {"citationItems":[{"id":"ITEM-1","itemData":{"DOI":"10.1111/j.1523-1739.2006.00559.x","ISBN":"0888-8892","ISSN":"08888892","PMID":"17298510","abstract":"Payments for environmental services (PES) represent a new, more direct way to promote conservation. They explicitly recognize the need to address difficult trade-offs by bridging the interests of landowners and external actors through compensations. Theoretical assessments praise the advantages of PES over indirect approaches, but in the tropics PES application has remained incipient. Here I aim to demystify PES and clarify its scope for application as a tool for tropical conservation. I focus on the supply side of PES (i.e., how to convert PES funding into effective conservation on the ground), which until now has been widely neglected. I reviewed the PES literature for developing countries and combined these findings with observations from my own field studies in Latin America and Asia. A PES scheme, simply stated, is a voluntary, conditional agreement between at least one \"seller\" and one \"buyer\" over a well-defined environmental service--or a land use presumed to produce that service. Major obstacles to effective PES include demand-side limitations and a lack of supply-side know-how regarding implementation. The design of PES programs can be improved by explicitly outlining baselines, calculating conservation opportunity costs, customizing payment modalities, and targeting agents with credible land claims and threats to conservation. Expansion of PES can occur if schemes can demonstrate clear additionality (i.e., incremental conservation effects vis-à-vis predefined baselines), if PES recipients' livelihood dynamics are better understood, and if efficiency goals are balanced with considerations of fairness. PES are arguably best suited to scenarios of moderate conservation opportunity costs on marginal lands and in settings with emerging, not-yet realized threats. Actors who represent credible threats to the environment will more likely receive PES than those already living in harmony with nature. A PES scheme can thus benefit both buyers and sellers while improving the resource base, but it is unlikely to fully replace other conservation instruments.","author":[{"dropping-particle":"","family":"Wunder","given":"Sven","non-dropping-particle":"","parse-names":false,"suffix":""}],"container-title":"Conservation Biology","id":"ITEM-1","issue":"1","issued":{"date-parts":[["2007"]]},"page":"48-58","title":"The efficiency of payments for environmental services in tropical conservation: Essays","type":"article-journal","volume":"21"},"uris":["http://www.mendeley.com/documents/?uuid=6c69affa-fb76-498c-afd7-c62138d4ac53"]}],"mendeley":{"formattedCitation":"(Wunder 2007)","plainTextFormattedCitation":"(Wunder 2007)","previouslyFormattedCitation":"(Wunder 2007)"},"properties":{"noteIndex":0},"schema":"https://github.com/citation-style-language/schema/raw/master/csl-citation.json"}</w:instrText>
      </w:r>
      <w:r w:rsidR="0021332A">
        <w:rPr>
          <w:color w:val="000000" w:themeColor="text1"/>
        </w:rPr>
        <w:fldChar w:fldCharType="separate"/>
      </w:r>
      <w:r w:rsidR="0021332A" w:rsidRPr="0021332A">
        <w:rPr>
          <w:noProof/>
          <w:color w:val="000000" w:themeColor="text1"/>
        </w:rPr>
        <w:t>(Wunder 2007)</w:t>
      </w:r>
      <w:r w:rsidR="0021332A">
        <w:rPr>
          <w:color w:val="000000" w:themeColor="text1"/>
        </w:rPr>
        <w:fldChar w:fldCharType="end"/>
      </w:r>
      <w:r w:rsidR="001F491C" w:rsidRPr="0070404D">
        <w:rPr>
          <w:color w:val="000000" w:themeColor="text1"/>
        </w:rPr>
        <w:t xml:space="preserve">. </w:t>
      </w:r>
      <w:r w:rsidR="006A540E">
        <w:rPr>
          <w:color w:val="000000" w:themeColor="text1"/>
        </w:rPr>
        <w:t xml:space="preserve">One </w:t>
      </w:r>
      <w:r w:rsidR="001F491C" w:rsidRPr="0070404D">
        <w:rPr>
          <w:color w:val="000000" w:themeColor="text1"/>
        </w:rPr>
        <w:t>example of a currently successful, ongoing scheme under these circumstances is the Ibis Rice project</w:t>
      </w:r>
      <w:r w:rsidR="00DD39E8" w:rsidRPr="0070404D">
        <w:rPr>
          <w:color w:val="000000" w:themeColor="text1"/>
        </w:rPr>
        <w:t xml:space="preserve"> in Cambodia</w:t>
      </w:r>
      <w:r w:rsidR="006A540E">
        <w:rPr>
          <w:color w:val="000000" w:themeColor="text1"/>
        </w:rPr>
        <w:t xml:space="preserve">. </w:t>
      </w:r>
      <w:r w:rsidR="000D26AC">
        <w:rPr>
          <w:color w:val="000000" w:themeColor="text1"/>
        </w:rPr>
        <w:t xml:space="preserve">Another is the </w:t>
      </w:r>
      <w:r w:rsidR="000D26AC" w:rsidRPr="000A7365">
        <w:rPr>
          <w:color w:val="000000" w:themeColor="text1"/>
        </w:rPr>
        <w:t>Ecotourism mod</w:t>
      </w:r>
      <w:r w:rsidR="006A540E" w:rsidRPr="000A7365">
        <w:rPr>
          <w:color w:val="000000" w:themeColor="text1"/>
        </w:rPr>
        <w:t>e</w:t>
      </w:r>
      <w:r w:rsidR="000D26AC" w:rsidRPr="000A7365">
        <w:rPr>
          <w:color w:val="000000" w:themeColor="text1"/>
        </w:rPr>
        <w:t>l</w:t>
      </w:r>
      <w:r w:rsidR="006A540E" w:rsidRPr="000A7365">
        <w:rPr>
          <w:color w:val="000000" w:themeColor="text1"/>
        </w:rPr>
        <w:t xml:space="preserve"> of the Nam Et-Phou Louey National Protected Area, in </w:t>
      </w:r>
      <w:r w:rsidR="00CB7E9C" w:rsidRPr="000A7365">
        <w:rPr>
          <w:color w:val="000000" w:themeColor="text1"/>
        </w:rPr>
        <w:t xml:space="preserve">Lao </w:t>
      </w:r>
      <w:r w:rsidR="00FD42C3">
        <w:rPr>
          <w:color w:val="000000" w:themeColor="text1"/>
        </w:rPr>
        <w:t xml:space="preserve">PDR </w:t>
      </w:r>
      <w:r w:rsidR="006A540E" w:rsidRPr="000A7365">
        <w:rPr>
          <w:color w:val="000000" w:themeColor="text1"/>
        </w:rPr>
        <w:t>(</w:t>
      </w:r>
      <w:r w:rsidR="000D26AC" w:rsidRPr="000A7365">
        <w:rPr>
          <w:color w:val="000000" w:themeColor="text1"/>
        </w:rPr>
        <w:fldChar w:fldCharType="begin"/>
      </w:r>
      <w:r w:rsidR="000D26AC" w:rsidRPr="000A7365">
        <w:rPr>
          <w:color w:val="000000" w:themeColor="text1"/>
        </w:rPr>
        <w:instrText xml:space="preserve"> REF _Ref519873579 \h </w:instrText>
      </w:r>
      <w:r w:rsidR="000D26AC" w:rsidRPr="000A7365">
        <w:rPr>
          <w:color w:val="000000" w:themeColor="text1"/>
        </w:rPr>
      </w:r>
      <w:r w:rsidR="000D26AC" w:rsidRPr="000A7365">
        <w:rPr>
          <w:color w:val="000000" w:themeColor="text1"/>
        </w:rPr>
        <w:fldChar w:fldCharType="separate"/>
      </w:r>
      <w:r w:rsidR="007034F1">
        <w:t xml:space="preserve">Box </w:t>
      </w:r>
      <w:r w:rsidR="007034F1">
        <w:rPr>
          <w:noProof/>
        </w:rPr>
        <w:t>3</w:t>
      </w:r>
      <w:r w:rsidR="000D26AC" w:rsidRPr="000A7365">
        <w:rPr>
          <w:color w:val="000000" w:themeColor="text1"/>
        </w:rPr>
        <w:fldChar w:fldCharType="end"/>
      </w:r>
      <w:r w:rsidR="006A540E" w:rsidRPr="000A7365">
        <w:rPr>
          <w:color w:val="000000" w:themeColor="text1"/>
        </w:rPr>
        <w:t>)</w:t>
      </w:r>
      <w:r w:rsidR="000D26AC" w:rsidRPr="000A7365">
        <w:rPr>
          <w:color w:val="000000" w:themeColor="text1"/>
        </w:rPr>
        <w:t>.</w:t>
      </w:r>
    </w:p>
    <w:p w14:paraId="6A69F581" w14:textId="0E4884C3" w:rsidR="00D50D44" w:rsidRDefault="00D50D44" w:rsidP="00C258BC">
      <w:pPr>
        <w:jc w:val="both"/>
        <w:rPr>
          <w:color w:val="000000" w:themeColor="text1"/>
        </w:rPr>
      </w:pPr>
    </w:p>
    <w:p w14:paraId="0F19F6DF" w14:textId="031BBD85" w:rsidR="00D50D44" w:rsidRPr="006A540E" w:rsidRDefault="00D50D44" w:rsidP="00C258BC">
      <w:pPr>
        <w:jc w:val="both"/>
        <w:rPr>
          <w:color w:val="000000" w:themeColor="text1"/>
        </w:rPr>
      </w:pPr>
      <w:r w:rsidRPr="0031471E">
        <w:rPr>
          <w:noProof/>
          <w:color w:val="000000" w:themeColor="text1"/>
          <w:lang w:val="en-US"/>
        </w:rPr>
        <w:lastRenderedPageBreak/>
        <mc:AlternateContent>
          <mc:Choice Requires="wps">
            <w:drawing>
              <wp:inline distT="0" distB="0" distL="0" distR="0" wp14:anchorId="5A42519C" wp14:editId="2D803DAD">
                <wp:extent cx="5727700" cy="7819127"/>
                <wp:effectExtent l="12700" t="12700" r="16510" b="17145"/>
                <wp:docPr id="1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7819127"/>
                        </a:xfrm>
                        <a:prstGeom prst="rect">
                          <a:avLst/>
                        </a:prstGeom>
                        <a:solidFill>
                          <a:schemeClr val="bg1">
                            <a:lumMod val="85000"/>
                          </a:schemeClr>
                        </a:solidFill>
                        <a:ln w="22225">
                          <a:solidFill>
                            <a:schemeClr val="tx1">
                              <a:lumMod val="100000"/>
                              <a:lumOff val="0"/>
                            </a:schemeClr>
                          </a:solidFill>
                          <a:miter lim="800000"/>
                          <a:headEnd/>
                          <a:tailEnd/>
                        </a:ln>
                        <a:extLst/>
                      </wps:spPr>
                      <wps:txbx>
                        <w:txbxContent>
                          <w:p w14:paraId="72208E2B" w14:textId="498B0A8E" w:rsidR="00B82BFD" w:rsidRPr="000D26AC" w:rsidRDefault="00B82BFD" w:rsidP="00D50D44">
                            <w:pPr>
                              <w:pStyle w:val="Caption"/>
                            </w:pPr>
                            <w:bookmarkStart w:id="202" w:name="_Ref519873579"/>
                            <w:bookmarkStart w:id="203" w:name="_Hlk529268626"/>
                            <w:r>
                              <w:t xml:space="preserve">Box </w:t>
                            </w:r>
                            <w:r>
                              <w:fldChar w:fldCharType="begin"/>
                            </w:r>
                            <w:r>
                              <w:instrText xml:space="preserve"> SEQ Box \* ARABIC </w:instrText>
                            </w:r>
                            <w:r>
                              <w:fldChar w:fldCharType="separate"/>
                            </w:r>
                            <w:r>
                              <w:rPr>
                                <w:noProof/>
                              </w:rPr>
                              <w:t>3</w:t>
                            </w:r>
                            <w:r>
                              <w:fldChar w:fldCharType="end"/>
                            </w:r>
                            <w:bookmarkEnd w:id="202"/>
                            <w:r>
                              <w:t xml:space="preserve">: </w:t>
                            </w:r>
                            <w:r w:rsidRPr="000D26AC">
                              <w:rPr>
                                <w:sz w:val="22"/>
                              </w:rPr>
                              <w:t>Examples of Payments for Ecosystem Services projects</w:t>
                            </w:r>
                          </w:p>
                          <w:bookmarkEnd w:id="203"/>
                          <w:p w14:paraId="65FAFA8F" w14:textId="0F8FBD92" w:rsidR="00B82BFD" w:rsidRDefault="00B82BFD" w:rsidP="00D50D44">
                            <w:pPr>
                              <w:rPr>
                                <w:b/>
                                <w:sz w:val="22"/>
                              </w:rPr>
                            </w:pPr>
                            <w:r w:rsidRPr="00803DEE">
                              <w:rPr>
                                <w:b/>
                                <w:sz w:val="22"/>
                              </w:rPr>
                              <w:t xml:space="preserve">Wildlife </w:t>
                            </w:r>
                            <w:r>
                              <w:rPr>
                                <w:b/>
                                <w:sz w:val="22"/>
                              </w:rPr>
                              <w:t>f</w:t>
                            </w:r>
                            <w:r w:rsidRPr="00803DEE">
                              <w:rPr>
                                <w:b/>
                                <w:sz w:val="22"/>
                              </w:rPr>
                              <w:t>riendly rice farming</w:t>
                            </w:r>
                          </w:p>
                          <w:p w14:paraId="686B325D" w14:textId="512B3166" w:rsidR="00B82BFD" w:rsidRPr="006A540E" w:rsidRDefault="003D3A1B" w:rsidP="00D50D44">
                            <w:pPr>
                              <w:rPr>
                                <w:b/>
                                <w:sz w:val="22"/>
                              </w:rPr>
                            </w:pPr>
                            <w:hyperlink r:id="rId123" w:history="1">
                              <w:r w:rsidR="00B82BFD" w:rsidRPr="00803DEE">
                                <w:rPr>
                                  <w:rStyle w:val="Hyperlink"/>
                                  <w:sz w:val="22"/>
                                </w:rPr>
                                <w:t>Ibis Rice </w:t>
                              </w:r>
                            </w:hyperlink>
                            <w:r w:rsidR="00B82BFD" w:rsidRPr="00803DEE">
                              <w:rPr>
                                <w:color w:val="000000"/>
                                <w:sz w:val="22"/>
                              </w:rPr>
                              <w:t xml:space="preserve">is a ‘Wildlife Friendly Agriculture Scheme’ in Cambodia. Founded by the Wildlife Conservation Society (WCS) in </w:t>
                            </w:r>
                            <w:r w:rsidR="00B82BFD" w:rsidRPr="00803DEE">
                              <w:rPr>
                                <w:sz w:val="22"/>
                              </w:rPr>
                              <w:t>partnership</w:t>
                            </w:r>
                            <w:r w:rsidR="00B82BFD" w:rsidRPr="00803DEE">
                              <w:rPr>
                                <w:color w:val="000000"/>
                                <w:sz w:val="22"/>
                              </w:rPr>
                              <w:t xml:space="preserve"> with the Ministry of Environment Ibis Rice Conservation Co. Ltd is a Cambodian conservation enterprise.  </w:t>
                            </w:r>
                          </w:p>
                          <w:p w14:paraId="737801A2" w14:textId="77777777" w:rsidR="00B82BFD" w:rsidRPr="00803DEE" w:rsidRDefault="00B82BFD" w:rsidP="00D50D44">
                            <w:pPr>
                              <w:rPr>
                                <w:sz w:val="22"/>
                              </w:rPr>
                            </w:pPr>
                            <w:r w:rsidRPr="00803DEE">
                              <w:rPr>
                                <w:color w:val="000000"/>
                                <w:sz w:val="22"/>
                              </w:rPr>
                              <w:t>A land-use plan developed with the local community delineates the areas that farmers are permitted to clear for rice or other crops. Once in place, farmers commit to adherence to that plan, along with organic farming and a zero hunting polic</w:t>
                            </w:r>
                            <w:r>
                              <w:rPr>
                                <w:color w:val="000000"/>
                                <w:sz w:val="22"/>
                              </w:rPr>
                              <w:t>y</w:t>
                            </w:r>
                            <w:r w:rsidRPr="00803DEE">
                              <w:rPr>
                                <w:color w:val="000000"/>
                                <w:sz w:val="22"/>
                              </w:rPr>
                              <w:t xml:space="preserve"> aimed at protecting the rare water birds and other species that use the protected areas of Kulen Promtep Wildlife Sanctuary and Chhep Wildlife Sanctuary. Agreements are enforced by a locally-elected natural resource management committee, which is composed of representatives from the village; this is verified by Ministry of Environment and WCS. Rice from famers who have complied with the project agreements is then bought at a premium price by the Ibis Rice Conservation Co. </w:t>
                            </w:r>
                          </w:p>
                          <w:p w14:paraId="5DE39A9D" w14:textId="06C74549" w:rsidR="00B82BFD" w:rsidRPr="00EC1C0D" w:rsidRDefault="00B82BFD" w:rsidP="00D50D44">
                            <w:pPr>
                              <w:rPr>
                                <w:color w:val="000000"/>
                                <w:sz w:val="22"/>
                              </w:rPr>
                            </w:pPr>
                            <w:r w:rsidRPr="00803DEE">
                              <w:rPr>
                                <w:color w:val="000000"/>
                                <w:sz w:val="22"/>
                              </w:rPr>
                              <w:t>Ibis Rice has received certification from the Wildlife Friendly Enterprise Network (WFEN, </w:t>
                            </w:r>
                            <w:hyperlink r:id="rId124" w:tgtFrame="_blank" w:history="1">
                              <w:r w:rsidRPr="00803DEE">
                                <w:rPr>
                                  <w:rStyle w:val="Hyperlink"/>
                                  <w:color w:val="000000"/>
                                  <w:sz w:val="22"/>
                                </w:rPr>
                                <w:t>www.wildlifefriendly.org</w:t>
                              </w:r>
                            </w:hyperlink>
                            <w:r w:rsidRPr="00803DEE">
                              <w:rPr>
                                <w:color w:val="000000"/>
                                <w:sz w:val="22"/>
                              </w:rPr>
                              <w:t xml:space="preserve">) as well as organic certification to EU and USDA standards. Ibis Rice Co sells Organic, Wildlife Friendly jasmine rice both under its own brand as well as traded to other food brands. Research conducted by WCS suggested that initial investments needed to set the </w:t>
                            </w:r>
                            <w:r w:rsidRPr="00EC1C0D">
                              <w:rPr>
                                <w:color w:val="000000"/>
                                <w:sz w:val="22"/>
                              </w:rPr>
                              <w:t>scheme up were high, but that famers involved in the scheme (about 60% – 70% of the families in the village) were making significant revenues ($1,050/year on average with 40% of that being a conservation compliance premium) and that the project has reduced deforestation by about 50% (Clements &amp; Milner Gulland, 2015).</w:t>
                            </w:r>
                          </w:p>
                          <w:p w14:paraId="7FAF4F20" w14:textId="62FCDB31" w:rsidR="00B82BFD" w:rsidRPr="00EC1C0D" w:rsidRDefault="00B82BFD" w:rsidP="00D50D44">
                            <w:pPr>
                              <w:rPr>
                                <w:color w:val="000000"/>
                                <w:sz w:val="22"/>
                              </w:rPr>
                            </w:pPr>
                            <w:r w:rsidRPr="00EC1C0D">
                              <w:rPr>
                                <w:b/>
                                <w:color w:val="000000"/>
                                <w:sz w:val="22"/>
                              </w:rPr>
                              <w:t>Direct payments for ecotourism in Lao PDR (from Eshoo et al., 2018)</w:t>
                            </w:r>
                          </w:p>
                          <w:p w14:paraId="037B7384" w14:textId="01670EC6" w:rsidR="00B82BFD" w:rsidRPr="000A7365" w:rsidRDefault="00B82BFD" w:rsidP="00D50D44">
                            <w:pPr>
                              <w:rPr>
                                <w:color w:val="000000" w:themeColor="text1"/>
                                <w:sz w:val="22"/>
                              </w:rPr>
                            </w:pPr>
                            <w:r w:rsidRPr="00EC1C0D">
                              <w:rPr>
                                <w:color w:val="000000"/>
                                <w:sz w:val="22"/>
                              </w:rPr>
                              <w:t xml:space="preserve">Nam Et-Phou Louey National Park is </w:t>
                            </w:r>
                            <w:r w:rsidRPr="00EC1C0D">
                              <w:rPr>
                                <w:color w:val="000000" w:themeColor="text1"/>
                                <w:sz w:val="22"/>
                              </w:rPr>
                              <w:t>located in the northern highlands of Lao PDR, and is threatened by unsustainable levels of hunting, driven by international demand for wildlife products as well as local urban demand for wild meat. Evidence gathered from camera trap surveys, focal group discussions and law enforcement patrols indicated that the hunters</w:t>
                            </w:r>
                            <w:r w:rsidRPr="000A7365">
                              <w:rPr>
                                <w:color w:val="000000" w:themeColor="text1"/>
                                <w:sz w:val="22"/>
                              </w:rPr>
                              <w:t xml:space="preserve"> were primarily from villages bordering the NPA. </w:t>
                            </w:r>
                          </w:p>
                          <w:p w14:paraId="320B5038" w14:textId="40D8FD78" w:rsidR="00B82BFD" w:rsidRDefault="00B82BFD" w:rsidP="00D50D44">
                            <w:pPr>
                              <w:rPr>
                                <w:color w:val="000000"/>
                                <w:sz w:val="22"/>
                              </w:rPr>
                            </w:pPr>
                            <w:r w:rsidRPr="000A7365">
                              <w:rPr>
                                <w:color w:val="000000" w:themeColor="text1"/>
                                <w:sz w:val="22"/>
                              </w:rPr>
                              <w:t xml:space="preserve">With the aim of reducing hunting pressure within the national park, an ecotourism strategy was designed to directly link the number and type of wildlife sighted by tourists with the amount of financial benefits received by local communities, with the ultimate goal </w:t>
                            </w:r>
                            <w:r w:rsidRPr="006A540E">
                              <w:rPr>
                                <w:color w:val="000000"/>
                                <w:sz w:val="22"/>
                              </w:rPr>
                              <w:t xml:space="preserve">of increasing wildlife abundance in the ecotourism area. </w:t>
                            </w:r>
                            <w:r>
                              <w:rPr>
                                <w:color w:val="000000"/>
                                <w:sz w:val="22"/>
                              </w:rPr>
                              <w:t>Benefits are shared</w:t>
                            </w:r>
                            <w:r w:rsidRPr="006A540E">
                              <w:rPr>
                                <w:color w:val="000000"/>
                                <w:sz w:val="22"/>
                              </w:rPr>
                              <w:t xml:space="preserve"> </w:t>
                            </w:r>
                            <w:r>
                              <w:rPr>
                                <w:color w:val="000000"/>
                                <w:sz w:val="22"/>
                              </w:rPr>
                              <w:t>amoung</w:t>
                            </w:r>
                            <w:r w:rsidRPr="006A540E">
                              <w:rPr>
                                <w:color w:val="000000"/>
                                <w:sz w:val="22"/>
                              </w:rPr>
                              <w:t xml:space="preserve"> multiple villages</w:t>
                            </w:r>
                            <w:r>
                              <w:rPr>
                                <w:color w:val="000000"/>
                                <w:sz w:val="22"/>
                              </w:rPr>
                              <w:t xml:space="preserve"> (over 5000 people)</w:t>
                            </w:r>
                            <w:r w:rsidRPr="006A540E">
                              <w:rPr>
                                <w:color w:val="000000"/>
                                <w:sz w:val="22"/>
                              </w:rPr>
                              <w:t>, giving incentives to all families that have access to the ecotourism area where hunting is prohibited</w:t>
                            </w:r>
                            <w:r>
                              <w:rPr>
                                <w:color w:val="000000"/>
                                <w:sz w:val="22"/>
                              </w:rPr>
                              <w:t>,</w:t>
                            </w:r>
                            <w:r w:rsidRPr="006A540E">
                              <w:rPr>
                                <w:color w:val="000000"/>
                                <w:sz w:val="22"/>
                              </w:rPr>
                              <w:t xml:space="preserve"> and targets a variety of wildlife species by using a tiered pricing system, with the purpose of protecting</w:t>
                            </w:r>
                            <w:r>
                              <w:rPr>
                                <w:color w:val="000000"/>
                                <w:sz w:val="22"/>
                              </w:rPr>
                              <w:t xml:space="preserve"> carnivores, ungulates and pri</w:t>
                            </w:r>
                            <w:r w:rsidRPr="006A540E">
                              <w:rPr>
                                <w:color w:val="000000"/>
                                <w:sz w:val="22"/>
                              </w:rPr>
                              <w:t>mates that are declining due to illegal hunting and trade. Benefits were designed to increase incrementally according to the number of animals sighted by visitors in order to provide greater return for increases in wildlife abundance.</w:t>
                            </w:r>
                            <w:r>
                              <w:rPr>
                                <w:color w:val="000000"/>
                                <w:sz w:val="22"/>
                              </w:rPr>
                              <w:t xml:space="preserve"> Analysis of the first four years of the project (2010 – 2013) found that wildlife sightings increased by 63% and the Village Development Fund increased from $385 in year 1 to $2,107 in year 4. Monitoring results were then used to adjust compensation levels for specific species, where needed. </w:t>
                            </w:r>
                          </w:p>
                          <w:p w14:paraId="77112FD5" w14:textId="77777777" w:rsidR="00B82BFD" w:rsidRDefault="00B82BFD" w:rsidP="00D50D44">
                            <w:pPr>
                              <w:rPr>
                                <w:color w:val="000000"/>
                                <w:sz w:val="22"/>
                              </w:rPr>
                            </w:pPr>
                          </w:p>
                          <w:p w14:paraId="6965071F" w14:textId="77777777" w:rsidR="00B82BFD" w:rsidRDefault="00B82BFD" w:rsidP="00D50D44">
                            <w:pPr>
                              <w:rPr>
                                <w:color w:val="000000"/>
                                <w:sz w:val="22"/>
                              </w:rPr>
                            </w:pPr>
                          </w:p>
                          <w:p w14:paraId="63CF1D21" w14:textId="77777777" w:rsidR="00B82BFD" w:rsidRPr="00803DEE" w:rsidRDefault="00B82BFD" w:rsidP="00D50D44">
                            <w:pPr>
                              <w:rPr>
                                <w:color w:val="000000"/>
                                <w:sz w:val="22"/>
                              </w:rPr>
                            </w:pPr>
                          </w:p>
                          <w:p w14:paraId="1B9D7845" w14:textId="77777777" w:rsidR="00B82BFD" w:rsidRPr="00803DEE" w:rsidRDefault="00B82BFD" w:rsidP="00D50D44">
                            <w:pPr>
                              <w:pStyle w:val="NormalWeb"/>
                              <w:spacing w:before="0" w:beforeAutospacing="0" w:after="0" w:afterAutospacing="0"/>
                              <w:rPr>
                                <w:rFonts w:ascii="Helvetica" w:hAnsi="Helvetica"/>
                                <w:sz w:val="22"/>
                                <w:szCs w:val="22"/>
                              </w:rPr>
                            </w:pPr>
                          </w:p>
                        </w:txbxContent>
                      </wps:txbx>
                      <wps:bodyPr rot="0" vert="horz" wrap="none" lIns="91440" tIns="45720" rIns="91440" bIns="45720" anchor="t" anchorCtr="0" upright="1">
                        <a:noAutofit/>
                      </wps:bodyPr>
                    </wps:wsp>
                  </a:graphicData>
                </a:graphic>
              </wp:inline>
            </w:drawing>
          </mc:Choice>
          <mc:Fallback>
            <w:pict>
              <v:shape w14:anchorId="5A42519C" id="_x0000_s1028" type="#_x0000_t202" style="width:451pt;height:615.7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" fillcolor="#d8d8d8 [2732]" strokecolor="black [3213]" strokeweight="1.75pt">
                <v:textbox>
                  <w:txbxContent>
                    <w:p w14:paraId="72208E2B" w14:textId="498B0A8E" w:rsidR="00B82BFD" w:rsidRPr="000D26AC" w:rsidRDefault="00B82BFD" w:rsidP="00D50D44">
                      <w:pPr>
                        <w:pStyle w:val="Caption"/>
                      </w:pPr>
                      <w:bookmarkStart w:id="204" w:name="_Ref519873579"/>
                      <w:bookmarkStart w:id="205" w:name="_Hlk529268626"/>
                      <w:r>
                        <w:t xml:space="preserve">Box </w:t>
                      </w:r>
                      <w:r>
                        <w:fldChar w:fldCharType="begin"/>
                      </w:r>
                      <w:r>
                        <w:instrText xml:space="preserve"> SEQ Box \* ARABIC </w:instrText>
                      </w:r>
                      <w:r>
                        <w:fldChar w:fldCharType="separate"/>
                      </w:r>
                      <w:r>
                        <w:rPr>
                          <w:noProof/>
                        </w:rPr>
                        <w:t>3</w:t>
                      </w:r>
                      <w:r>
                        <w:fldChar w:fldCharType="end"/>
                      </w:r>
                      <w:bookmarkEnd w:id="204"/>
                      <w:r>
                        <w:t xml:space="preserve">: </w:t>
                      </w:r>
                      <w:r w:rsidRPr="000D26AC">
                        <w:rPr>
                          <w:sz w:val="22"/>
                        </w:rPr>
                        <w:t>Examples of Payments for Ecosystem Services projects</w:t>
                      </w:r>
                    </w:p>
                    <w:bookmarkEnd w:id="205"/>
                    <w:p w14:paraId="65FAFA8F" w14:textId="0F8FBD92" w:rsidR="00B82BFD" w:rsidRDefault="00B82BFD" w:rsidP="00D50D44">
                      <w:pPr>
                        <w:rPr>
                          <w:b/>
                          <w:sz w:val="22"/>
                        </w:rPr>
                      </w:pPr>
                      <w:r w:rsidRPr="00803DEE">
                        <w:rPr>
                          <w:b/>
                          <w:sz w:val="22"/>
                        </w:rPr>
                        <w:t xml:space="preserve">Wildlife </w:t>
                      </w:r>
                      <w:r>
                        <w:rPr>
                          <w:b/>
                          <w:sz w:val="22"/>
                        </w:rPr>
                        <w:t>f</w:t>
                      </w:r>
                      <w:r w:rsidRPr="00803DEE">
                        <w:rPr>
                          <w:b/>
                          <w:sz w:val="22"/>
                        </w:rPr>
                        <w:t>riendly rice farming</w:t>
                      </w:r>
                    </w:p>
                    <w:p w14:paraId="686B325D" w14:textId="512B3166" w:rsidR="00B82BFD" w:rsidRPr="006A540E" w:rsidRDefault="003D3A1B" w:rsidP="00D50D44">
                      <w:pPr>
                        <w:rPr>
                          <w:b/>
                          <w:sz w:val="22"/>
                        </w:rPr>
                      </w:pPr>
                      <w:hyperlink r:id="rId125" w:history="1">
                        <w:r w:rsidR="00B82BFD" w:rsidRPr="00803DEE">
                          <w:rPr>
                            <w:rStyle w:val="Hyperlink"/>
                            <w:sz w:val="22"/>
                          </w:rPr>
                          <w:t>Ibis Rice </w:t>
                        </w:r>
                      </w:hyperlink>
                      <w:r w:rsidR="00B82BFD" w:rsidRPr="00803DEE">
                        <w:rPr>
                          <w:color w:val="000000"/>
                          <w:sz w:val="22"/>
                        </w:rPr>
                        <w:t xml:space="preserve">is a ‘Wildlife Friendly Agriculture Scheme’ in Cambodia. Founded by the Wildlife Conservation Society (WCS) in </w:t>
                      </w:r>
                      <w:r w:rsidR="00B82BFD" w:rsidRPr="00803DEE">
                        <w:rPr>
                          <w:sz w:val="22"/>
                        </w:rPr>
                        <w:t>partnership</w:t>
                      </w:r>
                      <w:r w:rsidR="00B82BFD" w:rsidRPr="00803DEE">
                        <w:rPr>
                          <w:color w:val="000000"/>
                          <w:sz w:val="22"/>
                        </w:rPr>
                        <w:t xml:space="preserve"> with the Ministry of Environment Ibis Rice Conservation Co. Ltd is a Cambodian conservation enterprise.  </w:t>
                      </w:r>
                    </w:p>
                    <w:p w14:paraId="737801A2" w14:textId="77777777" w:rsidR="00B82BFD" w:rsidRPr="00803DEE" w:rsidRDefault="00B82BFD" w:rsidP="00D50D44">
                      <w:pPr>
                        <w:rPr>
                          <w:sz w:val="22"/>
                        </w:rPr>
                      </w:pPr>
                      <w:r w:rsidRPr="00803DEE">
                        <w:rPr>
                          <w:color w:val="000000"/>
                          <w:sz w:val="22"/>
                        </w:rPr>
                        <w:t>A land-use plan developed with the local community delineates the areas that farmers are permitted to clear for rice or other crops. Once in place, farmers commit to adherence to that plan, along with organic farming and a zero hunting polic</w:t>
                      </w:r>
                      <w:r>
                        <w:rPr>
                          <w:color w:val="000000"/>
                          <w:sz w:val="22"/>
                        </w:rPr>
                        <w:t>y</w:t>
                      </w:r>
                      <w:r w:rsidRPr="00803DEE">
                        <w:rPr>
                          <w:color w:val="000000"/>
                          <w:sz w:val="22"/>
                        </w:rPr>
                        <w:t xml:space="preserve"> aimed at protecting the rare water birds and other species that use the protected areas of Kulen Promtep Wildlife Sanctuary and Chhep Wildlife Sanctuary. Agreements are enforced by a locally-elected natural resource management committee, which is composed of representatives from the village; this is verified by Ministry of Environment and WCS. Rice from famers who have complied with the project agreements is then bought at a premium price by the Ibis Rice Conservation Co. </w:t>
                      </w:r>
                    </w:p>
                    <w:p w14:paraId="5DE39A9D" w14:textId="06C74549" w:rsidR="00B82BFD" w:rsidRPr="00EC1C0D" w:rsidRDefault="00B82BFD" w:rsidP="00D50D44">
                      <w:pPr>
                        <w:rPr>
                          <w:color w:val="000000"/>
                          <w:sz w:val="22"/>
                        </w:rPr>
                      </w:pPr>
                      <w:r w:rsidRPr="00803DEE">
                        <w:rPr>
                          <w:color w:val="000000"/>
                          <w:sz w:val="22"/>
                        </w:rPr>
                        <w:t>Ibis Rice has received certification from the Wildlife Friendly Enterprise Network (WFEN, </w:t>
                      </w:r>
                      <w:hyperlink r:id="rId126" w:tgtFrame="_blank" w:history="1">
                        <w:r w:rsidRPr="00803DEE">
                          <w:rPr>
                            <w:rStyle w:val="Hyperlink"/>
                            <w:color w:val="000000"/>
                            <w:sz w:val="22"/>
                          </w:rPr>
                          <w:t>www.wildlifefriendly.org</w:t>
                        </w:r>
                      </w:hyperlink>
                      <w:r w:rsidRPr="00803DEE">
                        <w:rPr>
                          <w:color w:val="000000"/>
                          <w:sz w:val="22"/>
                        </w:rPr>
                        <w:t xml:space="preserve">) as well as organic certification to EU and USDA standards. Ibis Rice Co sells Organic, Wildlife Friendly jasmine rice both under its own brand as well as traded to other food brands. Research conducted by WCS suggested that initial investments needed to set the </w:t>
                      </w:r>
                      <w:r w:rsidRPr="00EC1C0D">
                        <w:rPr>
                          <w:color w:val="000000"/>
                          <w:sz w:val="22"/>
                        </w:rPr>
                        <w:t>scheme up were high, but that famers involved in the scheme (about 60% – 70% of the families in the village) were making significant revenues ($1,050/year on average with 40% of that being a conservation compliance premium) and that the project has reduced deforestation by about 50% (Clements &amp; Milner Gulland, 2015).</w:t>
                      </w:r>
                    </w:p>
                    <w:p w14:paraId="7FAF4F20" w14:textId="62FCDB31" w:rsidR="00B82BFD" w:rsidRPr="00EC1C0D" w:rsidRDefault="00B82BFD" w:rsidP="00D50D44">
                      <w:pPr>
                        <w:rPr>
                          <w:color w:val="000000"/>
                          <w:sz w:val="22"/>
                        </w:rPr>
                      </w:pPr>
                      <w:r w:rsidRPr="00EC1C0D">
                        <w:rPr>
                          <w:b/>
                          <w:color w:val="000000"/>
                          <w:sz w:val="22"/>
                        </w:rPr>
                        <w:t>Direct payments for ecotourism in Lao PDR (from Eshoo et al., 2018)</w:t>
                      </w:r>
                    </w:p>
                    <w:p w14:paraId="037B7384" w14:textId="01670EC6" w:rsidR="00B82BFD" w:rsidRPr="000A7365" w:rsidRDefault="00B82BFD" w:rsidP="00D50D44">
                      <w:pPr>
                        <w:rPr>
                          <w:color w:val="000000" w:themeColor="text1"/>
                          <w:sz w:val="22"/>
                        </w:rPr>
                      </w:pPr>
                      <w:r w:rsidRPr="00EC1C0D">
                        <w:rPr>
                          <w:color w:val="000000"/>
                          <w:sz w:val="22"/>
                        </w:rPr>
                        <w:t xml:space="preserve">Nam Et-Phou Louey National Park is </w:t>
                      </w:r>
                      <w:r w:rsidRPr="00EC1C0D">
                        <w:rPr>
                          <w:color w:val="000000" w:themeColor="text1"/>
                          <w:sz w:val="22"/>
                        </w:rPr>
                        <w:t>located in the northern highlands of Lao PDR, and is threatened by unsustainable levels of hunting, driven by international demand for wildlife products as well as local urban demand for wild meat. Evidence gathered from camera trap surveys, focal group discussions and law enforcement patrols indicated that the hunters</w:t>
                      </w:r>
                      <w:r w:rsidRPr="000A7365">
                        <w:rPr>
                          <w:color w:val="000000" w:themeColor="text1"/>
                          <w:sz w:val="22"/>
                        </w:rPr>
                        <w:t xml:space="preserve"> were primarily from villages bordering the NPA. </w:t>
                      </w:r>
                    </w:p>
                    <w:p w14:paraId="320B5038" w14:textId="40D8FD78" w:rsidR="00B82BFD" w:rsidRDefault="00B82BFD" w:rsidP="00D50D44">
                      <w:pPr>
                        <w:rPr>
                          <w:color w:val="000000"/>
                          <w:sz w:val="22"/>
                        </w:rPr>
                      </w:pPr>
                      <w:r w:rsidRPr="000A7365">
                        <w:rPr>
                          <w:color w:val="000000" w:themeColor="text1"/>
                          <w:sz w:val="22"/>
                        </w:rPr>
                        <w:t xml:space="preserve">With the aim of reducing hunting pressure within the national park, an ecotourism strategy was designed to directly link the number and type of wildlife sighted by tourists with the amount of financial benefits received by local communities, with the ultimate goal </w:t>
                      </w:r>
                      <w:r w:rsidRPr="006A540E">
                        <w:rPr>
                          <w:color w:val="000000"/>
                          <w:sz w:val="22"/>
                        </w:rPr>
                        <w:t xml:space="preserve">of increasing wildlife abundance in the ecotourism area. </w:t>
                      </w:r>
                      <w:r>
                        <w:rPr>
                          <w:color w:val="000000"/>
                          <w:sz w:val="22"/>
                        </w:rPr>
                        <w:t>Benefits are shared</w:t>
                      </w:r>
                      <w:r w:rsidRPr="006A540E">
                        <w:rPr>
                          <w:color w:val="000000"/>
                          <w:sz w:val="22"/>
                        </w:rPr>
                        <w:t xml:space="preserve"> </w:t>
                      </w:r>
                      <w:r>
                        <w:rPr>
                          <w:color w:val="000000"/>
                          <w:sz w:val="22"/>
                        </w:rPr>
                        <w:t>amoung</w:t>
                      </w:r>
                      <w:r w:rsidRPr="006A540E">
                        <w:rPr>
                          <w:color w:val="000000"/>
                          <w:sz w:val="22"/>
                        </w:rPr>
                        <w:t xml:space="preserve"> multiple villages</w:t>
                      </w:r>
                      <w:r>
                        <w:rPr>
                          <w:color w:val="000000"/>
                          <w:sz w:val="22"/>
                        </w:rPr>
                        <w:t xml:space="preserve"> (over 5000 people)</w:t>
                      </w:r>
                      <w:r w:rsidRPr="006A540E">
                        <w:rPr>
                          <w:color w:val="000000"/>
                          <w:sz w:val="22"/>
                        </w:rPr>
                        <w:t>, giving incentives to all families that have access to the ecotourism area where hunting is prohibited</w:t>
                      </w:r>
                      <w:r>
                        <w:rPr>
                          <w:color w:val="000000"/>
                          <w:sz w:val="22"/>
                        </w:rPr>
                        <w:t>,</w:t>
                      </w:r>
                      <w:r w:rsidRPr="006A540E">
                        <w:rPr>
                          <w:color w:val="000000"/>
                          <w:sz w:val="22"/>
                        </w:rPr>
                        <w:t xml:space="preserve"> and targets a variety of wildlife species by using a tiered pricing system, with the purpose of protecting</w:t>
                      </w:r>
                      <w:r>
                        <w:rPr>
                          <w:color w:val="000000"/>
                          <w:sz w:val="22"/>
                        </w:rPr>
                        <w:t xml:space="preserve"> carnivores, ungulates and pri</w:t>
                      </w:r>
                      <w:r w:rsidRPr="006A540E">
                        <w:rPr>
                          <w:color w:val="000000"/>
                          <w:sz w:val="22"/>
                        </w:rPr>
                        <w:t>mates that are declining due to illegal hunting and trade. Benefits were designed to increase incrementally according to the number of animals sighted by visitors in order to provide greater return for increases in wildlife abundance.</w:t>
                      </w:r>
                      <w:r>
                        <w:rPr>
                          <w:color w:val="000000"/>
                          <w:sz w:val="22"/>
                        </w:rPr>
                        <w:t xml:space="preserve"> Analysis of the first four years of the project (2010 – 2013) found that wildlife sightings increased by 63% and the Village Development Fund increased from $385 in year 1 to $2,107 in year 4. Monitoring results were then used to adjust compensation levels for specific species, where needed. </w:t>
                      </w:r>
                    </w:p>
                    <w:p w14:paraId="77112FD5" w14:textId="77777777" w:rsidR="00B82BFD" w:rsidRDefault="00B82BFD" w:rsidP="00D50D44">
                      <w:pPr>
                        <w:rPr>
                          <w:color w:val="000000"/>
                          <w:sz w:val="22"/>
                        </w:rPr>
                      </w:pPr>
                    </w:p>
                    <w:p w14:paraId="6965071F" w14:textId="77777777" w:rsidR="00B82BFD" w:rsidRDefault="00B82BFD" w:rsidP="00D50D44">
                      <w:pPr>
                        <w:rPr>
                          <w:color w:val="000000"/>
                          <w:sz w:val="22"/>
                        </w:rPr>
                      </w:pPr>
                    </w:p>
                    <w:p w14:paraId="63CF1D21" w14:textId="77777777" w:rsidR="00B82BFD" w:rsidRPr="00803DEE" w:rsidRDefault="00B82BFD" w:rsidP="00D50D44">
                      <w:pPr>
                        <w:rPr>
                          <w:color w:val="000000"/>
                          <w:sz w:val="22"/>
                        </w:rPr>
                      </w:pPr>
                    </w:p>
                    <w:p w14:paraId="1B9D7845" w14:textId="77777777" w:rsidR="00B82BFD" w:rsidRPr="00803DEE" w:rsidRDefault="00B82BFD" w:rsidP="00D50D44">
                      <w:pPr>
                        <w:pStyle w:val="NormalWeb"/>
                        <w:spacing w:before="0" w:beforeAutospacing="0" w:after="0" w:afterAutospacing="0"/>
                        <w:rPr>
                          <w:rFonts w:ascii="Helvetica" w:hAnsi="Helvetica"/>
                          <w:sz w:val="22"/>
                          <w:szCs w:val="22"/>
                        </w:rPr>
                      </w:pPr>
                    </w:p>
                  </w:txbxContent>
                </v:textbox>
                <w10:anchorlock/>
              </v:shape>
            </w:pict>
          </mc:Fallback>
        </mc:AlternateContent>
      </w:r>
    </w:p>
    <w:p w14:paraId="72EF7704" w14:textId="67B5D4E1" w:rsidR="007078FA" w:rsidRDefault="007078FA" w:rsidP="007078FA">
      <w:r>
        <w:rPr>
          <w:color w:val="000000" w:themeColor="text1"/>
        </w:rPr>
        <w:t>References for Box 3:</w:t>
      </w:r>
      <w:r w:rsidRPr="007078FA">
        <w:t xml:space="preserve"> </w:t>
      </w:r>
      <w:r>
        <w:fldChar w:fldCharType="begin" w:fldLock="1"/>
      </w:r>
      <w:r>
        <w:instrText>ADDIN CSL_CITATION {"citationItems":[{"id":"ITEM-1","itemData":{"ISBN":"1111111111","author":[{"dropping-particle":"","family":"Eshoo","given":"Paul Frederick","non-dropping-particle":"","parse-names":false,"suffix":""},{"dropping-particle":"","family":"Johnson","given":"Arlyne","non-dropping-particle":"","parse-names":false,"suffix":""},{"dropping-particle":"","family":"Duangdala","given":"Sivilay","non-dropping-particle":"","parse-names":false,"suffix":""},{"dropping-particle":"","family":"Hansel","given":"Troy","non-dropping-particle":"","parse-names":false,"suffix":""}],"container-title":"PloS one","id":"ITEM-1","issue":"2","issued":{"date-parts":[["2018"]]},"title":"Design, monitoring and evaluation of a direct payments approach for an ecotourism strategy to reduce illegal hunting and trade of wildlife in Lao PDR","type":"article-journal","volume":"13"},"uris":["http://www.mendeley.com/documents/?uuid=42e745fb-8b29-4d88-bbd2-5f8f9533895b"]},{"id":"ITEM-2","itemData":{"DOI":"10.1111/cobi.12423","ISBN":"0888-8892","ISSN":"15231739","PMID":"25492724","abstract":"The potential impacts of payments for environmental services (PES) and protected areas (PAs) on environmental outcomes and local livelihoods in developing countries are contentious and have been widely debated. The available evidence is sparse, with few rigorous evaluations of the environmental and social impacts of PAs and particularly of PES. We measured the impacts on forests and human well-being of three different PES programs instituted within two PAs in northern Cambodia, using a panel of intervention villages and matched controls. Both PES and PAs delivered additional environmental outcomes relative to the counterfactual: reducing deforestation rates significantly relative to controls. PAs increased security of access to land and forest resources for local households, benefiting forest resource users but restricting households’ ability to expand and diversify their agriculture. The impacts of PES on household well-being were related to the magnitude of the payments provided. The two higher payingmarket-linked PES programs had significant positive impacts, whereas a lower paying program that targeted biodiversity protection had no detectable effect on livelihoods, despite its positive environmental outcomes. Households that signed up for the higher paying PES programs, however, typically needed more capital assets; hence, they were less poor and more food secure than other villagers. Therefore,whereas the impacts of PAs on householdwell-beingwere limited overall and varied between livelihood strategies, the PES programs had significant positive impacts on livelihoods for those that could afford to participate. Our results are consistent with theories that PES, when designed appropriately, can be a powerful new tool for delivering conservation goals whilst benefiting local people.","author":[{"dropping-particle":"","family":"Clements","given":"Tom","non-dropping-particle":"","parse-names":false,"suffix":""},{"dropping-particle":"","family":"Milner-Gulland","given":"E. J.","non-dropping-particle":"","parse-names":false,"suffix":""}],"container-title":"Conservation Biology","id":"ITEM-2","issue":"1","issued":{"date-parts":[["2015"]]},"page":"78-87","title":"Impact of payments for environmental services and protected areas on local livelihoods and forest conservation in northern Cambodia","type":"article-journal","volume":"29"},"uris":["http://www.mendeley.com/documents/?uuid=3bb8da69-43b8-475e-8468-8df0434ff890"]}],"mendeley":{"formattedCitation":"(Clements &amp; Milner-Gulland 2015; Eshoo et al. 2018)","plainTextFormattedCitation":"(Clements &amp; Milner-Gulland 2015; Eshoo et al. 2018)","previouslyFormattedCitation":"(Clements &amp; Milner-Gulland 2015; Eshoo et al. 2018)"},"properties":{"noteIndex":0},"schema":"https://github.com/citation-style-language/schema/raw/master/csl-citation.json"}</w:instrText>
      </w:r>
      <w:r>
        <w:fldChar w:fldCharType="separate"/>
      </w:r>
      <w:r w:rsidRPr="007E7E97">
        <w:rPr>
          <w:noProof/>
        </w:rPr>
        <w:t>(Clements &amp; Milner-Gulland 2015; Eshoo et al. 2018)</w:t>
      </w:r>
      <w:r>
        <w:fldChar w:fldCharType="end"/>
      </w:r>
    </w:p>
    <w:p w14:paraId="3BBFE4CA" w14:textId="29C61677" w:rsidR="004D0954" w:rsidRDefault="004D0954" w:rsidP="00C258BC">
      <w:pPr>
        <w:jc w:val="both"/>
        <w:rPr>
          <w:color w:val="000000" w:themeColor="text1"/>
        </w:rPr>
      </w:pPr>
    </w:p>
    <w:p w14:paraId="3E0B8457" w14:textId="77777777" w:rsidR="007839A9" w:rsidRPr="0070404D" w:rsidRDefault="007839A9" w:rsidP="00C258BC">
      <w:pPr>
        <w:jc w:val="both"/>
        <w:rPr>
          <w:color w:val="000000" w:themeColor="text1"/>
        </w:rPr>
      </w:pPr>
    </w:p>
    <w:p w14:paraId="3CA46947" w14:textId="77777777" w:rsidR="00C24D4C" w:rsidRPr="00785A38" w:rsidRDefault="00C24D4C" w:rsidP="001C1D6E">
      <w:pPr>
        <w:pStyle w:val="Heading3"/>
        <w:rPr>
          <w:snapToGrid w:val="0"/>
          <w:lang w:eastAsia="ja-JP" w:bidi="th-TH"/>
        </w:rPr>
      </w:pPr>
      <w:r w:rsidRPr="00785A38">
        <w:rPr>
          <w:snapToGrid w:val="0"/>
          <w:lang w:eastAsia="ja-JP" w:bidi="th-TH"/>
        </w:rPr>
        <w:lastRenderedPageBreak/>
        <w:t xml:space="preserve">Certification Schemes. </w:t>
      </w:r>
    </w:p>
    <w:p w14:paraId="0633D994" w14:textId="45B4A277" w:rsidR="00C24D4C" w:rsidRDefault="00C24D4C" w:rsidP="00C258BC">
      <w:pPr>
        <w:jc w:val="both"/>
        <w:rPr>
          <w:snapToGrid w:val="0"/>
          <w:color w:val="000000" w:themeColor="text1"/>
          <w:lang w:eastAsia="ja-JP" w:bidi="th-TH"/>
        </w:rPr>
      </w:pPr>
      <w:r w:rsidRPr="006C56F2">
        <w:rPr>
          <w:noProof/>
          <w:lang w:val="en-US"/>
        </w:rPr>
        <mc:AlternateContent>
          <mc:Choice Requires="wps">
            <w:drawing>
              <wp:anchor distT="0" distB="0" distL="114300" distR="114300" simplePos="0" relativeHeight="251664384" behindDoc="0" locked="0" layoutInCell="1" allowOverlap="1" wp14:anchorId="42A0AC00" wp14:editId="08CF3894">
                <wp:simplePos x="0" y="0"/>
                <wp:positionH relativeFrom="column">
                  <wp:posOffset>0</wp:posOffset>
                </wp:positionH>
                <wp:positionV relativeFrom="page">
                  <wp:posOffset>3364580</wp:posOffset>
                </wp:positionV>
                <wp:extent cx="5716905" cy="6223000"/>
                <wp:effectExtent l="12700" t="12700" r="10795" b="12700"/>
                <wp:wrapSquare wrapText="bothSides"/>
                <wp:docPr id="27" name="Text Box 15"/>
                <wp:cNvGraphicFramePr/>
                <a:graphic xmlns:a="http://schemas.openxmlformats.org/drawingml/2006/main">
                  <a:graphicData uri="http://schemas.microsoft.com/office/word/2010/wordprocessingShape">
                    <wps:wsp>
                      <wps:cNvSpPr txBox="1"/>
                      <wps:spPr>
                        <a:xfrm>
                          <a:off x="0" y="0"/>
                          <a:ext cx="5716905" cy="6223000"/>
                        </a:xfrm>
                        <a:prstGeom prst="rect">
                          <a:avLst/>
                        </a:prstGeom>
                        <a:solidFill>
                          <a:schemeClr val="bg1">
                            <a:lumMod val="85000"/>
                          </a:schemeClr>
                        </a:solidFill>
                        <a:ln w="22225">
                          <a:solidFill>
                            <a:schemeClr val="tx1">
                              <a:lumMod val="100000"/>
                              <a:lumOff val="0"/>
                            </a:schemeClr>
                          </a:solidFill>
                        </a:ln>
                        <a:effectLst/>
                      </wps:spPr>
                      <wps:style>
                        <a:lnRef idx="0">
                          <a:schemeClr val="accent1"/>
                        </a:lnRef>
                        <a:fillRef idx="0">
                          <a:schemeClr val="accent1"/>
                        </a:fillRef>
                        <a:effectRef idx="0">
                          <a:schemeClr val="accent1"/>
                        </a:effectRef>
                        <a:fontRef idx="minor">
                          <a:schemeClr val="dk1"/>
                        </a:fontRef>
                      </wps:style>
                      <wps:txbx>
                        <w:txbxContent>
                          <w:p w14:paraId="0E2EB1C0" w14:textId="3471F9D1" w:rsidR="00B82BFD" w:rsidRPr="006D01B0" w:rsidRDefault="00B82BFD" w:rsidP="00C24D4C">
                            <w:pPr>
                              <w:pStyle w:val="Caption"/>
                              <w:rPr>
                                <w:snapToGrid w:val="0"/>
                                <w:lang w:eastAsia="ja-JP" w:bidi="th-TH"/>
                              </w:rPr>
                            </w:pPr>
                            <w:bookmarkStart w:id="206" w:name="_Ref520294558"/>
                            <w:bookmarkStart w:id="207" w:name="_Hlk529269388"/>
                            <w:r>
                              <w:t xml:space="preserve">Box </w:t>
                            </w:r>
                            <w:r>
                              <w:fldChar w:fldCharType="begin"/>
                            </w:r>
                            <w:r>
                              <w:instrText xml:space="preserve"> SEQ Box \* ARABIC </w:instrText>
                            </w:r>
                            <w:r>
                              <w:fldChar w:fldCharType="separate"/>
                            </w:r>
                            <w:r>
                              <w:rPr>
                                <w:noProof/>
                              </w:rPr>
                              <w:t>4</w:t>
                            </w:r>
                            <w:r>
                              <w:fldChar w:fldCharType="end"/>
                            </w:r>
                            <w:bookmarkEnd w:id="206"/>
                            <w:r>
                              <w:rPr>
                                <w:snapToGrid w:val="0"/>
                                <w:lang w:eastAsia="ja-JP" w:bidi="th-TH"/>
                              </w:rPr>
                              <w:t xml:space="preserve">: </w:t>
                            </w:r>
                            <w:r w:rsidRPr="000D26AC">
                              <w:rPr>
                                <w:sz w:val="22"/>
                              </w:rPr>
                              <w:t>Certification of Peccary pelts in Peru</w:t>
                            </w:r>
                          </w:p>
                          <w:bookmarkEnd w:id="207"/>
                          <w:p w14:paraId="3065C1F5" w14:textId="77777777" w:rsidR="00B82BFD" w:rsidRDefault="00B82BFD" w:rsidP="00C24D4C">
                            <w:pPr>
                              <w:rPr>
                                <w:sz w:val="22"/>
                              </w:rPr>
                            </w:pPr>
                            <w:r>
                              <w:rPr>
                                <w:sz w:val="22"/>
                              </w:rPr>
                              <w:t>(</w:t>
                            </w:r>
                            <w:r w:rsidRPr="00EC1C0D">
                              <w:rPr>
                                <w:sz w:val="22"/>
                              </w:rPr>
                              <w:t>from Pires and Moreto, 2011 and Fundamazonia, 2018)</w:t>
                            </w:r>
                          </w:p>
                          <w:p w14:paraId="4ACE981D" w14:textId="625A9197" w:rsidR="00B82BFD" w:rsidRPr="00FB40BF" w:rsidRDefault="00B82BFD" w:rsidP="00C24D4C">
                            <w:pPr>
                              <w:pStyle w:val="NormalWeb"/>
                              <w:rPr>
                                <w:sz w:val="22"/>
                              </w:rPr>
                            </w:pPr>
                            <w:r>
                              <w:rPr>
                                <w:sz w:val="22"/>
                              </w:rPr>
                              <w:t>The p</w:t>
                            </w:r>
                            <w:r w:rsidRPr="00FB40BF">
                              <w:rPr>
                                <w:sz w:val="22"/>
                              </w:rPr>
                              <w:t>eccary pelt certification</w:t>
                            </w:r>
                            <w:r>
                              <w:rPr>
                                <w:sz w:val="22"/>
                              </w:rPr>
                              <w:t xml:space="preserve"> project in Peru</w:t>
                            </w:r>
                            <w:r w:rsidRPr="00FB40BF">
                              <w:rPr>
                                <w:sz w:val="22"/>
                              </w:rPr>
                              <w:t xml:space="preserve"> was </w:t>
                            </w:r>
                            <w:r>
                              <w:rPr>
                                <w:sz w:val="22"/>
                              </w:rPr>
                              <w:t>initiated</w:t>
                            </w:r>
                            <w:r w:rsidRPr="00FB40BF">
                              <w:rPr>
                                <w:sz w:val="22"/>
                              </w:rPr>
                              <w:t xml:space="preserve"> by WCS Peru, The Universidad Nacional de la Amazonia Peruana (UNAP), and </w:t>
                            </w:r>
                            <w:r w:rsidRPr="005B40DD">
                              <w:rPr>
                                <w:sz w:val="22"/>
                              </w:rPr>
                              <w:t xml:space="preserve">Fundacion para la conservación del Trópico Amazonico (FUNDAMAZONIA), with the aim of incentivising the sustainable management </w:t>
                            </w:r>
                            <w:r>
                              <w:rPr>
                                <w:sz w:val="22"/>
                              </w:rPr>
                              <w:t>of wildlife hunting. Skins that are</w:t>
                            </w:r>
                            <w:r w:rsidRPr="00A235BC">
                              <w:rPr>
                                <w:sz w:val="22"/>
                              </w:rPr>
                              <w:t xml:space="preserve"> obtained from communities who </w:t>
                            </w:r>
                            <w:r>
                              <w:rPr>
                                <w:sz w:val="22"/>
                              </w:rPr>
                              <w:t>attain certification are</w:t>
                            </w:r>
                            <w:r w:rsidRPr="00A235BC">
                              <w:rPr>
                                <w:sz w:val="22"/>
                              </w:rPr>
                              <w:t xml:space="preserve"> labelled and documented as being obtained in a permitted manner. While skin trading is not the driving reason fo</w:t>
                            </w:r>
                            <w:r>
                              <w:rPr>
                                <w:sz w:val="22"/>
                              </w:rPr>
                              <w:t>r the harvesting of peccaries,</w:t>
                            </w:r>
                            <w:r w:rsidRPr="00A235BC">
                              <w:rPr>
                                <w:sz w:val="22"/>
                              </w:rPr>
                              <w:t xml:space="preserve"> the certification programme enables communities participating in sustainable harvesting to benefit from the international </w:t>
                            </w:r>
                            <w:r>
                              <w:rPr>
                                <w:sz w:val="22"/>
                              </w:rPr>
                              <w:t>market for certified</w:t>
                            </w:r>
                            <w:r w:rsidRPr="00A235BC">
                              <w:rPr>
                                <w:sz w:val="22"/>
                              </w:rPr>
                              <w:t xml:space="preserve"> skins. </w:t>
                            </w:r>
                            <w:r>
                              <w:rPr>
                                <w:sz w:val="22"/>
                              </w:rPr>
                              <w:t>The</w:t>
                            </w:r>
                            <w:r w:rsidRPr="00A235BC">
                              <w:rPr>
                                <w:sz w:val="22"/>
                              </w:rPr>
                              <w:t xml:space="preserve"> project provides an increased economic incentive for the rural communities involved </w:t>
                            </w:r>
                            <w:r>
                              <w:rPr>
                                <w:sz w:val="22"/>
                              </w:rPr>
                              <w:t>to practice sustainable hunting, and</w:t>
                            </w:r>
                            <w:r w:rsidRPr="00A235BC">
                              <w:rPr>
                                <w:sz w:val="22"/>
                              </w:rPr>
                              <w:t xml:space="preserve"> </w:t>
                            </w:r>
                            <w:r>
                              <w:rPr>
                                <w:sz w:val="22"/>
                              </w:rPr>
                              <w:t>recognises</w:t>
                            </w:r>
                            <w:r w:rsidRPr="00A235BC">
                              <w:rPr>
                                <w:sz w:val="22"/>
                              </w:rPr>
                              <w:t xml:space="preserve"> community members as valuable stakeholders in the managem</w:t>
                            </w:r>
                            <w:r>
                              <w:rPr>
                                <w:sz w:val="22"/>
                              </w:rPr>
                              <w:t>ent of the peccary populations</w:t>
                            </w:r>
                            <w:r w:rsidRPr="00A235BC">
                              <w:rPr>
                                <w:sz w:val="22"/>
                              </w:rPr>
                              <w:t>.</w:t>
                            </w:r>
                          </w:p>
                          <w:p w14:paraId="72AE6EA4" w14:textId="77777777" w:rsidR="00B82BFD" w:rsidRPr="00A235BC" w:rsidRDefault="00B82BFD" w:rsidP="00C24D4C">
                            <w:pPr>
                              <w:rPr>
                                <w:sz w:val="22"/>
                              </w:rPr>
                            </w:pPr>
                            <w:r w:rsidRPr="00A235BC">
                              <w:rPr>
                                <w:sz w:val="22"/>
                              </w:rPr>
                              <w:t>The peccary pelt certification programme is based on a set of wildlife management guidelines that communities follow to attain certific</w:t>
                            </w:r>
                            <w:r>
                              <w:rPr>
                                <w:sz w:val="22"/>
                              </w:rPr>
                              <w:t xml:space="preserve">ation, </w:t>
                            </w:r>
                            <w:r w:rsidRPr="00A235BC">
                              <w:rPr>
                                <w:sz w:val="22"/>
                              </w:rPr>
                              <w:t>developed through biological and socio-economic research</w:t>
                            </w:r>
                            <w:r>
                              <w:rPr>
                                <w:sz w:val="22"/>
                              </w:rPr>
                              <w:t>:</w:t>
                            </w:r>
                          </w:p>
                          <w:p w14:paraId="28D78F2D" w14:textId="3C170C15" w:rsidR="00B82BFD" w:rsidRPr="00A235BC" w:rsidRDefault="00B82BFD" w:rsidP="00C24D4C">
                            <w:pPr>
                              <w:spacing w:before="120" w:after="120"/>
                              <w:rPr>
                                <w:sz w:val="22"/>
                              </w:rPr>
                            </w:pPr>
                            <w:r w:rsidRPr="00A235BC">
                              <w:rPr>
                                <w:sz w:val="22"/>
                              </w:rPr>
                              <w:t xml:space="preserve">1. Limits should be established on hunting animals </w:t>
                            </w:r>
                            <w:r>
                              <w:rPr>
                                <w:sz w:val="22"/>
                              </w:rPr>
                              <w:t>which can be hunted</w:t>
                            </w:r>
                            <w:r w:rsidRPr="00A235BC">
                              <w:rPr>
                                <w:sz w:val="22"/>
                              </w:rPr>
                              <w:t xml:space="preserve"> </w:t>
                            </w:r>
                            <w:r>
                              <w:rPr>
                                <w:sz w:val="22"/>
                              </w:rPr>
                              <w:t>(</w:t>
                            </w:r>
                            <w:r w:rsidRPr="00A235BC">
                              <w:rPr>
                                <w:sz w:val="22"/>
                              </w:rPr>
                              <w:t xml:space="preserve">such as collared peccary, white-lipped peccary, </w:t>
                            </w:r>
                            <w:r>
                              <w:rPr>
                                <w:sz w:val="22"/>
                              </w:rPr>
                              <w:t>brocket deer, agouti, and paca).</w:t>
                            </w:r>
                          </w:p>
                          <w:p w14:paraId="709C8617" w14:textId="77777777" w:rsidR="00B82BFD" w:rsidRPr="00A235BC" w:rsidRDefault="00B82BFD" w:rsidP="00C24D4C">
                            <w:pPr>
                              <w:spacing w:before="120" w:after="120"/>
                              <w:rPr>
                                <w:sz w:val="22"/>
                              </w:rPr>
                            </w:pPr>
                            <w:r w:rsidRPr="00A235BC">
                              <w:rPr>
                                <w:sz w:val="22"/>
                              </w:rPr>
                              <w:t xml:space="preserve">2. Reduce or stop hunting animals vulnerable to overhunting, such as primates, tapir, jaguar, </w:t>
                            </w:r>
                            <w:r>
                              <w:rPr>
                                <w:sz w:val="22"/>
                              </w:rPr>
                              <w:t>manatee, and giant river otter.</w:t>
                            </w:r>
                          </w:p>
                          <w:p w14:paraId="3FD10AE7" w14:textId="77777777" w:rsidR="00B82BFD" w:rsidRPr="00A235BC" w:rsidRDefault="00B82BFD" w:rsidP="00C24D4C">
                            <w:pPr>
                              <w:spacing w:before="120" w:after="120"/>
                              <w:rPr>
                                <w:sz w:val="22"/>
                              </w:rPr>
                            </w:pPr>
                            <w:r w:rsidRPr="00A235BC">
                              <w:rPr>
                                <w:sz w:val="22"/>
                              </w:rPr>
                              <w:t>3. Set up hunting registers to monitor hunting activity and abundance through CPUE. Registers should record the time spent hunting, numbers of each species hunted, the location where the animals were hunted, s</w:t>
                            </w:r>
                            <w:r>
                              <w:rPr>
                                <w:sz w:val="22"/>
                              </w:rPr>
                              <w:t>ex of the animal, and the date.</w:t>
                            </w:r>
                          </w:p>
                          <w:p w14:paraId="519C2525" w14:textId="77777777" w:rsidR="00B82BFD" w:rsidRPr="00A235BC" w:rsidRDefault="00B82BFD" w:rsidP="00C24D4C">
                            <w:pPr>
                              <w:spacing w:before="120" w:after="120"/>
                              <w:rPr>
                                <w:sz w:val="22"/>
                              </w:rPr>
                            </w:pPr>
                            <w:r w:rsidRPr="00A235BC">
                              <w:rPr>
                                <w:sz w:val="22"/>
                              </w:rPr>
                              <w:t>4. Work with project staff to evaluate the sustainability of hunting using the Unified Harvest Mode</w:t>
                            </w:r>
                            <w:r>
                              <w:rPr>
                                <w:sz w:val="22"/>
                              </w:rPr>
                              <w:t>l and establish hunting limits.</w:t>
                            </w:r>
                          </w:p>
                          <w:p w14:paraId="6E49E57D" w14:textId="77777777" w:rsidR="00B82BFD" w:rsidRPr="00A235BC" w:rsidRDefault="00B82BFD" w:rsidP="00C24D4C">
                            <w:pPr>
                              <w:spacing w:before="120" w:after="120"/>
                              <w:rPr>
                                <w:sz w:val="22"/>
                              </w:rPr>
                            </w:pPr>
                            <w:r w:rsidRPr="00A235BC">
                              <w:rPr>
                                <w:sz w:val="22"/>
                              </w:rPr>
                              <w:t>5. Set source (non-hunted) and sink (hunted) areas. Source areas will buffer hunted areas against overhunting and will</w:t>
                            </w:r>
                            <w:r>
                              <w:rPr>
                                <w:sz w:val="22"/>
                              </w:rPr>
                              <w:t xml:space="preserve"> help long-term sustainability.</w:t>
                            </w:r>
                          </w:p>
                          <w:p w14:paraId="23F5DF94" w14:textId="77777777" w:rsidR="00B82BFD" w:rsidRPr="00A235BC" w:rsidRDefault="00B82BFD" w:rsidP="00C24D4C">
                            <w:pPr>
                              <w:spacing w:before="120" w:after="120"/>
                              <w:rPr>
                                <w:sz w:val="22"/>
                              </w:rPr>
                            </w:pPr>
                            <w:r>
                              <w:rPr>
                                <w:sz w:val="22"/>
                              </w:rPr>
                              <w:t>6. Conserve wildlife habitat.</w:t>
                            </w:r>
                          </w:p>
                          <w:p w14:paraId="2A8EEB49" w14:textId="77777777" w:rsidR="00B82BFD" w:rsidRPr="0038208F" w:rsidRDefault="00B82BFD" w:rsidP="00C24D4C">
                            <w:pPr>
                              <w:rPr>
                                <w:sz w:val="22"/>
                              </w:rPr>
                            </w:pPr>
                            <w:r w:rsidRPr="00A235BC">
                              <w:rPr>
                                <w:sz w:val="22"/>
                              </w:rPr>
                              <w:t>These guidelines were implemented differently in each community depending on their socio-economic and cultural realities.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0AC00" id="Text Box 15" o:spid="_x0000_s1029" type="#_x0000_t202" style="position:absolute;left:0;text-align:left;margin-left:0;margin-top:264.95pt;width:450.15pt;height:4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" fillcolor="#d8d8d8 [2732]" strokecolor="black [3213]" strokeweight="1.75pt">
                <v:textbox>
                  <w:txbxContent>
                    <w:p w14:paraId="0E2EB1C0" w14:textId="3471F9D1" w:rsidR="00B82BFD" w:rsidRPr="006D01B0" w:rsidRDefault="00B82BFD" w:rsidP="00C24D4C">
                      <w:pPr>
                        <w:pStyle w:val="Caption"/>
                        <w:rPr>
                          <w:snapToGrid w:val="0"/>
                          <w:lang w:eastAsia="ja-JP" w:bidi="th-TH"/>
                        </w:rPr>
                      </w:pPr>
                      <w:bookmarkStart w:id="208" w:name="_Ref520294558"/>
                      <w:bookmarkStart w:id="209" w:name="_Hlk529269388"/>
                      <w:r>
                        <w:t xml:space="preserve">Box </w:t>
                      </w:r>
                      <w:r>
                        <w:fldChar w:fldCharType="begin"/>
                      </w:r>
                      <w:r>
                        <w:instrText xml:space="preserve"> SEQ Box \* ARABIC </w:instrText>
                      </w:r>
                      <w:r>
                        <w:fldChar w:fldCharType="separate"/>
                      </w:r>
                      <w:r>
                        <w:rPr>
                          <w:noProof/>
                        </w:rPr>
                        <w:t>4</w:t>
                      </w:r>
                      <w:r>
                        <w:fldChar w:fldCharType="end"/>
                      </w:r>
                      <w:bookmarkEnd w:id="208"/>
                      <w:r>
                        <w:rPr>
                          <w:snapToGrid w:val="0"/>
                          <w:lang w:eastAsia="ja-JP" w:bidi="th-TH"/>
                        </w:rPr>
                        <w:t xml:space="preserve">: </w:t>
                      </w:r>
                      <w:r w:rsidRPr="000D26AC">
                        <w:rPr>
                          <w:sz w:val="22"/>
                        </w:rPr>
                        <w:t>Certification of Peccary pelts in Peru</w:t>
                      </w:r>
                    </w:p>
                    <w:bookmarkEnd w:id="209"/>
                    <w:p w14:paraId="3065C1F5" w14:textId="77777777" w:rsidR="00B82BFD" w:rsidRDefault="00B82BFD" w:rsidP="00C24D4C">
                      <w:pPr>
                        <w:rPr>
                          <w:sz w:val="22"/>
                        </w:rPr>
                      </w:pPr>
                      <w:r>
                        <w:rPr>
                          <w:sz w:val="22"/>
                        </w:rPr>
                        <w:t>(</w:t>
                      </w:r>
                      <w:r w:rsidRPr="00EC1C0D">
                        <w:rPr>
                          <w:sz w:val="22"/>
                        </w:rPr>
                        <w:t>from Pires and Moreto, 2011 and Fundamazonia, 2018)</w:t>
                      </w:r>
                    </w:p>
                    <w:p w14:paraId="4ACE981D" w14:textId="625A9197" w:rsidR="00B82BFD" w:rsidRPr="00FB40BF" w:rsidRDefault="00B82BFD" w:rsidP="00C24D4C">
                      <w:pPr>
                        <w:pStyle w:val="NormalWeb"/>
                        <w:rPr>
                          <w:sz w:val="22"/>
                        </w:rPr>
                      </w:pPr>
                      <w:r>
                        <w:rPr>
                          <w:sz w:val="22"/>
                        </w:rPr>
                        <w:t>The p</w:t>
                      </w:r>
                      <w:r w:rsidRPr="00FB40BF">
                        <w:rPr>
                          <w:sz w:val="22"/>
                        </w:rPr>
                        <w:t>eccary pelt certification</w:t>
                      </w:r>
                      <w:r>
                        <w:rPr>
                          <w:sz w:val="22"/>
                        </w:rPr>
                        <w:t xml:space="preserve"> project in Peru</w:t>
                      </w:r>
                      <w:r w:rsidRPr="00FB40BF">
                        <w:rPr>
                          <w:sz w:val="22"/>
                        </w:rPr>
                        <w:t xml:space="preserve"> was </w:t>
                      </w:r>
                      <w:r>
                        <w:rPr>
                          <w:sz w:val="22"/>
                        </w:rPr>
                        <w:t>initiated</w:t>
                      </w:r>
                      <w:r w:rsidRPr="00FB40BF">
                        <w:rPr>
                          <w:sz w:val="22"/>
                        </w:rPr>
                        <w:t xml:space="preserve"> by WCS Peru, The Universidad Nacional de la Amazonia Peruana (UNAP), and </w:t>
                      </w:r>
                      <w:r w:rsidRPr="005B40DD">
                        <w:rPr>
                          <w:sz w:val="22"/>
                        </w:rPr>
                        <w:t xml:space="preserve">Fundacion para la conservación del Trópico Amazonico (FUNDAMAZONIA), with the aim of incentivising the sustainable management </w:t>
                      </w:r>
                      <w:r>
                        <w:rPr>
                          <w:sz w:val="22"/>
                        </w:rPr>
                        <w:t>of wildlife hunting. Skins that are</w:t>
                      </w:r>
                      <w:r w:rsidRPr="00A235BC">
                        <w:rPr>
                          <w:sz w:val="22"/>
                        </w:rPr>
                        <w:t xml:space="preserve"> obtained from communities who </w:t>
                      </w:r>
                      <w:r>
                        <w:rPr>
                          <w:sz w:val="22"/>
                        </w:rPr>
                        <w:t>attain certification are</w:t>
                      </w:r>
                      <w:r w:rsidRPr="00A235BC">
                        <w:rPr>
                          <w:sz w:val="22"/>
                        </w:rPr>
                        <w:t xml:space="preserve"> labelled and documented as being obtained in a permitted manner. While skin trading is not the driving reason fo</w:t>
                      </w:r>
                      <w:r>
                        <w:rPr>
                          <w:sz w:val="22"/>
                        </w:rPr>
                        <w:t>r the harvesting of peccaries,</w:t>
                      </w:r>
                      <w:r w:rsidRPr="00A235BC">
                        <w:rPr>
                          <w:sz w:val="22"/>
                        </w:rPr>
                        <w:t xml:space="preserve"> the certification programme enables communities participating in sustainable harvesting to benefit from the international </w:t>
                      </w:r>
                      <w:r>
                        <w:rPr>
                          <w:sz w:val="22"/>
                        </w:rPr>
                        <w:t>market for certified</w:t>
                      </w:r>
                      <w:r w:rsidRPr="00A235BC">
                        <w:rPr>
                          <w:sz w:val="22"/>
                        </w:rPr>
                        <w:t xml:space="preserve"> skins. </w:t>
                      </w:r>
                      <w:r>
                        <w:rPr>
                          <w:sz w:val="22"/>
                        </w:rPr>
                        <w:t>The</w:t>
                      </w:r>
                      <w:r w:rsidRPr="00A235BC">
                        <w:rPr>
                          <w:sz w:val="22"/>
                        </w:rPr>
                        <w:t xml:space="preserve"> project provides an increased economic incentive for the rural communities involved </w:t>
                      </w:r>
                      <w:r>
                        <w:rPr>
                          <w:sz w:val="22"/>
                        </w:rPr>
                        <w:t>to practice sustainable hunting, and</w:t>
                      </w:r>
                      <w:r w:rsidRPr="00A235BC">
                        <w:rPr>
                          <w:sz w:val="22"/>
                        </w:rPr>
                        <w:t xml:space="preserve"> </w:t>
                      </w:r>
                      <w:r>
                        <w:rPr>
                          <w:sz w:val="22"/>
                        </w:rPr>
                        <w:t>recognises</w:t>
                      </w:r>
                      <w:r w:rsidRPr="00A235BC">
                        <w:rPr>
                          <w:sz w:val="22"/>
                        </w:rPr>
                        <w:t xml:space="preserve"> community members as valuable stakeholders in the managem</w:t>
                      </w:r>
                      <w:r>
                        <w:rPr>
                          <w:sz w:val="22"/>
                        </w:rPr>
                        <w:t>ent of the peccary populations</w:t>
                      </w:r>
                      <w:r w:rsidRPr="00A235BC">
                        <w:rPr>
                          <w:sz w:val="22"/>
                        </w:rPr>
                        <w:t>.</w:t>
                      </w:r>
                    </w:p>
                    <w:p w14:paraId="72AE6EA4" w14:textId="77777777" w:rsidR="00B82BFD" w:rsidRPr="00A235BC" w:rsidRDefault="00B82BFD" w:rsidP="00C24D4C">
                      <w:pPr>
                        <w:rPr>
                          <w:sz w:val="22"/>
                        </w:rPr>
                      </w:pPr>
                      <w:r w:rsidRPr="00A235BC">
                        <w:rPr>
                          <w:sz w:val="22"/>
                        </w:rPr>
                        <w:t>The peccary pelt certification programme is based on a set of wildlife management guidelines that communities follow to attain certific</w:t>
                      </w:r>
                      <w:r>
                        <w:rPr>
                          <w:sz w:val="22"/>
                        </w:rPr>
                        <w:t xml:space="preserve">ation, </w:t>
                      </w:r>
                      <w:r w:rsidRPr="00A235BC">
                        <w:rPr>
                          <w:sz w:val="22"/>
                        </w:rPr>
                        <w:t>developed through biological and socio-economic research</w:t>
                      </w:r>
                      <w:r>
                        <w:rPr>
                          <w:sz w:val="22"/>
                        </w:rPr>
                        <w:t>:</w:t>
                      </w:r>
                    </w:p>
                    <w:p w14:paraId="28D78F2D" w14:textId="3C170C15" w:rsidR="00B82BFD" w:rsidRPr="00A235BC" w:rsidRDefault="00B82BFD" w:rsidP="00C24D4C">
                      <w:pPr>
                        <w:spacing w:before="120" w:after="120"/>
                        <w:rPr>
                          <w:sz w:val="22"/>
                        </w:rPr>
                      </w:pPr>
                      <w:r w:rsidRPr="00A235BC">
                        <w:rPr>
                          <w:sz w:val="22"/>
                        </w:rPr>
                        <w:t xml:space="preserve">1. Limits should be established on hunting animals </w:t>
                      </w:r>
                      <w:r>
                        <w:rPr>
                          <w:sz w:val="22"/>
                        </w:rPr>
                        <w:t>which can be hunted</w:t>
                      </w:r>
                      <w:r w:rsidRPr="00A235BC">
                        <w:rPr>
                          <w:sz w:val="22"/>
                        </w:rPr>
                        <w:t xml:space="preserve"> </w:t>
                      </w:r>
                      <w:r>
                        <w:rPr>
                          <w:sz w:val="22"/>
                        </w:rPr>
                        <w:t>(</w:t>
                      </w:r>
                      <w:r w:rsidRPr="00A235BC">
                        <w:rPr>
                          <w:sz w:val="22"/>
                        </w:rPr>
                        <w:t xml:space="preserve">such as collared peccary, white-lipped peccary, </w:t>
                      </w:r>
                      <w:r>
                        <w:rPr>
                          <w:sz w:val="22"/>
                        </w:rPr>
                        <w:t>brocket deer, agouti, and paca).</w:t>
                      </w:r>
                    </w:p>
                    <w:p w14:paraId="709C8617" w14:textId="77777777" w:rsidR="00B82BFD" w:rsidRPr="00A235BC" w:rsidRDefault="00B82BFD" w:rsidP="00C24D4C">
                      <w:pPr>
                        <w:spacing w:before="120" w:after="120"/>
                        <w:rPr>
                          <w:sz w:val="22"/>
                        </w:rPr>
                      </w:pPr>
                      <w:r w:rsidRPr="00A235BC">
                        <w:rPr>
                          <w:sz w:val="22"/>
                        </w:rPr>
                        <w:t xml:space="preserve">2. Reduce or stop hunting animals vulnerable to overhunting, such as primates, tapir, jaguar, </w:t>
                      </w:r>
                      <w:r>
                        <w:rPr>
                          <w:sz w:val="22"/>
                        </w:rPr>
                        <w:t>manatee, and giant river otter.</w:t>
                      </w:r>
                    </w:p>
                    <w:p w14:paraId="3FD10AE7" w14:textId="77777777" w:rsidR="00B82BFD" w:rsidRPr="00A235BC" w:rsidRDefault="00B82BFD" w:rsidP="00C24D4C">
                      <w:pPr>
                        <w:spacing w:before="120" w:after="120"/>
                        <w:rPr>
                          <w:sz w:val="22"/>
                        </w:rPr>
                      </w:pPr>
                      <w:r w:rsidRPr="00A235BC">
                        <w:rPr>
                          <w:sz w:val="22"/>
                        </w:rPr>
                        <w:t>3. Set up hunting registers to monitor hunting activity and abundance through CPUE. Registers should record the time spent hunting, numbers of each species hunted, the location where the animals were hunted, s</w:t>
                      </w:r>
                      <w:r>
                        <w:rPr>
                          <w:sz w:val="22"/>
                        </w:rPr>
                        <w:t>ex of the animal, and the date.</w:t>
                      </w:r>
                    </w:p>
                    <w:p w14:paraId="519C2525" w14:textId="77777777" w:rsidR="00B82BFD" w:rsidRPr="00A235BC" w:rsidRDefault="00B82BFD" w:rsidP="00C24D4C">
                      <w:pPr>
                        <w:spacing w:before="120" w:after="120"/>
                        <w:rPr>
                          <w:sz w:val="22"/>
                        </w:rPr>
                      </w:pPr>
                      <w:r w:rsidRPr="00A235BC">
                        <w:rPr>
                          <w:sz w:val="22"/>
                        </w:rPr>
                        <w:t>4. Work with project staff to evaluate the sustainability of hunting using the Unified Harvest Mode</w:t>
                      </w:r>
                      <w:r>
                        <w:rPr>
                          <w:sz w:val="22"/>
                        </w:rPr>
                        <w:t>l and establish hunting limits.</w:t>
                      </w:r>
                    </w:p>
                    <w:p w14:paraId="6E49E57D" w14:textId="77777777" w:rsidR="00B82BFD" w:rsidRPr="00A235BC" w:rsidRDefault="00B82BFD" w:rsidP="00C24D4C">
                      <w:pPr>
                        <w:spacing w:before="120" w:after="120"/>
                        <w:rPr>
                          <w:sz w:val="22"/>
                        </w:rPr>
                      </w:pPr>
                      <w:r w:rsidRPr="00A235BC">
                        <w:rPr>
                          <w:sz w:val="22"/>
                        </w:rPr>
                        <w:t>5. Set source (non-hunted) and sink (hunted) areas. Source areas will buffer hunted areas against overhunting and will</w:t>
                      </w:r>
                      <w:r>
                        <w:rPr>
                          <w:sz w:val="22"/>
                        </w:rPr>
                        <w:t xml:space="preserve"> help long-term sustainability.</w:t>
                      </w:r>
                    </w:p>
                    <w:p w14:paraId="23F5DF94" w14:textId="77777777" w:rsidR="00B82BFD" w:rsidRPr="00A235BC" w:rsidRDefault="00B82BFD" w:rsidP="00C24D4C">
                      <w:pPr>
                        <w:spacing w:before="120" w:after="120"/>
                        <w:rPr>
                          <w:sz w:val="22"/>
                        </w:rPr>
                      </w:pPr>
                      <w:r>
                        <w:rPr>
                          <w:sz w:val="22"/>
                        </w:rPr>
                        <w:t>6. Conserve wildlife habitat.</w:t>
                      </w:r>
                    </w:p>
                    <w:p w14:paraId="2A8EEB49" w14:textId="77777777" w:rsidR="00B82BFD" w:rsidRPr="0038208F" w:rsidRDefault="00B82BFD" w:rsidP="00C24D4C">
                      <w:pPr>
                        <w:rPr>
                          <w:sz w:val="22"/>
                        </w:rPr>
                      </w:pPr>
                      <w:r w:rsidRPr="00A235BC">
                        <w:rPr>
                          <w:sz w:val="22"/>
                        </w:rPr>
                        <w:t>These guidelines were implemented differently in each community depending on their socio-economic and cultural realities.</w:t>
                      </w:r>
                    </w:p>
                  </w:txbxContent>
                </v:textbox>
                <w10:wrap type="square" anchory="page"/>
              </v:shape>
            </w:pict>
          </mc:Fallback>
        </mc:AlternateContent>
      </w:r>
      <w:r w:rsidRPr="004904D8">
        <w:rPr>
          <w:snapToGrid w:val="0"/>
          <w:color w:val="000000" w:themeColor="text1"/>
          <w:lang w:eastAsia="ja-JP" w:bidi="th-TH"/>
        </w:rPr>
        <w:t xml:space="preserve">Certification has the potential to contribute to the conservation and sustainable use of wild species by influencing consumer choices for wildlife friendly products. </w:t>
      </w:r>
      <w:r w:rsidR="00973DFD">
        <w:rPr>
          <w:snapToGrid w:val="0"/>
          <w:color w:val="000000" w:themeColor="text1"/>
          <w:lang w:eastAsia="ja-JP" w:bidi="th-TH"/>
        </w:rPr>
        <w:t>Most</w:t>
      </w:r>
      <w:r w:rsidRPr="004904D8">
        <w:rPr>
          <w:snapToGrid w:val="0"/>
          <w:color w:val="000000" w:themeColor="text1"/>
          <w:lang w:eastAsia="ja-JP" w:bidi="th-TH"/>
        </w:rPr>
        <w:t xml:space="preserve"> certification schemes certify products that are cultivated, harvested or produced without harming wildlife habitats or wildlife populations</w:t>
      </w:r>
      <w:r w:rsidR="00973DFD">
        <w:rPr>
          <w:snapToGrid w:val="0"/>
          <w:color w:val="000000" w:themeColor="text1"/>
          <w:lang w:eastAsia="ja-JP" w:bidi="th-TH"/>
        </w:rPr>
        <w:t>, such as wildlife friendly wood or wildlife friendly cocoa. T</w:t>
      </w:r>
      <w:r w:rsidRPr="004904D8">
        <w:rPr>
          <w:snapToGrid w:val="0"/>
          <w:color w:val="000000" w:themeColor="text1"/>
          <w:lang w:eastAsia="ja-JP" w:bidi="th-TH"/>
        </w:rPr>
        <w:t>here are also a few examples of certification schemes th</w:t>
      </w:r>
      <w:r w:rsidRPr="005512D2">
        <w:rPr>
          <w:snapToGrid w:val="0"/>
          <w:color w:val="000000" w:themeColor="text1"/>
          <w:lang w:eastAsia="ja-JP" w:bidi="th-TH"/>
        </w:rPr>
        <w:t>at certify “wildlife based” products for being sustainably harvested (e.g. certified meat</w:t>
      </w:r>
      <w:r>
        <w:rPr>
          <w:snapToGrid w:val="0"/>
          <w:color w:val="000000" w:themeColor="text1"/>
          <w:lang w:eastAsia="ja-JP" w:bidi="th-TH"/>
        </w:rPr>
        <w:t xml:space="preserve"> and</w:t>
      </w:r>
      <w:r w:rsidRPr="005512D2">
        <w:rPr>
          <w:snapToGrid w:val="0"/>
          <w:color w:val="000000" w:themeColor="text1"/>
          <w:lang w:eastAsia="ja-JP" w:bidi="th-TH"/>
        </w:rPr>
        <w:t xml:space="preserve"> pelts</w:t>
      </w:r>
      <w:r>
        <w:rPr>
          <w:snapToGrid w:val="0"/>
          <w:color w:val="000000" w:themeColor="text1"/>
          <w:lang w:eastAsia="ja-JP" w:bidi="th-TH"/>
        </w:rPr>
        <w:t>;</w:t>
      </w:r>
      <w:r w:rsidR="006D01B0">
        <w:rPr>
          <w:snapToGrid w:val="0"/>
          <w:color w:val="000000" w:themeColor="text1"/>
          <w:lang w:eastAsia="ja-JP" w:bidi="th-TH"/>
        </w:rPr>
        <w:t xml:space="preserve"> </w:t>
      </w:r>
      <w:r w:rsidR="006D01B0">
        <w:rPr>
          <w:snapToGrid w:val="0"/>
          <w:color w:val="000000" w:themeColor="text1"/>
          <w:lang w:eastAsia="ja-JP" w:bidi="th-TH"/>
        </w:rPr>
        <w:fldChar w:fldCharType="begin"/>
      </w:r>
      <w:r w:rsidR="006D01B0">
        <w:rPr>
          <w:snapToGrid w:val="0"/>
          <w:color w:val="000000" w:themeColor="text1"/>
          <w:lang w:eastAsia="ja-JP" w:bidi="th-TH"/>
        </w:rPr>
        <w:instrText xml:space="preserve"> REF _Ref520294558 \h </w:instrText>
      </w:r>
      <w:r w:rsidR="006D01B0">
        <w:rPr>
          <w:snapToGrid w:val="0"/>
          <w:color w:val="000000" w:themeColor="text1"/>
          <w:lang w:eastAsia="ja-JP" w:bidi="th-TH"/>
        </w:rPr>
      </w:r>
      <w:r w:rsidR="006D01B0">
        <w:rPr>
          <w:snapToGrid w:val="0"/>
          <w:color w:val="000000" w:themeColor="text1"/>
          <w:lang w:eastAsia="ja-JP" w:bidi="th-TH"/>
        </w:rPr>
        <w:fldChar w:fldCharType="separate"/>
      </w:r>
      <w:r w:rsidR="007034F1">
        <w:t xml:space="preserve">Box </w:t>
      </w:r>
      <w:r w:rsidR="007034F1">
        <w:rPr>
          <w:noProof/>
        </w:rPr>
        <w:t>4</w:t>
      </w:r>
      <w:r w:rsidR="006D01B0">
        <w:rPr>
          <w:snapToGrid w:val="0"/>
          <w:color w:val="000000" w:themeColor="text1"/>
          <w:lang w:eastAsia="ja-JP" w:bidi="th-TH"/>
        </w:rPr>
        <w:fldChar w:fldCharType="end"/>
      </w:r>
      <w:r w:rsidR="006D01B0">
        <w:rPr>
          <w:snapToGrid w:val="0"/>
          <w:color w:val="000000" w:themeColor="text1"/>
          <w:lang w:eastAsia="ja-JP" w:bidi="th-TH"/>
        </w:rPr>
        <w:t>)</w:t>
      </w:r>
      <w:r w:rsidRPr="005512D2">
        <w:rPr>
          <w:snapToGrid w:val="0"/>
          <w:color w:val="000000" w:themeColor="text1"/>
          <w:lang w:eastAsia="ja-JP" w:bidi="th-TH"/>
        </w:rPr>
        <w:t xml:space="preserve">. Certification schemes work well in societies that are ready to pay a premium price for products that respond to their ethics as consumers. The premium price received by </w:t>
      </w:r>
      <w:r w:rsidR="00D85930" w:rsidRPr="005512D2">
        <w:rPr>
          <w:snapToGrid w:val="0"/>
          <w:color w:val="000000" w:themeColor="text1"/>
          <w:lang w:eastAsia="ja-JP" w:bidi="th-TH"/>
        </w:rPr>
        <w:t>th</w:t>
      </w:r>
      <w:r w:rsidR="00D85930">
        <w:rPr>
          <w:snapToGrid w:val="0"/>
          <w:color w:val="000000" w:themeColor="text1"/>
          <w:lang w:eastAsia="ja-JP" w:bidi="th-TH"/>
        </w:rPr>
        <w:t>e</w:t>
      </w:r>
      <w:r>
        <w:rPr>
          <w:snapToGrid w:val="0"/>
          <w:color w:val="000000" w:themeColor="text1"/>
          <w:lang w:eastAsia="ja-JP" w:bidi="th-TH"/>
        </w:rPr>
        <w:t xml:space="preserve"> </w:t>
      </w:r>
      <w:r w:rsidR="00973DFD">
        <w:rPr>
          <w:snapToGrid w:val="0"/>
          <w:color w:val="000000" w:themeColor="text1"/>
          <w:lang w:eastAsia="ja-JP" w:bidi="th-TH"/>
        </w:rPr>
        <w:t xml:space="preserve">producer - </w:t>
      </w:r>
      <w:r w:rsidRPr="005512D2">
        <w:rPr>
          <w:snapToGrid w:val="0"/>
          <w:color w:val="000000" w:themeColor="text1"/>
          <w:lang w:eastAsia="ja-JP" w:bidi="th-TH"/>
        </w:rPr>
        <w:t>a hunt</w:t>
      </w:r>
      <w:r w:rsidR="00973DFD">
        <w:rPr>
          <w:snapToGrid w:val="0"/>
          <w:color w:val="000000" w:themeColor="text1"/>
          <w:lang w:eastAsia="ja-JP" w:bidi="th-TH"/>
        </w:rPr>
        <w:t xml:space="preserve">er, or a community </w:t>
      </w:r>
      <w:r w:rsidR="00A479D2">
        <w:rPr>
          <w:snapToGrid w:val="0"/>
          <w:color w:val="000000" w:themeColor="text1"/>
          <w:lang w:eastAsia="ja-JP" w:bidi="th-TH"/>
        </w:rPr>
        <w:t xml:space="preserve">- </w:t>
      </w:r>
      <w:r w:rsidR="00A479D2" w:rsidRPr="005512D2">
        <w:rPr>
          <w:snapToGrid w:val="0"/>
          <w:color w:val="000000" w:themeColor="text1"/>
          <w:lang w:eastAsia="ja-JP" w:bidi="th-TH"/>
        </w:rPr>
        <w:t>must</w:t>
      </w:r>
      <w:r w:rsidRPr="005512D2">
        <w:rPr>
          <w:snapToGrid w:val="0"/>
          <w:color w:val="000000" w:themeColor="text1"/>
          <w:lang w:eastAsia="ja-JP" w:bidi="th-TH"/>
        </w:rPr>
        <w:t xml:space="preserve"> cover for the costs of certification which are often high.</w:t>
      </w:r>
    </w:p>
    <w:p w14:paraId="3DC98A32" w14:textId="77C76745" w:rsidR="007078FA" w:rsidRDefault="007078FA" w:rsidP="00C258BC">
      <w:pPr>
        <w:jc w:val="both"/>
        <w:rPr>
          <w:snapToGrid w:val="0"/>
          <w:color w:val="000000" w:themeColor="text1"/>
          <w:lang w:eastAsia="ja-JP" w:bidi="th-TH"/>
        </w:rPr>
      </w:pPr>
    </w:p>
    <w:p w14:paraId="37D1AA5E" w14:textId="0181ABFF" w:rsidR="007078FA" w:rsidRDefault="007078FA" w:rsidP="00C258BC">
      <w:pPr>
        <w:jc w:val="both"/>
        <w:rPr>
          <w:snapToGrid w:val="0"/>
          <w:color w:val="000000" w:themeColor="text1"/>
          <w:lang w:eastAsia="ja-JP" w:bidi="th-TH"/>
        </w:rPr>
      </w:pPr>
    </w:p>
    <w:p w14:paraId="66B012ED" w14:textId="440285D0" w:rsidR="007078FA" w:rsidRPr="007078FA" w:rsidRDefault="007078FA" w:rsidP="007078FA">
      <w:r>
        <w:rPr>
          <w:snapToGrid w:val="0"/>
          <w:color w:val="000000" w:themeColor="text1"/>
          <w:lang w:eastAsia="ja-JP" w:bidi="th-TH"/>
        </w:rPr>
        <w:lastRenderedPageBreak/>
        <w:t xml:space="preserve">References for Box 4: </w:t>
      </w:r>
      <w:r>
        <w:fldChar w:fldCharType="begin" w:fldLock="1"/>
      </w:r>
      <w:r>
        <w:instrText>ADDIN CSL_CITATION {"citationItems":[{"id":"ITEM-1","itemData":{"URL":"http://www.fundamazonia.org/peccary-pelt-certification.htmlhttp://www.fundamazonia.org/peccary-pelt-certification.html","author":[{"dropping-particle":"","family":"FundAmazonia","given":"","non-dropping-particle":"","parse-names":false,"suffix":""}],"id":"ITEM-1","issued":{"date-parts":[["2017"]]},"title":"Peccary Pelt Certifcation","type":"webpage"},"uris":["http://www.mendeley.com/documents/?uuid=99d23548-eb8e-4ab0-823f-29fb6e33f11a"]},{"id":"ITEM-2","itemData":{"DOI":"10.1007/s10610-011-9141-3","ISBN":"0928-1371","ISSN":"09281371","abstract":"The 'tragedy of the commons' dilemma occurs when individuals working independently of one another, will overuse a common-property resource for short-term benefits while decimating the resource for long-term use (Hardin 1968). This is often found in the field of wildlife crimes where species become overexploited to increase short-term profits while endangering and eliminating a natural resource for future users. Wildlife crimes suffering from the ‘tragedy’ need to be prevented in order for species to avoid extinction while also conserving a natural resource that monetarily benefits numerous people and their respective communities. Current approaches to the illegal wildlife trade include implementing trade bans or regulatory schemes at the national and international level, yet their effectiveness of reducing the trade is unknown. Perhaps, a better approach in reducing the illegal wildlife trade is a combination of making it more difficult to poach (i.e. situational crime prevention) and incentivizing locals to abstain from poaching. This paper will first review the literature on wildlife crimes and then use a case study approach that will examine the literature on the illegal parrot trade, the market for wildlife skins, and over-fishing. Through these case studies, a comprehensive review of the problem will be detailed as well as innovative conservation solutions that show promise in reducing the poaching and exploitation of species. Amongst these solutions will be the use of situational crime prevention that has shown immediate reductions in crime when tailored towards highly-targeted areas and crimes.","author":[{"dropping-particle":"","family":"Pires","given":"Stephen F.","non-dropping-particle":"","parse-names":false,"suffix":""},{"dropping-particle":"","family":"Moreto","given":"William D.","non-dropping-particle":"","parse-names":false,"suffix":""}],"container-title":"European Journal on Criminal Policy and Research","id":"ITEM-2","issue":"2","issued":{"date-parts":[["2011"]]},"page":"101-123","title":"Preventing Wildlife Crimes: Solutions That Can Overcome the 'Tragedy of the Commons'","type":"article-journal","volume":"17"},"uris":["http://www.mendeley.com/documents/?uuid=a64f6b87-2f90-41e5-a018-6ce0b8da9f97"]}],"mendeley":{"formattedCitation":"(Pires &amp; Moreto 2011; FundAmazonia 2017)","plainTextFormattedCitation":"(Pires &amp; Moreto 2011; FundAmazonia 2017)","previouslyFormattedCitation":"(Pires &amp; Moreto 2011; FundAmazonia 2017)"},"properties":{"noteIndex":0},"schema":"https://github.com/citation-style-language/schema/raw/master/csl-citation.json"}</w:instrText>
      </w:r>
      <w:r>
        <w:fldChar w:fldCharType="separate"/>
      </w:r>
      <w:r w:rsidRPr="007949A8">
        <w:rPr>
          <w:noProof/>
        </w:rPr>
        <w:t>(Pires &amp; Moreto 2011; FundAmazonia 2017)</w:t>
      </w:r>
      <w:r>
        <w:fldChar w:fldCharType="end"/>
      </w:r>
    </w:p>
    <w:p w14:paraId="16F93531" w14:textId="731C5F04" w:rsidR="00DF07E0" w:rsidRPr="00785A38" w:rsidRDefault="00DF07E0" w:rsidP="001C1D6E">
      <w:pPr>
        <w:pStyle w:val="Heading3"/>
      </w:pPr>
      <w:r w:rsidRPr="00785A38">
        <w:t xml:space="preserve">The ‘alternative livelihoods’ approach  </w:t>
      </w:r>
    </w:p>
    <w:p w14:paraId="717A59FC" w14:textId="10386B88" w:rsidR="00DF07E0" w:rsidRPr="004904D8" w:rsidRDefault="00DF07E0" w:rsidP="00C258BC">
      <w:pPr>
        <w:jc w:val="both"/>
        <w:rPr>
          <w:color w:val="000000" w:themeColor="text1"/>
        </w:rPr>
      </w:pPr>
      <w:r w:rsidRPr="004904D8">
        <w:rPr>
          <w:color w:val="000000" w:themeColor="text1"/>
        </w:rPr>
        <w:t xml:space="preserve">One of the most widely applied strategies for reducing the supply of, and local demand for, wild meat at the community level has been the ‘alternative livelihoods’ approach. Projects </w:t>
      </w:r>
      <w:r w:rsidR="00973DFD">
        <w:rPr>
          <w:color w:val="000000" w:themeColor="text1"/>
        </w:rPr>
        <w:t xml:space="preserve">using this approach </w:t>
      </w:r>
      <w:r w:rsidRPr="004904D8">
        <w:rPr>
          <w:color w:val="000000" w:themeColor="text1"/>
        </w:rPr>
        <w:t xml:space="preserve">aim to </w:t>
      </w:r>
      <w:r w:rsidR="00973DFD">
        <w:rPr>
          <w:color w:val="000000" w:themeColor="text1"/>
        </w:rPr>
        <w:t xml:space="preserve">promote new or existing activities that provide communities with </w:t>
      </w:r>
      <w:r w:rsidRPr="004904D8">
        <w:rPr>
          <w:color w:val="000000" w:themeColor="text1"/>
        </w:rPr>
        <w:t>either an alternative source of meat protein or an alternative form of income generation to wild meat</w:t>
      </w:r>
      <w:r w:rsidR="00973DFD">
        <w:rPr>
          <w:color w:val="000000" w:themeColor="text1"/>
        </w:rPr>
        <w:t xml:space="preserve">. This should </w:t>
      </w:r>
      <w:r w:rsidR="00A479D2">
        <w:rPr>
          <w:color w:val="000000" w:themeColor="text1"/>
        </w:rPr>
        <w:t>consequently</w:t>
      </w:r>
      <w:r w:rsidRPr="004904D8">
        <w:rPr>
          <w:color w:val="000000" w:themeColor="text1"/>
        </w:rPr>
        <w:t xml:space="preserve"> decrease people’s dependency on wild meat and reduce pressures on wildlife, while improving (or have no negative impact on) local livelihoods </w:t>
      </w:r>
      <w:r w:rsidR="0021332A">
        <w:rPr>
          <w:color w:val="000000" w:themeColor="text1"/>
        </w:rPr>
        <w:fldChar w:fldCharType="begin" w:fldLock="1"/>
      </w:r>
      <w:r w:rsidR="00763BF5">
        <w:rPr>
          <w:color w:val="000000" w:themeColor="text1"/>
        </w:rPr>
        <w:instrText>ADDIN CSL_CITATION {"citationItems":[{"id":"ITEM-1","itemData":{"ISBN":"9292253883","abstract":"In tropical areas worldwide, the use of wildlife has important livelihood aspects and serves multiple roles. Wildlife products are often major items of consumption or display and have high medicinal and spiritual values in many human cultures (Scoones et al., 1992). The meat of wild animals has long been a part of the staple diet of forestdwelling peoples (Elliott et al., 2002). Bushmeat remains a primary source of animal protein for the majority of forest families (Wilkie et al., 2005), and can also constitute a significant source of revenue (Milner-Gulland et al., 2003), particularly where the trade is driven by increased bushmeat consumption in urban areas. Besides, bushmeat also plays a special role in the cultural and spiritual identity of indigenous peoples. Acquisition of animal parts as cultural artefacts, for personal adornment or for hunting trophies is still a widespread practice throughout tropical forest regions and the rest of the world (Nasi et al., 2008). Estimates of bushmeat harvest across the Congo Basin range between one (Wilkie &amp; Carpenter, 1999) and five million tonnes per year (Fa et al., 2003) with harvest rates appraised at between 23 and 897 kg/km2/year (Nasi et al., 2008). In the Brazilian Amazon, subsistence hunters have been estimated to harvest some 23.5 million individual animals annually for food (Bennett &amp; Robinson, 2000) with the yearly market value of wild game meat harvested by rural population estimated at US$ 191 million, second only to timber as a forest product (Peres 2000a; Peres 2000b). In Asia, the true scale and value of the wildlife trade are unknown, as much of the trade is carried out through informal networks, and not documented in government statistics (TRAFFIC, 2008). Many countries in the region including, Cambodia, Indonesia, Lao People’s Democratic Republic (Lao PDR) and Vietnam, act as major sources of wildlife that is traded and consumed. There is compelling evidence that the scale of current hunting is a serious threat to many forest species and ecosystems. Local extirpation of hunted species is widespread, with West and Central Africa particularly affected (Milner-Gulland et al., 2003). Many large animals have already gone ecologically extinct in vast areas of neotropical forest areas (Redford, 1992). Hunting is (like other human extractive activities in tropical forests), depending on the scale, a disruptive process. It can and does trigger numerous indirect effects, which in turn alter both (i) …","author":[{"dropping-particle":"","family":"Vliet","given":"N","non-dropping-particle":"Van","parse-names":false,"suffix":""}],"id":"ITEM-1","issued":{"date-parts":[["2011"]]},"number-of-pages":"46","publisher-place":"Secretariat of the Convention on Biological Diversity, Montreal, Canada","title":"Livelihood alternatives for the unsustainable use of bushmeat. Report prepared for the CBD Bushmeat Liaison Group. CBD Technical Series No. 60","type":"report"},"uris":["http://www.mendeley.com/documents/?uuid=63b9da45-820c-495a-a609-899e1d9d9ca9"]}],"mendeley":{"formattedCitation":"(Van Vliet 2011)","plainTextFormattedCitation":"(Van Vliet 2011)","previouslyFormattedCitation":"(Van Vliet 2011)"},"properties":{"noteIndex":0},"schema":"https://github.com/citation-style-language/schema/raw/master/csl-citation.json"}</w:instrText>
      </w:r>
      <w:r w:rsidR="0021332A">
        <w:rPr>
          <w:color w:val="000000" w:themeColor="text1"/>
        </w:rPr>
        <w:fldChar w:fldCharType="separate"/>
      </w:r>
      <w:r w:rsidR="00763BF5" w:rsidRPr="00763BF5">
        <w:rPr>
          <w:noProof/>
          <w:color w:val="000000" w:themeColor="text1"/>
        </w:rPr>
        <w:t>(Van Vliet 2011)</w:t>
      </w:r>
      <w:r w:rsidR="0021332A">
        <w:rPr>
          <w:color w:val="000000" w:themeColor="text1"/>
        </w:rPr>
        <w:fldChar w:fldCharType="end"/>
      </w:r>
      <w:r w:rsidRPr="004904D8">
        <w:rPr>
          <w:color w:val="000000" w:themeColor="text1"/>
        </w:rPr>
        <w:t>.</w:t>
      </w:r>
      <w:r w:rsidR="00973DFD">
        <w:rPr>
          <w:color w:val="000000" w:themeColor="text1"/>
        </w:rPr>
        <w:t xml:space="preserve"> Activities should be </w:t>
      </w:r>
      <w:r w:rsidR="00973DFD" w:rsidRPr="004904D8">
        <w:rPr>
          <w:color w:val="000000" w:themeColor="text1"/>
        </w:rPr>
        <w:t>low-cost, easily impleme</w:t>
      </w:r>
      <w:r w:rsidR="00973DFD">
        <w:rPr>
          <w:color w:val="000000" w:themeColor="text1"/>
        </w:rPr>
        <w:t>ntable, and have a low-environmental-impact.</w:t>
      </w:r>
    </w:p>
    <w:p w14:paraId="7DDB19CB" w14:textId="304FAA15" w:rsidR="00DF07E0" w:rsidRPr="005512D2" w:rsidRDefault="00DF07E0" w:rsidP="00C258BC">
      <w:pPr>
        <w:jc w:val="both"/>
        <w:rPr>
          <w:color w:val="000000" w:themeColor="text1"/>
        </w:rPr>
      </w:pPr>
      <w:r w:rsidRPr="005512D2">
        <w:rPr>
          <w:color w:val="000000" w:themeColor="text1"/>
        </w:rPr>
        <w:t xml:space="preserve">A recent review of alternative livelihood projects in West and Central Africa identified 155 past and current projects, of which beekeeping was the most frequently offered alternative, followed by cane rat farming, fish farming and pig farming </w:t>
      </w:r>
      <w:r w:rsidR="0021332A">
        <w:rPr>
          <w:color w:val="000000" w:themeColor="text1"/>
        </w:rPr>
        <w:fldChar w:fldCharType="begin" w:fldLock="1"/>
      </w:r>
      <w:r w:rsidR="0021332A">
        <w:rPr>
          <w:color w:val="000000" w:themeColor="text1"/>
        </w:rPr>
        <w:instrText>ADDIN CSL_CITATION {"citationItems":[{"id":"ITEM-1","itemData":{"author":[{"dropping-particle":"","family":"Wicander","given":"S.","non-dropping-particle":"","parse-names":false,"suffix":""},{"dropping-particle":"","family":"Coad","given":"L.","non-dropping-particle":"","parse-names":false,"suffix":""}],"container-title":"Conservation and Society","id":"ITEM-1","issue":"4","issued":{"date-parts":[["2018"]]},"page":"441-458","title":"Can the provision of alternative livelihoods reduce the impact of wild meat hunting in West and Central Africa?","type":"article-journal","volume":"16"},"uris":["http://www.mendeley.com/documents/?uuid=8af76451-bff9-4fa3-a9a5-18e294a3d629"]}],"mendeley":{"formattedCitation":"(Wicander &amp; Coad 2018)","plainTextFormattedCitation":"(Wicander &amp; Coad 2018)","previouslyFormattedCitation":"(Wicander &amp; Coad 2018)"},"properties":{"noteIndex":0},"schema":"https://github.com/citation-style-language/schema/raw/master/csl-citation.json"}</w:instrText>
      </w:r>
      <w:r w:rsidR="0021332A">
        <w:rPr>
          <w:color w:val="000000" w:themeColor="text1"/>
        </w:rPr>
        <w:fldChar w:fldCharType="separate"/>
      </w:r>
      <w:r w:rsidR="0021332A" w:rsidRPr="0021332A">
        <w:rPr>
          <w:noProof/>
          <w:color w:val="000000" w:themeColor="text1"/>
        </w:rPr>
        <w:t>(Wicander &amp; Coad 2018)</w:t>
      </w:r>
      <w:r w:rsidR="0021332A">
        <w:rPr>
          <w:color w:val="000000" w:themeColor="text1"/>
        </w:rPr>
        <w:fldChar w:fldCharType="end"/>
      </w:r>
      <w:r w:rsidRPr="005512D2">
        <w:rPr>
          <w:color w:val="000000" w:themeColor="text1"/>
        </w:rPr>
        <w:t>. A more detailed investigation of 19 of these projects found that most projects were not following agreed best practice in terms of their design:</w:t>
      </w:r>
    </w:p>
    <w:p w14:paraId="59798DAF" w14:textId="4B604756" w:rsidR="00DF07E0" w:rsidRPr="003E3238" w:rsidRDefault="00DF07E0" w:rsidP="00C258BC">
      <w:pPr>
        <w:pStyle w:val="ListParagraph"/>
        <w:numPr>
          <w:ilvl w:val="0"/>
          <w:numId w:val="6"/>
        </w:numPr>
        <w:jc w:val="both"/>
        <w:rPr>
          <w:color w:val="000000" w:themeColor="text1"/>
        </w:rPr>
      </w:pPr>
      <w:r w:rsidRPr="003E3238">
        <w:rPr>
          <w:color w:val="000000" w:themeColor="text1"/>
        </w:rPr>
        <w:t xml:space="preserve">Projects often operated on small budgets with short funding periods (1 – 2 years), which did not leave ample time for projects to come to </w:t>
      </w:r>
      <w:r w:rsidR="00D85930" w:rsidRPr="003E3238">
        <w:rPr>
          <w:color w:val="000000" w:themeColor="text1"/>
        </w:rPr>
        <w:t>fruition and</w:t>
      </w:r>
      <w:r w:rsidRPr="003E3238">
        <w:rPr>
          <w:color w:val="000000" w:themeColor="text1"/>
        </w:rPr>
        <w:t xml:space="preserve"> meant that the scale of the project was insufficient to combat the scale of hunting pressure.</w:t>
      </w:r>
    </w:p>
    <w:p w14:paraId="273D660A" w14:textId="75DD8264" w:rsidR="00DF07E0" w:rsidRPr="000A7365" w:rsidRDefault="00DF07E0" w:rsidP="00C258BC">
      <w:pPr>
        <w:pStyle w:val="ListParagraph"/>
        <w:numPr>
          <w:ilvl w:val="0"/>
          <w:numId w:val="6"/>
        </w:numPr>
        <w:jc w:val="both"/>
        <w:rPr>
          <w:color w:val="000000" w:themeColor="text1"/>
        </w:rPr>
      </w:pPr>
      <w:r w:rsidRPr="00EE2428">
        <w:rPr>
          <w:color w:val="000000" w:themeColor="text1"/>
        </w:rPr>
        <w:t xml:space="preserve">Projects were designed with little information on the drivers of hunting, and the hunting system, and design was not based on </w:t>
      </w:r>
      <w:r w:rsidRPr="000A7365">
        <w:rPr>
          <w:color w:val="000000" w:themeColor="text1"/>
        </w:rPr>
        <w:t>a Theory of Change</w:t>
      </w:r>
      <w:r w:rsidR="00192B64" w:rsidRPr="000A7365">
        <w:rPr>
          <w:color w:val="000000" w:themeColor="text1"/>
        </w:rPr>
        <w:t xml:space="preserve"> (ToC)</w:t>
      </w:r>
      <w:r w:rsidRPr="000A7365">
        <w:rPr>
          <w:color w:val="000000" w:themeColor="text1"/>
        </w:rPr>
        <w:t>.</w:t>
      </w:r>
    </w:p>
    <w:p w14:paraId="798063F2" w14:textId="1E936093" w:rsidR="00DF07E0" w:rsidRPr="000A7365" w:rsidRDefault="00DF07E0" w:rsidP="00C258BC">
      <w:pPr>
        <w:pStyle w:val="ListParagraph"/>
        <w:numPr>
          <w:ilvl w:val="0"/>
          <w:numId w:val="6"/>
        </w:numPr>
        <w:jc w:val="both"/>
        <w:rPr>
          <w:color w:val="000000" w:themeColor="text1"/>
        </w:rPr>
      </w:pPr>
      <w:r w:rsidRPr="000A7365">
        <w:rPr>
          <w:color w:val="000000" w:themeColor="text1"/>
        </w:rPr>
        <w:t>Projects rarely set or enforced conditions or sanctions</w:t>
      </w:r>
      <w:r w:rsidR="00973DFD" w:rsidRPr="000A7365">
        <w:rPr>
          <w:color w:val="000000" w:themeColor="text1"/>
        </w:rPr>
        <w:t xml:space="preserve"> for project participation (for </w:t>
      </w:r>
      <w:r w:rsidR="00A479D2" w:rsidRPr="000A7365">
        <w:rPr>
          <w:color w:val="000000" w:themeColor="text1"/>
        </w:rPr>
        <w:t>example, no</w:t>
      </w:r>
      <w:r w:rsidR="00973DFD" w:rsidRPr="000A7365">
        <w:rPr>
          <w:color w:val="000000" w:themeColor="text1"/>
        </w:rPr>
        <w:t xml:space="preserve"> hunting of certain species), </w:t>
      </w:r>
      <w:r w:rsidRPr="000A7365">
        <w:rPr>
          <w:color w:val="000000" w:themeColor="text1"/>
        </w:rPr>
        <w:t>which meant that activities were likely to become additional, rather than substituting for hunting.</w:t>
      </w:r>
    </w:p>
    <w:p w14:paraId="4D8744B5" w14:textId="0E603704" w:rsidR="00DF07E0" w:rsidRPr="000A7365" w:rsidRDefault="00DF07E0" w:rsidP="00C258BC">
      <w:pPr>
        <w:pStyle w:val="ListParagraph"/>
        <w:numPr>
          <w:ilvl w:val="0"/>
          <w:numId w:val="6"/>
        </w:numPr>
        <w:jc w:val="both"/>
        <w:rPr>
          <w:color w:val="000000" w:themeColor="text1"/>
        </w:rPr>
      </w:pPr>
      <w:r w:rsidRPr="000A7365">
        <w:rPr>
          <w:color w:val="000000" w:themeColor="text1"/>
        </w:rPr>
        <w:t xml:space="preserve">Many projects were open to all who wished to participate, which meant that the members of the community choosing to engage in alternative livelihood activities may not have necessarily been those engaging in the behaviour that the project aimed to </w:t>
      </w:r>
      <w:r w:rsidR="00A479D2" w:rsidRPr="000A7365">
        <w:rPr>
          <w:color w:val="000000" w:themeColor="text1"/>
        </w:rPr>
        <w:t>change,</w:t>
      </w:r>
      <w:r w:rsidR="00973DFD" w:rsidRPr="000A7365">
        <w:rPr>
          <w:color w:val="000000" w:themeColor="text1"/>
        </w:rPr>
        <w:t xml:space="preserve"> such as hunting</w:t>
      </w:r>
      <w:r w:rsidRPr="000A7365">
        <w:rPr>
          <w:color w:val="000000" w:themeColor="text1"/>
        </w:rPr>
        <w:t>.</w:t>
      </w:r>
    </w:p>
    <w:p w14:paraId="5963AF17" w14:textId="77777777" w:rsidR="00DF07E0" w:rsidRPr="000A7365" w:rsidRDefault="00DF07E0" w:rsidP="00C258BC">
      <w:pPr>
        <w:pStyle w:val="ListParagraph"/>
        <w:numPr>
          <w:ilvl w:val="0"/>
          <w:numId w:val="6"/>
        </w:numPr>
        <w:jc w:val="both"/>
        <w:rPr>
          <w:color w:val="000000" w:themeColor="text1"/>
        </w:rPr>
      </w:pPr>
      <w:r w:rsidRPr="000A7365">
        <w:rPr>
          <w:color w:val="000000" w:themeColor="text1"/>
        </w:rPr>
        <w:t>When alternatives were for income generation, market analyses to estimate the potential demand for and profitability of the substitute were rarely conducted.</w:t>
      </w:r>
    </w:p>
    <w:p w14:paraId="6040EF4D" w14:textId="77777777" w:rsidR="00DF07E0" w:rsidRPr="000A7365" w:rsidRDefault="00DF07E0" w:rsidP="00C258BC">
      <w:pPr>
        <w:pStyle w:val="ListParagraph"/>
        <w:numPr>
          <w:ilvl w:val="0"/>
          <w:numId w:val="6"/>
        </w:numPr>
        <w:jc w:val="both"/>
        <w:rPr>
          <w:color w:val="000000" w:themeColor="text1"/>
        </w:rPr>
      </w:pPr>
      <w:r w:rsidRPr="000A7365">
        <w:rPr>
          <w:color w:val="000000" w:themeColor="text1"/>
        </w:rPr>
        <w:t>Only 1 of 19 projects had sufficient monitoring in place to effectively measure project outcomes.</w:t>
      </w:r>
    </w:p>
    <w:p w14:paraId="36295708" w14:textId="70422493" w:rsidR="00DF07E0" w:rsidRPr="0070404D" w:rsidRDefault="00DF07E0" w:rsidP="00C258BC">
      <w:pPr>
        <w:jc w:val="both"/>
        <w:rPr>
          <w:color w:val="000000" w:themeColor="text1"/>
        </w:rPr>
      </w:pPr>
      <w:r w:rsidRPr="000A7365">
        <w:rPr>
          <w:color w:val="000000" w:themeColor="text1"/>
        </w:rPr>
        <w:t>While many such alternative livelihood projects have been implemented across Africa and South America at various scales, there is little evidence of their effectiveness, due to a lack of project monitoring. This lack of evidence is not exclusive to wild meat interventions: it has been recognized as a serious obstacle to effective conservation</w:t>
      </w:r>
      <w:r w:rsidR="008B5076" w:rsidRPr="000A7365">
        <w:rPr>
          <w:color w:val="000000" w:themeColor="text1"/>
        </w:rPr>
        <w:t xml:space="preserve"> and development</w:t>
      </w:r>
      <w:r w:rsidRPr="000A7365">
        <w:rPr>
          <w:color w:val="000000" w:themeColor="text1"/>
        </w:rPr>
        <w:t xml:space="preserve"> by a growing number of scholars and practitioners </w:t>
      </w:r>
      <w:r w:rsidR="0021332A">
        <w:rPr>
          <w:color w:val="000000" w:themeColor="text1"/>
        </w:rPr>
        <w:fldChar w:fldCharType="begin" w:fldLock="1"/>
      </w:r>
      <w:r w:rsidR="00A11C8C">
        <w:rPr>
          <w:color w:val="000000" w:themeColor="text1"/>
        </w:rPr>
        <w:instrText>ADDIN CSL_CITATION {"citationItems":[{"id":"ITEM-1","itemData":{"DOI":"10.1111/j.1523-1739.2006.00305.x","ISBN":"0888-8892","ISSN":"08888892","PMID":"16903102","abstract":"The preoccupation of many conservation planners with the refinement of systematic assessment techniques has manifested an \"implementation crisis\" in conservation planning. This preoccupation has provided systematic assessments with well-tested tools (e.g., area selection algorithms) and principles (e.g., representation, complementarity), but our understanding of these techniques currently far exceeds our ability to apply them effectively to pragmatic conservation problems. The science is informative about where one needs to do conservation, but silent on how to achieve it. Operational models, defined as simplified conceptualizations of processes for implementing conservation action at priority conservation areas, are essential for guiding conservation planning initiatives because they assist understanding of how these processes function. Operational models developed to date have largely been linear, simplistic, and focused on the systematic assessment of biological entities. Experience in the real world indicates that operational models for conducting conservation planning initiatives should explicitly complement a systematic conservation assessment with activities that empower individuals and institutions (enabling) and explicitly aim to secure conservation action (implementation). Specifically, implementing effective conservation action requires that systematic assessments be integrated functionally with a process for developing an implementation strategy and processes for stakeholder collaboration while maintaining a broad focus on the implementation of conservation action. A suite of hallmarks define effective operational models (e.g., stakeholder collaboration, links with land-use planning, social learning, and action research). Greater development and testing of the practical application of operational models should lead to higher levels of effective implementation and alleviate the implementation crisis. Social learning institutions are essential for ensuring ongoing improvement in the development and application of operational models that deliver effective conservation action.","author":[{"dropping-particle":"","family":"Knight","given":"Andrew T.","non-dropping-particle":"","parse-names":false,"suffix":""},{"dropping-particle":"","family":"Cowling","given":"Richard M.","non-dropping-particle":"","parse-names":false,"suffix":""},{"dropping-particle":"","family":"Campbell","given":"Bruce M.","non-dropping-particle":"","parse-names":false,"suffix":""}],"container-title":"Conservation Biology","id":"ITEM-1","issue":"2","issued":{"date-parts":[["2006"]]},"page":"408-419","title":"An operational model for implementing conservation action","type":"article-journal","volume":"20"},"uris":["http://www.mendeley.com/documents/?uuid=280a1513-e24d-41f5-ae14-3760bc0906c6"]},{"id":"ITEM-2","itemData":{"DOI":"10.1016/j.tree.2004.03.018","ISBN":"01695347","ISSN":"01695347","PMID":"16701275","abstract":"Much of current conservation practice is based upon anecdote and myth rather than upon the systematic appraisal of the evidence, including experience of others who have tackled the same problem. We suggest that this is a major problem for conservationists and requires a rethinking of the manner in which conservation operates. There is an urgent need for mechanisms that review available information and make recommendations to practitioners. We suggest a format for web-based databases that could provide the required information in accessible form.","author":[{"dropping-particle":"","family":"Sutherland","given":"William J.","non-dropping-particle":"","parse-names":false,"suffix":""},{"dropping-particle":"","family":"Pullin","given":"Andrew S.","non-dropping-particle":"","parse-names":false,"suffix":""},{"dropping-particle":"","family":"Dolman","given":"Paul M.","non-dropping-particle":"","parse-names":false,"suffix":""},{"dropping-particle":"","family":"Knight","given":"Teri M.","non-dropping-particle":"","parse-names":false,"suffix":""}],"container-title":"Trends in Ecology and Evolution","id":"ITEM-2","issue":"6","issued":{"date-parts":[["2004"]]},"page":"305-308","title":"The need for evidence-based conservation","type":"article-journal","volume":"19"},"uris":["http://www.mendeley.com/documents/?uuid=f2d70aa5-6abe-4eb4-899b-134af50cf5a9"]},{"id":"ITEM-3","itemData":{"DOI":"10.1111/j.1523-1739.2001.99499.x","ISBN":"1523-1739","ISSN":"0888-8892","PMID":"1068","abstrac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Abstract: Practical conservation activity is increasing globally and is being undertaken by many different government and nongovernmental organizations. In the majority of cases, justification for proposed actions is experience-based rather than evidence-based, action is often taken without monitoring or evaluation of ef-fectiveness, and results are rarely widely disseminated. Conservation has been compared with medicine as a crisis discipline in which action is often required urgently in the absence of good information. The practice of medicine has recently gone through an effectiveness revolution that has improved the criteria upon which treatment strategies are based by progressing from reliance on personal experience to reliance on scientific evidence. We draw parallels between medicine and conservation and present a practical framework to en-courage evidence-based conservation action. Our rationale is that conservation actions for which scarce re-sources are sought should be justified by good scientific evidence. In our view this will also encourage more research addressing practical issues in conservation management. Efectividad de la Conservaci6n Practica: Indicadores de Medicina y Salud Publica Resumen: La actividad de la conservaci6n prdctica estd incrementando mundialmente y estd siendo em-prendida por muchas organizaciones gubernamentales y no gubernamentales. En la mayoria de los casos la justificaci6n de acciones propuestas estd basada en la experiencia y no en evidencias, la acci6n es frecuente-inente tomada sin monitoreo o evaluaci6n de la efectividady los resultados son rara vez diseminados ampli-amente. La conservaci6n ha sido comparada con la medicina como disciplinas criticas donde la acci6n esfre-cuentemente requerida con urgencia en ausencia de buena informaci6n. Recientemente la prdctica de la medicina ha atravesado una revoluci6n de efectividad que ha mejorado los criterios sobre los cuales se basa-ban las estrategias progresando de la confianza en la experiencia personal a la confianza en la evidencia cientifica. Nosotros trazamos paralelos entre la medicina y la conservacion y presentamos un marc…","author":[{"dropping-particle":"","family":"Pullin","given":"Andrew S","non-dropping-particle":"","parse-names":false,"suffix":""},{"dropping-particle":"","family":"Knight","given":"Teri M","non-dropping-particle":"","parse-names":false,"suffix":""}],"container-title":"Conservation Biology","id":"ITEM-3","issue":"1","issued":{"date-parts":[["2001"]]},"page":"50-54","title":"Effectiveness in conservation practice: pointers from medicine and public health","type":"article-journal","volume":"15"},"uris":["http://www.mendeley.com/documents/?uuid=36436437-dafe-4044-9700-9848127eb218"]}],"mendeley":{"formattedCitation":"(Pullin &amp; Knight 2001; Sutherland et al. 2004; Knight et al. 2006)","plainTextFormattedCitation":"(Pullin &amp; Knight 2001; Sutherland et al. 2004; Knight et al. 2006)","previouslyFormattedCitation":"(Pullin &amp; Knight 2001; Sutherland et al. 2004; Knight et al. 2006)"},"properties":{"noteIndex":0},"schema":"https://github.com/citation-style-language/schema/raw/master/csl-citation.json"}</w:instrText>
      </w:r>
      <w:r w:rsidR="0021332A">
        <w:rPr>
          <w:color w:val="000000" w:themeColor="text1"/>
        </w:rPr>
        <w:fldChar w:fldCharType="separate"/>
      </w:r>
      <w:r w:rsidR="0021332A" w:rsidRPr="0021332A">
        <w:rPr>
          <w:noProof/>
          <w:color w:val="000000" w:themeColor="text1"/>
        </w:rPr>
        <w:t>(Pullin &amp; Knight 2001; Sutherland et al. 2004; Knight et al. 2006)</w:t>
      </w:r>
      <w:r w:rsidR="0021332A">
        <w:rPr>
          <w:color w:val="000000" w:themeColor="text1"/>
        </w:rPr>
        <w:fldChar w:fldCharType="end"/>
      </w:r>
      <w:r w:rsidRPr="000A7365">
        <w:rPr>
          <w:color w:val="000000" w:themeColor="text1"/>
        </w:rPr>
        <w:t>. Meanwhile, alternative livelihood projects remain a major focus of governments</w:t>
      </w:r>
      <w:r w:rsidR="00973DFD" w:rsidRPr="000A7365">
        <w:rPr>
          <w:color w:val="000000" w:themeColor="text1"/>
        </w:rPr>
        <w:t xml:space="preserve">, such as </w:t>
      </w:r>
      <w:r w:rsidRPr="000A7365">
        <w:rPr>
          <w:color w:val="000000" w:themeColor="text1"/>
        </w:rPr>
        <w:t>the</w:t>
      </w:r>
      <w:r w:rsidR="00D04B6E">
        <w:rPr>
          <w:color w:val="000000" w:themeColor="text1"/>
        </w:rPr>
        <w:t xml:space="preserve"> COMIFAC</w:t>
      </w:r>
      <w:r w:rsidR="00973DFD" w:rsidRPr="000A7365">
        <w:rPr>
          <w:color w:val="000000" w:themeColor="text1"/>
        </w:rPr>
        <w:t xml:space="preserve"> Plan de Convergence</w:t>
      </w:r>
      <w:r w:rsidRPr="000A7365">
        <w:rPr>
          <w:color w:val="000000" w:themeColor="text1"/>
        </w:rPr>
        <w:t>, donors</w:t>
      </w:r>
      <w:r w:rsidR="00973DFD" w:rsidRPr="000A7365">
        <w:rPr>
          <w:color w:val="000000" w:themeColor="text1"/>
        </w:rPr>
        <w:t xml:space="preserve">, such as </w:t>
      </w:r>
      <w:r w:rsidRPr="000A7365">
        <w:rPr>
          <w:color w:val="000000" w:themeColor="text1"/>
        </w:rPr>
        <w:t xml:space="preserve">GEF, </w:t>
      </w:r>
      <w:r w:rsidR="00993F92" w:rsidRPr="000A7365">
        <w:rPr>
          <w:color w:val="000000" w:themeColor="text1"/>
        </w:rPr>
        <w:t xml:space="preserve">UK Government’s </w:t>
      </w:r>
      <w:r w:rsidRPr="000A7365">
        <w:rPr>
          <w:color w:val="000000" w:themeColor="text1"/>
        </w:rPr>
        <w:t xml:space="preserve">Darwin Initiative, </w:t>
      </w:r>
      <w:r w:rsidR="00800CE4" w:rsidRPr="000A7365">
        <w:rPr>
          <w:color w:val="000000" w:themeColor="text1"/>
        </w:rPr>
        <w:t xml:space="preserve">French Fund for the Environment </w:t>
      </w:r>
      <w:r w:rsidR="00973DFD" w:rsidRPr="000A7365">
        <w:rPr>
          <w:color w:val="000000" w:themeColor="text1"/>
        </w:rPr>
        <w:t>(FFEM)</w:t>
      </w:r>
      <w:r w:rsidRPr="000A7365">
        <w:rPr>
          <w:color w:val="000000" w:themeColor="text1"/>
        </w:rPr>
        <w:t xml:space="preserve"> and NGOs alike </w:t>
      </w:r>
      <w:r w:rsidR="0021332A">
        <w:rPr>
          <w:color w:val="000000" w:themeColor="text1"/>
        </w:rPr>
        <w:fldChar w:fldCharType="begin" w:fldLock="1"/>
      </w:r>
      <w:r w:rsidR="0021332A">
        <w:rPr>
          <w:color w:val="000000" w:themeColor="text1"/>
        </w:rPr>
        <w:instrText>ADDIN CSL_CITATION {"citationItems":[{"id":"ITEM-1","itemData":{"author":[{"dropping-particle":"","family":"Wicander","given":"S.","non-dropping-particle":"","parse-names":false,"suffix":""},{"dropping-particle":"","family":"Coad","given":"L.","non-dropping-particle":"","parse-names":false,"suffix":""}],"container-title":"Conservation and Society","id":"ITEM-1","issue":"4","issued":{"date-parts":[["2018"]]},"page":"441-458","title":"Can the provision of alternative livelihoods reduce the impact of wild meat hunting in West and Central Africa?","type":"article-journal","volume":"16"},"uris":["http://www.mendeley.com/documents/?uuid=8af76451-bff9-4fa3-a9a5-18e294a3d629"]}],"mendeley":{"formattedCitation":"(Wicander &amp; Coad 2018)","plainTextFormattedCitation":"(Wicander &amp; Coad 2018)","previouslyFormattedCitation":"(Wicander &amp; Coad 2018)"},"properties":{"noteIndex":0},"schema":"https://github.com/citation-style-language/schema/raw/master/csl-citation.json"}</w:instrText>
      </w:r>
      <w:r w:rsidR="0021332A">
        <w:rPr>
          <w:color w:val="000000" w:themeColor="text1"/>
        </w:rPr>
        <w:fldChar w:fldCharType="separate"/>
      </w:r>
      <w:r w:rsidR="0021332A" w:rsidRPr="0021332A">
        <w:rPr>
          <w:noProof/>
          <w:color w:val="000000" w:themeColor="text1"/>
        </w:rPr>
        <w:t>(Wicander &amp; Coad 2018)</w:t>
      </w:r>
      <w:r w:rsidR="0021332A">
        <w:rPr>
          <w:color w:val="000000" w:themeColor="text1"/>
        </w:rPr>
        <w:fldChar w:fldCharType="end"/>
      </w:r>
      <w:r w:rsidRPr="000A7365">
        <w:rPr>
          <w:color w:val="000000" w:themeColor="text1"/>
        </w:rPr>
        <w:t xml:space="preserve">. </w:t>
      </w:r>
      <w:r w:rsidR="00973DFD" w:rsidRPr="000A7365">
        <w:rPr>
          <w:snapToGrid w:val="0"/>
          <w:color w:val="000000" w:themeColor="text1"/>
          <w:kern w:val="22"/>
          <w:lang w:eastAsia="ja-JP" w:bidi="th-TH"/>
        </w:rPr>
        <w:t>The potential of alternative livelihood projects needs to be properly assessed. New projects should plan and budget for sufficient monitoring and evaluation</w:t>
      </w:r>
      <w:r w:rsidRPr="000A7365">
        <w:rPr>
          <w:snapToGrid w:val="0"/>
          <w:color w:val="000000" w:themeColor="text1"/>
          <w:kern w:val="22"/>
          <w:lang w:eastAsia="ja-JP" w:bidi="th-TH"/>
        </w:rPr>
        <w:t xml:space="preserve"> to identify the factors influencing the</w:t>
      </w:r>
      <w:r w:rsidR="00973DFD" w:rsidRPr="000A7365">
        <w:rPr>
          <w:snapToGrid w:val="0"/>
          <w:color w:val="000000" w:themeColor="text1"/>
          <w:kern w:val="22"/>
          <w:lang w:eastAsia="ja-JP" w:bidi="th-TH"/>
        </w:rPr>
        <w:t>ir</w:t>
      </w:r>
      <w:r w:rsidRPr="000A7365">
        <w:rPr>
          <w:snapToGrid w:val="0"/>
          <w:color w:val="000000" w:themeColor="text1"/>
          <w:kern w:val="22"/>
          <w:lang w:eastAsia="ja-JP" w:bidi="th-TH"/>
        </w:rPr>
        <w:t xml:space="preserve"> success or failure</w:t>
      </w:r>
      <w:r w:rsidR="00973DFD" w:rsidRPr="000A7365">
        <w:rPr>
          <w:snapToGrid w:val="0"/>
          <w:color w:val="000000" w:themeColor="text1"/>
          <w:kern w:val="22"/>
          <w:lang w:eastAsia="ja-JP" w:bidi="th-TH"/>
        </w:rPr>
        <w:t>. Lessons learned by these projects</w:t>
      </w:r>
      <w:r w:rsidRPr="000A7365">
        <w:rPr>
          <w:snapToGrid w:val="0"/>
          <w:color w:val="000000" w:themeColor="text1"/>
          <w:kern w:val="22"/>
          <w:lang w:eastAsia="ja-JP" w:bidi="th-TH"/>
        </w:rPr>
        <w:t xml:space="preserve"> </w:t>
      </w:r>
      <w:r w:rsidRPr="0070404D">
        <w:rPr>
          <w:snapToGrid w:val="0"/>
          <w:color w:val="000000" w:themeColor="text1"/>
          <w:kern w:val="22"/>
          <w:lang w:eastAsia="ja-JP" w:bidi="th-TH"/>
        </w:rPr>
        <w:t xml:space="preserve">would allow </w:t>
      </w:r>
      <w:r w:rsidR="00973DFD">
        <w:rPr>
          <w:snapToGrid w:val="0"/>
          <w:color w:val="000000" w:themeColor="text1"/>
          <w:kern w:val="22"/>
          <w:lang w:eastAsia="ja-JP" w:bidi="th-TH"/>
        </w:rPr>
        <w:t>t</w:t>
      </w:r>
      <w:r w:rsidRPr="0070404D">
        <w:rPr>
          <w:snapToGrid w:val="0"/>
          <w:color w:val="000000" w:themeColor="text1"/>
          <w:kern w:val="22"/>
          <w:lang w:eastAsia="ja-JP" w:bidi="th-TH"/>
        </w:rPr>
        <w:t xml:space="preserve">he development of best-practice guidelines. </w:t>
      </w:r>
      <w:r w:rsidRPr="0070404D">
        <w:rPr>
          <w:color w:val="000000" w:themeColor="text1"/>
        </w:rPr>
        <w:t>This would require substantial improvements in project monitoring and reportin</w:t>
      </w:r>
      <w:r w:rsidR="00973DFD">
        <w:rPr>
          <w:color w:val="000000" w:themeColor="text1"/>
        </w:rPr>
        <w:t>g.</w:t>
      </w:r>
    </w:p>
    <w:p w14:paraId="641F11C2" w14:textId="77777777" w:rsidR="00DF07E0" w:rsidRPr="0070404D" w:rsidRDefault="00DF07E0" w:rsidP="00C258BC">
      <w:pPr>
        <w:suppressLineNumbers/>
        <w:suppressAutoHyphens/>
        <w:spacing w:before="120" w:after="120"/>
        <w:jc w:val="both"/>
        <w:rPr>
          <w:rFonts w:eastAsia="Batang"/>
          <w:bCs/>
          <w:iCs/>
          <w:snapToGrid w:val="0"/>
          <w:color w:val="000000" w:themeColor="text1"/>
          <w:kern w:val="22"/>
          <w:sz w:val="22"/>
          <w:lang w:eastAsia="ja-JP" w:bidi="th-TH"/>
        </w:rPr>
      </w:pPr>
    </w:p>
    <w:p w14:paraId="1E441DBC" w14:textId="28C3045E" w:rsidR="001F491C" w:rsidRPr="00785A38" w:rsidRDefault="00382C3E" w:rsidP="001C1D6E">
      <w:pPr>
        <w:pStyle w:val="Heading3"/>
      </w:pPr>
      <w:r>
        <w:lastRenderedPageBreak/>
        <w:t>Management</w:t>
      </w:r>
      <w:r w:rsidR="001F491C" w:rsidRPr="00785A38">
        <w:t xml:space="preserve"> of hunting in extractive </w:t>
      </w:r>
      <w:r w:rsidR="0096158E">
        <w:t xml:space="preserve">industry </w:t>
      </w:r>
      <w:r w:rsidR="001F491C" w:rsidRPr="00785A38">
        <w:t>concessions</w:t>
      </w:r>
    </w:p>
    <w:p w14:paraId="78C78372" w14:textId="5FA3605A" w:rsidR="009503F7" w:rsidRDefault="001F491C" w:rsidP="00C258BC">
      <w:pPr>
        <w:jc w:val="both"/>
        <w:rPr>
          <w:color w:val="000000" w:themeColor="text1"/>
        </w:rPr>
      </w:pPr>
      <w:r w:rsidRPr="004904D8">
        <w:rPr>
          <w:color w:val="000000" w:themeColor="text1"/>
        </w:rPr>
        <w:t>In several tropical and sub-tropical forests, lar</w:t>
      </w:r>
      <w:r w:rsidR="00973DFD">
        <w:rPr>
          <w:color w:val="000000" w:themeColor="text1"/>
        </w:rPr>
        <w:t>ge scale extractive activities such as timber extraction and mining</w:t>
      </w:r>
      <w:r w:rsidRPr="004904D8">
        <w:rPr>
          <w:color w:val="000000" w:themeColor="text1"/>
        </w:rPr>
        <w:t xml:space="preserve"> take place in areas used by local communities through their customary rights. For example, in central Africa selective logging concessions occupy 30 – 45% (up to 70% in some countries) of the </w:t>
      </w:r>
      <w:r w:rsidRPr="005A25A7">
        <w:rPr>
          <w:color w:val="000000" w:themeColor="text1"/>
        </w:rPr>
        <w:t xml:space="preserve">tropical forests </w:t>
      </w:r>
      <w:r w:rsidR="0021332A" w:rsidRPr="005A25A7">
        <w:rPr>
          <w:color w:val="000000" w:themeColor="text1"/>
        </w:rPr>
        <w:fldChar w:fldCharType="begin" w:fldLock="1"/>
      </w:r>
      <w:r w:rsidR="00A11C8C" w:rsidRPr="005A25A7">
        <w:rPr>
          <w:color w:val="000000" w:themeColor="text1"/>
        </w:rPr>
        <w:instrText>ADDIN CSL_CITATION {"citationItems":[{"id":"ITEM-1","itemData":{"DOI":"10.1016/j.foreco.2011.04.005","author":[{"dropping-particle":"","family":"Nasi","given":"Robert","non-dropping-particle":"","parse-names":false,"suffix":""},{"dropping-particle":"","family":"Billand","given":"Alain","non-dropping-particle":"","parse-names":false,"suffix":""},{"dropping-particle":"","family":"Vanvliet","given":"Nathalie","non-dropping-particle":"","parse-names":false,"suffix":""}],"container-title":"Forest Ecology and Management","id":"ITEM-1","issued":{"date-parts":[["2012"]]},"page":"103-111","title":"Managing for timber and biodiversity in the Congo Basin","type":"article-journal","volume":"268"},"uris":["http://www.mendeley.com/documents/?uuid=412e5621-2ae5-4065-83e0-935243bbf22e"]}],"mendeley":{"formattedCitation":"(Nasi et al. 2012)","plainTextFormattedCitation":"(Nasi et al. 2012)","previouslyFormattedCitation":"(Nasi et al. 2012)"},"properties":{"noteIndex":0},"schema":"https://github.com/citation-style-language/schema/raw/master/csl-citation.json"}</w:instrText>
      </w:r>
      <w:r w:rsidR="0021332A" w:rsidRPr="005A25A7">
        <w:rPr>
          <w:color w:val="000000" w:themeColor="text1"/>
        </w:rPr>
        <w:fldChar w:fldCharType="separate"/>
      </w:r>
      <w:r w:rsidR="00575AA9" w:rsidRPr="005A25A7">
        <w:rPr>
          <w:noProof/>
          <w:color w:val="000000" w:themeColor="text1"/>
        </w:rPr>
        <w:t>(Nasi et al. 2012)</w:t>
      </w:r>
      <w:r w:rsidR="0021332A" w:rsidRPr="005A25A7">
        <w:rPr>
          <w:color w:val="000000" w:themeColor="text1"/>
        </w:rPr>
        <w:fldChar w:fldCharType="end"/>
      </w:r>
      <w:r w:rsidRPr="005A25A7">
        <w:rPr>
          <w:color w:val="000000" w:themeColor="text1"/>
        </w:rPr>
        <w:t xml:space="preserve"> and overlap with several village territories, thus creating shared spaces </w:t>
      </w:r>
      <w:r w:rsidR="005A25A7" w:rsidRPr="005A25A7">
        <w:rPr>
          <w:color w:val="000000" w:themeColor="text1"/>
        </w:rPr>
        <w:fldChar w:fldCharType="begin" w:fldLock="1"/>
      </w:r>
      <w:r w:rsidR="0096269E">
        <w:rPr>
          <w:color w:val="000000" w:themeColor="text1"/>
        </w:rPr>
        <w:instrText>ADDIN CSL_CITATION {"citationItems":[{"id":"ITEM-1","itemData":{"author":[{"dropping-particle":"","family":"Nguinguiri","given":"J.C.","non-dropping-particle":"","parse-names":false,"suffix":""},{"dropping-particle":"","family":"Ampolo","given":"A.N.","non-dropping-particle":"","parse-names":false,"suffix":""},{"dropping-particle":"","family":"Bivigou","given":"A","non-dropping-particle":"","parse-names":false,"suffix":""},{"dropping-particle":"","family":"Pambou, S. PacoBockandza","given":"F.","non-dropping-particle":"","parse-names":false,"suffix":""},{"dropping-particle":"","family":"Ilama","given":"L.","non-dropping-particle":"","parse-names":false,"suffix":""}],"container-title":"Nature and Faune","id":"ITEM-1","issue":"2","issued":{"date-parts":[["2016"]]},"page":"27 - 29","title":"Shared areas within forest concessions in Central Africa: An opportunity for mainstreaming","type":"article-journal","volume":"30"},"uris":["http://www.mendeley.com/documents/?uuid=1c1a55a9-0a48-4585-9f1b-d10283e5ff55"]}],"mendeley":{"formattedCitation":"(Nguinguiri et al. 2016)","plainTextFormattedCitation":"(Nguinguiri et al. 2016)","previouslyFormattedCitation":"(Nguinguiri et al. 2016)"},"properties":{"noteIndex":0},"schema":"https://github.com/citation-style-language/schema/raw/master/csl-citation.json"}</w:instrText>
      </w:r>
      <w:r w:rsidR="005A25A7" w:rsidRPr="005A25A7">
        <w:rPr>
          <w:color w:val="000000" w:themeColor="text1"/>
        </w:rPr>
        <w:fldChar w:fldCharType="separate"/>
      </w:r>
      <w:r w:rsidR="005A25A7" w:rsidRPr="005A25A7">
        <w:rPr>
          <w:noProof/>
          <w:color w:val="000000" w:themeColor="text1"/>
        </w:rPr>
        <w:t>(Nguinguiri et al. 2016)</w:t>
      </w:r>
      <w:r w:rsidR="005A25A7" w:rsidRPr="005A25A7">
        <w:rPr>
          <w:color w:val="000000" w:themeColor="text1"/>
        </w:rPr>
        <w:fldChar w:fldCharType="end"/>
      </w:r>
      <w:r w:rsidRPr="005A25A7">
        <w:rPr>
          <w:color w:val="000000" w:themeColor="text1"/>
        </w:rPr>
        <w:t xml:space="preserve">. </w:t>
      </w:r>
      <w:r w:rsidR="00AB48BD" w:rsidRPr="005A25A7">
        <w:rPr>
          <w:color w:val="000000" w:themeColor="text1"/>
        </w:rPr>
        <w:t>I</w:t>
      </w:r>
      <w:r w:rsidRPr="005A25A7">
        <w:rPr>
          <w:color w:val="000000" w:themeColor="text1"/>
        </w:rPr>
        <w:t xml:space="preserve">mproved wildlife management in timber concessions is therefore critical. Indeed, while logging concessions have been shown to have significant negative impacts on wildlife </w:t>
      </w:r>
      <w:r w:rsidR="00575AA9" w:rsidRPr="005A25A7">
        <w:rPr>
          <w:color w:val="000000" w:themeColor="text1"/>
        </w:rPr>
        <w:fldChar w:fldCharType="begin" w:fldLock="1"/>
      </w:r>
      <w:r w:rsidR="00B2630D">
        <w:rPr>
          <w:color w:val="000000" w:themeColor="text1"/>
        </w:rPr>
        <w:instrText>ADDIN CSL_CITATION {"citationItems":[{"id":"ITEM-1","itemData":{"DOI":"10.1111/j.1523-1739.2009.01251.x","ISBN":"0888-8892","ISSN":"08888892","PMID":"19459888","abstract":"Unsustainable hunting of wildlife for food empties tropical forests of many species critical to forest maintenance and livelihoods of forest people. Extractive industries, including logging, can accelerate exploitation of wildlife by opening forests to hunters and creating markets for bushmeat. We monitored human demographics, bushmeat supply in markets, and household bushmeat consumption in five logging towns in the northern Republic of Congo. Over 6 years we recorded 29,570 animals in town markets and collected 48,920 household meal records. Development of industrial logging operations led to a 69% increase in the population of logging towns and a 64% increase in bushmeat supply. The immigration of workers, jobseekers, and their families altered hunting patterns and was associated with increased use of wire snares and increased diversity in the species hunted and consumed. Immigrants hunted 72% of all bushmeat, which suggests the short-term benefits of hunting accrue disproportionately to “outsiders” to the detriment of indigenous peoples who have prior, legitimate claims to wildlife resources. Our results suggest that the greatest threat of logging to biodiversity may be the permanent urbanization of frontier forests. Although enforcement of hunting laws and promotion of alternative sources of protein may help curb the pressure on wildlife, the best strategy for biodiversity conservation may be to keep saw mills and the towns that develop around them out of forests.","author":[{"dropping-particle":"","family":"Poulsen","given":"J. R.","non-dropping-particle":"","parse-names":false,"suffix":""},{"dropping-particle":"","family":"Clark","given":"C. J.","non-dropping-particle":"","parse-names":false,"suffix":""},{"dropping-particle":"","family":"Mavah","given":"G.","non-dropping-particle":"","parse-names":false,"suffix":""},{"dropping-particle":"","family":"Elkan","given":"P. W.","non-dropping-particle":"","parse-names":false,"suffix":""}],"container-title":"Conservation Biology","id":"ITEM-1","issue":"6","issued":{"date-parts":[["2009"]]},"page":"1597-1608","title":"Bushmeat supply and consumption in a tropical logging concession in northern Congo","type":"article-journal","volume":"23"},"uris":["http://www.mendeley.com/documents/?uuid=9d5857ad-e96c-466e-8f8e-b437210855d4"]},{"id":"ITEM-2","itemData":{"author":[{"dropping-particle":"","family":"Haurez","given":"B","non-dropping-particle":"","parse-names":false,"suffix":""},{"dropping-particle":"","family":"Petre","given":"C-A","non-dropping-particle":"","parse-names":false,"suffix":""},{"dropping-particle":"","family":"Brostaux","given":"Y","non-dropping-particle":"","parse-names":false,"suffix":""},{"dropping-particle":"","family":"Tagg","given":"N","non-dropping-particle":"","parse-names":false,"suffix":""},{"dropping-particle":"","family":"Vermeulen","given":"C","non-dropping-particle":"","parse-names":false,"suffix":""},{"dropping-particle":"","family":"Doucet","given":"J-L","non-dropping-particle":"","parse-names":false,"suffix":""}],"id":"ITEM-2","issued":{"date-parts":[["2016"]]},"title":"Western lowland gorilla an logging companies A winning duo? Association for Tropical Biology and Conservation congress, 19-24/06/2016, Montpellier","type":"report"},"uris":["http://www.mendeley.com/documents/?uuid=4a5c0f4c-71d9-4965-abaa-702ae0af6e45"]},{"id":"ITEM-3","itemData":{"author":[{"dropping-particle":"","family":"Haurez","given":"B","non-dropping-particle":"","parse-names":false,"suffix":""},{"dropping-particle":"","family":"Petre","given":"C-A","non-dropping-particle":"","parse-names":false,"suffix":""},{"dropping-particle":"","family":"Doucet","given":"J-L","non-dropping-particle":"","parse-names":false,"suffix":""}],"container-title":"Biotechnologie, Agronomie, Société et Environnement","id":"ITEM-3","issued":{"date-parts":[["2013"]]},"page":"364-372","title":"Impacts of logging and hunting on western lowland gorilla (Gorilla gorilla gorilla) populations and consequences for forest regeneration. A review","type":"article-journal","volume":"17"},"uris":["http://www.mendeley.com/documents/?uuid=b949f69a-9fbd-45b3-b95c-6301ca9d93e5"]}],"mendeley":{"formattedCitation":"(Poulsen et al. 2009; Haurez et al. 2013, 2016)","manualFormatting":"(Poulsen et al. 2009; Haurez et al. 2013, 2016","plainTextFormattedCitation":"(Poulsen et al. 2009; Haurez et al. 2013, 2016)","previouslyFormattedCitation":"(Poulsen et al. 2009; Haurez et al. 2013, 2016)"},"properties":{"noteIndex":0},"schema":"https://github.com/citation-style-language/schema/raw/master/csl-citation.json"}</w:instrText>
      </w:r>
      <w:r w:rsidR="00575AA9" w:rsidRPr="005A25A7">
        <w:rPr>
          <w:color w:val="000000" w:themeColor="text1"/>
        </w:rPr>
        <w:fldChar w:fldCharType="separate"/>
      </w:r>
      <w:r w:rsidR="00575AA9" w:rsidRPr="005A25A7">
        <w:rPr>
          <w:noProof/>
          <w:color w:val="000000" w:themeColor="text1"/>
        </w:rPr>
        <w:t>(Poulsen et al. 2009; Haurez et al. 2013, 2016</w:t>
      </w:r>
      <w:r w:rsidR="00575AA9" w:rsidRPr="005A25A7">
        <w:rPr>
          <w:color w:val="000000" w:themeColor="text1"/>
        </w:rPr>
        <w:fldChar w:fldCharType="end"/>
      </w:r>
      <w:r w:rsidR="009503F7">
        <w:rPr>
          <w:color w:val="000000" w:themeColor="text1"/>
        </w:rPr>
        <w:t xml:space="preserve">; Section </w:t>
      </w:r>
      <w:r w:rsidR="009503F7">
        <w:rPr>
          <w:color w:val="000000" w:themeColor="text1"/>
        </w:rPr>
        <w:fldChar w:fldCharType="begin"/>
      </w:r>
      <w:r w:rsidR="009503F7">
        <w:rPr>
          <w:color w:val="000000" w:themeColor="text1"/>
        </w:rPr>
        <w:instrText xml:space="preserve"> REF _Ref520467552 \r \h </w:instrText>
      </w:r>
      <w:r w:rsidR="009503F7">
        <w:rPr>
          <w:color w:val="000000" w:themeColor="text1"/>
        </w:rPr>
      </w:r>
      <w:r w:rsidR="009503F7">
        <w:rPr>
          <w:color w:val="000000" w:themeColor="text1"/>
        </w:rPr>
        <w:fldChar w:fldCharType="separate"/>
      </w:r>
      <w:r w:rsidR="007034F1">
        <w:rPr>
          <w:color w:val="000000" w:themeColor="text1"/>
        </w:rPr>
        <w:t>4.2</w:t>
      </w:r>
      <w:r w:rsidR="009503F7">
        <w:rPr>
          <w:color w:val="000000" w:themeColor="text1"/>
        </w:rPr>
        <w:fldChar w:fldCharType="end"/>
      </w:r>
      <w:r w:rsidRPr="005512D2">
        <w:rPr>
          <w:color w:val="000000" w:themeColor="text1"/>
        </w:rPr>
        <w:t xml:space="preserve">), they also have the potential to act as ‘wildlife reservoirs’ if managed appropriately </w:t>
      </w:r>
      <w:r w:rsidR="00575AA9">
        <w:rPr>
          <w:color w:val="000000" w:themeColor="text1"/>
        </w:rPr>
        <w:fldChar w:fldCharType="begin" w:fldLock="1"/>
      </w:r>
      <w:r w:rsidR="00566AAF">
        <w:rPr>
          <w:color w:val="000000" w:themeColor="text1"/>
        </w:rPr>
        <w:instrText>ADDIN CSL_CITATION {"citationItems":[{"id":"ITEM-1","itemData":{"DOI":"10.5751/ES-01715-110147","ISBN":"1708-3087","ISSN":"17083087","abstract":"Based on an extensive review of the literature, and broad consultation with experts, we have assessed the sensitivity of Bornean vertebrates to the direct and indirect effects of timber harvest. Well-implemented selective logging has a relatively limited direct impact on wildlife populations: few species appear quite sensitive, some benefit, some decline. However, current management practices in Indonesian Borneo generally cause a decline in wildlife populations. Guidelines for sustainable forest management are primarily focused on trees, with few specific recommendations on how to sustainably manage wildlife populations in timber concessions. Based on our findings, we provide extensive wildlife management guidelines, pointing out the importance of maintaining understory vegetation and large trees for fruit, seed, dead wood, and tree hollow production, limiting canopy gaps, and reducing hunting and wildlife trade in concessions. In addition, we provide specific management advice on high priority species of Bornean vertebrates.","author":[{"dropping-particle":"","family":"Meijaard","given":"Erik","non-dropping-particle":"","parse-names":false,"suffix":""},{"dropping-particle":"","family":"Sheil","given":"Douglas","non-dropping-particle":"","parse-names":false,"suffix":""},{"dropping-particle":"","family":"Nasi","given":"Robert","non-dropping-particle":"","parse-names":false,"suffix":""},{"dropping-particle":"","family":"Stanley","given":"Scott A.","non-dropping-particle":"","parse-names":false,"suffix":""}],"container-title":"Ecology and Society","id":"ITEM-1","issue":"1","issued":{"date-parts":[["2006"]]},"page":"47","title":"Wildlife conservation in Bornean timber consessions","type":"article-journal","volume":"11"},"uris":["http://www.mendeley.com/documents/?uuid=2e5aad5a-ed5e-47d9-9dee-17972b509e27"]},{"id":"ITEM-2","itemData":{"DOI":"10.1111/j.1523-1739.2009.01243.x","ISBN":"1523-1739 (Electronic)\\n0888-8892 (Linking)","ISSN":"08888892","PMID":"19453655","abstract":"The management of tropical forest in timber concessions has been proposed as a solution to prevent further biodiversity loss. The effectiveness of this strategy will likely depend on species-specific, population-level responses to logging. We conducted a survey (749 line transects over 3450 km) in logging concessions (1.2 million ha) in the northern Republic of Congo to examine the impact of logging on large mammal populations, including endangered species such as the elephant (Loxodonta africana), gorilla (Gorilla gorilla), chimpanzee (Pan troglodytes), and bongo (Tragelaphus eurycerus). When we estimated species abundance without consideration of transect characteristics, species abundances in logged and unlogged forests were not different for most species. When we modeled the data with a hurdle model approach, however, analyzing species presence and conditional abundance separately with generalized additive models and then combining them to calculate the mean species abundance, species abundance varied strongly depending on transect characteristics. The mean species abundance was often related to the distance to unlogged forest, which suggests that intact forest serves as source habitat for several species. The mean species abundance responded nonlinearly to logging history, changing over 30 years as the forest recovered from logging. Finally the distance away from roads, natural forest clearings, and villages also determined the abundance of mammals. Our results suggest that logged forest can extend the conservation estate for many of Central Africa's most threatened species if managed appropriately. In addition to limiting hunting, logging concessions must be large, contain patches of unlogged forest, and include forest with different logging histories.","author":[{"dropping-particle":"","family":"Clark","given":"C. J.","non-dropping-particle":"","parse-names":false,"suffix":""},{"dropping-particle":"","family":"Poulsen","given":"J. R.","non-dropping-particle":"","parse-names":false,"suffix":""},{"dropping-particle":"","family":"Malonga","given":"R.","non-dropping-particle":"","parse-names":false,"suffix":""},{"dropping-particle":"","family":"Elkan","given":"P. W.","non-dropping-particle":"","parse-names":false,"suffix":""}],"container-title":"Conservation Biology","id":"ITEM-2","issue":"5","issued":{"date-parts":[["2009"]]},"page":"1281-1293","title":"Logging concessions can extend the conservation estate for Central African tropical forests","type":"article-journal","volume":"23"},"uris":["http://www.mendeley.com/documents/?uuid=b75333dd-2f46-409a-9efa-a0c3e8f6f04b"]}],"mendeley":{"formattedCitation":"(Meijaard et al. 2006; Clark et al. 2009)","plainTextFormattedCitation":"(Meijaard et al. 2006; Clark et al. 2009)","previouslyFormattedCitation":"(Meijaard et al. 2006; Clark et al. 2009)"},"properties":{"noteIndex":0},"schema":"https://github.com/citation-style-language/schema/raw/master/csl-citation.json"}</w:instrText>
      </w:r>
      <w:r w:rsidR="00575AA9">
        <w:rPr>
          <w:color w:val="000000" w:themeColor="text1"/>
        </w:rPr>
        <w:fldChar w:fldCharType="separate"/>
      </w:r>
      <w:r w:rsidR="00575AA9" w:rsidRPr="00575AA9">
        <w:rPr>
          <w:noProof/>
          <w:color w:val="000000" w:themeColor="text1"/>
        </w:rPr>
        <w:t>(Meijaard et al. 2006; Clark et al. 2009)</w:t>
      </w:r>
      <w:r w:rsidR="00575AA9">
        <w:rPr>
          <w:color w:val="000000" w:themeColor="text1"/>
        </w:rPr>
        <w:fldChar w:fldCharType="end"/>
      </w:r>
      <w:r w:rsidRPr="005512D2">
        <w:rPr>
          <w:color w:val="000000" w:themeColor="text1"/>
        </w:rPr>
        <w:t xml:space="preserve">. However, managing extractive concessions for biodiversity conservation may </w:t>
      </w:r>
      <w:r w:rsidR="00D41409">
        <w:rPr>
          <w:color w:val="000000" w:themeColor="text1"/>
        </w:rPr>
        <w:t>risk</w:t>
      </w:r>
      <w:r w:rsidRPr="005512D2">
        <w:rPr>
          <w:color w:val="000000" w:themeColor="text1"/>
        </w:rPr>
        <w:t xml:space="preserve"> in the exclusion of local users unless options for multiple use are put in place</w:t>
      </w:r>
      <w:r w:rsidRPr="004904D8">
        <w:rPr>
          <w:color w:val="000000" w:themeColor="text1"/>
        </w:rPr>
        <w:t xml:space="preserve">. </w:t>
      </w:r>
    </w:p>
    <w:p w14:paraId="3635682D" w14:textId="6AFB01A1" w:rsidR="001F491C" w:rsidRPr="004904D8" w:rsidRDefault="009503F7" w:rsidP="00C258BC">
      <w:pPr>
        <w:jc w:val="both"/>
        <w:rPr>
          <w:color w:val="000000" w:themeColor="text1"/>
        </w:rPr>
      </w:pPr>
      <w:r w:rsidRPr="004904D8">
        <w:rPr>
          <w:color w:val="000000" w:themeColor="text1"/>
        </w:rPr>
        <w:t xml:space="preserve">Examples </w:t>
      </w:r>
      <w:r w:rsidR="00944860">
        <w:rPr>
          <w:color w:val="000000" w:themeColor="text1"/>
        </w:rPr>
        <w:t>from Central Afri</w:t>
      </w:r>
      <w:r>
        <w:rPr>
          <w:color w:val="000000" w:themeColor="text1"/>
        </w:rPr>
        <w:t>ca</w:t>
      </w:r>
      <w:r w:rsidR="00973DFD">
        <w:rPr>
          <w:color w:val="000000" w:themeColor="text1"/>
        </w:rPr>
        <w:t xml:space="preserve">, such as the </w:t>
      </w:r>
      <w:r w:rsidRPr="004904D8">
        <w:rPr>
          <w:color w:val="000000" w:themeColor="text1"/>
        </w:rPr>
        <w:t>PROGEPP project around Nouabale Ndoki National Park in Congo</w:t>
      </w:r>
      <w:r w:rsidR="00973DFD">
        <w:rPr>
          <w:color w:val="000000" w:themeColor="text1"/>
        </w:rPr>
        <w:t xml:space="preserve">, and South America, such as </w:t>
      </w:r>
      <w:r>
        <w:rPr>
          <w:color w:val="000000" w:themeColor="text1"/>
        </w:rPr>
        <w:t>the</w:t>
      </w:r>
      <w:r w:rsidRPr="004904D8">
        <w:rPr>
          <w:color w:val="000000" w:themeColor="text1"/>
        </w:rPr>
        <w:t xml:space="preserve"> Iwokrama forest, Guyana</w:t>
      </w:r>
      <w:r w:rsidR="00973DFD">
        <w:rPr>
          <w:color w:val="000000" w:themeColor="text1"/>
        </w:rPr>
        <w:t xml:space="preserve">, </w:t>
      </w:r>
      <w:r w:rsidR="001F491C" w:rsidRPr="004904D8">
        <w:rPr>
          <w:color w:val="000000" w:themeColor="text1"/>
        </w:rPr>
        <w:t xml:space="preserve">show that timber extraction may offer opportunities for the co-management of wildlife </w:t>
      </w:r>
      <w:r w:rsidR="00A93FE8">
        <w:rPr>
          <w:color w:val="000000" w:themeColor="text1"/>
        </w:rPr>
        <w:t xml:space="preserve">between private sector </w:t>
      </w:r>
      <w:r w:rsidR="00A479D2">
        <w:rPr>
          <w:color w:val="000000" w:themeColor="text1"/>
        </w:rPr>
        <w:t>concession</w:t>
      </w:r>
      <w:r w:rsidR="00A93FE8">
        <w:rPr>
          <w:color w:val="000000" w:themeColor="text1"/>
        </w:rPr>
        <w:t xml:space="preserve"> holders and</w:t>
      </w:r>
      <w:r w:rsidR="001F491C" w:rsidRPr="004904D8">
        <w:rPr>
          <w:color w:val="000000" w:themeColor="text1"/>
        </w:rPr>
        <w:t xml:space="preserve"> local communities</w:t>
      </w:r>
      <w:r>
        <w:rPr>
          <w:color w:val="000000" w:themeColor="text1"/>
        </w:rPr>
        <w:t xml:space="preserve"> (</w:t>
      </w:r>
      <w:r>
        <w:rPr>
          <w:color w:val="000000" w:themeColor="text1"/>
        </w:rPr>
        <w:fldChar w:fldCharType="begin"/>
      </w:r>
      <w:r>
        <w:rPr>
          <w:color w:val="000000" w:themeColor="text1"/>
        </w:rPr>
        <w:instrText xml:space="preserve"> REF _Ref520114856 \h </w:instrText>
      </w:r>
      <w:r>
        <w:rPr>
          <w:color w:val="000000" w:themeColor="text1"/>
        </w:rPr>
      </w:r>
      <w:r>
        <w:rPr>
          <w:color w:val="000000" w:themeColor="text1"/>
        </w:rPr>
        <w:fldChar w:fldCharType="separate"/>
      </w:r>
      <w:r w:rsidR="007034F1">
        <w:t xml:space="preserve">Box </w:t>
      </w:r>
      <w:r w:rsidR="007034F1">
        <w:rPr>
          <w:noProof/>
        </w:rPr>
        <w:t>5</w:t>
      </w:r>
      <w:r>
        <w:rPr>
          <w:color w:val="000000" w:themeColor="text1"/>
        </w:rPr>
        <w:fldChar w:fldCharType="end"/>
      </w:r>
      <w:r>
        <w:rPr>
          <w:color w:val="000000" w:themeColor="text1"/>
        </w:rPr>
        <w:t xml:space="preserve">). </w:t>
      </w:r>
      <w:r w:rsidR="001F491C" w:rsidRPr="004904D8">
        <w:rPr>
          <w:color w:val="000000" w:themeColor="text1"/>
        </w:rPr>
        <w:t>This requires the involvement of all stakeholders in the design and implementation of the management plans. The management of wildlife in extractive concessions may include</w:t>
      </w:r>
      <w:r w:rsidR="005133B6">
        <w:rPr>
          <w:color w:val="000000" w:themeColor="text1"/>
        </w:rPr>
        <w:t>:  a)</w:t>
      </w:r>
      <w:r w:rsidR="001F491C" w:rsidRPr="004904D8">
        <w:rPr>
          <w:color w:val="000000" w:themeColor="text1"/>
        </w:rPr>
        <w:t xml:space="preserve"> the optimal planning of road networks with a better control of access</w:t>
      </w:r>
      <w:r w:rsidR="005133B6">
        <w:rPr>
          <w:color w:val="000000" w:themeColor="text1"/>
        </w:rPr>
        <w:t>; b)</w:t>
      </w:r>
      <w:r w:rsidR="001F491C" w:rsidRPr="004904D8">
        <w:rPr>
          <w:color w:val="000000" w:themeColor="text1"/>
        </w:rPr>
        <w:t xml:space="preserve"> the development of sustainable sources of animal protein for the workers to avoid uncontrolled rises of hunting and wild meat trade in newly established camps and logging towns, and</w:t>
      </w:r>
      <w:r w:rsidR="005133B6">
        <w:rPr>
          <w:color w:val="000000" w:themeColor="text1"/>
        </w:rPr>
        <w:t xml:space="preserve"> c)</w:t>
      </w:r>
      <w:r w:rsidR="001F491C" w:rsidRPr="004904D8">
        <w:rPr>
          <w:color w:val="000000" w:themeColor="text1"/>
        </w:rPr>
        <w:t xml:space="preserve"> the establishment of hunting management models</w:t>
      </w:r>
      <w:r w:rsidR="00C32567">
        <w:rPr>
          <w:color w:val="000000" w:themeColor="text1"/>
        </w:rPr>
        <w:t xml:space="preserve"> (such as hunting zones)</w:t>
      </w:r>
      <w:r w:rsidR="001F491C" w:rsidRPr="004904D8">
        <w:rPr>
          <w:color w:val="000000" w:themeColor="text1"/>
        </w:rPr>
        <w:t xml:space="preserve"> with formalized land-use planning and prioritized access to resources for indigenous people </w:t>
      </w:r>
      <w:r w:rsidR="00575AA9">
        <w:rPr>
          <w:color w:val="000000" w:themeColor="text1"/>
        </w:rPr>
        <w:fldChar w:fldCharType="begin" w:fldLock="1"/>
      </w:r>
      <w:r w:rsidR="00B2630D">
        <w:rPr>
          <w:color w:val="000000" w:themeColor="text1"/>
        </w:rPr>
        <w:instrText>ADDIN CSL_CITATION {"citationItems":[{"id":"ITEM-1","itemData":{"DOI":"ISBN 92-9225-083-3","ISBN":"9292250833","abstract":"2008. Conservation and use of wildlife-based resources: The bushmeat crisis. Technical series No. 33. Montreal: Secretariat of the Convention on Biological Diversity; and Bogor, Indonesia: Centre on International Forestry Research.","author":[{"dropping-particle":"","family":"Nasi","given":"R","non-dropping-particle":"","parse-names":false,"suffix":""},{"dropping-particle":"","family":"Brown","given":"D","non-dropping-particle":"","parse-names":false,"suffix":""},{"dropping-particle":"","family":"Wilkie","given":"D","non-dropping-particle":"","parse-names":false,"suffix":""},{"dropping-particle":"","family":"Bennett","given":"E","non-dropping-particle":"","parse-names":false,"suffix":""},{"dropping-particle":"","family":"Tutin","given":"C","non-dropping-particle":"","parse-names":false,"suffix":""},{"dropping-particle":"","family":"Tol","given":"G","non-dropping-particle":"Van","parse-names":false,"suffix":""},{"dropping-particle":"","family":"Christophersen","given":"T","non-dropping-particle":"","parse-names":false,"suffix":""}],"id":"ITEM-1","issued":{"date-parts":[["2008"]]},"number-of-pages":"50","publisher-place":"Secretariat of the Convention on Biological Diversity, Montreal, Canada, and Centre for International Forestry Research (CIFOR), Bogor, Indonesia.","title":"Conservation and use of wildlife-based resources: the bushmeat crisis. CBD Technical Series No. 33","type":"report"},"uris":["http://www.mendeley.com/documents/?uuid=820bb019-82b3-449a-b6b2-fbc4d35d17d6"]},{"id":"ITEM-2","itemData":{"DOI":"10.1111/j.1523-1739.2009.01251.x","ISBN":"0888-8892","ISSN":"08888892","PMID":"19459888","abstract":"Unsustainable hunting of wildlife for food empties tropical forests of many species critical to forest maintenance and livelihoods of forest people. Extractive industries, including logging, can accelerate exploitation of wildlife by opening forests to hunters and creating markets for bushmeat. We monitored human demographics, bushmeat supply in markets, and household bushmeat consumption in five logging towns in the northern Republic of Congo. Over 6 years we recorded 29,570 animals in town markets and collected 48,920 household meal records. Development of industrial logging operations led to a 69% increase in the population of logging towns and a 64% increase in bushmeat supply. The immigration of workers, jobseekers, and their families altered hunting patterns and was associated with increased use of wire snares and increased diversity in the species hunted and consumed. Immigrants hunted 72% of all bushmeat, which suggests the short-term benefits of hunting accrue disproportionately to “outsiders” to the detriment of indigenous peoples who have prior, legitimate claims to wildlife resources. Our results suggest that the greatest threat of logging to biodiversity may be the permanent urbanization of frontier forests. Although enforcement of hunting laws and promotion of alternative sources of protein may help curb the pressure on wildlife, the best strategy for biodiversity conservation may be to keep saw mills and the towns that develop around them out of forests.","author":[{"dropping-particle":"","family":"Poulsen","given":"J. R.","non-dropping-particle":"","parse-names":false,"suffix":""},{"dropping-particle":"","family":"Clark","given":"C. J.","non-dropping-particle":"","parse-names":false,"suffix":""},{"dropping-particle":"","family":"Mavah","given":"G.","non-dropping-particle":"","parse-names":false,"suffix":""},{"dropping-particle":"","family":"Elkan","given":"P. W.","non-dropping-particle":"","parse-names":false,"suffix":""}],"container-title":"Conservation Biology","id":"ITEM-2","issue":"6","issued":{"date-parts":[["2009"]]},"page":"1597-1608","title":"Bushmeat supply and consumption in a tropical logging concession in northern Congo","type":"article-journal","volume":"23"},"uris":["http://www.mendeley.com/documents/?uuid=9d5857ad-e96c-466e-8f8e-b437210855d4"]}],"mendeley":{"formattedCitation":"(Nasi et al. 2008; Poulsen et al. 2009)","plainTextFormattedCitation":"(Nasi et al. 2008; Poulsen et al. 2009)","previouslyFormattedCitation":"(Nasi et al. 2008; Poulsen et al. 2009)"},"properties":{"noteIndex":0},"schema":"https://github.com/citation-style-language/schema/raw/master/csl-citation.json"}</w:instrText>
      </w:r>
      <w:r w:rsidR="00575AA9">
        <w:rPr>
          <w:color w:val="000000" w:themeColor="text1"/>
        </w:rPr>
        <w:fldChar w:fldCharType="separate"/>
      </w:r>
      <w:r w:rsidR="00575AA9" w:rsidRPr="00575AA9">
        <w:rPr>
          <w:noProof/>
          <w:color w:val="000000" w:themeColor="text1"/>
        </w:rPr>
        <w:t>(Nasi et al. 2008; Poulsen et al. 2009)</w:t>
      </w:r>
      <w:r w:rsidR="00575AA9">
        <w:rPr>
          <w:color w:val="000000" w:themeColor="text1"/>
        </w:rPr>
        <w:fldChar w:fldCharType="end"/>
      </w:r>
      <w:r w:rsidR="001F491C" w:rsidRPr="004904D8">
        <w:rPr>
          <w:color w:val="000000" w:themeColor="text1"/>
        </w:rPr>
        <w:t xml:space="preserve">. </w:t>
      </w:r>
      <w:r w:rsidR="00C32567" w:rsidRPr="003E3238">
        <w:rPr>
          <w:color w:val="000000" w:themeColor="text1"/>
        </w:rPr>
        <w:t>Hunting</w:t>
      </w:r>
      <w:r w:rsidR="00C32567" w:rsidRPr="004904D8">
        <w:rPr>
          <w:color w:val="000000" w:themeColor="text1"/>
        </w:rPr>
        <w:t xml:space="preserve"> can be regulated using a variety of approaches including quota systems based on sustainable offtake limits, and rotation of hunting zones</w:t>
      </w:r>
      <w:r w:rsidR="0096158E">
        <w:rPr>
          <w:color w:val="000000" w:themeColor="text1"/>
        </w:rPr>
        <w:t xml:space="preserve">, </w:t>
      </w:r>
      <w:r w:rsidR="00C32567" w:rsidRPr="004904D8">
        <w:rPr>
          <w:color w:val="000000" w:themeColor="text1"/>
        </w:rPr>
        <w:t xml:space="preserve">to allow for the repopulation of wildlife, in conjunction with the enforcement of national hunting laws. </w:t>
      </w:r>
      <w:r w:rsidR="001F491C" w:rsidRPr="004904D8">
        <w:rPr>
          <w:color w:val="000000" w:themeColor="text1"/>
        </w:rPr>
        <w:t xml:space="preserve">However, these latter models are beset with problems, due to the current weakness of legal </w:t>
      </w:r>
      <w:r>
        <w:rPr>
          <w:color w:val="000000" w:themeColor="text1"/>
        </w:rPr>
        <w:t>frameworks for such management in many c</w:t>
      </w:r>
      <w:r w:rsidR="001F491C" w:rsidRPr="004904D8">
        <w:rPr>
          <w:color w:val="000000" w:themeColor="text1"/>
        </w:rPr>
        <w:t>ountries</w:t>
      </w:r>
      <w:r w:rsidR="005009AF">
        <w:rPr>
          <w:color w:val="000000" w:themeColor="text1"/>
        </w:rPr>
        <w:t xml:space="preserve"> (</w:t>
      </w:r>
      <w:r>
        <w:rPr>
          <w:color w:val="000000" w:themeColor="text1"/>
        </w:rPr>
        <w:t xml:space="preserve">Section </w:t>
      </w:r>
      <w:r>
        <w:rPr>
          <w:color w:val="000000" w:themeColor="text1"/>
          <w:highlight w:val="yellow"/>
        </w:rPr>
        <w:fldChar w:fldCharType="begin"/>
      </w:r>
      <w:r>
        <w:rPr>
          <w:color w:val="000000" w:themeColor="text1"/>
        </w:rPr>
        <w:instrText xml:space="preserve"> REF _Ref520467399 \r \h </w:instrText>
      </w:r>
      <w:r>
        <w:rPr>
          <w:color w:val="000000" w:themeColor="text1"/>
          <w:highlight w:val="yellow"/>
        </w:rPr>
      </w:r>
      <w:r>
        <w:rPr>
          <w:color w:val="000000" w:themeColor="text1"/>
          <w:highlight w:val="yellow"/>
        </w:rPr>
        <w:fldChar w:fldCharType="separate"/>
      </w:r>
      <w:r w:rsidR="007034F1">
        <w:rPr>
          <w:color w:val="000000" w:themeColor="text1"/>
        </w:rPr>
        <w:t>7.4.1</w:t>
      </w:r>
      <w:r>
        <w:rPr>
          <w:color w:val="000000" w:themeColor="text1"/>
          <w:highlight w:val="yellow"/>
        </w:rPr>
        <w:fldChar w:fldCharType="end"/>
      </w:r>
      <w:r>
        <w:rPr>
          <w:color w:val="000000" w:themeColor="text1"/>
        </w:rPr>
        <w:t xml:space="preserve">). </w:t>
      </w:r>
    </w:p>
    <w:p w14:paraId="41B5AD76" w14:textId="555F16D2" w:rsidR="00382C3E" w:rsidRDefault="00382C3E" w:rsidP="00C258BC">
      <w:pPr>
        <w:jc w:val="both"/>
        <w:rPr>
          <w:color w:val="000000" w:themeColor="text1"/>
        </w:rPr>
      </w:pPr>
    </w:p>
    <w:p w14:paraId="3A0AFFE2" w14:textId="53074DFA" w:rsidR="00382C3E" w:rsidRDefault="00382C3E" w:rsidP="00C258BC">
      <w:pPr>
        <w:jc w:val="both"/>
        <w:rPr>
          <w:color w:val="000000" w:themeColor="text1"/>
        </w:rPr>
      </w:pPr>
    </w:p>
    <w:p w14:paraId="5A475798" w14:textId="7DF85202" w:rsidR="00382C3E" w:rsidRDefault="00382C3E" w:rsidP="00C258BC">
      <w:pPr>
        <w:jc w:val="both"/>
        <w:rPr>
          <w:color w:val="000000" w:themeColor="text1"/>
        </w:rPr>
      </w:pPr>
    </w:p>
    <w:p w14:paraId="23DDA400" w14:textId="282BB12E" w:rsidR="00382C3E" w:rsidRDefault="00382C3E" w:rsidP="00C258BC">
      <w:pPr>
        <w:jc w:val="both"/>
        <w:rPr>
          <w:b/>
          <w:sz w:val="22"/>
        </w:rPr>
      </w:pPr>
    </w:p>
    <w:p w14:paraId="7EB60E17" w14:textId="77777777" w:rsidR="007078FA" w:rsidRDefault="007078FA" w:rsidP="00C258BC">
      <w:pPr>
        <w:jc w:val="both"/>
        <w:rPr>
          <w:b/>
          <w:sz w:val="22"/>
        </w:rPr>
      </w:pPr>
    </w:p>
    <w:p w14:paraId="35240C2B" w14:textId="77777777" w:rsidR="007078FA" w:rsidRDefault="007078FA" w:rsidP="00C258BC">
      <w:pPr>
        <w:jc w:val="both"/>
        <w:rPr>
          <w:b/>
          <w:sz w:val="22"/>
        </w:rPr>
      </w:pPr>
    </w:p>
    <w:p w14:paraId="1555AF1B" w14:textId="77777777" w:rsidR="007078FA" w:rsidRDefault="007078FA" w:rsidP="00C258BC">
      <w:pPr>
        <w:jc w:val="both"/>
        <w:rPr>
          <w:b/>
          <w:sz w:val="22"/>
        </w:rPr>
      </w:pPr>
    </w:p>
    <w:p w14:paraId="030B8926" w14:textId="77777777" w:rsidR="007078FA" w:rsidRDefault="007078FA" w:rsidP="00C258BC">
      <w:pPr>
        <w:jc w:val="both"/>
        <w:rPr>
          <w:b/>
          <w:sz w:val="22"/>
        </w:rPr>
      </w:pPr>
    </w:p>
    <w:p w14:paraId="4A42C5FA" w14:textId="77777777" w:rsidR="007078FA" w:rsidRDefault="007078FA" w:rsidP="00C258BC">
      <w:pPr>
        <w:jc w:val="both"/>
        <w:rPr>
          <w:b/>
          <w:sz w:val="22"/>
        </w:rPr>
      </w:pPr>
    </w:p>
    <w:p w14:paraId="60824437" w14:textId="6C99258F" w:rsidR="00382C3E" w:rsidRPr="00710CCC" w:rsidRDefault="00382C3E" w:rsidP="00C258BC">
      <w:pPr>
        <w:jc w:val="both"/>
        <w:rPr>
          <w:b/>
          <w:sz w:val="22"/>
        </w:rPr>
      </w:pPr>
      <w:r w:rsidRPr="006C56F2">
        <w:rPr>
          <w:noProof/>
          <w:lang w:val="en-US"/>
        </w:rPr>
        <w:lastRenderedPageBreak/>
        <mc:AlternateContent>
          <mc:Choice Requires="wps">
            <w:drawing>
              <wp:anchor distT="0" distB="0" distL="114300" distR="114300" simplePos="0" relativeHeight="251657216" behindDoc="0" locked="0" layoutInCell="1" allowOverlap="1" wp14:anchorId="02C6BC28" wp14:editId="7D35EA7A">
                <wp:simplePos x="0" y="0"/>
                <wp:positionH relativeFrom="column">
                  <wp:posOffset>0</wp:posOffset>
                </wp:positionH>
                <wp:positionV relativeFrom="paragraph">
                  <wp:posOffset>12700</wp:posOffset>
                </wp:positionV>
                <wp:extent cx="5716905" cy="9182100"/>
                <wp:effectExtent l="12700" t="12700" r="10795" b="12700"/>
                <wp:wrapSquare wrapText="bothSides"/>
                <wp:docPr id="1" name="Text Box 15"/>
                <wp:cNvGraphicFramePr/>
                <a:graphic xmlns:a="http://schemas.openxmlformats.org/drawingml/2006/main">
                  <a:graphicData uri="http://schemas.microsoft.com/office/word/2010/wordprocessingShape">
                    <wps:wsp>
                      <wps:cNvSpPr txBox="1"/>
                      <wps:spPr>
                        <a:xfrm>
                          <a:off x="0" y="0"/>
                          <a:ext cx="5716905" cy="9182100"/>
                        </a:xfrm>
                        <a:prstGeom prst="rect">
                          <a:avLst/>
                        </a:prstGeom>
                        <a:solidFill>
                          <a:schemeClr val="bg1">
                            <a:lumMod val="85000"/>
                          </a:schemeClr>
                        </a:solidFill>
                        <a:ln w="22225">
                          <a:solidFill>
                            <a:schemeClr val="tx1">
                              <a:lumMod val="100000"/>
                              <a:lumOff val="0"/>
                            </a:schemeClr>
                          </a:solidFill>
                        </a:ln>
                        <a:effectLst/>
                      </wps:spPr>
                      <wps:style>
                        <a:lnRef idx="0">
                          <a:schemeClr val="accent1"/>
                        </a:lnRef>
                        <a:fillRef idx="0">
                          <a:schemeClr val="accent1"/>
                        </a:fillRef>
                        <a:effectRef idx="0">
                          <a:schemeClr val="accent1"/>
                        </a:effectRef>
                        <a:fontRef idx="minor">
                          <a:schemeClr val="dk1"/>
                        </a:fontRef>
                      </wps:style>
                      <wps:txbx>
                        <w:txbxContent>
                          <w:p w14:paraId="4D04EA95" w14:textId="3CE9947B" w:rsidR="00B82BFD" w:rsidRPr="00DD65C9" w:rsidRDefault="00B82BFD" w:rsidP="00710CCC">
                            <w:pPr>
                              <w:pStyle w:val="Caption"/>
                              <w:rPr>
                                <w:b w:val="0"/>
                                <w:noProof/>
                                <w:lang w:val="en-US" w:eastAsia="pt-BR"/>
                              </w:rPr>
                            </w:pPr>
                            <w:bookmarkStart w:id="210" w:name="_Ref520114856"/>
                            <w:bookmarkStart w:id="211" w:name="_Hlk529270043"/>
                            <w:r>
                              <w:t xml:space="preserve">Box </w:t>
                            </w:r>
                            <w:r>
                              <w:fldChar w:fldCharType="begin"/>
                            </w:r>
                            <w:r>
                              <w:instrText xml:space="preserve"> SEQ Box \* ARABIC </w:instrText>
                            </w:r>
                            <w:r>
                              <w:fldChar w:fldCharType="separate"/>
                            </w:r>
                            <w:r>
                              <w:rPr>
                                <w:noProof/>
                              </w:rPr>
                              <w:t>5</w:t>
                            </w:r>
                            <w:r>
                              <w:fldChar w:fldCharType="end"/>
                            </w:r>
                            <w:bookmarkEnd w:id="210"/>
                            <w:r w:rsidRPr="008178D7">
                              <w:rPr>
                                <w:b w:val="0"/>
                                <w:sz w:val="22"/>
                              </w:rPr>
                              <w:t xml:space="preserve">: </w:t>
                            </w:r>
                            <w:r w:rsidRPr="00F54F01">
                              <w:rPr>
                                <w:sz w:val="22"/>
                              </w:rPr>
                              <w:t>Management of hunting within industrial concessions</w:t>
                            </w:r>
                          </w:p>
                          <w:bookmarkEnd w:id="211"/>
                          <w:p w14:paraId="5589CC39" w14:textId="5A89525C" w:rsidR="00B82BFD" w:rsidRPr="00803DEE" w:rsidRDefault="00B82BFD" w:rsidP="00382C3E">
                            <w:pPr>
                              <w:rPr>
                                <w:sz w:val="22"/>
                              </w:rPr>
                            </w:pPr>
                            <w:r w:rsidRPr="005A25A7">
                              <w:rPr>
                                <w:b/>
                                <w:sz w:val="22"/>
                              </w:rPr>
                              <w:t>The Project for Ecosystem Management in the Nouabalé-Ndoki Periphery Area (PROGEPP) (</w:t>
                            </w:r>
                            <w:hyperlink r:id="rId127" w:history="1">
                              <w:r w:rsidRPr="005A25A7">
                                <w:rPr>
                                  <w:b/>
                                  <w:sz w:val="22"/>
                                </w:rPr>
                                <w:t>Shephard 2008, Chapter 4</w:t>
                              </w:r>
                            </w:hyperlink>
                            <w:r w:rsidRPr="005A25A7">
                              <w:rPr>
                                <w:b/>
                                <w:sz w:val="22"/>
                              </w:rPr>
                              <w:t>):</w:t>
                            </w:r>
                            <w:r w:rsidRPr="005A25A7">
                              <w:rPr>
                                <w:sz w:val="22"/>
                              </w:rPr>
                              <w:t xml:space="preserve"> A suitable example of industry partnership includes the hunting zones </w:t>
                            </w:r>
                            <w:r w:rsidRPr="005A25A7">
                              <w:rPr>
                                <w:color w:val="000000" w:themeColor="text1"/>
                                <w:sz w:val="22"/>
                              </w:rPr>
                              <w:t>created by the CIB forestry</w:t>
                            </w:r>
                            <w:r w:rsidRPr="000A7365">
                              <w:rPr>
                                <w:color w:val="000000" w:themeColor="text1"/>
                                <w:sz w:val="22"/>
                              </w:rPr>
                              <w:t xml:space="preserve"> company.</w:t>
                            </w:r>
                            <w:r w:rsidRPr="000A7365" w:rsidDel="00760949">
                              <w:rPr>
                                <w:color w:val="000000" w:themeColor="text1"/>
                                <w:sz w:val="22"/>
                              </w:rPr>
                              <w:t xml:space="preserve"> </w:t>
                            </w:r>
                            <w:r w:rsidRPr="000A7365">
                              <w:rPr>
                                <w:color w:val="000000" w:themeColor="text1"/>
                                <w:sz w:val="22"/>
                              </w:rPr>
                              <w:t xml:space="preserve">CIB is now a subsidiary of Olam International, with 1.3 million hectares of Forest Stewardship Council (FSC) certified concessions in Congo, Gabon </w:t>
                            </w:r>
                            <w:r w:rsidRPr="00803DEE">
                              <w:rPr>
                                <w:sz w:val="22"/>
                              </w:rPr>
                              <w:t xml:space="preserve">and Cameroon. As part of its drive for FSC certification (which requires the regulation of illegal hunting activity as per the Congolese Forest and Wildlife Laws) in </w:t>
                            </w:r>
                            <w:r>
                              <w:rPr>
                                <w:sz w:val="22"/>
                              </w:rPr>
                              <w:t xml:space="preserve">1998 in </w:t>
                            </w:r>
                            <w:r w:rsidRPr="00803DEE">
                              <w:rPr>
                                <w:sz w:val="22"/>
                              </w:rPr>
                              <w:t xml:space="preserve">its Kabo concession, Congo, CIB entered into a partnership with the Wildlife Conservation Society (WCS) and the nearby Nouabalé-Ndoki National Park (NNNP), to create the Project for Ecosystem Management in the Nouabalé-Ndoki Periphery Area (PROGEPP), with the aim of regulating hunting pressure within their Kabo concession and reducing threats to NNNP. The PROGEPP project first conducted baseline ecological and socio-economic studies within the concessions, which were used to inform the development of the concession management plans. Management plan objectives included the maintenance of biological diversity and protection of forest ecosystems, the protection of species threatened by </w:t>
                            </w:r>
                            <w:r>
                              <w:rPr>
                                <w:sz w:val="22"/>
                              </w:rPr>
                              <w:t>hunting</w:t>
                            </w:r>
                            <w:r w:rsidRPr="00803DEE">
                              <w:rPr>
                                <w:sz w:val="22"/>
                              </w:rPr>
                              <w:t>, the sustainability of wildlife resources which are a primary source of protein for local people, and the reduction of impacts on NNNP.</w:t>
                            </w:r>
                          </w:p>
                          <w:p w14:paraId="226C8D83" w14:textId="77777777" w:rsidR="00B82BFD" w:rsidRPr="00803DEE" w:rsidRDefault="00B82BFD" w:rsidP="00382C3E">
                            <w:pPr>
                              <w:rPr>
                                <w:sz w:val="22"/>
                              </w:rPr>
                            </w:pPr>
                            <w:r w:rsidRPr="00803DEE">
                              <w:rPr>
                                <w:sz w:val="22"/>
                              </w:rPr>
                              <w:t xml:space="preserve">As part of the management plan, three hunting zones were delimited: </w:t>
                            </w:r>
                          </w:p>
                          <w:p w14:paraId="397D9629" w14:textId="77777777" w:rsidR="00B82BFD" w:rsidRPr="00803DEE" w:rsidRDefault="00B82BFD" w:rsidP="00382C3E">
                            <w:pPr>
                              <w:pStyle w:val="ListParagraph"/>
                              <w:numPr>
                                <w:ilvl w:val="0"/>
                                <w:numId w:val="5"/>
                              </w:numPr>
                              <w:rPr>
                                <w:sz w:val="22"/>
                              </w:rPr>
                            </w:pPr>
                            <w:r w:rsidRPr="00803DEE">
                              <w:rPr>
                                <w:sz w:val="22"/>
                              </w:rPr>
                              <w:t xml:space="preserve">Community hunting zones, near to existing settlements. Hunting is permitted by villagers, pygmies, camp inhabitants and CIB employee hunting committees. CIB employee committee members have rotating access to their zone, and are equipped with hunting license and firearms. </w:t>
                            </w:r>
                          </w:p>
                          <w:p w14:paraId="21F665E2" w14:textId="3CC37E99" w:rsidR="00B82BFD" w:rsidRPr="00803DEE" w:rsidRDefault="00B82BFD" w:rsidP="00382C3E">
                            <w:pPr>
                              <w:pStyle w:val="ListParagraph"/>
                              <w:numPr>
                                <w:ilvl w:val="0"/>
                                <w:numId w:val="5"/>
                              </w:numPr>
                              <w:rPr>
                                <w:sz w:val="22"/>
                              </w:rPr>
                            </w:pPr>
                            <w:r w:rsidRPr="00803DEE">
                              <w:rPr>
                                <w:sz w:val="22"/>
                              </w:rPr>
                              <w:t>Indigenous people’s hunting zones (away</w:t>
                            </w:r>
                            <w:r>
                              <w:rPr>
                                <w:sz w:val="22"/>
                              </w:rPr>
                              <w:t xml:space="preserve"> from villages or camps). Only P</w:t>
                            </w:r>
                            <w:r w:rsidRPr="00803DEE">
                              <w:rPr>
                                <w:sz w:val="22"/>
                              </w:rPr>
                              <w:t>ygmies can hunt in these zones.</w:t>
                            </w:r>
                          </w:p>
                          <w:p w14:paraId="04AF516B" w14:textId="77777777" w:rsidR="00B82BFD" w:rsidRPr="00803DEE" w:rsidRDefault="00B82BFD" w:rsidP="00382C3E">
                            <w:pPr>
                              <w:pStyle w:val="ListParagraph"/>
                              <w:numPr>
                                <w:ilvl w:val="0"/>
                                <w:numId w:val="5"/>
                              </w:numPr>
                              <w:rPr>
                                <w:sz w:val="22"/>
                              </w:rPr>
                            </w:pPr>
                            <w:r w:rsidRPr="00803DEE">
                              <w:rPr>
                                <w:sz w:val="22"/>
                              </w:rPr>
                              <w:t xml:space="preserve">No take zones, where it is illegal to hunt (for example, those bordering the NNNP).  </w:t>
                            </w:r>
                          </w:p>
                          <w:p w14:paraId="54D31FD4" w14:textId="77777777" w:rsidR="00B82BFD" w:rsidRPr="00803DEE" w:rsidRDefault="00B82BFD" w:rsidP="00382C3E">
                            <w:pPr>
                              <w:rPr>
                                <w:sz w:val="22"/>
                              </w:rPr>
                            </w:pPr>
                            <w:r w:rsidRPr="00803DEE">
                              <w:rPr>
                                <w:sz w:val="22"/>
                              </w:rPr>
                              <w:t>In addition, using participatory mapping with the Bantu and Pygmy communities, important community sites (e.g. forest graveyards, sacred tress) were identified and protected within the management plan. To enforce the hunting zones, and the management plan</w:t>
                            </w:r>
                            <w:r>
                              <w:rPr>
                                <w:sz w:val="22"/>
                              </w:rPr>
                              <w:t>,</w:t>
                            </w:r>
                            <w:r w:rsidRPr="00803DEE">
                              <w:rPr>
                                <w:sz w:val="22"/>
                              </w:rPr>
                              <w:t xml:space="preserve"> a system of Ecoguards was recruited from local communities. Within the concessions, CIB monitors and restricts the transport of wild meat, and applies sanctions where necessary, reinforcing national legislation. </w:t>
                            </w:r>
                          </w:p>
                          <w:p w14:paraId="4278FD6E" w14:textId="201DCCA3" w:rsidR="00B82BFD" w:rsidRDefault="00B82BFD" w:rsidP="00382C3E">
                            <w:pPr>
                              <w:rPr>
                                <w:sz w:val="22"/>
                              </w:rPr>
                            </w:pPr>
                            <w:r w:rsidRPr="00803DEE">
                              <w:rPr>
                                <w:sz w:val="22"/>
                              </w:rPr>
                              <w:t>Despite these efforts, research conducted from 2000 – 2006, measuring the consumption of wild meat, and the availability of wild meat in markets within CIBs Kabo concession, found that the volume of wild meat eaten within the concessions had risen by 64%, probably due to the 69% increase in the population of the logging towns, driven by immigration (Poulsen et al. 2009).</w:t>
                            </w:r>
                          </w:p>
                          <w:p w14:paraId="187133AC" w14:textId="7891FF6B" w:rsidR="00B82BFD" w:rsidRPr="00710CCC" w:rsidRDefault="00B82BFD" w:rsidP="0096158E">
                            <w:pPr>
                              <w:rPr>
                                <w:color w:val="000000" w:themeColor="text1"/>
                                <w:sz w:val="22"/>
                                <w:szCs w:val="22"/>
                              </w:rPr>
                            </w:pPr>
                            <w:r w:rsidRPr="00710CCC">
                              <w:rPr>
                                <w:b/>
                                <w:color w:val="000000" w:themeColor="text1"/>
                                <w:sz w:val="22"/>
                                <w:szCs w:val="22"/>
                              </w:rPr>
                              <w:t>The</w:t>
                            </w:r>
                            <w:r w:rsidRPr="00710CCC">
                              <w:rPr>
                                <w:color w:val="000000" w:themeColor="text1"/>
                                <w:sz w:val="22"/>
                                <w:szCs w:val="22"/>
                              </w:rPr>
                              <w:t xml:space="preserve"> </w:t>
                            </w:r>
                            <w:r w:rsidRPr="00710CCC">
                              <w:rPr>
                                <w:b/>
                                <w:color w:val="000000" w:themeColor="text1"/>
                                <w:sz w:val="22"/>
                                <w:szCs w:val="22"/>
                              </w:rPr>
                              <w:t>Iwokrama forest, Guyana</w:t>
                            </w:r>
                            <w:r>
                              <w:rPr>
                                <w:b/>
                                <w:color w:val="000000" w:themeColor="text1"/>
                                <w:sz w:val="22"/>
                                <w:szCs w:val="22"/>
                              </w:rPr>
                              <w:t xml:space="preserve">: </w:t>
                            </w:r>
                            <w:r w:rsidRPr="00710CCC">
                              <w:rPr>
                                <w:color w:val="000000" w:themeColor="text1"/>
                                <w:sz w:val="22"/>
                                <w:szCs w:val="22"/>
                              </w:rPr>
                              <w:t>The</w:t>
                            </w:r>
                            <w:r w:rsidRPr="0096158E">
                              <w:rPr>
                                <w:color w:val="000000" w:themeColor="text1"/>
                                <w:sz w:val="22"/>
                                <w:szCs w:val="22"/>
                              </w:rPr>
                              <w:t xml:space="preserve"> </w:t>
                            </w:r>
                            <w:r w:rsidRPr="00710CCC">
                              <w:rPr>
                                <w:color w:val="000000" w:themeColor="text1"/>
                                <w:sz w:val="22"/>
                                <w:szCs w:val="22"/>
                              </w:rPr>
                              <w:t>Iwokrama forest</w:t>
                            </w:r>
                            <w:r w:rsidRPr="0096158E">
                              <w:rPr>
                                <w:color w:val="000000" w:themeColor="text1"/>
                                <w:sz w:val="22"/>
                                <w:szCs w:val="22"/>
                              </w:rPr>
                              <w:t xml:space="preserve"> </w:t>
                            </w:r>
                            <w:r w:rsidRPr="00710CCC">
                              <w:rPr>
                                <w:color w:val="000000" w:themeColor="text1"/>
                                <w:sz w:val="22"/>
                                <w:szCs w:val="22"/>
                              </w:rPr>
                              <w:t xml:space="preserve">provides an example of integrated management for production and sustainable use by local </w:t>
                            </w:r>
                            <w:r w:rsidRPr="005A25A7">
                              <w:rPr>
                                <w:color w:val="000000" w:themeColor="text1"/>
                                <w:sz w:val="22"/>
                                <w:szCs w:val="22"/>
                              </w:rPr>
                              <w:t>communities. The Iwokrama International Centre for Rainfores</w:t>
                            </w:r>
                            <w:r>
                              <w:rPr>
                                <w:color w:val="000000" w:themeColor="text1"/>
                                <w:sz w:val="22"/>
                                <w:szCs w:val="22"/>
                              </w:rPr>
                              <w:t>t Conservation and Development (www.</w:t>
                            </w:r>
                            <w:r w:rsidRPr="005A25A7">
                              <w:rPr>
                                <w:color w:val="000000" w:themeColor="text1"/>
                                <w:sz w:val="22"/>
                                <w:szCs w:val="22"/>
                              </w:rPr>
                              <w:t>iwokrama.org) invested significant capital, thanks to initial external funding, in surveying, zoning and developing an integrated management model for the Iwokrama forest resources for the benefits of conservation</w:t>
                            </w:r>
                            <w:r w:rsidRPr="00710CCC">
                              <w:rPr>
                                <w:color w:val="000000" w:themeColor="text1"/>
                                <w:sz w:val="22"/>
                                <w:szCs w:val="22"/>
                              </w:rPr>
                              <w:t xml:space="preserve"> and communities. Of the total area of 371,681 ha, 184,506 ha are designated as a Sustainable Utilisation Area (SUA); the other 186,175 ha being set aside permanently as Wilderness Preserve (WP). The SUA is managed for logging under FSC certification by a joint venture company with private partners and shares attributed to IIC, private partners and local communities. The WP is managed for ecotourism with active participation of the communities. Local communities keep the right to use natural resources within the Iwokrama forest and benefit from employment and economic diversification.</w:t>
                            </w:r>
                          </w:p>
                          <w:p w14:paraId="324052B8" w14:textId="68B23DF3" w:rsidR="00B82BFD" w:rsidRDefault="00B82BFD" w:rsidP="00382C3E">
                            <w:pPr>
                              <w:rPr>
                                <w:sz w:val="22"/>
                              </w:rPr>
                            </w:pPr>
                          </w:p>
                          <w:p w14:paraId="18FF7CB4" w14:textId="77777777" w:rsidR="00B82BFD" w:rsidRPr="00803DEE" w:rsidRDefault="00B82BFD" w:rsidP="00382C3E">
                            <w:pPr>
                              <w:rPr>
                                <w:sz w:val="22"/>
                              </w:rPr>
                            </w:pPr>
                          </w:p>
                          <w:p w14:paraId="369F30A4" w14:textId="77777777" w:rsidR="00B82BFD" w:rsidRDefault="00B82BFD" w:rsidP="00382C3E">
                            <w:pPr>
                              <w:rPr>
                                <w:color w:val="000000" w:themeColor="text1"/>
                              </w:rPr>
                            </w:pPr>
                          </w:p>
                          <w:p w14:paraId="6127F90A" w14:textId="77777777" w:rsidR="00B82BFD" w:rsidRPr="008178D7" w:rsidRDefault="00B82BFD" w:rsidP="00382C3E">
                            <w:pPr>
                              <w:rPr>
                                <w:b/>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6BC28" id="_x0000_s1030" type="#_x0000_t202" style="position:absolute;left:0;text-align:left;margin-left:0;margin-top:1pt;width:450.15pt;height:7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" fillcolor="#d8d8d8 [2732]" strokecolor="black [3213]" strokeweight="1.75pt">
                <v:textbox>
                  <w:txbxContent>
                    <w:p w14:paraId="4D04EA95" w14:textId="3CE9947B" w:rsidR="00B82BFD" w:rsidRPr="00DD65C9" w:rsidRDefault="00B82BFD" w:rsidP="00710CCC">
                      <w:pPr>
                        <w:pStyle w:val="Caption"/>
                        <w:rPr>
                          <w:b w:val="0"/>
                          <w:noProof/>
                          <w:lang w:val="en-US" w:eastAsia="pt-BR"/>
                        </w:rPr>
                      </w:pPr>
                      <w:bookmarkStart w:id="212" w:name="_Ref520114856"/>
                      <w:bookmarkStart w:id="213" w:name="_Hlk529270043"/>
                      <w:r>
                        <w:t xml:space="preserve">Box </w:t>
                      </w:r>
                      <w:r>
                        <w:fldChar w:fldCharType="begin"/>
                      </w:r>
                      <w:r>
                        <w:instrText xml:space="preserve"> SEQ Box \* ARABIC </w:instrText>
                      </w:r>
                      <w:r>
                        <w:fldChar w:fldCharType="separate"/>
                      </w:r>
                      <w:r>
                        <w:rPr>
                          <w:noProof/>
                        </w:rPr>
                        <w:t>5</w:t>
                      </w:r>
                      <w:r>
                        <w:fldChar w:fldCharType="end"/>
                      </w:r>
                      <w:bookmarkEnd w:id="212"/>
                      <w:r w:rsidRPr="008178D7">
                        <w:rPr>
                          <w:b w:val="0"/>
                          <w:sz w:val="22"/>
                        </w:rPr>
                        <w:t xml:space="preserve">: </w:t>
                      </w:r>
                      <w:r w:rsidRPr="00F54F01">
                        <w:rPr>
                          <w:sz w:val="22"/>
                        </w:rPr>
                        <w:t>Management of hunting within industrial concessions</w:t>
                      </w:r>
                    </w:p>
                    <w:bookmarkEnd w:id="213"/>
                    <w:p w14:paraId="5589CC39" w14:textId="5A89525C" w:rsidR="00B82BFD" w:rsidRPr="00803DEE" w:rsidRDefault="00B82BFD" w:rsidP="00382C3E">
                      <w:pPr>
                        <w:rPr>
                          <w:sz w:val="22"/>
                        </w:rPr>
                      </w:pPr>
                      <w:r w:rsidRPr="005A25A7">
                        <w:rPr>
                          <w:b/>
                          <w:sz w:val="22"/>
                        </w:rPr>
                        <w:t>The Project for Ecosystem Management in the Nouabalé-Ndoki Periphery Area (PROGEPP) (</w:t>
                      </w:r>
                      <w:hyperlink r:id="rId128" w:history="1">
                        <w:r w:rsidRPr="005A25A7">
                          <w:rPr>
                            <w:b/>
                            <w:sz w:val="22"/>
                          </w:rPr>
                          <w:t>Shephard 2008, Chapter 4</w:t>
                        </w:r>
                      </w:hyperlink>
                      <w:r w:rsidRPr="005A25A7">
                        <w:rPr>
                          <w:b/>
                          <w:sz w:val="22"/>
                        </w:rPr>
                        <w:t>):</w:t>
                      </w:r>
                      <w:r w:rsidRPr="005A25A7">
                        <w:rPr>
                          <w:sz w:val="22"/>
                        </w:rPr>
                        <w:t xml:space="preserve"> A suitable example of industry partnership includes the hunting zones </w:t>
                      </w:r>
                      <w:r w:rsidRPr="005A25A7">
                        <w:rPr>
                          <w:color w:val="000000" w:themeColor="text1"/>
                          <w:sz w:val="22"/>
                        </w:rPr>
                        <w:t>created by the CIB forestry</w:t>
                      </w:r>
                      <w:r w:rsidRPr="000A7365">
                        <w:rPr>
                          <w:color w:val="000000" w:themeColor="text1"/>
                          <w:sz w:val="22"/>
                        </w:rPr>
                        <w:t xml:space="preserve"> company.</w:t>
                      </w:r>
                      <w:r w:rsidRPr="000A7365" w:rsidDel="00760949">
                        <w:rPr>
                          <w:color w:val="000000" w:themeColor="text1"/>
                          <w:sz w:val="22"/>
                        </w:rPr>
                        <w:t xml:space="preserve"> </w:t>
                      </w:r>
                      <w:r w:rsidRPr="000A7365">
                        <w:rPr>
                          <w:color w:val="000000" w:themeColor="text1"/>
                          <w:sz w:val="22"/>
                        </w:rPr>
                        <w:t xml:space="preserve">CIB is now a subsidiary of Olam International, with 1.3 million hectares of Forest Stewardship Council (FSC) certified concessions in Congo, Gabon </w:t>
                      </w:r>
                      <w:r w:rsidRPr="00803DEE">
                        <w:rPr>
                          <w:sz w:val="22"/>
                        </w:rPr>
                        <w:t xml:space="preserve">and Cameroon. As part of its drive for FSC certification (which requires the regulation of illegal hunting activity as per the Congolese Forest and Wildlife Laws) in </w:t>
                      </w:r>
                      <w:r>
                        <w:rPr>
                          <w:sz w:val="22"/>
                        </w:rPr>
                        <w:t xml:space="preserve">1998 in </w:t>
                      </w:r>
                      <w:r w:rsidRPr="00803DEE">
                        <w:rPr>
                          <w:sz w:val="22"/>
                        </w:rPr>
                        <w:t xml:space="preserve">its Kabo concession, Congo, CIB entered into a partnership with the Wildlife Conservation Society (WCS) and the nearby Nouabalé-Ndoki National Park (NNNP), to create the Project for Ecosystem Management in the Nouabalé-Ndoki Periphery Area (PROGEPP), with the aim of regulating hunting pressure within their Kabo concession and reducing threats to NNNP. The PROGEPP project first conducted baseline ecological and socio-economic studies within the concessions, which were used to inform the development of the concession management plans. Management plan objectives included the maintenance of biological diversity and protection of forest ecosystems, the protection of species threatened by </w:t>
                      </w:r>
                      <w:r>
                        <w:rPr>
                          <w:sz w:val="22"/>
                        </w:rPr>
                        <w:t>hunting</w:t>
                      </w:r>
                      <w:r w:rsidRPr="00803DEE">
                        <w:rPr>
                          <w:sz w:val="22"/>
                        </w:rPr>
                        <w:t>, the sustainability of wildlife resources which are a primary source of protein for local people, and the reduction of impacts on NNNP.</w:t>
                      </w:r>
                    </w:p>
                    <w:p w14:paraId="226C8D83" w14:textId="77777777" w:rsidR="00B82BFD" w:rsidRPr="00803DEE" w:rsidRDefault="00B82BFD" w:rsidP="00382C3E">
                      <w:pPr>
                        <w:rPr>
                          <w:sz w:val="22"/>
                        </w:rPr>
                      </w:pPr>
                      <w:r w:rsidRPr="00803DEE">
                        <w:rPr>
                          <w:sz w:val="22"/>
                        </w:rPr>
                        <w:t xml:space="preserve">As part of the management plan, three hunting zones were delimited: </w:t>
                      </w:r>
                    </w:p>
                    <w:p w14:paraId="397D9629" w14:textId="77777777" w:rsidR="00B82BFD" w:rsidRPr="00803DEE" w:rsidRDefault="00B82BFD" w:rsidP="00382C3E">
                      <w:pPr>
                        <w:pStyle w:val="ListParagraph"/>
                        <w:numPr>
                          <w:ilvl w:val="0"/>
                          <w:numId w:val="5"/>
                        </w:numPr>
                        <w:rPr>
                          <w:sz w:val="22"/>
                        </w:rPr>
                      </w:pPr>
                      <w:r w:rsidRPr="00803DEE">
                        <w:rPr>
                          <w:sz w:val="22"/>
                        </w:rPr>
                        <w:t xml:space="preserve">Community hunting zones, near to existing settlements. Hunting is permitted by villagers, pygmies, camp inhabitants and CIB employee hunting committees. CIB employee committee members have rotating access to their zone, and are equipped with hunting license and firearms. </w:t>
                      </w:r>
                    </w:p>
                    <w:p w14:paraId="21F665E2" w14:textId="3CC37E99" w:rsidR="00B82BFD" w:rsidRPr="00803DEE" w:rsidRDefault="00B82BFD" w:rsidP="00382C3E">
                      <w:pPr>
                        <w:pStyle w:val="ListParagraph"/>
                        <w:numPr>
                          <w:ilvl w:val="0"/>
                          <w:numId w:val="5"/>
                        </w:numPr>
                        <w:rPr>
                          <w:sz w:val="22"/>
                        </w:rPr>
                      </w:pPr>
                      <w:r w:rsidRPr="00803DEE">
                        <w:rPr>
                          <w:sz w:val="22"/>
                        </w:rPr>
                        <w:t>Indigenous people’s hunting zones (away</w:t>
                      </w:r>
                      <w:r>
                        <w:rPr>
                          <w:sz w:val="22"/>
                        </w:rPr>
                        <w:t xml:space="preserve"> from villages or camps). Only P</w:t>
                      </w:r>
                      <w:r w:rsidRPr="00803DEE">
                        <w:rPr>
                          <w:sz w:val="22"/>
                        </w:rPr>
                        <w:t>ygmies can hunt in these zones.</w:t>
                      </w:r>
                    </w:p>
                    <w:p w14:paraId="04AF516B" w14:textId="77777777" w:rsidR="00B82BFD" w:rsidRPr="00803DEE" w:rsidRDefault="00B82BFD" w:rsidP="00382C3E">
                      <w:pPr>
                        <w:pStyle w:val="ListParagraph"/>
                        <w:numPr>
                          <w:ilvl w:val="0"/>
                          <w:numId w:val="5"/>
                        </w:numPr>
                        <w:rPr>
                          <w:sz w:val="22"/>
                        </w:rPr>
                      </w:pPr>
                      <w:r w:rsidRPr="00803DEE">
                        <w:rPr>
                          <w:sz w:val="22"/>
                        </w:rPr>
                        <w:t xml:space="preserve">No take zones, where it is illegal to hunt (for example, those bordering the NNNP).  </w:t>
                      </w:r>
                    </w:p>
                    <w:p w14:paraId="54D31FD4" w14:textId="77777777" w:rsidR="00B82BFD" w:rsidRPr="00803DEE" w:rsidRDefault="00B82BFD" w:rsidP="00382C3E">
                      <w:pPr>
                        <w:rPr>
                          <w:sz w:val="22"/>
                        </w:rPr>
                      </w:pPr>
                      <w:r w:rsidRPr="00803DEE">
                        <w:rPr>
                          <w:sz w:val="22"/>
                        </w:rPr>
                        <w:t>In addition, using participatory mapping with the Bantu and Pygmy communities, important community sites (e.g. forest graveyards, sacred tress) were identified and protected within the management plan. To enforce the hunting zones, and the management plan</w:t>
                      </w:r>
                      <w:r>
                        <w:rPr>
                          <w:sz w:val="22"/>
                        </w:rPr>
                        <w:t>,</w:t>
                      </w:r>
                      <w:r w:rsidRPr="00803DEE">
                        <w:rPr>
                          <w:sz w:val="22"/>
                        </w:rPr>
                        <w:t xml:space="preserve"> a system of Ecoguards was recruited from local communities. Within the concessions, CIB monitors and restricts the transport of wild meat, and applies sanctions where necessary, reinforcing national legislation. </w:t>
                      </w:r>
                    </w:p>
                    <w:p w14:paraId="4278FD6E" w14:textId="201DCCA3" w:rsidR="00B82BFD" w:rsidRDefault="00B82BFD" w:rsidP="00382C3E">
                      <w:pPr>
                        <w:rPr>
                          <w:sz w:val="22"/>
                        </w:rPr>
                      </w:pPr>
                      <w:r w:rsidRPr="00803DEE">
                        <w:rPr>
                          <w:sz w:val="22"/>
                        </w:rPr>
                        <w:t>Despite these efforts, research conducted from 2000 – 2006, measuring the consumption of wild meat, and the availability of wild meat in markets within CIBs Kabo concession, found that the volume of wild meat eaten within the concessions had risen by 64%, probably due to the 69% increase in the population of the logging towns, driven by immigration (Poulsen et al. 2009).</w:t>
                      </w:r>
                    </w:p>
                    <w:p w14:paraId="187133AC" w14:textId="7891FF6B" w:rsidR="00B82BFD" w:rsidRPr="00710CCC" w:rsidRDefault="00B82BFD" w:rsidP="0096158E">
                      <w:pPr>
                        <w:rPr>
                          <w:color w:val="000000" w:themeColor="text1"/>
                          <w:sz w:val="22"/>
                          <w:szCs w:val="22"/>
                        </w:rPr>
                      </w:pPr>
                      <w:r w:rsidRPr="00710CCC">
                        <w:rPr>
                          <w:b/>
                          <w:color w:val="000000" w:themeColor="text1"/>
                          <w:sz w:val="22"/>
                          <w:szCs w:val="22"/>
                        </w:rPr>
                        <w:t>The</w:t>
                      </w:r>
                      <w:r w:rsidRPr="00710CCC">
                        <w:rPr>
                          <w:color w:val="000000" w:themeColor="text1"/>
                          <w:sz w:val="22"/>
                          <w:szCs w:val="22"/>
                        </w:rPr>
                        <w:t xml:space="preserve"> </w:t>
                      </w:r>
                      <w:r w:rsidRPr="00710CCC">
                        <w:rPr>
                          <w:b/>
                          <w:color w:val="000000" w:themeColor="text1"/>
                          <w:sz w:val="22"/>
                          <w:szCs w:val="22"/>
                        </w:rPr>
                        <w:t>Iwokrama forest, Guyana</w:t>
                      </w:r>
                      <w:r>
                        <w:rPr>
                          <w:b/>
                          <w:color w:val="000000" w:themeColor="text1"/>
                          <w:sz w:val="22"/>
                          <w:szCs w:val="22"/>
                        </w:rPr>
                        <w:t xml:space="preserve">: </w:t>
                      </w:r>
                      <w:r w:rsidRPr="00710CCC">
                        <w:rPr>
                          <w:color w:val="000000" w:themeColor="text1"/>
                          <w:sz w:val="22"/>
                          <w:szCs w:val="22"/>
                        </w:rPr>
                        <w:t>The</w:t>
                      </w:r>
                      <w:r w:rsidRPr="0096158E">
                        <w:rPr>
                          <w:color w:val="000000" w:themeColor="text1"/>
                          <w:sz w:val="22"/>
                          <w:szCs w:val="22"/>
                        </w:rPr>
                        <w:t xml:space="preserve"> </w:t>
                      </w:r>
                      <w:r w:rsidRPr="00710CCC">
                        <w:rPr>
                          <w:color w:val="000000" w:themeColor="text1"/>
                          <w:sz w:val="22"/>
                          <w:szCs w:val="22"/>
                        </w:rPr>
                        <w:t>Iwokrama forest</w:t>
                      </w:r>
                      <w:r w:rsidRPr="0096158E">
                        <w:rPr>
                          <w:color w:val="000000" w:themeColor="text1"/>
                          <w:sz w:val="22"/>
                          <w:szCs w:val="22"/>
                        </w:rPr>
                        <w:t xml:space="preserve"> </w:t>
                      </w:r>
                      <w:r w:rsidRPr="00710CCC">
                        <w:rPr>
                          <w:color w:val="000000" w:themeColor="text1"/>
                          <w:sz w:val="22"/>
                          <w:szCs w:val="22"/>
                        </w:rPr>
                        <w:t xml:space="preserve">provides an example of integrated management for production and sustainable use by local </w:t>
                      </w:r>
                      <w:r w:rsidRPr="005A25A7">
                        <w:rPr>
                          <w:color w:val="000000" w:themeColor="text1"/>
                          <w:sz w:val="22"/>
                          <w:szCs w:val="22"/>
                        </w:rPr>
                        <w:t>communities. The Iwokrama International Centre for Rainfores</w:t>
                      </w:r>
                      <w:r>
                        <w:rPr>
                          <w:color w:val="000000" w:themeColor="text1"/>
                          <w:sz w:val="22"/>
                          <w:szCs w:val="22"/>
                        </w:rPr>
                        <w:t>t Conservation and Development (www.</w:t>
                      </w:r>
                      <w:r w:rsidRPr="005A25A7">
                        <w:rPr>
                          <w:color w:val="000000" w:themeColor="text1"/>
                          <w:sz w:val="22"/>
                          <w:szCs w:val="22"/>
                        </w:rPr>
                        <w:t>iwokrama.org) invested significant capital, thanks to initial external funding, in surveying, zoning and developing an integrated management model for the Iwokrama forest resources for the benefits of conservation</w:t>
                      </w:r>
                      <w:r w:rsidRPr="00710CCC">
                        <w:rPr>
                          <w:color w:val="000000" w:themeColor="text1"/>
                          <w:sz w:val="22"/>
                          <w:szCs w:val="22"/>
                        </w:rPr>
                        <w:t xml:space="preserve"> and communities. Of the total area of 371,681 ha, 184,506 ha are designated as a Sustainable Utilisation Area (SUA); the other 186,175 ha being set aside permanently as Wilderness Preserve (WP). The SUA is managed for logging under FSC certification by a joint venture company with private partners and shares attributed to IIC, private partners and local communities. The WP is managed for ecotourism with active participation of the communities. Local communities keep the right to use natural resources within the Iwokrama forest and benefit from employment and economic diversification.</w:t>
                      </w:r>
                    </w:p>
                    <w:p w14:paraId="324052B8" w14:textId="68B23DF3" w:rsidR="00B82BFD" w:rsidRDefault="00B82BFD" w:rsidP="00382C3E">
                      <w:pPr>
                        <w:rPr>
                          <w:sz w:val="22"/>
                        </w:rPr>
                      </w:pPr>
                    </w:p>
                    <w:p w14:paraId="18FF7CB4" w14:textId="77777777" w:rsidR="00B82BFD" w:rsidRPr="00803DEE" w:rsidRDefault="00B82BFD" w:rsidP="00382C3E">
                      <w:pPr>
                        <w:rPr>
                          <w:sz w:val="22"/>
                        </w:rPr>
                      </w:pPr>
                    </w:p>
                    <w:p w14:paraId="369F30A4" w14:textId="77777777" w:rsidR="00B82BFD" w:rsidRDefault="00B82BFD" w:rsidP="00382C3E">
                      <w:pPr>
                        <w:rPr>
                          <w:color w:val="000000" w:themeColor="text1"/>
                        </w:rPr>
                      </w:pPr>
                    </w:p>
                    <w:p w14:paraId="6127F90A" w14:textId="77777777" w:rsidR="00B82BFD" w:rsidRPr="008178D7" w:rsidRDefault="00B82BFD" w:rsidP="00382C3E">
                      <w:pPr>
                        <w:rPr>
                          <w:b/>
                          <w:sz w:val="22"/>
                        </w:rPr>
                      </w:pPr>
                    </w:p>
                  </w:txbxContent>
                </v:textbox>
                <w10:wrap type="square"/>
              </v:shape>
            </w:pict>
          </mc:Fallback>
        </mc:AlternateContent>
      </w:r>
    </w:p>
    <w:p w14:paraId="0B360A88" w14:textId="00821ADD" w:rsidR="007078FA" w:rsidRDefault="007078FA" w:rsidP="007078FA">
      <w:bookmarkStart w:id="214" w:name="_Toc520200106"/>
      <w:bookmarkStart w:id="215" w:name="_Toc520200169"/>
      <w:bookmarkStart w:id="216" w:name="_Toc520202412"/>
      <w:bookmarkStart w:id="217" w:name="_Toc520202475"/>
      <w:bookmarkStart w:id="218" w:name="_Toc520207503"/>
      <w:bookmarkStart w:id="219" w:name="_Toc520200107"/>
      <w:bookmarkStart w:id="220" w:name="_Toc520200170"/>
      <w:bookmarkStart w:id="221" w:name="_Toc520202413"/>
      <w:bookmarkStart w:id="222" w:name="_Toc520202476"/>
      <w:bookmarkStart w:id="223" w:name="_Toc520207504"/>
      <w:bookmarkStart w:id="224" w:name="_Toc520200108"/>
      <w:bookmarkStart w:id="225" w:name="_Toc520200171"/>
      <w:bookmarkStart w:id="226" w:name="_Toc520202414"/>
      <w:bookmarkStart w:id="227" w:name="_Toc520202477"/>
      <w:bookmarkStart w:id="228" w:name="_Toc520207505"/>
      <w:bookmarkStart w:id="229" w:name="_Toc520200109"/>
      <w:bookmarkStart w:id="230" w:name="_Toc520200172"/>
      <w:bookmarkStart w:id="231" w:name="_Toc520202415"/>
      <w:bookmarkStart w:id="232" w:name="_Toc520202478"/>
      <w:bookmarkStart w:id="233" w:name="_Toc520207506"/>
      <w:bookmarkStart w:id="234" w:name="_Toc520200110"/>
      <w:bookmarkStart w:id="235" w:name="_Toc520200173"/>
      <w:bookmarkStart w:id="236" w:name="_Toc520202416"/>
      <w:bookmarkStart w:id="237" w:name="_Toc520202479"/>
      <w:bookmarkStart w:id="238" w:name="_Toc520207507"/>
      <w:bookmarkStart w:id="239" w:name="_Toc520200111"/>
      <w:bookmarkStart w:id="240" w:name="_Toc520200174"/>
      <w:bookmarkStart w:id="241" w:name="_Toc520202417"/>
      <w:bookmarkStart w:id="242" w:name="_Toc520202480"/>
      <w:bookmarkStart w:id="243" w:name="_Toc520207508"/>
      <w:bookmarkStart w:id="244" w:name="_Toc517693771"/>
      <w:bookmarkStart w:id="245" w:name="_Toc519156117"/>
      <w:bookmarkStart w:id="246" w:name="_Ref519603431"/>
      <w:bookmarkStart w:id="247" w:name="_Ref528235911"/>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lastRenderedPageBreak/>
        <w:t>References for Box 5:</w:t>
      </w:r>
      <w:r w:rsidRPr="007078FA">
        <w:t xml:space="preserve"> </w:t>
      </w:r>
      <w:r>
        <w:fldChar w:fldCharType="begin" w:fldLock="1"/>
      </w:r>
      <w:r w:rsidR="00566AAF">
        <w:instrText>ADDIN CSL_CITATION {"citationItems":[{"id":"ITEM-1","itemData":{"ISBN":"978-2-8317-0957-4","author":[{"dropping-particle":"","family":"Shepherd","given":"G.","non-dropping-particle":"","parse-names":false,"suffix":""}],"id":"ITEM-1","issued":{"date-parts":[["2008"]]},"page":"x + 190","title":"The Ecosystem Ecosystem Approach Approach Learning from Experience","type":"article-journal"},"uris":["http://www.mendeley.com/documents/?uuid=48f1ebe1-b415-47f4-bd44-b51d999b0c38"]}],"mendeley":{"formattedCitation":"(Shepherd 2008)","plainTextFormattedCitation":"(Shepherd 2008)","previouslyFormattedCitation":"(Shepherd 2008)"},"properties":{"noteIndex":0},"schema":"https://github.com/citation-style-language/schema/raw/master/csl-citation.json"}</w:instrText>
      </w:r>
      <w:r>
        <w:fldChar w:fldCharType="separate"/>
      </w:r>
      <w:r w:rsidRPr="00634769">
        <w:rPr>
          <w:noProof/>
        </w:rPr>
        <w:t>(Shepherd 2008)</w:t>
      </w:r>
      <w:r>
        <w:fldChar w:fldCharType="end"/>
      </w:r>
    </w:p>
    <w:p w14:paraId="66073D84" w14:textId="7EB1EF4B" w:rsidR="00E05B59" w:rsidRPr="004904D8" w:rsidRDefault="00E05B59" w:rsidP="00DF57F3">
      <w:pPr>
        <w:pStyle w:val="Heading2"/>
      </w:pPr>
      <w:bookmarkStart w:id="248" w:name="_Toc529390370"/>
      <w:r w:rsidRPr="004904D8">
        <w:t xml:space="preserve">Defining and measuring </w:t>
      </w:r>
      <w:r w:rsidR="00D85930" w:rsidRPr="004904D8">
        <w:t>sustainable</w:t>
      </w:r>
      <w:r w:rsidRPr="004904D8">
        <w:t xml:space="preserve"> harvesting levels for wild</w:t>
      </w:r>
      <w:r w:rsidR="00CC4A35">
        <w:t xml:space="preserve"> </w:t>
      </w:r>
      <w:r w:rsidRPr="004904D8">
        <w:t>meat species</w:t>
      </w:r>
      <w:bookmarkEnd w:id="244"/>
      <w:bookmarkEnd w:id="245"/>
      <w:bookmarkEnd w:id="246"/>
      <w:bookmarkEnd w:id="247"/>
      <w:bookmarkEnd w:id="248"/>
    </w:p>
    <w:p w14:paraId="04972C51" w14:textId="1D0BB804" w:rsidR="009515D8" w:rsidRDefault="00AC1583" w:rsidP="00C258BC">
      <w:pPr>
        <w:jc w:val="both"/>
        <w:rPr>
          <w:color w:val="000000" w:themeColor="text1"/>
        </w:rPr>
      </w:pPr>
      <w:r>
        <w:rPr>
          <w:rFonts w:ascii="TimesNewRomanPSMT" w:hAnsi="TimesNewRomanPSMT" w:cs="TimesNewRomanPSMT"/>
          <w:color w:val="000000"/>
        </w:rPr>
        <w:t>The</w:t>
      </w:r>
      <w:r w:rsidR="009515D8">
        <w:rPr>
          <w:rFonts w:ascii="TimesNewRomanPSMT" w:hAnsi="TimesNewRomanPSMT" w:cs="TimesNewRomanPSMT"/>
          <w:color w:val="000000"/>
        </w:rPr>
        <w:t xml:space="preserve"> concept of sustainability still remains </w:t>
      </w:r>
      <w:r w:rsidR="009515D8" w:rsidRPr="001E7F94">
        <w:rPr>
          <w:rFonts w:ascii="TimesNewRomanPSMT" w:hAnsi="TimesNewRomanPSMT" w:cs="TimesNewRomanPSMT"/>
          <w:color w:val="000000"/>
        </w:rPr>
        <w:t xml:space="preserve">difficult to operationalize </w:t>
      </w:r>
      <w:r w:rsidR="00575AA9">
        <w:rPr>
          <w:rFonts w:ascii="TimesNewRomanPSMT" w:hAnsi="TimesNewRomanPSMT" w:cs="TimesNewRomanPSMT"/>
          <w:color w:val="000000"/>
        </w:rPr>
        <w:fldChar w:fldCharType="begin" w:fldLock="1"/>
      </w:r>
      <w:r w:rsidR="00575AA9">
        <w:rPr>
          <w:rFonts w:ascii="TimesNewRomanPSMT" w:hAnsi="TimesNewRomanPSMT" w:cs="TimesNewRomanPSMT"/>
          <w:color w:val="000000"/>
        </w:rPr>
        <w:instrText>ADDIN CSL_CITATION {"citationItems":[{"id":"ITEM-1","itemData":{"author":[{"dropping-particle":"","family":"Holden","given":"E","non-dropping-particle":"","parse-names":false,"suffix":""},{"dropping-particle":"","family":"Linnerud","given":"K","non-dropping-particle":"","parse-names":false,"suffix":""},{"dropping-particle":"","family":"Banister","given":"D","non-dropping-particle":"","parse-names":false,"suffix":""},{"dropping-particle":"","family":"Schwanitz","given":"V J","non-dropping-particle":"","parse-names":false,"suffix":""},{"dropping-particle":"","family":"Wierling","given":"A","non-dropping-particle":"","parse-names":false,"suffix":""}],"id":"ITEM-1","issued":{"date-parts":[["2017"]]},"number-of-pages":"282","publisher":"Routledge, London, UK","publisher-place":"Routledge, London, UK","title":"The imperatives of sustainable development: needs, justics, limits","type":"book"},"uris":["http://www.mendeley.com/documents/?uuid=97fa6df6-59b5-48bb-9187-ade36b97888b"]}],"mendeley":{"formattedCitation":"(Holden et al. 2017)","plainTextFormattedCitation":"(Holden et al. 2017)","previouslyFormattedCitation":"(Holden et al. 2017)"},"properties":{"noteIndex":0},"schema":"https://github.com/citation-style-language/schema/raw/master/csl-citation.json"}</w:instrText>
      </w:r>
      <w:r w:rsidR="00575AA9">
        <w:rPr>
          <w:rFonts w:ascii="TimesNewRomanPSMT" w:hAnsi="TimesNewRomanPSMT" w:cs="TimesNewRomanPSMT"/>
          <w:color w:val="000000"/>
        </w:rPr>
        <w:fldChar w:fldCharType="separate"/>
      </w:r>
      <w:r w:rsidR="00575AA9" w:rsidRPr="00575AA9">
        <w:rPr>
          <w:rFonts w:ascii="TimesNewRomanPSMT" w:hAnsi="TimesNewRomanPSMT" w:cs="TimesNewRomanPSMT"/>
          <w:noProof/>
          <w:color w:val="000000"/>
        </w:rPr>
        <w:t>(Holden et al. 2017)</w:t>
      </w:r>
      <w:r w:rsidR="00575AA9">
        <w:rPr>
          <w:rFonts w:ascii="TimesNewRomanPSMT" w:hAnsi="TimesNewRomanPSMT" w:cs="TimesNewRomanPSMT"/>
          <w:color w:val="000000"/>
        </w:rPr>
        <w:fldChar w:fldCharType="end"/>
      </w:r>
      <w:r w:rsidR="009515D8" w:rsidRPr="001E7F94">
        <w:rPr>
          <w:rFonts w:ascii="TimesNewRomanPSMT" w:hAnsi="TimesNewRomanPSMT" w:cs="TimesNewRomanPSMT"/>
          <w:color w:val="000000"/>
        </w:rPr>
        <w:t xml:space="preserve">. </w:t>
      </w:r>
      <w:r w:rsidR="009515D8">
        <w:rPr>
          <w:rFonts w:ascii="TimesNewRomanPSMT" w:hAnsi="TimesNewRomanPSMT" w:cs="TimesNewRomanPSMT"/>
          <w:color w:val="000000"/>
        </w:rPr>
        <w:t xml:space="preserve">Particularly in the context of fisheries, discussions around how best to measure sustainability have ranged from the deterministic production models of the 1970s to more elaborate models that </w:t>
      </w:r>
      <w:r w:rsidR="009515D8" w:rsidRPr="00F67AB3">
        <w:rPr>
          <w:rFonts w:ascii="TimesNewRomanPSMT" w:hAnsi="TimesNewRomanPSMT" w:cs="TimesNewRomanPSMT"/>
          <w:color w:val="000000"/>
        </w:rPr>
        <w:t xml:space="preserve">incorporate the economic and social aspects of fisheries and/or ecosystem and habitat requirements </w:t>
      </w:r>
      <w:r w:rsidR="00575AA9">
        <w:rPr>
          <w:rFonts w:ascii="TimesNewRomanPSMT" w:hAnsi="TimesNewRomanPSMT" w:cs="TimesNewRomanPSMT"/>
          <w:color w:val="000000"/>
        </w:rPr>
        <w:fldChar w:fldCharType="begin" w:fldLock="1"/>
      </w:r>
      <w:r w:rsidR="009E6D69">
        <w:rPr>
          <w:rFonts w:ascii="TimesNewRomanPSMT" w:hAnsi="TimesNewRomanPSMT" w:cs="TimesNewRomanPSMT"/>
          <w:color w:val="000000"/>
        </w:rPr>
        <w:instrText>ADDIN CSL_CITATION {"citationItems":[{"id":"ITEM-1","itemData":{"DOI":"10.1098/rstb.2004.1577","ISBN":"0962-8436","ISSN":"09628436","PMID":"15713594","abstract":"In this paper, we review the concept of sustainability with regard to a single-species, age-structured fish population with density dependence at some stage of its life history. We trace the development of the view of sustainability through four periods. The classical view of sustainability, prevalent in the 1970s and earlier, developed from deterministic production models, in which equilibrium abundance or biomass is derived as a function of fishing mortality. When there is no fishing mortality, the population equilibrates about its carrying capacity. We show that carrying capacity is the result of reproductive and mortality processes and is not a fixed constant unless these processes are constant. There is usually a fishing mortality, F(MSY), which results in MSY, and a higher value, F(ext), for which the population is eventually driven to extinction. For each F between 0 and F(ext), there is a corresponding sustainable population. From this viewpoint, the primary tool for achieving sustainability is the control of fishing mortality. The neoclassical view of sustainability, developed in the 1980s, involved population models with depensation and stochasticity. This view point is in accord with the perception that a population at a low level is susceptible to collapse or to a lack of rebuilding regardless of fishing. Sustainability occurs in a more restricted range from that in the classical view and includes an abundance threshold. A variety of studies has suggested that fishing mortality should not let a population drop below a threshold at 10-20% of carrying capacity. The modern view of sustainability in the 1990s moves further in the direction of precaution. The fishing mortality limit is the former target of F(MSY) (or some proxy), and the target fishing mortality is set lower. This viewpoint further reduces the range of permissible fishing mortalities and resultant desired population sizes. The objective has shifted from optimizing long-term catch to preserving spawning biomass and egg production for the future. The use of discount rates in objective functions involving catch is not a suitable alternative to protecting reproductive value. As we move into the post-modern time period, new definitions of sustainability will attempt to incorporate he economic and social aspects of fisheries and/or ecosystem and habitat requirements. These definitions now involve \"warm and fuzzy\" notions (healthy ecosystems and fishing communities, the needs of future …","author":[{"dropping-particle":"","family":"Quinn","given":"Terrance J.","non-dropping-particle":"","parse-names":false,"suffix":""},{"dropping-particle":"","family":"Collie","given":"Jeremy S.","non-dropping-particle":"","parse-names":false,"suffix":""}],"container-title":"Philosophical Transactions of the Royal Society B: Biological Sciences","id":"ITEM-1","issue":"1453","issued":{"date-parts":[["2005"]]},"page":"147-162","title":"Sustainability in single-species population models","type":"article-journal","volume":"360"},"uris":["http://www.mendeley.com/documents/?uuid=bd8c5e6e-0c39-453b-abae-f3f8270bd634"]}],"mendeley":{"formattedCitation":"(Quinn &amp; Collie 2005)","plainTextFormattedCitation":"(Quinn &amp; Collie 2005)","previouslyFormattedCitation":"(Quinn &amp; Collie 2005)"},"properties":{"noteIndex":0},"schema":"https://github.com/citation-style-language/schema/raw/master/csl-citation.json"}</w:instrText>
      </w:r>
      <w:r w:rsidR="00575AA9">
        <w:rPr>
          <w:rFonts w:ascii="TimesNewRomanPSMT" w:hAnsi="TimesNewRomanPSMT" w:cs="TimesNewRomanPSMT"/>
          <w:color w:val="000000"/>
        </w:rPr>
        <w:fldChar w:fldCharType="separate"/>
      </w:r>
      <w:r w:rsidR="00575AA9" w:rsidRPr="00575AA9">
        <w:rPr>
          <w:rFonts w:ascii="TimesNewRomanPSMT" w:hAnsi="TimesNewRomanPSMT" w:cs="TimesNewRomanPSMT"/>
          <w:noProof/>
          <w:color w:val="000000"/>
        </w:rPr>
        <w:t>(Quinn &amp; Collie 2005)</w:t>
      </w:r>
      <w:r w:rsidR="00575AA9">
        <w:rPr>
          <w:rFonts w:ascii="TimesNewRomanPSMT" w:hAnsi="TimesNewRomanPSMT" w:cs="TimesNewRomanPSMT"/>
          <w:color w:val="000000"/>
        </w:rPr>
        <w:fldChar w:fldCharType="end"/>
      </w:r>
      <w:r w:rsidR="009515D8" w:rsidRPr="00F67AB3">
        <w:rPr>
          <w:rFonts w:ascii="TimesNewRomanPSMT" w:hAnsi="TimesNewRomanPSMT" w:cs="TimesNewRomanPSMT"/>
          <w:color w:val="000000"/>
        </w:rPr>
        <w:t>.</w:t>
      </w:r>
      <w:r w:rsidR="009515D8">
        <w:rPr>
          <w:rFonts w:ascii="TimesNewRomanPSMT" w:hAnsi="TimesNewRomanPSMT" w:cs="TimesNewRomanPSMT"/>
          <w:color w:val="000000"/>
        </w:rPr>
        <w:t xml:space="preserve"> </w:t>
      </w:r>
      <w:r w:rsidR="00390459">
        <w:rPr>
          <w:rFonts w:ascii="TimesNewRomanPSMT" w:hAnsi="TimesNewRomanPSMT" w:cs="TimesNewRomanPSMT"/>
          <w:color w:val="000000"/>
        </w:rPr>
        <w:t>However, there are still many instances of managed fisheries collapse, and translation of the lessons learned in marine fisheries to terrestrial systems has been slow.</w:t>
      </w:r>
    </w:p>
    <w:p w14:paraId="15511373" w14:textId="1E8E200D" w:rsidR="00611938" w:rsidRPr="00AE5EA1" w:rsidRDefault="000B49FD" w:rsidP="00C258BC">
      <w:pPr>
        <w:jc w:val="both"/>
        <w:rPr>
          <w:color w:val="000000" w:themeColor="text1"/>
        </w:rPr>
      </w:pPr>
      <w:r>
        <w:rPr>
          <w:rFonts w:ascii="TimesNewRomanPSMT" w:hAnsi="TimesNewRomanPSMT" w:cs="TimesNewRomanPSMT"/>
          <w:color w:val="000000"/>
        </w:rPr>
        <w:t>S</w:t>
      </w:r>
      <w:r w:rsidRPr="00332CB3">
        <w:rPr>
          <w:rFonts w:ascii="TimesNewRomanPSMT" w:hAnsi="TimesNewRomanPSMT" w:cs="TimesNewRomanPSMT"/>
          <w:color w:val="000000"/>
        </w:rPr>
        <w:t xml:space="preserve">ustainable hunting has </w:t>
      </w:r>
      <w:r>
        <w:rPr>
          <w:rFonts w:ascii="TimesNewRomanPSMT" w:hAnsi="TimesNewRomanPSMT" w:cs="TimesNewRomanPSMT"/>
          <w:color w:val="000000"/>
        </w:rPr>
        <w:t>a</w:t>
      </w:r>
      <w:r w:rsidRPr="00332CB3">
        <w:rPr>
          <w:rFonts w:ascii="TimesNewRomanPSMT" w:hAnsi="TimesNewRomanPSMT" w:cs="TimesNewRomanPSMT"/>
          <w:color w:val="000000"/>
        </w:rPr>
        <w:t xml:space="preserve"> biological </w:t>
      </w:r>
      <w:r>
        <w:rPr>
          <w:rFonts w:ascii="TimesNewRomanPSMT" w:hAnsi="TimesNewRomanPSMT" w:cs="TimesNewRomanPSMT"/>
          <w:color w:val="000000"/>
        </w:rPr>
        <w:t>component</w:t>
      </w:r>
      <w:r w:rsidRPr="00332CB3">
        <w:rPr>
          <w:rFonts w:ascii="TimesNewRomanPSMT" w:hAnsi="TimesNewRomanPSMT" w:cs="TimesNewRomanPSMT"/>
          <w:color w:val="000000"/>
        </w:rPr>
        <w:t xml:space="preserve">, in which </w:t>
      </w:r>
      <w:r>
        <w:rPr>
          <w:rFonts w:ascii="TimesNewRomanPSMT" w:hAnsi="TimesNewRomanPSMT" w:cs="TimesNewRomanPSMT"/>
          <w:color w:val="000000"/>
        </w:rPr>
        <w:t xml:space="preserve">the aim is to ensure that the hunted animal </w:t>
      </w:r>
      <w:r w:rsidRPr="00332CB3">
        <w:rPr>
          <w:rFonts w:ascii="TimesNewRomanPSMT" w:hAnsi="TimesNewRomanPSMT" w:cs="TimesNewRomanPSMT"/>
          <w:color w:val="000000"/>
        </w:rPr>
        <w:t xml:space="preserve">population remains </w:t>
      </w:r>
      <w:r>
        <w:rPr>
          <w:rFonts w:ascii="TimesNewRomanPSMT" w:hAnsi="TimesNewRomanPSMT" w:cs="TimesNewRomanPSMT"/>
          <w:color w:val="000000"/>
        </w:rPr>
        <w:t>above a safe minimum level into the foreseeable future. Hunting offtakes also need to be economically and socially sustainable, so that</w:t>
      </w:r>
      <w:r w:rsidRPr="00332CB3">
        <w:rPr>
          <w:rFonts w:ascii="TimesNewRomanPSMT" w:hAnsi="TimesNewRomanPSMT" w:cs="TimesNewRomanPSMT"/>
          <w:color w:val="000000"/>
        </w:rPr>
        <w:t xml:space="preserve"> </w:t>
      </w:r>
      <w:r>
        <w:rPr>
          <w:rFonts w:ascii="TimesNewRomanPSMT" w:hAnsi="TimesNewRomanPSMT" w:cs="TimesNewRomanPSMT"/>
          <w:color w:val="000000"/>
        </w:rPr>
        <w:t xml:space="preserve">the levels of hunting offtake support the dietary, income and customary needs of local populations adequately. </w:t>
      </w:r>
      <w:r w:rsidR="00390459">
        <w:rPr>
          <w:color w:val="000000" w:themeColor="text1"/>
        </w:rPr>
        <w:t>Measures of ecologically sustainable levels of offtake</w:t>
      </w:r>
      <w:r w:rsidR="00390459" w:rsidRPr="005512D2">
        <w:rPr>
          <w:color w:val="000000" w:themeColor="text1"/>
        </w:rPr>
        <w:t xml:space="preserve"> can be used</w:t>
      </w:r>
      <w:r w:rsidR="00611938">
        <w:rPr>
          <w:color w:val="000000" w:themeColor="text1"/>
        </w:rPr>
        <w:t xml:space="preserve"> </w:t>
      </w:r>
      <w:r w:rsidR="00611938" w:rsidRPr="005512D2">
        <w:rPr>
          <w:color w:val="000000" w:themeColor="text1"/>
        </w:rPr>
        <w:t>as a b</w:t>
      </w:r>
      <w:r w:rsidR="00611938">
        <w:rPr>
          <w:color w:val="000000" w:themeColor="text1"/>
        </w:rPr>
        <w:t>asis</w:t>
      </w:r>
      <w:r w:rsidR="00390459">
        <w:rPr>
          <w:color w:val="000000" w:themeColor="text1"/>
        </w:rPr>
        <w:t xml:space="preserve"> </w:t>
      </w:r>
      <w:r w:rsidR="00611938">
        <w:rPr>
          <w:color w:val="000000" w:themeColor="text1"/>
        </w:rPr>
        <w:t xml:space="preserve">to </w:t>
      </w:r>
      <w:r w:rsidR="00390459">
        <w:rPr>
          <w:color w:val="000000" w:themeColor="text1"/>
        </w:rPr>
        <w:t xml:space="preserve">guide </w:t>
      </w:r>
      <w:r w:rsidR="00390459" w:rsidRPr="005512D2">
        <w:rPr>
          <w:color w:val="000000" w:themeColor="text1"/>
        </w:rPr>
        <w:t>discussion</w:t>
      </w:r>
      <w:r w:rsidR="00390459">
        <w:rPr>
          <w:color w:val="000000" w:themeColor="text1"/>
        </w:rPr>
        <w:t>s</w:t>
      </w:r>
      <w:r w:rsidR="00390459" w:rsidRPr="005512D2">
        <w:rPr>
          <w:color w:val="000000" w:themeColor="text1"/>
        </w:rPr>
        <w:t xml:space="preserve"> </w:t>
      </w:r>
      <w:r w:rsidR="00611938">
        <w:rPr>
          <w:color w:val="000000" w:themeColor="text1"/>
        </w:rPr>
        <w:t>for setting lo</w:t>
      </w:r>
      <w:r w:rsidR="005133B6">
        <w:rPr>
          <w:color w:val="000000" w:themeColor="text1"/>
        </w:rPr>
        <w:t xml:space="preserve">cally-appropriate hunting rules, such as rules </w:t>
      </w:r>
      <w:r w:rsidR="00611938">
        <w:rPr>
          <w:color w:val="000000" w:themeColor="text1"/>
        </w:rPr>
        <w:t>concerning hunting gear</w:t>
      </w:r>
      <w:r w:rsidR="005133B6">
        <w:rPr>
          <w:color w:val="000000" w:themeColor="text1"/>
        </w:rPr>
        <w:t xml:space="preserve">, effort, and/or landscape use, </w:t>
      </w:r>
      <w:r w:rsidR="00611938">
        <w:rPr>
          <w:color w:val="000000" w:themeColor="text1"/>
        </w:rPr>
        <w:t xml:space="preserve">in </w:t>
      </w:r>
      <w:r w:rsidR="00611938" w:rsidRPr="005512D2">
        <w:rPr>
          <w:color w:val="000000" w:themeColor="text1"/>
        </w:rPr>
        <w:t xml:space="preserve">collaboration with local hunting </w:t>
      </w:r>
      <w:r w:rsidR="00611938" w:rsidRPr="00AE5EA1">
        <w:rPr>
          <w:color w:val="000000" w:themeColor="text1"/>
        </w:rPr>
        <w:t>communities</w:t>
      </w:r>
      <w:r w:rsidR="00AE5EA1" w:rsidRPr="00AE5EA1">
        <w:rPr>
          <w:color w:val="000000" w:themeColor="text1"/>
        </w:rPr>
        <w:t xml:space="preserve"> (for an example from the Amazon, see </w:t>
      </w:r>
      <w:r w:rsidR="00AE5EA1" w:rsidRPr="00AE5EA1">
        <w:rPr>
          <w:color w:val="000000" w:themeColor="text1"/>
        </w:rPr>
        <w:fldChar w:fldCharType="begin"/>
      </w:r>
      <w:r w:rsidR="00AE5EA1" w:rsidRPr="00AE5EA1">
        <w:rPr>
          <w:color w:val="000000" w:themeColor="text1"/>
        </w:rPr>
        <w:instrText xml:space="preserve"> REF _Ref520802571 \h </w:instrText>
      </w:r>
      <w:r w:rsidR="00AE5EA1">
        <w:rPr>
          <w:color w:val="000000" w:themeColor="text1"/>
        </w:rPr>
        <w:instrText xml:space="preserve"> \* MERGEFORMAT </w:instrText>
      </w:r>
      <w:r w:rsidR="00AE5EA1" w:rsidRPr="00AE5EA1">
        <w:rPr>
          <w:color w:val="000000" w:themeColor="text1"/>
        </w:rPr>
      </w:r>
      <w:r w:rsidR="00AE5EA1" w:rsidRPr="00AE5EA1">
        <w:rPr>
          <w:color w:val="000000" w:themeColor="text1"/>
        </w:rPr>
        <w:fldChar w:fldCharType="separate"/>
      </w:r>
      <w:r w:rsidR="007034F1">
        <w:t xml:space="preserve">Box </w:t>
      </w:r>
      <w:r w:rsidR="007034F1">
        <w:rPr>
          <w:noProof/>
        </w:rPr>
        <w:t>7</w:t>
      </w:r>
      <w:r w:rsidR="00AE5EA1" w:rsidRPr="00AE5EA1">
        <w:rPr>
          <w:color w:val="000000" w:themeColor="text1"/>
        </w:rPr>
        <w:fldChar w:fldCharType="end"/>
      </w:r>
      <w:r w:rsidR="00AE5EA1" w:rsidRPr="00AE5EA1">
        <w:rPr>
          <w:color w:val="000000" w:themeColor="text1"/>
        </w:rPr>
        <w:t>).</w:t>
      </w:r>
    </w:p>
    <w:p w14:paraId="23C36627" w14:textId="7062FC78" w:rsidR="000B49FD" w:rsidRPr="00390459" w:rsidRDefault="00390459" w:rsidP="00C258BC">
      <w:pPr>
        <w:jc w:val="both"/>
        <w:rPr>
          <w:rFonts w:ascii="TimesNewRomanPSMT" w:hAnsi="TimesNewRomanPSMT" w:cs="TimesNewRomanPSMT"/>
          <w:color w:val="000000"/>
        </w:rPr>
      </w:pPr>
      <w:r w:rsidRPr="00AE5EA1">
        <w:rPr>
          <w:color w:val="000000" w:themeColor="text1"/>
        </w:rPr>
        <w:t>In the wild meat literature, ecological sustainability has received the most attention</w:t>
      </w:r>
      <w:r w:rsidR="00DF5919">
        <w:rPr>
          <w:color w:val="000000" w:themeColor="text1"/>
        </w:rPr>
        <w:t xml:space="preserve">, and </w:t>
      </w:r>
      <w:r w:rsidR="00FC4DAF">
        <w:rPr>
          <w:color w:val="000000" w:themeColor="text1"/>
          <w:highlight w:val="yellow"/>
        </w:rPr>
        <w:fldChar w:fldCharType="begin"/>
      </w:r>
      <w:r w:rsidR="00FC4DAF">
        <w:rPr>
          <w:color w:val="000000" w:themeColor="text1"/>
        </w:rPr>
        <w:instrText xml:space="preserve"> REF _Ref528409329 \h </w:instrText>
      </w:r>
      <w:r w:rsidR="00FC4DAF">
        <w:rPr>
          <w:color w:val="000000" w:themeColor="text1"/>
          <w:highlight w:val="yellow"/>
        </w:rPr>
      </w:r>
      <w:r w:rsidR="00FC4DAF">
        <w:rPr>
          <w:color w:val="000000" w:themeColor="text1"/>
          <w:highlight w:val="yellow"/>
        </w:rPr>
        <w:fldChar w:fldCharType="separate"/>
      </w:r>
      <w:r w:rsidR="007034F1">
        <w:t xml:space="preserve">Box </w:t>
      </w:r>
      <w:r w:rsidR="007034F1">
        <w:rPr>
          <w:noProof/>
        </w:rPr>
        <w:t>6</w:t>
      </w:r>
      <w:r w:rsidR="00FC4DAF">
        <w:rPr>
          <w:color w:val="000000" w:themeColor="text1"/>
          <w:highlight w:val="yellow"/>
        </w:rPr>
        <w:fldChar w:fldCharType="end"/>
      </w:r>
      <w:r w:rsidR="00FC4DAF">
        <w:rPr>
          <w:color w:val="000000" w:themeColor="text1"/>
        </w:rPr>
        <w:t xml:space="preserve"> </w:t>
      </w:r>
      <w:r w:rsidR="00DF5919">
        <w:rPr>
          <w:color w:val="000000" w:themeColor="text1"/>
        </w:rPr>
        <w:t>briefly reviews the ecological theory behind setting sustainable offtakes</w:t>
      </w:r>
      <w:r w:rsidRPr="00AE5EA1">
        <w:rPr>
          <w:color w:val="000000" w:themeColor="text1"/>
        </w:rPr>
        <w:t xml:space="preserve">. </w:t>
      </w:r>
      <w:r w:rsidR="00611938" w:rsidRPr="00AE5EA1">
        <w:rPr>
          <w:color w:val="000000" w:themeColor="text1"/>
        </w:rPr>
        <w:t xml:space="preserve">Simple indices </w:t>
      </w:r>
      <w:r w:rsidR="00516C17" w:rsidRPr="00AE5EA1">
        <w:rPr>
          <w:color w:val="000000" w:themeColor="text1"/>
        </w:rPr>
        <w:t>have been developed which aim to determine the maximum sustainable hunting offtake for a species</w:t>
      </w:r>
      <w:r w:rsidR="006413FD">
        <w:rPr>
          <w:color w:val="000000" w:themeColor="text1"/>
        </w:rPr>
        <w:t xml:space="preserve"> or landscape </w:t>
      </w:r>
      <w:r w:rsidR="009E6D69">
        <w:rPr>
          <w:color w:val="000000" w:themeColor="text1"/>
        </w:rPr>
        <w:fldChar w:fldCharType="begin" w:fldLock="1"/>
      </w:r>
      <w:r w:rsidR="00B2630D">
        <w:rPr>
          <w:color w:val="000000" w:themeColor="text1"/>
        </w:rPr>
        <w:instrText>ADDIN CSL_CITATION {"citationItems":[{"id":"ITEM-1","itemData":{"author":[{"dropping-particle":"","family":"Robinson","given":"J G","non-dropping-particle":"","parse-names":false,"suffix":""},{"dropping-particle":"","family":"Redford","given":"K H","non-dropping-particle":"","parse-names":false,"suffix":""}],"container-title":"Neotropical wildlife use and conservation","editor":[{"dropping-particle":"","family":"Robinson","given":"J G","non-dropping-particle":"","parse-names":false,"suffix":""},{"dropping-particle":"","family":"Redford","given":"K H","non-dropping-particle":"","parse-names":false,"suffix":""}],"id":"ITEM-1","issued":{"date-parts":[["1991"]]},"page":"415-429","publisher":"Chicago University Press, Chicago, USA","title":"Sustainable harvest of neo-tropical mammals","type":"chapter"},"uris":["http://www.mendeley.com/documents/?uuid=27e6692b-d5c1-4c1a-acc6-5ededb981b64"]},{"id":"ITEM-2","itemData":{"author":[{"dropping-particle":"","family":"Robinson","given":"J G","non-dropping-particle":"","parse-names":false,"suffix":""},{"dropping-particle":"","family":"Bennett","given":"E L","non-dropping-particle":"","parse-names":false,"suffix":""}],"container-title":"Hunting for sustainability in tropical forests","editor":[{"dropping-particle":"","family":"Robinson","given":"J G","non-dropping-particle":"","parse-names":false,"suffix":""},{"dropping-particle":"","family":"Bennett","given":"E L","non-dropping-particle":"","parse-names":false,"suffix":""}],"id":"ITEM-2","issued":{"date-parts":[["2000"]]},"page":"13-30","publisher":"Columbia University Press, New York, USA","title":"Carrying capacity limits to sustainable hunting in tropical forests","type":"chapter"},"uris":["http://www.mendeley.com/documents/?uuid=55e52c97-fede-4ac3-b4d2-290dcc9c0ca6"]},{"id":"ITEM-3","itemData":{"DOI":"10.1017/S1367943004001532","author":[{"dropping-particle":"","family":"Robinson","given":"John G","non-dropping-particle":"","parse-names":false,"suffix":""},{"dropping-particle":"","family":"Bennett","given":"Elizabeth L","non-dropping-particle":"","parse-names":false,"suffix":""}],"container-title":"Animal Conservation","id":"ITEM-3","issued":{"date-parts":[["2004"]]},"page":"397-408","title":"Having your wildlife and eating it too: an analysis of hunting sustainability across tropical ecosystems","type":"article-journal","volume":"7"},"uris":["http://www.mendeley.com/documents/?uuid=081b2359-707f-4126-8bc5-61422cfc0683"]}],"mendeley":{"formattedCitation":"(Robinson &amp; Redford 1991; Robinson &amp; Bennett 2000, 2004)","plainTextFormattedCitation":"(Robinson &amp; Redford 1991; Robinson &amp; Bennett 2000, 2004)","previouslyFormattedCitation":"(Robinson &amp; Redford 1991; Robinson &amp; Bennett 2000, 2004)"},"properties":{"noteIndex":0},"schema":"https://github.com/citation-style-language/schema/raw/master/csl-citation.json"}</w:instrText>
      </w:r>
      <w:r w:rsidR="009E6D69">
        <w:rPr>
          <w:color w:val="000000" w:themeColor="text1"/>
        </w:rPr>
        <w:fldChar w:fldCharType="separate"/>
      </w:r>
      <w:r w:rsidR="009E6D69" w:rsidRPr="009E6D69">
        <w:rPr>
          <w:noProof/>
          <w:color w:val="000000" w:themeColor="text1"/>
        </w:rPr>
        <w:t>(Robinson &amp; Redford 1991; Robinson &amp; Bennett 2000, 2004)</w:t>
      </w:r>
      <w:r w:rsidR="009E6D69">
        <w:rPr>
          <w:color w:val="000000" w:themeColor="text1"/>
        </w:rPr>
        <w:fldChar w:fldCharType="end"/>
      </w:r>
      <w:r w:rsidR="00DF5919">
        <w:rPr>
          <w:color w:val="000000" w:themeColor="text1"/>
        </w:rPr>
        <w:t xml:space="preserve">. </w:t>
      </w:r>
      <w:r w:rsidR="000B49FD" w:rsidRPr="00AE5EA1">
        <w:rPr>
          <w:rFonts w:ascii="TimesNewRomanPSMT" w:hAnsi="TimesNewRomanPSMT" w:cs="TimesNewRomanPSMT"/>
          <w:color w:val="000000"/>
        </w:rPr>
        <w:t>However, there is evidence that suggests that the</w:t>
      </w:r>
      <w:r w:rsidR="000B49FD">
        <w:rPr>
          <w:rFonts w:ascii="TimesNewRomanPSMT" w:hAnsi="TimesNewRomanPSMT" w:cs="TimesNewRomanPSMT"/>
          <w:color w:val="000000"/>
        </w:rPr>
        <w:t xml:space="preserve"> most widely used </w:t>
      </w:r>
      <w:r w:rsidR="000B49FD" w:rsidRPr="00332CB3">
        <w:rPr>
          <w:rFonts w:ascii="TimesNewRomanPSMT" w:hAnsi="TimesNewRomanPSMT" w:cs="TimesNewRomanPSMT"/>
          <w:color w:val="000000"/>
        </w:rPr>
        <w:t>indices</w:t>
      </w:r>
      <w:r w:rsidR="000B49FD">
        <w:rPr>
          <w:rFonts w:ascii="TimesNewRomanPSMT" w:hAnsi="TimesNewRomanPSMT" w:cs="TimesNewRomanPSMT"/>
          <w:color w:val="000000"/>
        </w:rPr>
        <w:t xml:space="preserve"> </w:t>
      </w:r>
      <w:r w:rsidR="000B49FD" w:rsidRPr="00332CB3">
        <w:rPr>
          <w:rFonts w:ascii="TimesNewRomanPSMT" w:hAnsi="TimesNewRomanPSMT" w:cs="TimesNewRomanPSMT"/>
          <w:color w:val="000000"/>
        </w:rPr>
        <w:t>for</w:t>
      </w:r>
      <w:r w:rsidR="000B49FD">
        <w:rPr>
          <w:rFonts w:ascii="TimesNewRomanPSMT" w:hAnsi="TimesNewRomanPSMT" w:cs="TimesNewRomanPSMT"/>
          <w:color w:val="000000"/>
        </w:rPr>
        <w:t xml:space="preserve"> </w:t>
      </w:r>
      <w:r w:rsidR="000B49FD" w:rsidRPr="00332CB3">
        <w:rPr>
          <w:rFonts w:ascii="TimesNewRomanPSMT" w:hAnsi="TimesNewRomanPSMT" w:cs="TimesNewRomanPSMT"/>
          <w:color w:val="000000"/>
        </w:rPr>
        <w:t>calculating</w:t>
      </w:r>
      <w:r w:rsidR="000B49FD">
        <w:rPr>
          <w:rFonts w:ascii="TimesNewRomanPSMT" w:hAnsi="TimesNewRomanPSMT" w:cs="TimesNewRomanPSMT"/>
          <w:color w:val="000000"/>
        </w:rPr>
        <w:t xml:space="preserve"> </w:t>
      </w:r>
      <w:r w:rsidR="000B49FD" w:rsidRPr="00332CB3">
        <w:rPr>
          <w:rFonts w:ascii="TimesNewRomanPSMT" w:hAnsi="TimesNewRomanPSMT" w:cs="TimesNewRomanPSMT"/>
          <w:color w:val="000000"/>
        </w:rPr>
        <w:t xml:space="preserve">sustainability </w:t>
      </w:r>
      <w:r w:rsidR="000B49FD">
        <w:rPr>
          <w:rFonts w:ascii="TimesNewRomanPSMT" w:hAnsi="TimesNewRomanPSMT" w:cs="TimesNewRomanPSMT"/>
          <w:color w:val="000000"/>
        </w:rPr>
        <w:t>of</w:t>
      </w:r>
      <w:r w:rsidR="000B49FD" w:rsidRPr="00332CB3">
        <w:rPr>
          <w:rFonts w:ascii="TimesNewRomanPSMT" w:hAnsi="TimesNewRomanPSMT" w:cs="TimesNewRomanPSMT"/>
          <w:color w:val="000000"/>
        </w:rPr>
        <w:t xml:space="preserve"> </w:t>
      </w:r>
      <w:r w:rsidR="000B49FD">
        <w:rPr>
          <w:rFonts w:ascii="TimesNewRomanPSMT" w:hAnsi="TimesNewRomanPSMT" w:cs="TimesNewRomanPSMT"/>
          <w:color w:val="000000"/>
        </w:rPr>
        <w:t>wild meat</w:t>
      </w:r>
      <w:r w:rsidR="000B49FD" w:rsidRPr="00332CB3">
        <w:rPr>
          <w:rFonts w:ascii="TimesNewRomanPSMT" w:hAnsi="TimesNewRomanPSMT" w:cs="TimesNewRomanPSMT"/>
          <w:color w:val="000000"/>
        </w:rPr>
        <w:t xml:space="preserve"> </w:t>
      </w:r>
      <w:r w:rsidR="000B49FD">
        <w:rPr>
          <w:rFonts w:ascii="TimesNewRomanPSMT" w:hAnsi="TimesNewRomanPSMT" w:cs="TimesNewRomanPSMT"/>
          <w:color w:val="000000"/>
        </w:rPr>
        <w:t xml:space="preserve">harvesting are conceptually flawed, and </w:t>
      </w:r>
      <w:r w:rsidR="000B49FD" w:rsidRPr="00332CB3">
        <w:rPr>
          <w:rFonts w:ascii="TimesNewRomanPSMT" w:hAnsi="TimesNewRomanPSMT" w:cs="TimesNewRomanPSMT"/>
          <w:color w:val="000000"/>
        </w:rPr>
        <w:t>do not perform well under realistic conditions of uncertainty, bias in parameter estimation, and spatial heterogeneity</w:t>
      </w:r>
      <w:r w:rsidR="000B49FD">
        <w:rPr>
          <w:rFonts w:ascii="TimesNewRomanPSMT" w:hAnsi="TimesNewRomanPSMT" w:cs="TimesNewRomanPSMT"/>
          <w:color w:val="000000"/>
        </w:rPr>
        <w:t xml:space="preserve"> </w:t>
      </w:r>
      <w:r w:rsidR="009E6D69">
        <w:rPr>
          <w:rFonts w:ascii="TimesNewRomanPSMT" w:hAnsi="TimesNewRomanPSMT" w:cs="TimesNewRomanPSMT"/>
          <w:color w:val="000000"/>
        </w:rPr>
        <w:fldChar w:fldCharType="begin" w:fldLock="1"/>
      </w:r>
      <w:r w:rsidR="00AB268B">
        <w:rPr>
          <w:rFonts w:ascii="TimesNewRomanPSMT" w:hAnsi="TimesNewRomanPSMT" w:cs="TimesNewRomanPSMT"/>
          <w:color w:val="000000"/>
        </w:rPr>
        <w:instrText>ADDIN CSL_CITATION {"citationItems":[{"id":"ITEM-1","itemData":{"author":[{"dropping-particle":"","family":"Milner-Gulland","given":"E.J.","non-dropping-particle":"","parse-names":false,"suffix":""},{"dropping-particle":"","family":"Akçakaya","given":"H Resit","non-dropping-particle":"","parse-names":false,"suffix":""}],"container-title":"TRENDS in Ecology &amp; Evolution","id":"ITEM-1","issue":"12","issued":{"date-parts":[["2001"]]},"page":"686-692","title":"Sustainability indices for exploited populations","type":"article-journal","volume":"16"},"uris":["http://www.mendeley.com/documents/?uuid=2baf31ed-c41d-3678-9b16-def3745ea9b3"]}],"mendeley":{"formattedCitation":"(Milner-Gulland &amp; Akçakaya 2001)","plainTextFormattedCitation":"(Milner-Gulland &amp; Akçakaya 2001)","previouslyFormattedCitation":"(Milner-Gulland &amp; Akçakaya 2001)"},"properties":{"noteIndex":0},"schema":"https://github.com/citation-style-language/schema/raw/master/csl-citation.json"}</w:instrText>
      </w:r>
      <w:r w:rsidR="009E6D69">
        <w:rPr>
          <w:rFonts w:ascii="TimesNewRomanPSMT" w:hAnsi="TimesNewRomanPSMT" w:cs="TimesNewRomanPSMT"/>
          <w:color w:val="000000"/>
        </w:rPr>
        <w:fldChar w:fldCharType="separate"/>
      </w:r>
      <w:r w:rsidR="009E6D69" w:rsidRPr="009E6D69">
        <w:rPr>
          <w:rFonts w:ascii="TimesNewRomanPSMT" w:hAnsi="TimesNewRomanPSMT" w:cs="TimesNewRomanPSMT"/>
          <w:noProof/>
          <w:color w:val="000000"/>
        </w:rPr>
        <w:t>(Milner-Gulland &amp; Akçakaya 2001)</w:t>
      </w:r>
      <w:r w:rsidR="009E6D69">
        <w:rPr>
          <w:rFonts w:ascii="TimesNewRomanPSMT" w:hAnsi="TimesNewRomanPSMT" w:cs="TimesNewRomanPSMT"/>
          <w:color w:val="000000"/>
        </w:rPr>
        <w:fldChar w:fldCharType="end"/>
      </w:r>
      <w:r w:rsidR="000B49FD" w:rsidRPr="00332CB3">
        <w:rPr>
          <w:rFonts w:ascii="TimesNewRomanPSMT" w:hAnsi="TimesNewRomanPSMT" w:cs="TimesNewRomanPSMT"/>
          <w:color w:val="000000"/>
        </w:rPr>
        <w:t>.</w:t>
      </w:r>
      <w:r w:rsidR="000B49FD">
        <w:rPr>
          <w:rFonts w:ascii="TimesNewRomanPSMT" w:hAnsi="TimesNewRomanPSMT" w:cs="TimesNewRomanPSMT"/>
          <w:color w:val="000000"/>
        </w:rPr>
        <w:t xml:space="preserve"> Regardless of the robustness of the indicators used, it is still possible to implement </w:t>
      </w:r>
      <w:r w:rsidR="000B49FD">
        <w:rPr>
          <w:color w:val="000000" w:themeColor="text1"/>
        </w:rPr>
        <w:t>methods for improving the ecological sustainability of hunting, such as rotation of hunting zones.</w:t>
      </w:r>
      <w:r w:rsidR="000B49FD">
        <w:rPr>
          <w:rFonts w:ascii="TimesNewRomanPSMT" w:hAnsi="TimesNewRomanPSMT" w:cs="TimesNewRomanPSMT"/>
          <w:color w:val="000000"/>
        </w:rPr>
        <w:t xml:space="preserve"> </w:t>
      </w:r>
      <w:r w:rsidR="000B49FD">
        <w:rPr>
          <w:color w:val="000000" w:themeColor="text1"/>
        </w:rPr>
        <w:t>In this section we review the pros and cons of the main sustainability indicators and methods put forward for achieving sustainable hunting levels.</w:t>
      </w:r>
    </w:p>
    <w:p w14:paraId="3C1ACD54" w14:textId="5AB9C4E5" w:rsidR="00DF5919" w:rsidRDefault="00DF5919" w:rsidP="00C258BC">
      <w:pPr>
        <w:jc w:val="both"/>
        <w:rPr>
          <w:color w:val="000000" w:themeColor="text1"/>
        </w:rPr>
        <w:sectPr w:rsidR="00DF5919" w:rsidSect="00516C17">
          <w:pgSz w:w="11900" w:h="16840"/>
          <w:pgMar w:top="1440" w:right="1440" w:bottom="1440" w:left="1440" w:header="720" w:footer="720" w:gutter="0"/>
          <w:cols w:space="720"/>
          <w:docGrid w:linePitch="360"/>
        </w:sectPr>
      </w:pPr>
    </w:p>
    <w:p w14:paraId="29CE20F5" w14:textId="148C56CA" w:rsidR="00DF5919" w:rsidRDefault="00FC4DAF" w:rsidP="001C1D6E">
      <w:pPr>
        <w:pStyle w:val="Heading3"/>
        <w:numPr>
          <w:ilvl w:val="0"/>
          <w:numId w:val="0"/>
        </w:numPr>
        <w:ind w:left="720"/>
        <w:sectPr w:rsidR="00DF5919" w:rsidSect="00516C17">
          <w:pgSz w:w="11900" w:h="16840"/>
          <w:pgMar w:top="1440" w:right="1440" w:bottom="1440" w:left="1440" w:header="720" w:footer="720" w:gutter="0"/>
          <w:cols w:space="720"/>
          <w:docGrid w:linePitch="360"/>
        </w:sectPr>
      </w:pPr>
      <w:r w:rsidRPr="006C56F2">
        <w:rPr>
          <w:noProof/>
        </w:rPr>
        <w:lastRenderedPageBreak/>
        <mc:AlternateContent>
          <mc:Choice Requires="wps">
            <w:drawing>
              <wp:anchor distT="0" distB="0" distL="114300" distR="114300" simplePos="0" relativeHeight="251678720" behindDoc="0" locked="0" layoutInCell="1" allowOverlap="1" wp14:anchorId="721CF729" wp14:editId="7BEED5C8">
                <wp:simplePos x="0" y="0"/>
                <wp:positionH relativeFrom="column">
                  <wp:posOffset>0</wp:posOffset>
                </wp:positionH>
                <wp:positionV relativeFrom="paragraph">
                  <wp:posOffset>12700</wp:posOffset>
                </wp:positionV>
                <wp:extent cx="5716905" cy="9668510"/>
                <wp:effectExtent l="12700" t="12700" r="10795" b="8890"/>
                <wp:wrapSquare wrapText="bothSides"/>
                <wp:docPr id="14" name="Text Box 15"/>
                <wp:cNvGraphicFramePr/>
                <a:graphic xmlns:a="http://schemas.openxmlformats.org/drawingml/2006/main">
                  <a:graphicData uri="http://schemas.microsoft.com/office/word/2010/wordprocessingShape">
                    <wps:wsp>
                      <wps:cNvSpPr txBox="1"/>
                      <wps:spPr>
                        <a:xfrm>
                          <a:off x="0" y="0"/>
                          <a:ext cx="5716905" cy="9668510"/>
                        </a:xfrm>
                        <a:prstGeom prst="rect">
                          <a:avLst/>
                        </a:prstGeom>
                        <a:solidFill>
                          <a:schemeClr val="bg1">
                            <a:lumMod val="85000"/>
                          </a:schemeClr>
                        </a:solidFill>
                        <a:ln w="22225">
                          <a:solidFill>
                            <a:schemeClr val="tx1">
                              <a:lumMod val="100000"/>
                              <a:lumOff val="0"/>
                            </a:schemeClr>
                          </a:solidFill>
                        </a:ln>
                        <a:effectLst/>
                      </wps:spPr>
                      <wps:style>
                        <a:lnRef idx="0">
                          <a:schemeClr val="accent1"/>
                        </a:lnRef>
                        <a:fillRef idx="0">
                          <a:schemeClr val="accent1"/>
                        </a:fillRef>
                        <a:effectRef idx="0">
                          <a:schemeClr val="accent1"/>
                        </a:effectRef>
                        <a:fontRef idx="minor">
                          <a:schemeClr val="dk1"/>
                        </a:fontRef>
                      </wps:style>
                      <wps:txbx>
                        <w:txbxContent>
                          <w:p w14:paraId="00FB448F" w14:textId="10504E37" w:rsidR="00B82BFD" w:rsidRDefault="00B82BFD" w:rsidP="00FC4DAF">
                            <w:pPr>
                              <w:pStyle w:val="Caption"/>
                            </w:pPr>
                            <w:r>
                              <w:t xml:space="preserve"> </w:t>
                            </w:r>
                            <w:bookmarkStart w:id="249" w:name="_Ref528409329"/>
                            <w:r>
                              <w:t xml:space="preserve">Box </w:t>
                            </w:r>
                            <w:r>
                              <w:fldChar w:fldCharType="begin"/>
                            </w:r>
                            <w:r>
                              <w:instrText xml:space="preserve"> SEQ Box \* ARABIC </w:instrText>
                            </w:r>
                            <w:r>
                              <w:fldChar w:fldCharType="separate"/>
                            </w:r>
                            <w:r>
                              <w:rPr>
                                <w:noProof/>
                              </w:rPr>
                              <w:t>6</w:t>
                            </w:r>
                            <w:r>
                              <w:fldChar w:fldCharType="end"/>
                            </w:r>
                            <w:bookmarkEnd w:id="249"/>
                            <w:r>
                              <w:t>: Understanding offtake, depletion, sustainable use and recovery</w:t>
                            </w:r>
                          </w:p>
                          <w:p w14:paraId="3BFAE134" w14:textId="2EB3D027" w:rsidR="00B82BFD" w:rsidRPr="007F4B3E" w:rsidRDefault="00B82BFD" w:rsidP="007F4B3E">
                            <w:pPr>
                              <w:rPr>
                                <w:lang w:val="de-AT" w:eastAsia="de-AT"/>
                              </w:rPr>
                            </w:pPr>
                            <w:r>
                              <w:t>Ecological carrying capacity (</w:t>
                            </w:r>
                            <w:r w:rsidRPr="000A7365">
                              <w:rPr>
                                <w:color w:val="000000" w:themeColor="text1"/>
                              </w:rPr>
                              <w:t xml:space="preserve">denoted as </w:t>
                            </w:r>
                            <w:r w:rsidRPr="000A7365">
                              <w:rPr>
                                <w:i/>
                                <w:color w:val="000000" w:themeColor="text1"/>
                              </w:rPr>
                              <w:t>K</w:t>
                            </w:r>
                            <w:r w:rsidRPr="0007659D">
                              <w:rPr>
                                <w:color w:val="000000" w:themeColor="text1"/>
                              </w:rPr>
                              <w:t>)</w:t>
                            </w:r>
                            <w:r>
                              <w:t xml:space="preserve"> refers to </w:t>
                            </w:r>
                            <w:r>
                              <w:rPr>
                                <w:color w:val="000000" w:themeColor="text1"/>
                              </w:rPr>
                              <w:t xml:space="preserve">the </w:t>
                            </w:r>
                            <w:r w:rsidRPr="0007659D">
                              <w:rPr>
                                <w:color w:val="000000" w:themeColor="text1"/>
                              </w:rPr>
                              <w:t xml:space="preserve">maximum population size of </w:t>
                            </w:r>
                            <w:r>
                              <w:rPr>
                                <w:color w:val="000000" w:themeColor="text1"/>
                              </w:rPr>
                              <w:t>a certain</w:t>
                            </w:r>
                            <w:r w:rsidRPr="0007659D">
                              <w:rPr>
                                <w:color w:val="000000" w:themeColor="text1"/>
                              </w:rPr>
                              <w:t xml:space="preserve"> species that </w:t>
                            </w:r>
                            <w:r>
                              <w:rPr>
                                <w:color w:val="000000" w:themeColor="text1"/>
                              </w:rPr>
                              <w:t xml:space="preserve">a certain </w:t>
                            </w:r>
                            <w:r w:rsidRPr="0007659D">
                              <w:rPr>
                                <w:color w:val="000000" w:themeColor="text1"/>
                              </w:rPr>
                              <w:t>environment can sustain indefinitely</w:t>
                            </w:r>
                            <w:r w:rsidRPr="000A7365">
                              <w:rPr>
                                <w:color w:val="000000" w:themeColor="text1"/>
                              </w:rPr>
                              <w:t>.</w:t>
                            </w:r>
                            <w:r>
                              <w:rPr>
                                <w:color w:val="000000" w:themeColor="text1"/>
                              </w:rPr>
                              <w:t xml:space="preserve"> </w:t>
                            </w:r>
                            <w:r>
                              <w:t xml:space="preserve">When humans start hunting or fishing a wild population that is close to its ecological carrying </w:t>
                            </w:r>
                            <w:r w:rsidRPr="000A7365">
                              <w:rPr>
                                <w:color w:val="000000" w:themeColor="text1"/>
                              </w:rPr>
                              <w:t xml:space="preserve">capacity, we expect to see a decline in the size of the population. This is because hunting and fishing adds to natural mortality which, near </w:t>
                            </w:r>
                            <w:r w:rsidRPr="000A7365">
                              <w:rPr>
                                <w:i/>
                                <w:color w:val="000000" w:themeColor="text1"/>
                              </w:rPr>
                              <w:t>K</w:t>
                            </w:r>
                            <w:r w:rsidRPr="000A7365">
                              <w:rPr>
                                <w:color w:val="000000" w:themeColor="text1"/>
                              </w:rPr>
                              <w:t xml:space="preserve">, is high because of intense competition for resources (i.e., density dependent mortality). As the size of the wild population declines from </w:t>
                            </w:r>
                            <w:r w:rsidRPr="000A7365">
                              <w:rPr>
                                <w:i/>
                                <w:color w:val="000000" w:themeColor="text1"/>
                              </w:rPr>
                              <w:t>K</w:t>
                            </w:r>
                            <w:r w:rsidRPr="000A7365">
                              <w:rPr>
                                <w:color w:val="000000" w:themeColor="text1"/>
                              </w:rPr>
                              <w:t>, population growth rate increases as density dependent factors (i.e., competition for food, breeding areas) diminish. Under the assumption of logistic growth the wild population will breed at its maximum rate when the size of the population is a half the carrying capacity</w:t>
                            </w:r>
                            <w:r>
                              <w:rPr>
                                <w:color w:val="000000" w:themeColor="text1"/>
                              </w:rPr>
                              <w:t xml:space="preserve">. </w:t>
                            </w:r>
                            <w:r w:rsidRPr="000A7365">
                              <w:rPr>
                                <w:color w:val="000000" w:themeColor="text1"/>
                              </w:rPr>
                              <w:t xml:space="preserve">When a population is at </w:t>
                            </w:r>
                            <w:r w:rsidRPr="0007659D">
                              <w:rPr>
                                <w:color w:val="000000" w:themeColor="text1"/>
                              </w:rPr>
                              <w:t>K</w:t>
                            </w:r>
                            <w:r w:rsidRPr="000A7365">
                              <w:rPr>
                                <w:color w:val="000000" w:themeColor="text1"/>
                              </w:rPr>
                              <w:t>/2 it can sustain the maximum level of hunting or fishing, the Maximum Sustained Yield (MSY), without further depleting the species’ stock over an indefinite period.</w:t>
                            </w:r>
                          </w:p>
                          <w:p w14:paraId="73D53EE9" w14:textId="43453CFD" w:rsidR="00B82BFD" w:rsidRPr="007F4B3E" w:rsidRDefault="00B82BFD" w:rsidP="007F4B3E">
                            <w:r w:rsidRPr="000A7365">
                              <w:rPr>
                                <w:color w:val="000000" w:themeColor="text1"/>
                              </w:rPr>
                              <w:t>When human hunters and fishers take more individuals of a wild population than can be replaced through reproducti</w:t>
                            </w:r>
                            <w:r>
                              <w:t>on, the size of the population declines, and risks being depleted to levels where the species no longer plays it ecological role, or worse becomes locally extinct.</w:t>
                            </w:r>
                          </w:p>
                          <w:p w14:paraId="2C38F7D4" w14:textId="77777777" w:rsidR="00B82BFD" w:rsidRDefault="00B82BFD" w:rsidP="007F4B3E">
                            <w:r>
                              <w:rPr>
                                <w:noProof/>
                                <w:lang w:val="en-US"/>
                              </w:rPr>
                              <w:drawing>
                                <wp:inline distT="0" distB="0" distL="0" distR="0" wp14:anchorId="7EB16873" wp14:editId="752AE23C">
                                  <wp:extent cx="2641600" cy="2171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1.png"/>
                                          <pic:cNvPicPr/>
                                        </pic:nvPicPr>
                                        <pic:blipFill>
                                          <a:blip r:embed="rId129"/>
                                          <a:stretch>
                                            <a:fillRect/>
                                          </a:stretch>
                                        </pic:blipFill>
                                        <pic:spPr>
                                          <a:xfrm>
                                            <a:off x="0" y="0"/>
                                            <a:ext cx="2641600" cy="2171700"/>
                                          </a:xfrm>
                                          <a:prstGeom prst="rect">
                                            <a:avLst/>
                                          </a:prstGeom>
                                        </pic:spPr>
                                      </pic:pic>
                                    </a:graphicData>
                                  </a:graphic>
                                </wp:inline>
                              </w:drawing>
                            </w:r>
                          </w:p>
                          <w:p w14:paraId="322846DB" w14:textId="6D9FDBD1" w:rsidR="00B82BFD" w:rsidRDefault="00B82BFD" w:rsidP="00DF5919">
                            <w:r>
                              <w:t>Sustainable yield is any level of offtake from zero to</w:t>
                            </w:r>
                            <w:r w:rsidRPr="00AC64EB">
                              <w:rPr>
                                <w:color w:val="000000" w:themeColor="text1"/>
                              </w:rPr>
                              <w:t xml:space="preserve"> </w:t>
                            </w:r>
                            <w:r>
                              <w:rPr>
                                <w:color w:val="000000" w:themeColor="text1"/>
                              </w:rPr>
                              <w:t xml:space="preserve">the </w:t>
                            </w:r>
                            <w:r w:rsidRPr="00D52BC7">
                              <w:rPr>
                                <w:color w:val="000000" w:themeColor="text1"/>
                              </w:rPr>
                              <w:t>Maximum Sustained Yield</w:t>
                            </w:r>
                            <w:r>
                              <w:t xml:space="preserve"> (MSY) that does not result in reduction of the capital stock itself. This is equivalent to spending the interest from a bank account but not spending any of the capital. Because the logistic growth curve is shaped like an inverted U, sustainable yield will increase both when a newly hunted or fished population is reduced from </w:t>
                            </w:r>
                            <w:r w:rsidRPr="005B63E3">
                              <w:rPr>
                                <w:i/>
                              </w:rPr>
                              <w:t>K</w:t>
                            </w:r>
                            <w:r>
                              <w:t xml:space="preserve"> to </w:t>
                            </w:r>
                            <w:r w:rsidRPr="005B63E3">
                              <w:rPr>
                                <w:i/>
                              </w:rPr>
                              <w:t>K</w:t>
                            </w:r>
                            <w:r>
                              <w:t xml:space="preserve">/2, and when a heavily depleted population recovers from close to zero to </w:t>
                            </w:r>
                            <w:r w:rsidRPr="00BD41A8">
                              <w:rPr>
                                <w:i/>
                              </w:rPr>
                              <w:t>K</w:t>
                            </w:r>
                            <w:r>
                              <w:t>/2. So counter-intuitively the same level of low sustainable yield exists when a population is heavily depleted and close to local extinction and when it is relatively intact and close to carrying capacity.</w:t>
                            </w:r>
                          </w:p>
                          <w:p w14:paraId="4E3306AA" w14:textId="65D5775C" w:rsidR="00B82BFD" w:rsidRDefault="00B82BFD" w:rsidP="00DF5919">
                            <w:r>
                              <w:t>Most currently exploited populations, both terrestrial and aquatic, are depleted, and for many, the sustainable yield is probably below the theoretical maximum sustainable yield (</w:t>
                            </w:r>
                            <w:r w:rsidRPr="00BD41A8">
                              <w:rPr>
                                <w:i/>
                              </w:rPr>
                              <w:t>K</w:t>
                            </w:r>
                            <w:r>
                              <w:t xml:space="preserve">/2). If unsustainable hunting continues and the population continues to decline so to will the sustainable yield. When unsustainable offtake is reduced to a sustainable level the population may remain stable, but the population will not increase, because hunters are taking all the available “surplus.” A depleted population will only start to recover and grow toward </w:t>
                            </w:r>
                            <w:r w:rsidRPr="00BD41A8">
                              <w:rPr>
                                <w:i/>
                              </w:rPr>
                              <w:t>K</w:t>
                            </w:r>
                            <w:r>
                              <w:t xml:space="preserve">/2 if offtake is reduced to a level below what is sustainable, leaving a surplus to increase recruitment. So for a heavily depleted population to increase sustainable offtake, current unsustainable offtake levels will have to be reduced substantially below even sustainable levels, to leave a surplus that can grow the population back towards </w:t>
                            </w:r>
                            <w:r w:rsidRPr="00BD41A8">
                              <w:rPr>
                                <w:i/>
                              </w:rPr>
                              <w:t>K</w:t>
                            </w:r>
                            <w:r>
                              <w:t>/2.</w:t>
                            </w:r>
                          </w:p>
                          <w:p w14:paraId="694E63CD" w14:textId="623A0C29" w:rsidR="00B82BFD" w:rsidRPr="00710CCC" w:rsidRDefault="00B82BFD" w:rsidP="00DF5919">
                            <w:pPr>
                              <w:pStyle w:val="Caption"/>
                              <w:rPr>
                                <w:color w:val="000000" w:themeColor="text1"/>
                                <w:sz w:val="22"/>
                                <w:szCs w:val="22"/>
                              </w:rPr>
                            </w:pPr>
                          </w:p>
                          <w:p w14:paraId="7F579EF6" w14:textId="77777777" w:rsidR="00B82BFD" w:rsidRPr="008178D7" w:rsidRDefault="00B82BFD" w:rsidP="00DF5919">
                            <w:pPr>
                              <w:rPr>
                                <w:b/>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CF729" id="_x0000_s1031" type="#_x0000_t202" style="position:absolute;left:0;text-align:left;margin-left:0;margin-top:1pt;width:450.15pt;height:761.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" fillcolor="#d8d8d8 [2732]" strokecolor="black [3213]" strokeweight="1.75pt">
                <v:textbox>
                  <w:txbxContent>
                    <w:p w14:paraId="00FB448F" w14:textId="10504E37" w:rsidR="00B82BFD" w:rsidRDefault="00B82BFD" w:rsidP="00FC4DAF">
                      <w:pPr>
                        <w:pStyle w:val="Caption"/>
                      </w:pPr>
                      <w:r>
                        <w:t xml:space="preserve"> </w:t>
                      </w:r>
                      <w:bookmarkStart w:id="250" w:name="_Ref528409329"/>
                      <w:r>
                        <w:t xml:space="preserve">Box </w:t>
                      </w:r>
                      <w:r>
                        <w:fldChar w:fldCharType="begin"/>
                      </w:r>
                      <w:r>
                        <w:instrText xml:space="preserve"> SEQ Box \* ARABIC </w:instrText>
                      </w:r>
                      <w:r>
                        <w:fldChar w:fldCharType="separate"/>
                      </w:r>
                      <w:r>
                        <w:rPr>
                          <w:noProof/>
                        </w:rPr>
                        <w:t>6</w:t>
                      </w:r>
                      <w:r>
                        <w:fldChar w:fldCharType="end"/>
                      </w:r>
                      <w:bookmarkEnd w:id="250"/>
                      <w:r>
                        <w:t>: Understanding offtake, depletion, sustainable use and recovery</w:t>
                      </w:r>
                    </w:p>
                    <w:p w14:paraId="3BFAE134" w14:textId="2EB3D027" w:rsidR="00B82BFD" w:rsidRPr="007F4B3E" w:rsidRDefault="00B82BFD" w:rsidP="007F4B3E">
                      <w:pPr>
                        <w:rPr>
                          <w:lang w:val="de-AT" w:eastAsia="de-AT"/>
                        </w:rPr>
                      </w:pPr>
                      <w:r>
                        <w:t>Ecological carrying capacity (</w:t>
                      </w:r>
                      <w:r w:rsidRPr="000A7365">
                        <w:rPr>
                          <w:color w:val="000000" w:themeColor="text1"/>
                        </w:rPr>
                        <w:t xml:space="preserve">denoted as </w:t>
                      </w:r>
                      <w:r w:rsidRPr="000A7365">
                        <w:rPr>
                          <w:i/>
                          <w:color w:val="000000" w:themeColor="text1"/>
                        </w:rPr>
                        <w:t>K</w:t>
                      </w:r>
                      <w:r w:rsidRPr="0007659D">
                        <w:rPr>
                          <w:color w:val="000000" w:themeColor="text1"/>
                        </w:rPr>
                        <w:t>)</w:t>
                      </w:r>
                      <w:r>
                        <w:t xml:space="preserve"> refers to </w:t>
                      </w:r>
                      <w:r>
                        <w:rPr>
                          <w:color w:val="000000" w:themeColor="text1"/>
                        </w:rPr>
                        <w:t xml:space="preserve">the </w:t>
                      </w:r>
                      <w:r w:rsidRPr="0007659D">
                        <w:rPr>
                          <w:color w:val="000000" w:themeColor="text1"/>
                        </w:rPr>
                        <w:t xml:space="preserve">maximum population size of </w:t>
                      </w:r>
                      <w:r>
                        <w:rPr>
                          <w:color w:val="000000" w:themeColor="text1"/>
                        </w:rPr>
                        <w:t>a certain</w:t>
                      </w:r>
                      <w:r w:rsidRPr="0007659D">
                        <w:rPr>
                          <w:color w:val="000000" w:themeColor="text1"/>
                        </w:rPr>
                        <w:t xml:space="preserve"> species that </w:t>
                      </w:r>
                      <w:r>
                        <w:rPr>
                          <w:color w:val="000000" w:themeColor="text1"/>
                        </w:rPr>
                        <w:t xml:space="preserve">a certain </w:t>
                      </w:r>
                      <w:r w:rsidRPr="0007659D">
                        <w:rPr>
                          <w:color w:val="000000" w:themeColor="text1"/>
                        </w:rPr>
                        <w:t>environment can sustain indefinitely</w:t>
                      </w:r>
                      <w:r w:rsidRPr="000A7365">
                        <w:rPr>
                          <w:color w:val="000000" w:themeColor="text1"/>
                        </w:rPr>
                        <w:t>.</w:t>
                      </w:r>
                      <w:r>
                        <w:rPr>
                          <w:color w:val="000000" w:themeColor="text1"/>
                        </w:rPr>
                        <w:t xml:space="preserve"> </w:t>
                      </w:r>
                      <w:r>
                        <w:t xml:space="preserve">When humans start hunting or fishing a wild population that is close to its ecological carrying </w:t>
                      </w:r>
                      <w:r w:rsidRPr="000A7365">
                        <w:rPr>
                          <w:color w:val="000000" w:themeColor="text1"/>
                        </w:rPr>
                        <w:t xml:space="preserve">capacity, we expect to see a decline in the size of the population. This is because hunting and fishing adds to natural mortality which, near </w:t>
                      </w:r>
                      <w:r w:rsidRPr="000A7365">
                        <w:rPr>
                          <w:i/>
                          <w:color w:val="000000" w:themeColor="text1"/>
                        </w:rPr>
                        <w:t>K</w:t>
                      </w:r>
                      <w:r w:rsidRPr="000A7365">
                        <w:rPr>
                          <w:color w:val="000000" w:themeColor="text1"/>
                        </w:rPr>
                        <w:t xml:space="preserve">, is high because of intense competition for resources (i.e., density dependent mortality). As the size of the wild population declines from </w:t>
                      </w:r>
                      <w:r w:rsidRPr="000A7365">
                        <w:rPr>
                          <w:i/>
                          <w:color w:val="000000" w:themeColor="text1"/>
                        </w:rPr>
                        <w:t>K</w:t>
                      </w:r>
                      <w:r w:rsidRPr="000A7365">
                        <w:rPr>
                          <w:color w:val="000000" w:themeColor="text1"/>
                        </w:rPr>
                        <w:t>, population growth rate increases as density dependent factors (i.e., competition for food, breeding areas) diminish. Under the assumption of logistic growth the wild population will breed at its maximum rate when the size of the population is a half the carrying capacity</w:t>
                      </w:r>
                      <w:r>
                        <w:rPr>
                          <w:color w:val="000000" w:themeColor="text1"/>
                        </w:rPr>
                        <w:t xml:space="preserve">. </w:t>
                      </w:r>
                      <w:r w:rsidRPr="000A7365">
                        <w:rPr>
                          <w:color w:val="000000" w:themeColor="text1"/>
                        </w:rPr>
                        <w:t xml:space="preserve">When a population is at </w:t>
                      </w:r>
                      <w:r w:rsidRPr="0007659D">
                        <w:rPr>
                          <w:color w:val="000000" w:themeColor="text1"/>
                        </w:rPr>
                        <w:t>K</w:t>
                      </w:r>
                      <w:r w:rsidRPr="000A7365">
                        <w:rPr>
                          <w:color w:val="000000" w:themeColor="text1"/>
                        </w:rPr>
                        <w:t>/2 it can sustain the maximum level of hunting or fishing, the Maximum Sustained Yield (MSY), without further depleting the species’ stock over an indefinite period.</w:t>
                      </w:r>
                    </w:p>
                    <w:p w14:paraId="73D53EE9" w14:textId="43453CFD" w:rsidR="00B82BFD" w:rsidRPr="007F4B3E" w:rsidRDefault="00B82BFD" w:rsidP="007F4B3E">
                      <w:r w:rsidRPr="000A7365">
                        <w:rPr>
                          <w:color w:val="000000" w:themeColor="text1"/>
                        </w:rPr>
                        <w:t>When human hunters and fishers take more individuals of a wild population than can be replaced through reproducti</w:t>
                      </w:r>
                      <w:r>
                        <w:t>on, the size of the population declines, and risks being depleted to levels where the species no longer plays it ecological role, or worse becomes locally extinct.</w:t>
                      </w:r>
                    </w:p>
                    <w:p w14:paraId="2C38F7D4" w14:textId="77777777" w:rsidR="00B82BFD" w:rsidRDefault="00B82BFD" w:rsidP="007F4B3E">
                      <w:r>
                        <w:rPr>
                          <w:noProof/>
                          <w:lang w:val="en-US"/>
                        </w:rPr>
                        <w:drawing>
                          <wp:inline distT="0" distB="0" distL="0" distR="0" wp14:anchorId="7EB16873" wp14:editId="752AE23C">
                            <wp:extent cx="2641600" cy="2171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1.png"/>
                                    <pic:cNvPicPr/>
                                  </pic:nvPicPr>
                                  <pic:blipFill>
                                    <a:blip r:embed="rId129"/>
                                    <a:stretch>
                                      <a:fillRect/>
                                    </a:stretch>
                                  </pic:blipFill>
                                  <pic:spPr>
                                    <a:xfrm>
                                      <a:off x="0" y="0"/>
                                      <a:ext cx="2641600" cy="2171700"/>
                                    </a:xfrm>
                                    <a:prstGeom prst="rect">
                                      <a:avLst/>
                                    </a:prstGeom>
                                  </pic:spPr>
                                </pic:pic>
                              </a:graphicData>
                            </a:graphic>
                          </wp:inline>
                        </w:drawing>
                      </w:r>
                    </w:p>
                    <w:p w14:paraId="322846DB" w14:textId="6D9FDBD1" w:rsidR="00B82BFD" w:rsidRDefault="00B82BFD" w:rsidP="00DF5919">
                      <w:r>
                        <w:t>Sustainable yield is any level of offtake from zero to</w:t>
                      </w:r>
                      <w:r w:rsidRPr="00AC64EB">
                        <w:rPr>
                          <w:color w:val="000000" w:themeColor="text1"/>
                        </w:rPr>
                        <w:t xml:space="preserve"> </w:t>
                      </w:r>
                      <w:r>
                        <w:rPr>
                          <w:color w:val="000000" w:themeColor="text1"/>
                        </w:rPr>
                        <w:t xml:space="preserve">the </w:t>
                      </w:r>
                      <w:r w:rsidRPr="00D52BC7">
                        <w:rPr>
                          <w:color w:val="000000" w:themeColor="text1"/>
                        </w:rPr>
                        <w:t>Maximum Sustained Yield</w:t>
                      </w:r>
                      <w:r>
                        <w:t xml:space="preserve"> (MSY) that does not result in reduction of the capital stock itself. This is equivalent to spending the interest from a bank account but not spending any of the capital. Because the logistic growth curve is shaped like an inverted U, sustainable yield will increase both when a newly hunted or fished population is reduced from </w:t>
                      </w:r>
                      <w:r w:rsidRPr="005B63E3">
                        <w:rPr>
                          <w:i/>
                        </w:rPr>
                        <w:t>K</w:t>
                      </w:r>
                      <w:r>
                        <w:t xml:space="preserve"> to </w:t>
                      </w:r>
                      <w:r w:rsidRPr="005B63E3">
                        <w:rPr>
                          <w:i/>
                        </w:rPr>
                        <w:t>K</w:t>
                      </w:r>
                      <w:r>
                        <w:t xml:space="preserve">/2, and when a heavily depleted population recovers from close to zero to </w:t>
                      </w:r>
                      <w:r w:rsidRPr="00BD41A8">
                        <w:rPr>
                          <w:i/>
                        </w:rPr>
                        <w:t>K</w:t>
                      </w:r>
                      <w:r>
                        <w:t>/2. So counter-intuitively the same level of low sustainable yield exists when a population is heavily depleted and close to local extinction and when it is relatively intact and close to carrying capacity.</w:t>
                      </w:r>
                    </w:p>
                    <w:p w14:paraId="4E3306AA" w14:textId="65D5775C" w:rsidR="00B82BFD" w:rsidRDefault="00B82BFD" w:rsidP="00DF5919">
                      <w:r>
                        <w:t>Most currently exploited populations, both terrestrial and aquatic, are depleted, and for many, the sustainable yield is probably below the theoretical maximum sustainable yield (</w:t>
                      </w:r>
                      <w:r w:rsidRPr="00BD41A8">
                        <w:rPr>
                          <w:i/>
                        </w:rPr>
                        <w:t>K</w:t>
                      </w:r>
                      <w:r>
                        <w:t xml:space="preserve">/2). If unsustainable hunting continues and the population continues to decline so to will the sustainable yield. When unsustainable offtake is reduced to a sustainable level the population may remain stable, but the population will not increase, because hunters are taking all the available “surplus.” A depleted population will only start to recover and grow toward </w:t>
                      </w:r>
                      <w:r w:rsidRPr="00BD41A8">
                        <w:rPr>
                          <w:i/>
                        </w:rPr>
                        <w:t>K</w:t>
                      </w:r>
                      <w:r>
                        <w:t xml:space="preserve">/2 if offtake is reduced to a level below what is sustainable, leaving a surplus to increase recruitment. So for a heavily depleted population to increase sustainable offtake, current unsustainable offtake levels will have to be reduced substantially below even sustainable levels, to leave a surplus that can grow the population back towards </w:t>
                      </w:r>
                      <w:r w:rsidRPr="00BD41A8">
                        <w:rPr>
                          <w:i/>
                        </w:rPr>
                        <w:t>K</w:t>
                      </w:r>
                      <w:r>
                        <w:t>/2.</w:t>
                      </w:r>
                    </w:p>
                    <w:p w14:paraId="694E63CD" w14:textId="623A0C29" w:rsidR="00B82BFD" w:rsidRPr="00710CCC" w:rsidRDefault="00B82BFD" w:rsidP="00DF5919">
                      <w:pPr>
                        <w:pStyle w:val="Caption"/>
                        <w:rPr>
                          <w:color w:val="000000" w:themeColor="text1"/>
                          <w:sz w:val="22"/>
                          <w:szCs w:val="22"/>
                        </w:rPr>
                      </w:pPr>
                    </w:p>
                    <w:p w14:paraId="7F579EF6" w14:textId="77777777" w:rsidR="00B82BFD" w:rsidRPr="008178D7" w:rsidRDefault="00B82BFD" w:rsidP="00DF5919">
                      <w:pPr>
                        <w:rPr>
                          <w:b/>
                          <w:sz w:val="22"/>
                        </w:rPr>
                      </w:pPr>
                    </w:p>
                  </w:txbxContent>
                </v:textbox>
                <w10:wrap type="square"/>
              </v:shape>
            </w:pict>
          </mc:Fallback>
        </mc:AlternateContent>
      </w:r>
    </w:p>
    <w:p w14:paraId="29F232E5" w14:textId="12386E53" w:rsidR="00DF5919" w:rsidRPr="00DF5919" w:rsidRDefault="007078FA" w:rsidP="00C258BC">
      <w:pPr>
        <w:jc w:val="both"/>
        <w:rPr>
          <w:color w:val="000000" w:themeColor="text1"/>
        </w:rPr>
      </w:pPr>
      <w:r>
        <w:rPr>
          <w:color w:val="000000" w:themeColor="text1"/>
        </w:rPr>
        <w:lastRenderedPageBreak/>
        <w:t>References for Box 6: none.</w:t>
      </w:r>
    </w:p>
    <w:p w14:paraId="01AACAD9" w14:textId="46704065" w:rsidR="00516C17" w:rsidRPr="00785A38" w:rsidRDefault="00516C17" w:rsidP="001C1D6E">
      <w:pPr>
        <w:pStyle w:val="Heading3"/>
      </w:pPr>
      <w:r w:rsidRPr="00785A38">
        <w:t>Long term population census, and full demographic models</w:t>
      </w:r>
    </w:p>
    <w:p w14:paraId="59CA600E" w14:textId="3AC8C673" w:rsidR="00FA6F82" w:rsidRPr="00694523" w:rsidRDefault="00516C17" w:rsidP="00C258BC">
      <w:pPr>
        <w:jc w:val="both"/>
        <w:rPr>
          <w:color w:val="000000" w:themeColor="text1"/>
        </w:rPr>
      </w:pPr>
      <w:r w:rsidRPr="00694523">
        <w:rPr>
          <w:color w:val="000000" w:themeColor="text1"/>
        </w:rPr>
        <w:t xml:space="preserve">Ideally, and in some circumstances, sustainable hunting offtakes can be determined by monitoring population numbers and/or demographic characteristics over </w:t>
      </w:r>
      <w:r w:rsidR="00D3493B">
        <w:rPr>
          <w:color w:val="000000" w:themeColor="text1"/>
        </w:rPr>
        <w:t xml:space="preserve">a long period of </w:t>
      </w:r>
      <w:r w:rsidR="00D85930" w:rsidRPr="00694523">
        <w:rPr>
          <w:color w:val="000000" w:themeColor="text1"/>
        </w:rPr>
        <w:t>time and</w:t>
      </w:r>
      <w:r w:rsidRPr="00694523">
        <w:rPr>
          <w:color w:val="000000" w:themeColor="text1"/>
        </w:rPr>
        <w:t xml:space="preserve"> using full demographic models to determine population growth rate. While these are mainly applied in </w:t>
      </w:r>
      <w:r w:rsidRPr="000A7365">
        <w:rPr>
          <w:color w:val="000000" w:themeColor="text1"/>
        </w:rPr>
        <w:t xml:space="preserve">North America and Europe </w:t>
      </w:r>
      <w:r w:rsidR="009E6D69">
        <w:rPr>
          <w:color w:val="000000" w:themeColor="text1"/>
        </w:rPr>
        <w:fldChar w:fldCharType="begin" w:fldLock="1"/>
      </w:r>
      <w:r w:rsidR="009E6D69">
        <w:rPr>
          <w:color w:val="000000" w:themeColor="text1"/>
        </w:rPr>
        <w:instrText>ADDIN CSL_CITATION {"citationItems":[{"id":"ITEM-1","itemData":{"DOI":"10.1111/ele.12008","ISSN":"1461-0248","PMID":"23062121","abstract":"The unsustainable harvest of wildlife is a major threat to global biodiversity and to the millions of people who depend on wildlife for food and income. Past research has called attention to the fact that commonly used methods to evaluate the sustainability of wildlife hunting perform poorly, yet these methods remain in popular use today. Here, we conduct a systematic review of empirical sustainability assessments to quantify the use of sustainability indicators in the scientific literature and highlight associations between analytical methods and their outcomes. We find that indicator type, continent of study, species body mass, taxonomic group and socio-economic status of study site are important predictors of the probability of reported sustainability. The most common measures of sustainability include population growth models, the Robinson &amp; Redford (1991) model and population trends through time. Indicators relying on population-specific biological data are most often used in North America and Europe, while cruder estimates are more often used in Africa, Latin America and Oceania. Our results highlight both the uncertainty and lack of uniformity in sustainability science. Given our urgent need to conserve both wildlife and the food security of rural peoples around the world, improvements in sustainability indicators are of utmost importance.","author":[{"dropping-particle":"","family":"Weinbaum","given":"Karen Z","non-dropping-particle":"","parse-names":false,"suffix":""},{"dropping-particle":"","family":"Brashares","given":"Justin S","non-dropping-particle":"","parse-names":false,"suffix":""},{"dropping-particle":"","family":"Golden","given":"Christopher D","non-dropping-particle":"","parse-names":false,"suffix":""},{"dropping-particle":"","family":"Getz","given":"Wayne M","non-dropping-particle":"","parse-names":false,"suffix":""}],"container-title":"Ecology letters","id":"ITEM-1","issue":"1","issued":{"date-parts":[["2013","1"]]},"page":"99-111","title":"Searching for sustainability: are assessments of wildlife harvests behind the times?","type":"article-journal","volume":"16"},"uris":["http://www.mendeley.com/documents/?uuid=9984419e-d44a-4938-ae56-27a56b3bbf86"]}],"mendeley":{"formattedCitation":"(Weinbaum et al. 2013)","plainTextFormattedCitation":"(Weinbaum et al. 2013)","previouslyFormattedCitation":"(Weinbaum et al. 2013)"},"properties":{"noteIndex":0},"schema":"https://github.com/citation-style-language/schema/raw/master/csl-citation.json"}</w:instrText>
      </w:r>
      <w:r w:rsidR="009E6D69">
        <w:rPr>
          <w:color w:val="000000" w:themeColor="text1"/>
        </w:rPr>
        <w:fldChar w:fldCharType="separate"/>
      </w:r>
      <w:r w:rsidR="009E6D69" w:rsidRPr="009E6D69">
        <w:rPr>
          <w:noProof/>
          <w:color w:val="000000" w:themeColor="text1"/>
        </w:rPr>
        <w:t>(Weinbaum et al. 2013)</w:t>
      </w:r>
      <w:r w:rsidR="009E6D69">
        <w:rPr>
          <w:color w:val="000000" w:themeColor="text1"/>
        </w:rPr>
        <w:fldChar w:fldCharType="end"/>
      </w:r>
      <w:r w:rsidRPr="000A7365">
        <w:rPr>
          <w:color w:val="000000" w:themeColor="text1"/>
        </w:rPr>
        <w:t xml:space="preserve">, they are also less frequently applied in subtropical open habitats in Africa and South America. For example, in Namibia, The </w:t>
      </w:r>
      <w:r w:rsidR="00BD41A8" w:rsidRPr="000A7365">
        <w:rPr>
          <w:color w:val="000000" w:themeColor="text1"/>
        </w:rPr>
        <w:t>MET</w:t>
      </w:r>
      <w:r w:rsidRPr="000A7365">
        <w:rPr>
          <w:color w:val="000000" w:themeColor="text1"/>
        </w:rPr>
        <w:t xml:space="preserve"> and Communal Conservancies </w:t>
      </w:r>
      <w:r w:rsidR="00BD41A8" w:rsidRPr="000A7365">
        <w:rPr>
          <w:color w:val="000000" w:themeColor="text1"/>
        </w:rPr>
        <w:t xml:space="preserve">in Namibia </w:t>
      </w:r>
      <w:r w:rsidRPr="000A7365">
        <w:rPr>
          <w:color w:val="000000" w:themeColor="text1"/>
        </w:rPr>
        <w:t>work together to monitor wildlife populations, using a mixture of aerial surveys, water hole surveys, game counts and game guard ‘event books’. Sustainable offtakes for each species are then determined from these population data, using demographic models</w:t>
      </w:r>
      <w:r w:rsidR="005133B6" w:rsidRPr="000A7365">
        <w:rPr>
          <w:color w:val="000000" w:themeColor="text1"/>
        </w:rPr>
        <w:t>. H</w:t>
      </w:r>
      <w:r w:rsidRPr="000A7365">
        <w:rPr>
          <w:color w:val="000000" w:themeColor="text1"/>
        </w:rPr>
        <w:t xml:space="preserve">unting quotas for each species </w:t>
      </w:r>
      <w:r w:rsidR="005133B6" w:rsidRPr="000A7365">
        <w:rPr>
          <w:color w:val="000000" w:themeColor="text1"/>
        </w:rPr>
        <w:t xml:space="preserve">are then </w:t>
      </w:r>
      <w:r w:rsidRPr="000A7365">
        <w:rPr>
          <w:color w:val="000000" w:themeColor="text1"/>
        </w:rPr>
        <w:t xml:space="preserve">set by MET after consultation with the local communities and </w:t>
      </w:r>
      <w:r w:rsidRPr="00694523">
        <w:rPr>
          <w:color w:val="000000" w:themeColor="text1"/>
        </w:rPr>
        <w:t xml:space="preserve">Conservancies, and considering other factors, such as drought (see </w:t>
      </w:r>
      <w:r w:rsidR="006A4EDB">
        <w:rPr>
          <w:color w:val="000000" w:themeColor="text1"/>
        </w:rPr>
        <w:fldChar w:fldCharType="begin"/>
      </w:r>
      <w:r w:rsidR="006A4EDB">
        <w:rPr>
          <w:color w:val="000000" w:themeColor="text1"/>
        </w:rPr>
        <w:instrText xml:space="preserve"> REF _Ref519875328 \h </w:instrText>
      </w:r>
      <w:r w:rsidR="006A4EDB">
        <w:rPr>
          <w:color w:val="000000" w:themeColor="text1"/>
        </w:rPr>
      </w:r>
      <w:r w:rsidR="006A4EDB">
        <w:rPr>
          <w:color w:val="000000" w:themeColor="text1"/>
        </w:rPr>
        <w:fldChar w:fldCharType="separate"/>
      </w:r>
      <w:r w:rsidR="007034F1" w:rsidRPr="004C4CD8">
        <w:rPr>
          <w:sz w:val="22"/>
          <w:szCs w:val="22"/>
        </w:rPr>
        <w:t xml:space="preserve">Box </w:t>
      </w:r>
      <w:r w:rsidR="007034F1">
        <w:rPr>
          <w:noProof/>
          <w:sz w:val="22"/>
          <w:szCs w:val="22"/>
        </w:rPr>
        <w:t>14</w:t>
      </w:r>
      <w:r w:rsidR="006A4EDB">
        <w:rPr>
          <w:color w:val="000000" w:themeColor="text1"/>
        </w:rPr>
        <w:fldChar w:fldCharType="end"/>
      </w:r>
      <w:r w:rsidRPr="00694523">
        <w:rPr>
          <w:color w:val="000000" w:themeColor="text1"/>
        </w:rPr>
        <w:t xml:space="preserve">). </w:t>
      </w:r>
    </w:p>
    <w:p w14:paraId="788FAFCA" w14:textId="149D21EA" w:rsidR="000B49FD" w:rsidRPr="00694523" w:rsidRDefault="00516C17" w:rsidP="00C258BC">
      <w:pPr>
        <w:jc w:val="both"/>
        <w:rPr>
          <w:color w:val="000000" w:themeColor="text1"/>
        </w:rPr>
      </w:pPr>
      <w:r w:rsidRPr="00694523">
        <w:rPr>
          <w:color w:val="000000" w:themeColor="text1"/>
        </w:rPr>
        <w:t xml:space="preserve">However, for most tropical and sub-tropical forest regions (where aerial surveys are impossible) methods for monitoring species </w:t>
      </w:r>
      <w:r w:rsidR="00D3493B">
        <w:rPr>
          <w:color w:val="000000" w:themeColor="text1"/>
        </w:rPr>
        <w:t xml:space="preserve">wild </w:t>
      </w:r>
      <w:r w:rsidRPr="00694523">
        <w:rPr>
          <w:color w:val="000000" w:themeColor="text1"/>
        </w:rPr>
        <w:t>populations, such as line transect surveys, have historically been both labour-intensive and imprecise (although improvements in camera-trapping methodologies may be reducing the cost and effort, and improving the accuracy, of population est</w:t>
      </w:r>
      <w:r w:rsidR="002A035A" w:rsidRPr="00694523">
        <w:rPr>
          <w:color w:val="000000" w:themeColor="text1"/>
        </w:rPr>
        <w:t xml:space="preserve">imates for non-arboreal species; </w:t>
      </w:r>
      <w:r w:rsidR="009E6D69">
        <w:rPr>
          <w:color w:val="000000" w:themeColor="text1"/>
        </w:rPr>
        <w:fldChar w:fldCharType="begin" w:fldLock="1"/>
      </w:r>
      <w:r w:rsidR="009E6D69">
        <w:rPr>
          <w:color w:val="000000" w:themeColor="text1"/>
        </w:rPr>
        <w:instrText>ADDIN CSL_CITATION {"citationItems":[{"id":"ITEM-1","itemData":{"DOI":"10.1111/1365-2664.13059","ISBN":"0000000154871","ISSN":"13652664","PMID":"27935037","abstract":"Introduction: D-dimer assay, generally evaluated according to cutoff points calibrated for VTE exclusion, is used to estimate the individual risk of recurrence after a first idiopathic event of venous thromboembolism (VTE). Methods: Commercial D-dimer assays, evaluated according to predetermined cutoff levels for each assay, specific for age (lower in subjects &lt;70 years) and gender (lower in males), were used in the recent DULCIS study. The present analysis compared the results obtained in the DULCIS with those that might have been had using the following different cutoff criteria: traditional cutoff for VTE exclusion, higher levels in subjects aged ≥60 years, or age multiplied by 10. Results: In young subjects, the DULCIS low cutoff levels resulted in half the recurrent events that would have occurred using the other criteria. In elderly patients, the DULCIS results were similar to those calculated for the two age-adjusted criteria. The adoption of traditional VTE exclusion criteria would have led to positive results in the large majority of elderly subjects, without a significant reduction in the rate of recurrent event. Conclusion: The results confirm the usefulness of the cutoff levels used in DULCIS.","author":[{"dropping-particle":"","family":"Nakashima","given":"Yoshihiro","non-dropping-particle":"","parse-names":false,"suffix":""},{"dropping-particle":"","family":"Fukasawa","given":"Keita","non-dropping-particle":"","parse-names":false,"suffix":""},{"dropping-particle":"","family":"Samejima","given":"Hiromitsu","non-dropping-particle":"","parse-names":false,"suffix":""}],"container-title":"Journal of Applied Ecology","id":"ITEM-1","issue":"2","issued":{"date-parts":[["2018"]]},"page":"735-744","title":"Estimating animal density without individual recognition using information derivable exclusively from camera traps","type":"article-journal","volume":"55"},"uris":["http://www.mendeley.com/documents/?uuid=98005ed6-cf71-4a2a-858b-e9bdf65f8f9e"]},{"id":"ITEM-2","itemData":{"DOI":"10.1016/j.ecolmodel.2017.02.007","ISBN":"0304-3800","ISSN":"03043800","abstract":"Population size estimates are an integral part of any species conservation or management project. They are often used to evaluate the impact of management intervention and can be critical for making decisions for future management. Distance sampling and camera trapping of unmarked populations are commonly used for such a task as they can yield rapid and relatively inexpensive estimates of density. Yet, while accuracy is key for decision-making, the potential bias associated with densities estimated with each method have seldom been investigated and compared. We built a spatially-explicit individual based model to investigate the accuracy and precision of both monitoring techniques in estimating known densities. We used the wild boar population of the Forest of Dean, UK, as a case study because both methods have been employed in situ and offer the chance of using real life parameters in the model. Moreover, this is an introduced species in the UK that has the potential to impact natural and agricultural ecosystems. Therefore, improving the accuracy of density estimates is a priority for the species’ management. We found that both distance sampling and camera trapping produce biased density estimates for unmarked populations. Despite large uncertainties, distance sampling estimates were on average closer to known densities than those from camera trapping, and robust to group size. Camera trapping estimates were highly sensitive to group size but could be improved with better survey design. This is the first time that the amount of bias associated with each method is quantified. Our model could be used to correct estimated field-based densities from distance sampling and camera trapping of wild boar and other species with similar life-history traits. Our work serves to increase confidence in the results produced by these two commonly-used methods, ensuring they can in turn be relied upon by wildlife managers and conservationists.","author":[{"dropping-particle":"","family":"Chauvenet","given":"Alienor L.M.","non-dropping-particle":"","parse-names":false,"suffix":""},{"dropping-particle":"","family":"Gill","given":"Robin M.A.","non-dropping-particle":"","parse-names":false,"suffix":""},{"dropping-particle":"","family":"Smith","given":"Graham C.","non-dropping-particle":"","parse-names":false,"suffix":""},{"dropping-particle":"","family":"Ward","given":"Alastair I.","non-dropping-particle":"","parse-names":false,"suffix":""},{"dropping-particle":"","family":"Massei","given":"Giovanna","non-dropping-particle":"","parse-names":false,"suffix":""}],"container-title":"Ecological Modelling","id":"ITEM-2","issued":{"date-parts":[["2017"]]},"page":"79-86","publisher":"Elsevier B.V.","title":"Quantifying the bias in density estimated from distance sampling and camera trapping of unmarked individuals","type":"article-journal","volume":"350"},"uris":["http://www.mendeley.com/documents/?uuid=2b131844-69b0-4ed0-92fd-3bf816272375"]}],"mendeley":{"formattedCitation":"(Chauvenet et al. 2017; Nakashima et al. 2018)","plainTextFormattedCitation":"(Chauvenet et al. 2017; Nakashima et al. 2018)","previouslyFormattedCitation":"(Chauvenet et al. 2017; Nakashima et al. 2018)"},"properties":{"noteIndex":0},"schema":"https://github.com/citation-style-language/schema/raw/master/csl-citation.json"}</w:instrText>
      </w:r>
      <w:r w:rsidR="009E6D69">
        <w:rPr>
          <w:color w:val="000000" w:themeColor="text1"/>
        </w:rPr>
        <w:fldChar w:fldCharType="separate"/>
      </w:r>
      <w:r w:rsidR="009E6D69" w:rsidRPr="009E6D69">
        <w:rPr>
          <w:noProof/>
          <w:color w:val="000000" w:themeColor="text1"/>
        </w:rPr>
        <w:t>(Chauvenet et al. 2017; Nakashima et al. 2018)</w:t>
      </w:r>
      <w:r w:rsidR="009E6D69">
        <w:rPr>
          <w:color w:val="000000" w:themeColor="text1"/>
        </w:rPr>
        <w:fldChar w:fldCharType="end"/>
      </w:r>
      <w:r w:rsidRPr="00694523">
        <w:rPr>
          <w:color w:val="000000" w:themeColor="text1"/>
        </w:rPr>
        <w:t xml:space="preserve">. Similarly, our understanding of tropical forest species’ life history traits, such as mortality and fecundity rates, has suffered from a </w:t>
      </w:r>
      <w:r w:rsidR="0014508D" w:rsidRPr="00694523">
        <w:rPr>
          <w:color w:val="000000" w:themeColor="text1"/>
        </w:rPr>
        <w:t>lack</w:t>
      </w:r>
      <w:r w:rsidRPr="00694523">
        <w:rPr>
          <w:color w:val="000000" w:themeColor="text1"/>
        </w:rPr>
        <w:t xml:space="preserve"> of field data </w:t>
      </w:r>
      <w:r w:rsidR="009E6D69">
        <w:rPr>
          <w:color w:val="000000" w:themeColor="text1"/>
        </w:rPr>
        <w:fldChar w:fldCharType="begin" w:fldLock="1"/>
      </w:r>
      <w:r w:rsidR="00B2630D">
        <w:rPr>
          <w:color w:val="000000" w:themeColor="text1"/>
        </w:rPr>
        <w:instrText>ADDIN CSL_CITATION {"citationItems":[{"id":"ITEM-1","itemData":{"DOI":"10.1371/journal.pone.0093625","ISSN":"19326203","PMID":"24714614","abstract":"Primates are frequently hunted in Amazonia. Assessing the sustainability of hunting is essential to conservation planning. The most-used sustainability model, the 'Production Model', and more recent spatial models, rely on basic reproductive parameters for accuracy. These parameters are often crudely estimated. To date, parameters used for the Amazon's most-hunted primate, the woolly monkey (Lagothrix spp.), come from captive populations in the 1960s, when captive births were rare. Furthermore, woolly monkeys have since been split into five species. We provide reproductive parameters calculated by examining the reproductive organs of female Poeppig's woolly monkeys (Lagothrix poeppigii), collected by hunters as part of their normal subsistence activity. Production was 0.48-0.54 young per female per year, and an interbirth interval of 22.3 to 25.2 months, similar to parameters from captive populations. However, breeding was seasonal, which imposes limits on the maximum reproductive rate attainable. We recommend the use of spatial models over the Production Model, since they are less sensitive to error in estimated reproductive rates. Further refinements to reproductive parameters are needed for most primate taxa. Methods like ours verify the suitability of captive reproductive rates for sustainability analysis and population modelling for populations under differing conditions of hunting pressure and seasonality. Without such research, population modelling is based largely on guesswork.","author":[{"dropping-particle":"","family":"Bowler","given":"Mark","non-dropping-particle":"","parse-names":false,"suffix":""},{"dropping-particle":"","family":"Anderson","given":"Matt","non-dropping-particle":"","parse-names":false,"suffix":""},{"dropping-particle":"","family":"Montes","given":"Daniel","non-dropping-particle":"","parse-names":false,"suffix":""},{"dropping-particle":"","family":"Pérez","given":"Pedro","non-dropping-particle":"","parse-names":false,"suffix":""},{"dropping-particle":"","family":"Mayor","given":"Pedro","non-dropping-particle":"","parse-names":false,"suffix":""}],"container-title":"PLoS ONE","id":"ITEM-1","issue":"4","issued":{"date-parts":[["2014"]]},"page":"e93625","title":"Refining reproductive parameters for modelling sustainability and extinction in hunted primate populations in the Amazon","type":"article-journal","volume":"9"},"uris":["http://www.mendeley.com/documents/?uuid=9a0fda63-8f52-430d-a384-dab74b000a46"]},{"id":"ITEM-2","itemData":{"DOI":"10.1017/S0030605317001545","ISSN":"13653008","abstract":"We synthesize information on parameters useful for managing the hunting of two common mammal species that are important for local people in the Neotropics and Africa: Cuniculus paca and Philantomba monticola , respectively. We highlight the scarcity of data available on the parameters needed to manage these two species sustainably. As most of the studies were conducted &amp;gt; 40 years ago, we stress the need to supplement the information available using methodological and technical innovations. In particular, we call for new assessments covering the possible variations in parameter values across the species’ distribution ranges, and covering various anthropogenic contexts, to test density-dependent and compensatory processes that may explain the resilience of these species to hunting.","author":[{"dropping-particle":"","family":"Vliet","given":"Nathalie","non-dropping-particle":"Van","parse-names":false,"suffix":""},{"dropping-particle":"","family":"Nasi","given":"Robert","non-dropping-particle":"","parse-names":false,"suffix":""}],"container-title":"Oryx","id":"ITEM-2","issued":{"date-parts":[["2018"]]},"page":"1-7","title":"What do we know about the life-history traits of widely hunted tropical mammals?","type":"article-journal"},"uris":["http://www.mendeley.com/documents/?uuid=91b6c862-ed66-4bcb-a95b-325f6fc8d83c"]}],"mendeley":{"formattedCitation":"(Bowler et al. 2014; Van Vliet &amp; Nasi 2018)","plainTextFormattedCitation":"(Bowler et al. 2014; Van Vliet &amp; Nasi 2018)","previouslyFormattedCitation":"(Bowler et al. 2014; Van Vliet &amp; Nasi 2018)"},"properties":{"noteIndex":0},"schema":"https://github.com/citation-style-language/schema/raw/master/csl-citation.json"}</w:instrText>
      </w:r>
      <w:r w:rsidR="009E6D69">
        <w:rPr>
          <w:color w:val="000000" w:themeColor="text1"/>
        </w:rPr>
        <w:fldChar w:fldCharType="separate"/>
      </w:r>
      <w:r w:rsidR="009E6D69" w:rsidRPr="009E6D69">
        <w:rPr>
          <w:noProof/>
          <w:color w:val="000000" w:themeColor="text1"/>
        </w:rPr>
        <w:t>(Bowler et al. 2014; Van Vliet &amp; Nasi 2018)</w:t>
      </w:r>
      <w:r w:rsidR="009E6D69">
        <w:rPr>
          <w:color w:val="000000" w:themeColor="text1"/>
        </w:rPr>
        <w:fldChar w:fldCharType="end"/>
      </w:r>
      <w:r w:rsidRPr="00694523">
        <w:rPr>
          <w:color w:val="000000" w:themeColor="text1"/>
        </w:rPr>
        <w:t xml:space="preserve">. </w:t>
      </w:r>
      <w:r w:rsidR="000B49FD" w:rsidRPr="000B49FD">
        <w:rPr>
          <w:color w:val="000000" w:themeColor="text1"/>
        </w:rPr>
        <w:t xml:space="preserve"> </w:t>
      </w:r>
      <w:r w:rsidR="000B49FD" w:rsidRPr="00694523">
        <w:rPr>
          <w:color w:val="000000" w:themeColor="text1"/>
        </w:rPr>
        <w:t>This makes long-term monitoring of population densities, or the creation of full demographic models</w:t>
      </w:r>
      <w:r w:rsidR="000B49FD">
        <w:rPr>
          <w:color w:val="000000" w:themeColor="text1"/>
        </w:rPr>
        <w:t xml:space="preserve"> for calculating sustainable offtakes</w:t>
      </w:r>
      <w:r w:rsidR="000B49FD" w:rsidRPr="00694523">
        <w:rPr>
          <w:color w:val="000000" w:themeColor="text1"/>
        </w:rPr>
        <w:t xml:space="preserve">, extremely challenging. </w:t>
      </w:r>
    </w:p>
    <w:p w14:paraId="78CA689B" w14:textId="05ED3826" w:rsidR="00516C17" w:rsidRPr="00785A38" w:rsidRDefault="00516C17" w:rsidP="001C1D6E">
      <w:pPr>
        <w:pStyle w:val="Heading3"/>
      </w:pPr>
      <w:r w:rsidRPr="00785A38">
        <w:t>Simple indicators of population production</w:t>
      </w:r>
    </w:p>
    <w:p w14:paraId="7D44BC83" w14:textId="1497FD23" w:rsidR="000B49FD" w:rsidRDefault="000B49FD" w:rsidP="00C258BC">
      <w:pPr>
        <w:jc w:val="both"/>
        <w:rPr>
          <w:color w:val="000000" w:themeColor="text1"/>
        </w:rPr>
      </w:pPr>
      <w:r w:rsidRPr="00694523">
        <w:rPr>
          <w:color w:val="000000" w:themeColor="text1"/>
        </w:rPr>
        <w:t xml:space="preserve">In response to the lack of available population and life-history data for tropical and sub-tropical forest species, simple sustainability indices, which do not require monitoring of the species population size or much information on life history traits, have been suggested. Generally, these methods estimate population production, using a correction factor </w:t>
      </w:r>
      <w:r>
        <w:rPr>
          <w:color w:val="000000" w:themeColor="text1"/>
        </w:rPr>
        <w:t>to account for the different resilience to harvesting of</w:t>
      </w:r>
      <w:r w:rsidRPr="00694523">
        <w:rPr>
          <w:color w:val="000000" w:themeColor="text1"/>
        </w:rPr>
        <w:t xml:space="preserve"> long-lived and short-lived species. The formulas and characteristics for the most commonly discussed indices are provided in </w:t>
      </w:r>
      <w:r>
        <w:rPr>
          <w:color w:val="000000" w:themeColor="text1"/>
        </w:rPr>
        <w:fldChar w:fldCharType="begin"/>
      </w:r>
      <w:r>
        <w:rPr>
          <w:color w:val="000000" w:themeColor="text1"/>
        </w:rPr>
        <w:instrText xml:space="preserve"> REF _Ref519700105 \h </w:instrText>
      </w:r>
      <w:r>
        <w:rPr>
          <w:color w:val="000000" w:themeColor="text1"/>
        </w:rPr>
      </w:r>
      <w:r>
        <w:rPr>
          <w:color w:val="000000" w:themeColor="text1"/>
        </w:rPr>
        <w:fldChar w:fldCharType="separate"/>
      </w:r>
      <w:r w:rsidR="007034F1">
        <w:t xml:space="preserve">Table </w:t>
      </w:r>
      <w:r w:rsidR="007034F1">
        <w:rPr>
          <w:noProof/>
        </w:rPr>
        <w:t>5</w:t>
      </w:r>
      <w:r>
        <w:rPr>
          <w:color w:val="000000" w:themeColor="text1"/>
        </w:rPr>
        <w:fldChar w:fldCharType="end"/>
      </w:r>
      <w:r w:rsidRPr="00694523">
        <w:rPr>
          <w:color w:val="000000" w:themeColor="text1"/>
        </w:rPr>
        <w:t xml:space="preserve">. </w:t>
      </w:r>
    </w:p>
    <w:p w14:paraId="5100E387" w14:textId="7CF0A06E" w:rsidR="000B49FD" w:rsidRDefault="000B49FD" w:rsidP="00C258BC">
      <w:pPr>
        <w:jc w:val="both"/>
        <w:rPr>
          <w:color w:val="000000" w:themeColor="text1"/>
        </w:rPr>
      </w:pPr>
      <w:r w:rsidRPr="00694523">
        <w:rPr>
          <w:color w:val="000000" w:themeColor="text1"/>
        </w:rPr>
        <w:t xml:space="preserve">However, tests of these indices under realistic conditions </w:t>
      </w:r>
      <w:r w:rsidR="009E6D69">
        <w:rPr>
          <w:color w:val="000000" w:themeColor="text1"/>
        </w:rPr>
        <w:fldChar w:fldCharType="begin" w:fldLock="1"/>
      </w:r>
      <w:r w:rsidR="00AB268B">
        <w:rPr>
          <w:color w:val="000000" w:themeColor="text1"/>
        </w:rPr>
        <w:instrText>ADDIN CSL_CITATION {"citationItems":[{"id":"ITEM-1","itemData":{"author":[{"dropping-particle":"","family":"Milner-Gulland","given":"E.J.","non-dropping-particle":"","parse-names":false,"suffix":""},{"dropping-particle":"","family":"Akçakaya","given":"H Resit","non-dropping-particle":"","parse-names":false,"suffix":""}],"container-title":"TRENDS in Ecology &amp; Evolution","id":"ITEM-1","issue":"12","issued":{"date-parts":[["2001"]]},"page":"686-692","title":"Sustainability indices for exploited populations","type":"article-journal","volume":"16"},"uris":["http://www.mendeley.com/documents/?uuid=2baf31ed-c41d-3678-9b16-def3745ea9b3"]},{"id":"ITEM-2","itemData":{"DOI":"10.1111/ele.12008","ISSN":"1461-0248","PMID":"23062121","abstract":"The unsustainable harvest of wildlife is a major threat to global biodiversity and to the millions of people who depend on wildlife for food and income. Past research has called attention to the fact that commonly used methods to evaluate the sustainability of wildlife hunting perform poorly, yet these methods remain in popular use today. Here, we conduct a systematic review of empirical sustainability assessments to quantify the use of sustainability indicators in the scientific literature and highlight associations between analytical methods and their outcomes. We find that indicator type, continent of study, species body mass, taxonomic group and socio-economic status of study site are important predictors of the probability of reported sustainability. The most common measures of sustainability include population growth models, the Robinson &amp; Redford (1991) model and population trends through time. Indicators relying on population-specific biological data are most often used in North America and Europe, while cruder estimates are more often used in Africa, Latin America and Oceania. Our results highlight both the uncertainty and lack of uniformity in sustainability science. Given our urgent need to conserve both wildlife and the food security of rural peoples around the world, improvements in sustainability indicators are of utmost importance.","author":[{"dropping-particle":"","family":"Weinbaum","given":"Karen Z","non-dropping-particle":"","parse-names":false,"suffix":""},{"dropping-particle":"","family":"Brashares","given":"Justin S","non-dropping-particle":"","parse-names":false,"suffix":""},{"dropping-particle":"","family":"Golden","given":"Christopher D","non-dropping-particle":"","parse-names":false,"suffix":""},{"dropping-particle":"","family":"Getz","given":"Wayne M","non-dropping-particle":"","parse-names":false,"suffix":""}],"container-title":"Ecology letters","id":"ITEM-2","issue":"1","issued":{"date-parts":[["2013","1"]]},"page":"99-111","title":"Searching for sustainability: are assessments of wildlife harvests behind the times?","type":"article-journal","volume":"16"},"uris":["http://www.mendeley.com/documents/?uuid=9984419e-d44a-4938-ae56-27a56b3bbf86"]}],"mendeley":{"formattedCitation":"(Milner-Gulland &amp; Akçakaya 2001; Weinbaum et al. 2013)","plainTextFormattedCitation":"(Milner-Gulland &amp; Akçakaya 2001; Weinbaum et al. 2013)","previouslyFormattedCitation":"(Milner-Gulland &amp; Akçakaya 2001; Weinbaum et al. 2013)"},"properties":{"noteIndex":0},"schema":"https://github.com/citation-style-language/schema/raw/master/csl-citation.json"}</w:instrText>
      </w:r>
      <w:r w:rsidR="009E6D69">
        <w:rPr>
          <w:color w:val="000000" w:themeColor="text1"/>
        </w:rPr>
        <w:fldChar w:fldCharType="separate"/>
      </w:r>
      <w:r w:rsidR="009E6D69" w:rsidRPr="009E6D69">
        <w:rPr>
          <w:noProof/>
          <w:color w:val="000000" w:themeColor="text1"/>
        </w:rPr>
        <w:t>(Milner-Gulland &amp; Akçakaya 2001; Weinbaum et al. 2013)</w:t>
      </w:r>
      <w:r w:rsidR="009E6D69">
        <w:rPr>
          <w:color w:val="000000" w:themeColor="text1"/>
        </w:rPr>
        <w:fldChar w:fldCharType="end"/>
      </w:r>
      <w:r w:rsidRPr="00694523">
        <w:rPr>
          <w:color w:val="000000" w:themeColor="text1"/>
        </w:rPr>
        <w:t xml:space="preserve"> have found that none of them perform well, with simulated species populations becoming extinct within short time-frames for all apart from the </w:t>
      </w:r>
      <w:r>
        <w:rPr>
          <w:color w:val="000000" w:themeColor="text1"/>
        </w:rPr>
        <w:t>Potential Biological Removal</w:t>
      </w:r>
      <w:r w:rsidR="00FC4DAF">
        <w:rPr>
          <w:color w:val="000000" w:themeColor="text1"/>
        </w:rPr>
        <w:t xml:space="preserve"> (PBR)</w:t>
      </w:r>
      <w:r w:rsidRPr="00694523">
        <w:rPr>
          <w:color w:val="000000" w:themeColor="text1"/>
        </w:rPr>
        <w:t xml:space="preserve"> method</w:t>
      </w:r>
      <w:r>
        <w:rPr>
          <w:color w:val="000000" w:themeColor="text1"/>
        </w:rPr>
        <w:t xml:space="preserve">, which is routinely used to calculate the sustainability of fisheries bycatch of marine mammals </w:t>
      </w:r>
      <w:r w:rsidR="009E6D69">
        <w:rPr>
          <w:color w:val="000000" w:themeColor="text1"/>
        </w:rPr>
        <w:fldChar w:fldCharType="begin" w:fldLock="1"/>
      </w:r>
      <w:r w:rsidR="009E6D69">
        <w:rPr>
          <w:color w:val="000000" w:themeColor="text1"/>
        </w:rPr>
        <w:instrText>ADDIN CSL_CITATION {"citationItems":[{"id":"ITEM-1","itemData":{"DOI":"10.1016/j.marpol.2011.01.020","ISBN":"0308-597X","ISSN":"0308597X","abstract":"The management of marine mammal populations requires the balancing of conflicting interests and also compliance with national legislation and international agreements. These conflicts are intensifying and it is becoming urgent that management goals, and justifications, are clear and explicit. This paper summarises six methods currently used to assess the status of marine mammal populations: the IUCN Red List Criteria; the regulations under the European Union Habitats Directive; PBR; the IWC's Revised Management Procedure; HELCOM's approach to managing seals; and the Canadian Objective-Based Fisheries Management system for harp seals. It compares the assumptions and implications of the methods then describes how one of them, PBR, can be re-presented to make explicit the subjective choice at its centre, and push the decision about conservation targets back from scientists to policymakers, where it belongs. © 2011 Elsevier Ltd.","author":[{"dropping-particle":"","family":"Lonergan","given":"Mike","non-dropping-particle":"","parse-names":false,"suffix":""}],"container-title":"Marine Policy","id":"ITEM-1","issue":"5","issued":{"date-parts":[["2011"]]},"page":"584-589","publisher":"Elsevier","title":"Potential biological removal and other currently used management rules for marine mammal populations: a comparison","type":"article-journal","volume":"35"},"uris":["http://www.mendeley.com/documents/?uuid=e57ca7de-313a-48d4-bb3f-bd8882aac56c"]}],"mendeley":{"formattedCitation":"(Lonergan 2011)","plainTextFormattedCitation":"(Lonergan 2011)","previouslyFormattedCitation":"(Lonergan 2011)"},"properties":{"noteIndex":0},"schema":"https://github.com/citation-style-language/schema/raw/master/csl-citation.json"}</w:instrText>
      </w:r>
      <w:r w:rsidR="009E6D69">
        <w:rPr>
          <w:color w:val="000000" w:themeColor="text1"/>
        </w:rPr>
        <w:fldChar w:fldCharType="separate"/>
      </w:r>
      <w:r w:rsidR="009E6D69" w:rsidRPr="009E6D69">
        <w:rPr>
          <w:noProof/>
          <w:color w:val="000000" w:themeColor="text1"/>
        </w:rPr>
        <w:t>(Lonergan 2011)</w:t>
      </w:r>
      <w:r w:rsidR="009E6D69">
        <w:rPr>
          <w:color w:val="000000" w:themeColor="text1"/>
        </w:rPr>
        <w:fldChar w:fldCharType="end"/>
      </w:r>
      <w:r>
        <w:rPr>
          <w:color w:val="000000" w:themeColor="text1"/>
        </w:rPr>
        <w:t xml:space="preserve">. PBR is particularly good because it is simple, easy to calculate even in the absence of good </w:t>
      </w:r>
      <w:r w:rsidR="00A479D2">
        <w:rPr>
          <w:color w:val="000000" w:themeColor="text1"/>
        </w:rPr>
        <w:t>data and</w:t>
      </w:r>
      <w:r>
        <w:rPr>
          <w:color w:val="000000" w:themeColor="text1"/>
        </w:rPr>
        <w:t xml:space="preserve"> is more precautionary the more uncertain the population estimate is</w:t>
      </w:r>
      <w:r w:rsidRPr="00694523">
        <w:rPr>
          <w:color w:val="000000" w:themeColor="text1"/>
        </w:rPr>
        <w:t xml:space="preserve">. </w:t>
      </w:r>
      <w:r>
        <w:rPr>
          <w:color w:val="000000" w:themeColor="text1"/>
        </w:rPr>
        <w:t xml:space="preserve">Even the PBR can fail, however, if there is too much uncertainty, as may be the case for many wild meat species </w:t>
      </w:r>
      <w:r w:rsidR="009E6D69">
        <w:rPr>
          <w:color w:val="000000" w:themeColor="text1"/>
        </w:rPr>
        <w:fldChar w:fldCharType="begin" w:fldLock="1"/>
      </w:r>
      <w:r w:rsidR="00F96768">
        <w:rPr>
          <w:color w:val="000000" w:themeColor="text1"/>
        </w:rPr>
        <w:instrText>ADDIN CSL_CITATION {"citationItems":[{"id":"ITEM-1","itemData":{"DOI":"10.1016/j.jenvman.2009.08.016","ISBN":"0301-4797","ISSN":"03014797","PMID":"19783356","abstract":"Decision rules are the agreed-upon points at which specific management interventions are initiated. For marine mammal management under the U.S. Marine Mammal Protection Act (MMPA), decision rules are usually based on either a numeric population or biological-removal approach. However, for walrus and other ice-associated pinnipeds, the inability to reliably assess population numbers or biological removals highlights a significant gap in the MMPA, particularly when the Arctic environment is rapidly changing. We describe the MMPA's ecosystem-based management goals, and why managers have bypassed these goals in favor of an approach that depends upon numerical population assessment. We then revisit the statute's primary goals in light of current knowledge about the Pacific walrus ecosystem and new developments in environmental governance. We argue that to monitor and respond to changes in the walrus ecosystem, decision rules should be based on scientific criteria that depend less on the currently-impractical goal of accurately enumerating population size and trends, or removals from that population. Rather, managers should base decisions on ecological needs and observed ecological changes. To implement this approach would require an amendment to the MMPA that supports filling the gap in management with achievable decision rules. Alternatively, walrus and other ice-associated pinnipeds will remain largely unmanaged during a period of profound environmental change. © 2009 Elsevier Ltd. All rights reserved.","author":[{"dropping-particle":"","family":"Robards","given":"Martin D.","non-dropping-particle":"","parse-names":false,"suffix":""},{"dropping-particle":"","family":"Burns","given":"John J.","non-dropping-particle":"","parse-names":false,"suffix":""},{"dropping-particle":"","family":"Meek","given":"Chanda L.","non-dropping-particle":"","parse-names":false,"suffix":""},{"dropping-particle":"","family":"Watson","given":"Annette","non-dropping-particle":"","parse-names":false,"suffix":""}],"container-title":"Journal of Environmental Management","id":"ITEM-1","issue":"1","issued":{"date-parts":[["2009"]]},"page":"57-66","publisher":"Elsevier Ltd","title":"Limitations of an optimum sustainable population or potential biological removal approach for conserving marine mammals: Pacific walrus case study","type":"article-journal","volume":"91"},"uris":["http://www.mendeley.com/documents/?uuid=b39a5f9c-c19b-489b-90aa-5c2aeec85211"]}],"mendeley":{"formattedCitation":"(Robards et al. 2009)","plainTextFormattedCitation":"(Robards et al. 2009)","previouslyFormattedCitation":"(Robards et al. 2009)"},"properties":{"noteIndex":0},"schema":"https://github.com/citation-style-language/schema/raw/master/csl-citation.json"}</w:instrText>
      </w:r>
      <w:r w:rsidR="009E6D69">
        <w:rPr>
          <w:color w:val="000000" w:themeColor="text1"/>
        </w:rPr>
        <w:fldChar w:fldCharType="separate"/>
      </w:r>
      <w:r w:rsidR="009E6D69" w:rsidRPr="009E6D69">
        <w:rPr>
          <w:noProof/>
          <w:color w:val="000000" w:themeColor="text1"/>
        </w:rPr>
        <w:t>(Robards et al. 2009)</w:t>
      </w:r>
      <w:r w:rsidR="009E6D69">
        <w:rPr>
          <w:color w:val="000000" w:themeColor="text1"/>
        </w:rPr>
        <w:fldChar w:fldCharType="end"/>
      </w:r>
      <w:r>
        <w:rPr>
          <w:color w:val="000000" w:themeColor="text1"/>
        </w:rPr>
        <w:t>.</w:t>
      </w:r>
    </w:p>
    <w:p w14:paraId="2A258849" w14:textId="2C1C2FCF" w:rsidR="000B49FD" w:rsidRPr="00DF57F3" w:rsidRDefault="000B49FD" w:rsidP="00C258BC">
      <w:pPr>
        <w:jc w:val="both"/>
        <w:rPr>
          <w:color w:val="000000" w:themeColor="text1"/>
          <w:lang w:val="fr-FR"/>
        </w:rPr>
      </w:pPr>
      <w:r w:rsidRPr="00694523">
        <w:rPr>
          <w:color w:val="000000" w:themeColor="text1"/>
        </w:rPr>
        <w:t>Ultimately, these methods of determining sustainable offtake rates are too simple to adequately reflect how real species populations behave</w:t>
      </w:r>
      <w:r>
        <w:rPr>
          <w:color w:val="000000" w:themeColor="text1"/>
        </w:rPr>
        <w:t xml:space="preserve">, and </w:t>
      </w:r>
      <w:r w:rsidRPr="00694523">
        <w:rPr>
          <w:color w:val="000000" w:themeColor="text1"/>
        </w:rPr>
        <w:t>due to a lack of field data on species life history traits, some parameters (such a</w:t>
      </w:r>
      <w:r>
        <w:rPr>
          <w:color w:val="000000" w:themeColor="text1"/>
        </w:rPr>
        <w:t>s the correction factor</w:t>
      </w:r>
      <w:r w:rsidRPr="00694523">
        <w:rPr>
          <w:color w:val="000000" w:themeColor="text1"/>
        </w:rPr>
        <w:t xml:space="preserve"> ‘F’ in the Robinson and Redford model) are assigned almost arbitrary values </w:t>
      </w:r>
      <w:r w:rsidR="00F96768">
        <w:rPr>
          <w:color w:val="000000" w:themeColor="text1"/>
        </w:rPr>
        <w:fldChar w:fldCharType="begin" w:fldLock="1"/>
      </w:r>
      <w:r w:rsidR="00AB268B">
        <w:rPr>
          <w:color w:val="000000" w:themeColor="text1"/>
        </w:rPr>
        <w:instrText>ADDIN CSL_CITATION {"citationItems":[{"id":"ITEM-1","itemData":{"author":[{"dropping-particle":"","family":"Milner-Gulland","given":"E.J.","non-dropping-particle":"","parse-names":false,"suffix":""},{"dropping-particle":"","family":"Akçakaya","given":"H Resit","non-dropping-particle":"","parse-names":false,"suffix":""}],"container-title":"TRENDS in Ecology &amp; Evolution","id":"ITEM-1","issue":"12","issued":{"date-parts":[["2001"]]},"page":"686-692","title":"Sustainability indices for exploited populations","type":"article-journal","volume":"16"},"uris":["http://www.mendeley.com/documents/?uuid=2baf31ed-c41d-3678-9b16-def3745ea9b3"]}],"mendeley":{"formattedCitation":"(Milner-Gulland &amp; Akçakaya 2001)","plainTextFormattedCitation":"(Milner-Gulland &amp; Akçakaya 2001)","previouslyFormattedCitation":"(Milner-Gulland &amp; Akçakaya 2001)"},"properties":{"noteIndex":0},"schema":"https://github.com/citation-style-language/schema/raw/master/csl-citation.json"}</w:instrText>
      </w:r>
      <w:r w:rsidR="00F96768">
        <w:rPr>
          <w:color w:val="000000" w:themeColor="text1"/>
        </w:rPr>
        <w:fldChar w:fldCharType="separate"/>
      </w:r>
      <w:r w:rsidR="00F96768" w:rsidRPr="00F96768">
        <w:rPr>
          <w:noProof/>
          <w:color w:val="000000" w:themeColor="text1"/>
        </w:rPr>
        <w:t>(Milner-Gulland &amp; Akçakaya 2001)</w:t>
      </w:r>
      <w:r w:rsidR="00F96768">
        <w:rPr>
          <w:color w:val="000000" w:themeColor="text1"/>
        </w:rPr>
        <w:fldChar w:fldCharType="end"/>
      </w:r>
      <w:r w:rsidRPr="00694523">
        <w:rPr>
          <w:color w:val="000000" w:themeColor="text1"/>
        </w:rPr>
        <w:t>.</w:t>
      </w:r>
      <w:r>
        <w:rPr>
          <w:color w:val="000000" w:themeColor="text1"/>
        </w:rPr>
        <w:t xml:space="preserve"> Simple</w:t>
      </w:r>
      <w:r w:rsidRPr="00694523">
        <w:rPr>
          <w:color w:val="000000" w:themeColor="text1"/>
        </w:rPr>
        <w:t xml:space="preserve"> indicators also fail to consider spatial ef</w:t>
      </w:r>
      <w:r>
        <w:rPr>
          <w:color w:val="000000" w:themeColor="text1"/>
        </w:rPr>
        <w:t xml:space="preserve">fects </w:t>
      </w:r>
      <w:r w:rsidR="00F96768">
        <w:rPr>
          <w:color w:val="000000" w:themeColor="text1"/>
        </w:rPr>
        <w:fldChar w:fldCharType="begin" w:fldLock="1"/>
      </w:r>
      <w:r w:rsidR="00F96768">
        <w:rPr>
          <w:color w:val="000000" w:themeColor="text1"/>
        </w:rPr>
        <w:instrText>ADDIN CSL_CITATION {"citationItems":[{"id":"ITEM-1","itemData":{"DOI":"10.5751/ES-07669-200307","ISSN":"17083087","abstract":"Despite the fact that sustainability of bushmeat hunting in tropical areas is of major concern for conservation and development practitioners, we still know very little about how to measure sustainability and how to put in place sustainable bushmeat hunting systems. We review the current limits of traditional methods used to investigate sustainability of bushmeat hunting, discuss the need to incorporate the characteristics of complex systems into sustainability assessments, and suggest how resilience theories could assist in understanding bushmeat sustainability and more effective conservation of wildlife in tropical areas. Traditional methods used to assess the sustainability of bushmeat hunting include demographic models of population growth, one-off biological indicators, population trend methods, harvest-based indicators, and comparisons of demographic parameters between sites. These traditional biological sustainability indices have proved inadequate for measuring the impact of bushmeat hunting because sustainability is treated as a static, binary (yes or no) question, thus ignoring stochastic processes, the inherent variability of natural systems, and the complexity of hunting systems. We suggest that bushmeat hunting systems in tropical areas should be regarded as social-ecological systems in which the impacts of hunting on prey populations are not the only focus. Instead, the analysis of resilience aims at understanding the complex and dynamic relationships between the hunting ground, its resources, the stakeholders, and the different exogenous drivers of change that affect the components of the system at different scales. The main implication of using the resilience theory in the context of bushmeat hunting is the shift from the need to assess stocks with imprecise measures to the incorporation of the uncertainty and stochasticity inherent to complex systems in participatory and adaptive management processes. As such, the resilience analysis provides an unprecedented opportunity for the sustainable use of bushmeat and allows the identification of strategies to strengthen resilience when the system is found to be close to a given threshold, instead of reinforcing fortress conservation.","author":[{"dropping-particle":"","family":"Vliet","given":"Nathalie","non-dropping-particle":"Van","parse-names":false,"suffix":""},{"dropping-particle":"","family":"Fa","given":"John","non-dropping-particle":"","parse-names":false,"suffix":""},{"dropping-particle":"","family":"Nasi","given":"Robert","non-dropping-particle":"","parse-names":false,"suffix":""}],"container-title":"Ecology and Society","id":"ITEM-1","issue":"3","issued":{"date-parts":[["2015"]]},"page":"7","title":"Managing hunting under uncertainty: From one-off ecological indicators to esilience approaches in assessing the sustainability of bushmeat hunting","type":"article-journal","volume":"20"},"uris":["http://www.mendeley.com/documents/?uuid=63ea7aac-44c4-4ee2-8c11-494c6110b601"]}],"mendeley":{"formattedCitation":"(Van Vliet et al. 2015a)","plainTextFormattedCitation":"(Van Vliet et al. 2015a)","previouslyFormattedCitation":"(Van Vliet et al. 2015a)"},"properties":{"noteIndex":0},"schema":"https://github.com/citation-style-language/schema/raw/master/csl-citation.json"}</w:instrText>
      </w:r>
      <w:r w:rsidR="00F96768">
        <w:rPr>
          <w:color w:val="000000" w:themeColor="text1"/>
        </w:rPr>
        <w:fldChar w:fldCharType="separate"/>
      </w:r>
      <w:r w:rsidR="00F96768" w:rsidRPr="00F96768">
        <w:rPr>
          <w:noProof/>
          <w:color w:val="000000" w:themeColor="text1"/>
        </w:rPr>
        <w:t>(Van Vliet et al. 2015a)</w:t>
      </w:r>
      <w:r w:rsidR="00F96768">
        <w:rPr>
          <w:color w:val="000000" w:themeColor="text1"/>
        </w:rPr>
        <w:fldChar w:fldCharType="end"/>
      </w:r>
      <w:r>
        <w:rPr>
          <w:color w:val="000000" w:themeColor="text1"/>
        </w:rPr>
        <w:t>, and</w:t>
      </w:r>
      <w:r w:rsidR="000A6F27">
        <w:rPr>
          <w:color w:val="000000" w:themeColor="text1"/>
        </w:rPr>
        <w:t xml:space="preserve"> local</w:t>
      </w:r>
      <w:r>
        <w:rPr>
          <w:color w:val="000000" w:themeColor="text1"/>
        </w:rPr>
        <w:t xml:space="preserve"> harvests</w:t>
      </w:r>
      <w:r w:rsidR="000A6F27">
        <w:rPr>
          <w:color w:val="000000" w:themeColor="text1"/>
        </w:rPr>
        <w:t xml:space="preserve"> deemed unsustainable within the hunting territory may be</w:t>
      </w:r>
      <w:r>
        <w:rPr>
          <w:color w:val="000000" w:themeColor="text1"/>
        </w:rPr>
        <w:t xml:space="preserve"> </w:t>
      </w:r>
      <w:r w:rsidRPr="00694523">
        <w:rPr>
          <w:color w:val="000000" w:themeColor="text1"/>
        </w:rPr>
        <w:t xml:space="preserve">sustainable </w:t>
      </w:r>
      <w:r>
        <w:rPr>
          <w:color w:val="000000" w:themeColor="text1"/>
        </w:rPr>
        <w:t xml:space="preserve">at the landscape level </w:t>
      </w:r>
      <w:r>
        <w:rPr>
          <w:color w:val="000000" w:themeColor="text1"/>
        </w:rPr>
        <w:lastRenderedPageBreak/>
        <w:t>due to</w:t>
      </w:r>
      <w:r w:rsidRPr="00694523">
        <w:rPr>
          <w:color w:val="000000" w:themeColor="text1"/>
        </w:rPr>
        <w:t xml:space="preserve"> movement of animals from unhunted areas replenish</w:t>
      </w:r>
      <w:r>
        <w:rPr>
          <w:color w:val="000000" w:themeColor="text1"/>
        </w:rPr>
        <w:t>ing</w:t>
      </w:r>
      <w:r w:rsidRPr="00694523">
        <w:rPr>
          <w:color w:val="000000" w:themeColor="text1"/>
        </w:rPr>
        <w:t xml:space="preserve"> hunted populations </w:t>
      </w:r>
      <w:r w:rsidR="00F96768">
        <w:rPr>
          <w:color w:val="000000" w:themeColor="text1"/>
        </w:rPr>
        <w:fldChar w:fldCharType="begin" w:fldLock="1"/>
      </w:r>
      <w:r w:rsidR="00AB268B">
        <w:rPr>
          <w:color w:val="000000" w:themeColor="text1"/>
        </w:rPr>
        <w:instrText>ADDIN CSL_CITATION {"citationItems":[{"id":"ITEM-1","itemData":{"DOI":"10.1111/j.1523-1739.2007.00759.x","ISBN":"1523-1739","ISSN":"08888892","PMID":"17883483","abstract":"The presence of indigenous people in tropical parks has fueled a debate over whether people in parks are conservation allies or direct threats to biodiversity. A well-known example is the Matsigenka (or Machiguenga) population residing in Manu National Park in Peruvian Amazonia. Because the exploitation of wild meat (or bushmeat), especially large vertebrates, represents the most significant internal threat to biodiversity in Manu, we analyzed 1 year of participatory monitoring of game offtake in two Matsigenka native communities within Manu Park (102,397 consumer days and 2,089 prey items). We used the Robinson and Redford (1991) index to identify five prey species hunted at or above maximum sustainable yield within the approximately 150-km(2) core hunting zones of the two communities: woolly monkey (Lagothrix lagotricha), spider monkey (Ateles chamek), white-lipped peccary (Tayassu pecari), Razor-billed Currasow (Mitu tuberosa), and Spix's Guan (Penelope jacquacu). There was little or no evidence that any of these five species has become depleted, other than locally, despite a near doubling of the human population since 1988. Hunter-prey profiles have not changed since 1988, and there has been little change in per capita consumption rates or mean prey weights. The current offtake by the Matsigenka appears to be sustainable, apparently due to source-sink dynamics. Source-sink dynamics imply that even with continued human population growth within a settlement, offtake for each hunted species will eventually reach an asymptote. Thus, stabilizing the Matsigenka population around existing settlements should be a primary policy goal for Manu Park.","author":[{"dropping-particle":"","family":"Ohl-Schacherer","given":"Julia","non-dropping-particle":"","parse-names":false,"suffix":""},{"dropping-particle":"","family":"Shepard","given":"Glenn H.","non-dropping-particle":"","parse-names":false,"suffix":""},{"dropping-particle":"","family":"Kaplan","given":"Hillard","non-dropping-particle":"","parse-names":false,"suffix":""},{"dropping-particle":"","family":"Peres","given":"Carlos A.","non-dropping-particle":"","parse-names":false,"suffix":""},{"dropping-particle":"","family":"Levi","given":"Taal","non-dropping-particle":"","parse-names":false,"suffix":""},{"dropping-particle":"","family":"Yu","given":"Douglas W.","non-dropping-particle":"","parse-names":false,"suffix":""}],"container-title":"Conservation Biology","id":"ITEM-1","issue":"5","issued":{"date-parts":[["2007"]]},"page":"1174-1185","title":"The sustainability of subsistence hunting by Matsigenka native communities in Manu National Park, Peru","type":"article-journal","volume":"21"},"uris":["http://www.mendeley.com/documents/?uuid=cb81af34-94f1-323b-bbbe-c2724367ef68"]},{"id":"ITEM-2","itemData":{"DOI":"10.1111/ele.12008","ISSN":"1461-0248","PMID":"23062121","abstract":"The unsustainable harvest of wildlife is a major threat to global biodiversity and to the millions of people who depend on wildlife for food and income. Past research has called attention to the fact that commonly used methods to evaluate the sustainability of wildlife hunting perform poorly, yet these methods remain in popular use today. Here, we conduct a systematic review of empirical sustainability assessments to quantify the use of sustainability indicators in the scientific literature and highlight associations between analytical methods and their outcomes. We find that indicator type, continent of study, species body mass, taxonomic group and socio-economic status of study site are important predictors of the probability of reported sustainability. The most common measures of sustainability include population growth models, the Robinson &amp; Redford (1991) model and population trends through time. Indicators relying on population-specific biological data are most often used in North America and Europe, while cruder estimates are more often used in Africa, Latin America and Oceania. Our results highlight both the uncertainty and lack of uniformity in sustainability science. Given our urgent need to conserve both wildlife and the food security of rural peoples around the world, improvements in sustainability indicators are of utmost importance.","author":[{"dropping-particle":"","family":"Weinbaum","given":"Karen Z","non-dropping-particle":"","parse-names":false,"suffix":""},{"dropping-particle":"","family":"Brashares","given":"Justin S","non-dropping-particle":"","parse-names":false,"suffix":""},{"dropping-particle":"","family":"Golden","given":"Christopher D","non-dropping-particle":"","parse-names":false,"suffix":""},{"dropping-particle":"","family":"Getz","given":"Wayne M","non-dropping-particle":"","parse-names":false,"suffix":""}],"container-title":"Ecology letters","id":"ITEM-2","issue":"1","issued":{"date-parts":[["2013","1"]]},"page":"99-111","title":"Searching for sustainability: are assessments of wildlife harvests behind the times?","type":"article-journal","volume":"16"},"uris":["http://www.mendeley.com/documents/?uuid=9984419e-d44a-4938-ae56-27a56b3bbf86"]},{"id":"ITEM-3","itemData":{"DOI":"10.1111/cobi.12891","ISSN":"15231739","PMID":"28074624","abstract":"Although hunting is a key component of subsistence strategies of many Amazonians, it is also one of the greatest threats to wildlife. Because indigenous reserves comprise over 20% of Amazonia, effective conservation often requires that conservation professionals work closely with indigenous groups to manage resource use. We used hunter-generated harvesting data in spatially explicit biodemographic models to assess the sustainability of subsistence hunting of indigenous Waiwai in Guyana. We collected data through a hunter self-monitoring program, systematic follows of hunters, and semistructured interviews. We used these data to predict future densities of 2 indicator species, spider monkeys (Ateles paniscus) and bearded sakis (Chiropotes sagulatus), under different scenarios of human population expansion and changing hunting technology. We used encounter rates from transect surveys and hunter catch-per-unit effort (CPUE) to validate model predictions. Paca (Cuniculus paca) (198 /year), Currosaw (Crax alector) (168), and spider monkey (117) were the most frequently harvested species. Predicted densities of spider monkeys were statistically indistinguishable from empirically derived transect data (Kolmogorov–Smirnov D = 0.67, p = 0.759) and CPUE (D = 0.32, p = 1.000), demonstrating the robustness of model predictions. Ateles paniscus and C. sagulatus were predicted to be extirpated from &lt;13% of the Waiwai reserve in 20 years, even under the most intensive hunting scenarios. Our results suggest Waiwai hunting is currently sustainable, primarily due to their low population density and use of bow and arrow. Continual monitoring is necessary, however, particularly if human population increases are accompanied by a switch to shotgun-only hunting. We suggest that hunter self-monitoring and biodemographic modeling can be used effectively in a comanagement approach in which indigenous parabiologists continuously provide hunting data that is then used to update model parameters and validate model predictions. © 2017 The Authors. Conservation Biolo</w:instrText>
      </w:r>
      <w:r w:rsidR="00AB268B" w:rsidRPr="00DF57F3">
        <w:rPr>
          <w:color w:val="000000" w:themeColor="text1"/>
          <w:lang w:val="fr-FR"/>
        </w:rPr>
        <w:instrText>gy published by Wiley Periodicals, Inc. on behalf of Society for Conservation Biology.","author":[{"dropping-particle":"","family":"Shaffer","given":"Christopher A.","non-dropping-particle":"","parse-names":false,"suffix":""},{"dropping-particle":"","family":"Milstein","given":"Marissa S.","non-dropping-particle":"","parse-names":false,"suffix":""},{"dropping-particle":"","family":"Yukuma","given":"Charakura","non-dropping-particle":"","parse-names":false,"suffix":""},{"dropping-particle":"","family":"Marawanaru","given":"Elisha","non-dropping-particle":"","parse-names":false,"suffix":""},{"dropping-particle":"","family":"Suse","given":"Phillip","non-dropping-particle":"","parse-names":false,"suffix":""}],"container-title":"Conservation Biology","id":"ITEM-3","issue":"5","issued":{"date-parts":[["2017"]]},"page":"1119-1131","title":"Sustainability and comanagement of subsistence hunting in an indigenous reserve in Guyana","type":"article-journal","volume":"31"},"uris":["http://www.mendeley.com/documents/?uuid=ce1a24ba-1645-455f-9c8e-6b2500162a6b"]}],"mendeley":{"formattedCitation":"(Ohl-Schacherer et al. 2007; Weinbaum et al. 2013; Shaffer et al. 2017)","plainTextFormattedCitation":"(Ohl-Schacherer et al. 2007; Weinbaum et al. 2013; Shaffer et al. 2017)","previouslyFormattedCitation":"(Ohl-Schacherer et al. 2007; Weinbaum et al. 2013; Shaffer et al. 2017)"},"properties":{"noteIndex":0},"schema":"https://github.com/citation-style-language/schema/raw/master/csl-citation.json"}</w:instrText>
      </w:r>
      <w:r w:rsidR="00F96768">
        <w:rPr>
          <w:color w:val="000000" w:themeColor="text1"/>
        </w:rPr>
        <w:fldChar w:fldCharType="separate"/>
      </w:r>
      <w:r w:rsidR="00F96768" w:rsidRPr="00DF57F3">
        <w:rPr>
          <w:noProof/>
          <w:color w:val="000000" w:themeColor="text1"/>
          <w:lang w:val="fr-FR"/>
        </w:rPr>
        <w:t>(Ohl-Schacherer et al. 2007; Weinbaum et al. 2013; Shaffer et al. 2017)</w:t>
      </w:r>
      <w:r w:rsidR="00F96768">
        <w:rPr>
          <w:color w:val="000000" w:themeColor="text1"/>
        </w:rPr>
        <w:fldChar w:fldCharType="end"/>
      </w:r>
      <w:r w:rsidR="00F96768" w:rsidRPr="00DF57F3">
        <w:rPr>
          <w:color w:val="000000" w:themeColor="text1"/>
          <w:lang w:val="fr-FR"/>
        </w:rPr>
        <w:t>.</w:t>
      </w:r>
      <w:r w:rsidR="000A6F27" w:rsidRPr="00DF57F3">
        <w:rPr>
          <w:lang w:val="fr-FR"/>
        </w:rPr>
        <w:t xml:space="preserve"> </w:t>
      </w:r>
    </w:p>
    <w:p w14:paraId="538AE445" w14:textId="0E22D417" w:rsidR="00611938" w:rsidRPr="00611938" w:rsidRDefault="00611938" w:rsidP="00C258BC">
      <w:pPr>
        <w:jc w:val="both"/>
        <w:rPr>
          <w:rFonts w:ascii="TimesNewRomanPSMT" w:hAnsi="TimesNewRomanPSMT" w:cs="TimesNewRomanPSMT"/>
          <w:color w:val="000000"/>
        </w:rPr>
      </w:pPr>
      <w:r>
        <w:rPr>
          <w:rFonts w:ascii="TimesNewRomanPSMT" w:hAnsi="TimesNewRomanPSMT" w:cs="TimesNewRomanPSMT"/>
          <w:color w:val="000000"/>
        </w:rPr>
        <w:t>The</w:t>
      </w:r>
      <w:r w:rsidRPr="00332CB3">
        <w:rPr>
          <w:rFonts w:ascii="TimesNewRomanPSMT" w:hAnsi="TimesNewRomanPSMT" w:cs="TimesNewRomanPSMT"/>
          <w:color w:val="000000"/>
        </w:rPr>
        <w:t xml:space="preserve"> paucity of available biological data and the difficulty of collecting the data required for a full sustainability assessment</w:t>
      </w:r>
      <w:r>
        <w:rPr>
          <w:rFonts w:ascii="TimesNewRomanPSMT" w:hAnsi="TimesNewRomanPSMT" w:cs="TimesNewRomanPSMT"/>
          <w:color w:val="000000"/>
        </w:rPr>
        <w:t xml:space="preserve"> are major limitations</w:t>
      </w:r>
      <w:r w:rsidR="00060288">
        <w:rPr>
          <w:rFonts w:ascii="TimesNewRomanPSMT" w:hAnsi="TimesNewRomanPSMT" w:cs="TimesNewRomanPSMT"/>
          <w:color w:val="000000"/>
        </w:rPr>
        <w:t xml:space="preserve"> to calculating population production</w:t>
      </w:r>
      <w:r>
        <w:rPr>
          <w:rFonts w:ascii="TimesNewRomanPSMT" w:hAnsi="TimesNewRomanPSMT" w:cs="TimesNewRomanPSMT"/>
          <w:color w:val="000000"/>
        </w:rPr>
        <w:t xml:space="preserve"> </w:t>
      </w:r>
      <w:r w:rsidR="00F96768">
        <w:rPr>
          <w:rFonts w:ascii="TimesNewRomanPSMT" w:hAnsi="TimesNewRomanPSMT" w:cs="TimesNewRomanPSMT"/>
          <w:color w:val="000000"/>
        </w:rPr>
        <w:fldChar w:fldCharType="begin" w:fldLock="1"/>
      </w:r>
      <w:r w:rsidR="00F96768">
        <w:rPr>
          <w:rFonts w:ascii="TimesNewRomanPSMT" w:hAnsi="TimesNewRomanPSMT" w:cs="TimesNewRomanPSMT"/>
          <w:color w:val="000000"/>
        </w:rPr>
        <w:instrText>ADDIN CSL_CITATION {"citationItems":[{"id":"ITEM-1","itemData":{"DOI":"10.1017/S0030605308000288","ISBN":"0030-6053","ISSN":"00306053","abstract":"Hunting of wildlife in Central Africa is largely considered to be unsustainable. Several studies indicate that most mammal species should already have disap- peared from many Central African forests but markets continue to be supplied with bushmeat, with no sign of large scale extinction of the most common species. Most studies of the sustainability of duiker (Cephalophus spp.) hunting in Central Africa are based on the same index of hunting. We illustrate how uncertainty is accumulated in these estimations of sustainability. We show that the results obtained in different sites are not comparable because a variety of methods have been used to calculate the parameters of the model and each of the methods has different sources of error. For the assessment of maximum sustainable harvest for duikers, the studies reviewed differ mainly in the value chosen for the hypothetical adjustment factor, and the method used to calculate the rate of maximum population increase and to estimate duiker population densities. For the assessment of annual hunting offtake the studies differ mainly in the scale at which they were conducted (village or regional), and sampling and extrapolation methods. Without evaluation of accuracy and standardization of methods for the estimation of maximum sustainable harvest and annual offtake, conclu- sions regarding harvesting based on biological indices should be treated with extreme caution.","author":[{"dropping-particle":"","family":"Vliet","given":"Nathalie","non-dropping-particle":"Van","parse-names":false,"suffix":""},{"dropping-particle":"","family":"Nasi","given":"Robert","non-dropping-particle":"","parse-names":false,"suffix":""}],"container-title":"Oryx","id":"ITEM-1","issue":"3","issued":{"date-parts":[["2008"]]},"page":"392-399","title":"Why do models fail to assess properly the sustainability of duiker (Cephalophus spp.) hunting in Central Africa?","type":"article-journal","volume":"42"},"uris":["http://www.mendeley.com/documents/?uuid=8ab0c790-73f3-45e5-8438-5c7204245abd"]}],"mendeley":{"formattedCitation":"(Van Vliet &amp; Nasi 2008)","plainTextFormattedCitation":"(Van Vliet &amp; Nasi 2008)","previouslyFormattedCitation":"(Van Vliet &amp; Nasi 2008)"},"properties":{"noteIndex":0},"schema":"https://github.com/citation-style-language/schema/raw/master/csl-citation.json"}</w:instrText>
      </w:r>
      <w:r w:rsidR="00F96768">
        <w:rPr>
          <w:rFonts w:ascii="TimesNewRomanPSMT" w:hAnsi="TimesNewRomanPSMT" w:cs="TimesNewRomanPSMT"/>
          <w:color w:val="000000"/>
        </w:rPr>
        <w:fldChar w:fldCharType="separate"/>
      </w:r>
      <w:r w:rsidR="00F96768" w:rsidRPr="00F96768">
        <w:rPr>
          <w:rFonts w:ascii="TimesNewRomanPSMT" w:hAnsi="TimesNewRomanPSMT" w:cs="TimesNewRomanPSMT"/>
          <w:noProof/>
          <w:color w:val="000000"/>
        </w:rPr>
        <w:t>(Van Vliet &amp; Nasi 2008)</w:t>
      </w:r>
      <w:r w:rsidR="00F96768">
        <w:rPr>
          <w:rFonts w:ascii="TimesNewRomanPSMT" w:hAnsi="TimesNewRomanPSMT" w:cs="TimesNewRomanPSMT"/>
          <w:color w:val="000000"/>
        </w:rPr>
        <w:fldChar w:fldCharType="end"/>
      </w:r>
      <w:r>
        <w:rPr>
          <w:rFonts w:ascii="TimesNewRomanPSMT" w:hAnsi="TimesNewRomanPSMT" w:cs="TimesNewRomanPSMT"/>
          <w:color w:val="000000"/>
        </w:rPr>
        <w:t xml:space="preserve">. In particular, the use of reproductive parameters, such as the intrinsic rate of </w:t>
      </w:r>
      <w:r w:rsidRPr="00D1539B">
        <w:rPr>
          <w:rFonts w:ascii="TimesNewRomanPSMT" w:hAnsi="TimesNewRomanPSMT" w:cs="TimesNewRomanPSMT"/>
          <w:color w:val="000000"/>
        </w:rPr>
        <w:t>int</w:t>
      </w:r>
      <w:r>
        <w:rPr>
          <w:rFonts w:ascii="TimesNewRomanPSMT" w:hAnsi="TimesNewRomanPSMT" w:cs="TimesNewRomanPSMT"/>
          <w:color w:val="000000"/>
        </w:rPr>
        <w:t>rinsic rate of natural increase</w:t>
      </w:r>
      <w:r w:rsidRPr="00D1539B">
        <w:rPr>
          <w:rFonts w:ascii="TimesNewRomanPSMT" w:hAnsi="TimesNewRomanPSMT" w:cs="TimesNewRomanPSMT"/>
          <w:color w:val="000000"/>
        </w:rPr>
        <w:t xml:space="preserve"> (</w:t>
      </w:r>
      <w:r w:rsidRPr="00D1539B">
        <w:rPr>
          <w:rFonts w:ascii="TimesNewRomanPSMT" w:hAnsi="TimesNewRomanPSMT" w:cs="TimesNewRomanPSMT"/>
          <w:i/>
          <w:color w:val="000000"/>
        </w:rPr>
        <w:t>r</w:t>
      </w:r>
      <w:r w:rsidRPr="00D1539B">
        <w:rPr>
          <w:rFonts w:ascii="TimesNewRomanPSMT" w:hAnsi="TimesNewRomanPSMT" w:cs="TimesNewRomanPSMT"/>
          <w:color w:val="000000"/>
          <w:vertAlign w:val="subscript"/>
        </w:rPr>
        <w:t>max</w:t>
      </w:r>
      <w:r w:rsidRPr="00D1539B">
        <w:rPr>
          <w:rFonts w:ascii="TimesNewRomanPSMT" w:hAnsi="TimesNewRomanPSMT" w:cs="TimesNewRomanPSMT"/>
          <w:color w:val="000000"/>
        </w:rPr>
        <w:t>)</w:t>
      </w:r>
      <w:r>
        <w:rPr>
          <w:rFonts w:ascii="TimesNewRomanPSMT" w:hAnsi="TimesNewRomanPSMT" w:cs="TimesNewRomanPSMT"/>
          <w:color w:val="000000"/>
        </w:rPr>
        <w:t xml:space="preserve"> of a </w:t>
      </w:r>
      <w:r w:rsidRPr="0096269E">
        <w:rPr>
          <w:rFonts w:ascii="TimesNewRomanPSMT" w:hAnsi="TimesNewRomanPSMT" w:cs="TimesNewRomanPSMT"/>
          <w:color w:val="000000"/>
        </w:rPr>
        <w:t xml:space="preserve">population, are often derived from theoretical relationships such as </w:t>
      </w:r>
      <w:r w:rsidR="00F96768" w:rsidRPr="0096269E">
        <w:rPr>
          <w:rFonts w:ascii="TimesNewRomanPSMT" w:hAnsi="TimesNewRomanPSMT" w:cs="TimesNewRomanPSMT"/>
          <w:color w:val="000000"/>
        </w:rPr>
        <w:fldChar w:fldCharType="begin" w:fldLock="1"/>
      </w:r>
      <w:r w:rsidR="00F96768" w:rsidRPr="0096269E">
        <w:rPr>
          <w:rFonts w:ascii="TimesNewRomanPSMT" w:hAnsi="TimesNewRomanPSMT" w:cs="TimesNewRomanPSMT"/>
          <w:color w:val="000000"/>
        </w:rPr>
        <w:instrText>ADDIN CSL_CITATION {"citationItems":[{"id":"ITEM-1","itemData":{"DOI":"10.1086/400074","ISBN":"00335770","ISSN":"0033-5770","PMID":"13177850","abstract":"AB","author":[{"dropping-particle":"","family":"Cole","given":"Lamont C.","non-dropping-particle":"","parse-names":false,"suffix":""}],"container-title":"The Quarterly Review of Biology","id":"ITEM-1","issue":"2","issued":{"date-parts":[["1954"]]},"page":"103-137","title":"The population consequences of life history phenomena","type":"article-journal","volume":"29"},"uris":["http://www.mendeley.com/documents/?uuid=2ed65b59-893e-4f6f-b31b-afe6ed0eefaf"]}],"mendeley":{"formattedCitation":"(Cole 1954)","manualFormatting":"Cole's (1954)","plainTextFormattedCitation":"(Cole 1954)","previouslyFormattedCitation":"(Cole 1954)"},"properties":{"noteIndex":0},"schema":"https://github.com/citation-style-language/schema/raw/master/csl-citation.json"}</w:instrText>
      </w:r>
      <w:r w:rsidR="00F96768" w:rsidRPr="0096269E">
        <w:rPr>
          <w:rFonts w:ascii="TimesNewRomanPSMT" w:hAnsi="TimesNewRomanPSMT" w:cs="TimesNewRomanPSMT"/>
          <w:color w:val="000000"/>
        </w:rPr>
        <w:fldChar w:fldCharType="separate"/>
      </w:r>
      <w:r w:rsidR="00F96768" w:rsidRPr="0096269E">
        <w:rPr>
          <w:rFonts w:ascii="TimesNewRomanPSMT" w:hAnsi="TimesNewRomanPSMT" w:cs="TimesNewRomanPSMT"/>
          <w:noProof/>
          <w:color w:val="000000"/>
        </w:rPr>
        <w:t>Cole's (1954)</w:t>
      </w:r>
      <w:r w:rsidR="00F96768" w:rsidRPr="0096269E">
        <w:rPr>
          <w:rFonts w:ascii="TimesNewRomanPSMT" w:hAnsi="TimesNewRomanPSMT" w:cs="TimesNewRomanPSMT"/>
          <w:color w:val="000000"/>
        </w:rPr>
        <w:fldChar w:fldCharType="end"/>
      </w:r>
      <w:r w:rsidRPr="0096269E">
        <w:rPr>
          <w:rFonts w:ascii="TimesNewRomanPSMT" w:hAnsi="TimesNewRomanPSMT" w:cs="TimesNewRomanPSMT"/>
          <w:color w:val="000000"/>
        </w:rPr>
        <w:t xml:space="preserve"> formula of body size and </w:t>
      </w:r>
      <w:r w:rsidRPr="0096269E">
        <w:rPr>
          <w:rFonts w:ascii="TimesNewRomanPSMT" w:hAnsi="TimesNewRomanPSMT" w:cs="TimesNewRomanPSMT"/>
          <w:i/>
          <w:color w:val="000000"/>
        </w:rPr>
        <w:t>r</w:t>
      </w:r>
      <w:r w:rsidRPr="0096269E">
        <w:rPr>
          <w:rFonts w:ascii="TimesNewRomanPSMT" w:hAnsi="TimesNewRomanPSMT" w:cs="TimesNewRomanPSMT"/>
          <w:color w:val="000000"/>
          <w:vertAlign w:val="subscript"/>
        </w:rPr>
        <w:t>max</w:t>
      </w:r>
      <w:r w:rsidRPr="0096269E">
        <w:rPr>
          <w:rFonts w:ascii="TimesNewRomanPSMT" w:hAnsi="TimesNewRomanPSMT" w:cs="TimesNewRomanPSMT"/>
          <w:color w:val="000000"/>
        </w:rPr>
        <w:t>; in</w:t>
      </w:r>
      <w:r w:rsidRPr="0096269E">
        <w:rPr>
          <w:rFonts w:ascii="TimesNewRomanPSMT" w:hAnsi="TimesNewRomanPSMT" w:cs="TimesNewRomanPSMT"/>
          <w:color w:val="000000"/>
          <w:vertAlign w:val="subscript"/>
        </w:rPr>
        <w:t xml:space="preserve"> </w:t>
      </w:r>
      <w:r w:rsidRPr="0096269E">
        <w:rPr>
          <w:rFonts w:ascii="TimesNewRomanPSMT" w:hAnsi="TimesNewRomanPSMT" w:cs="TimesNewRomanPSMT"/>
          <w:color w:val="000000"/>
        </w:rPr>
        <w:t>many cases, data has been taken from captive animals. In a</w:t>
      </w:r>
      <w:r w:rsidR="00060288" w:rsidRPr="0096269E">
        <w:rPr>
          <w:rFonts w:ascii="TimesNewRomanPSMT" w:hAnsi="TimesNewRomanPSMT" w:cs="TimesNewRomanPSMT"/>
          <w:color w:val="000000"/>
        </w:rPr>
        <w:t xml:space="preserve"> study by </w:t>
      </w:r>
      <w:r w:rsidR="0096269E" w:rsidRPr="0096269E">
        <w:rPr>
          <w:rFonts w:ascii="TimesNewRomanPSMT" w:hAnsi="TimesNewRomanPSMT" w:cs="TimesNewRomanPSMT"/>
          <w:color w:val="000000"/>
        </w:rPr>
        <w:fldChar w:fldCharType="begin" w:fldLock="1"/>
      </w:r>
      <w:r w:rsidR="0096269E">
        <w:rPr>
          <w:rFonts w:ascii="TimesNewRomanPSMT" w:hAnsi="TimesNewRomanPSMT" w:cs="TimesNewRomanPSMT"/>
          <w:color w:val="000000"/>
        </w:rPr>
        <w:instrText>ADDIN CSL_CITATION {"citationItems":[{"id":"ITEM-1","itemData":{"DOI":"10.1111/cobi.12870","ISSN":"15231739","PMID":"27917537","abstract":"Wildlife subsistence hunting is a major source of protein for tropical rural populations and a prominent conservation issue. The intrinsic rate of natural increase. (rmax) of populations is a key reproductive parameter in the most used assessments of hunting sustainability. However, researchers face severe difficulties in obtaining reproductive data in the wild, so these assessments often rely on classic reproductive rates calculated mostly from studies of captive animals conducted 30 years ago. The result is a flaw in almost 50% of studies, which hampers management decision making. We conducted a 15-year study in the Amazon in which we used reproductive data from the genitalia of 950 hunted female mammals. Genitalia were collected by local hunters. We examined tissue from these samples to estimate birthrates for wild populations of the 10 most hunted mammals. We compared our estimates with classic measures and considered the utility of the use of rmax in sustainability assessments. For woolly monkey (Lagothrix poeppigii) and tapir (Tapirus terrestris), wild birthrates were similar to those from captive populations, whereas birthrates for other ungulates and lowland-paca (Cuniculus paca) were significantly lower than previous estimates. Conversely, for capuchin monkeys (Sapajus macrocephalus), agoutis (Dasyprocta sp.), and coatis (Nasua nasua), our calculated reproductive rates greatly exceeded often-used values. Researchers could keep applying classic measures compatible with our estimates, but for other species previous estimates of rmax may not be appropriate. We suggest that data from local studies be used to set hunting quotas. Our maximum rates of population growth in the wild correlated with body weight, which suggests that our method is consistent and reliable. Integration of this method into community-based wildlife management and the training of local hunters to record pregnancies in hunted animals could efficiently generate useful information of life histories of wild species and thus improve management of natural resources. © 2016 Society for Conservation Biology","author":[{"dropping-particle":"","family":"Mayor","given":"Pedro","non-dropping-particle":"","parse-names":false,"suffix":""},{"dropping-particle":"","family":"Bizri","given":"Hani","non-dropping-particle":"El","parse-names":false,"suffix":""},{"dropping-particle":"","family":"Bodmer","given":"Richard E.","non-dropping-particle":"","parse-names":false,"suffix":""},{"dropping-particle":"","family":"Bowler","given":"Mark","non-dropping-particle":"","parse-names":false,"suffix":""}],"container-title":"Conservation Biology","id":"ITEM-1","issue":"4","issued":{"date-parts":[["2017"]]},"page":"912-923","title":"Assessment of mammal reproduction for hunting sustainability through community-based sampling of species in the wild","type":"article-journal","volume":"31"},"uris":["http://www.mendeley.com/documents/?uuid=a4ebfa9d-1a3f-454c-888f-fd204ea2566d"]}],"mendeley":{"formattedCitation":"(Mayor et al. 2017)","plainTextFormattedCitation":"(Mayor et al. 2017)","previouslyFormattedCitation":"(Mayor et al. 2017)"},"properties":{"noteIndex":0},"schema":"https://github.com/citation-style-language/schema/raw/master/csl-citation.json"}</w:instrText>
      </w:r>
      <w:r w:rsidR="0096269E" w:rsidRPr="0096269E">
        <w:rPr>
          <w:rFonts w:ascii="TimesNewRomanPSMT" w:hAnsi="TimesNewRomanPSMT" w:cs="TimesNewRomanPSMT"/>
          <w:color w:val="000000"/>
        </w:rPr>
        <w:fldChar w:fldCharType="separate"/>
      </w:r>
      <w:r w:rsidR="0096269E" w:rsidRPr="0096269E">
        <w:rPr>
          <w:rFonts w:ascii="TimesNewRomanPSMT" w:hAnsi="TimesNewRomanPSMT" w:cs="TimesNewRomanPSMT"/>
          <w:noProof/>
          <w:color w:val="000000"/>
        </w:rPr>
        <w:t>(Mayor et al. 2017)</w:t>
      </w:r>
      <w:r w:rsidR="0096269E" w:rsidRPr="0096269E">
        <w:rPr>
          <w:rFonts w:ascii="TimesNewRomanPSMT" w:hAnsi="TimesNewRomanPSMT" w:cs="TimesNewRomanPSMT"/>
          <w:color w:val="000000"/>
        </w:rPr>
        <w:fldChar w:fldCharType="end"/>
      </w:r>
      <w:r w:rsidR="0096269E" w:rsidRPr="0096269E">
        <w:rPr>
          <w:rFonts w:ascii="TimesNewRomanPSMT" w:hAnsi="TimesNewRomanPSMT" w:cs="TimesNewRomanPSMT"/>
          <w:color w:val="000000"/>
        </w:rPr>
        <w:t xml:space="preserve">, </w:t>
      </w:r>
      <w:r w:rsidRPr="0096269E">
        <w:rPr>
          <w:rFonts w:ascii="TimesNewRomanPSMT" w:hAnsi="TimesNewRomanPSMT" w:cs="TimesNewRomanPSMT"/>
          <w:color w:val="000000"/>
        </w:rPr>
        <w:t xml:space="preserve">researchers contrasted reproductive data obtained from </w:t>
      </w:r>
      <w:r w:rsidR="00F96768" w:rsidRPr="0096269E">
        <w:rPr>
          <w:rFonts w:ascii="TimesNewRomanPSMT" w:hAnsi="TimesNewRomanPSMT" w:cs="TimesNewRomanPSMT"/>
          <w:color w:val="000000"/>
        </w:rPr>
        <w:fldChar w:fldCharType="begin" w:fldLock="1"/>
      </w:r>
      <w:r w:rsidR="00F96768" w:rsidRPr="0096269E">
        <w:rPr>
          <w:rFonts w:ascii="TimesNewRomanPSMT" w:hAnsi="TimesNewRomanPSMT" w:cs="TimesNewRomanPSMT"/>
          <w:color w:val="000000"/>
        </w:rPr>
        <w:instrText>ADDIN CSL_CITATION {"citationItems":[{"id":"ITEM-1","itemData":{"DOI":"10.1086/400074","ISBN":"00335770","ISSN":"0033-5770","PMID":"13177850","abstract":"AB","author":[{"dropping-particle":"","family":"Cole","given":"Lamont C.","non-dropping-particle":"","parse-names":false,"suffix":""}],"container-title":"The Quarterly Review of Biology","id":"ITEM-1","issue":"2","issued":{"date-parts":[["1954"]]},"page":"103-137","title":"The population consequences of life history phenomena","type":"article-journal","volume":"29"},"uris":["http://www.mendeley.com/documents/?uuid=2ed65b59-893e-4f6f-b31b-afe6ed0eefaf"]}],"mendeley":{"formattedCitation":"(Cole 1954)","manualFormatting":"Cole (1954)","plainTextFormattedCitation":"(Cole 1954)","previouslyFormattedCitation":"(Cole 1954)"},"properties":{"noteIndex":0},"schema":"https://github.com/citation-style-language/schema/raw/master/csl-citation.json"}</w:instrText>
      </w:r>
      <w:r w:rsidR="00F96768" w:rsidRPr="0096269E">
        <w:rPr>
          <w:rFonts w:ascii="TimesNewRomanPSMT" w:hAnsi="TimesNewRomanPSMT" w:cs="TimesNewRomanPSMT"/>
          <w:color w:val="000000"/>
        </w:rPr>
        <w:fldChar w:fldCharType="separate"/>
      </w:r>
      <w:r w:rsidR="00F96768" w:rsidRPr="0096269E">
        <w:rPr>
          <w:rFonts w:ascii="TimesNewRomanPSMT" w:hAnsi="TimesNewRomanPSMT" w:cs="TimesNewRomanPSMT"/>
          <w:noProof/>
          <w:color w:val="000000"/>
        </w:rPr>
        <w:t>Cole (1954)</w:t>
      </w:r>
      <w:r w:rsidR="00F96768" w:rsidRPr="0096269E">
        <w:rPr>
          <w:rFonts w:ascii="TimesNewRomanPSMT" w:hAnsi="TimesNewRomanPSMT" w:cs="TimesNewRomanPSMT"/>
          <w:color w:val="000000"/>
        </w:rPr>
        <w:fldChar w:fldCharType="end"/>
      </w:r>
      <w:r w:rsidRPr="0096269E">
        <w:rPr>
          <w:rFonts w:ascii="TimesNewRomanPSMT" w:hAnsi="TimesNewRomanPSMT" w:cs="TimesNewRomanPSMT"/>
          <w:color w:val="000000"/>
        </w:rPr>
        <w:t xml:space="preserve"> against information gathered in the field for the 10</w:t>
      </w:r>
      <w:r w:rsidR="00060288" w:rsidRPr="0096269E">
        <w:rPr>
          <w:rFonts w:ascii="TimesNewRomanPSMT" w:hAnsi="TimesNewRomanPSMT" w:cs="TimesNewRomanPSMT"/>
          <w:color w:val="000000"/>
        </w:rPr>
        <w:t xml:space="preserve"> most</w:t>
      </w:r>
      <w:r w:rsidRPr="0096269E">
        <w:rPr>
          <w:rFonts w:ascii="TimesNewRomanPSMT" w:hAnsi="TimesNewRomanPSMT" w:cs="TimesNewRomanPSMT"/>
          <w:color w:val="000000"/>
        </w:rPr>
        <w:t xml:space="preserve"> commonly hunted species in </w:t>
      </w:r>
      <w:r w:rsidR="00060288" w:rsidRPr="0096269E">
        <w:rPr>
          <w:rFonts w:ascii="TimesNewRomanPSMT" w:hAnsi="TimesNewRomanPSMT" w:cs="TimesNewRomanPSMT"/>
          <w:color w:val="000000"/>
        </w:rPr>
        <w:t>the Amazon</w:t>
      </w:r>
      <w:r w:rsidRPr="0096269E">
        <w:rPr>
          <w:rFonts w:ascii="TimesNewRomanPSMT" w:hAnsi="TimesNewRomanPSMT" w:cs="TimesNewRomanPSMT"/>
          <w:color w:val="000000"/>
        </w:rPr>
        <w:t>, finding significant differences between</w:t>
      </w:r>
      <w:r>
        <w:rPr>
          <w:rFonts w:ascii="TimesNewRomanPSMT" w:hAnsi="TimesNewRomanPSMT" w:cs="TimesNewRomanPSMT"/>
          <w:color w:val="000000"/>
        </w:rPr>
        <w:t xml:space="preserve"> </w:t>
      </w:r>
      <w:r w:rsidRPr="00611938">
        <w:rPr>
          <w:rFonts w:ascii="TimesNewRomanPSMT" w:hAnsi="TimesNewRomanPSMT" w:cs="TimesNewRomanPSMT"/>
          <w:color w:val="000000"/>
        </w:rPr>
        <w:t>r</w:t>
      </w:r>
      <w:r w:rsidR="00060288" w:rsidRPr="00D1539B">
        <w:rPr>
          <w:rFonts w:ascii="TimesNewRomanPSMT" w:hAnsi="TimesNewRomanPSMT" w:cs="TimesNewRomanPSMT"/>
          <w:color w:val="000000"/>
          <w:vertAlign w:val="subscript"/>
        </w:rPr>
        <w:t>max</w:t>
      </w:r>
      <w:r w:rsidR="00060288">
        <w:rPr>
          <w:rFonts w:ascii="TimesNewRomanPSMT" w:hAnsi="TimesNewRomanPSMT" w:cs="TimesNewRomanPSMT"/>
          <w:color w:val="000000"/>
        </w:rPr>
        <w:t xml:space="preserve"> estimates</w:t>
      </w:r>
      <w:r w:rsidRPr="00611938">
        <w:rPr>
          <w:rFonts w:ascii="TimesNewRomanPSMT" w:hAnsi="TimesNewRomanPSMT" w:cs="TimesNewRomanPSMT"/>
          <w:color w:val="000000"/>
        </w:rPr>
        <w:t xml:space="preserve"> </w:t>
      </w:r>
      <w:r>
        <w:rPr>
          <w:rFonts w:ascii="TimesNewRomanPSMT" w:hAnsi="TimesNewRomanPSMT" w:cs="TimesNewRomanPSMT"/>
          <w:color w:val="000000"/>
        </w:rPr>
        <w:t>using Cole’s formula and the empirical data</w:t>
      </w:r>
      <w:r w:rsidRPr="001E7F94">
        <w:rPr>
          <w:rFonts w:ascii="TimesNewRomanPSMT" w:hAnsi="TimesNewRomanPSMT" w:cs="TimesNewRomanPSMT"/>
          <w:color w:val="000000"/>
        </w:rPr>
        <w:t xml:space="preserve">. </w:t>
      </w:r>
      <w:r>
        <w:rPr>
          <w:rFonts w:ascii="TimesNewRomanPSMT" w:hAnsi="TimesNewRomanPSMT" w:cs="TimesNewRomanPSMT"/>
          <w:color w:val="000000"/>
        </w:rPr>
        <w:t xml:space="preserve">These findings suggest that </w:t>
      </w:r>
      <w:r w:rsidRPr="00332CB3">
        <w:rPr>
          <w:rFonts w:ascii="TimesNewRomanPSMT" w:hAnsi="TimesNewRomanPSMT" w:cs="TimesNewRomanPSMT"/>
          <w:color w:val="000000"/>
        </w:rPr>
        <w:t>theory</w:t>
      </w:r>
      <w:r>
        <w:rPr>
          <w:rFonts w:ascii="TimesNewRomanPSMT" w:hAnsi="TimesNewRomanPSMT" w:cs="TimesNewRomanPSMT"/>
          <w:color w:val="000000"/>
        </w:rPr>
        <w:t xml:space="preserve"> </w:t>
      </w:r>
      <w:r w:rsidRPr="00332CB3">
        <w:rPr>
          <w:rFonts w:ascii="TimesNewRomanPSMT" w:hAnsi="TimesNewRomanPSMT" w:cs="TimesNewRomanPSMT"/>
          <w:color w:val="000000"/>
        </w:rPr>
        <w:t>often</w:t>
      </w:r>
      <w:r>
        <w:rPr>
          <w:rFonts w:ascii="TimesNewRomanPSMT" w:hAnsi="TimesNewRomanPSMT" w:cs="TimesNewRomanPSMT"/>
          <w:color w:val="000000"/>
        </w:rPr>
        <w:t xml:space="preserve"> </w:t>
      </w:r>
      <w:r w:rsidRPr="00332CB3">
        <w:rPr>
          <w:rFonts w:ascii="TimesNewRomanPSMT" w:hAnsi="TimesNewRomanPSMT" w:cs="TimesNewRomanPSMT"/>
          <w:color w:val="000000"/>
        </w:rPr>
        <w:t>does</w:t>
      </w:r>
      <w:r>
        <w:rPr>
          <w:rFonts w:ascii="TimesNewRomanPSMT" w:hAnsi="TimesNewRomanPSMT" w:cs="TimesNewRomanPSMT"/>
          <w:color w:val="000000"/>
        </w:rPr>
        <w:t xml:space="preserve"> </w:t>
      </w:r>
      <w:r w:rsidRPr="00332CB3">
        <w:rPr>
          <w:rFonts w:ascii="TimesNewRomanPSMT" w:hAnsi="TimesNewRomanPSMT" w:cs="TimesNewRomanPSMT"/>
          <w:color w:val="000000"/>
        </w:rPr>
        <w:t>not</w:t>
      </w:r>
      <w:r>
        <w:rPr>
          <w:rFonts w:ascii="TimesNewRomanPSMT" w:hAnsi="TimesNewRomanPSMT" w:cs="TimesNewRomanPSMT"/>
          <w:color w:val="000000"/>
        </w:rPr>
        <w:t xml:space="preserve"> </w:t>
      </w:r>
      <w:r w:rsidRPr="00332CB3">
        <w:rPr>
          <w:rFonts w:ascii="TimesNewRomanPSMT" w:hAnsi="TimesNewRomanPSMT" w:cs="TimesNewRomanPSMT"/>
          <w:color w:val="000000"/>
        </w:rPr>
        <w:t>inform</w:t>
      </w:r>
      <w:r>
        <w:rPr>
          <w:rFonts w:ascii="TimesNewRomanPSMT" w:hAnsi="TimesNewRomanPSMT" w:cs="TimesNewRomanPSMT"/>
          <w:color w:val="000000"/>
        </w:rPr>
        <w:t xml:space="preserve"> </w:t>
      </w:r>
      <w:r w:rsidRPr="00332CB3">
        <w:rPr>
          <w:rFonts w:ascii="TimesNewRomanPSMT" w:hAnsi="TimesNewRomanPSMT" w:cs="TimesNewRomanPSMT"/>
          <w:color w:val="000000"/>
        </w:rPr>
        <w:t>data</w:t>
      </w:r>
      <w:r>
        <w:rPr>
          <w:rFonts w:ascii="TimesNewRomanPSMT" w:hAnsi="TimesNewRomanPSMT" w:cs="TimesNewRomanPSMT"/>
          <w:color w:val="000000"/>
        </w:rPr>
        <w:t xml:space="preserve"> </w:t>
      </w:r>
      <w:r w:rsidRPr="00332CB3">
        <w:rPr>
          <w:rFonts w:ascii="TimesNewRomanPSMT" w:hAnsi="TimesNewRomanPSMT" w:cs="TimesNewRomanPSMT"/>
          <w:color w:val="000000"/>
        </w:rPr>
        <w:t>collection</w:t>
      </w:r>
      <w:r>
        <w:rPr>
          <w:rFonts w:ascii="TimesNewRomanPSMT" w:hAnsi="TimesNewRomanPSMT" w:cs="TimesNewRomanPSMT"/>
          <w:color w:val="000000"/>
        </w:rPr>
        <w:t xml:space="preserve"> </w:t>
      </w:r>
      <w:r w:rsidRPr="00332CB3">
        <w:rPr>
          <w:rFonts w:ascii="TimesNewRomanPSMT" w:hAnsi="TimesNewRomanPSMT" w:cs="TimesNewRomanPSMT"/>
          <w:color w:val="000000"/>
        </w:rPr>
        <w:t>and</w:t>
      </w:r>
      <w:r>
        <w:rPr>
          <w:rFonts w:ascii="TimesNewRomanPSMT" w:hAnsi="TimesNewRomanPSMT" w:cs="TimesNewRomanPSMT"/>
          <w:color w:val="000000"/>
        </w:rPr>
        <w:t xml:space="preserve"> </w:t>
      </w:r>
      <w:r w:rsidRPr="00332CB3">
        <w:rPr>
          <w:rFonts w:ascii="TimesNewRomanPSMT" w:hAnsi="TimesNewRomanPSMT" w:cs="TimesNewRomanPSMT"/>
          <w:color w:val="000000"/>
        </w:rPr>
        <w:t>management</w:t>
      </w:r>
      <w:r>
        <w:rPr>
          <w:rFonts w:ascii="TimesNewRomanPSMT" w:hAnsi="TimesNewRomanPSMT" w:cs="TimesNewRomanPSMT"/>
          <w:color w:val="000000"/>
        </w:rPr>
        <w:t xml:space="preserve"> </w:t>
      </w:r>
      <w:r w:rsidRPr="00332CB3">
        <w:rPr>
          <w:rFonts w:ascii="TimesNewRomanPSMT" w:hAnsi="TimesNewRomanPSMT" w:cs="TimesNewRomanPSMT"/>
          <w:color w:val="000000"/>
        </w:rPr>
        <w:t>planning</w:t>
      </w:r>
      <w:r>
        <w:rPr>
          <w:rFonts w:ascii="TimesNewRomanPSMT" w:hAnsi="TimesNewRomanPSMT" w:cs="TimesNewRomanPSMT"/>
          <w:color w:val="000000"/>
        </w:rPr>
        <w:t xml:space="preserve"> </w:t>
      </w:r>
      <w:r w:rsidRPr="00332CB3">
        <w:rPr>
          <w:rFonts w:ascii="TimesNewRomanPSMT" w:hAnsi="TimesNewRomanPSMT" w:cs="TimesNewRomanPSMT"/>
          <w:color w:val="000000"/>
        </w:rPr>
        <w:t>as</w:t>
      </w:r>
      <w:r>
        <w:rPr>
          <w:rFonts w:ascii="TimesNewRomanPSMT" w:hAnsi="TimesNewRomanPSMT" w:cs="TimesNewRomanPSMT"/>
          <w:color w:val="000000"/>
        </w:rPr>
        <w:t xml:space="preserve"> </w:t>
      </w:r>
      <w:r w:rsidRPr="00332CB3">
        <w:rPr>
          <w:rFonts w:ascii="TimesNewRomanPSMT" w:hAnsi="TimesNewRomanPSMT" w:cs="TimesNewRomanPSMT"/>
          <w:color w:val="000000"/>
        </w:rPr>
        <w:t>much</w:t>
      </w:r>
      <w:r>
        <w:rPr>
          <w:rFonts w:ascii="TimesNewRomanPSMT" w:hAnsi="TimesNewRomanPSMT" w:cs="TimesNewRomanPSMT"/>
          <w:color w:val="000000"/>
        </w:rPr>
        <w:t xml:space="preserve"> </w:t>
      </w:r>
      <w:r w:rsidRPr="00332CB3">
        <w:rPr>
          <w:rFonts w:ascii="TimesNewRomanPSMT" w:hAnsi="TimesNewRomanPSMT" w:cs="TimesNewRomanPSMT"/>
          <w:color w:val="000000"/>
        </w:rPr>
        <w:t xml:space="preserve">as it could. </w:t>
      </w:r>
    </w:p>
    <w:p w14:paraId="3B26D873" w14:textId="77777777" w:rsidR="00516C17" w:rsidRPr="00785A38" w:rsidRDefault="00516C17" w:rsidP="001C1D6E">
      <w:pPr>
        <w:pStyle w:val="Heading3"/>
      </w:pPr>
      <w:r w:rsidRPr="00785A38">
        <w:t>Indicators of hunting offtake</w:t>
      </w:r>
    </w:p>
    <w:p w14:paraId="74A80491" w14:textId="362A4919" w:rsidR="000B49FD" w:rsidRDefault="00516C17" w:rsidP="00C258BC">
      <w:pPr>
        <w:jc w:val="both"/>
        <w:rPr>
          <w:color w:val="000000" w:themeColor="text1"/>
        </w:rPr>
      </w:pPr>
      <w:r w:rsidRPr="00694523">
        <w:rPr>
          <w:color w:val="000000" w:themeColor="text1"/>
        </w:rPr>
        <w:t>Due to the limitations of</w:t>
      </w:r>
      <w:r w:rsidR="00821762" w:rsidRPr="00694523">
        <w:rPr>
          <w:color w:val="000000" w:themeColor="text1"/>
        </w:rPr>
        <w:t xml:space="preserve"> population production models, m</w:t>
      </w:r>
      <w:r w:rsidRPr="00694523">
        <w:rPr>
          <w:color w:val="000000" w:themeColor="text1"/>
        </w:rPr>
        <w:t>easures of huntin</w:t>
      </w:r>
      <w:r w:rsidR="005133B6">
        <w:rPr>
          <w:color w:val="000000" w:themeColor="text1"/>
        </w:rPr>
        <w:t xml:space="preserve">g offtake and effort </w:t>
      </w:r>
      <w:r w:rsidRPr="00694523">
        <w:rPr>
          <w:color w:val="000000" w:themeColor="text1"/>
        </w:rPr>
        <w:t xml:space="preserve">have been suggested as an alternative method for monitoring sustainability. </w:t>
      </w:r>
      <w:r w:rsidR="005133B6">
        <w:rPr>
          <w:color w:val="000000" w:themeColor="text1"/>
        </w:rPr>
        <w:t xml:space="preserve">These indicators </w:t>
      </w:r>
      <w:r w:rsidR="005133B6" w:rsidRPr="00694523">
        <w:rPr>
          <w:color w:val="000000" w:themeColor="text1"/>
        </w:rPr>
        <w:t xml:space="preserve">are </w:t>
      </w:r>
      <w:r w:rsidR="005133B6" w:rsidRPr="000A7365">
        <w:rPr>
          <w:color w:val="000000" w:themeColor="text1"/>
        </w:rPr>
        <w:t xml:space="preserve">hypothesised to track underlying changes in prey population densities. </w:t>
      </w:r>
      <w:r w:rsidRPr="000A7365">
        <w:rPr>
          <w:color w:val="000000" w:themeColor="text1"/>
        </w:rPr>
        <w:t xml:space="preserve">One commonly mentioned example is </w:t>
      </w:r>
      <w:r w:rsidR="00A8497B" w:rsidRPr="000A7365">
        <w:rPr>
          <w:color w:val="000000" w:themeColor="text1"/>
        </w:rPr>
        <w:t>CPUE</w:t>
      </w:r>
      <w:r w:rsidRPr="000A7365">
        <w:rPr>
          <w:color w:val="000000" w:themeColor="text1"/>
        </w:rPr>
        <w:t xml:space="preserve"> of hunters - for example the number of blue duiker caught per hour of a hunting trip (</w:t>
      </w:r>
      <w:r w:rsidR="005D7A66" w:rsidRPr="000A7365">
        <w:rPr>
          <w:color w:val="000000" w:themeColor="text1"/>
        </w:rPr>
        <w:fldChar w:fldCharType="begin"/>
      </w:r>
      <w:r w:rsidR="005D7A66" w:rsidRPr="000A7365">
        <w:rPr>
          <w:color w:val="000000" w:themeColor="text1"/>
        </w:rPr>
        <w:instrText xml:space="preserve"> REF _Ref519700105 \h </w:instrText>
      </w:r>
      <w:r w:rsidR="005D7A66" w:rsidRPr="000A7365">
        <w:rPr>
          <w:color w:val="000000" w:themeColor="text1"/>
        </w:rPr>
      </w:r>
      <w:r w:rsidR="005D7A66" w:rsidRPr="000A7365">
        <w:rPr>
          <w:color w:val="000000" w:themeColor="text1"/>
        </w:rPr>
        <w:fldChar w:fldCharType="separate"/>
      </w:r>
      <w:r w:rsidR="007034F1">
        <w:t xml:space="preserve">Table </w:t>
      </w:r>
      <w:r w:rsidR="007034F1">
        <w:rPr>
          <w:noProof/>
        </w:rPr>
        <w:t>5</w:t>
      </w:r>
      <w:r w:rsidR="005D7A66" w:rsidRPr="000A7365">
        <w:rPr>
          <w:color w:val="000000" w:themeColor="text1"/>
        </w:rPr>
        <w:fldChar w:fldCharType="end"/>
      </w:r>
      <w:r w:rsidRPr="000A7365">
        <w:rPr>
          <w:color w:val="000000" w:themeColor="text1"/>
        </w:rPr>
        <w:t xml:space="preserve">). Instead of setting a </w:t>
      </w:r>
      <w:r w:rsidRPr="0096269E">
        <w:rPr>
          <w:color w:val="000000" w:themeColor="text1"/>
        </w:rPr>
        <w:t>hunting quota by estimating production, hunting quotas</w:t>
      </w:r>
      <w:r w:rsidR="005D7A66" w:rsidRPr="0096269E">
        <w:rPr>
          <w:color w:val="000000" w:themeColor="text1"/>
        </w:rPr>
        <w:t xml:space="preserve"> or effort</w:t>
      </w:r>
      <w:r w:rsidRPr="0096269E">
        <w:rPr>
          <w:color w:val="000000" w:themeColor="text1"/>
        </w:rPr>
        <w:t xml:space="preserve"> can rather be modified </w:t>
      </w:r>
      <w:r w:rsidR="00614744" w:rsidRPr="0096269E">
        <w:rPr>
          <w:color w:val="000000" w:themeColor="text1"/>
        </w:rPr>
        <w:t xml:space="preserve">adaptively </w:t>
      </w:r>
      <w:r w:rsidRPr="0096269E">
        <w:rPr>
          <w:color w:val="000000" w:themeColor="text1"/>
        </w:rPr>
        <w:t>guided by changes in CPUE, with managers aiming to keep CPUE at a constant</w:t>
      </w:r>
      <w:r w:rsidR="000B49FD" w:rsidRPr="0096269E">
        <w:rPr>
          <w:color w:val="000000" w:themeColor="text1"/>
        </w:rPr>
        <w:t xml:space="preserve"> level</w:t>
      </w:r>
      <w:r w:rsidR="005F7CE0" w:rsidRPr="0096269E">
        <w:rPr>
          <w:color w:val="000000" w:themeColor="text1"/>
        </w:rPr>
        <w:t xml:space="preserve"> </w:t>
      </w:r>
      <w:r w:rsidR="0096269E" w:rsidRPr="0096269E">
        <w:rPr>
          <w:color w:val="000000" w:themeColor="text1"/>
        </w:rPr>
        <w:fldChar w:fldCharType="begin" w:fldLock="1"/>
      </w:r>
      <w:r w:rsidR="0018265D">
        <w:rPr>
          <w:color w:val="000000" w:themeColor="text1"/>
        </w:rPr>
        <w:instrText>ADDIN CSL_CITATION {"citationItems":[{"id":"ITEM-1","itemData":{"DOI":"10.1016/j.biocon.2010.11.022","ISBN":"0006-3207","ISSN":"00063207","abstract":"Adaptive management of natural resources is widely supported, but in biodiversity conservation there have been few practical applications of the approach in its entirety. Some of the contributions to this special publication examine progress in the implementation of adaptive approaches into conservation policy, while others explore novel theoretical and modeling approaches that seek to accommodate the complexities of real-world applications. Several of the papers address the treatment of uncertainty in adaptive management through innovative approaches to experimentation and monitoring, use and characterisation of expert knowledge and reconciliation of differences of opinion about parameters or systems. Drawing on these contributions, we discuss the major impediments to implementing adaptive management, why adaptive management has been slow to be implemented and how this can be redressed. © 2010.","author":[{"dropping-particle":"","family":"Keith","given":"David A.","non-dropping-particle":"","parse-names":false,"suffix":""},{"dropping-particle":"","family":"Martin","given":"Tara G.","non-dropping-particle":"","parse-names":false,"suffix":""},{"dropping-particle":"","family":"McDonald-Madden","given":"Eve","non-dropping-particle":"","parse-names":false,"suffix":""},{"dropping-particle":"","family":"Walters","given":"Carl","non-dropping-particle":"","parse-names":false,"suffix":""}],"container-title":"Biological Conservation","id":"ITEM-1","issue":"4","issued":{"date-parts":[["2011"]]},"page":"1175-1178","publisher":"Elsevier Ltd","title":"Uncertainty and adaptive management for biodiversity conservation","type":"article-journal","volume":"144"},"uris":["http://www.mendeley.com/documents/?uuid=a3f68587-9051-472a-8f59-c3fa6b048233"]}],"mendeley":{"formattedCitation":"(Keith et al. 2011)","plainTextFormattedCitation":"(Keith et al. 2011)","previouslyFormattedCitation":"(Keith et al. 2011)"},"properties":{"noteIndex":0},"schema":"https://github.com/citation-style-language/schema/raw/master/csl-citation.json"}</w:instrText>
      </w:r>
      <w:r w:rsidR="0096269E" w:rsidRPr="0096269E">
        <w:rPr>
          <w:color w:val="000000" w:themeColor="text1"/>
        </w:rPr>
        <w:fldChar w:fldCharType="separate"/>
      </w:r>
      <w:r w:rsidR="0096269E" w:rsidRPr="0096269E">
        <w:rPr>
          <w:noProof/>
          <w:color w:val="000000" w:themeColor="text1"/>
        </w:rPr>
        <w:t>(Keith et al. 2011)</w:t>
      </w:r>
      <w:r w:rsidR="0096269E" w:rsidRPr="0096269E">
        <w:rPr>
          <w:color w:val="000000" w:themeColor="text1"/>
        </w:rPr>
        <w:fldChar w:fldCharType="end"/>
      </w:r>
      <w:r w:rsidR="0096269E" w:rsidRPr="0096269E">
        <w:rPr>
          <w:color w:val="000000" w:themeColor="text1"/>
        </w:rPr>
        <w:t xml:space="preserve">. </w:t>
      </w:r>
      <w:r w:rsidRPr="0096269E">
        <w:rPr>
          <w:color w:val="000000" w:themeColor="text1"/>
        </w:rPr>
        <w:t xml:space="preserve">The advantages of this method are that hunting data are relatively easy and cheap to </w:t>
      </w:r>
      <w:r w:rsidR="00D85930" w:rsidRPr="0096269E">
        <w:rPr>
          <w:color w:val="000000" w:themeColor="text1"/>
        </w:rPr>
        <w:t>collect and</w:t>
      </w:r>
      <w:r w:rsidRPr="0096269E">
        <w:rPr>
          <w:color w:val="000000" w:themeColor="text1"/>
        </w:rPr>
        <w:t xml:space="preserve"> can be recorded by the local communities and hunter groups themselves with minimal training requirements. Spatial information can also be collected by </w:t>
      </w:r>
      <w:r w:rsidR="005F7CE0" w:rsidRPr="0096269E">
        <w:rPr>
          <w:color w:val="000000" w:themeColor="text1"/>
        </w:rPr>
        <w:t xml:space="preserve">initially </w:t>
      </w:r>
      <w:r w:rsidRPr="0096269E">
        <w:rPr>
          <w:color w:val="000000" w:themeColor="text1"/>
        </w:rPr>
        <w:t>mapping the locations of</w:t>
      </w:r>
      <w:r w:rsidRPr="00694523">
        <w:rPr>
          <w:color w:val="000000" w:themeColor="text1"/>
        </w:rPr>
        <w:t xml:space="preserve"> hunting areas, and then recording the areas that hunters use on each trip. </w:t>
      </w:r>
      <w:r w:rsidR="000B49FD">
        <w:rPr>
          <w:color w:val="000000" w:themeColor="text1"/>
        </w:rPr>
        <w:t xml:space="preserve">The disadvantage is that CPUE as an index may be poorly related to actual trends in numbers, with the interactions between hunters and wildlife affected by a range of other factors than the abundance of the wildlife </w:t>
      </w:r>
      <w:r w:rsidR="00F96768">
        <w:rPr>
          <w:color w:val="000000" w:themeColor="text1"/>
        </w:rPr>
        <w:fldChar w:fldCharType="begin" w:fldLock="1"/>
      </w:r>
      <w:r w:rsidR="00F96768">
        <w:rPr>
          <w:color w:val="000000" w:themeColor="text1"/>
        </w:rPr>
        <w:instrText>ADDIN CSL_CITATION {"citationItems":[{"id":"ITEM-1","itemData":{"DOI":"10.1111/j.1365-2664.2011.02034.x","ISSN":"00218901","author":[{"dropping-particle":"","family":"Keane","given":"A","non-dropping-particle":"","parse-names":false,"suffix":""},{"dropping-particle":"","family":"Jones","given":"J P G","non-dropping-particle":"","parse-names":false,"suffix":""},{"dropping-particle":"","family":"Milner-Gulland","given":"E J","non-dropping-particle":"","parse-names":false,"suffix":""}],"container-title":"Journal of Applied Ecology","id":"ITEM-1","issued":{"date-parts":[["2011"]]},"page":"1164-1173","title":"Encounter data in resource management and ecology: pitfalls and possibilities","type":"article-journal","volume":"48"},"uris":["http://www.mendeley.com/documents/?uuid=9b5c2c10-e207-4cb9-91c7-f331af3cc4dd"]}],"mendeley":{"formattedCitation":"(Keane et al. 2011)","plainTextFormattedCitation":"(Keane et al. 2011)","previouslyFormattedCitation":"(Keane et al. 2011)"},"properties":{"noteIndex":0},"schema":"https://github.com/citation-style-language/schema/raw/master/csl-citation.json"}</w:instrText>
      </w:r>
      <w:r w:rsidR="00F96768">
        <w:rPr>
          <w:color w:val="000000" w:themeColor="text1"/>
        </w:rPr>
        <w:fldChar w:fldCharType="separate"/>
      </w:r>
      <w:r w:rsidR="00F96768" w:rsidRPr="00F96768">
        <w:rPr>
          <w:noProof/>
          <w:color w:val="000000" w:themeColor="text1"/>
        </w:rPr>
        <w:t>(Keane et al. 2011)</w:t>
      </w:r>
      <w:r w:rsidR="00F96768">
        <w:rPr>
          <w:color w:val="000000" w:themeColor="text1"/>
        </w:rPr>
        <w:fldChar w:fldCharType="end"/>
      </w:r>
      <w:r w:rsidR="000B49FD">
        <w:rPr>
          <w:color w:val="000000" w:themeColor="text1"/>
        </w:rPr>
        <w:t>.</w:t>
      </w:r>
      <w:r w:rsidR="000B49FD" w:rsidRPr="00AA6F64">
        <w:rPr>
          <w:color w:val="000000" w:themeColor="text1"/>
        </w:rPr>
        <w:t xml:space="preserve"> </w:t>
      </w:r>
      <w:r w:rsidR="000B49FD">
        <w:rPr>
          <w:color w:val="000000" w:themeColor="text1"/>
        </w:rPr>
        <w:t xml:space="preserve">For example, there are </w:t>
      </w:r>
      <w:r w:rsidR="000B49FD" w:rsidRPr="00694523">
        <w:rPr>
          <w:color w:val="000000" w:themeColor="text1"/>
        </w:rPr>
        <w:t>concerns that as species populations decline, hunters may change their hunting behaviour (for instance, improvements of changes to hunting gear) to increase their effectiveness and maintain their CPUE.</w:t>
      </w:r>
    </w:p>
    <w:p w14:paraId="7F2B2648" w14:textId="201411E9" w:rsidR="00DA4AEF" w:rsidRDefault="00DA4AEF" w:rsidP="00C258BC">
      <w:pPr>
        <w:jc w:val="both"/>
        <w:rPr>
          <w:color w:val="000000" w:themeColor="text1"/>
        </w:rPr>
      </w:pPr>
      <w:r w:rsidRPr="00694523">
        <w:rPr>
          <w:color w:val="000000" w:themeColor="text1"/>
        </w:rPr>
        <w:t xml:space="preserve">Initial </w:t>
      </w:r>
      <w:r>
        <w:rPr>
          <w:color w:val="000000" w:themeColor="text1"/>
        </w:rPr>
        <w:t xml:space="preserve">empirical </w:t>
      </w:r>
      <w:r w:rsidRPr="00694523">
        <w:rPr>
          <w:color w:val="000000" w:themeColor="text1"/>
        </w:rPr>
        <w:t xml:space="preserve">research </w:t>
      </w:r>
      <w:r w:rsidR="0018265D">
        <w:rPr>
          <w:color w:val="000000" w:themeColor="text1"/>
        </w:rPr>
        <w:fldChar w:fldCharType="begin" w:fldLock="1"/>
      </w:r>
      <w:r w:rsidR="009137B3">
        <w:rPr>
          <w:color w:val="000000" w:themeColor="text1"/>
        </w:rPr>
        <w:instrText>ADDIN CSL_CITATION {"citationItems":[{"id":"ITEM-1","itemData":{"DOI":"10.5751/ES-03290-150103","ISBN":"1708-3087","ISSN":"17083087","PMID":"21208418","abstract":"Many forest communities possess considerable knowledge of the natural resources they use. Such knowledge can potentially inform scientific approaches to management, either as a source of baseline data to fill information gaps that cannot otherwise be addressed or to provide alternative management approaches from which scientists and managers might learn. In general, however, little attention has been given to the relevance of quantitative forms of such knowledge for resource management. Much discussion has focused on the integration of traditional ecological knowledge (TEK) into management, but less attention has been paid to identifying specific areas where it is most useful and where it may be most problematic. We contrasted scientific data with information from TEK in the context of a threat to the sustainable harvesting of a nontimber forest product (NTFP) of livelihood importance in southern India, specifically, a fruit tree infected by mistletoe. The efficiency of deriving information from NTFP harvesters compared to scientific field studies was assessed. We further evaluated the potential of TEK to provide novel solutions to the management problem in question, the degree to which TEK could provide quantitative information, and the biases that might be associated with information derived from TEK. TEK complemented previously gathered ecological data by providing concordant and additional information, but also contradicted some results obtained using a scientific approach. TEK also gave a longer-term perspective with regard to NTFP harvesting patterns. Combining information on historical and current harvesting trends for the NTFP with official data suggests that current assessments of sustainability may be inaccurate and that the use of diverse information sources may provide an effective approach to assessing the status of harvested resources.","author":[{"dropping-particle":"","family":"Rist","given":"Lucy","non-dropping-particle":"","parse-names":false,"suffix":""},{"dropping-particle":"","family":"Shaanker","given":"R. Uma","non-dropping-particle":"","parse-names":false,"suffix":""},{"dropping-particle":"","family":"Milner-Gulland","given":"E. J.","non-dropping-particle":"","parse-names":false,"suffix":""},{"dropping-particle":"","family":"Ghazoul","given":"Jaboury","non-dropping-particle":"","parse-names":false,"suffix":""}],"container-title":"Ecology and Society","id":"ITEM-1","issue":"1","issued":{"date-parts":[["2010"]]},"page":"3","title":"The use of traditional ecological knowledge in forest management: an example from india","type":"article-journal","volume":"15"},"uris":["http://www.mendeley.com/documents/?uuid=e0ec8c15-eae8-4444-82e2-e59ee03c3c11"]}],"mendeley":{"formattedCitation":"(Rist et al. 2010b)","plainTextFormattedCitation":"(Rist et al. 2010b)","previouslyFormattedCitation":"(Rist et al. 2010b)"},"properties":{"noteIndex":0},"schema":"https://github.com/citation-style-language/schema/raw/master/csl-citation.json"}</w:instrText>
      </w:r>
      <w:r w:rsidR="0018265D">
        <w:rPr>
          <w:color w:val="000000" w:themeColor="text1"/>
        </w:rPr>
        <w:fldChar w:fldCharType="separate"/>
      </w:r>
      <w:r w:rsidR="006D09AD" w:rsidRPr="006D09AD">
        <w:rPr>
          <w:noProof/>
          <w:color w:val="000000" w:themeColor="text1"/>
        </w:rPr>
        <w:t>(Rist et al. 2010b)</w:t>
      </w:r>
      <w:r w:rsidR="0018265D">
        <w:rPr>
          <w:color w:val="000000" w:themeColor="text1"/>
        </w:rPr>
        <w:fldChar w:fldCharType="end"/>
      </w:r>
      <w:r w:rsidR="0018265D">
        <w:rPr>
          <w:color w:val="000000" w:themeColor="text1"/>
        </w:rPr>
        <w:t xml:space="preserve"> </w:t>
      </w:r>
      <w:r w:rsidRPr="00694523">
        <w:rPr>
          <w:color w:val="000000" w:themeColor="text1"/>
        </w:rPr>
        <w:t>suggests that these self-reporting methods to collect data on CPUE could provide cost-effective</w:t>
      </w:r>
      <w:r>
        <w:rPr>
          <w:color w:val="000000" w:themeColor="text1"/>
        </w:rPr>
        <w:t xml:space="preserve"> </w:t>
      </w:r>
      <w:r w:rsidRPr="00694523">
        <w:rPr>
          <w:color w:val="000000" w:themeColor="text1"/>
        </w:rPr>
        <w:t>data for detecting</w:t>
      </w:r>
      <w:r>
        <w:rPr>
          <w:color w:val="000000" w:themeColor="text1"/>
        </w:rPr>
        <w:t xml:space="preserve"> landscape-scale</w:t>
      </w:r>
      <w:r w:rsidRPr="00694523">
        <w:rPr>
          <w:color w:val="000000" w:themeColor="text1"/>
        </w:rPr>
        <w:t xml:space="preserve"> changes in multi-species </w:t>
      </w:r>
      <w:r>
        <w:rPr>
          <w:color w:val="000000" w:themeColor="text1"/>
        </w:rPr>
        <w:t>populations</w:t>
      </w:r>
      <w:r w:rsidRPr="00694523">
        <w:rPr>
          <w:color w:val="000000" w:themeColor="text1"/>
        </w:rPr>
        <w:t xml:space="preserve"> over time</w:t>
      </w:r>
      <w:r>
        <w:rPr>
          <w:color w:val="000000" w:themeColor="text1"/>
        </w:rPr>
        <w:t xml:space="preserve"> but that it was unsuited for providing accurate data on trends in wildlife populations at a scale suitable for management</w:t>
      </w:r>
      <w:r w:rsidRPr="00694523">
        <w:rPr>
          <w:color w:val="000000" w:themeColor="text1"/>
        </w:rPr>
        <w:t xml:space="preserve">. While CPUE may be correlated with species population densities, measuring CPUE on its own cannot provide accurate assessment of </w:t>
      </w:r>
      <w:r>
        <w:rPr>
          <w:color w:val="000000" w:themeColor="text1"/>
        </w:rPr>
        <w:t>absolute abundance, only trends</w:t>
      </w:r>
      <w:r w:rsidRPr="00694523">
        <w:rPr>
          <w:color w:val="000000" w:themeColor="text1"/>
        </w:rPr>
        <w:t xml:space="preserve">, unless combined with population surveys at various intervals of time. In addition, self-reporting relies on local hunter engagement, and if changes in CPUE result in lower, enforced, quotas, hunters may become less willing to supply this information. </w:t>
      </w:r>
    </w:p>
    <w:p w14:paraId="306497E3" w14:textId="78690A3D" w:rsidR="00516C17" w:rsidRPr="00785A38" w:rsidRDefault="00E05B59" w:rsidP="001C1D6E">
      <w:pPr>
        <w:pStyle w:val="Heading3"/>
      </w:pPr>
      <w:r w:rsidRPr="00785A38">
        <w:t>Factors influencing</w:t>
      </w:r>
      <w:r w:rsidR="00516C17" w:rsidRPr="00785A38">
        <w:t xml:space="preserve"> meth</w:t>
      </w:r>
      <w:r w:rsidRPr="00785A38">
        <w:t>ods used and final quota levels</w:t>
      </w:r>
      <w:r w:rsidR="00516C17" w:rsidRPr="00785A38">
        <w:t xml:space="preserve"> </w:t>
      </w:r>
    </w:p>
    <w:p w14:paraId="338ABC58" w14:textId="021F5D55" w:rsidR="00E05B59" w:rsidRPr="00694523" w:rsidRDefault="00516C17" w:rsidP="00C258BC">
      <w:pPr>
        <w:jc w:val="both"/>
        <w:rPr>
          <w:color w:val="000000" w:themeColor="text1"/>
        </w:rPr>
      </w:pPr>
      <w:r w:rsidRPr="00EC4C51">
        <w:rPr>
          <w:color w:val="000000" w:themeColor="text1"/>
          <w:u w:val="single"/>
        </w:rPr>
        <w:t>Habitat</w:t>
      </w:r>
      <w:r w:rsidR="00E05B59" w:rsidRPr="00EC4C51">
        <w:rPr>
          <w:color w:val="000000" w:themeColor="text1"/>
          <w:u w:val="single"/>
        </w:rPr>
        <w:t>:</w:t>
      </w:r>
      <w:r w:rsidR="00E05B59" w:rsidRPr="00694523">
        <w:rPr>
          <w:color w:val="000000" w:themeColor="text1"/>
        </w:rPr>
        <w:t xml:space="preserve"> </w:t>
      </w:r>
      <w:r w:rsidRPr="00694523">
        <w:rPr>
          <w:color w:val="000000" w:themeColor="text1"/>
        </w:rPr>
        <w:t xml:space="preserve">As can be seen from </w:t>
      </w:r>
      <w:r w:rsidR="00614744" w:rsidRPr="00694523">
        <w:rPr>
          <w:color w:val="000000" w:themeColor="text1"/>
        </w:rPr>
        <w:t xml:space="preserve">the </w:t>
      </w:r>
      <w:r w:rsidRPr="00694523">
        <w:rPr>
          <w:color w:val="000000" w:themeColor="text1"/>
        </w:rPr>
        <w:t xml:space="preserve">Namibia example, in open habitats, where there are adequate resources, yearly quotas can be set using population count data and full demographic models. However, in forest habitat </w:t>
      </w:r>
      <w:r w:rsidR="00242E8E" w:rsidRPr="00694523">
        <w:rPr>
          <w:color w:val="000000" w:themeColor="text1"/>
        </w:rPr>
        <w:t>it may be best to use</w:t>
      </w:r>
      <w:r w:rsidRPr="00694523">
        <w:rPr>
          <w:color w:val="000000" w:themeColor="text1"/>
        </w:rPr>
        <w:t xml:space="preserve"> simple indices of population </w:t>
      </w:r>
      <w:r w:rsidR="00D85930" w:rsidRPr="00694523">
        <w:rPr>
          <w:color w:val="000000" w:themeColor="text1"/>
        </w:rPr>
        <w:t>production or</w:t>
      </w:r>
      <w:r w:rsidRPr="00694523">
        <w:rPr>
          <w:color w:val="000000" w:themeColor="text1"/>
        </w:rPr>
        <w:t xml:space="preserve"> </w:t>
      </w:r>
      <w:r w:rsidR="00242E8E" w:rsidRPr="00694523">
        <w:rPr>
          <w:color w:val="000000" w:themeColor="text1"/>
        </w:rPr>
        <w:t xml:space="preserve">manage adaptively using </w:t>
      </w:r>
      <w:r w:rsidRPr="00694523">
        <w:rPr>
          <w:color w:val="000000" w:themeColor="text1"/>
        </w:rPr>
        <w:t xml:space="preserve">proxy indices such as </w:t>
      </w:r>
      <w:r w:rsidR="00DA4AEF">
        <w:rPr>
          <w:color w:val="000000" w:themeColor="text1"/>
        </w:rPr>
        <w:t>PBR</w:t>
      </w:r>
      <w:r w:rsidRPr="00694523">
        <w:rPr>
          <w:color w:val="000000" w:themeColor="text1"/>
        </w:rPr>
        <w:t>.</w:t>
      </w:r>
    </w:p>
    <w:p w14:paraId="65E64387" w14:textId="01B10945" w:rsidR="00E05B59" w:rsidRPr="00694523" w:rsidRDefault="00516C17" w:rsidP="00C258BC">
      <w:pPr>
        <w:jc w:val="both"/>
        <w:rPr>
          <w:color w:val="000000" w:themeColor="text1"/>
        </w:rPr>
      </w:pPr>
      <w:r w:rsidRPr="00EC4C51">
        <w:rPr>
          <w:color w:val="000000" w:themeColor="text1"/>
          <w:u w:val="single"/>
        </w:rPr>
        <w:lastRenderedPageBreak/>
        <w:t>Resources and capacity</w:t>
      </w:r>
      <w:r w:rsidR="00E05B59" w:rsidRPr="00EC4C51">
        <w:rPr>
          <w:color w:val="000000" w:themeColor="text1"/>
          <w:u w:val="single"/>
        </w:rPr>
        <w:t>:</w:t>
      </w:r>
      <w:r w:rsidR="00E05B59" w:rsidRPr="00694523">
        <w:rPr>
          <w:color w:val="000000" w:themeColor="text1"/>
        </w:rPr>
        <w:t xml:space="preserve"> </w:t>
      </w:r>
      <w:r w:rsidRPr="00694523">
        <w:rPr>
          <w:color w:val="000000" w:themeColor="text1"/>
        </w:rPr>
        <w:t>Aerial and ground population surveys, and the construction of full demographic models, often need high levels of fina</w:t>
      </w:r>
      <w:r w:rsidR="0070506D">
        <w:rPr>
          <w:color w:val="000000" w:themeColor="text1"/>
        </w:rPr>
        <w:t xml:space="preserve">ncing and technical expertise. </w:t>
      </w:r>
      <w:r w:rsidRPr="00694523">
        <w:rPr>
          <w:color w:val="000000" w:themeColor="text1"/>
        </w:rPr>
        <w:t xml:space="preserve">Proxy methods, such as </w:t>
      </w:r>
      <w:r w:rsidR="00DA4AEF">
        <w:rPr>
          <w:color w:val="000000" w:themeColor="text1"/>
        </w:rPr>
        <w:t>PBR</w:t>
      </w:r>
      <w:r w:rsidRPr="00694523">
        <w:rPr>
          <w:color w:val="000000" w:themeColor="text1"/>
        </w:rPr>
        <w:t>, while potentially less accurate, can be conducted quickly and easily by local communities without the need for specialist training or equipment.</w:t>
      </w:r>
    </w:p>
    <w:p w14:paraId="528D5ECC" w14:textId="77777777" w:rsidR="00E05B59" w:rsidRPr="00694523" w:rsidRDefault="00E05B59" w:rsidP="00C258BC">
      <w:pPr>
        <w:jc w:val="both"/>
        <w:rPr>
          <w:color w:val="000000" w:themeColor="text1"/>
        </w:rPr>
      </w:pPr>
      <w:r w:rsidRPr="00EC4C51">
        <w:rPr>
          <w:color w:val="000000" w:themeColor="text1"/>
          <w:u w:val="single"/>
        </w:rPr>
        <w:t>Non-hunting impacts:</w:t>
      </w:r>
      <w:r w:rsidRPr="00694523">
        <w:rPr>
          <w:color w:val="000000" w:themeColor="text1"/>
        </w:rPr>
        <w:t xml:space="preserve"> </w:t>
      </w:r>
      <w:r w:rsidR="00516C17" w:rsidRPr="00694523">
        <w:rPr>
          <w:color w:val="000000" w:themeColor="text1"/>
        </w:rPr>
        <w:t>Species populations can fluctuate due to disease, drought, habitat loss and many other factors aside from hunting pressure. These may need to be considered when setting hunting quotas.</w:t>
      </w:r>
    </w:p>
    <w:p w14:paraId="1A4C4E28" w14:textId="339A95A9" w:rsidR="00694523" w:rsidRPr="000D305C" w:rsidRDefault="00516C17" w:rsidP="00C258BC">
      <w:pPr>
        <w:jc w:val="both"/>
        <w:rPr>
          <w:color w:val="000000" w:themeColor="text1"/>
        </w:rPr>
      </w:pPr>
      <w:r w:rsidRPr="00EC4C51">
        <w:rPr>
          <w:color w:val="000000" w:themeColor="text1"/>
          <w:u w:val="single"/>
        </w:rPr>
        <w:t>Management aims</w:t>
      </w:r>
      <w:r w:rsidR="00E05B59" w:rsidRPr="00EC4C51">
        <w:rPr>
          <w:color w:val="000000" w:themeColor="text1"/>
          <w:u w:val="single"/>
        </w:rPr>
        <w:t>:</w:t>
      </w:r>
      <w:r w:rsidR="00E05B59" w:rsidRPr="00694523">
        <w:rPr>
          <w:color w:val="000000" w:themeColor="text1"/>
        </w:rPr>
        <w:t xml:space="preserve"> </w:t>
      </w:r>
      <w:r w:rsidR="00EC4C51">
        <w:rPr>
          <w:color w:val="000000" w:themeColor="text1"/>
        </w:rPr>
        <w:t xml:space="preserve">Offtake levels will </w:t>
      </w:r>
      <w:r w:rsidR="00EC4C51" w:rsidRPr="00694523">
        <w:rPr>
          <w:color w:val="000000" w:themeColor="text1"/>
        </w:rPr>
        <w:t xml:space="preserve">depend on the aims of management, and on both ecological and social needs. </w:t>
      </w:r>
      <w:r w:rsidR="00694523">
        <w:rPr>
          <w:color w:val="000000" w:themeColor="text1"/>
        </w:rPr>
        <w:t xml:space="preserve">Managers </w:t>
      </w:r>
      <w:r w:rsidR="00D85930">
        <w:rPr>
          <w:color w:val="000000" w:themeColor="text1"/>
        </w:rPr>
        <w:t>wishing</w:t>
      </w:r>
      <w:r w:rsidR="00694523">
        <w:rPr>
          <w:color w:val="000000" w:themeColor="text1"/>
        </w:rPr>
        <w:t xml:space="preserve"> to</w:t>
      </w:r>
      <w:r w:rsidR="00EC4C51">
        <w:rPr>
          <w:color w:val="000000" w:themeColor="text1"/>
        </w:rPr>
        <w:t xml:space="preserve"> manage sp</w:t>
      </w:r>
      <w:r w:rsidR="00694523">
        <w:rPr>
          <w:color w:val="000000" w:themeColor="text1"/>
        </w:rPr>
        <w:t>e</w:t>
      </w:r>
      <w:r w:rsidR="00EC4C51">
        <w:rPr>
          <w:color w:val="000000" w:themeColor="text1"/>
        </w:rPr>
        <w:t>c</w:t>
      </w:r>
      <w:r w:rsidR="00694523">
        <w:rPr>
          <w:color w:val="000000" w:themeColor="text1"/>
        </w:rPr>
        <w:t>i</w:t>
      </w:r>
      <w:r w:rsidR="00EC4C51">
        <w:rPr>
          <w:color w:val="000000" w:themeColor="text1"/>
        </w:rPr>
        <w:t>e</w:t>
      </w:r>
      <w:r w:rsidR="00694523">
        <w:rPr>
          <w:color w:val="000000" w:themeColor="text1"/>
        </w:rPr>
        <w:t xml:space="preserve">s populations </w:t>
      </w:r>
      <w:r w:rsidR="00D85930">
        <w:rPr>
          <w:color w:val="000000" w:themeColor="text1"/>
        </w:rPr>
        <w:t>primarily</w:t>
      </w:r>
      <w:r w:rsidR="00694523">
        <w:rPr>
          <w:color w:val="000000" w:themeColor="text1"/>
        </w:rPr>
        <w:t xml:space="preserve"> for conservation purposes may </w:t>
      </w:r>
      <w:r w:rsidR="00EC4C51">
        <w:rPr>
          <w:color w:val="000000" w:themeColor="text1"/>
        </w:rPr>
        <w:t>wish to</w:t>
      </w:r>
      <w:r w:rsidR="00694523">
        <w:rPr>
          <w:color w:val="000000" w:themeColor="text1"/>
        </w:rPr>
        <w:t xml:space="preserve"> keeping populations nearer to carrying capacity</w:t>
      </w:r>
      <w:r w:rsidR="00EC4C51">
        <w:rPr>
          <w:color w:val="000000" w:themeColor="text1"/>
        </w:rPr>
        <w:t>, lowering the chance of local extinction</w:t>
      </w:r>
      <w:r w:rsidR="00694523">
        <w:rPr>
          <w:color w:val="000000" w:themeColor="text1"/>
        </w:rPr>
        <w:t xml:space="preserve">. However, as species populations close to carrying capacity have low production rates, management </w:t>
      </w:r>
      <w:r w:rsidR="00EC4C51">
        <w:rPr>
          <w:color w:val="000000" w:themeColor="text1"/>
        </w:rPr>
        <w:t>to</w:t>
      </w:r>
      <w:r w:rsidR="00694523">
        <w:rPr>
          <w:color w:val="000000" w:themeColor="text1"/>
        </w:rPr>
        <w:t xml:space="preserve"> provide sustainable yearly offtakes for human </w:t>
      </w:r>
      <w:r w:rsidR="00694523" w:rsidRPr="000D305C">
        <w:rPr>
          <w:color w:val="000000" w:themeColor="text1"/>
        </w:rPr>
        <w:t>popu</w:t>
      </w:r>
      <w:r w:rsidR="00EC4C51" w:rsidRPr="000D305C">
        <w:rPr>
          <w:color w:val="000000" w:themeColor="text1"/>
        </w:rPr>
        <w:t>lations may want to set higher offtake levels</w:t>
      </w:r>
      <w:r w:rsidR="00DA4AEF">
        <w:rPr>
          <w:color w:val="000000" w:themeColor="text1"/>
        </w:rPr>
        <w:t>, and therefore accept that species will be found at lower population densities</w:t>
      </w:r>
      <w:r w:rsidR="00DA4AEF" w:rsidRPr="000D305C">
        <w:rPr>
          <w:color w:val="000000" w:themeColor="text1"/>
        </w:rPr>
        <w:t>.</w:t>
      </w:r>
    </w:p>
    <w:p w14:paraId="387F19FB" w14:textId="1400242C" w:rsidR="008804A7" w:rsidRPr="00710CCC" w:rsidRDefault="008804A7" w:rsidP="001C1D6E">
      <w:pPr>
        <w:pStyle w:val="Heading3"/>
      </w:pPr>
      <w:r w:rsidRPr="00710CCC">
        <w:t xml:space="preserve">An alternative to quotas: </w:t>
      </w:r>
      <w:r w:rsidR="000D305C">
        <w:t>Spatial management of hunting</w:t>
      </w:r>
    </w:p>
    <w:p w14:paraId="74D282B8" w14:textId="28731964" w:rsidR="009E5D4F" w:rsidRPr="00AB3E79" w:rsidRDefault="007A23B8" w:rsidP="00C258BC">
      <w:pPr>
        <w:jc w:val="both"/>
        <w:rPr>
          <w:lang w:val="en-US"/>
        </w:rPr>
      </w:pPr>
      <w:r w:rsidRPr="007A23B8">
        <w:rPr>
          <w:lang w:val="en-US"/>
        </w:rPr>
        <w:t>Spatial</w:t>
      </w:r>
      <w:r w:rsidR="009D56A0">
        <w:rPr>
          <w:lang w:val="en-US"/>
        </w:rPr>
        <w:t xml:space="preserve"> </w:t>
      </w:r>
      <w:r w:rsidRPr="007A23B8">
        <w:rPr>
          <w:lang w:val="en-US"/>
        </w:rPr>
        <w:t>management</w:t>
      </w:r>
      <w:r w:rsidR="009E5D4F">
        <w:rPr>
          <w:lang w:val="en-US"/>
        </w:rPr>
        <w:t xml:space="preserve"> describes a </w:t>
      </w:r>
      <w:r w:rsidR="009D56A0">
        <w:rPr>
          <w:lang w:val="en-US"/>
        </w:rPr>
        <w:t xml:space="preserve">hunting </w:t>
      </w:r>
      <w:r w:rsidR="009E5D4F">
        <w:rPr>
          <w:lang w:val="en-US"/>
        </w:rPr>
        <w:t>system whereby some areas are designated as no-take for hunting and/or hunted areas are rotated to allow for species recovery in hunted areas. This ca</w:t>
      </w:r>
      <w:r w:rsidR="000D305C">
        <w:rPr>
          <w:lang w:val="en-US"/>
        </w:rPr>
        <w:t xml:space="preserve">n then be combined with, </w:t>
      </w:r>
      <w:r w:rsidR="009E5D4F">
        <w:rPr>
          <w:lang w:val="en-US"/>
        </w:rPr>
        <w:t xml:space="preserve">for example, restrictions on hunting gear and species. It can also be used in </w:t>
      </w:r>
      <w:r w:rsidR="00D85930">
        <w:rPr>
          <w:lang w:val="en-US"/>
        </w:rPr>
        <w:t>conjunction</w:t>
      </w:r>
      <w:r w:rsidR="009E5D4F">
        <w:rPr>
          <w:lang w:val="en-US"/>
        </w:rPr>
        <w:t xml:space="preserve"> with </w:t>
      </w:r>
      <w:r w:rsidR="000D305C">
        <w:rPr>
          <w:lang w:val="en-US"/>
        </w:rPr>
        <w:t xml:space="preserve">quotas, to help ensure that, when using a quota system, natural fluctuations in species </w:t>
      </w:r>
      <w:r w:rsidR="000D305C" w:rsidRPr="00AB3E79">
        <w:rPr>
          <w:lang w:val="en-US"/>
        </w:rPr>
        <w:t>populations, or other unforeseen changes in prey mortality do not lead to prey population crashes</w:t>
      </w:r>
      <w:r w:rsidR="00AB3E79">
        <w:rPr>
          <w:lang w:val="en-US"/>
        </w:rPr>
        <w:t xml:space="preserve">. </w:t>
      </w:r>
    </w:p>
    <w:p w14:paraId="6C462AEF" w14:textId="0B5BFDF2" w:rsidR="00AB3E79" w:rsidRDefault="009E5D4F" w:rsidP="00C258BC">
      <w:pPr>
        <w:jc w:val="both"/>
        <w:rPr>
          <w:lang w:val="en-US"/>
        </w:rPr>
      </w:pPr>
      <w:r w:rsidRPr="00AB3E79">
        <w:rPr>
          <w:color w:val="000000" w:themeColor="text1"/>
          <w:lang w:val="en-US"/>
        </w:rPr>
        <w:t xml:space="preserve">No-take zones are a common tool in customary </w:t>
      </w:r>
      <w:r w:rsidR="00222270" w:rsidRPr="00AB3E79">
        <w:rPr>
          <w:color w:val="000000" w:themeColor="text1"/>
          <w:lang w:val="en-US"/>
        </w:rPr>
        <w:t xml:space="preserve">hunting </w:t>
      </w:r>
      <w:r w:rsidR="00D85930" w:rsidRPr="00AB3E79">
        <w:rPr>
          <w:color w:val="000000" w:themeColor="text1"/>
          <w:lang w:val="en-US"/>
        </w:rPr>
        <w:t>systems and</w:t>
      </w:r>
      <w:r w:rsidRPr="00AB3E79">
        <w:rPr>
          <w:color w:val="000000" w:themeColor="text1"/>
          <w:lang w:val="en-US"/>
        </w:rPr>
        <w:t xml:space="preserve"> </w:t>
      </w:r>
      <w:r>
        <w:rPr>
          <w:lang w:val="en-US"/>
        </w:rPr>
        <w:t>are</w:t>
      </w:r>
      <w:r w:rsidRPr="007A23B8">
        <w:rPr>
          <w:lang w:val="en-US"/>
        </w:rPr>
        <w:t xml:space="preserve"> </w:t>
      </w:r>
      <w:r w:rsidR="001F0083">
        <w:rPr>
          <w:lang w:val="en-US"/>
        </w:rPr>
        <w:t xml:space="preserve">already a </w:t>
      </w:r>
      <w:r w:rsidR="00D85930">
        <w:rPr>
          <w:lang w:val="en-US"/>
        </w:rPr>
        <w:t>formalized small</w:t>
      </w:r>
      <w:r w:rsidR="001F0083">
        <w:rPr>
          <w:lang w:val="en-US"/>
        </w:rPr>
        <w:t xml:space="preserve">-scale fisheries tool </w:t>
      </w:r>
      <w:r w:rsidR="00DB6F1E">
        <w:rPr>
          <w:lang w:val="en-US"/>
        </w:rPr>
        <w:fldChar w:fldCharType="begin" w:fldLock="1"/>
      </w:r>
      <w:r w:rsidR="00DB6F1E">
        <w:rPr>
          <w:lang w:val="en-US"/>
        </w:rPr>
        <w:instrText>ADDIN CSL_CITATION {"citationItems":[{"id":"ITEM-1","itemData":{"DOI":"10.1038/srep38135","author":[{"dropping-particle":"","family":"Franco","given":"Antonio","non-dropping-particle":"Di","parse-names":false,"suffix":""},{"dropping-particle":"","family":"Thiriet","given":"Pierre","non-dropping-particle":"","parse-names":false,"suffix":""},{"dropping-particle":"Di","family":"Carlo","given":"Giuseppe","non-dropping-particle":"","parse-names":false,"suffix":""},{"dropping-particle":"","family":"Dimitriadis","given":"Charalampos","non-dropping-particle":"","parse-names":false,"suffix":""},{"dropping-particle":"","family":"Francour","given":"Patrice","non-dropping-particle":"","parse-names":false,"suffix":""},{"dropping-particle":"","family":"Gutiérrez","given":"Nicolas L","non-dropping-particle":"","parse-names":false,"suffix":""},{"dropping-particle":"De","family":"Grissac","given":"Alain Jeudy","non-dropping-particle":"","parse-names":false,"suffix":""},{"dropping-particle":"","family":"Koutsoubas","given":"Drosos","non-dropping-particle":"","parse-names":false,"suffix":""},{"dropping-particle":"","family":"Milazzo","given":"Marco","non-dropping-particle":"","parse-names":false,"suffix":""},{"dropping-particle":"","family":"Otero","given":"Mar","non-dropping-particle":"","parse-names":false,"suffix":""},{"dropping-particle":"","family":"Piante","given":"Catherine","non-dropping-particle":"","parse-names":false,"suffix":""},{"dropping-particle":"","family":"Plass-johnson","given":"Jeremiah","non-dropping-particle":"","parse-names":false,"suffix":""}],"container-title":"Nature","id":"ITEM-1","issued":{"date-parts":[["2016"]]},"page":"38135","publisher":"Nature Publishing Group","title":"Five key attributes can increase marine protected areas performance for small-scale fisheries management","type":"article-journal","volume":"6"},"uris":["http://www.mendeley.com/documents/?uuid=addb5007-b05a-4205-acdb-0e87d60e74b4"]}],"mendeley":{"formattedCitation":"(Di Franco et al. 2016)","plainTextFormattedCitation":"(Di Franco et al. 2016)","previouslyFormattedCitation":"(Di Franco et al. 2016)"},"properties":{"noteIndex":0},"schema":"https://github.com/citation-style-language/schema/raw/master/csl-citation.json"}</w:instrText>
      </w:r>
      <w:r w:rsidR="00DB6F1E">
        <w:rPr>
          <w:lang w:val="en-US"/>
        </w:rPr>
        <w:fldChar w:fldCharType="separate"/>
      </w:r>
      <w:r w:rsidR="00DB6F1E" w:rsidRPr="00DB6F1E">
        <w:rPr>
          <w:noProof/>
          <w:lang w:val="en-US"/>
        </w:rPr>
        <w:t>(Di Franco et al. 2016)</w:t>
      </w:r>
      <w:r w:rsidR="00DB6F1E">
        <w:rPr>
          <w:lang w:val="en-US"/>
        </w:rPr>
        <w:fldChar w:fldCharType="end"/>
      </w:r>
      <w:r>
        <w:rPr>
          <w:lang w:val="en-US"/>
        </w:rPr>
        <w:t>.</w:t>
      </w:r>
      <w:r w:rsidR="001F0083">
        <w:rPr>
          <w:lang w:val="en-US"/>
        </w:rPr>
        <w:t xml:space="preserve"> Advocates of using spatial management for hunting hope that the use of no-take zones as </w:t>
      </w:r>
      <w:r w:rsidR="005133B6">
        <w:rPr>
          <w:lang w:val="en-US"/>
        </w:rPr>
        <w:t xml:space="preserve">a tool for sustainable hunting, </w:t>
      </w:r>
      <w:r w:rsidR="001F0083">
        <w:rPr>
          <w:lang w:val="en-US"/>
        </w:rPr>
        <w:t>rather t</w:t>
      </w:r>
      <w:r w:rsidR="005133B6">
        <w:rPr>
          <w:lang w:val="en-US"/>
        </w:rPr>
        <w:t xml:space="preserve">han just for species protection, </w:t>
      </w:r>
      <w:r>
        <w:rPr>
          <w:lang w:val="en-US"/>
        </w:rPr>
        <w:t xml:space="preserve">will help formalise the source-sink dynamics that are already sustaining hunting offtakes in many areas </w:t>
      </w:r>
      <w:r w:rsidR="00DB6F1E">
        <w:rPr>
          <w:lang w:val="en-US"/>
        </w:rPr>
        <w:fldChar w:fldCharType="begin" w:fldLock="1"/>
      </w:r>
      <w:r w:rsidR="00DB6F1E">
        <w:rPr>
          <w:lang w:val="en-US"/>
        </w:rPr>
        <w:instrText>ADDIN CSL_CITATION {"citationItems":[{"id":"ITEM-1","itemData":{"DOI":"10.1111/j.1755-263X.2011.00173.x","ISBN":"1755263X","ISSN":"1755263X","abstract":"Unsustainable hunting in tropical forests threatens biodiversity and rural livelihoods, yet managing these harvests in remote forests with low scientific capacity and funding is challenging. In response, some conservationists propose managing harvests through spatial management, a system of establishing no-take zones where hunting is not allowed. Spatial management was commonly used in customary management and is increasingly used for fisheries management today, but is not yet widely implemented in tropical forests. Through this review, we trace the development of spatial management and examine its proposed benefits in tropical forests. We find that while spatial management offers promise for managing the complex, multispecies harvests common in tropical forests, designing no-take zones will require more investment in ecological research and monitoring. Given these challenges, a reasonable first goal of no-take zones is to protect resident wildlife populations, not enhance harvests through dispersal. A greater understanding of socioeconomic impacts will also be required to ensure successful implementation. Past work in marine fisheries offers valuable insights for management in tropical forests, and greater integration between the bodies of literature should be pursued.","author":[{"dropping-particle":"","family":"Mockrin","given":"Miranda H.","non-dropping-particle":"","parse-names":false,"suffix":""},{"dropping-particle":"","family":"Redford","given":"Kent H.","non-dropping-particle":"","parse-names":false,"suffix":""}],"container-title":"Conservation Letters","id":"ITEM-1","issue":"4","issued":{"date-parts":[["2011"]]},"page":"255-263","title":"Potential for spatial management of hunted mammal populations in tropical forests","type":"article-journal","volume":"4"},"uris":["http://www.mendeley.com/documents/?uuid=2ccfe524-8529-4d73-9fe0-8bd8b8bcc158"]}],"mendeley":{"formattedCitation":"(Mockrin &amp; Redford 2011)","plainTextFormattedCitation":"(Mockrin &amp; Redford 2011)","previouslyFormattedCitation":"(Mockrin &amp; Redford 2011)"},"properties":{"noteIndex":0},"schema":"https://github.com/citation-style-language/schema/raw/master/csl-citation.json"}</w:instrText>
      </w:r>
      <w:r w:rsidR="00DB6F1E">
        <w:rPr>
          <w:lang w:val="en-US"/>
        </w:rPr>
        <w:fldChar w:fldCharType="separate"/>
      </w:r>
      <w:r w:rsidR="00DB6F1E" w:rsidRPr="00DB6F1E">
        <w:rPr>
          <w:noProof/>
          <w:lang w:val="en-US"/>
        </w:rPr>
        <w:t>(Mockrin &amp; Redford 2011)</w:t>
      </w:r>
      <w:r w:rsidR="00DB6F1E">
        <w:rPr>
          <w:lang w:val="en-US"/>
        </w:rPr>
        <w:fldChar w:fldCharType="end"/>
      </w:r>
      <w:r>
        <w:rPr>
          <w:lang w:val="en-US"/>
        </w:rPr>
        <w:t xml:space="preserve">. </w:t>
      </w:r>
      <w:r w:rsidR="00AB3E79">
        <w:rPr>
          <w:lang w:val="en-US"/>
        </w:rPr>
        <w:t xml:space="preserve">Source-sink dynamics describe a situation in which one population of animals (in this case the hunted population) is depleted and declining, and, if completely isolated, would go exinct. However, if it is next to a source population (in this case a no-take zone) which is unhunted and at or close to carrying capacity, then the animals dispersing from the source population to the sink population (sometimes termed as spillover) keep the sink population viable </w:t>
      </w:r>
      <w:r w:rsidR="0070506D">
        <w:rPr>
          <w:lang w:val="en-US"/>
        </w:rPr>
        <w:fldChar w:fldCharType="begin" w:fldLock="1"/>
      </w:r>
      <w:r w:rsidR="006D09AD">
        <w:rPr>
          <w:lang w:val="en-US"/>
        </w:rPr>
        <w:instrText>ADDIN CSL_CITATION {"citationItems":[{"id":"ITEM-1","itemData":{"DOI":"10.1046/j.1523-1739.2000.98452.x","ISBN":"1523-1739","ISSN":"08888892","PMID":"16449540","abstract":"Abstract: Previous studies of the sustainability of wildlife hunting in the Neotropics have not considered the potential dispersal of animals into hunted areas. A literature review of studies of subsistence hunting in the Neotropics suggests that hunting is often conducted in areas adjacent to relatively undisturbed habitat that may act as sources of animals for the hunted sites. We compared studies of tapir ( Tapirus terrestris) hunting at different sites to illustrate the potential bias of sustainability evaluations based on local productivity. The limited information available suggests that dispersal could have a key role in rebuilding animal populations depleted by hunting. Thus, factors that strongly affect dispersal—such as spatial distribution and size of areas with and without hunting, population size in source areas, and social behavior—should be considered when the sustainability of hunting is evaluated in areas with heterogeneous hunting pressure. We suggest the application of two models that use spatial controls (recognizing the potential source-sink nature of some hunted systems and protecting unhunted refugia) to avoid wildlife overexploitation when biological data and enforcement capabilities to regulate harvests are limited. This approach may produce more reliable evaluations of sustainability, provide information on the dynamics of hunting systems, and help local communities and policymakers conserve key areas (including protected areas) that may act as game sources. Resumen: Las evaluaciones previas de sustentabilidad de la cacería de fauna en el neotrópico no han considerado la dispersión potencial de animales hacia las áreas de caza. Una revisión bibliográfica de estudios de caza de subsistencia sugiere que ésta se efectúa frecuentemente en áreas adyacentes a hábitats poco perturbados, las que podrían ser fuentes de animales para los sitios con caza. Comparamos estudios sobre caza de tapires ( Tapirus terrestris) en diferentes sitios, para ilustrar el sesgo potencial de las evaluaciones de sustentabilidad basadas en la producción animal local. La escasa información disponible sugiere que la dispersión tiene un papel crucial en la recuperación de poblaciones de animales con abundancia reducida por la caza. Por lo tanto, se deberían considerar los factores que influyen fuertemente en la dispersión (estructura espacial y tamaño de áreas con y sin caza, tamaño poblacional en áreas fuente y comportamiento social) al evaluar la sustentabil…","author":[{"dropping-particle":"","family":"Novaro","given":"Andres J.","non-dropping-particle":"","parse-names":false,"suffix":""},{"dropping-particle":"","family":"Redford","given":"Kent H.","non-dropping-particle":"","parse-names":false,"suffix":""},{"dropping-particle":"","family":"Bodmer","given":"Richard E.","non-dropping-particle":"","parse-names":false,"suffix":""}],"container-title":"Conservation Biology","id":"ITEM-1","issue":"3","issued":{"date-parts":[["2000"]]},"page":"713-721","title":"Effect of hunting in source-sink systems in the Neotropics","type":"article-journal","volume":"14"},"uris":["http://www.mendeley.com/documents/?uuid=7816de1e-d80e-45d2-b68a-a2efd7c8f1f1"]}],"mendeley":{"formattedCitation":"(Novaro et al. 2000)","plainTextFormattedCitation":"(Novaro et al. 2000)","previouslyFormattedCitation":"(Novaro et al. 2000)"},"properties":{"noteIndex":0},"schema":"https://github.com/citation-style-language/schema/raw/master/csl-citation.json"}</w:instrText>
      </w:r>
      <w:r w:rsidR="0070506D">
        <w:rPr>
          <w:lang w:val="en-US"/>
        </w:rPr>
        <w:fldChar w:fldCharType="separate"/>
      </w:r>
      <w:r w:rsidR="0070506D" w:rsidRPr="0070506D">
        <w:rPr>
          <w:noProof/>
          <w:lang w:val="en-US"/>
        </w:rPr>
        <w:t>(Novaro et al. 2000)</w:t>
      </w:r>
      <w:r w:rsidR="0070506D">
        <w:rPr>
          <w:lang w:val="en-US"/>
        </w:rPr>
        <w:fldChar w:fldCharType="end"/>
      </w:r>
    </w:p>
    <w:p w14:paraId="28704708" w14:textId="0FCCCD28" w:rsidR="0091159A" w:rsidRDefault="009E5D4F" w:rsidP="00C258BC">
      <w:pPr>
        <w:jc w:val="both"/>
      </w:pPr>
      <w:r>
        <w:rPr>
          <w:lang w:val="en-US"/>
        </w:rPr>
        <w:t xml:space="preserve">No-take zones, and the rotation of hunting zones, have a number of benefits over quota-systems (adapted from </w:t>
      </w:r>
      <w:r w:rsidR="00DB6F1E">
        <w:rPr>
          <w:lang w:val="en-US"/>
        </w:rPr>
        <w:fldChar w:fldCharType="begin" w:fldLock="1"/>
      </w:r>
      <w:r w:rsidR="00DB6F1E">
        <w:rPr>
          <w:lang w:val="en-US"/>
        </w:rPr>
        <w:instrText>ADDIN CSL_CITATION {"citationItems":[{"id":"ITEM-1","itemData":{"DOI":"10.1111/j.1755-263X.2011.00173.x","ISBN":"1755263X","ISSN":"1755263X","abstract":"Unsustainable hunting in tropical forests threatens biodiversity and rural livelihoods, yet managing these harvests in remote forests with low scientific capacity and funding is challenging. In response, some conservationists propose managing harvests through spatial management, a system of establishing no-take zones where hunting is not allowed. Spatial management was commonly used in customary management and is increasingly used for fisheries management today, but is not yet widely implemented in tropical forests. Through this review, we trace the development of spatial management and examine its proposed benefits in tropical forests. We find that while spatial management offers promise for managing the complex, multispecies harvests common in tropical forests, designing no-take zones will require more investment in ecological research and monitoring. Given these challenges, a reasonable first goal of no-take zones is to protect resident wildlife populations, not enhance harvests through dispersal. A greater understanding of socioeconomic impacts will also be required to ensure successful implementation. Past work in marine fisheries offers valuable insights for management in tropical forests, and greater integration between the bodies of literature should be pursued.","author":[{"dropping-particle":"","family":"Mockrin","given":"Miranda H.","non-dropping-particle":"","parse-names":false,"suffix":""},{"dropping-particle":"","family":"Redford","given":"Kent H.","non-dropping-particle":"","parse-names":false,"suffix":""}],"container-title":"Conservation Letters","id":"ITEM-1","issue":"4","issued":{"date-parts":[["2011"]]},"page":"255-263","title":"Potential for spatial management of hunted mammal populations in tropical forests","type":"article-journal","volume":"4"},"uris":["http://www.mendeley.com/documents/?uuid=2ccfe524-8529-4d73-9fe0-8bd8b8bcc158"]}],"mendeley":{"formattedCitation":"(Mockrin &amp; Redford 2011)","manualFormatting":"Mockrin &amp; Redford (2011)","plainTextFormattedCitation":"(Mockrin &amp; Redford 2011)","previouslyFormattedCitation":"(Mockrin &amp; Redford 2011)"},"properties":{"noteIndex":0},"schema":"https://github.com/citation-style-language/schema/raw/master/csl-citation.json"}</w:instrText>
      </w:r>
      <w:r w:rsidR="00DB6F1E">
        <w:rPr>
          <w:lang w:val="en-US"/>
        </w:rPr>
        <w:fldChar w:fldCharType="separate"/>
      </w:r>
      <w:r w:rsidR="00DB6F1E" w:rsidRPr="00DB6F1E">
        <w:rPr>
          <w:noProof/>
          <w:lang w:val="en-US"/>
        </w:rPr>
        <w:t xml:space="preserve">Mockrin &amp; Redford </w:t>
      </w:r>
      <w:r w:rsidR="00DB6F1E">
        <w:rPr>
          <w:noProof/>
          <w:lang w:val="en-US"/>
        </w:rPr>
        <w:t>(</w:t>
      </w:r>
      <w:r w:rsidR="00DB6F1E" w:rsidRPr="00DB6F1E">
        <w:rPr>
          <w:noProof/>
          <w:lang w:val="en-US"/>
        </w:rPr>
        <w:t>2011)</w:t>
      </w:r>
      <w:r w:rsidR="00DB6F1E">
        <w:rPr>
          <w:lang w:val="en-US"/>
        </w:rPr>
        <w:fldChar w:fldCharType="end"/>
      </w:r>
      <w:r w:rsidR="00DB6F1E">
        <w:rPr>
          <w:lang w:val="en-US"/>
        </w:rPr>
        <w:t>:</w:t>
      </w:r>
    </w:p>
    <w:p w14:paraId="1811F344" w14:textId="07C9EE16" w:rsidR="009E5D4F" w:rsidRDefault="009E5D4F" w:rsidP="00C258BC">
      <w:pPr>
        <w:pStyle w:val="ListParagraph"/>
        <w:numPr>
          <w:ilvl w:val="0"/>
          <w:numId w:val="25"/>
        </w:numPr>
        <w:jc w:val="both"/>
      </w:pPr>
      <w:r>
        <w:rPr>
          <w:lang w:val="en-US"/>
        </w:rPr>
        <w:t>P</w:t>
      </w:r>
      <w:r w:rsidRPr="00710CCC">
        <w:rPr>
          <w:lang w:val="en-US"/>
        </w:rPr>
        <w:t>ro</w:t>
      </w:r>
      <w:r w:rsidR="007A23B8" w:rsidRPr="00710CCC">
        <w:rPr>
          <w:lang w:val="en-US"/>
        </w:rPr>
        <w:t>tect</w:t>
      </w:r>
      <w:r>
        <w:rPr>
          <w:lang w:val="en-US"/>
        </w:rPr>
        <w:t>ion</w:t>
      </w:r>
      <w:r w:rsidR="007A23B8" w:rsidRPr="00710CCC">
        <w:rPr>
          <w:lang w:val="en-US"/>
        </w:rPr>
        <w:t xml:space="preserve"> against overharvest</w:t>
      </w:r>
      <w:r>
        <w:rPr>
          <w:lang w:val="en-US"/>
        </w:rPr>
        <w:t>ing</w:t>
      </w:r>
      <w:r w:rsidR="007A23B8" w:rsidRPr="00710CCC">
        <w:rPr>
          <w:lang w:val="en-US"/>
        </w:rPr>
        <w:t xml:space="preserve"> by </w:t>
      </w:r>
      <w:r w:rsidR="0091159A" w:rsidRPr="00710CCC">
        <w:rPr>
          <w:lang w:val="en-US"/>
        </w:rPr>
        <w:t xml:space="preserve">isolating a proportion of the </w:t>
      </w:r>
      <w:r w:rsidR="007A23B8" w:rsidRPr="00710CCC">
        <w:rPr>
          <w:lang w:val="en-US"/>
        </w:rPr>
        <w:t xml:space="preserve">population from harvesting </w:t>
      </w:r>
      <w:r w:rsidR="00DB6F1E">
        <w:rPr>
          <w:lang w:val="en-US"/>
        </w:rPr>
        <w:fldChar w:fldCharType="begin" w:fldLock="1"/>
      </w:r>
      <w:r w:rsidR="00B2630D">
        <w:rPr>
          <w:lang w:val="en-US"/>
        </w:rPr>
        <w:instrText>ADDIN CSL_CITATION {"citationItems":[{"id":"ITEM-1","itemData":{"author":[{"dropping-particle":"","family":"McCullough","given":"D R","non-dropping-particle":"","parse-names":false,"suffix":""}],"container-title":"Journal of Wildlife Management","id":"ITEM-1","issue":"1","issued":{"date-parts":[["1996"]]},"page":"1-9","title":"Spatially structured populations and harvest theory","type":"article-journal","volume":"60"},"uris":["http://www.mendeley.com/documents/?uuid=5ae98596-f417-4b3b-9cf4-d0c8c69e76ca"]},{"id":"ITEM-2","itemData":{"DOI":"10.1016/S0169-5347(03)00189-7","ISBN":"0169-5347","ISSN":"01695347","PMID":"551","abstract":"Marine reserves are areas of the sea where fishing is not allowed. They provide refuges where populations of exploited species can recover and habitats modified by fishing can regenerate. In some places, closed areas have been used for fisheries management for centuries [1] and, until recently, natural refugia also existed, inaccessible through depth, distance or adverse conditions. Developments in technology have left few areas of fishing interest beyond our reach. Recently, the idea of marine reserves as fisheries management tools has re-emerged with developing interest in ecosystem-based management, and observations of incidental fisheries benefits from reserves established for conservation. In light of new evidence, we argue that, by integrating large-scale networks of marine reserves into fishery management, we could reverse global fishery declines and provide urgently needed protection for marine species and their habitats.","author":[{"dropping-particle":"","family":"Gell","given":"Fiona R.","non-dropping-particle":"","parse-names":false,"suffix":""},{"dropping-particle":"","family":"Roberts","given":"Callum M.","non-dropping-particle":"","parse-names":false,"suffix":""}],"container-title":"Trends in Ecology and Evolution","id":"ITEM-2","issue":"9","issued":{"date-parts":[["2003"]]},"page":"448-455","title":"Benefits beyond boundaries: the fishery effects of marine reserves","type":"article-journal","volume":"18"},"uris":["http://www.mendeley.com/documents/?uuid=781cb30d-d811-4516-8637-452d4f1128ad"]}],"mendeley":{"formattedCitation":"(McCullough 1996; Gell &amp; Roberts 2003)","plainTextFormattedCitation":"(McCullough 1996; Gell &amp; Roberts 2003)","previouslyFormattedCitation":"(McCullough 1996; Gell &amp; Roberts 2003)"},"properties":{"noteIndex":0},"schema":"https://github.com/citation-style-language/schema/raw/master/csl-citation.json"}</w:instrText>
      </w:r>
      <w:r w:rsidR="00DB6F1E">
        <w:rPr>
          <w:lang w:val="en-US"/>
        </w:rPr>
        <w:fldChar w:fldCharType="separate"/>
      </w:r>
      <w:r w:rsidR="00DB6F1E" w:rsidRPr="00DB6F1E">
        <w:rPr>
          <w:noProof/>
          <w:lang w:val="en-US"/>
        </w:rPr>
        <w:t>(McCullough 1996; Gell &amp; Roberts 2003)</w:t>
      </w:r>
      <w:r w:rsidR="00DB6F1E">
        <w:rPr>
          <w:lang w:val="en-US"/>
        </w:rPr>
        <w:fldChar w:fldCharType="end"/>
      </w:r>
      <w:r w:rsidR="007A23B8" w:rsidRPr="00710CCC">
        <w:rPr>
          <w:lang w:val="en-US"/>
        </w:rPr>
        <w:t xml:space="preserve">. </w:t>
      </w:r>
    </w:p>
    <w:p w14:paraId="4345CE1B" w14:textId="33B74380" w:rsidR="009E5D4F" w:rsidRDefault="009E5D4F" w:rsidP="00C258BC">
      <w:pPr>
        <w:pStyle w:val="ListParagraph"/>
        <w:numPr>
          <w:ilvl w:val="0"/>
          <w:numId w:val="25"/>
        </w:numPr>
        <w:jc w:val="both"/>
      </w:pPr>
      <w:r>
        <w:rPr>
          <w:lang w:val="en-US"/>
        </w:rPr>
        <w:t>C</w:t>
      </w:r>
      <w:r w:rsidRPr="00710CCC">
        <w:rPr>
          <w:lang w:val="en-US"/>
        </w:rPr>
        <w:t>ontribut</w:t>
      </w:r>
      <w:r>
        <w:rPr>
          <w:lang w:val="en-US"/>
        </w:rPr>
        <w:t>ion</w:t>
      </w:r>
      <w:r w:rsidR="007A23B8" w:rsidRPr="00710CCC">
        <w:rPr>
          <w:lang w:val="en-US"/>
        </w:rPr>
        <w:t xml:space="preserve"> to offtake by providing dispersing animals from no-take zones to surrounding hunted areas </w:t>
      </w:r>
      <w:r w:rsidR="00DB6F1E">
        <w:rPr>
          <w:lang w:val="en-US"/>
        </w:rPr>
        <w:fldChar w:fldCharType="begin" w:fldLock="1"/>
      </w:r>
      <w:r w:rsidR="00B2630D">
        <w:rPr>
          <w:lang w:val="en-US"/>
        </w:rPr>
        <w:instrText>ADDIN CSL_CITATION {"citationItems":[{"id":"ITEM-1","itemData":{"author":[{"dropping-particle":"","family":"McCullough","given":"D R","non-dropping-particle":"","parse-names":false,"suffix":""}],"container-title":"Journal of Wildlife Management","id":"ITEM-1","issue":"1","issued":{"date-parts":[["1996"]]},"page":"1-9","title":"Spatially structured populations and harvest theory","type":"article-journal","volume":"60"},"uris":["http://www.mendeley.com/documents/?uuid=5ae98596-f417-4b3b-9cf4-d0c8c69e76ca"]},{"id":"ITEM-2","itemData":{"DOI":"10.1046/j.1523-1739.2000.98452.x","ISBN":"1523-1739","ISSN":"08888892","PMID":"16449540","abstract":"Abstract: Previous studies of the sustainability of wildlife hunting in the Neotropics have not considered the potential dispersal of animals into hunted areas. A literature review of studies of subsistence hunting in the Neotropics suggests that hunting is often conducted in areas adjacent to relatively undisturbed habitat that may act as sources of animals for the hunted sites. We compared studies of tapir ( Tapirus terrestris) hunting at different sites to illustrate the potential bias of sustainability evaluations based on local productivity. The limited information available suggests that dispersal could have a key role in rebuilding animal populations depleted by hunting. Thus, factors that strongly affect dispersal—such as spatial distribution and size of areas with and without hunting, population size in source areas, and social behavior—should be considered when the sustainability of hunting is evaluated in areas with heterogeneous hunting pressure. We suggest the application of two models that use spatial controls (recognizing the potential source-sink nature of some hunted systems and protecting unhunted refugia) to avoid wildlife overexploitation when biological data and enforcement capabilities to regulate harvests are limited. This approach may produce more reliable evaluations of sustainability, provide information on the dynamics of hunting systems, and help local communities and policymakers conserve key areas (including protected areas) that may act as game sources. Resumen: Las evaluaciones previas de sustentabilidad de la cacería de fauna en el neotrópico no han considerado la dispersión potencial de animales hacia las áreas de caza. Una revisión bibliográfica de estudios de caza de subsistencia sugiere que ésta se efectúa frecuentemente en áreas adyacentes a hábitats poco perturbados, las que podrían ser fuentes de animales para los sitios con caza. Comparamos estudios sobre caza de tapires ( Tapirus terrestris) en diferentes sitios, para ilustrar el sesgo potencial de las evaluaciones de sustentabilidad basadas en la producción animal local. La escasa información disponible sugiere que la dispersión tiene un papel crucial en la recuperación de poblaciones de animales con abundancia reducida por la caza. Por lo tanto, se deberían considerar los factores que influyen fuertemente en la dispersión (estructura espacial y tamaño de áreas con y sin caza, tamaño poblacional en áreas fuente y comportamiento social) al evaluar la sustentabil…","author":[{"dropping-particle":"","family":"Novaro","given":"Andres J.","non-dropping-particle":"","parse-names":false,"suffix":""},{"dropping-particle":"","family":"Redford","given":"Kent H.","non-dropping-particle":"","parse-names":false,"suffix":""},{"dropping-particle":"","family":"Bodmer","given":"Richard E.","non-dropping-particle":"","parse-names":false,"suffix":""}],"container-title":"Conservation Biology","id":"ITEM-2","issue":"3","issued":{"date-parts":[["2000"]]},"page":"713-721","title":"Effect of hunting in source-sink systems in the Neotropics","type":"article-journal","volume":"14"},"uris":["http://www.mendeley.com/documents/?uuid=7816de1e-d80e-45d2-b68a-a2efd7c8f1f1"]}],"mendeley":{"formattedCitation":"(McCullough 1996; Novaro et al. 2000)","plainTextFormattedCitation":"(McCullough 1996; Novaro et al. 2000)","previouslyFormattedCitation":"(McCullough 1996; Novaro et al. 2000)"},"properties":{"noteIndex":0},"schema":"https://github.com/citation-style-language/schema/raw/master/csl-citation.json"}</w:instrText>
      </w:r>
      <w:r w:rsidR="00DB6F1E">
        <w:rPr>
          <w:lang w:val="en-US"/>
        </w:rPr>
        <w:fldChar w:fldCharType="separate"/>
      </w:r>
      <w:r w:rsidR="00DB6F1E" w:rsidRPr="00DB6F1E">
        <w:rPr>
          <w:noProof/>
          <w:lang w:val="en-US"/>
        </w:rPr>
        <w:t>(McCullough 1996; Novaro et al. 2000)</w:t>
      </w:r>
      <w:r w:rsidR="00DB6F1E">
        <w:rPr>
          <w:lang w:val="en-US"/>
        </w:rPr>
        <w:fldChar w:fldCharType="end"/>
      </w:r>
      <w:r w:rsidR="007A23B8" w:rsidRPr="00710CCC">
        <w:rPr>
          <w:lang w:val="en-US"/>
        </w:rPr>
        <w:t xml:space="preserve">. </w:t>
      </w:r>
    </w:p>
    <w:p w14:paraId="0844A362" w14:textId="4ACDB7D9" w:rsidR="007A23B8" w:rsidRPr="00DA4AEF" w:rsidRDefault="009E5D4F" w:rsidP="00C258BC">
      <w:pPr>
        <w:pStyle w:val="ListParagraph"/>
        <w:numPr>
          <w:ilvl w:val="0"/>
          <w:numId w:val="25"/>
        </w:numPr>
        <w:jc w:val="both"/>
      </w:pPr>
      <w:r>
        <w:rPr>
          <w:lang w:val="en-US"/>
        </w:rPr>
        <w:t>E</w:t>
      </w:r>
      <w:r w:rsidRPr="00710CCC">
        <w:rPr>
          <w:lang w:val="en-US"/>
        </w:rPr>
        <w:t>asier to implement and enforce for the multi</w:t>
      </w:r>
      <w:r w:rsidR="007A23B8" w:rsidRPr="00710CCC">
        <w:rPr>
          <w:lang w:val="en-US"/>
        </w:rPr>
        <w:t xml:space="preserve">species harvests and complicated social and institutional settings typical of tropical forests </w:t>
      </w:r>
      <w:r w:rsidR="00DB6F1E">
        <w:rPr>
          <w:lang w:val="en-US"/>
        </w:rPr>
        <w:fldChar w:fldCharType="begin" w:fldLock="1"/>
      </w:r>
      <w:r w:rsidR="00B2630D">
        <w:rPr>
          <w:lang w:val="en-US"/>
        </w:rPr>
        <w:instrText>ADDIN CSL_CITATION {"citationItems":[{"id":"ITEM-1","itemData":{"DOI":"10.1016/S0169-5347(03)00123-X","ISSN":"01695347","author":[{"dropping-particle":"","family":"Milner-Gulland","given":"E.J.","non-dropping-particle":"","parse-names":false,"suffix":""},{"dropping-particle":"","family":"Bennett","given":"Elizabeth L.","non-dropping-particle":"","parse-names":false,"suffix":""},{"dropping-particle":"","family":"&amp; the SCB 2002 Annual Meeting Wild Meat Group","given":"","non-dropping-particle":"","parse-names":false,"suffix":""}],"container-title":"TRENDS in Ecology &amp; Evolution","id":"ITEM-1","issue":"7","issued":{"date-parts":[["2003","7"]]},"page":"351-357","title":"Wild meat: the bigger picture","type":"article-journal","volume":"18"},"uris":["http://www.mendeley.com/documents/?uuid=c6f656d6-0e6d-46f0-a86d-7f1b9eafbfd0"]}],"mendeley":{"formattedCitation":"(Milner-Gulland et al. 2003)","plainTextFormattedCitation":"(Milner-Gulland et al. 2003)","previouslyFormattedCitation":"(Milner-Gulland et al. 2003)"},"properties":{"noteIndex":0},"schema":"https://github.com/citation-style-language/schema/raw/master/csl-citation.json"}</w:instrText>
      </w:r>
      <w:r w:rsidR="00DB6F1E">
        <w:rPr>
          <w:lang w:val="en-US"/>
        </w:rPr>
        <w:fldChar w:fldCharType="separate"/>
      </w:r>
      <w:r w:rsidR="00DB6F1E" w:rsidRPr="00DB6F1E">
        <w:rPr>
          <w:noProof/>
          <w:lang w:val="en-US"/>
        </w:rPr>
        <w:t>(Milner-Gulland et al. 2003)</w:t>
      </w:r>
      <w:r w:rsidR="00DB6F1E">
        <w:rPr>
          <w:lang w:val="en-US"/>
        </w:rPr>
        <w:fldChar w:fldCharType="end"/>
      </w:r>
      <w:r w:rsidR="0091159A" w:rsidRPr="00710CCC">
        <w:rPr>
          <w:lang w:val="en-US"/>
        </w:rPr>
        <w:t>.</w:t>
      </w:r>
    </w:p>
    <w:p w14:paraId="0A63317C" w14:textId="62D97A15" w:rsidR="00DA4AEF" w:rsidRDefault="00DA4AEF" w:rsidP="00C258BC">
      <w:pPr>
        <w:pStyle w:val="ListParagraph"/>
        <w:numPr>
          <w:ilvl w:val="0"/>
          <w:numId w:val="25"/>
        </w:numPr>
        <w:jc w:val="both"/>
      </w:pPr>
      <w:r>
        <w:rPr>
          <w:lang w:val="en-US"/>
        </w:rPr>
        <w:t>The no-take zone protects the whole habitat and other potentially bycaught or opportunistically caught species from hunting and human disturbance, as well as the target species. This may be particularly relevant to snare hunting, which can be less selective than gun-hunting.</w:t>
      </w:r>
    </w:p>
    <w:p w14:paraId="192E0911" w14:textId="4AAEA2BA" w:rsidR="0072202E" w:rsidRDefault="000D305C" w:rsidP="00C258BC">
      <w:pPr>
        <w:jc w:val="both"/>
        <w:rPr>
          <w:lang w:val="en-US"/>
        </w:rPr>
      </w:pPr>
      <w:r>
        <w:rPr>
          <w:lang w:val="en-US"/>
        </w:rPr>
        <w:lastRenderedPageBreak/>
        <w:t>No-take zones have been used</w:t>
      </w:r>
      <w:r w:rsidR="00AB3E79" w:rsidRPr="00AB3E79">
        <w:rPr>
          <w:lang w:val="en-US"/>
        </w:rPr>
        <w:t xml:space="preserve"> </w:t>
      </w:r>
      <w:r>
        <w:rPr>
          <w:lang w:val="en-US"/>
        </w:rPr>
        <w:t>in the CIB logging concessions (</w:t>
      </w:r>
      <w:r>
        <w:rPr>
          <w:lang w:val="en-US"/>
        </w:rPr>
        <w:fldChar w:fldCharType="begin"/>
      </w:r>
      <w:r>
        <w:rPr>
          <w:lang w:val="en-US"/>
        </w:rPr>
        <w:instrText xml:space="preserve"> REF _Ref520114856 \h </w:instrText>
      </w:r>
      <w:r>
        <w:rPr>
          <w:lang w:val="en-US"/>
        </w:rPr>
      </w:r>
      <w:r>
        <w:rPr>
          <w:lang w:val="en-US"/>
        </w:rPr>
        <w:fldChar w:fldCharType="separate"/>
      </w:r>
      <w:r w:rsidR="007034F1">
        <w:t xml:space="preserve">Box </w:t>
      </w:r>
      <w:r w:rsidR="007034F1">
        <w:rPr>
          <w:noProof/>
        </w:rPr>
        <w:t>5</w:t>
      </w:r>
      <w:r>
        <w:rPr>
          <w:lang w:val="en-US"/>
        </w:rPr>
        <w:fldChar w:fldCharType="end"/>
      </w:r>
      <w:r>
        <w:rPr>
          <w:lang w:val="en-US"/>
        </w:rPr>
        <w:t>), and are part of many co-managed protected areas, where no-take and h</w:t>
      </w:r>
      <w:r w:rsidR="00DF5D72">
        <w:rPr>
          <w:lang w:val="en-US"/>
        </w:rPr>
        <w:t>unting zones are often defined</w:t>
      </w:r>
      <w:r w:rsidR="00AB3E79">
        <w:rPr>
          <w:lang w:val="en-US"/>
        </w:rPr>
        <w:t xml:space="preserve"> </w:t>
      </w:r>
      <w:r w:rsidR="00DF5D72">
        <w:rPr>
          <w:lang w:val="en-US"/>
        </w:rPr>
        <w:t xml:space="preserve">(for example, see </w:t>
      </w:r>
      <w:r w:rsidR="00DF5D72">
        <w:rPr>
          <w:lang w:val="en-US"/>
        </w:rPr>
        <w:fldChar w:fldCharType="begin"/>
      </w:r>
      <w:r w:rsidR="00DF5D72">
        <w:rPr>
          <w:lang w:val="en-US"/>
        </w:rPr>
        <w:instrText xml:space="preserve"> REF _Ref519873441 \h </w:instrText>
      </w:r>
      <w:r w:rsidR="00DF5D72">
        <w:rPr>
          <w:lang w:val="en-US"/>
        </w:rPr>
      </w:r>
      <w:r w:rsidR="00DF5D72">
        <w:rPr>
          <w:lang w:val="en-US"/>
        </w:rPr>
        <w:fldChar w:fldCharType="separate"/>
      </w:r>
      <w:r w:rsidR="007034F1">
        <w:t xml:space="preserve">Box </w:t>
      </w:r>
      <w:r w:rsidR="007034F1">
        <w:rPr>
          <w:noProof/>
        </w:rPr>
        <w:t>1</w:t>
      </w:r>
      <w:r w:rsidR="00DF5D72">
        <w:rPr>
          <w:lang w:val="en-US"/>
        </w:rPr>
        <w:fldChar w:fldCharType="end"/>
      </w:r>
      <w:r w:rsidR="00DF5D72">
        <w:rPr>
          <w:lang w:val="en-US"/>
        </w:rPr>
        <w:t xml:space="preserve">). However, in many cases, </w:t>
      </w:r>
      <w:r>
        <w:rPr>
          <w:lang w:val="en-US"/>
        </w:rPr>
        <w:t>no-take zones may have been set up with the main aim of species protection, rather than formally incorporated as a tool for managing hunting offtakes</w:t>
      </w:r>
      <w:r w:rsidR="00DF5D72">
        <w:rPr>
          <w:lang w:val="en-US"/>
        </w:rPr>
        <w:t xml:space="preserve">. As a </w:t>
      </w:r>
      <w:r w:rsidR="00D85930">
        <w:rPr>
          <w:lang w:val="en-US"/>
        </w:rPr>
        <w:t>result,</w:t>
      </w:r>
      <w:r w:rsidR="00DF5D72">
        <w:rPr>
          <w:lang w:val="en-US"/>
        </w:rPr>
        <w:t xml:space="preserve"> information on the impact of using no-take zones for wild meat hunting management, and our knowledge of best-practice for implementing them (i.e. the effect of no-take zone size, rotation times and different restrictions on hunting) is lacking.</w:t>
      </w:r>
      <w:r w:rsidR="0072202E">
        <w:rPr>
          <w:lang w:val="en-US"/>
        </w:rPr>
        <w:t xml:space="preserve"> There has been a lot of research on the effectiveness of no-take zones for fisheries, however, and some basic lessons can be drawn about when they might work best</w:t>
      </w:r>
      <w:r w:rsidR="00AB3E79">
        <w:rPr>
          <w:lang w:val="en-US"/>
        </w:rPr>
        <w:t xml:space="preserve"> </w:t>
      </w:r>
      <w:r w:rsidR="00CE4EC0">
        <w:rPr>
          <w:lang w:val="en-US"/>
        </w:rPr>
        <w:fldChar w:fldCharType="begin" w:fldLock="1"/>
      </w:r>
      <w:r w:rsidR="006B3DC4">
        <w:rPr>
          <w:lang w:val="en-US"/>
        </w:rPr>
        <w:instrText>ADDIN CSL_CITATION {"citationItems":[{"id":"ITEM-1","itemData":{"DOI":"10.1139/f02-018","ISBN":"1205-7533","ISSN":"0706-652X","PMID":"24037842","abstract":"We present a model of the effects of a marine reserve on spawning stock biomass (SSB) and short- and long-term yield for a size-structured species that exhibits seasonal movements. The model considers the effects of protecting nursery and (or) spawning grounds under a range of fishing mortalities and fish mobility rates. We consider two extremes of effort redistribution following reserve establishment and analyze the effects of a reserve when the fishery targets either mature or immature fish. We apply the model to the Mediterranean hake (Merluccius merluccius) and show that a marine reserve could be highly beneficial for this species. We demonstrate benefits from reserves not just for overexploited stocks of low-mobility species, but also (to a lesser extent) for underexploited stocks and high- mobility species. Greatly increased resilience to overfishing is also found in the majority of cases. We show that a reserve provides benefits additional to those obtained from simple effort control. Benefits from reserves depend to a major extent on the amount of effort redistribution following reserve establishment and on fishing selectivity; hence, these factors should be key components of any evaluation of reserve effectiveness","author":[{"dropping-particle":"","family":"Apostolaki","given":"P","non-dropping-particle":"","parse-names":false,"suffix":""},{"dropping-particle":"","family":"Milner-Gulland","given":"E J","non-dropping-particle":"","parse-names":false,"suffix":""},{"dropping-particle":"","family":"McAllister","given":"M K","non-dropping-particle":"","parse-names":false,"suffix":""},{"dropping-particle":"","family":"Kirkwood","given":"G P","non-dropping-particle":"","parse-names":false,"suffix":""}],"container-title":"Canadian Journal of Fisheries and Aquatic Sciences","id":"ITEM-1","issue":"3","issued":{"date-parts":[["2002"]]},"page":"405-415","title":"Modelling the effects of establishing a marine reserve for mobile fish species","type":"article-journal","volume":"59"},"uris":["http://www.mendeley.com/documents/?uuid=24d51b58-7fa7-45d4-82e7-223584dce809"]},{"id":"ITEM-2","itemData":{"DOI":"10.1073/pnas.1002098107","ISBN":"1091-6490 (Electronic)\\r0027-8424 (Linking)","ISSN":"0027-8424","PMID":"20978212","abstract":"The field of marine reserve science has matured greatly over the last decade, moving beyond studies of single reserves and beyond perspectives from single disciplines. This Special Feature exemplifies recent advances in marine reserve research, showing insights gained from synthetic studies of reserve networks, long-term changes within reserves, integration of social and ecological science research, and balance between reserve design for conservation as well as fishery and other commercial objectives. This rich body of research helps to inform conservation planning for marine ecosystems but also poses new challenges for further study, including how to best design integrated fisheries management and conservation systems, how to effectively evaluate the performance of entire reserve networks, and how to examine the complex coupling between ecological and socioeconomic responses to reserve networks.","author":[{"dropping-particle":"","family":"Gaines","given":"S. D.","non-dropping-particle":"","parse-names":false,"suffix":""},{"dropping-particle":"","family":"Lester","given":"S. E.","non-dropping-particle":"","parse-names":false,"suffix":""},{"dropping-particle":"","family":"Grorud-Colvert","given":"K.","non-dropping-particle":"","parse-names":false,"suffix":""},{"dropping-particle":"","family":"Costello","given":"C.","non-dropping-particle":"","parse-names":false,"suffix":""},{"dropping-particle":"","family":"Pollnac","given":"R.","non-dropping-particle":"","parse-names":false,"suffix":""}],"container-title":"Proceedings of the National Academy of Sciences","id":"ITEM-2","issue":"43","issued":{"date-parts":[["2010"]]},"page":"18251-18255","title":"Evolving science of marine reserves: new developments and emerging research frontiers","type":"article-journal","volume":"107"},"uris":["http://www.mendeley.com/documents/?uuid=aab114d5-a0cb-444f-9c57-8f330795d465"]}],"mendeley":{"formattedCitation":"(Apostolaki et al. 2002; Gaines et al. 2010)","plainTextFormattedCitation":"(Apostolaki et al. 2002; Gaines et al. 2010)","previouslyFormattedCitation":"(Apostolaki et al. 2002; Gaines et al. 2010)"},"properties":{"noteIndex":0},"schema":"https://github.com/citation-style-language/schema/raw/master/csl-citation.json"}</w:instrText>
      </w:r>
      <w:r w:rsidR="00CE4EC0">
        <w:rPr>
          <w:lang w:val="en-US"/>
        </w:rPr>
        <w:fldChar w:fldCharType="separate"/>
      </w:r>
      <w:r w:rsidR="00CE4EC0" w:rsidRPr="00CE4EC0">
        <w:rPr>
          <w:noProof/>
          <w:lang w:val="en-US"/>
        </w:rPr>
        <w:t>(Apostolaki et al. 2002; Gaines et al. 2010)</w:t>
      </w:r>
      <w:r w:rsidR="00CE4EC0">
        <w:rPr>
          <w:lang w:val="en-US"/>
        </w:rPr>
        <w:fldChar w:fldCharType="end"/>
      </w:r>
      <w:r w:rsidR="00CE4EC0">
        <w:rPr>
          <w:lang w:val="en-US"/>
        </w:rPr>
        <w:t>:</w:t>
      </w:r>
    </w:p>
    <w:p w14:paraId="388A9413" w14:textId="77777777" w:rsidR="008604B1" w:rsidRPr="008604B1" w:rsidRDefault="0072202E" w:rsidP="00C258BC">
      <w:pPr>
        <w:pStyle w:val="ListParagraph"/>
        <w:numPr>
          <w:ilvl w:val="0"/>
          <w:numId w:val="62"/>
        </w:numPr>
        <w:jc w:val="both"/>
        <w:rPr>
          <w:lang w:val="en-US"/>
        </w:rPr>
      </w:pPr>
      <w:r w:rsidRPr="008604B1">
        <w:rPr>
          <w:lang w:val="en-US"/>
        </w:rPr>
        <w:t>If target species are highly mobile (e.g. wild pigs), the effect of a no-take zone will be relatively minimal, and the results will be similar to a quota.</w:t>
      </w:r>
    </w:p>
    <w:p w14:paraId="383462F2" w14:textId="5C1C3654" w:rsidR="008604B1" w:rsidRPr="008604B1" w:rsidRDefault="008604B1" w:rsidP="00C258BC">
      <w:pPr>
        <w:pStyle w:val="ListParagraph"/>
        <w:numPr>
          <w:ilvl w:val="0"/>
          <w:numId w:val="62"/>
        </w:numPr>
        <w:jc w:val="both"/>
        <w:rPr>
          <w:lang w:val="en-US"/>
        </w:rPr>
      </w:pPr>
      <w:r w:rsidRPr="008604B1">
        <w:rPr>
          <w:lang w:val="en-US"/>
        </w:rPr>
        <w:t>If</w:t>
      </w:r>
      <w:r w:rsidR="0072202E" w:rsidRPr="008604B1">
        <w:rPr>
          <w:lang w:val="en-US"/>
        </w:rPr>
        <w:t xml:space="preserve"> target species are very territorial and sedentary (e.g. duikers) then the population within the no-take zone will be protected, but there will be little spill-</w:t>
      </w:r>
      <w:r w:rsidR="00A479D2" w:rsidRPr="008604B1">
        <w:rPr>
          <w:lang w:val="en-US"/>
        </w:rPr>
        <w:t>over,</w:t>
      </w:r>
      <w:r w:rsidR="0072202E" w:rsidRPr="008604B1">
        <w:rPr>
          <w:lang w:val="en-US"/>
        </w:rPr>
        <w:t xml:space="preserve"> so the hunting area will soon become depleted and the benefit to hunters will be limited. The benefit to the species will be limited to the area itself, because once it reaches carrying capacity in that area the population may not increase and disperse.</w:t>
      </w:r>
    </w:p>
    <w:p w14:paraId="22BF12CB" w14:textId="4FEDA552" w:rsidR="0072202E" w:rsidRPr="008604B1" w:rsidRDefault="0072202E" w:rsidP="00C258BC">
      <w:pPr>
        <w:pStyle w:val="ListParagraph"/>
        <w:numPr>
          <w:ilvl w:val="0"/>
          <w:numId w:val="62"/>
        </w:numPr>
        <w:jc w:val="both"/>
        <w:rPr>
          <w:lang w:val="en-US"/>
        </w:rPr>
      </w:pPr>
      <w:r w:rsidRPr="008604B1">
        <w:rPr>
          <w:lang w:val="en-US"/>
        </w:rPr>
        <w:t xml:space="preserve">If the main benefit is seen to be the co-benefits to the wider ecosystem and non-target species, then the rate at which the area is rotated compared to the recovery rate of these other components of the ecosystem will determine how much benefit is actually achieved. If the rotation is relatively </w:t>
      </w:r>
      <w:r w:rsidR="00A479D2" w:rsidRPr="008604B1">
        <w:rPr>
          <w:lang w:val="en-US"/>
        </w:rPr>
        <w:t>rapid,</w:t>
      </w:r>
      <w:r w:rsidRPr="008604B1">
        <w:rPr>
          <w:lang w:val="en-US"/>
        </w:rPr>
        <w:t xml:space="preserve"> then there will not be time for recovery and it will be similar to a full-hunting quota system again.</w:t>
      </w:r>
    </w:p>
    <w:p w14:paraId="6AAC167B" w14:textId="08225B4F" w:rsidR="0072202E" w:rsidRPr="0072202E" w:rsidRDefault="00A479D2" w:rsidP="00C258BC">
      <w:pPr>
        <w:jc w:val="both"/>
        <w:rPr>
          <w:lang w:val="en-US"/>
        </w:rPr>
      </w:pPr>
      <w:r>
        <w:rPr>
          <w:lang w:val="en-US"/>
        </w:rPr>
        <w:t>Therefore,</w:t>
      </w:r>
      <w:r w:rsidR="0072202E">
        <w:rPr>
          <w:lang w:val="en-US"/>
        </w:rPr>
        <w:t xml:space="preserve"> the potential for additional ecological benefit is quite finely balanced and contingent on the biology of the system. The main benefit is the simplicity of the management and clarity of the rules, as well as the potential for community acceptance if local people understand and agree with the need for protection. This can be simpler to achieve for spatial closures than for quotas.</w:t>
      </w:r>
    </w:p>
    <w:p w14:paraId="34A9A6EA" w14:textId="63552632" w:rsidR="00516C17" w:rsidRPr="00785A38" w:rsidRDefault="00E05B59" w:rsidP="001C1D6E">
      <w:pPr>
        <w:pStyle w:val="Heading3"/>
      </w:pPr>
      <w:r w:rsidRPr="00785A38">
        <w:t>Research priorities</w:t>
      </w:r>
      <w:r w:rsidR="00516C17" w:rsidRPr="00785A38">
        <w:t xml:space="preserve"> for </w:t>
      </w:r>
      <w:r w:rsidR="00F474B2" w:rsidRPr="00785A38">
        <w:t>designing</w:t>
      </w:r>
      <w:r w:rsidR="00516C17" w:rsidRPr="00785A38">
        <w:t xml:space="preserve"> meaningf</w:t>
      </w:r>
      <w:r w:rsidRPr="00785A38">
        <w:t>ul and effective huntin</w:t>
      </w:r>
      <w:r w:rsidR="000E4784">
        <w:t>g</w:t>
      </w:r>
      <w:r w:rsidR="00F474B2" w:rsidRPr="00785A38">
        <w:t xml:space="preserve"> management and monitoring systems</w:t>
      </w:r>
    </w:p>
    <w:p w14:paraId="0794B6BA" w14:textId="4E6EFE36" w:rsidR="00516C17" w:rsidRPr="00EE2428" w:rsidRDefault="005133B6" w:rsidP="00C258BC">
      <w:pPr>
        <w:jc w:val="both"/>
        <w:rPr>
          <w:color w:val="000000" w:themeColor="text1"/>
        </w:rPr>
      </w:pPr>
      <w:r>
        <w:rPr>
          <w:color w:val="000000" w:themeColor="text1"/>
        </w:rPr>
        <w:t>W</w:t>
      </w:r>
      <w:r w:rsidR="00516C17" w:rsidRPr="004904D8">
        <w:rPr>
          <w:color w:val="000000" w:themeColor="text1"/>
        </w:rPr>
        <w:t>hile the theoretical advantages and disadvantages of different methods for quota-setting</w:t>
      </w:r>
      <w:r>
        <w:rPr>
          <w:color w:val="000000" w:themeColor="text1"/>
        </w:rPr>
        <w:t xml:space="preserve"> in tropical and sub-tropical environments</w:t>
      </w:r>
      <w:r w:rsidR="00516C17" w:rsidRPr="004904D8">
        <w:rPr>
          <w:color w:val="000000" w:themeColor="text1"/>
        </w:rPr>
        <w:t xml:space="preserve"> have been debated, there is little evidence of the practical use of these methods for wild meat management </w:t>
      </w:r>
      <w:r w:rsidR="006B3DC4">
        <w:rPr>
          <w:color w:val="000000" w:themeColor="text1"/>
        </w:rPr>
        <w:fldChar w:fldCharType="begin" w:fldLock="1"/>
      </w:r>
      <w:r w:rsidR="00AB268B">
        <w:rPr>
          <w:color w:val="000000" w:themeColor="text1"/>
        </w:rPr>
        <w:instrText>ADDIN CSL_CITATION {"citationItems":[{"id":"ITEM-1","itemData":{"author":[{"dropping-particle":"","family":"Milner-Gulland","given":"E.J.","non-dropping-particle":"","parse-names":false,"suffix":""},{"dropping-particle":"","family":"Akçakaya","given":"H Resit","non-dropping-particle":"","parse-names":false,"suffix":""}],"container-title":"TRENDS in Ecology &amp; Evolution","id":"ITEM-1","issue":"12","issued":{"date-parts":[["2001"]]},"page":"686-692","title":"Sustainability indices for exploited populations","type":"article-journal","volume":"16"},"uris":["http://www.mendeley.com/documents/?uuid=2baf31ed-c41d-3678-9b16-def3745ea9b3"]}],"mendeley":{"formattedCitation":"(Milner-Gulland &amp; Akçakaya 2001)","plainTextFormattedCitation":"(Milner-Gulland &amp; Akçakaya 2001)","previouslyFormattedCitation":"(Milner-Gulland &amp; Akçakaya 2001)"},"properties":{"noteIndex":0},"schema":"https://github.com/citation-style-language/schema/raw/master/csl-citation.json"}</w:instrText>
      </w:r>
      <w:r w:rsidR="006B3DC4">
        <w:rPr>
          <w:color w:val="000000" w:themeColor="text1"/>
        </w:rPr>
        <w:fldChar w:fldCharType="separate"/>
      </w:r>
      <w:r w:rsidR="006B3DC4" w:rsidRPr="006B3DC4">
        <w:rPr>
          <w:noProof/>
          <w:color w:val="000000" w:themeColor="text1"/>
        </w:rPr>
        <w:t>(Milner-Gulland &amp; Akçakaya 2001)</w:t>
      </w:r>
      <w:r w:rsidR="006B3DC4">
        <w:rPr>
          <w:color w:val="000000" w:themeColor="text1"/>
        </w:rPr>
        <w:fldChar w:fldCharType="end"/>
      </w:r>
      <w:r w:rsidR="00516C17" w:rsidRPr="004904D8">
        <w:rPr>
          <w:color w:val="000000" w:themeColor="text1"/>
        </w:rPr>
        <w:t xml:space="preserve">. Globally, estimates of sustainable offtakes for hunted areas, calculated using simple indices such as the Robinson and Redford model, have been compared with known hunting levels. Of these, approximately half suggested current hunting levels were sustainable, and half unsustainable </w:t>
      </w:r>
      <w:r w:rsidR="006B3DC4">
        <w:rPr>
          <w:color w:val="000000" w:themeColor="text1"/>
        </w:rPr>
        <w:fldChar w:fldCharType="begin" w:fldLock="1"/>
      </w:r>
      <w:r w:rsidR="00141FEA">
        <w:rPr>
          <w:color w:val="000000" w:themeColor="text1"/>
        </w:rPr>
        <w:instrText>ADDIN CSL_CITATION {"citationItems":[{"id":"ITEM-1","itemData":{"DOI":"10.1111/ele.12008","ISSN":"1461-0248","PMID":"23062121","abstract":"The unsustainable harvest of wildlife is a major threat to global biodiversity and to the millions of people who depend on wildlife for food and income. Past research has called attention to the fact that commonly used methods to evaluate the sustainability of wildlife hunting perform poorly, yet these methods remain in popular use today. Here, we conduct a systematic review of empirical sustainability assessments to quantify the use of sustainability indicators in the scientific literature and highlight associations between analytical methods and their outcomes. We find that indicator type, continent of study, species body mass, taxonomic group and socio-economic status of study site are important predictors of the probability of reported sustainability. The most common measures of sustainability include population growth models, the Robinson &amp; Redford (1991) model and population trends through time. Indicators relying on population-specific biological data are most often used in North America and Europe, while cruder estimates are more often used in Africa, Latin America and Oceania. Our results highlight both the uncertainty and lack of uniformity in sustainability science. Given our urgent need to conserve both wildlife and the food security of rural peoples around the world, improvements in sustainability indicators are of utmost importance.","author":[{"dropping-particle":"","family":"Weinbaum","given":"Karen Z","non-dropping-particle":"","parse-names":false,"suffix":""},{"dropping-particle":"","family":"Brashares","given":"Justin S","non-dropping-particle":"","parse-names":false,"suffix":""},{"dropping-particle":"","family":"Golden","given":"Christopher D","non-dropping-particle":"","parse-names":false,"suffix":""},{"dropping-particle":"","family":"Getz","given":"Wayne M","non-dropping-particle":"","parse-names":false,"suffix":""}],"container-title":"Ecology letters","id":"ITEM-1","issue":"1","issued":{"date-parts":[["2013","1"]]},"page":"99-111","title":"Searching for sustainability: are assessments of wildlife harvests behind the times?","type":"article-journal","volume":"16"},"uris":["http://www.mendeley.com/documents/?uuid=9984419e-d44a-4938-ae56-27a56b3bbf86"]}],"mendeley":{"formattedCitation":"(Weinbaum et al. 2013)","plainTextFormattedCitation":"(Weinbaum et al. 2013)","previouslyFormattedCitation":"(Weinbaum et al. 2013)"},"properties":{"noteIndex":0},"schema":"https://github.com/citation-style-language/schema/raw/master/csl-citation.json"}</w:instrText>
      </w:r>
      <w:r w:rsidR="006B3DC4">
        <w:rPr>
          <w:color w:val="000000" w:themeColor="text1"/>
        </w:rPr>
        <w:fldChar w:fldCharType="separate"/>
      </w:r>
      <w:r w:rsidR="006B3DC4" w:rsidRPr="006B3DC4">
        <w:rPr>
          <w:noProof/>
          <w:color w:val="000000" w:themeColor="text1"/>
        </w:rPr>
        <w:t>(Weinbaum et al. 2013)</w:t>
      </w:r>
      <w:r w:rsidR="006B3DC4">
        <w:rPr>
          <w:color w:val="000000" w:themeColor="text1"/>
        </w:rPr>
        <w:fldChar w:fldCharType="end"/>
      </w:r>
      <w:r w:rsidR="00516C17" w:rsidRPr="003E3238">
        <w:rPr>
          <w:color w:val="000000" w:themeColor="text1"/>
        </w:rPr>
        <w:t>. However, these studies have not tracked the impact of hunting offtake levels on species populations over time</w:t>
      </w:r>
      <w:r>
        <w:rPr>
          <w:color w:val="000000" w:themeColor="text1"/>
        </w:rPr>
        <w:t>. The</w:t>
      </w:r>
      <w:r w:rsidR="00516C17" w:rsidRPr="003E3238">
        <w:rPr>
          <w:color w:val="000000" w:themeColor="text1"/>
        </w:rPr>
        <w:t xml:space="preserve"> accuracy of the indices in proving an accurate measure of sustainab</w:t>
      </w:r>
      <w:r w:rsidR="00516C17" w:rsidRPr="00EE2428">
        <w:rPr>
          <w:color w:val="000000" w:themeColor="text1"/>
        </w:rPr>
        <w:t xml:space="preserve">ility, or the sustainability of the current hunting offtake, has </w:t>
      </w:r>
      <w:r>
        <w:rPr>
          <w:color w:val="000000" w:themeColor="text1"/>
        </w:rPr>
        <w:t xml:space="preserve">therefore </w:t>
      </w:r>
      <w:r w:rsidR="00516C17" w:rsidRPr="00EE2428">
        <w:rPr>
          <w:color w:val="000000" w:themeColor="text1"/>
        </w:rPr>
        <w:t xml:space="preserve">not been established. </w:t>
      </w:r>
    </w:p>
    <w:p w14:paraId="090950A7" w14:textId="3EECD322" w:rsidR="00516C17" w:rsidRPr="0070404D" w:rsidRDefault="0014508D" w:rsidP="00C258BC">
      <w:pPr>
        <w:jc w:val="both"/>
        <w:rPr>
          <w:color w:val="000000" w:themeColor="text1"/>
        </w:rPr>
      </w:pPr>
      <w:r w:rsidRPr="00EE2428">
        <w:rPr>
          <w:color w:val="000000" w:themeColor="text1"/>
        </w:rPr>
        <w:t>The lack of</w:t>
      </w:r>
      <w:r w:rsidR="00516C17" w:rsidRPr="0064175F">
        <w:rPr>
          <w:color w:val="000000" w:themeColor="text1"/>
        </w:rPr>
        <w:t xml:space="preserve"> published examples of the practical use of simple species population or hunting indices</w:t>
      </w:r>
      <w:r w:rsidR="005133B6">
        <w:rPr>
          <w:color w:val="000000" w:themeColor="text1"/>
        </w:rPr>
        <w:t xml:space="preserve"> such as </w:t>
      </w:r>
      <w:r w:rsidR="0072202E">
        <w:rPr>
          <w:color w:val="000000" w:themeColor="text1"/>
        </w:rPr>
        <w:t>PBR</w:t>
      </w:r>
      <w:r w:rsidR="00516C17" w:rsidRPr="0070404D">
        <w:rPr>
          <w:color w:val="000000" w:themeColor="text1"/>
        </w:rPr>
        <w:t xml:space="preserve"> for the management of hunting</w:t>
      </w:r>
      <w:r w:rsidRPr="0070404D">
        <w:rPr>
          <w:color w:val="000000" w:themeColor="text1"/>
        </w:rPr>
        <w:t xml:space="preserve"> means that</w:t>
      </w:r>
      <w:r w:rsidR="00516C17" w:rsidRPr="0070404D">
        <w:rPr>
          <w:color w:val="000000" w:themeColor="text1"/>
        </w:rPr>
        <w:t xml:space="preserve"> it is currently impossible to say whether these methods </w:t>
      </w:r>
      <w:r w:rsidR="00242E8E" w:rsidRPr="0070404D">
        <w:rPr>
          <w:color w:val="000000" w:themeColor="text1"/>
        </w:rPr>
        <w:t>can be successful over the long-term</w:t>
      </w:r>
      <w:r w:rsidR="00516C17" w:rsidRPr="0070404D">
        <w:rPr>
          <w:color w:val="000000" w:themeColor="text1"/>
        </w:rPr>
        <w:t xml:space="preserve"> </w:t>
      </w:r>
      <w:r w:rsidR="00242E8E" w:rsidRPr="0070404D">
        <w:rPr>
          <w:color w:val="000000" w:themeColor="text1"/>
        </w:rPr>
        <w:t xml:space="preserve">in </w:t>
      </w:r>
      <w:r w:rsidR="00516C17" w:rsidRPr="0070404D">
        <w:rPr>
          <w:color w:val="000000" w:themeColor="text1"/>
        </w:rPr>
        <w:t>set</w:t>
      </w:r>
      <w:r w:rsidR="00242E8E" w:rsidRPr="0070404D">
        <w:rPr>
          <w:color w:val="000000" w:themeColor="text1"/>
        </w:rPr>
        <w:t>ting</w:t>
      </w:r>
      <w:r w:rsidR="00516C17" w:rsidRPr="0070404D">
        <w:rPr>
          <w:color w:val="000000" w:themeColor="text1"/>
        </w:rPr>
        <w:t xml:space="preserve"> ecologically and socially acceptable and sustainable levels of hunting offtake. The following activities would help to increase our knowledge of what sustainable offtake levels might be, and how hunting quotas might be managed:</w:t>
      </w:r>
    </w:p>
    <w:p w14:paraId="4567CD24" w14:textId="77777777" w:rsidR="00516C17" w:rsidRPr="0070404D" w:rsidRDefault="00516C17" w:rsidP="00C258BC">
      <w:pPr>
        <w:pStyle w:val="ListParagraph"/>
        <w:numPr>
          <w:ilvl w:val="0"/>
          <w:numId w:val="14"/>
        </w:numPr>
        <w:spacing w:after="0"/>
        <w:jc w:val="both"/>
        <w:rPr>
          <w:color w:val="000000" w:themeColor="text1"/>
        </w:rPr>
      </w:pPr>
      <w:r w:rsidRPr="0070404D">
        <w:rPr>
          <w:color w:val="000000" w:themeColor="text1"/>
        </w:rPr>
        <w:lastRenderedPageBreak/>
        <w:t>Field data collection of life history traits of key hunted species, to improve our understanding of how species populations are likely to react to different levels of hunting offtake;</w:t>
      </w:r>
    </w:p>
    <w:p w14:paraId="3A35B9F1" w14:textId="0439FBD5" w:rsidR="00516C17" w:rsidRPr="0070404D" w:rsidRDefault="00516C17" w:rsidP="00C258BC">
      <w:pPr>
        <w:pStyle w:val="ListParagraph"/>
        <w:numPr>
          <w:ilvl w:val="0"/>
          <w:numId w:val="14"/>
        </w:numPr>
        <w:spacing w:after="0"/>
        <w:jc w:val="both"/>
        <w:rPr>
          <w:color w:val="000000" w:themeColor="text1"/>
        </w:rPr>
      </w:pPr>
      <w:r w:rsidRPr="0070404D">
        <w:rPr>
          <w:color w:val="000000" w:themeColor="text1"/>
        </w:rPr>
        <w:t>Testing of (including accuracy and practicality) of emerging population census methods, such as abundance est</w:t>
      </w:r>
      <w:r w:rsidR="0072202E">
        <w:rPr>
          <w:color w:val="000000" w:themeColor="text1"/>
        </w:rPr>
        <w:t>imation using camera trap data and interview-based occupancy approaches,</w:t>
      </w:r>
      <w:r w:rsidR="0072202E" w:rsidRPr="0072202E">
        <w:rPr>
          <w:color w:val="000000" w:themeColor="text1"/>
        </w:rPr>
        <w:t xml:space="preserve"> </w:t>
      </w:r>
      <w:r w:rsidR="0072202E" w:rsidRPr="0070404D">
        <w:rPr>
          <w:color w:val="000000" w:themeColor="text1"/>
        </w:rPr>
        <w:t>for key nonarboreal forest species</w:t>
      </w:r>
      <w:r w:rsidRPr="0070404D">
        <w:rPr>
          <w:color w:val="000000" w:themeColor="text1"/>
        </w:rPr>
        <w:t>;</w:t>
      </w:r>
    </w:p>
    <w:p w14:paraId="4D831874" w14:textId="1013E9E0" w:rsidR="00F474B2" w:rsidRDefault="00516C17" w:rsidP="00C258BC">
      <w:pPr>
        <w:pStyle w:val="ListParagraph"/>
        <w:numPr>
          <w:ilvl w:val="0"/>
          <w:numId w:val="14"/>
        </w:numPr>
        <w:spacing w:after="0"/>
        <w:jc w:val="both"/>
        <w:rPr>
          <w:color w:val="000000" w:themeColor="text1"/>
        </w:rPr>
      </w:pPr>
      <w:r w:rsidRPr="0070404D">
        <w:rPr>
          <w:color w:val="000000" w:themeColor="text1"/>
        </w:rPr>
        <w:t>Long-term, monitored and evaluated trials of the use of different methods of setting ecologically and socially meaningful, sustainable hunting offtake levels, within hunted landscapes</w:t>
      </w:r>
      <w:r w:rsidR="00222270">
        <w:rPr>
          <w:color w:val="000000" w:themeColor="text1"/>
        </w:rPr>
        <w:t>, including spatial management techniques</w:t>
      </w:r>
      <w:r w:rsidRPr="0070404D">
        <w:rPr>
          <w:color w:val="000000" w:themeColor="text1"/>
        </w:rPr>
        <w:t>.</w:t>
      </w:r>
      <w:r w:rsidR="00F474B2" w:rsidRPr="0070404D">
        <w:rPr>
          <w:color w:val="000000" w:themeColor="text1"/>
        </w:rPr>
        <w:t xml:space="preserve"> </w:t>
      </w:r>
    </w:p>
    <w:p w14:paraId="3A2B208D" w14:textId="394DF9AD" w:rsidR="00516C17" w:rsidRPr="0070404D" w:rsidRDefault="00F474B2" w:rsidP="00C258BC">
      <w:pPr>
        <w:pStyle w:val="ListParagraph"/>
        <w:numPr>
          <w:ilvl w:val="0"/>
          <w:numId w:val="14"/>
        </w:numPr>
        <w:spacing w:after="0"/>
        <w:jc w:val="both"/>
        <w:rPr>
          <w:color w:val="000000" w:themeColor="text1"/>
        </w:rPr>
      </w:pPr>
      <w:r w:rsidRPr="0070404D">
        <w:t>Collaborative exploration of these issues throughout participatory research with communities who are committed to participatory land-use planning</w:t>
      </w:r>
    </w:p>
    <w:p w14:paraId="238C9E6F" w14:textId="77777777" w:rsidR="00516C17" w:rsidRPr="0070404D" w:rsidRDefault="00516C17" w:rsidP="00C258BC">
      <w:pPr>
        <w:jc w:val="both"/>
        <w:rPr>
          <w:color w:val="000000" w:themeColor="text1"/>
        </w:rPr>
      </w:pPr>
    </w:p>
    <w:p w14:paraId="64A6E0AA" w14:textId="42CA7A8F" w:rsidR="00516C17" w:rsidRPr="0070404D" w:rsidRDefault="00516C17" w:rsidP="00C258BC">
      <w:pPr>
        <w:jc w:val="both"/>
        <w:rPr>
          <w:color w:val="000000" w:themeColor="text1"/>
        </w:rPr>
        <w:sectPr w:rsidR="00516C17" w:rsidRPr="0070404D" w:rsidSect="00516C17">
          <w:pgSz w:w="11900" w:h="16840"/>
          <w:pgMar w:top="1440" w:right="1440" w:bottom="1440" w:left="1440" w:header="720" w:footer="720" w:gutter="0"/>
          <w:cols w:space="720"/>
          <w:docGrid w:linePitch="360"/>
        </w:sectPr>
      </w:pPr>
    </w:p>
    <w:p w14:paraId="03AADC0B" w14:textId="3AAB9753" w:rsidR="00516C17" w:rsidRPr="003710E0" w:rsidRDefault="003710E0" w:rsidP="00C258BC">
      <w:pPr>
        <w:pStyle w:val="Caption"/>
        <w:keepNext/>
        <w:jc w:val="both"/>
      </w:pPr>
      <w:bookmarkStart w:id="251" w:name="_Ref519700105"/>
      <w:r>
        <w:lastRenderedPageBreak/>
        <w:t xml:space="preserve">Table </w:t>
      </w:r>
      <w:r w:rsidR="00DE31EF">
        <w:fldChar w:fldCharType="begin"/>
      </w:r>
      <w:r w:rsidR="00DE31EF">
        <w:instrText xml:space="preserve"> SEQ Table \* ARABIC </w:instrText>
      </w:r>
      <w:r w:rsidR="00DE31EF">
        <w:fldChar w:fldCharType="separate"/>
      </w:r>
      <w:r w:rsidR="004873F0">
        <w:rPr>
          <w:noProof/>
        </w:rPr>
        <w:t>5</w:t>
      </w:r>
      <w:r w:rsidR="00DE31EF">
        <w:fldChar w:fldCharType="end"/>
      </w:r>
      <w:bookmarkEnd w:id="251"/>
      <w:r w:rsidR="00516C17" w:rsidRPr="0070404D">
        <w:rPr>
          <w:color w:val="000000" w:themeColor="text1"/>
        </w:rPr>
        <w:t>: Some of the most common measures and indicators for setting sustainable offtake levels</w:t>
      </w:r>
      <w:r>
        <w:rPr>
          <w:color w:val="000000" w:themeColor="text1"/>
        </w:rPr>
        <w:t xml:space="preserve"> </w:t>
      </w:r>
      <w:r w:rsidRPr="0070404D">
        <w:rPr>
          <w:color w:val="000000" w:themeColor="text1"/>
        </w:rPr>
        <w:t xml:space="preserve">(adapted from Weinbaum </w:t>
      </w:r>
      <w:r w:rsidR="00475918">
        <w:rPr>
          <w:color w:val="000000" w:themeColor="text1"/>
        </w:rPr>
        <w:t xml:space="preserve">et al., </w:t>
      </w:r>
      <w:r w:rsidRPr="0070404D">
        <w:rPr>
          <w:color w:val="000000" w:themeColor="text1"/>
        </w:rPr>
        <w:t>2013)</w:t>
      </w:r>
      <w:r w:rsidR="00516C17" w:rsidRPr="0070404D">
        <w:rPr>
          <w:color w:val="000000" w:themeColor="text1"/>
        </w:rPr>
        <w:t>.</w:t>
      </w:r>
    </w:p>
    <w:tbl>
      <w:tblPr>
        <w:tblStyle w:val="TableGrid"/>
        <w:tblW w:w="0" w:type="auto"/>
        <w:tblLayout w:type="fixed"/>
        <w:tblLook w:val="04A0" w:firstRow="1" w:lastRow="0" w:firstColumn="1" w:lastColumn="0" w:noHBand="0" w:noVBand="1"/>
      </w:tblPr>
      <w:tblGrid>
        <w:gridCol w:w="1885"/>
        <w:gridCol w:w="2475"/>
        <w:gridCol w:w="2475"/>
        <w:gridCol w:w="2475"/>
        <w:gridCol w:w="2475"/>
        <w:gridCol w:w="2165"/>
      </w:tblGrid>
      <w:tr w:rsidR="000D574D" w:rsidRPr="0070404D" w14:paraId="06070EC2" w14:textId="77777777" w:rsidTr="000D574D">
        <w:tc>
          <w:tcPr>
            <w:tcW w:w="1885" w:type="dxa"/>
            <w:shd w:val="clear" w:color="auto" w:fill="BFBFBF" w:themeFill="background1" w:themeFillShade="BF"/>
          </w:tcPr>
          <w:p w14:paraId="4CC83271" w14:textId="77777777" w:rsidR="00516C17" w:rsidRPr="0070404D" w:rsidRDefault="00516C17" w:rsidP="00C258BC">
            <w:pPr>
              <w:adjustRightInd w:val="0"/>
              <w:spacing w:after="0"/>
              <w:jc w:val="both"/>
              <w:rPr>
                <w:b/>
                <w:color w:val="000000" w:themeColor="text1"/>
                <w:sz w:val="20"/>
                <w:szCs w:val="20"/>
              </w:rPr>
            </w:pPr>
            <w:r w:rsidRPr="0070404D">
              <w:rPr>
                <w:b/>
                <w:color w:val="000000" w:themeColor="text1"/>
                <w:sz w:val="20"/>
                <w:szCs w:val="20"/>
              </w:rPr>
              <w:t>Indicator/method</w:t>
            </w:r>
          </w:p>
        </w:tc>
        <w:tc>
          <w:tcPr>
            <w:tcW w:w="2475" w:type="dxa"/>
            <w:shd w:val="clear" w:color="auto" w:fill="BFBFBF" w:themeFill="background1" w:themeFillShade="BF"/>
          </w:tcPr>
          <w:p w14:paraId="3743E57A" w14:textId="77777777" w:rsidR="00516C17" w:rsidRPr="0070404D" w:rsidRDefault="00516C17" w:rsidP="00C258BC">
            <w:pPr>
              <w:adjustRightInd w:val="0"/>
              <w:spacing w:after="0"/>
              <w:jc w:val="both"/>
              <w:rPr>
                <w:b/>
                <w:color w:val="000000" w:themeColor="text1"/>
                <w:sz w:val="20"/>
                <w:szCs w:val="20"/>
              </w:rPr>
            </w:pPr>
            <w:r w:rsidRPr="0070404D">
              <w:rPr>
                <w:b/>
                <w:color w:val="000000" w:themeColor="text1"/>
                <w:sz w:val="20"/>
                <w:szCs w:val="20"/>
              </w:rPr>
              <w:t>Model/parameters</w:t>
            </w:r>
          </w:p>
        </w:tc>
        <w:tc>
          <w:tcPr>
            <w:tcW w:w="2475" w:type="dxa"/>
            <w:shd w:val="clear" w:color="auto" w:fill="BFBFBF" w:themeFill="background1" w:themeFillShade="BF"/>
          </w:tcPr>
          <w:p w14:paraId="42C75DA6" w14:textId="77777777" w:rsidR="00516C17" w:rsidRPr="0070404D" w:rsidRDefault="00516C17" w:rsidP="00C258BC">
            <w:pPr>
              <w:adjustRightInd w:val="0"/>
              <w:spacing w:after="0"/>
              <w:jc w:val="both"/>
              <w:rPr>
                <w:b/>
                <w:color w:val="000000" w:themeColor="text1"/>
                <w:sz w:val="20"/>
                <w:szCs w:val="20"/>
              </w:rPr>
            </w:pPr>
            <w:r w:rsidRPr="0070404D">
              <w:rPr>
                <w:b/>
                <w:color w:val="000000" w:themeColor="text1"/>
                <w:sz w:val="20"/>
                <w:szCs w:val="20"/>
              </w:rPr>
              <w:t>Comparator/</w:t>
            </w:r>
          </w:p>
          <w:p w14:paraId="75608B75" w14:textId="77777777" w:rsidR="00516C17" w:rsidRPr="0070404D" w:rsidRDefault="00516C17" w:rsidP="00C258BC">
            <w:pPr>
              <w:adjustRightInd w:val="0"/>
              <w:spacing w:after="0"/>
              <w:jc w:val="both"/>
              <w:rPr>
                <w:b/>
                <w:color w:val="000000" w:themeColor="text1"/>
                <w:sz w:val="20"/>
                <w:szCs w:val="20"/>
              </w:rPr>
            </w:pPr>
            <w:r w:rsidRPr="0070404D">
              <w:rPr>
                <w:b/>
                <w:color w:val="000000" w:themeColor="text1"/>
                <w:sz w:val="20"/>
                <w:szCs w:val="20"/>
              </w:rPr>
              <w:t>outcome</w:t>
            </w:r>
          </w:p>
        </w:tc>
        <w:tc>
          <w:tcPr>
            <w:tcW w:w="2475" w:type="dxa"/>
            <w:shd w:val="clear" w:color="auto" w:fill="BFBFBF" w:themeFill="background1" w:themeFillShade="BF"/>
          </w:tcPr>
          <w:p w14:paraId="13D305C3" w14:textId="77777777" w:rsidR="00516C17" w:rsidRPr="0070404D" w:rsidRDefault="00516C17" w:rsidP="00C258BC">
            <w:pPr>
              <w:adjustRightInd w:val="0"/>
              <w:spacing w:after="0"/>
              <w:jc w:val="both"/>
              <w:rPr>
                <w:b/>
                <w:color w:val="000000" w:themeColor="text1"/>
                <w:sz w:val="20"/>
                <w:szCs w:val="20"/>
              </w:rPr>
            </w:pPr>
            <w:r w:rsidRPr="0070404D">
              <w:rPr>
                <w:b/>
                <w:color w:val="000000" w:themeColor="text1"/>
                <w:sz w:val="20"/>
                <w:szCs w:val="20"/>
              </w:rPr>
              <w:t>Advantages</w:t>
            </w:r>
          </w:p>
        </w:tc>
        <w:tc>
          <w:tcPr>
            <w:tcW w:w="2475" w:type="dxa"/>
            <w:shd w:val="clear" w:color="auto" w:fill="BFBFBF" w:themeFill="background1" w:themeFillShade="BF"/>
          </w:tcPr>
          <w:p w14:paraId="2190BFDE" w14:textId="77777777" w:rsidR="00516C17" w:rsidRPr="0070404D" w:rsidRDefault="00516C17" w:rsidP="00C258BC">
            <w:pPr>
              <w:adjustRightInd w:val="0"/>
              <w:spacing w:after="0"/>
              <w:jc w:val="both"/>
              <w:rPr>
                <w:b/>
                <w:color w:val="000000" w:themeColor="text1"/>
                <w:sz w:val="20"/>
                <w:szCs w:val="20"/>
              </w:rPr>
            </w:pPr>
            <w:r w:rsidRPr="0070404D">
              <w:rPr>
                <w:b/>
                <w:color w:val="000000" w:themeColor="text1"/>
                <w:sz w:val="20"/>
                <w:szCs w:val="20"/>
              </w:rPr>
              <w:t>Disadvantages</w:t>
            </w:r>
          </w:p>
        </w:tc>
        <w:tc>
          <w:tcPr>
            <w:tcW w:w="2165" w:type="dxa"/>
            <w:shd w:val="clear" w:color="auto" w:fill="BFBFBF" w:themeFill="background1" w:themeFillShade="BF"/>
          </w:tcPr>
          <w:p w14:paraId="491D59B3" w14:textId="77777777" w:rsidR="00516C17" w:rsidRPr="0070404D" w:rsidRDefault="00516C17" w:rsidP="00C258BC">
            <w:pPr>
              <w:adjustRightInd w:val="0"/>
              <w:spacing w:after="0"/>
              <w:jc w:val="both"/>
              <w:rPr>
                <w:b/>
                <w:color w:val="000000" w:themeColor="text1"/>
                <w:sz w:val="20"/>
                <w:szCs w:val="20"/>
              </w:rPr>
            </w:pPr>
            <w:r w:rsidRPr="0070404D">
              <w:rPr>
                <w:b/>
                <w:color w:val="000000" w:themeColor="text1"/>
                <w:sz w:val="20"/>
                <w:szCs w:val="20"/>
              </w:rPr>
              <w:t>Key references</w:t>
            </w:r>
          </w:p>
        </w:tc>
      </w:tr>
      <w:tr w:rsidR="00516C17" w:rsidRPr="0070404D" w14:paraId="7362CE02" w14:textId="77777777" w:rsidTr="000D574D">
        <w:trPr>
          <w:trHeight w:val="2942"/>
        </w:trPr>
        <w:tc>
          <w:tcPr>
            <w:tcW w:w="1885" w:type="dxa"/>
            <w:shd w:val="clear" w:color="auto" w:fill="D9D9D9" w:themeFill="background1" w:themeFillShade="D9"/>
          </w:tcPr>
          <w:p w14:paraId="57CDDD13" w14:textId="77777777" w:rsidR="00516C17" w:rsidRPr="0070404D" w:rsidRDefault="00516C17" w:rsidP="00A8497B">
            <w:pPr>
              <w:adjustRightInd w:val="0"/>
              <w:spacing w:after="0"/>
              <w:rPr>
                <w:color w:val="000000" w:themeColor="text1"/>
                <w:sz w:val="20"/>
                <w:szCs w:val="20"/>
              </w:rPr>
            </w:pPr>
            <w:r w:rsidRPr="0070404D">
              <w:rPr>
                <w:color w:val="000000" w:themeColor="text1"/>
                <w:sz w:val="20"/>
                <w:szCs w:val="20"/>
              </w:rPr>
              <w:t xml:space="preserve">Population abundance surveys </w:t>
            </w:r>
          </w:p>
          <w:p w14:paraId="0FA70F60"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170597D1"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Multiple years of data on population abundance.</w:t>
            </w:r>
          </w:p>
        </w:tc>
        <w:tc>
          <w:tcPr>
            <w:tcW w:w="2475" w:type="dxa"/>
            <w:shd w:val="clear" w:color="auto" w:fill="auto"/>
          </w:tcPr>
          <w:p w14:paraId="4C9DDA68"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Increase, decrease, or stable</w:t>
            </w:r>
          </w:p>
          <w:p w14:paraId="5ED0AB6F"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064DB17F"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Most direct form of</w:t>
            </w:r>
          </w:p>
          <w:p w14:paraId="6D9F0563"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assessing sustainability</w:t>
            </w:r>
          </w:p>
          <w:p w14:paraId="089EA646"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209B75D2" w14:textId="4205AB9E"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Data intensive</w:t>
            </w:r>
            <w:r w:rsidR="00093066">
              <w:rPr>
                <w:color w:val="000000" w:themeColor="text1"/>
                <w:sz w:val="20"/>
                <w:szCs w:val="20"/>
              </w:rPr>
              <w:t xml:space="preserve"> and expensive</w:t>
            </w:r>
            <w:r w:rsidRPr="0070404D">
              <w:rPr>
                <w:color w:val="000000" w:themeColor="text1"/>
                <w:sz w:val="20"/>
                <w:szCs w:val="20"/>
              </w:rPr>
              <w:t>. Difficult to have adequate power to detect change, esp. in forest habitats. Declines may indicate trend towards new equilibrium, not unsustainability. Population fluctuations may be due to other factors than hunting (i.e. drought, competition, habitat loss)</w:t>
            </w:r>
          </w:p>
        </w:tc>
        <w:tc>
          <w:tcPr>
            <w:tcW w:w="2165" w:type="dxa"/>
            <w:shd w:val="clear" w:color="auto" w:fill="auto"/>
          </w:tcPr>
          <w:p w14:paraId="1FF460B0" w14:textId="77777777" w:rsidR="00970F70" w:rsidRPr="0070404D" w:rsidRDefault="00970F70" w:rsidP="00C258BC">
            <w:pPr>
              <w:adjustRightInd w:val="0"/>
              <w:spacing w:after="0"/>
              <w:jc w:val="both"/>
              <w:rPr>
                <w:color w:val="000000" w:themeColor="text1"/>
                <w:sz w:val="20"/>
                <w:szCs w:val="20"/>
              </w:rPr>
            </w:pPr>
          </w:p>
          <w:p w14:paraId="616C1DFA" w14:textId="5C6560B6" w:rsidR="00141FEA" w:rsidRDefault="00141FEA" w:rsidP="00141FEA">
            <w:pPr>
              <w:adjustRightInd w:val="0"/>
              <w:spacing w:after="0"/>
              <w:jc w:val="both"/>
              <w:rPr>
                <w:noProof/>
                <w:color w:val="000000" w:themeColor="text1"/>
                <w:sz w:val="20"/>
                <w:szCs w:val="20"/>
              </w:rPr>
            </w:pPr>
            <w:r>
              <w:rPr>
                <w:color w:val="000000" w:themeColor="text1"/>
                <w:sz w:val="20"/>
                <w:szCs w:val="20"/>
              </w:rPr>
              <w:fldChar w:fldCharType="begin" w:fldLock="1"/>
            </w:r>
            <w:r>
              <w:rPr>
                <w:color w:val="000000" w:themeColor="text1"/>
                <w:sz w:val="20"/>
                <w:szCs w:val="20"/>
              </w:rPr>
              <w:instrText>ADDIN CSL_CITATION {"citationItems":[{"id":"ITEM-1","itemData":{"DOI":"10.1046/j.1523-1739.2003.01135.x","ISBN":"0888-8892","ISSN":"08888892","abstract":"This longitudinal study examines the impact of native hunting on the populations of 10 important game species in the Mbaracayu Reserve, Paraguay. From July 1994 to July 2001, native Ache research assistants surveyed 7,535 km of diurnal random transects in the reserve. Analyses of data from these transects and harvest-rate data from 5,526 Ache hunter days suggest that the hunting return rate declined significantly for one species. Nonsignificant declines were observed for 6 of the other 9 species. Native harvest percentages of the stock population appear sustainable for 10 major prey species, but rates of harvest from nonindigenous poaching could not be determined. Crude encounter rates for all 10 species declined over time, but only 2 of these were statistically significant in a univariate model. Multivariate logistic regression controlling for habitat type and location in the reserve showed significant declines in encounter rates over time for 4 species, but the effect of interaction between time and hunting pressure failed to confirm that declines in encounter rates were steeper in more-hunted versus less-hunted areas of the reserve. This may mean that other factors unrelated to hunting pressure are responsible for some of the declines in game encounter rates.","author":[{"dropping-particle":"","family":"Hill","given":"Kim","non-dropping-particle":"","parse-names":false,"suffix":""},{"dropping-particle":"","family":"McMillan","given":"Garnett","non-dropping-particle":"","parse-names":false,"suffix":""},{"dropping-particle":"","family":"Fariña","given":"Rosalia","non-dropping-particle":"","parse-names":false,"suffix":""}],"container-title":"Conservation Biology","id":"ITEM-1","issue":"5","issued":{"date-parts":[["2003"]]},"page":"1312-1323","title":"Hunting-related changes in game encounter rates from 1994 to 2001 in the Mbaracayu Reserve, Paraguay","type":"article-journal","volume":"17"},"uris":["http://www.mendeley.com/documents/?uuid=8d2eaff7-1003-4451-b06a-89f4e7b706dc"]},{"id":"ITEM-2","itemData":{"DOI":"10.1016/j.biocon.2003.11.018","ISBN":"0006-3207","ISSN":"00063207","abstract":"The red-footed booby, Sula sula, has been hunted in the Cocos (Keeling) Islands, eastern Indian Ocean, since first settlement in 1827. Formerly present throughout the islands, an estimated 30,000 pairs now breed only on isolated and uninhabited North Keeling Island. Despite legislative protection, illegal hunting for food remains a major conservation threat. Informants estimated that 2000-3000 birds are killed in most years and possibly as many as 10,000 in some years. Analysis of nest count data collected between 1985 and 2002 to assess long-term population trends showed no evidence of decline in nesting density. There was large inter-annual variation with substantial fluctuations which tended to be greater following significant cyclonic events. These results indicate that the level of illegal harvest during the study period has not negatively impacted the booby nesting population. Future management of seabird harvesting requires improved knowledge on the population's capacity to sustain harvesting, together with increased enforcement activity to control illegal harvest, and enhanced education programs to encourage change in community attitudes. Crown Copyright © 2003 Published by Elsevier Ltd. All rights reserved.","author":[{"dropping-particle":"","family":"Baker","given":"G. Barry","non-dropping-particle":"","parse-names":false,"suffix":""},{"dropping-particle":"","family":"Cunningham","given":"Ross B.","non-dropping-particle":"","parse-names":false,"suffix":""},{"dropping-particle":"","family":"Murray","given":"Wendy","non-dropping-particle":"","parse-names":false,"suffix":""}],"container-title":"Biological Conservation","id":"ITEM-2","issue":"2","issued":{"date-parts":[["2004"]]},"page":"271-278","title":"Are red-footed boobies Sula sula at risk from harvesting by humans on Cocos (Keeling) Islands, Indian Ocean?","type":"article-journal","volume":"119"},"uris":["http://www.mendeley.com/documents/?uuid=083bde46-bc48-4aa6-8989-9942e8209b8b"]},{"id":"ITEM-3","itemData":{"DOI":"10.1016/S0006-3207(99)00185-8","ISBN":"0006-3207","ISSN":"00063207","PMID":"16000262","abstract":"Wolf populations have been relatively stable during the last 15 years in seven of nine wildlife reserves located in southern Quebec, despite harvest by legal trapping. Wolf densities, estimated via hunter surveys and an equation linking questionnaire data and radio-tracking data, varied between 0.7 and 2.2 animals/100 km2. In some reserves, wolf populations persisted at ca. 1 individual/100 km2with low prey densities (i.e. &lt; 2 moose/10 km2). Long-term density and trapping data indicated that wolf populations frequently sustained annual harvest rates exceeding 35% without experiencing population declines. However, such systems appeared unstable, especially for reserves &lt; 1500 km2in size. Immigration from adjacent areas likely contributed to the persistence of wolf populations in reserves that experienced harvest rates &gt; 35%. Although the viability of wolf populations in southern Quebec seems not to be threatened by trapping, some wildlife reserves act as population sinks, instead of sources, for wolves. The long-term conservation of wolves requires reduction of harvests in some reserves, and simultaneous monitoring of wolf populations outside wildlife reserves. (C) 2000 Elsevier Science Ltd.","author":[{"dropping-particle":"","family":"Larivière","given":"S.","non-dropping-particle":"","parse-names":false,"suffix":""},{"dropping-particle":"","family":"Jolicoeur","given":"H.","non-dropping-particle":"","parse-names":false,"suffix":""},{"dropping-particle":"","family":"Crête","given":"M.","non-dropping-particle":"","parse-names":false,"suffix":""}],"container-title":"Biological Conservation","id":"ITEM-3","issue":"2","issued":{"date-parts":[["2000"]]},"page":"143-151","title":"Status and conservation of the gray wolf (Canis lupus) in wildlife reserves of Quebec","type":"article-journal","volume":"94"},"uris":["http://www.mendeley.com/documents/?uuid=111b61cf-9f20-47d5-904c-cfc6d51e0b09"]}],"mendeley":{"formattedCitation":"(Larivière et al. 2000; Hill et al. 2003; Baker et al. 2004)","manualFormatting":"Larivière et al. 2000;\rHill et al. 2003;\rBaker et al. 2004","plainTextFormattedCitation":"(Larivière et al. 2000; Hill et al. 2003; Baker et al. 2004)","previouslyFormattedCitation":"(Larivière et al. 2000; Hill et al. 2003; Baker et al. 2004)"},"properties":{"noteIndex":0},"schema":"https://github.com/citation-style-language/schema/raw/master/csl-citation.json"}</w:instrText>
            </w:r>
            <w:r>
              <w:rPr>
                <w:color w:val="000000" w:themeColor="text1"/>
                <w:sz w:val="20"/>
                <w:szCs w:val="20"/>
              </w:rPr>
              <w:fldChar w:fldCharType="separate"/>
            </w:r>
            <w:r w:rsidRPr="00141FEA">
              <w:rPr>
                <w:noProof/>
                <w:color w:val="000000" w:themeColor="text1"/>
                <w:sz w:val="20"/>
                <w:szCs w:val="20"/>
              </w:rPr>
              <w:t>Larivière et al. 2000;</w:t>
            </w:r>
          </w:p>
          <w:p w14:paraId="0334260E" w14:textId="77777777" w:rsidR="00141FEA" w:rsidRDefault="00141FEA" w:rsidP="00141FEA">
            <w:pPr>
              <w:adjustRightInd w:val="0"/>
              <w:spacing w:after="0"/>
              <w:jc w:val="both"/>
              <w:rPr>
                <w:noProof/>
                <w:color w:val="000000" w:themeColor="text1"/>
                <w:sz w:val="20"/>
                <w:szCs w:val="20"/>
              </w:rPr>
            </w:pPr>
            <w:r>
              <w:rPr>
                <w:noProof/>
                <w:color w:val="000000" w:themeColor="text1"/>
                <w:sz w:val="20"/>
                <w:szCs w:val="20"/>
              </w:rPr>
              <w:t>Hill et al. 2003;</w:t>
            </w:r>
          </w:p>
          <w:p w14:paraId="0BE88C80" w14:textId="36F57FC9" w:rsidR="00516C17" w:rsidRPr="0070404D" w:rsidRDefault="00141FEA" w:rsidP="00141FEA">
            <w:pPr>
              <w:adjustRightInd w:val="0"/>
              <w:spacing w:after="0"/>
              <w:jc w:val="both"/>
              <w:rPr>
                <w:color w:val="000000" w:themeColor="text1"/>
                <w:sz w:val="20"/>
                <w:szCs w:val="20"/>
              </w:rPr>
            </w:pPr>
            <w:r w:rsidRPr="00141FEA">
              <w:rPr>
                <w:noProof/>
                <w:color w:val="000000" w:themeColor="text1"/>
                <w:sz w:val="20"/>
                <w:szCs w:val="20"/>
              </w:rPr>
              <w:t>Baker et al. 2004</w:t>
            </w:r>
            <w:r>
              <w:rPr>
                <w:color w:val="000000" w:themeColor="text1"/>
                <w:sz w:val="20"/>
                <w:szCs w:val="20"/>
              </w:rPr>
              <w:fldChar w:fldCharType="end"/>
            </w:r>
            <w:r w:rsidRPr="0070404D">
              <w:rPr>
                <w:color w:val="000000" w:themeColor="text1"/>
                <w:sz w:val="20"/>
                <w:szCs w:val="20"/>
              </w:rPr>
              <w:t xml:space="preserve"> </w:t>
            </w:r>
          </w:p>
        </w:tc>
      </w:tr>
      <w:tr w:rsidR="00516C17" w:rsidRPr="0070404D" w14:paraId="5D47DE9B" w14:textId="77777777" w:rsidTr="000D574D">
        <w:tc>
          <w:tcPr>
            <w:tcW w:w="1885" w:type="dxa"/>
            <w:shd w:val="clear" w:color="auto" w:fill="D9D9D9" w:themeFill="background1" w:themeFillShade="D9"/>
          </w:tcPr>
          <w:p w14:paraId="308615D1" w14:textId="77777777" w:rsidR="00516C17" w:rsidRPr="0070404D" w:rsidRDefault="00516C17" w:rsidP="00A8497B">
            <w:pPr>
              <w:adjustRightInd w:val="0"/>
              <w:spacing w:after="0"/>
              <w:rPr>
                <w:color w:val="000000" w:themeColor="text1"/>
                <w:sz w:val="20"/>
                <w:szCs w:val="20"/>
              </w:rPr>
            </w:pPr>
            <w:r w:rsidRPr="0070404D">
              <w:rPr>
                <w:color w:val="000000" w:themeColor="text1"/>
                <w:sz w:val="20"/>
                <w:szCs w:val="20"/>
              </w:rPr>
              <w:t>Full demographic model</w:t>
            </w:r>
          </w:p>
          <w:p w14:paraId="22FFCCC4"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4A5F4CE0"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Demographic model /matrix projection model</w:t>
            </w:r>
          </w:p>
          <w:p w14:paraId="451506C4"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790D56B6" w14:textId="482E54BC"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Determine how much</w:t>
            </w:r>
            <w:r w:rsidR="00970F70" w:rsidRPr="0070404D">
              <w:rPr>
                <w:color w:val="000000" w:themeColor="text1"/>
                <w:sz w:val="20"/>
                <w:szCs w:val="20"/>
              </w:rPr>
              <w:t xml:space="preserve"> </w:t>
            </w:r>
            <w:r w:rsidRPr="0070404D">
              <w:rPr>
                <w:color w:val="000000" w:themeColor="text1"/>
                <w:sz w:val="20"/>
                <w:szCs w:val="20"/>
              </w:rPr>
              <w:t>human-added mortality is compatible with population persistence, compared with actual harvest</w:t>
            </w:r>
          </w:p>
          <w:p w14:paraId="0FC47676"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7F014788"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Mechanistic explanations for population trajectory, given harvesting.</w:t>
            </w:r>
          </w:p>
          <w:p w14:paraId="6F223539"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0E60BFA0" w14:textId="5A150FF8" w:rsidR="00516C17" w:rsidRPr="004904D8" w:rsidRDefault="00516C17" w:rsidP="00C258BC">
            <w:pPr>
              <w:adjustRightInd w:val="0"/>
              <w:spacing w:after="0"/>
              <w:jc w:val="both"/>
              <w:rPr>
                <w:color w:val="000000" w:themeColor="text1"/>
                <w:sz w:val="20"/>
                <w:szCs w:val="20"/>
              </w:rPr>
            </w:pPr>
            <w:r w:rsidRPr="0070404D">
              <w:rPr>
                <w:color w:val="000000" w:themeColor="text1"/>
                <w:sz w:val="20"/>
                <w:szCs w:val="20"/>
              </w:rPr>
              <w:t>Data intensive</w:t>
            </w:r>
            <w:r w:rsidR="00093066">
              <w:rPr>
                <w:color w:val="000000" w:themeColor="text1"/>
                <w:sz w:val="20"/>
                <w:szCs w:val="20"/>
              </w:rPr>
              <w:t xml:space="preserve"> and expensive</w:t>
            </w:r>
            <w:r w:rsidRPr="004904D8">
              <w:rPr>
                <w:color w:val="000000" w:themeColor="text1"/>
                <w:sz w:val="20"/>
                <w:szCs w:val="20"/>
              </w:rPr>
              <w:t>, requires high level of technical training.</w:t>
            </w:r>
          </w:p>
        </w:tc>
        <w:tc>
          <w:tcPr>
            <w:tcW w:w="2165" w:type="dxa"/>
            <w:shd w:val="clear" w:color="auto" w:fill="auto"/>
          </w:tcPr>
          <w:p w14:paraId="7D2E1294" w14:textId="77777777" w:rsidR="00970F70" w:rsidRPr="004904D8" w:rsidRDefault="00970F70" w:rsidP="00C258BC">
            <w:pPr>
              <w:adjustRightInd w:val="0"/>
              <w:spacing w:after="0"/>
              <w:jc w:val="both"/>
              <w:rPr>
                <w:color w:val="000000" w:themeColor="text1"/>
                <w:sz w:val="20"/>
                <w:szCs w:val="20"/>
              </w:rPr>
            </w:pPr>
          </w:p>
          <w:p w14:paraId="5931EAE8" w14:textId="428EFE97" w:rsidR="00141FEA" w:rsidRDefault="00141FEA" w:rsidP="00141FEA">
            <w:pPr>
              <w:adjustRightInd w:val="0"/>
              <w:spacing w:after="0"/>
              <w:jc w:val="both"/>
              <w:rPr>
                <w:noProof/>
                <w:color w:val="000000" w:themeColor="text1"/>
                <w:sz w:val="20"/>
                <w:szCs w:val="20"/>
              </w:rPr>
            </w:pPr>
            <w:r>
              <w:rPr>
                <w:color w:val="000000" w:themeColor="text1"/>
                <w:sz w:val="20"/>
                <w:szCs w:val="20"/>
              </w:rPr>
              <w:fldChar w:fldCharType="begin" w:fldLock="1"/>
            </w:r>
            <w:r w:rsidR="00B2630D">
              <w:rPr>
                <w:color w:val="000000" w:themeColor="text1"/>
                <w:sz w:val="20"/>
                <w:szCs w:val="20"/>
              </w:rPr>
              <w:instrText>ADDIN CSL_CITATION {"citationItems":[{"id":"ITEM-1","itemData":{"DOI":"10.2193/2007-095","ISBN":"0022-541X","ISSN":"0022-541X","abstract":"Wolverines (Gulo gulo) are distributed across much of northern and western Canada and Alaska, USA, and they extend south into the mountainous western United States. Wolverines occur in most regions of British Columbia, Canada, with the highest population densities occurring in the interior mountainous areas. Wolverine populations in British Columbia have been primarily managed to provide a sustainable harvest for trappers and hunters. We used spatially based population estimates, population vital rate data, and spatially based harvest data to evaluate the sustainability of wolverine harvest (trapping and hunting) from 1985 to 2004. The median annual provincial wolverine harvest from 1985 to 2004 was 172 wolverines per year (x- = 174.8), which was less than the median simulated estimate of provincial recruitment (195.9 wolverines/yr; x- = 209.7). Harvests in individual population units ranged from 0 to 280 over the 20-year period. Spatially, wolverine harvest was likely to have been unsustainable in 15 of the 71 population units with wolverines, and it was likely to have been sustainable in the remaining population units. Harvest in 5 of the other 56 population units was marginally sustainable and thus of potential management concern. To improve harvest management of wolverines in British Columbia, wildlife managers should focus on improved data collection and monitoring at a provincial scale, and they should work with trappers and hunters at regional scales to address issues specific to individual population units. Further research is required to improve the reliability of wolverine vital rate and population data.","author":[{"dropping-particle":"","family":"Lofroth","given":"E C","non-dropping-particle":"","parse-names":false,"suffix":""},{"dropping-particle":"","family":"Ott","given":"P K","non-dropping-particle":"","parse-names":false,"suffix":""}],"container-title":"Journal of Wildlife Management","id":"ITEM-1","issue":"7","issued":{"date-parts":[["2007"]]},"page":"2193-2200","title":"Assessment of the sustainability of wolverine harvest in British Columbia, Canada","type":"article-journal","volume":"71"},"uris":["http://www.mendeley.com/documents/?uuid=74682704-2967-4490-aa0d-5ece92ca586e"]},{"id":"ITEM-2","itemData":{"DOI":"10.1017/S1367943001001160","ISBN":"1367-9430","ISSN":"13679430","abstract":"Between the years 1994 and 2000, we assessed the mortality rate of adult-sized, migrant Asian houbara bustards (Chlamydotis undulata macqueenii) via banding and satellite tracking programmes. The birds were captured either on their breeding grounds in Kazakhstan (Taukum desert and Buzachi peninsula) and in China (Jungar basin) or on their wintering grounds in Pakistan (Cholistan desert) and in the United Arab Emirates (Baynunah area). For the banding programme, 104 houbara bustards were marked and statistical analysis was performed on the number of transmitters and rings returned by falconers. This allowed us to calculate a 0.045 (SD 0.061) annual mortality rate attributable to hunting activities. The tracking programme analysed the fate of 41 houbara bustards equipped with satellite transmitters (PTTs). Overall, the satellite-tracked birds were followed for 10,965 days and had travelled all over the distribution range of the species in Asia. The causes of mortality were assessed from the interpretation of the ARGOS data relayed by the sensors embarked on the PTTs. The annual mortality rate was derived from the calculation of the average finite daily survival rate using the Trent &amp; Rongstad (1974) method. With this method, the overall annual mortality rate in adult-sized houbara bustards migrating through Asia was 0.283 (95%lcl 0.186-95%ucl 0.404). The hunting and poaching pressure could explain 73.5% of the observed mortality. The mortality rate during winter, when the houbara is under severe hunting pressure, was 11.2 times higher than during the breeding season. Houbara appear to be especially at risk in Pakistan, Afghanistan and Iran. A VORTEX simulation showed that under current hunting and poaching pressures, the probability of extinction of the houbara population modelled can be anticipated at 50 years with a 94% probability. The maximum sustainable yield was estimated at 7.2% of the adult-sized population whereas as much as 20.8% is currently taken. This work stresses the need for conservationists and Arab falconers to take appropriate concerted measures as soon as possible.","author":[{"dropping-particle":"","family":"Combreau","given":"Olivier","non-dropping-particle":"","parse-names":false,"suffix":""},{"dropping-particle":"","family":"Launay","given":"Frédéric","non-dropping-particle":"","parse-names":false,"suffix":""},{"dropping-particle":"","family":"Lawrence","given":"Mark","non-dropping-particle":"","parse-names":false,"suffix":""}],"container-title":"Animal Conservation","id":"ITEM-2","issue":"2","issued":{"date-parts":[["2001"]]},"page":"133-141","title":"An assessment of annual mortality rates in adult-sized migrant houbara bustards (Chlamydotis [undulata] macqueenii)","type":"article-journal","volume":"4"},"uris":["http://www.mendeley.com/documents/?uuid=aca77e7f-a0c7-4da0-9230-5060c8d31b48"]}],"mendeley":{"formattedCitation":"(Combreau et al. 2001; Lofroth &amp; Ott 2007)","manualFormatting":"Combreau et al. 2001;\rLofroth &amp; Ott 2007","plainTextFormattedCitation":"(Combreau et al. 2001; Lofroth &amp; Ott 2007)","previouslyFormattedCitation":"(Combreau et al. 2001; Lofroth &amp; Ott 2007)"},"properties":{"noteIndex":0},"schema":"https://github.com/citation-style-language/schema/raw/master/csl-citation.json"}</w:instrText>
            </w:r>
            <w:r>
              <w:rPr>
                <w:color w:val="000000" w:themeColor="text1"/>
                <w:sz w:val="20"/>
                <w:szCs w:val="20"/>
              </w:rPr>
              <w:fldChar w:fldCharType="separate"/>
            </w:r>
            <w:r w:rsidRPr="00141FEA">
              <w:rPr>
                <w:noProof/>
                <w:color w:val="000000" w:themeColor="text1"/>
                <w:sz w:val="20"/>
                <w:szCs w:val="20"/>
              </w:rPr>
              <w:t>Combreau et al. 2001;</w:t>
            </w:r>
          </w:p>
          <w:p w14:paraId="0BCD47CB" w14:textId="1DB7DA3A" w:rsidR="00516C17" w:rsidRPr="005512D2" w:rsidRDefault="00141FEA" w:rsidP="00141FEA">
            <w:pPr>
              <w:adjustRightInd w:val="0"/>
              <w:spacing w:after="0"/>
              <w:jc w:val="both"/>
              <w:rPr>
                <w:color w:val="000000" w:themeColor="text1"/>
                <w:sz w:val="20"/>
                <w:szCs w:val="20"/>
              </w:rPr>
            </w:pPr>
            <w:r w:rsidRPr="00141FEA">
              <w:rPr>
                <w:noProof/>
                <w:color w:val="000000" w:themeColor="text1"/>
                <w:sz w:val="20"/>
                <w:szCs w:val="20"/>
              </w:rPr>
              <w:t>Lofroth &amp; Ott 2007</w:t>
            </w:r>
            <w:r>
              <w:rPr>
                <w:color w:val="000000" w:themeColor="text1"/>
                <w:sz w:val="20"/>
                <w:szCs w:val="20"/>
              </w:rPr>
              <w:fldChar w:fldCharType="end"/>
            </w:r>
            <w:r w:rsidRPr="005512D2">
              <w:rPr>
                <w:color w:val="000000" w:themeColor="text1"/>
                <w:sz w:val="20"/>
                <w:szCs w:val="20"/>
              </w:rPr>
              <w:t xml:space="preserve"> </w:t>
            </w:r>
          </w:p>
        </w:tc>
      </w:tr>
      <w:tr w:rsidR="00516C17" w:rsidRPr="0070404D" w14:paraId="3A62A5BB" w14:textId="77777777" w:rsidTr="000D574D">
        <w:tc>
          <w:tcPr>
            <w:tcW w:w="1885" w:type="dxa"/>
            <w:shd w:val="clear" w:color="auto" w:fill="D9D9D9" w:themeFill="background1" w:themeFillShade="D9"/>
          </w:tcPr>
          <w:p w14:paraId="2933D26D" w14:textId="77777777" w:rsidR="00516C17" w:rsidRPr="0070404D" w:rsidRDefault="00516C17" w:rsidP="00A8497B">
            <w:pPr>
              <w:adjustRightInd w:val="0"/>
              <w:spacing w:after="0"/>
              <w:rPr>
                <w:color w:val="000000" w:themeColor="text1"/>
                <w:sz w:val="20"/>
                <w:szCs w:val="20"/>
              </w:rPr>
            </w:pPr>
            <w:r w:rsidRPr="0070404D">
              <w:rPr>
                <w:color w:val="000000" w:themeColor="text1"/>
                <w:sz w:val="20"/>
                <w:szCs w:val="20"/>
              </w:rPr>
              <w:t>Robinson and Redford (production index)</w:t>
            </w:r>
          </w:p>
          <w:p w14:paraId="441C6B93"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1157C74A"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P = 0.6K(Rmax-1)F</w:t>
            </w:r>
          </w:p>
          <w:p w14:paraId="6F851009" w14:textId="77777777" w:rsidR="00516C17" w:rsidRPr="0070404D" w:rsidRDefault="00516C17" w:rsidP="00C258BC">
            <w:pPr>
              <w:adjustRightInd w:val="0"/>
              <w:spacing w:after="0"/>
              <w:jc w:val="both"/>
              <w:rPr>
                <w:i/>
                <w:color w:val="000000" w:themeColor="text1"/>
                <w:sz w:val="18"/>
                <w:szCs w:val="18"/>
              </w:rPr>
            </w:pPr>
            <w:r w:rsidRPr="0070404D">
              <w:rPr>
                <w:i/>
                <w:color w:val="000000" w:themeColor="text1"/>
                <w:sz w:val="18"/>
                <w:szCs w:val="18"/>
              </w:rPr>
              <w:t>K=carrying capacity</w:t>
            </w:r>
          </w:p>
          <w:p w14:paraId="5EC52546" w14:textId="77777777" w:rsidR="00516C17" w:rsidRPr="0070404D" w:rsidRDefault="00516C17" w:rsidP="00C258BC">
            <w:pPr>
              <w:adjustRightInd w:val="0"/>
              <w:spacing w:after="0"/>
              <w:jc w:val="both"/>
              <w:rPr>
                <w:i/>
                <w:color w:val="000000" w:themeColor="text1"/>
                <w:sz w:val="18"/>
                <w:szCs w:val="18"/>
              </w:rPr>
            </w:pPr>
            <w:r w:rsidRPr="0070404D">
              <w:rPr>
                <w:i/>
                <w:color w:val="000000" w:themeColor="text1"/>
                <w:sz w:val="18"/>
                <w:szCs w:val="18"/>
              </w:rPr>
              <w:t>Rmax =Intrinsic rate of population increase</w:t>
            </w:r>
          </w:p>
          <w:p w14:paraId="4C33DFF2" w14:textId="77777777" w:rsidR="00516C17" w:rsidRPr="0070404D" w:rsidRDefault="00516C17" w:rsidP="00C258BC">
            <w:pPr>
              <w:adjustRightInd w:val="0"/>
              <w:spacing w:after="0"/>
              <w:jc w:val="both"/>
              <w:rPr>
                <w:i/>
                <w:color w:val="000000" w:themeColor="text1"/>
                <w:sz w:val="18"/>
                <w:szCs w:val="18"/>
              </w:rPr>
            </w:pPr>
            <w:r w:rsidRPr="0070404D">
              <w:rPr>
                <w:i/>
                <w:color w:val="000000" w:themeColor="text1"/>
                <w:sz w:val="18"/>
                <w:szCs w:val="18"/>
              </w:rPr>
              <w:t>F=mortality factor</w:t>
            </w:r>
          </w:p>
          <w:p w14:paraId="7D2327DE" w14:textId="77777777" w:rsidR="00516C17" w:rsidRPr="0070404D" w:rsidRDefault="00516C17" w:rsidP="00C258BC">
            <w:pPr>
              <w:adjustRightInd w:val="0"/>
              <w:spacing w:after="0"/>
              <w:jc w:val="both"/>
              <w:rPr>
                <w:i/>
                <w:color w:val="000000" w:themeColor="text1"/>
                <w:sz w:val="18"/>
                <w:szCs w:val="18"/>
              </w:rPr>
            </w:pPr>
            <w:r w:rsidRPr="0070404D">
              <w:rPr>
                <w:i/>
                <w:color w:val="000000" w:themeColor="text1"/>
                <w:sz w:val="18"/>
                <w:szCs w:val="18"/>
              </w:rPr>
              <w:t>(F= 0.2, 0.4 or 0.6 depending on species longevity)</w:t>
            </w:r>
          </w:p>
        </w:tc>
        <w:tc>
          <w:tcPr>
            <w:tcW w:w="2475" w:type="dxa"/>
            <w:shd w:val="clear" w:color="auto" w:fill="auto"/>
          </w:tcPr>
          <w:p w14:paraId="48BD7180"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If observed harvest is greater than estimated P, the harvest is considered unsustainable</w:t>
            </w:r>
          </w:p>
          <w:p w14:paraId="26B80D19"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7DDB4A80"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Relatively few parameters needed; easier to implement than full models in data-deficient conditions</w:t>
            </w:r>
          </w:p>
          <w:p w14:paraId="60C60935"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285C2812" w14:textId="1E0AC914"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Often K and Rmax not measured, but taken from other sites,</w:t>
            </w:r>
            <w:r w:rsidR="0031471E">
              <w:rPr>
                <w:color w:val="000000" w:themeColor="text1"/>
                <w:sz w:val="20"/>
                <w:szCs w:val="20"/>
              </w:rPr>
              <w:t xml:space="preserve"> or from captive </w:t>
            </w:r>
            <w:r w:rsidR="00A479D2">
              <w:rPr>
                <w:color w:val="000000" w:themeColor="text1"/>
                <w:sz w:val="20"/>
                <w:szCs w:val="20"/>
              </w:rPr>
              <w:t xml:space="preserve">individuals, </w:t>
            </w:r>
            <w:r w:rsidR="00A479D2" w:rsidRPr="0070404D">
              <w:rPr>
                <w:color w:val="000000" w:themeColor="text1"/>
                <w:sz w:val="20"/>
                <w:szCs w:val="20"/>
              </w:rPr>
              <w:t>potentially</w:t>
            </w:r>
            <w:r w:rsidRPr="0070404D">
              <w:rPr>
                <w:color w:val="000000" w:themeColor="text1"/>
                <w:sz w:val="20"/>
                <w:szCs w:val="20"/>
              </w:rPr>
              <w:t xml:space="preserve"> giving misleading production estimates. May not be precautionary</w:t>
            </w:r>
          </w:p>
          <w:p w14:paraId="727A1101"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enough under realistic levels of uncertainty. F addresses survival rates, but in a highly simplified way. Does not consider landscape dynamics.</w:t>
            </w:r>
          </w:p>
        </w:tc>
        <w:tc>
          <w:tcPr>
            <w:tcW w:w="2165" w:type="dxa"/>
            <w:shd w:val="clear" w:color="auto" w:fill="auto"/>
          </w:tcPr>
          <w:p w14:paraId="6B8BC561" w14:textId="77777777" w:rsidR="00970F70" w:rsidRPr="00DF57F3" w:rsidRDefault="00970F70" w:rsidP="00C258BC">
            <w:pPr>
              <w:adjustRightInd w:val="0"/>
              <w:spacing w:after="0"/>
              <w:jc w:val="both"/>
              <w:rPr>
                <w:color w:val="000000" w:themeColor="text1"/>
                <w:sz w:val="20"/>
                <w:szCs w:val="20"/>
                <w:lang w:val="fr-FR"/>
              </w:rPr>
            </w:pPr>
          </w:p>
          <w:p w14:paraId="6C01C78F" w14:textId="53C1328F" w:rsidR="00141FEA" w:rsidRPr="00DF57F3" w:rsidRDefault="00141FEA" w:rsidP="00C258BC">
            <w:pPr>
              <w:adjustRightInd w:val="0"/>
              <w:spacing w:after="0"/>
              <w:jc w:val="both"/>
              <w:rPr>
                <w:noProof/>
                <w:color w:val="000000" w:themeColor="text1"/>
                <w:sz w:val="20"/>
                <w:szCs w:val="20"/>
                <w:lang w:val="fr-FR"/>
              </w:rPr>
            </w:pPr>
            <w:r>
              <w:rPr>
                <w:color w:val="000000" w:themeColor="text1"/>
                <w:sz w:val="20"/>
                <w:szCs w:val="20"/>
              </w:rPr>
              <w:fldChar w:fldCharType="begin" w:fldLock="1"/>
            </w:r>
            <w:r w:rsidR="00AB268B" w:rsidRPr="00DF57F3">
              <w:rPr>
                <w:color w:val="000000" w:themeColor="text1"/>
                <w:sz w:val="20"/>
                <w:szCs w:val="20"/>
                <w:lang w:val="fr-FR"/>
              </w:rPr>
              <w:instrText>ADDIN CSL_CITATION {"citationItems":[{"id":"ITEM-1","itemData":{"author":[{"dropping-particle":"","family":"Robinson","given":"J G","non-dropping-particle":"","parse-names":false,"suffix":""},{"dropping-particle":"","family":"Redford","given":"K H","non-dropping-particle":"","parse-names":false,"suffix":""}],"container-title":"Neotropical wildlife use and conservation","editor":[{"dropping-particle":"","family":"Robinson","given":"J G","non-dropping-particle":"","parse-names":false,"suffix":""},{"dropping-particle":"","family":"Redford","given":"K H","non-dropping-particle":"","parse-names":false,"suffix":""}],"id":"ITEM-1","issued":{"date-parts":[["1991"]]},"page":"415-429","publisher":"Chicago University Press, Chicago, USA","title":"Sustainable harvest of neo-tropical mammals","type":"chapter"},"uris":["http://www.mendeley.com/documents/?uuid=27e6692b-d5c1-4c1a-acc6-5ededb981b64"]},{"id":"ITEM-2","itemData":{"author":[{"dropping-particle":"","family":"Slade","given":"N A","non-dropping-particle":"","parse-names":false,"suffix":""},{"dropping-particle":"","family":"Gomulkiewicz","given":"R","non-dropping-particle":"","parse-names":false,"suffix":""},{"dropping-particle":"","family":"Alexander","given":"H M","non-dropping-particle":"","parse-names":false,"suffix":""}],"container-title":"Conservation Biology","id":"ITEM-2","issue":"1","issued":{"date-parts":[["1998"]]},"page":"148-155","title":"Alternatives to Robinson and Redford’s method of assessing overharvest from incomplete demographic data","type":"article-journal","volume":"12"},"uris":["http://www.mendeley.com/documents/?uuid=d5b20acd-15ea-45f5-82c8-a2de42a8fd53"]},{"id":"ITEM-3","itemData":{"author":[{"dropping-particle":"","family":"Milner-Gulland","given":"E.J.","non-dropping-particle":"","parse-names":false,"suffix":""},{"dropping-particle":"","family":"Akçakaya","given":"H Resit","non-dropping-particle":"","parse-names":false,"suffix":""}],"container-title":"TRENDS in Ecology &amp; Evolution","id":"ITEM-3","issue":"12","issued":{"date-parts":[["2001"]]},"page":"686-692","title":"Sustainability indices for exploited populations","type":"article-journal","volume":"16"},"uris":["http://www.mendeley.com/documents/?uuid=2baf31ed-c41d-3678-9b16-def3745ea9b3"]}],"mendeley":{"formattedCitation":"(Robinson &amp; Redford 1991; Slade et al. 1998; Milner-Gulland &amp; Akçakaya 2001)","manualFormatting":"Robinson &amp; Redford 1991;\rSlade et al. 1998;\rMilner-Gulland &amp; Akçakaya 2001","plainTextFormattedCitation":"(Robinson &amp; Redford 1991; Slade et al. 1998; Milner-Gulland &amp; Akçakaya 2001)","previouslyFormattedCitation":"(Robinson &amp; Redford 1991; Slade et al. 1998; Milner-Gulland &amp; Akçakaya 2001)"},"properties":{"noteIndex":0},"schema":"https://github.com/citation-style-language/schema/raw/master/csl-citation.json"}</w:instrText>
            </w:r>
            <w:r>
              <w:rPr>
                <w:color w:val="000000" w:themeColor="text1"/>
                <w:sz w:val="20"/>
                <w:szCs w:val="20"/>
              </w:rPr>
              <w:fldChar w:fldCharType="separate"/>
            </w:r>
            <w:r w:rsidRPr="00DF57F3">
              <w:rPr>
                <w:noProof/>
                <w:color w:val="000000" w:themeColor="text1"/>
                <w:sz w:val="20"/>
                <w:szCs w:val="20"/>
                <w:lang w:val="fr-FR"/>
              </w:rPr>
              <w:t>Robinson &amp; Redford 1991;</w:t>
            </w:r>
          </w:p>
          <w:p w14:paraId="77BB8C40" w14:textId="77777777" w:rsidR="00141FEA" w:rsidRPr="00DF57F3" w:rsidRDefault="00141FEA" w:rsidP="00C258BC">
            <w:pPr>
              <w:adjustRightInd w:val="0"/>
              <w:spacing w:after="0"/>
              <w:jc w:val="both"/>
              <w:rPr>
                <w:noProof/>
                <w:color w:val="000000" w:themeColor="text1"/>
                <w:sz w:val="20"/>
                <w:szCs w:val="20"/>
                <w:lang w:val="fr-FR"/>
              </w:rPr>
            </w:pPr>
            <w:r w:rsidRPr="00DF57F3">
              <w:rPr>
                <w:noProof/>
                <w:color w:val="000000" w:themeColor="text1"/>
                <w:sz w:val="20"/>
                <w:szCs w:val="20"/>
                <w:lang w:val="fr-FR"/>
              </w:rPr>
              <w:t>Slade et al. 1998;</w:t>
            </w:r>
          </w:p>
          <w:p w14:paraId="50ADE623" w14:textId="5C4CBD3D" w:rsidR="00516C17" w:rsidRPr="0070404D" w:rsidRDefault="00141FEA" w:rsidP="00141FEA">
            <w:pPr>
              <w:adjustRightInd w:val="0"/>
              <w:spacing w:after="0"/>
              <w:rPr>
                <w:color w:val="000000" w:themeColor="text1"/>
                <w:sz w:val="20"/>
                <w:szCs w:val="20"/>
              </w:rPr>
            </w:pPr>
            <w:r w:rsidRPr="00141FEA">
              <w:rPr>
                <w:noProof/>
                <w:color w:val="000000" w:themeColor="text1"/>
                <w:sz w:val="20"/>
                <w:szCs w:val="20"/>
              </w:rPr>
              <w:t>Milner-Gulland &amp; Akçakaya 2001</w:t>
            </w:r>
            <w:r>
              <w:rPr>
                <w:color w:val="000000" w:themeColor="text1"/>
                <w:sz w:val="20"/>
                <w:szCs w:val="20"/>
              </w:rPr>
              <w:fldChar w:fldCharType="end"/>
            </w:r>
          </w:p>
        </w:tc>
      </w:tr>
      <w:tr w:rsidR="00516C17" w:rsidRPr="0070404D" w14:paraId="2FB79C6B" w14:textId="77777777" w:rsidTr="000D574D">
        <w:tc>
          <w:tcPr>
            <w:tcW w:w="1885" w:type="dxa"/>
            <w:shd w:val="clear" w:color="auto" w:fill="D9D9D9" w:themeFill="background1" w:themeFillShade="D9"/>
          </w:tcPr>
          <w:p w14:paraId="757CC8AD" w14:textId="77777777" w:rsidR="00516C17" w:rsidRPr="0070404D" w:rsidRDefault="00516C17" w:rsidP="00A8497B">
            <w:pPr>
              <w:adjustRightInd w:val="0"/>
              <w:spacing w:after="0"/>
              <w:rPr>
                <w:color w:val="000000" w:themeColor="text1"/>
                <w:sz w:val="20"/>
                <w:szCs w:val="20"/>
              </w:rPr>
            </w:pPr>
            <w:r w:rsidRPr="0070404D">
              <w:rPr>
                <w:color w:val="000000" w:themeColor="text1"/>
                <w:sz w:val="20"/>
                <w:szCs w:val="20"/>
              </w:rPr>
              <w:t>Bodmer (production index)</w:t>
            </w:r>
          </w:p>
          <w:p w14:paraId="4F2B9B91" w14:textId="77777777" w:rsidR="00516C17" w:rsidRPr="0070404D" w:rsidRDefault="00516C17" w:rsidP="00C258BC">
            <w:pPr>
              <w:adjustRightInd w:val="0"/>
              <w:spacing w:after="0"/>
              <w:jc w:val="both"/>
              <w:rPr>
                <w:color w:val="000000" w:themeColor="text1"/>
                <w:sz w:val="20"/>
                <w:szCs w:val="20"/>
              </w:rPr>
            </w:pPr>
          </w:p>
          <w:p w14:paraId="56FBFA4B"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1BBDE950"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lastRenderedPageBreak/>
              <w:t>P = (0.5D)(Y * g)</w:t>
            </w:r>
          </w:p>
          <w:p w14:paraId="5FAC6246" w14:textId="77777777" w:rsidR="00516C17" w:rsidRPr="0070404D" w:rsidRDefault="00516C17" w:rsidP="00C258BC">
            <w:pPr>
              <w:adjustRightInd w:val="0"/>
              <w:spacing w:after="0"/>
              <w:jc w:val="both"/>
              <w:rPr>
                <w:i/>
                <w:color w:val="000000" w:themeColor="text1"/>
                <w:sz w:val="18"/>
                <w:szCs w:val="18"/>
              </w:rPr>
            </w:pPr>
            <w:r w:rsidRPr="0070404D">
              <w:rPr>
                <w:i/>
                <w:color w:val="000000" w:themeColor="text1"/>
                <w:sz w:val="18"/>
                <w:szCs w:val="18"/>
              </w:rPr>
              <w:t>D=population density Y=young/female</w:t>
            </w:r>
          </w:p>
          <w:p w14:paraId="73430AD1" w14:textId="77777777" w:rsidR="00516C17" w:rsidRPr="0070404D" w:rsidRDefault="00516C17" w:rsidP="00C258BC">
            <w:pPr>
              <w:adjustRightInd w:val="0"/>
              <w:spacing w:after="0"/>
              <w:jc w:val="both"/>
              <w:rPr>
                <w:i/>
                <w:color w:val="000000" w:themeColor="text1"/>
                <w:sz w:val="18"/>
                <w:szCs w:val="18"/>
              </w:rPr>
            </w:pPr>
            <w:r w:rsidRPr="0070404D">
              <w:rPr>
                <w:i/>
                <w:color w:val="000000" w:themeColor="text1"/>
                <w:sz w:val="18"/>
                <w:szCs w:val="18"/>
              </w:rPr>
              <w:lastRenderedPageBreak/>
              <w:t>g=average # gestations/yr</w:t>
            </w:r>
          </w:p>
          <w:p w14:paraId="6E02E9A3"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00C9F9D8"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lastRenderedPageBreak/>
              <w:t xml:space="preserve">If observed harvest is greater than estimated P, the </w:t>
            </w:r>
            <w:r w:rsidRPr="0070404D">
              <w:rPr>
                <w:color w:val="000000" w:themeColor="text1"/>
                <w:sz w:val="20"/>
                <w:szCs w:val="20"/>
              </w:rPr>
              <w:lastRenderedPageBreak/>
              <w:t>harvest is considered unsustainable.</w:t>
            </w:r>
          </w:p>
        </w:tc>
        <w:tc>
          <w:tcPr>
            <w:tcW w:w="2475" w:type="dxa"/>
            <w:shd w:val="clear" w:color="auto" w:fill="auto"/>
          </w:tcPr>
          <w:p w14:paraId="5F828F09" w14:textId="27276E3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lastRenderedPageBreak/>
              <w:t xml:space="preserve">As per Robinson </w:t>
            </w:r>
            <w:r w:rsidR="00291CB1">
              <w:rPr>
                <w:color w:val="000000" w:themeColor="text1"/>
                <w:sz w:val="20"/>
                <w:szCs w:val="20"/>
              </w:rPr>
              <w:t xml:space="preserve">and </w:t>
            </w:r>
            <w:r w:rsidRPr="0070404D">
              <w:rPr>
                <w:color w:val="000000" w:themeColor="text1"/>
                <w:sz w:val="20"/>
                <w:szCs w:val="20"/>
              </w:rPr>
              <w:t>Redford model (1991).</w:t>
            </w:r>
          </w:p>
          <w:p w14:paraId="2EB6359F"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1F33E28A" w14:textId="7AB3B946"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 xml:space="preserve">As per Robinson </w:t>
            </w:r>
            <w:r w:rsidR="00291CB1">
              <w:rPr>
                <w:color w:val="000000" w:themeColor="text1"/>
                <w:sz w:val="20"/>
                <w:szCs w:val="20"/>
              </w:rPr>
              <w:t xml:space="preserve">and </w:t>
            </w:r>
            <w:r w:rsidRPr="0070404D">
              <w:rPr>
                <w:color w:val="000000" w:themeColor="text1"/>
                <w:sz w:val="20"/>
                <w:szCs w:val="20"/>
              </w:rPr>
              <w:t>Redford model (1991).</w:t>
            </w:r>
          </w:p>
          <w:p w14:paraId="24869071" w14:textId="77777777" w:rsidR="00516C17" w:rsidRPr="0070404D" w:rsidRDefault="00516C17" w:rsidP="00C258BC">
            <w:pPr>
              <w:adjustRightInd w:val="0"/>
              <w:spacing w:after="0"/>
              <w:jc w:val="both"/>
              <w:rPr>
                <w:color w:val="000000" w:themeColor="text1"/>
                <w:sz w:val="20"/>
                <w:szCs w:val="20"/>
              </w:rPr>
            </w:pPr>
          </w:p>
        </w:tc>
        <w:tc>
          <w:tcPr>
            <w:tcW w:w="2165" w:type="dxa"/>
            <w:shd w:val="clear" w:color="auto" w:fill="auto"/>
          </w:tcPr>
          <w:p w14:paraId="3595AD1B" w14:textId="0BB390F2" w:rsidR="00141FEA" w:rsidRDefault="00141FEA" w:rsidP="00C258BC">
            <w:pPr>
              <w:adjustRightInd w:val="0"/>
              <w:spacing w:after="0"/>
              <w:jc w:val="both"/>
              <w:rPr>
                <w:noProof/>
                <w:color w:val="000000" w:themeColor="text1"/>
                <w:sz w:val="20"/>
                <w:szCs w:val="20"/>
              </w:rPr>
            </w:pPr>
            <w:r>
              <w:rPr>
                <w:color w:val="000000" w:themeColor="text1"/>
                <w:sz w:val="20"/>
                <w:szCs w:val="20"/>
              </w:rPr>
              <w:fldChar w:fldCharType="begin" w:fldLock="1"/>
            </w:r>
            <w:r w:rsidR="00B2630D">
              <w:rPr>
                <w:color w:val="000000" w:themeColor="text1"/>
                <w:sz w:val="20"/>
                <w:szCs w:val="20"/>
              </w:rPr>
              <w:instrText>ADDIN CSL_CITATION {"citationItems":[{"id":"ITEM-1","itemData":{"author":[{"dropping-particle":"","family":"Bodmer","given":"R E","non-dropping-particle":"","parse-names":false,"suffix":""}],"container-title":"Natural Connections: Perspectives on Community-Based Management","editor":[{"dropping-particle":"","family":"Western","given":"D","non-dropping-particle":"","parse-names":false,"suffix":""},{"dropping-particle":"","family":"Wright","given":"M","non-dropping-particle":"","parse-names":false,"suffix":""},{"dropping-particle":"","family":"S","given":"Strum","non-dropping-particle":"","parse-names":false,"suffix":""}],"id":"ITEM-1","issued":{"date-parts":[["1994"]]},"page":"113-134","publisher":"Island Press, Washington DC, USA","title":"Managing wildlife with local communities in the Peruvian Amazon: the case of the Reserva Comunal Tamshiyacu-Tahuayo","type":"chapter"},"uris":["http://www.mendeley.com/documents/?uuid=62a262fc-05af-409b-a8f6-706335026eea"]},{"id":"ITEM-2","itemData":{"DOI":"10.1016/0006-3207(94)90005-1","ISBN":"0006-3207","ISSN":"00063207","PMID":"23","abstract":"Rural inhabitants in Amazonia can overexploit many mammalian species by game hunting, and tropical forests lose their value as a source of game meat when mammal populations decline. Implementing a sustainable hunt should reduce overexploitation of animals, and therefore help retain the value of intact Amazonian ecosystems. Rural folk in the Tahuayo region of the Reserva Comunal Tamshiyacu-Tahuayo of northeastern Peru appear to be overharvesting primates and lowland tapir Tapirus terrestris, but are apparently not overexploiting artiodactyls and large rodents. Converting the current overhunting in Tahuayo to a more sustainable harvest would require cessation of hunting of overexploited species and the setting of artiodactyl and large rodent harvests at or below current levels. Costs of implementing a more sustainable hunt in Tahuayo would incur a 26% reduction of economic benefits for hunters and reduce the extraction of mammalian biomass by 35%. © 1993.","author":[{"dropping-particle":"","family":"Bodmer","given":"Richard E.","non-dropping-particle":"","parse-names":false,"suffix":""},{"dropping-particle":"","family":"Fang","given":"Tula G.","non-dropping-particle":"","parse-names":false,"suffix":""},{"dropping-particle":"","family":"Moya I","given":"Luis","non-dropping-particle":"","parse-names":false,"suffix":""},{"dropping-particle":"","family":"Gill","given":"Robin","non-dropping-particle":"","parse-names":false,"suffix":""}],"container-title":"Biological Conservation","id":"ITEM-2","issue":"1","issued":{"date-parts":[["1994"]]},"page":"29-35","title":"Managing wildlife to conserve amazonian forests: population biology and economic considerations of game hunting","type":"article-journal","volume":"67"},"uris":["http://www.mendeley.com/documents/?uuid=93cfd7b9-4a4a-4f73-986a-c419c43c3020"]},{"id":"ITEM-3","itemData":{"author":[{"dropping-particle":"","family":"Robinson","given":"J G","non-dropping-particle":"","parse-names":false,"suffix":""},{"dropping-particle":"","family":"Bodmer","given":"R E","non-dropping-particle":"","parse-names":false,"suffix":""}],"container-title":"The Journal of Wildlife Management","id":"ITEM-3","issue":"1","issued":{"date-parts":[["1999"]]},"page":"1-13","title":"Towards Wildlife Management in Tropical Forests","type":"article-journal","volume":"63"},"uris":["http://www.mendeley.com/documents/?uuid=a3319901-398f-42fc-be40-28f7236c085a"]}],"mendeley":{"formattedCitation":"(Bodmer 1994; Bodmer et al. 1994; Robinson &amp; Bodmer 1999)","manualFormatting":"Bodmer 1994;\rBodmer et al. 1994;\rRobinson &amp; Bodmer 1999","plainTextFormattedCitation":"(Bodmer 1994; Bodmer et al. 1994; Robinson &amp; Bodmer 1999)","previouslyFormattedCitation":"(Bodmer 1994; Bodmer et al. 1994; Robinson &amp; Bodmer 1999)"},"properties":{"noteIndex":0},"schema":"https://github.com/citation-style-language/schema/raw/master/csl-citation.json"}</w:instrText>
            </w:r>
            <w:r>
              <w:rPr>
                <w:color w:val="000000" w:themeColor="text1"/>
                <w:sz w:val="20"/>
                <w:szCs w:val="20"/>
              </w:rPr>
              <w:fldChar w:fldCharType="separate"/>
            </w:r>
            <w:r>
              <w:rPr>
                <w:noProof/>
                <w:color w:val="000000" w:themeColor="text1"/>
                <w:sz w:val="20"/>
                <w:szCs w:val="20"/>
              </w:rPr>
              <w:t>Bodmer 1994;</w:t>
            </w:r>
          </w:p>
          <w:p w14:paraId="2ED0ECE6" w14:textId="77777777" w:rsidR="00141FEA" w:rsidRDefault="00141FEA" w:rsidP="00C258BC">
            <w:pPr>
              <w:adjustRightInd w:val="0"/>
              <w:spacing w:after="0"/>
              <w:jc w:val="both"/>
              <w:rPr>
                <w:noProof/>
                <w:color w:val="000000" w:themeColor="text1"/>
                <w:sz w:val="20"/>
                <w:szCs w:val="20"/>
              </w:rPr>
            </w:pPr>
            <w:r>
              <w:rPr>
                <w:noProof/>
                <w:color w:val="000000" w:themeColor="text1"/>
                <w:sz w:val="20"/>
                <w:szCs w:val="20"/>
              </w:rPr>
              <w:t>Bodmer et al. 1994;</w:t>
            </w:r>
          </w:p>
          <w:p w14:paraId="6C1FFFC4" w14:textId="201D0288" w:rsidR="00970F70" w:rsidRPr="0070404D" w:rsidRDefault="00141FEA" w:rsidP="00C258BC">
            <w:pPr>
              <w:adjustRightInd w:val="0"/>
              <w:spacing w:after="0"/>
              <w:jc w:val="both"/>
              <w:rPr>
                <w:color w:val="000000" w:themeColor="text1"/>
                <w:sz w:val="20"/>
                <w:szCs w:val="20"/>
              </w:rPr>
            </w:pPr>
            <w:r w:rsidRPr="00141FEA">
              <w:rPr>
                <w:noProof/>
                <w:color w:val="000000" w:themeColor="text1"/>
                <w:sz w:val="20"/>
                <w:szCs w:val="20"/>
              </w:rPr>
              <w:lastRenderedPageBreak/>
              <w:t>Robinson &amp; Bodmer 1999</w:t>
            </w:r>
            <w:r>
              <w:rPr>
                <w:color w:val="000000" w:themeColor="text1"/>
                <w:sz w:val="20"/>
                <w:szCs w:val="20"/>
              </w:rPr>
              <w:fldChar w:fldCharType="end"/>
            </w:r>
          </w:p>
          <w:p w14:paraId="2204DDA4" w14:textId="1533692F" w:rsidR="00516C17" w:rsidRPr="0070404D" w:rsidRDefault="00516C17" w:rsidP="00C258BC">
            <w:pPr>
              <w:adjustRightInd w:val="0"/>
              <w:spacing w:after="0"/>
              <w:jc w:val="both"/>
              <w:rPr>
                <w:color w:val="000000" w:themeColor="text1"/>
                <w:sz w:val="20"/>
                <w:szCs w:val="20"/>
              </w:rPr>
            </w:pPr>
          </w:p>
        </w:tc>
      </w:tr>
      <w:tr w:rsidR="00516C17" w:rsidRPr="0070404D" w14:paraId="561854BB" w14:textId="77777777" w:rsidTr="000D574D">
        <w:tc>
          <w:tcPr>
            <w:tcW w:w="1885" w:type="dxa"/>
            <w:shd w:val="clear" w:color="auto" w:fill="D9D9D9" w:themeFill="background1" w:themeFillShade="D9"/>
          </w:tcPr>
          <w:p w14:paraId="31F8856C" w14:textId="77777777" w:rsidR="00516C17" w:rsidRPr="000A7365" w:rsidRDefault="00516C17" w:rsidP="00A8497B">
            <w:pPr>
              <w:adjustRightInd w:val="0"/>
              <w:spacing w:after="0"/>
              <w:rPr>
                <w:color w:val="000000" w:themeColor="text1"/>
                <w:sz w:val="20"/>
                <w:szCs w:val="20"/>
              </w:rPr>
            </w:pPr>
            <w:r w:rsidRPr="000A7365">
              <w:rPr>
                <w:color w:val="000000" w:themeColor="text1"/>
                <w:sz w:val="20"/>
                <w:szCs w:val="20"/>
              </w:rPr>
              <w:lastRenderedPageBreak/>
              <w:t>NMFS (production index)</w:t>
            </w:r>
          </w:p>
          <w:p w14:paraId="26233DD4" w14:textId="77777777" w:rsidR="00516C17" w:rsidRPr="000A7365" w:rsidRDefault="00516C17" w:rsidP="00C258BC">
            <w:pPr>
              <w:adjustRightInd w:val="0"/>
              <w:spacing w:after="0"/>
              <w:jc w:val="both"/>
              <w:rPr>
                <w:color w:val="000000" w:themeColor="text1"/>
                <w:sz w:val="20"/>
                <w:szCs w:val="20"/>
              </w:rPr>
            </w:pPr>
          </w:p>
        </w:tc>
        <w:tc>
          <w:tcPr>
            <w:tcW w:w="2475" w:type="dxa"/>
            <w:shd w:val="clear" w:color="auto" w:fill="auto"/>
          </w:tcPr>
          <w:p w14:paraId="3107AD55" w14:textId="77777777" w:rsidR="00516C17" w:rsidRPr="000A7365" w:rsidRDefault="00516C17" w:rsidP="00C258BC">
            <w:pPr>
              <w:adjustRightInd w:val="0"/>
              <w:spacing w:after="0"/>
              <w:jc w:val="both"/>
              <w:rPr>
                <w:color w:val="000000" w:themeColor="text1"/>
                <w:sz w:val="20"/>
                <w:szCs w:val="20"/>
              </w:rPr>
            </w:pPr>
            <w:r w:rsidRPr="000A7365">
              <w:rPr>
                <w:color w:val="000000" w:themeColor="text1"/>
                <w:sz w:val="20"/>
                <w:szCs w:val="20"/>
              </w:rPr>
              <w:t>PBR=Nmin*0.5Rmax*FR</w:t>
            </w:r>
          </w:p>
          <w:p w14:paraId="0E915C04" w14:textId="77777777" w:rsidR="00516C17" w:rsidRPr="000A7365" w:rsidRDefault="00516C17" w:rsidP="00C258BC">
            <w:pPr>
              <w:adjustRightInd w:val="0"/>
              <w:spacing w:after="0"/>
              <w:jc w:val="both"/>
              <w:rPr>
                <w:i/>
                <w:color w:val="000000" w:themeColor="text1"/>
                <w:sz w:val="18"/>
                <w:szCs w:val="18"/>
              </w:rPr>
            </w:pPr>
            <w:r w:rsidRPr="000A7365">
              <w:rPr>
                <w:i/>
                <w:color w:val="000000" w:themeColor="text1"/>
                <w:sz w:val="18"/>
                <w:szCs w:val="18"/>
              </w:rPr>
              <w:t>Nmin = minimum population estimate</w:t>
            </w:r>
          </w:p>
          <w:p w14:paraId="7983B986" w14:textId="77777777" w:rsidR="00516C17" w:rsidRPr="000A7365" w:rsidRDefault="00516C17" w:rsidP="00C258BC">
            <w:pPr>
              <w:adjustRightInd w:val="0"/>
              <w:spacing w:after="0"/>
              <w:jc w:val="both"/>
              <w:rPr>
                <w:i/>
                <w:color w:val="000000" w:themeColor="text1"/>
                <w:sz w:val="18"/>
                <w:szCs w:val="18"/>
              </w:rPr>
            </w:pPr>
            <w:r w:rsidRPr="000A7365">
              <w:rPr>
                <w:i/>
                <w:color w:val="000000" w:themeColor="text1"/>
                <w:sz w:val="18"/>
                <w:szCs w:val="18"/>
              </w:rPr>
              <w:t>Rmax = maximum per capita rate of population increase</w:t>
            </w:r>
          </w:p>
          <w:p w14:paraId="4D715319" w14:textId="77777777" w:rsidR="00516C17" w:rsidRPr="000A7365" w:rsidRDefault="00516C17" w:rsidP="00C258BC">
            <w:pPr>
              <w:adjustRightInd w:val="0"/>
              <w:spacing w:after="0"/>
              <w:jc w:val="both"/>
              <w:rPr>
                <w:i/>
                <w:color w:val="000000" w:themeColor="text1"/>
                <w:sz w:val="18"/>
                <w:szCs w:val="18"/>
              </w:rPr>
            </w:pPr>
            <w:r w:rsidRPr="000A7365">
              <w:rPr>
                <w:i/>
                <w:color w:val="000000" w:themeColor="text1"/>
                <w:sz w:val="18"/>
                <w:szCs w:val="18"/>
              </w:rPr>
              <w:t>FR = recovery factor between 0.1 and 1</w:t>
            </w:r>
          </w:p>
          <w:p w14:paraId="0F8DC505" w14:textId="77777777" w:rsidR="00516C17" w:rsidRPr="000A7365" w:rsidRDefault="00516C17" w:rsidP="00C258BC">
            <w:pPr>
              <w:adjustRightInd w:val="0"/>
              <w:spacing w:after="0"/>
              <w:jc w:val="both"/>
              <w:rPr>
                <w:color w:val="000000" w:themeColor="text1"/>
                <w:sz w:val="20"/>
                <w:szCs w:val="20"/>
              </w:rPr>
            </w:pPr>
          </w:p>
        </w:tc>
        <w:tc>
          <w:tcPr>
            <w:tcW w:w="2475" w:type="dxa"/>
            <w:shd w:val="clear" w:color="auto" w:fill="auto"/>
          </w:tcPr>
          <w:p w14:paraId="4CCC099D"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Harvest level exceeding the</w:t>
            </w:r>
          </w:p>
          <w:p w14:paraId="317F2776" w14:textId="52B947F1"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“Potential Biological Removal</w:t>
            </w:r>
            <w:r w:rsidR="00970F70" w:rsidRPr="0070404D">
              <w:rPr>
                <w:color w:val="000000" w:themeColor="text1"/>
                <w:sz w:val="20"/>
                <w:szCs w:val="20"/>
              </w:rPr>
              <w:t xml:space="preserve"> </w:t>
            </w:r>
            <w:r w:rsidRPr="0070404D">
              <w:rPr>
                <w:color w:val="000000" w:themeColor="text1"/>
                <w:sz w:val="20"/>
                <w:szCs w:val="20"/>
              </w:rPr>
              <w:t>level” is considered</w:t>
            </w:r>
            <w:r w:rsidR="00970F70" w:rsidRPr="0070404D">
              <w:rPr>
                <w:color w:val="000000" w:themeColor="text1"/>
                <w:sz w:val="20"/>
                <w:szCs w:val="20"/>
              </w:rPr>
              <w:t xml:space="preserve"> </w:t>
            </w:r>
            <w:r w:rsidRPr="0070404D">
              <w:rPr>
                <w:color w:val="000000" w:themeColor="text1"/>
                <w:sz w:val="20"/>
                <w:szCs w:val="20"/>
              </w:rPr>
              <w:t>unsustainable</w:t>
            </w:r>
          </w:p>
          <w:p w14:paraId="7619B820"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2753A97D" w14:textId="2BA9FB76"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Shown to set sustainable rates of offtake in</w:t>
            </w:r>
            <w:r w:rsidR="00970F70" w:rsidRPr="0070404D">
              <w:rPr>
                <w:color w:val="000000" w:themeColor="text1"/>
                <w:sz w:val="20"/>
                <w:szCs w:val="20"/>
              </w:rPr>
              <w:t xml:space="preserve"> simulation tests. </w:t>
            </w:r>
            <w:r w:rsidRPr="0070404D">
              <w:rPr>
                <w:color w:val="000000" w:themeColor="text1"/>
                <w:sz w:val="20"/>
                <w:szCs w:val="20"/>
              </w:rPr>
              <w:t>Relatively few parameters</w:t>
            </w:r>
            <w:r w:rsidR="00970F70" w:rsidRPr="0070404D">
              <w:rPr>
                <w:color w:val="000000" w:themeColor="text1"/>
                <w:sz w:val="20"/>
                <w:szCs w:val="20"/>
              </w:rPr>
              <w:t xml:space="preserve"> </w:t>
            </w:r>
            <w:r w:rsidRPr="0070404D">
              <w:rPr>
                <w:color w:val="000000" w:themeColor="text1"/>
                <w:sz w:val="20"/>
                <w:szCs w:val="20"/>
              </w:rPr>
              <w:t>needed. Accounts for uncertainty by using minimum abundance term.</w:t>
            </w:r>
          </w:p>
          <w:p w14:paraId="4F99F155"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5FCC2A4F"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May be too precautionary, and therefore may set rates that are too low to be realistically acceptable to hunting communities.</w:t>
            </w:r>
          </w:p>
        </w:tc>
        <w:tc>
          <w:tcPr>
            <w:tcW w:w="2165" w:type="dxa"/>
            <w:shd w:val="clear" w:color="auto" w:fill="auto"/>
          </w:tcPr>
          <w:p w14:paraId="2A3EF373" w14:textId="2EE4BB80" w:rsidR="00141FEA" w:rsidRDefault="00141FEA" w:rsidP="00C258BC">
            <w:pPr>
              <w:adjustRightInd w:val="0"/>
              <w:spacing w:after="0"/>
              <w:jc w:val="both"/>
              <w:rPr>
                <w:noProof/>
                <w:color w:val="000000" w:themeColor="text1"/>
                <w:sz w:val="20"/>
                <w:szCs w:val="20"/>
              </w:rPr>
            </w:pPr>
            <w:r>
              <w:rPr>
                <w:color w:val="000000" w:themeColor="text1"/>
                <w:sz w:val="20"/>
                <w:szCs w:val="20"/>
              </w:rPr>
              <w:fldChar w:fldCharType="begin" w:fldLock="1"/>
            </w:r>
            <w:r w:rsidR="00AB268B">
              <w:rPr>
                <w:color w:val="000000" w:themeColor="text1"/>
                <w:sz w:val="20"/>
                <w:szCs w:val="20"/>
              </w:rPr>
              <w:instrText>ADDIN CSL_CITATION {"citationItems":[{"id":"ITEM-1","itemData":{"author":[{"dropping-particle":"","family":"Milner-Gulland","given":"E.J.","non-dropping-particle":"","parse-names":false,"suffix":""},{"dropping-particle":"","family":"Akçakaya","given":"H Resit","non-dropping-particle":"","parse-names":false,"suffix":""}],"container-title":"TRENDS in Ecology &amp; Evolution","id":"ITEM-1","issue":"12","issued":{"date-parts":[["2001"]]},"page":"686-692","title":"Sustainability indices for exploited populations","type":"article-journal","volume":"16"},"uris":["http://www.mendeley.com/documents/?uuid=2baf31ed-c41d-3678-9b16-def3745ea9b3"]},{"id":"ITEM-2","itemData":{"author":[{"dropping-particle":"","family":"Wade","given":"P R","non-dropping-particle":"","parse-names":false,"suffix":""}],"container-title":"Marine Mammal Science","id":"ITEM-2","issue":"1","issued":{"date-parts":[["1998"]]},"page":"1-37","title":"Calculating limits to the allowable human-caused mortality of cetaceans and pinnepeds","type":"article-journal","volume":"14"},"uris":["http://www.mendeley.com/documents/?uuid=13704d0b-3e18-436d-bd4e-6823b0b8c550"]},{"id":"ITEM-3","itemData":{"DOI":"10.1111/j.1365-2664.2005.01046.x","ISSN":"00218901","author":[{"dropping-particle":"","family":"Cowlishaw","given":"Guy","non-dropping-particle":"","parse-names":false,"suffix":""},{"dropping-particle":"","family":"Mendelson","given":"Samantha","non-dropping-particle":"","parse-names":false,"suffix":""},{"dropping-particle":"","family":"Rowcliffe","given":"J. Marcus","non-dropping-particle":"","parse-names":false,"suffix":""}],"container-title":"Journal of Applied Ecology","id":"ITEM-3","issue":"3","issued":{"date-parts":[["2005","6","9"]]},"page":"460-468","title":"Evidence for post-depletion sustainability in a mature bushmeat market","type":"article-journal","volume":"42"},"uris":["http://www.mendeley.com/documents/?uuid=4130a980-b255-41f5-86da-c2246cc59c3b"]}],"mendeley":{"formattedCitation":"(Wade 1998; Milner-Gulland &amp; Akçakaya 2001; Cowlishaw et al. 2005)","manualFormatting":"Wade 1998;\rMilner-Gulland &amp; Akçakaya 2001;\rCowlishaw et al. 2005","plainTextFormattedCitation":"(Wade 1998; Milner-Gulland &amp; Akçakaya 2001; Cowlishaw et al. 2005)","previouslyFormattedCitation":"(Wade 1998; Milner-Gulland &amp; Akçakaya 2001; Cowlishaw et al. 2005)"},"properties":{"noteIndex":0},"schema":"https://github.com/citation-style-language/schema/raw/master/csl-citation.json"}</w:instrText>
            </w:r>
            <w:r>
              <w:rPr>
                <w:color w:val="000000" w:themeColor="text1"/>
                <w:sz w:val="20"/>
                <w:szCs w:val="20"/>
              </w:rPr>
              <w:fldChar w:fldCharType="separate"/>
            </w:r>
            <w:r>
              <w:rPr>
                <w:noProof/>
                <w:color w:val="000000" w:themeColor="text1"/>
                <w:sz w:val="20"/>
                <w:szCs w:val="20"/>
              </w:rPr>
              <w:t>Wade 1998;</w:t>
            </w:r>
          </w:p>
          <w:p w14:paraId="0354CD2B" w14:textId="77777777" w:rsidR="00141FEA" w:rsidRDefault="00141FEA" w:rsidP="00C258BC">
            <w:pPr>
              <w:adjustRightInd w:val="0"/>
              <w:spacing w:after="0"/>
              <w:jc w:val="both"/>
              <w:rPr>
                <w:noProof/>
                <w:color w:val="000000" w:themeColor="text1"/>
                <w:sz w:val="20"/>
                <w:szCs w:val="20"/>
              </w:rPr>
            </w:pPr>
            <w:r w:rsidRPr="00141FEA">
              <w:rPr>
                <w:noProof/>
                <w:color w:val="000000" w:themeColor="text1"/>
                <w:sz w:val="20"/>
                <w:szCs w:val="20"/>
              </w:rPr>
              <w:t>Milner-Gulland &amp; Akçakaya 2001;</w:t>
            </w:r>
          </w:p>
          <w:p w14:paraId="22A3E0D7" w14:textId="16B367D8" w:rsidR="00970F70" w:rsidRPr="0070404D" w:rsidRDefault="00141FEA" w:rsidP="00C258BC">
            <w:pPr>
              <w:adjustRightInd w:val="0"/>
              <w:spacing w:after="0"/>
              <w:jc w:val="both"/>
              <w:rPr>
                <w:color w:val="000000" w:themeColor="text1"/>
                <w:sz w:val="20"/>
                <w:szCs w:val="20"/>
              </w:rPr>
            </w:pPr>
            <w:r w:rsidRPr="00141FEA">
              <w:rPr>
                <w:noProof/>
                <w:color w:val="000000" w:themeColor="text1"/>
                <w:sz w:val="20"/>
                <w:szCs w:val="20"/>
              </w:rPr>
              <w:t>Cowlishaw et al. 2005</w:t>
            </w:r>
            <w:r>
              <w:rPr>
                <w:color w:val="000000" w:themeColor="text1"/>
                <w:sz w:val="20"/>
                <w:szCs w:val="20"/>
              </w:rPr>
              <w:fldChar w:fldCharType="end"/>
            </w:r>
          </w:p>
          <w:p w14:paraId="618212CE" w14:textId="77777777" w:rsidR="00516C17" w:rsidRPr="0070404D" w:rsidRDefault="00516C17" w:rsidP="00141FEA">
            <w:pPr>
              <w:adjustRightInd w:val="0"/>
              <w:spacing w:after="0"/>
              <w:jc w:val="both"/>
              <w:rPr>
                <w:color w:val="000000" w:themeColor="text1"/>
                <w:sz w:val="20"/>
                <w:szCs w:val="20"/>
              </w:rPr>
            </w:pPr>
          </w:p>
        </w:tc>
      </w:tr>
      <w:tr w:rsidR="00516C17" w:rsidRPr="0070404D" w14:paraId="215E166A" w14:textId="77777777" w:rsidTr="000D574D">
        <w:trPr>
          <w:trHeight w:val="251"/>
        </w:trPr>
        <w:tc>
          <w:tcPr>
            <w:tcW w:w="1885" w:type="dxa"/>
            <w:shd w:val="clear" w:color="auto" w:fill="D9D9D9" w:themeFill="background1" w:themeFillShade="D9"/>
          </w:tcPr>
          <w:p w14:paraId="7E777959" w14:textId="50F73E6A" w:rsidR="00516C17" w:rsidRPr="000A7365" w:rsidRDefault="00516C17" w:rsidP="00A8497B">
            <w:pPr>
              <w:adjustRightInd w:val="0"/>
              <w:spacing w:after="0"/>
              <w:rPr>
                <w:color w:val="000000" w:themeColor="text1"/>
                <w:sz w:val="20"/>
                <w:szCs w:val="20"/>
              </w:rPr>
            </w:pPr>
            <w:r w:rsidRPr="000A7365">
              <w:rPr>
                <w:color w:val="000000" w:themeColor="text1"/>
                <w:sz w:val="20"/>
                <w:szCs w:val="20"/>
              </w:rPr>
              <w:t>Catch per Unit Effort</w:t>
            </w:r>
            <w:r w:rsidR="00A8497B" w:rsidRPr="000A7365">
              <w:rPr>
                <w:color w:val="000000" w:themeColor="text1"/>
                <w:sz w:val="20"/>
                <w:szCs w:val="20"/>
              </w:rPr>
              <w:t xml:space="preserve"> (CPUE)</w:t>
            </w:r>
          </w:p>
        </w:tc>
        <w:tc>
          <w:tcPr>
            <w:tcW w:w="2475" w:type="dxa"/>
            <w:shd w:val="clear" w:color="auto" w:fill="auto"/>
          </w:tcPr>
          <w:p w14:paraId="48774F5B" w14:textId="77777777" w:rsidR="00516C17" w:rsidRPr="000A7365" w:rsidRDefault="00516C17" w:rsidP="00A8497B">
            <w:pPr>
              <w:adjustRightInd w:val="0"/>
              <w:spacing w:after="0"/>
              <w:rPr>
                <w:color w:val="000000" w:themeColor="text1"/>
                <w:sz w:val="20"/>
                <w:szCs w:val="20"/>
              </w:rPr>
            </w:pPr>
            <w:r w:rsidRPr="000A7365">
              <w:rPr>
                <w:color w:val="000000" w:themeColor="text1"/>
                <w:sz w:val="20"/>
                <w:szCs w:val="20"/>
              </w:rPr>
              <w:t>Hunter Catch and effort data</w:t>
            </w:r>
          </w:p>
          <w:p w14:paraId="242C31FF" w14:textId="77777777" w:rsidR="00516C17" w:rsidRPr="000A7365" w:rsidRDefault="00516C17" w:rsidP="00C258BC">
            <w:pPr>
              <w:adjustRightInd w:val="0"/>
              <w:spacing w:after="0"/>
              <w:jc w:val="both"/>
              <w:rPr>
                <w:color w:val="000000" w:themeColor="text1"/>
                <w:sz w:val="20"/>
                <w:szCs w:val="20"/>
              </w:rPr>
            </w:pPr>
          </w:p>
        </w:tc>
        <w:tc>
          <w:tcPr>
            <w:tcW w:w="2475" w:type="dxa"/>
            <w:shd w:val="clear" w:color="auto" w:fill="auto"/>
          </w:tcPr>
          <w:p w14:paraId="4E86D89B"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Increasing, decreasing, or stable</w:t>
            </w:r>
          </w:p>
          <w:p w14:paraId="26308B66" w14:textId="77777777" w:rsidR="00516C17" w:rsidRPr="0070404D" w:rsidRDefault="00516C17" w:rsidP="00C258BC">
            <w:pPr>
              <w:adjustRightInd w:val="0"/>
              <w:spacing w:after="0"/>
              <w:jc w:val="both"/>
              <w:rPr>
                <w:color w:val="000000" w:themeColor="text1"/>
                <w:sz w:val="20"/>
                <w:szCs w:val="20"/>
              </w:rPr>
            </w:pPr>
          </w:p>
        </w:tc>
        <w:tc>
          <w:tcPr>
            <w:tcW w:w="2475" w:type="dxa"/>
            <w:shd w:val="clear" w:color="auto" w:fill="auto"/>
          </w:tcPr>
          <w:p w14:paraId="2F60A0C5"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Data easily and accurately collected by hunters themselves. Low cost and effort of data collection.</w:t>
            </w:r>
          </w:p>
        </w:tc>
        <w:tc>
          <w:tcPr>
            <w:tcW w:w="2475" w:type="dxa"/>
            <w:shd w:val="clear" w:color="auto" w:fill="auto"/>
          </w:tcPr>
          <w:p w14:paraId="290481CE" w14:textId="77777777" w:rsidR="00516C17" w:rsidRPr="0070404D" w:rsidRDefault="00516C17" w:rsidP="00C258BC">
            <w:pPr>
              <w:adjustRightInd w:val="0"/>
              <w:spacing w:after="0"/>
              <w:jc w:val="both"/>
              <w:rPr>
                <w:color w:val="000000" w:themeColor="text1"/>
                <w:sz w:val="20"/>
                <w:szCs w:val="20"/>
              </w:rPr>
            </w:pPr>
            <w:r w:rsidRPr="0070404D">
              <w:rPr>
                <w:color w:val="000000" w:themeColor="text1"/>
                <w:sz w:val="20"/>
                <w:szCs w:val="20"/>
              </w:rPr>
              <w:t xml:space="preserve">Must be monitored over time. Relationship between CPUE and abundance not necessarily straightforward. Declines may indicate trend towards new equilibrium, not unsustainability. </w:t>
            </w:r>
          </w:p>
        </w:tc>
        <w:tc>
          <w:tcPr>
            <w:tcW w:w="2165" w:type="dxa"/>
            <w:shd w:val="clear" w:color="auto" w:fill="auto"/>
          </w:tcPr>
          <w:p w14:paraId="6CD94D55" w14:textId="2ECDBE6D" w:rsidR="006D09AD" w:rsidRDefault="006D09AD" w:rsidP="006D09AD">
            <w:pPr>
              <w:adjustRightInd w:val="0"/>
              <w:spacing w:after="0"/>
              <w:jc w:val="both"/>
              <w:rPr>
                <w:noProof/>
                <w:color w:val="000000" w:themeColor="text1"/>
                <w:sz w:val="20"/>
                <w:szCs w:val="20"/>
              </w:rPr>
            </w:pPr>
            <w:r>
              <w:rPr>
                <w:color w:val="000000" w:themeColor="text1"/>
                <w:sz w:val="20"/>
                <w:szCs w:val="20"/>
              </w:rPr>
              <w:fldChar w:fldCharType="begin" w:fldLock="1"/>
            </w:r>
            <w:r w:rsidR="009137B3">
              <w:rPr>
                <w:color w:val="000000" w:themeColor="text1"/>
                <w:sz w:val="20"/>
                <w:szCs w:val="20"/>
              </w:rPr>
              <w:instrText>ADDIN CSL_CITATION {"citationItems":[{"id":"ITEM-1","itemData":{"DOI":"10.1111/conl.12389","author":[{"dropping-particle":"","family":"Ingram","given":"Daniel J","non-dropping-particle":"","parse-names":false,"suffix":""},{"dropping-particle":"","family":"Coad","given":"Lauren","non-dropping-particle":"","parse-names":false,"suffix":""},{"dropping-particle":"","family":"Abernethy","given":"K. A.","non-dropping-particle":"","parse-names":false,"suffix":""},{"dropping-particle":"","family":"Maisels","given":"Fiona","non-dropping-particle":"","parse-names":false,"suffix":""},{"dropping-particle":"","family":"Stokes","given":"Emma J","non-dropping-particle":"","parse-names":false,"suffix":""},{"dropping-particle":"","family":"Bobo","given":"Kadiri S","non-dropping-particle":"","parse-names":false,"suffix":""},{"dropping-particle":"","family":"Breuer","given":"Thomas","non-dropping-particle":"","parse-names":false,"suffix":""},{"dropping-particle":"","family":"Gandiwa","given":"Edson","non-dropping-particle":"","parse-names":false,"suffix":""},{"dropping-particle":"","family":"Ghiurghi","given":"Andrea","non-dropping-particle":"","parse-names":false,"suffix":""},{"dropping-particle":"","family":"Greengrass","given":"Elizabeth","non-dropping-particle":"","parse-names":false,"suffix":""},{"dropping-particle":"","family":"Holmern","given":"Tomas","non-dropping-particle":"","parse-names":false,"suffix":""},{"dropping-particle":"","family":"Kamgaing","given":"Towa O W","non-dropping-particle":"","parse-names":false,"suffix":""},{"dropping-particle":"","family":"Obiang","given":"Anne-marie Ndong","non-dropping-particle":"","parse-names":false,"suffix":""},{"dropping-particle":"","family":"Poulsen","given":"John R","non-dropping-particle":"","parse-names":false,"suffix":""},{"dropping-particle":"","family":"Schleicher","given":"Judith","non-dropping-particle":"","parse-names":false,"suffix":""},{"dropping-particle":"","family":"Nielsen","given":"Martin R","non-dropping-particle":"","parse-names":false,"suffix":""},{"dropping-particle":"","family":"Solly","given":"Hilary","non-dropping-particle":"","parse-names":false,"suffix":""},{"dropping-particle":"","family":"Vath","given":"Carrie L","non-dropping-particle":"","parse-names":false,"suffix":""},{"dropping-particle":"","family":"Waltert","given":"Matthias","non-dropping-particle":"","parse-names":false,"suffix":""}],"container-title":"Conservation Letters","id":"ITEM-1","issued":{"date-parts":[["2018"]]},"page":"e12389","title":"Assessing Africa-wide pangolin exploitation by scaling local data","type":"article-journal","volume":"11"},"uris":["http://www.mendeley.com/documents/?uuid=16e379bf-a328-43b1-8cfb-26e8483496ee"]},{"id":"ITEM-2","itemData":{"DOI":"10.1046/j.1523-1739.2003.01135.x","ISBN":"0888-8892","ISSN":"08888892","abstract":"This longitudinal study examines the impact of native hunting on the populations of 10 important game species in the Mbaracayu Reserve, Paraguay. From July 1994 to July 2001, native Ache research assistants surveyed 7,535 km of diurnal random transects in the reserve. Analyses of data from these transects and harvest-rate data from 5,526 Ache hunter days suggest that the hunting return rate declined significantly for one species. Nonsignificant declines were observed for 6 of the other 9 species. Native harvest percentages of the stock population appear sustainable for 10 major prey species, but rates of harvest from nonindigenous poaching could not be determined. Crude encounter rates for all 10 species declined over time, but only 2 of these were statistically significant in a univariate model. Multivariate logistic regression controlling for habitat type and location in the reserve showed significant declines in encounter rates over time for 4 species, but the effect of interaction between time and hunting pressure failed to confirm that declines in encounter rates were steeper in more-hunted versus less-hunted areas of the reserve. This may mean that other factors unrelated to hunting pressure are responsible for some of the declines in game encounter rates.","author":[{"dropping-particle":"","family":"Hill","given":"Kim","non-dropping-particle":"","parse-names":false,"suffix":""},{"dropping-particle":"","family":"McMillan","given":"Garnett","non-dropping-particle":"","parse-names":false,"suffix":""},{"dropping-particle":"","family":"Fariña","given":"Rosalia","non-dropping-particle":"","parse-names":false,"suffix":""}],"container-title":"Conservation Biology","id":"ITEM-2","issue":"5","issued":{"date-parts":[["2003"]]},"page":"1312-1323","title":"Hunting-related changes in game encounter rates from 1994 to 2001 in the Mbaracayu Reserve, Paraguay","type":"article-journal","volume":"17"},"uris":["http://www.mendeley.com/documents/?uuid=8d2eaff7-1003-4451-b06a-89f4e7b706dc"]},{"id":"ITEM-3","itemData":{"DOI":"10.1111/j.1523-1739.2010.01470.x","ISBN":"0888-8892","ISSN":"08888892","PMID":"20491849","abstract":"Abstract: Growing threats to biodiversity in the tropics mean there is an increasing need for effective monitoring that balances scientific rigor with practical feasibility. Alternatives to professional techniques are emerging that are based on the involvement of local people. Such locally based monitoring methods may be more sustainable over time, allow greater spatial coverage and quicker management decisions, lead to increased compliance, and help encourage attitude shifts toward more environmentally sustainable practices. Nevertheless, few studies have yet compared the findings or cost-effectiveness of locally based methods with professional techniques or investigated the power of locally based methods to detect trends. We gathered data on bushmeat-hunting catch and effort using a professional technique (accompanying hunters on hunting trips) and two locally based methods in which data were collected by hunters (hunting camp diaries and weekly hunter interviews) in a 15-month study in Equatorial Guinea. Catch and effort results from locally based methods were strongly correlated with those of the professional technique and the spatial locations of hunting trips reported in the locally based methods accurately reflected those recorded with the professional technique. We used power simulations of catch and effort data to show that locally based methods can reliably detect meaningful levels of change (20% change with 80% power at significance level [α]= 0.05) in multispecies catch per unit effort. Locally based methods were the most cost-effective for monitoring. Hunter interviews collected catch and effort data on 240% more hunts per person hour and 94% more hunts per unit cost, spent on monitoring, than the professional technique. Our results suggest that locally based monitoring can offer an accurate, cost-effective, and sufficiently powerful method to monitor the status of natural resources. To establish such a system in Equatorial Guinea, the current lack of national and local capacity for monitoring and management must be addressed.","author":[{"dropping-particle":"","family":"Rist","given":"Janna","non-dropping-particle":"","parse-names":false,"suffix":""},{"dropping-particle":"","family":"Milner-Gulland","given":"E. J.","non-dropping-particle":"","parse-names":false,"suffix":""},{"dropping-particle":"","family":"Cowlishaw","given":"Guy","non-dropping-particle":"","parse-names":false,"suffix":""},{"dropping-particle":"","family":"Rowcliffe","given":"Marcus","non-dropping-particle":"","parse-names":false,"suffix":""}],"container-title":"Conservation Biology","id":"ITEM-3","issue":"2","issued":{"date-parts":[["2010"]]},"page":"489-499","title":"Informaci??n sobre la captura por unidad de esfuerzo proporcionada por cazadores como una herramienta de monitoreo en un sistema de cosecha de carne silvestre","type":"article-journal","volume":"24"},"uris":["http://www.mendeley.com/documents/?uuid=558d937d-b549-453f-9d61-c60018f76e37"]},{"id":"ITEM-4","itemData":{"DOI":"10.1007/BF02734164","ISBN":"1045-6767","ISSN":"10456767","abstract":"Siona-Secoya hunters of the northwest Amazon strive to maximize short-term yields to provision their households with meat. The observed patterns of hunting more closely resemble the predictions of optimal foraging theory (OFT) than they do a conservation ethic. In the past the Siona-Secoya worried little about conservation because they believed that good shamans attracted abundant game. When hunting was poor, shamans performed yage' ceremonies and appealed to supernatural game-keepers for the release of more animals from the underworld. The sustainability of Siona-Secoya hunting was aided by factors such as low human population density, dispersed settlements within large hunting territories, settlement movement, and limited hunting technology. Today, increasing involvement in the national economy is leading the Siona-Secoya to invest more time in agriculture and wage labor, and less in traditional foraging activities. Colonization, deforestation, and industrial pollution now pose the greatest threats to wildlife in eastern Ecuador. Because of these changes, the Siona-Secoya are becoming interested in environmental protection and conservation. Several of their efforts to protect forest resources and mitigate pollution are discussed and evaluated.","author":[{"dropping-particle":"","family":"Vickers","given":"William T.","non-dropping-particle":"","parse-names":false,"suffix":""}],"container-title":"Human Nature","id":"ITEM-4","issue":"4","issued":{"date-parts":[["1994"]]},"page":"307-337","title":"From opportunism to nascent conservation - The case of the Siona-Secoya","type":"article-journal","volume":"5"},"uris":["http://www.mendeley.com/documents/?uuid=f32a2d07-d2ed-4f61-a14e-ca6a7ed51681"]}],"mendeley":{"formattedCitation":"(Vickers 1994; Hill et al. 2003; Rist et al. 2010a; Ingram et al. 2018)","manualFormatting":"Vickers 1994; \rHill et al. 2003; \rRist et al. 2010a; \rIngram et al. 2018","plainTextFormattedCitation":"(Vickers 1994; Hill et al. 2003; Rist et al. 2010a; Ingram et al. 2018)","previouslyFormattedCitation":"(Vickers 1994; Hill et al. 2003; Rist et al. 2010a; Ingram et al. 2018)"},"properties":{"noteIndex":0},"schema":"https://github.com/citation-style-language/schema/raw/master/csl-citation.json"}</w:instrText>
            </w:r>
            <w:r>
              <w:rPr>
                <w:color w:val="000000" w:themeColor="text1"/>
                <w:sz w:val="20"/>
                <w:szCs w:val="20"/>
              </w:rPr>
              <w:fldChar w:fldCharType="separate"/>
            </w:r>
            <w:r w:rsidRPr="006D09AD">
              <w:rPr>
                <w:noProof/>
                <w:color w:val="000000" w:themeColor="text1"/>
                <w:sz w:val="20"/>
                <w:szCs w:val="20"/>
              </w:rPr>
              <w:t xml:space="preserve">Vickers 1994; </w:t>
            </w:r>
          </w:p>
          <w:p w14:paraId="1B4A6843" w14:textId="77777777" w:rsidR="006D09AD" w:rsidRDefault="006D09AD" w:rsidP="006D09AD">
            <w:pPr>
              <w:adjustRightInd w:val="0"/>
              <w:spacing w:after="0"/>
              <w:jc w:val="both"/>
              <w:rPr>
                <w:noProof/>
                <w:color w:val="000000" w:themeColor="text1"/>
                <w:sz w:val="20"/>
                <w:szCs w:val="20"/>
              </w:rPr>
            </w:pPr>
            <w:r w:rsidRPr="006D09AD">
              <w:rPr>
                <w:noProof/>
                <w:color w:val="000000" w:themeColor="text1"/>
                <w:sz w:val="20"/>
                <w:szCs w:val="20"/>
              </w:rPr>
              <w:t xml:space="preserve">Hill et al. 2003; </w:t>
            </w:r>
          </w:p>
          <w:p w14:paraId="45D8DE4C" w14:textId="77777777" w:rsidR="006D09AD" w:rsidRDefault="006D09AD" w:rsidP="006D09AD">
            <w:pPr>
              <w:adjustRightInd w:val="0"/>
              <w:spacing w:after="0"/>
              <w:jc w:val="both"/>
              <w:rPr>
                <w:noProof/>
                <w:color w:val="000000" w:themeColor="text1"/>
                <w:sz w:val="20"/>
                <w:szCs w:val="20"/>
              </w:rPr>
            </w:pPr>
            <w:r w:rsidRPr="006D09AD">
              <w:rPr>
                <w:noProof/>
                <w:color w:val="000000" w:themeColor="text1"/>
                <w:sz w:val="20"/>
                <w:szCs w:val="20"/>
              </w:rPr>
              <w:t xml:space="preserve">Rist et al. 2010a; </w:t>
            </w:r>
          </w:p>
          <w:p w14:paraId="730EFF1E" w14:textId="108E8033" w:rsidR="00851059" w:rsidRPr="004904D8" w:rsidRDefault="006D09AD" w:rsidP="006D09AD">
            <w:pPr>
              <w:adjustRightInd w:val="0"/>
              <w:spacing w:after="0"/>
              <w:jc w:val="both"/>
              <w:rPr>
                <w:color w:val="000000" w:themeColor="text1"/>
                <w:sz w:val="20"/>
                <w:szCs w:val="20"/>
              </w:rPr>
            </w:pPr>
            <w:r w:rsidRPr="006D09AD">
              <w:rPr>
                <w:noProof/>
                <w:color w:val="000000" w:themeColor="text1"/>
                <w:sz w:val="20"/>
                <w:szCs w:val="20"/>
              </w:rPr>
              <w:t>Ingram et al. 2018</w:t>
            </w:r>
            <w:r>
              <w:rPr>
                <w:color w:val="000000" w:themeColor="text1"/>
                <w:sz w:val="20"/>
                <w:szCs w:val="20"/>
              </w:rPr>
              <w:fldChar w:fldCharType="end"/>
            </w:r>
          </w:p>
        </w:tc>
      </w:tr>
    </w:tbl>
    <w:p w14:paraId="1D771AC8" w14:textId="77777777" w:rsidR="00970F70" w:rsidRPr="0070404D" w:rsidRDefault="00970F70" w:rsidP="00C258BC">
      <w:pPr>
        <w:jc w:val="both"/>
        <w:rPr>
          <w:color w:val="000000" w:themeColor="text1"/>
        </w:rPr>
        <w:sectPr w:rsidR="00970F70" w:rsidRPr="0070404D" w:rsidSect="00970F70">
          <w:pgSz w:w="16838" w:h="11906" w:orient="landscape"/>
          <w:pgMar w:top="1440" w:right="1440" w:bottom="1440" w:left="1440" w:header="708" w:footer="708" w:gutter="0"/>
          <w:cols w:space="708"/>
          <w:docGrid w:linePitch="360"/>
        </w:sectPr>
      </w:pPr>
    </w:p>
    <w:p w14:paraId="318EA55E" w14:textId="4B6BA14B" w:rsidR="00516C17" w:rsidRPr="0070404D" w:rsidRDefault="00AE5EA1" w:rsidP="00C258BC">
      <w:pPr>
        <w:jc w:val="both"/>
        <w:rPr>
          <w:color w:val="000000" w:themeColor="text1"/>
        </w:rPr>
      </w:pPr>
      <w:r w:rsidRPr="006740B0">
        <w:rPr>
          <w:noProof/>
          <w:color w:val="000000" w:themeColor="text1"/>
          <w:lang w:val="en-US"/>
        </w:rPr>
        <w:lastRenderedPageBreak/>
        <mc:AlternateContent>
          <mc:Choice Requires="wps">
            <w:drawing>
              <wp:inline distT="0" distB="0" distL="0" distR="0" wp14:anchorId="7B17A012" wp14:editId="5DFF4284">
                <wp:extent cx="5731510" cy="8447314"/>
                <wp:effectExtent l="0" t="0" r="38100" b="36830"/>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8447314"/>
                        </a:xfrm>
                        <a:prstGeom prst="rect">
                          <a:avLst/>
                        </a:prstGeom>
                        <a:solidFill>
                          <a:schemeClr val="bg1">
                            <a:lumMod val="85000"/>
                          </a:schemeClr>
                        </a:solidFill>
                        <a:ln w="22225">
                          <a:solidFill>
                            <a:schemeClr val="tx1">
                              <a:lumMod val="100000"/>
                              <a:lumOff val="0"/>
                            </a:schemeClr>
                          </a:solidFill>
                          <a:miter lim="800000"/>
                          <a:headEnd/>
                          <a:tailEnd/>
                        </a:ln>
                        <a:extLst/>
                      </wps:spPr>
                      <wps:txbx>
                        <w:txbxContent>
                          <w:p w14:paraId="7E4943DD" w14:textId="38CCB49F" w:rsidR="00B82BFD" w:rsidRDefault="00B82BFD" w:rsidP="00AE5EA1">
                            <w:pPr>
                              <w:pStyle w:val="Caption"/>
                              <w:rPr>
                                <w:sz w:val="22"/>
                                <w:szCs w:val="22"/>
                                <w:lang w:val="en-US"/>
                              </w:rPr>
                            </w:pPr>
                            <w:bookmarkStart w:id="252" w:name="_Ref520802571"/>
                            <w:r>
                              <w:t xml:space="preserve">Box </w:t>
                            </w:r>
                            <w:r>
                              <w:fldChar w:fldCharType="begin"/>
                            </w:r>
                            <w:r>
                              <w:instrText xml:space="preserve"> SEQ Box \* ARABIC </w:instrText>
                            </w:r>
                            <w:r>
                              <w:fldChar w:fldCharType="separate"/>
                            </w:r>
                            <w:r>
                              <w:rPr>
                                <w:noProof/>
                              </w:rPr>
                              <w:t>7</w:t>
                            </w:r>
                            <w:r>
                              <w:fldChar w:fldCharType="end"/>
                            </w:r>
                            <w:bookmarkEnd w:id="252"/>
                            <w:r>
                              <w:t>: The participatory creation of local hunting rules</w:t>
                            </w:r>
                          </w:p>
                          <w:p w14:paraId="51949622" w14:textId="77777777" w:rsidR="00B82BFD" w:rsidRPr="009137B3" w:rsidRDefault="00B82BFD" w:rsidP="00AE5EA1">
                            <w:pPr>
                              <w:autoSpaceDE w:val="0"/>
                              <w:autoSpaceDN w:val="0"/>
                              <w:adjustRightInd w:val="0"/>
                              <w:spacing w:after="0"/>
                              <w:jc w:val="both"/>
                              <w:rPr>
                                <w:sz w:val="22"/>
                                <w:szCs w:val="22"/>
                                <w:lang w:val="en-US"/>
                              </w:rPr>
                            </w:pPr>
                            <w:r w:rsidRPr="002C3109">
                              <w:rPr>
                                <w:sz w:val="22"/>
                                <w:szCs w:val="22"/>
                                <w:lang w:val="en-US"/>
                              </w:rPr>
                              <w:t xml:space="preserve">The Piagaçu-Purus Sustainable Development Reserve (RDS-PP) was created in 2003 and encompasses 834,243 ha in the Brazilian Amazon. </w:t>
                            </w:r>
                            <w:r w:rsidRPr="002C3109">
                              <w:rPr>
                                <w:sz w:val="22"/>
                                <w:szCs w:val="22"/>
                              </w:rPr>
                              <w:t xml:space="preserve">Hunting is one of the most important subsistence activities </w:t>
                            </w:r>
                            <w:r w:rsidRPr="009137B3">
                              <w:rPr>
                                <w:sz w:val="22"/>
                                <w:szCs w:val="22"/>
                              </w:rPr>
                              <w:t>for the more than 4,000 residents, and has been widely practised by the communities of this reserve (Terra, 2007; Muhlen, 2008).</w:t>
                            </w:r>
                            <w:r w:rsidRPr="009137B3">
                              <w:rPr>
                                <w:sz w:val="22"/>
                                <w:szCs w:val="22"/>
                                <w:lang w:val="en-US"/>
                              </w:rPr>
                              <w:t xml:space="preserve"> Since its creation, the RDS-PP seeks to conciliate natural resource use with socioenvironmental sustainability through participatory zoning of the territory (e.g., defining non-take vs. intensive-used areas), and elaboration of local rules to regulate the use and access to natural resources. The participative process of establishing the local management in the reserve began in 2004 through a partnership between the Piagaçu Institute and the Centre for Protected Areas of Amazonas State (CEUC/SDS), and aimed at specifying areas for subsistence use, commercial management, and protection. In 2009, representative dwellers from all regions of the RDS-PP held a participatory planning workshop, creating rules governing the use of terrestrial wildlife, which would be subsequently included in the official management plan of the reserve. Some of these rules were based on informal rules already existing in the communities, while others represented management strategies suggested by those intermediated the meeting (Vieira et al. 2015). Accordingly, the development of the management plan for the RDS-PP resulted in the adoption 19 rules governing the use of terrestrial wildlife for all reserve (Vieira et al. 2015). These regulations included, among others:</w:t>
                            </w:r>
                          </w:p>
                          <w:p w14:paraId="5BBD62E7" w14:textId="4C5079DB" w:rsidR="00B82BFD" w:rsidRPr="009137B3" w:rsidRDefault="00B82BFD" w:rsidP="00AE5EA1">
                            <w:pPr>
                              <w:autoSpaceDE w:val="0"/>
                              <w:autoSpaceDN w:val="0"/>
                              <w:adjustRightInd w:val="0"/>
                              <w:spacing w:after="0"/>
                              <w:jc w:val="both"/>
                              <w:rPr>
                                <w:sz w:val="22"/>
                                <w:szCs w:val="22"/>
                                <w:lang w:val="en-US"/>
                              </w:rPr>
                            </w:pPr>
                            <w:r w:rsidRPr="009137B3">
                              <w:rPr>
                                <w:sz w:val="22"/>
                                <w:szCs w:val="22"/>
                                <w:lang w:val="en-US"/>
                              </w:rPr>
                              <w:t xml:space="preserve"> </w:t>
                            </w:r>
                          </w:p>
                          <w:p w14:paraId="0B882E3C" w14:textId="77777777" w:rsidR="00B82BFD" w:rsidRPr="002C3109" w:rsidRDefault="00B82BFD" w:rsidP="00AE5EA1">
                            <w:pPr>
                              <w:autoSpaceDE w:val="0"/>
                              <w:autoSpaceDN w:val="0"/>
                              <w:adjustRightInd w:val="0"/>
                              <w:spacing w:after="0"/>
                              <w:jc w:val="both"/>
                              <w:rPr>
                                <w:sz w:val="22"/>
                                <w:szCs w:val="22"/>
                                <w:lang w:val="en-US"/>
                              </w:rPr>
                            </w:pPr>
                            <w:r w:rsidRPr="009137B3">
                              <w:rPr>
                                <w:sz w:val="22"/>
                                <w:szCs w:val="22"/>
                                <w:lang w:val="en-US"/>
                              </w:rPr>
                              <w:t>a) Restrictions of techniques: the avoidance of using dogs and the prohibition of using traps to capture animals and slingshots to harm animals (specifically by children); and the prohibition to</w:t>
                            </w:r>
                            <w:r w:rsidRPr="002C3109">
                              <w:rPr>
                                <w:sz w:val="22"/>
                                <w:szCs w:val="22"/>
                                <w:lang w:val="en-US"/>
                              </w:rPr>
                              <w:t xml:space="preserve"> raise tethered or caged forest animals in captivity.</w:t>
                            </w:r>
                          </w:p>
                          <w:p w14:paraId="02626002" w14:textId="77777777" w:rsidR="00B82BFD" w:rsidRPr="002C3109" w:rsidRDefault="00B82BFD" w:rsidP="00AE5EA1">
                            <w:pPr>
                              <w:autoSpaceDE w:val="0"/>
                              <w:autoSpaceDN w:val="0"/>
                              <w:adjustRightInd w:val="0"/>
                              <w:spacing w:after="0"/>
                              <w:jc w:val="both"/>
                              <w:rPr>
                                <w:sz w:val="22"/>
                                <w:szCs w:val="22"/>
                                <w:lang w:val="en-US"/>
                              </w:rPr>
                            </w:pPr>
                            <w:r w:rsidRPr="002C3109">
                              <w:rPr>
                                <w:sz w:val="22"/>
                                <w:szCs w:val="22"/>
                                <w:lang w:val="en-US"/>
                              </w:rPr>
                              <w:t>b) Restrictions of species and specific individuals: the prohibition of killing any pregnant or immature individual, and species not used for food (except for self-defense); the prohibition of collecting birds’ eggs during the breeding season; the prohibition of killing any species in large numbers in a single hunting event, specific quotas may be discussed and agreed upon in each region; the prohibition of killing endangered species.</w:t>
                            </w:r>
                          </w:p>
                          <w:p w14:paraId="1309E6A6" w14:textId="77777777" w:rsidR="00B82BFD" w:rsidRPr="002C3109" w:rsidRDefault="00B82BFD" w:rsidP="00AE5EA1">
                            <w:pPr>
                              <w:autoSpaceDE w:val="0"/>
                              <w:autoSpaceDN w:val="0"/>
                              <w:adjustRightInd w:val="0"/>
                              <w:spacing w:after="0"/>
                              <w:jc w:val="both"/>
                              <w:rPr>
                                <w:sz w:val="22"/>
                                <w:szCs w:val="22"/>
                                <w:lang w:val="en-US"/>
                              </w:rPr>
                            </w:pPr>
                            <w:r w:rsidRPr="002C3109">
                              <w:rPr>
                                <w:sz w:val="22"/>
                                <w:szCs w:val="22"/>
                                <w:lang w:val="en-US"/>
                              </w:rPr>
                              <w:t>c) Restriction of wild meat use: the prohibition of hunting for sale to outsiders; the prohibition of hunting by non-inhabitants; the respect for the zoning of used areas by each community; the permission of carrying up to 3 kg of wild meat on long journeys for the purpose of consumption along the journey.</w:t>
                            </w:r>
                          </w:p>
                          <w:p w14:paraId="7DE23170" w14:textId="77777777" w:rsidR="00B82BFD" w:rsidRDefault="00B82BFD" w:rsidP="00AE5EA1">
                            <w:pPr>
                              <w:autoSpaceDE w:val="0"/>
                              <w:autoSpaceDN w:val="0"/>
                              <w:adjustRightInd w:val="0"/>
                              <w:spacing w:after="0"/>
                              <w:rPr>
                                <w:sz w:val="22"/>
                                <w:szCs w:val="22"/>
                                <w:lang w:val="en-US"/>
                              </w:rPr>
                            </w:pPr>
                            <w:r w:rsidRPr="002C3109">
                              <w:rPr>
                                <w:sz w:val="22"/>
                                <w:szCs w:val="22"/>
                                <w:lang w:val="en-US"/>
                              </w:rPr>
                              <w:t>d) Penalties: hunters who fail to comply with a rule will have their wild meat confiscated and distributed to the rest of the local community. In addition, it was established that in case any rule is disrespected, the offender’s weapon would be confiscated for 90 days for first</w:t>
                            </w:r>
                            <w:r w:rsidRPr="002C3109">
                              <w:rPr>
                                <w:rFonts w:ascii="MS Mincho" w:eastAsia="MS Mincho" w:hAnsi="MS Mincho" w:cs="MS Mincho"/>
                                <w:sz w:val="22"/>
                                <w:szCs w:val="22"/>
                                <w:lang w:val="en-US"/>
                              </w:rPr>
                              <w:t>‑</w:t>
                            </w:r>
                            <w:r w:rsidRPr="002C3109">
                              <w:rPr>
                                <w:sz w:val="22"/>
                                <w:szCs w:val="22"/>
                                <w:lang w:val="en-US"/>
                              </w:rPr>
                              <w:t>time offences and for 180 days for repeat offences.</w:t>
                            </w:r>
                          </w:p>
                          <w:p w14:paraId="698FA34D" w14:textId="4269CB0B" w:rsidR="00B82BFD" w:rsidRPr="009137B3" w:rsidRDefault="00B82BFD" w:rsidP="00AE5EA1">
                            <w:pPr>
                              <w:autoSpaceDE w:val="0"/>
                              <w:autoSpaceDN w:val="0"/>
                              <w:adjustRightInd w:val="0"/>
                              <w:spacing w:after="0"/>
                              <w:rPr>
                                <w:sz w:val="22"/>
                                <w:szCs w:val="22"/>
                                <w:lang w:val="en-US"/>
                              </w:rPr>
                            </w:pPr>
                            <w:r>
                              <w:rPr>
                                <w:sz w:val="22"/>
                                <w:szCs w:val="22"/>
                                <w:lang w:val="en-US"/>
                              </w:rPr>
                              <w:t xml:space="preserve">e) Commemorative occasions: </w:t>
                            </w:r>
                            <w:r w:rsidRPr="002C3109">
                              <w:rPr>
                                <w:sz w:val="22"/>
                                <w:szCs w:val="22"/>
                                <w:lang w:val="en-US"/>
                              </w:rPr>
                              <w:t xml:space="preserve">In 2012, one of the communities convened a meeting to regulate wildlife use, creating an official agreement limiting hunting on commemorative occasions, creating quotas for large hunting </w:t>
                            </w:r>
                            <w:r w:rsidRPr="009137B3">
                              <w:rPr>
                                <w:sz w:val="22"/>
                                <w:szCs w:val="22"/>
                                <w:lang w:val="en-US"/>
                              </w:rPr>
                              <w:t xml:space="preserve">events, controlling the access by outside users, i.e. teachers and visitors, and limiting hunting pacas in August, which is considered as an important time in the species’ reproduction cycle. The agreement also established an expiration date for the rules, lending them an adaptive character. </w:t>
                            </w:r>
                          </w:p>
                          <w:p w14:paraId="4678A680" w14:textId="5EDB2C3E" w:rsidR="00B82BFD" w:rsidRPr="009137B3" w:rsidRDefault="00B82BFD" w:rsidP="00AE5EA1">
                            <w:pPr>
                              <w:autoSpaceDE w:val="0"/>
                              <w:autoSpaceDN w:val="0"/>
                              <w:adjustRightInd w:val="0"/>
                              <w:spacing w:after="0"/>
                              <w:rPr>
                                <w:sz w:val="22"/>
                                <w:szCs w:val="22"/>
                                <w:lang w:val="en-US"/>
                              </w:rPr>
                            </w:pPr>
                            <w:r w:rsidRPr="009137B3">
                              <w:rPr>
                                <w:sz w:val="22"/>
                                <w:szCs w:val="22"/>
                                <w:lang w:val="en-US"/>
                              </w:rPr>
                              <w:t xml:space="preserve">f) Rotation of hunting grounds: In another community, an agreement covered hunting grounds, in which hunters should rotate the hunting areas along a set of streams for a defined time period, allowing a population recovery of game species (Vieira et al., 2015). </w:t>
                            </w:r>
                          </w:p>
                          <w:p w14:paraId="1D985B10" w14:textId="161DB941" w:rsidR="00B82BFD" w:rsidRPr="002C3109" w:rsidRDefault="00B82BFD" w:rsidP="00AE5EA1">
                            <w:pPr>
                              <w:autoSpaceDE w:val="0"/>
                              <w:autoSpaceDN w:val="0"/>
                              <w:adjustRightInd w:val="0"/>
                              <w:spacing w:after="0"/>
                              <w:jc w:val="both"/>
                              <w:rPr>
                                <w:sz w:val="22"/>
                                <w:szCs w:val="22"/>
                                <w:lang w:val="en-US"/>
                              </w:rPr>
                            </w:pPr>
                            <w:r w:rsidRPr="009137B3">
                              <w:rPr>
                                <w:color w:val="000000"/>
                                <w:sz w:val="22"/>
                                <w:szCs w:val="22"/>
                                <w:lang w:val="en-US"/>
                              </w:rPr>
                              <w:t>SDR-PP, similarly to other</w:t>
                            </w:r>
                            <w:r w:rsidRPr="009137B3">
                              <w:rPr>
                                <w:sz w:val="22"/>
                                <w:szCs w:val="22"/>
                                <w:lang w:val="en-US"/>
                              </w:rPr>
                              <w:t xml:space="preserve"> SDRs in Brazil, has been playing laboratory role for developing and testing management strategies towards sustainable hunting in partnership with local communities. Local inhabitants have a noticeable ecological knowledge and are prone to follow local rules, since they rely on natural resources for their survivorship (Vieira et al., 2015).</w:t>
                            </w:r>
                          </w:p>
                        </w:txbxContent>
                      </wps:txbx>
                      <wps:bodyPr rot="0" vert="horz" wrap="none" lIns="91440" tIns="45720" rIns="91440" bIns="45720" anchor="t" anchorCtr="0" upright="1">
                        <a:noAutofit/>
                      </wps:bodyPr>
                    </wps:wsp>
                  </a:graphicData>
                </a:graphic>
              </wp:inline>
            </w:drawing>
          </mc:Choice>
          <mc:Fallback>
            <w:pict>
              <v:shape w14:anchorId="7B17A012" id="_x0000_s1032" type="#_x0000_t202" style="width:451.3pt;height:665.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" fillcolor="#d8d8d8 [2732]" strokecolor="black [3213]" strokeweight="1.75pt">
                <v:textbox>
                  <w:txbxContent>
                    <w:p w14:paraId="7E4943DD" w14:textId="38CCB49F" w:rsidR="00B82BFD" w:rsidRDefault="00B82BFD" w:rsidP="00AE5EA1">
                      <w:pPr>
                        <w:pStyle w:val="Caption"/>
                        <w:rPr>
                          <w:sz w:val="22"/>
                          <w:szCs w:val="22"/>
                          <w:lang w:val="en-US"/>
                        </w:rPr>
                      </w:pPr>
                      <w:bookmarkStart w:id="253" w:name="_Ref520802571"/>
                      <w:r>
                        <w:t xml:space="preserve">Box </w:t>
                      </w:r>
                      <w:r>
                        <w:fldChar w:fldCharType="begin"/>
                      </w:r>
                      <w:r>
                        <w:instrText xml:space="preserve"> SEQ Box \* ARABIC </w:instrText>
                      </w:r>
                      <w:r>
                        <w:fldChar w:fldCharType="separate"/>
                      </w:r>
                      <w:r>
                        <w:rPr>
                          <w:noProof/>
                        </w:rPr>
                        <w:t>7</w:t>
                      </w:r>
                      <w:r>
                        <w:fldChar w:fldCharType="end"/>
                      </w:r>
                      <w:bookmarkEnd w:id="253"/>
                      <w:r>
                        <w:t>: The participatory creation of local hunting rules</w:t>
                      </w:r>
                    </w:p>
                    <w:p w14:paraId="51949622" w14:textId="77777777" w:rsidR="00B82BFD" w:rsidRPr="009137B3" w:rsidRDefault="00B82BFD" w:rsidP="00AE5EA1">
                      <w:pPr>
                        <w:autoSpaceDE w:val="0"/>
                        <w:autoSpaceDN w:val="0"/>
                        <w:adjustRightInd w:val="0"/>
                        <w:spacing w:after="0"/>
                        <w:jc w:val="both"/>
                        <w:rPr>
                          <w:sz w:val="22"/>
                          <w:szCs w:val="22"/>
                          <w:lang w:val="en-US"/>
                        </w:rPr>
                      </w:pPr>
                      <w:r w:rsidRPr="002C3109">
                        <w:rPr>
                          <w:sz w:val="22"/>
                          <w:szCs w:val="22"/>
                          <w:lang w:val="en-US"/>
                        </w:rPr>
                        <w:t xml:space="preserve">The Piagaçu-Purus Sustainable Development Reserve (RDS-PP) was created in 2003 and encompasses 834,243 ha in the Brazilian Amazon. </w:t>
                      </w:r>
                      <w:r w:rsidRPr="002C3109">
                        <w:rPr>
                          <w:sz w:val="22"/>
                          <w:szCs w:val="22"/>
                        </w:rPr>
                        <w:t xml:space="preserve">Hunting is one of the most important subsistence activities </w:t>
                      </w:r>
                      <w:r w:rsidRPr="009137B3">
                        <w:rPr>
                          <w:sz w:val="22"/>
                          <w:szCs w:val="22"/>
                        </w:rPr>
                        <w:t>for the more than 4,000 residents, and has been widely practised by the communities of this reserve (Terra, 2007; Muhlen, 2008).</w:t>
                      </w:r>
                      <w:r w:rsidRPr="009137B3">
                        <w:rPr>
                          <w:sz w:val="22"/>
                          <w:szCs w:val="22"/>
                          <w:lang w:val="en-US"/>
                        </w:rPr>
                        <w:t xml:space="preserve"> Since its creation, the RDS-PP seeks to conciliate natural resource use with socioenvironmental sustainability through participatory zoning of the territory (e.g., defining non-take vs. intensive-used areas), and elaboration of local rules to regulate the use and access to natural resources. The participative process of establishing the local management in the reserve began in 2004 through a partnership between the Piagaçu Institute and the Centre for Protected Areas of Amazonas State (CEUC/SDS), and aimed at specifying areas for subsistence use, commercial management, and protection. In 2009, representative dwellers from all regions of the RDS-PP held a participatory planning workshop, creating rules governing the use of terrestrial wildlife, which would be subsequently included in the official management plan of the reserve. Some of these rules were based on informal rules already existing in the communities, while others represented management strategies suggested by those intermediated the meeting (Vieira et al. 2015). Accordingly, the development of the management plan for the RDS-PP resulted in the adoption 19 rules governing the use of terrestrial wildlife for all reserve (Vieira et al. 2015). These regulations included, among others:</w:t>
                      </w:r>
                    </w:p>
                    <w:p w14:paraId="5BBD62E7" w14:textId="4C5079DB" w:rsidR="00B82BFD" w:rsidRPr="009137B3" w:rsidRDefault="00B82BFD" w:rsidP="00AE5EA1">
                      <w:pPr>
                        <w:autoSpaceDE w:val="0"/>
                        <w:autoSpaceDN w:val="0"/>
                        <w:adjustRightInd w:val="0"/>
                        <w:spacing w:after="0"/>
                        <w:jc w:val="both"/>
                        <w:rPr>
                          <w:sz w:val="22"/>
                          <w:szCs w:val="22"/>
                          <w:lang w:val="en-US"/>
                        </w:rPr>
                      </w:pPr>
                      <w:r w:rsidRPr="009137B3">
                        <w:rPr>
                          <w:sz w:val="22"/>
                          <w:szCs w:val="22"/>
                          <w:lang w:val="en-US"/>
                        </w:rPr>
                        <w:t xml:space="preserve"> </w:t>
                      </w:r>
                    </w:p>
                    <w:p w14:paraId="0B882E3C" w14:textId="77777777" w:rsidR="00B82BFD" w:rsidRPr="002C3109" w:rsidRDefault="00B82BFD" w:rsidP="00AE5EA1">
                      <w:pPr>
                        <w:autoSpaceDE w:val="0"/>
                        <w:autoSpaceDN w:val="0"/>
                        <w:adjustRightInd w:val="0"/>
                        <w:spacing w:after="0"/>
                        <w:jc w:val="both"/>
                        <w:rPr>
                          <w:sz w:val="22"/>
                          <w:szCs w:val="22"/>
                          <w:lang w:val="en-US"/>
                        </w:rPr>
                      </w:pPr>
                      <w:r w:rsidRPr="009137B3">
                        <w:rPr>
                          <w:sz w:val="22"/>
                          <w:szCs w:val="22"/>
                          <w:lang w:val="en-US"/>
                        </w:rPr>
                        <w:t>a) Restrictions of techniques: the avoidance of using dogs and the prohibition of using traps to capture animals and slingshots to harm animals (specifically by children); and the prohibition to</w:t>
                      </w:r>
                      <w:r w:rsidRPr="002C3109">
                        <w:rPr>
                          <w:sz w:val="22"/>
                          <w:szCs w:val="22"/>
                          <w:lang w:val="en-US"/>
                        </w:rPr>
                        <w:t xml:space="preserve"> raise tethered or caged forest animals in captivity.</w:t>
                      </w:r>
                    </w:p>
                    <w:p w14:paraId="02626002" w14:textId="77777777" w:rsidR="00B82BFD" w:rsidRPr="002C3109" w:rsidRDefault="00B82BFD" w:rsidP="00AE5EA1">
                      <w:pPr>
                        <w:autoSpaceDE w:val="0"/>
                        <w:autoSpaceDN w:val="0"/>
                        <w:adjustRightInd w:val="0"/>
                        <w:spacing w:after="0"/>
                        <w:jc w:val="both"/>
                        <w:rPr>
                          <w:sz w:val="22"/>
                          <w:szCs w:val="22"/>
                          <w:lang w:val="en-US"/>
                        </w:rPr>
                      </w:pPr>
                      <w:r w:rsidRPr="002C3109">
                        <w:rPr>
                          <w:sz w:val="22"/>
                          <w:szCs w:val="22"/>
                          <w:lang w:val="en-US"/>
                        </w:rPr>
                        <w:t>b) Restrictions of species and specific individuals: the prohibition of killing any pregnant or immature individual, and species not used for food (except for self-defense); the prohibition of collecting birds’ eggs during the breeding season; the prohibition of killing any species in large numbers in a single hunting event, specific quotas may be discussed and agreed upon in each region; the prohibition of killing endangered species.</w:t>
                      </w:r>
                    </w:p>
                    <w:p w14:paraId="1309E6A6" w14:textId="77777777" w:rsidR="00B82BFD" w:rsidRPr="002C3109" w:rsidRDefault="00B82BFD" w:rsidP="00AE5EA1">
                      <w:pPr>
                        <w:autoSpaceDE w:val="0"/>
                        <w:autoSpaceDN w:val="0"/>
                        <w:adjustRightInd w:val="0"/>
                        <w:spacing w:after="0"/>
                        <w:jc w:val="both"/>
                        <w:rPr>
                          <w:sz w:val="22"/>
                          <w:szCs w:val="22"/>
                          <w:lang w:val="en-US"/>
                        </w:rPr>
                      </w:pPr>
                      <w:r w:rsidRPr="002C3109">
                        <w:rPr>
                          <w:sz w:val="22"/>
                          <w:szCs w:val="22"/>
                          <w:lang w:val="en-US"/>
                        </w:rPr>
                        <w:t>c) Restriction of wild meat use: the prohibition of hunting for sale to outsiders; the prohibition of hunting by non-inhabitants; the respect for the zoning of used areas by each community; the permission of carrying up to 3 kg of wild meat on long journeys for the purpose of consumption along the journey.</w:t>
                      </w:r>
                    </w:p>
                    <w:p w14:paraId="7DE23170" w14:textId="77777777" w:rsidR="00B82BFD" w:rsidRDefault="00B82BFD" w:rsidP="00AE5EA1">
                      <w:pPr>
                        <w:autoSpaceDE w:val="0"/>
                        <w:autoSpaceDN w:val="0"/>
                        <w:adjustRightInd w:val="0"/>
                        <w:spacing w:after="0"/>
                        <w:rPr>
                          <w:sz w:val="22"/>
                          <w:szCs w:val="22"/>
                          <w:lang w:val="en-US"/>
                        </w:rPr>
                      </w:pPr>
                      <w:r w:rsidRPr="002C3109">
                        <w:rPr>
                          <w:sz w:val="22"/>
                          <w:szCs w:val="22"/>
                          <w:lang w:val="en-US"/>
                        </w:rPr>
                        <w:t>d) Penalties: hunters who fail to comply with a rule will have their wild meat confiscated and distributed to the rest of the local community. In addition, it was established that in case any rule is disrespected, the offender’s weapon would be confiscated for 90 days for first</w:t>
                      </w:r>
                      <w:r w:rsidRPr="002C3109">
                        <w:rPr>
                          <w:rFonts w:ascii="MS Mincho" w:eastAsia="MS Mincho" w:hAnsi="MS Mincho" w:cs="MS Mincho"/>
                          <w:sz w:val="22"/>
                          <w:szCs w:val="22"/>
                          <w:lang w:val="en-US"/>
                        </w:rPr>
                        <w:t>‑</w:t>
                      </w:r>
                      <w:r w:rsidRPr="002C3109">
                        <w:rPr>
                          <w:sz w:val="22"/>
                          <w:szCs w:val="22"/>
                          <w:lang w:val="en-US"/>
                        </w:rPr>
                        <w:t>time offences and for 180 days for repeat offences.</w:t>
                      </w:r>
                    </w:p>
                    <w:p w14:paraId="698FA34D" w14:textId="4269CB0B" w:rsidR="00B82BFD" w:rsidRPr="009137B3" w:rsidRDefault="00B82BFD" w:rsidP="00AE5EA1">
                      <w:pPr>
                        <w:autoSpaceDE w:val="0"/>
                        <w:autoSpaceDN w:val="0"/>
                        <w:adjustRightInd w:val="0"/>
                        <w:spacing w:after="0"/>
                        <w:rPr>
                          <w:sz w:val="22"/>
                          <w:szCs w:val="22"/>
                          <w:lang w:val="en-US"/>
                        </w:rPr>
                      </w:pPr>
                      <w:r>
                        <w:rPr>
                          <w:sz w:val="22"/>
                          <w:szCs w:val="22"/>
                          <w:lang w:val="en-US"/>
                        </w:rPr>
                        <w:t xml:space="preserve">e) Commemorative occasions: </w:t>
                      </w:r>
                      <w:r w:rsidRPr="002C3109">
                        <w:rPr>
                          <w:sz w:val="22"/>
                          <w:szCs w:val="22"/>
                          <w:lang w:val="en-US"/>
                        </w:rPr>
                        <w:t xml:space="preserve">In 2012, one of the communities convened a meeting to regulate wildlife use, creating an official agreement limiting hunting on commemorative occasions, creating quotas for large hunting </w:t>
                      </w:r>
                      <w:r w:rsidRPr="009137B3">
                        <w:rPr>
                          <w:sz w:val="22"/>
                          <w:szCs w:val="22"/>
                          <w:lang w:val="en-US"/>
                        </w:rPr>
                        <w:t xml:space="preserve">events, controlling the access by outside users, i.e. teachers and visitors, and limiting hunting pacas in August, which is considered as an important time in the species’ reproduction cycle. The agreement also established an expiration date for the rules, lending them an adaptive character. </w:t>
                      </w:r>
                    </w:p>
                    <w:p w14:paraId="4678A680" w14:textId="5EDB2C3E" w:rsidR="00B82BFD" w:rsidRPr="009137B3" w:rsidRDefault="00B82BFD" w:rsidP="00AE5EA1">
                      <w:pPr>
                        <w:autoSpaceDE w:val="0"/>
                        <w:autoSpaceDN w:val="0"/>
                        <w:adjustRightInd w:val="0"/>
                        <w:spacing w:after="0"/>
                        <w:rPr>
                          <w:sz w:val="22"/>
                          <w:szCs w:val="22"/>
                          <w:lang w:val="en-US"/>
                        </w:rPr>
                      </w:pPr>
                      <w:r w:rsidRPr="009137B3">
                        <w:rPr>
                          <w:sz w:val="22"/>
                          <w:szCs w:val="22"/>
                          <w:lang w:val="en-US"/>
                        </w:rPr>
                        <w:t xml:space="preserve">f) Rotation of hunting grounds: In another community, an agreement covered hunting grounds, in which hunters should rotate the hunting areas along a set of streams for a defined time period, allowing a population recovery of game species (Vieira et al., 2015). </w:t>
                      </w:r>
                    </w:p>
                    <w:p w14:paraId="1D985B10" w14:textId="161DB941" w:rsidR="00B82BFD" w:rsidRPr="002C3109" w:rsidRDefault="00B82BFD" w:rsidP="00AE5EA1">
                      <w:pPr>
                        <w:autoSpaceDE w:val="0"/>
                        <w:autoSpaceDN w:val="0"/>
                        <w:adjustRightInd w:val="0"/>
                        <w:spacing w:after="0"/>
                        <w:jc w:val="both"/>
                        <w:rPr>
                          <w:sz w:val="22"/>
                          <w:szCs w:val="22"/>
                          <w:lang w:val="en-US"/>
                        </w:rPr>
                      </w:pPr>
                      <w:r w:rsidRPr="009137B3">
                        <w:rPr>
                          <w:color w:val="000000"/>
                          <w:sz w:val="22"/>
                          <w:szCs w:val="22"/>
                          <w:lang w:val="en-US"/>
                        </w:rPr>
                        <w:t>SDR-PP, similarly to other</w:t>
                      </w:r>
                      <w:r w:rsidRPr="009137B3">
                        <w:rPr>
                          <w:sz w:val="22"/>
                          <w:szCs w:val="22"/>
                          <w:lang w:val="en-US"/>
                        </w:rPr>
                        <w:t xml:space="preserve"> SDRs in Brazil, has been playing laboratory role for developing and testing management strategies towards sustainable hunting in partnership with local communities. Local inhabitants have a noticeable ecological knowledge and are prone to follow local rules, since they rely on natural resources for their survivorship (Vieira et al., 2015).</w:t>
                      </w:r>
                    </w:p>
                  </w:txbxContent>
                </v:textbox>
                <w10:anchorlock/>
              </v:shape>
            </w:pict>
          </mc:Fallback>
        </mc:AlternateContent>
      </w:r>
    </w:p>
    <w:p w14:paraId="3B3EA1A8" w14:textId="116D4B03" w:rsidR="007078FA" w:rsidRPr="00DD65C9" w:rsidRDefault="007078FA" w:rsidP="007078FA">
      <w:pPr>
        <w:rPr>
          <w:lang w:val="pt-BR"/>
        </w:rPr>
      </w:pPr>
      <w:bookmarkStart w:id="254" w:name="_Toc520802799"/>
      <w:bookmarkStart w:id="255" w:name="_Toc517693772"/>
      <w:bookmarkStart w:id="256" w:name="_Toc519156118"/>
      <w:r w:rsidRPr="00814265">
        <w:rPr>
          <w:lang w:val="pt-BR"/>
        </w:rPr>
        <w:t xml:space="preserve">References for Box 7: </w:t>
      </w:r>
      <w:r>
        <w:fldChar w:fldCharType="begin" w:fldLock="1"/>
      </w:r>
      <w:r w:rsidRPr="00814265">
        <w:rPr>
          <w:lang w:val="pt-BR"/>
        </w:rPr>
        <w:instrText>ADDIN CSL_CITATION {"citationItems"</w:instrText>
      </w:r>
      <w:r w:rsidRPr="00DD65C9">
        <w:rPr>
          <w:lang w:val="pt-BR"/>
        </w:rPr>
        <w:instrText>:[{"id":"ITEM-1","itemData":{"author":[{"dropping-particle":"","family":"Vieira","given":"M. A. R. de Mattos","non-dropping-particle":"","parse-names":false,"suffix":""},{"dropping-particle":"","family":"Muhlen","given":"E. M.","non-dropping-particle":"von","parse-names":false,"suffix":""},{"dropping-particle":"","family":"Shepard","given":"G. H.","non-dropping-particle":"","parse-names":false,"suffix":""}],"container-title":"Conservation and Society","id":"ITEM-1","issued":{"date-parts":[["2015"]]},"page":"254 - 264","title":"Participatory monitoring and management of subsistence hunting in the Piagaçu-Purus reserve, Brazil","type":"article-journal","volume":"13"},"uris":["http://www.mendeley.com/documents/?uuid=7d64d065-5427-4a30-9d38-c2775ad37700"]},{"id":"ITEM-2","itemData":{"author":[{"dropping-particle":"","family":"Muhlen","given":"E.M.","non-dropping-particle":"","parse-names":false,"suffix":""}],"id":"ITEM-2","issued":{"date-parts":[["2008"]]},"title":"Caracterização da atividade de caça de subsistência na região do lago Jarí e avaliação preliminar do status das populações de aves e mamíferos terrestres na Reserva de Desenvolvimento Sustentável Piagaçu Purus, AM, Brasil. Relatório de Pesquisa.","type":"report"},"uris":["http://www.mendeley.com/documents/?uuid=a11402bd-be36-4172-acfc-26ee3e7c5ea8"]},{"id":"ITEM-3","itemData":{"author":[{"dropping-particle":"","family":"Terra","given":"A.K.","non-dropping-particle":"","parse-names":false,"suffix":""}],"id":"ITEM-3","issued":{"date-parts":[["2007"]]},"publisher":"Universidade Federal do Amazonas, Manaus, Brzail","title":"A caça de subsistencia na Reserva de Desenvolvimento Sustentável Piagaçu-Purus e na Terra Indígena Lago Ayapuá, Amazônia Central, Brasil. M.Sc. thesis.","type":"thesis"},"uris":["http://www.mendeley.com/documents/?uuid=63f061dd-acb1-40ab-b8be-a8a8a1fb2fd2"]}],"mendeley":{"formattedCitation":"(Terra 2007; Muhlen 2008; Vieira et al. 2015)","plainTextFormattedCitation":"(Terra 2007; Muhlen 2008; Vieira et al. 2015)","previouslyFormattedCitation":"(Terra 2007; Muhlen 2008; Vieira et al. 2015)"},"properties":{"noteIndex":0},"schema":"https://github.com/citation-style-language/schema/raw/master/csl-citation.json"}</w:instrText>
      </w:r>
      <w:r>
        <w:fldChar w:fldCharType="separate"/>
      </w:r>
      <w:r w:rsidRPr="00DD65C9">
        <w:rPr>
          <w:noProof/>
          <w:lang w:val="pt-BR"/>
        </w:rPr>
        <w:t>(Terra 2007; Muhlen 2008; Vieira et al. 2015)</w:t>
      </w:r>
      <w:r>
        <w:fldChar w:fldCharType="end"/>
      </w:r>
    </w:p>
    <w:p w14:paraId="62201A27" w14:textId="19ED2F5C" w:rsidR="00A95232" w:rsidRPr="004904D8" w:rsidRDefault="00A95232" w:rsidP="00DF57F3">
      <w:pPr>
        <w:pStyle w:val="Heading2"/>
      </w:pPr>
      <w:bookmarkStart w:id="257" w:name="_Toc529390371"/>
      <w:r w:rsidRPr="0070404D">
        <w:lastRenderedPageBreak/>
        <w:t>The role of law enforcement in regulating wild meat supply</w:t>
      </w:r>
      <w:bookmarkEnd w:id="254"/>
      <w:bookmarkEnd w:id="257"/>
    </w:p>
    <w:p w14:paraId="04982343" w14:textId="77777777" w:rsidR="00A95232" w:rsidRDefault="00A95232" w:rsidP="00C258BC">
      <w:pPr>
        <w:jc w:val="both"/>
        <w:rPr>
          <w:color w:val="000000" w:themeColor="text1"/>
        </w:rPr>
      </w:pPr>
      <w:r>
        <w:rPr>
          <w:color w:val="000000" w:themeColor="text1"/>
        </w:rPr>
        <w:t>A</w:t>
      </w:r>
      <w:r w:rsidRPr="004904D8">
        <w:rPr>
          <w:color w:val="000000" w:themeColor="text1"/>
        </w:rPr>
        <w:t xml:space="preserve"> crucial part of any attempt to conserve and sustainably manage a wildlife resource</w:t>
      </w:r>
      <w:r>
        <w:rPr>
          <w:color w:val="000000" w:themeColor="text1"/>
        </w:rPr>
        <w:t xml:space="preserve"> is t</w:t>
      </w:r>
      <w:r w:rsidRPr="004904D8">
        <w:rPr>
          <w:color w:val="000000" w:themeColor="text1"/>
        </w:rPr>
        <w:t xml:space="preserve">he establishment and effective enforcement of wildlife use </w:t>
      </w:r>
      <w:r>
        <w:rPr>
          <w:color w:val="000000" w:themeColor="text1"/>
        </w:rPr>
        <w:t xml:space="preserve">rules and </w:t>
      </w:r>
      <w:r w:rsidRPr="004904D8">
        <w:rPr>
          <w:color w:val="000000" w:themeColor="text1"/>
        </w:rPr>
        <w:t>regulations</w:t>
      </w:r>
      <w:r>
        <w:rPr>
          <w:color w:val="000000" w:themeColor="text1"/>
        </w:rPr>
        <w:t xml:space="preserve">. This is true </w:t>
      </w:r>
      <w:r w:rsidRPr="004904D8">
        <w:rPr>
          <w:color w:val="000000" w:themeColor="text1"/>
        </w:rPr>
        <w:t xml:space="preserve">whether the management authority is a national protected area agency, a community conservancy, an </w:t>
      </w:r>
      <w:r>
        <w:rPr>
          <w:color w:val="000000" w:themeColor="text1"/>
        </w:rPr>
        <w:t>I</w:t>
      </w:r>
      <w:r w:rsidRPr="004904D8">
        <w:rPr>
          <w:color w:val="000000" w:themeColor="text1"/>
        </w:rPr>
        <w:t xml:space="preserve">ndigenous </w:t>
      </w:r>
      <w:r>
        <w:rPr>
          <w:color w:val="000000" w:themeColor="text1"/>
        </w:rPr>
        <w:t>Peoples organization</w:t>
      </w:r>
      <w:r w:rsidRPr="004904D8">
        <w:rPr>
          <w:color w:val="000000" w:themeColor="text1"/>
        </w:rPr>
        <w:t xml:space="preserve">, a private </w:t>
      </w:r>
      <w:r>
        <w:rPr>
          <w:color w:val="000000" w:themeColor="text1"/>
        </w:rPr>
        <w:t>land owner</w:t>
      </w:r>
      <w:r w:rsidRPr="004904D8">
        <w:rPr>
          <w:color w:val="000000" w:themeColor="text1"/>
        </w:rPr>
        <w:t xml:space="preserve"> or </w:t>
      </w:r>
      <w:r>
        <w:rPr>
          <w:color w:val="000000" w:themeColor="text1"/>
        </w:rPr>
        <w:t>a private sector concessionaire</w:t>
      </w:r>
      <w:r w:rsidRPr="005512D2">
        <w:rPr>
          <w:color w:val="000000" w:themeColor="text1"/>
        </w:rPr>
        <w:t xml:space="preserve">. Without the establishment and enforcement of rules (whether national, local, traditional or otherwise) that limit access and manage use of wildlife, there </w:t>
      </w:r>
      <w:r>
        <w:rPr>
          <w:color w:val="000000" w:themeColor="text1"/>
        </w:rPr>
        <w:t>would be</w:t>
      </w:r>
      <w:r w:rsidRPr="005512D2">
        <w:rPr>
          <w:color w:val="000000" w:themeColor="text1"/>
        </w:rPr>
        <w:t xml:space="preserve"> no barriers to </w:t>
      </w:r>
      <w:r>
        <w:rPr>
          <w:color w:val="000000" w:themeColor="text1"/>
        </w:rPr>
        <w:t>potential overexploitation, and no pathways to mitigating overexploitation when it happens</w:t>
      </w:r>
      <w:r w:rsidRPr="003E3238">
        <w:rPr>
          <w:color w:val="000000" w:themeColor="text1"/>
        </w:rPr>
        <w:t xml:space="preserve">. </w:t>
      </w:r>
    </w:p>
    <w:p w14:paraId="5B8D73B1" w14:textId="0D027CB7" w:rsidR="00A95232" w:rsidRDefault="00A95232" w:rsidP="00C258BC">
      <w:pPr>
        <w:jc w:val="both"/>
        <w:rPr>
          <w:color w:val="000000" w:themeColor="text1"/>
        </w:rPr>
      </w:pPr>
      <w:r w:rsidRPr="003E3238">
        <w:rPr>
          <w:color w:val="000000" w:themeColor="text1"/>
        </w:rPr>
        <w:t>There is histori</w:t>
      </w:r>
      <w:r w:rsidRPr="00EE2428">
        <w:rPr>
          <w:color w:val="000000" w:themeColor="text1"/>
        </w:rPr>
        <w:t>cal and contemporary evidence that, in ‘open-access’ contexts, hunters are aware that they are in competition with others, and they know that if they leave an animal for next time, someone else is likely to take</w:t>
      </w:r>
      <w:r w:rsidR="002F6BDE">
        <w:rPr>
          <w:color w:val="000000" w:themeColor="text1"/>
        </w:rPr>
        <w:t xml:space="preserve"> it (Ripple et al. 2016)</w:t>
      </w:r>
      <w:r w:rsidRPr="00EE2428">
        <w:rPr>
          <w:color w:val="000000" w:themeColor="text1"/>
        </w:rPr>
        <w:t>. This effectively incentivis</w:t>
      </w:r>
      <w:r w:rsidRPr="0064175F">
        <w:rPr>
          <w:color w:val="000000" w:themeColor="text1"/>
        </w:rPr>
        <w:t>es</w:t>
      </w:r>
      <w:r w:rsidRPr="0070404D">
        <w:rPr>
          <w:color w:val="000000" w:themeColor="text1"/>
        </w:rPr>
        <w:t xml:space="preserve"> hunters to harvest wildlife as quickly as possible, driving hunted species to local extinction </w:t>
      </w:r>
      <w:r w:rsidR="006D390F">
        <w:rPr>
          <w:color w:val="000000" w:themeColor="text1"/>
        </w:rPr>
        <w:fldChar w:fldCharType="begin" w:fldLock="1"/>
      </w:r>
      <w:r w:rsidR="006D390F">
        <w:rPr>
          <w:color w:val="000000" w:themeColor="text1"/>
        </w:rPr>
        <w:instrText>ADDIN CSL_CITATION {"citationItems":[{"id":"ITEM-1","itemData":{"DOI":"10.1525/bio.2011.61.11.11","ISBN":"10.1525/bio.2011.61.11.11","ISSN":"00063568","abstract":"More than 18% of tropical rainforests are now covered by totally protected areas. If these were well protected, we could feel reasonably confident that current conservation strategies might succeed in preserving a substantial proportion of tropical biodiversity. However, in most parts of the tropics, poachers enter and leave reserves with impunity. On the basis of reports from the hunting literature, it seems likely that a majority of tropical nature reserves may already be considered empty forests—meaning that all bird and mammal species larger than approximately two kilograms—barring a few hunting-tolerant species—have either been extirpated or exist at densities well below natural levels of abundance. The disruption of ecological functions caused by the loss of symbionts further compromises the capacity of these reserves to conserve biodiversity over the long term. A substantial shift toward improving the management and enforcement of tropical protected-area networks is required.","author":[{"dropping-particle":"","family":"Harrison","given":"Rhett D.","non-dropping-particle":"","parse-names":false,"suffix":""}],"container-title":"BioScience","id":"ITEM-1","issue":"11","issued":{"date-parts":[["2011"]]},"page":"919-924","title":"Emptying the forest: hunting and the extirpation of wildlife from tropical nature reserves","type":"article-journal","volume":"61"},"uris":["http://www.mendeley.com/documents/?uuid=6070606f-a392-461c-a2f7-81caecd8e047"]}],"mendeley":{"formattedCitation":"(Harrison 2011)","plainTextFormattedCitation":"(Harrison 2011)","previouslyFormattedCitation":"(Harrison 2011)"},"properties":{"noteIndex":0},"schema":"https://github.com/citation-style-language/schema/raw/master/csl-citation.json"}</w:instrText>
      </w:r>
      <w:r w:rsidR="006D390F">
        <w:rPr>
          <w:color w:val="000000" w:themeColor="text1"/>
        </w:rPr>
        <w:fldChar w:fldCharType="separate"/>
      </w:r>
      <w:r w:rsidR="006D390F" w:rsidRPr="006D390F">
        <w:rPr>
          <w:noProof/>
          <w:color w:val="000000" w:themeColor="text1"/>
        </w:rPr>
        <w:t>(Harrison 2011)</w:t>
      </w:r>
      <w:r w:rsidR="006D390F">
        <w:rPr>
          <w:color w:val="000000" w:themeColor="text1"/>
        </w:rPr>
        <w:fldChar w:fldCharType="end"/>
      </w:r>
      <w:r>
        <w:rPr>
          <w:color w:val="000000" w:themeColor="text1"/>
        </w:rPr>
        <w:t>. Sensible hunting rules (i.e.</w:t>
      </w:r>
      <w:r w:rsidRPr="0070404D">
        <w:rPr>
          <w:color w:val="000000" w:themeColor="text1"/>
        </w:rPr>
        <w:t xml:space="preserve"> those perceived to be legitimate and fair by hunters and their communities) that regulate who can hunt, where, when and how much they can hunt, and effective enforcement of these rules, are essential to the conservation and sustainable use of wildlife that are hunted for food. The question is who establishes the rules</w:t>
      </w:r>
      <w:r>
        <w:rPr>
          <w:color w:val="000000" w:themeColor="text1"/>
        </w:rPr>
        <w:t>, who abides by them</w:t>
      </w:r>
      <w:r w:rsidRPr="0070404D">
        <w:rPr>
          <w:color w:val="000000" w:themeColor="text1"/>
        </w:rPr>
        <w:t xml:space="preserve"> and who enforces them</w:t>
      </w:r>
      <w:r>
        <w:rPr>
          <w:color w:val="000000" w:themeColor="text1"/>
        </w:rPr>
        <w:t xml:space="preserve">. </w:t>
      </w:r>
    </w:p>
    <w:p w14:paraId="6DF25D9C" w14:textId="4F996CB8" w:rsidR="00A95232" w:rsidRPr="00A76587" w:rsidRDefault="00A95232" w:rsidP="00C258BC">
      <w:pPr>
        <w:jc w:val="both"/>
        <w:rPr>
          <w:color w:val="000000" w:themeColor="text1"/>
        </w:rPr>
      </w:pPr>
      <w:r>
        <w:rPr>
          <w:snapToGrid w:val="0"/>
          <w:color w:val="000000" w:themeColor="text1"/>
          <w:lang w:eastAsia="ja-JP" w:bidi="th-TH"/>
        </w:rPr>
        <w:t xml:space="preserve">The concept of subsidiarity suggests that natural resources should be most successfully and effectively managed when governance decisions are made by the lowest competent authority </w:t>
      </w:r>
      <w:r w:rsidR="006D390F">
        <w:rPr>
          <w:snapToGrid w:val="0"/>
          <w:color w:val="000000" w:themeColor="text1"/>
          <w:lang w:eastAsia="ja-JP" w:bidi="th-TH"/>
        </w:rPr>
        <w:fldChar w:fldCharType="begin" w:fldLock="1"/>
      </w:r>
      <w:r w:rsidR="006D390F">
        <w:rPr>
          <w:snapToGrid w:val="0"/>
          <w:color w:val="000000" w:themeColor="text1"/>
          <w:lang w:eastAsia="ja-JP" w:bidi="th-TH"/>
        </w:rPr>
        <w:instrText>ADDIN CSL_CITATION {"citationItems":[{"id":"ITEM-1","itemData":{"DOI":"10.1146/annurev.environ.33.020607.095522","ISBN":"1543-5938","ISSN":"1543-5938","PMID":"19757199","abstract":"This chapter reviews the literature on natural resource decentralization with an emphasis on forests in developing countries. This literature can be located at the intersection between discussions of good governance and democracy, development, and poverty alleviation, on the one hand, and common property resources, community-based resource manage-ment, and local resource rights, on the other. Policies implemented in the name of decentralization, however, are often not applied in ways compatible with the democratic potential with which decentralization is conceived, and only rarely have they resulted in pro-poor outcomes or challenged underlying structures of inequity. Greater attention to who receives decentralized powers, the role of property rights, the notion of \" the local, \" and the meeting of expert and local knowledge provides insights into key issues and contradictions. Fundamental differences in conceptions of democracy, participation, and development lie behind these contradictions and shape strategies for the redistribution of access to political power and resources, which is implied by decentralization.","author":[{"dropping-particle":"","family":"Larson","given":"Anne M.","non-dropping-particle":"","parse-names":false,"suffix":""},{"dropping-particle":"","family":"Soto","given":"Fernanda","non-dropping-particle":"","parse-names":false,"suffix":""}],"container-title":"Annual Review of Environment and Resources","id":"ITEM-1","issue":"1","issued":{"date-parts":[["2008"]]},"page":"213-239","title":"Decentralization of natural resource governance regimes","type":"article-journal","volume":"33"},"uris":["http://www.mendeley.com/documents/?uuid=eff570a5-6311-4eca-aaa4-f815af38cad6"]},{"id":"ITEM-2","itemData":{"DOI":"10.1080/08941920802178214","ISBN":"0894-1920","ISSN":"08941920","PMID":"18707821","abstract":"Sustainable natural resource use and management make novel demands on governance arrangements, the design of which requires normative guidance. Although governance principles have been developed for diverse contexts, their availability for sustainable natural resource governance is so far limited. In response, we present a suite of governance principles for natural resource governance that, while developed in an Australian multilevel context, has general applicability and significance at local, subnational, and national scales. The principles can be used to direct the design of governance institutions that are legitimate, transparent, accountable, inclusive, and fair and that also exhibit functional and structural integration, capability, and adaptability. Together, they can also serve as a platform for developing governance monitoring and evaluation instruments, crucial for both self-assessment and external audit purposes.","author":[{"dropping-particle":"","family":"Lockwood","given":"Michael","non-dropping-particle":"","parse-names":false,"suffix":""},{"dropping-particle":"","family":"Davidson","given":"Julie","non-dropping-particle":"","parse-names":false,"suffix":""},{"dropping-particle":"","family":"Curtis","given":"Allan","non-dropping-particle":"","parse-names":false,"suffix":""},{"dropping-particle":"","family":"Stratford","given":"Elaine","non-dropping-particle":"","parse-names":false,"suffix":""},{"dropping-particle":"","family":"Griffith","given":"Rod","non-dropping-particle":"","parse-names":false,"suffix":""}],"container-title":"Society and Natural Resources","id":"ITEM-2","issue":"10","issued":{"date-parts":[["2010"]]},"page":"986-1001","title":"Governance principles for natural resource management","type":"article-journal","volume":"23"},"uris":["http://www.mendeley.com/documents/?uuid=16d06e42-287a-4c6d-abe0-8191cb5484a9"]}],"mendeley":{"formattedCitation":"(Larson &amp; Soto 2008; Lockwood et al. 2010)","plainTextFormattedCitation":"(Larson &amp; Soto 2008; Lockwood et al. 2010)","previouslyFormattedCitation":"(Larson &amp; Soto 2008; Lockwood et al. 2010)"},"properties":{"noteIndex":0},"schema":"https://github.com/citation-style-language/schema/raw/master/csl-citation.json"}</w:instrText>
      </w:r>
      <w:r w:rsidR="006D390F">
        <w:rPr>
          <w:snapToGrid w:val="0"/>
          <w:color w:val="000000" w:themeColor="text1"/>
          <w:lang w:eastAsia="ja-JP" w:bidi="th-TH"/>
        </w:rPr>
        <w:fldChar w:fldCharType="separate"/>
      </w:r>
      <w:r w:rsidR="006D390F" w:rsidRPr="006D390F">
        <w:rPr>
          <w:noProof/>
          <w:snapToGrid w:val="0"/>
          <w:color w:val="000000" w:themeColor="text1"/>
          <w:lang w:eastAsia="ja-JP" w:bidi="th-TH"/>
        </w:rPr>
        <w:t>(Larson &amp; Soto 2008; Lockwood et al. 2010)</w:t>
      </w:r>
      <w:r w:rsidR="006D390F">
        <w:rPr>
          <w:snapToGrid w:val="0"/>
          <w:color w:val="000000" w:themeColor="text1"/>
          <w:lang w:eastAsia="ja-JP" w:bidi="th-TH"/>
        </w:rPr>
        <w:fldChar w:fldCharType="end"/>
      </w:r>
      <w:r w:rsidR="000A6F27">
        <w:rPr>
          <w:snapToGrid w:val="0"/>
          <w:color w:val="000000" w:themeColor="text1"/>
          <w:lang w:eastAsia="ja-JP" w:bidi="th-TH"/>
        </w:rPr>
        <w:t xml:space="preserve">. </w:t>
      </w:r>
      <w:r>
        <w:rPr>
          <w:color w:val="000000" w:themeColor="text1"/>
        </w:rPr>
        <w:t xml:space="preserve">Many, if not most, </w:t>
      </w:r>
      <w:r w:rsidR="00A76587">
        <w:rPr>
          <w:color w:val="000000" w:themeColor="text1"/>
        </w:rPr>
        <w:t>current</w:t>
      </w:r>
      <w:r>
        <w:rPr>
          <w:color w:val="000000" w:themeColor="text1"/>
        </w:rPr>
        <w:t xml:space="preserve"> regulatory frameworks however, have not involved the local communities who will be subject to the laws in their design, and </w:t>
      </w:r>
      <w:r w:rsidR="00A76587">
        <w:rPr>
          <w:color w:val="000000" w:themeColor="text1"/>
        </w:rPr>
        <w:t xml:space="preserve">these </w:t>
      </w:r>
      <w:r w:rsidR="000A6F27">
        <w:rPr>
          <w:color w:val="000000" w:themeColor="text1"/>
        </w:rPr>
        <w:t xml:space="preserve">communities then </w:t>
      </w:r>
      <w:r w:rsidR="00A76587">
        <w:rPr>
          <w:color w:val="000000" w:themeColor="text1"/>
        </w:rPr>
        <w:t xml:space="preserve">frequently </w:t>
      </w:r>
      <w:r w:rsidR="000A6F27">
        <w:rPr>
          <w:color w:val="000000" w:themeColor="text1"/>
        </w:rPr>
        <w:t xml:space="preserve">reject </w:t>
      </w:r>
      <w:r>
        <w:rPr>
          <w:color w:val="000000" w:themeColor="text1"/>
        </w:rPr>
        <w:t>these f</w:t>
      </w:r>
      <w:r w:rsidR="000A6F27">
        <w:rPr>
          <w:color w:val="000000" w:themeColor="text1"/>
        </w:rPr>
        <w:t>rameworks</w:t>
      </w:r>
      <w:r>
        <w:rPr>
          <w:color w:val="000000" w:themeColor="text1"/>
        </w:rPr>
        <w:t xml:space="preserve">. </w:t>
      </w:r>
      <w:r w:rsidR="00A76587">
        <w:rPr>
          <w:color w:val="000000" w:themeColor="text1"/>
        </w:rPr>
        <w:t>This</w:t>
      </w:r>
      <w:r>
        <w:rPr>
          <w:color w:val="000000" w:themeColor="text1"/>
        </w:rPr>
        <w:t xml:space="preserve"> is not because the concept of regulation is </w:t>
      </w:r>
      <w:r w:rsidR="000A6F27">
        <w:rPr>
          <w:color w:val="000000" w:themeColor="text1"/>
        </w:rPr>
        <w:t>unfamiliar or unaccepted</w:t>
      </w:r>
      <w:r>
        <w:rPr>
          <w:color w:val="000000" w:themeColor="text1"/>
        </w:rPr>
        <w:t xml:space="preserve">. Traditional hunting societies almost always regulated hunting rights (who can hunt), hunting zones (spatial access) and </w:t>
      </w:r>
      <w:r w:rsidR="000A6F27">
        <w:rPr>
          <w:color w:val="000000" w:themeColor="text1"/>
        </w:rPr>
        <w:t xml:space="preserve">allowable </w:t>
      </w:r>
      <w:r>
        <w:rPr>
          <w:color w:val="000000" w:themeColor="text1"/>
        </w:rPr>
        <w:t xml:space="preserve">species (setting taboos on certain species for all or certain </w:t>
      </w:r>
      <w:r w:rsidR="000A6F27">
        <w:rPr>
          <w:color w:val="000000" w:themeColor="text1"/>
        </w:rPr>
        <w:t>people). Customary h</w:t>
      </w:r>
      <w:r>
        <w:rPr>
          <w:color w:val="000000" w:themeColor="text1"/>
        </w:rPr>
        <w:t xml:space="preserve">unting governance </w:t>
      </w:r>
      <w:r w:rsidR="000A6F27">
        <w:rPr>
          <w:color w:val="000000" w:themeColor="text1"/>
        </w:rPr>
        <w:t>was historically often</w:t>
      </w:r>
      <w:r>
        <w:rPr>
          <w:color w:val="000000" w:themeColor="text1"/>
        </w:rPr>
        <w:t xml:space="preserve"> based on very strict laws and more extreme punishments for </w:t>
      </w:r>
      <w:r w:rsidR="000A6F27">
        <w:rPr>
          <w:color w:val="000000" w:themeColor="text1"/>
        </w:rPr>
        <w:t>law breakers</w:t>
      </w:r>
      <w:r>
        <w:rPr>
          <w:color w:val="000000" w:themeColor="text1"/>
        </w:rPr>
        <w:t xml:space="preserve"> than would be tolerable </w:t>
      </w:r>
      <w:r w:rsidRPr="00A76587">
        <w:rPr>
          <w:color w:val="000000" w:themeColor="text1"/>
        </w:rPr>
        <w:t>today (</w:t>
      </w:r>
      <w:r w:rsidR="00EC7867" w:rsidRPr="000A7365">
        <w:rPr>
          <w:color w:val="000000" w:themeColor="text1"/>
        </w:rPr>
        <w:t>Section</w:t>
      </w:r>
      <w:r w:rsidR="00AC1583">
        <w:rPr>
          <w:color w:val="000000" w:themeColor="text1"/>
        </w:rPr>
        <w:t xml:space="preserve"> </w:t>
      </w:r>
      <w:r w:rsidR="00AC1583">
        <w:rPr>
          <w:color w:val="000000" w:themeColor="text1"/>
        </w:rPr>
        <w:fldChar w:fldCharType="begin"/>
      </w:r>
      <w:r w:rsidR="00AC1583">
        <w:rPr>
          <w:color w:val="000000" w:themeColor="text1"/>
        </w:rPr>
        <w:instrText xml:space="preserve"> REF _Ref528679141 \r \h </w:instrText>
      </w:r>
      <w:r w:rsidR="00AC1583">
        <w:rPr>
          <w:color w:val="000000" w:themeColor="text1"/>
        </w:rPr>
      </w:r>
      <w:r w:rsidR="00AC1583">
        <w:rPr>
          <w:color w:val="000000" w:themeColor="text1"/>
        </w:rPr>
        <w:fldChar w:fldCharType="separate"/>
      </w:r>
      <w:r w:rsidR="007034F1">
        <w:rPr>
          <w:color w:val="000000" w:themeColor="text1"/>
        </w:rPr>
        <w:t>7.5</w:t>
      </w:r>
      <w:r w:rsidR="00AC1583">
        <w:rPr>
          <w:color w:val="000000" w:themeColor="text1"/>
        </w:rPr>
        <w:fldChar w:fldCharType="end"/>
      </w:r>
      <w:r w:rsidR="00EC7867" w:rsidRPr="000A7365">
        <w:rPr>
          <w:color w:val="000000" w:themeColor="text1"/>
        </w:rPr>
        <w:t>).</w:t>
      </w:r>
      <w:r w:rsidR="00EC7867">
        <w:rPr>
          <w:color w:val="000000" w:themeColor="text1"/>
        </w:rPr>
        <w:t xml:space="preserve"> </w:t>
      </w:r>
      <w:r w:rsidR="00A76587" w:rsidRPr="00A76587">
        <w:rPr>
          <w:color w:val="000000" w:themeColor="text1"/>
        </w:rPr>
        <w:t>Successful design and uptake of a regulatory fr</w:t>
      </w:r>
      <w:r w:rsidR="00A76587">
        <w:rPr>
          <w:color w:val="000000" w:themeColor="text1"/>
        </w:rPr>
        <w:t>amework that is fit for purpose will be much more likely if 1) c</w:t>
      </w:r>
      <w:r w:rsidR="00A76587">
        <w:rPr>
          <w:snapToGrid w:val="0"/>
          <w:color w:val="000000" w:themeColor="text1"/>
          <w:lang w:eastAsia="ja-JP" w:bidi="th-TH"/>
        </w:rPr>
        <w:t>ommunities living with and hunting wildlife play a key role in establishing rules for regulating access to and use of wildlife that are hunted for food</w:t>
      </w:r>
      <w:r w:rsidR="00A76587">
        <w:rPr>
          <w:color w:val="000000" w:themeColor="text1"/>
        </w:rPr>
        <w:t xml:space="preserve"> and 2)</w:t>
      </w:r>
      <w:r w:rsidR="00A76587" w:rsidRPr="00A76587">
        <w:rPr>
          <w:color w:val="000000" w:themeColor="text1"/>
        </w:rPr>
        <w:t xml:space="preserve"> </w:t>
      </w:r>
      <w:r w:rsidR="00A76587">
        <w:rPr>
          <w:color w:val="000000" w:themeColor="text1"/>
        </w:rPr>
        <w:t>regulation of wildmeat at the community level is based on a fuller</w:t>
      </w:r>
      <w:r w:rsidR="00A76587" w:rsidRPr="00A76587">
        <w:rPr>
          <w:color w:val="000000" w:themeColor="text1"/>
        </w:rPr>
        <w:t xml:space="preserve"> </w:t>
      </w:r>
      <w:r w:rsidRPr="00A76587">
        <w:rPr>
          <w:color w:val="000000" w:themeColor="text1"/>
        </w:rPr>
        <w:t>understanding</w:t>
      </w:r>
      <w:r w:rsidR="00A76587" w:rsidRPr="00A76587">
        <w:rPr>
          <w:color w:val="000000" w:themeColor="text1"/>
        </w:rPr>
        <w:t xml:space="preserve"> of</w:t>
      </w:r>
      <w:r w:rsidRPr="00A76587">
        <w:rPr>
          <w:color w:val="000000" w:themeColor="text1"/>
        </w:rPr>
        <w:t xml:space="preserve"> the cultural elements that previously gave </w:t>
      </w:r>
      <w:r w:rsidR="000A6F27" w:rsidRPr="00A76587">
        <w:rPr>
          <w:color w:val="000000" w:themeColor="text1"/>
        </w:rPr>
        <w:t>customary</w:t>
      </w:r>
      <w:r w:rsidRPr="00A76587">
        <w:rPr>
          <w:color w:val="000000" w:themeColor="text1"/>
        </w:rPr>
        <w:t xml:space="preserve"> laws local legitimacy, and </w:t>
      </w:r>
      <w:r w:rsidR="00A76587" w:rsidRPr="00A76587">
        <w:rPr>
          <w:color w:val="000000" w:themeColor="text1"/>
        </w:rPr>
        <w:t xml:space="preserve">the factors that have weakened </w:t>
      </w:r>
      <w:r w:rsidR="00A76587">
        <w:rPr>
          <w:color w:val="000000" w:themeColor="text1"/>
        </w:rPr>
        <w:t xml:space="preserve">them </w:t>
      </w:r>
      <w:r w:rsidR="006D390F">
        <w:rPr>
          <w:color w:val="000000" w:themeColor="text1"/>
        </w:rPr>
        <w:fldChar w:fldCharType="begin" w:fldLock="1"/>
      </w:r>
      <w:r w:rsidR="006D390F">
        <w:rPr>
          <w:color w:val="000000" w:themeColor="text1"/>
        </w:rPr>
        <w:instrText>ADDIN CSL_CITATION {"citationItems":[{"id":"ITEM-1","itemData":{"DOI":"10.5751/ES-08047-200431","ISSN":"17083087","abstract":"© 2015 by the author(s). Published here under license by the Resilience Alliance. Addressing today’s environmental challenges is intimately linked to understanding and improving natural resource governance institutions. As a result conservation initiatives are increasingly realizing the importance of integrating local perspectives of land tenure arrangements, natural resource rights, and local beliefs into conservation approaches. However, current work has not sufficiently considered the dynamic nature of natural resource governance institutions over time and the potential implications for current conservation interventions. We therefore explored how and why hunting governance has changed since the precolonial period in two ethnic hunting communities in Gabon, Central Africa, integrating various ethnographic methods with resource-use mapping, and a historic literature review. In both communities, hunting governance has undergone significant changes since the precolonial period. A closed-access, lineage-based system of resource use with strict penalties for trespassing, has evolved into a more open-access system, in which the influence of customary governance systems, including magico-political aspects, has declined. These changes have occurred mainly in response to policies and governance structures put in place by the colonial government and postindependence, early state laws. This included a policy of merging villages, the introduction of more modern hunting techniques such as guns and wire cables, and a shift from community to government ownership of the land. Current governance structures are thus the product of a complex mixture of customary, colonial and state influences. These findings suggest that a historical perspective of resource governance, gained through in- depth and long-term engagement with local communities, can provide important insights for community-based conservation approaches, such as helping to identify potential causes and perceptions of environmental change and to design more suitable conservation initiatives with local people.","author":[{"dropping-particle":"","family":"Walters","given":"G.","non-dropping-particle":"","parse-names":false,"suffix":""},{"dropping-particle":"","family":"Schleicher","given":"J.","non-dropping-particle":"","parse-names":false,"suffix":""},{"dropping-particle":"","family":"Hymas","given":"O.","non-dropping-particle":"","parse-names":false,"suffix":""},{"dropping-particle":"","family":"Coad","given":"L.","non-dropping-particle":"","parse-names":false,"suffix":""}],"container-title":"Ecology and Society","id":"ITEM-1","issue":"4","issued":{"date-parts":[["2015"]]},"title":"Evolving hunting practices in gabon: Lessons for community-based conservation interventions","type":"article-journal","volume":"20"},"uris":["http://www.mendeley.com/documents/?uuid=929a2061-e229-4516-9546-6b6fcea8cade"]}],"mendeley":{"formattedCitation":"(Walters et al. 2015)","plainTextFormattedCitation":"(Walters et al. 2015)","previouslyFormattedCitation":"(Walters et al. 2015)"},"properties":{"noteIndex":0},"schema":"https://github.com/citation-style-language/schema/raw/master/csl-citation.json"}</w:instrText>
      </w:r>
      <w:r w:rsidR="006D390F">
        <w:rPr>
          <w:color w:val="000000" w:themeColor="text1"/>
        </w:rPr>
        <w:fldChar w:fldCharType="separate"/>
      </w:r>
      <w:r w:rsidR="006D390F" w:rsidRPr="006D390F">
        <w:rPr>
          <w:noProof/>
          <w:color w:val="000000" w:themeColor="text1"/>
        </w:rPr>
        <w:t>(Walters et al. 2015)</w:t>
      </w:r>
      <w:r w:rsidR="006D390F">
        <w:rPr>
          <w:color w:val="000000" w:themeColor="text1"/>
        </w:rPr>
        <w:fldChar w:fldCharType="end"/>
      </w:r>
      <w:r w:rsidRPr="00A76587">
        <w:rPr>
          <w:color w:val="000000" w:themeColor="text1"/>
        </w:rPr>
        <w:t>.</w:t>
      </w:r>
    </w:p>
    <w:p w14:paraId="724D22B4" w14:textId="1C1F0F44" w:rsidR="000A6F27" w:rsidRDefault="000A6F27" w:rsidP="000A6F27">
      <w:pPr>
        <w:jc w:val="both"/>
      </w:pPr>
      <w:r>
        <w:rPr>
          <w:snapToGrid w:val="0"/>
          <w:color w:val="000000" w:themeColor="text1"/>
          <w:lang w:eastAsia="ja-JP" w:bidi="th-TH"/>
        </w:rPr>
        <w:t>While</w:t>
      </w:r>
      <w:r w:rsidR="00A95232">
        <w:rPr>
          <w:snapToGrid w:val="0"/>
          <w:color w:val="000000" w:themeColor="text1"/>
          <w:lang w:eastAsia="ja-JP" w:bidi="th-TH"/>
        </w:rPr>
        <w:t xml:space="preserve"> communities typically have the capacity to motivate their own members to comply with the rules and to sanction rule breakers </w:t>
      </w:r>
      <w:r w:rsidR="006D390F">
        <w:rPr>
          <w:snapToGrid w:val="0"/>
          <w:color w:val="000000" w:themeColor="text1"/>
          <w:lang w:eastAsia="ja-JP" w:bidi="th-TH"/>
        </w:rPr>
        <w:fldChar w:fldCharType="begin" w:fldLock="1"/>
      </w:r>
      <w:r w:rsidR="00B2630D">
        <w:rPr>
          <w:snapToGrid w:val="0"/>
          <w:color w:val="000000" w:themeColor="text1"/>
          <w:lang w:eastAsia="ja-JP" w:bidi="th-TH"/>
        </w:rPr>
        <w:instrText>ADDIN CSL_CITATION {"citationItems":[{"id":"ITEM-1","itemData":{"author":[{"dropping-particle":"","family":"Shisanya","given":"C A","non-dropping-particle":"","parse-names":false,"suffix":""}],"container-title":"Rural Development Planning in Africa","editor":[{"dropping-particle":"","family":"Khayesi","given":"M","non-dropping-particle":"","parse-names":false,"suffix":""}],"id":"ITEM-1","issued":{"date-parts":[["2018"]]},"page":"17-51","publisher":"Palgrave Macmillan Publishers, New York, USA","title":"Natural resource management","type":"chapter"},"uris":["http://www.mendeley.com/documents/?uuid=d1f33c71-a3b6-4f13-8721-570440f7890e"]}],"mendeley":{"formattedCitation":"(Shisanya 2018)","plainTextFormattedCitation":"(Shisanya 2018)","previouslyFormattedCitation":"(Shisanya 2018)"},"properties":{"noteIndex":0},"schema":"https://github.com/citation-style-language/schema/raw/master/csl-citation.json"}</w:instrText>
      </w:r>
      <w:r w:rsidR="006D390F">
        <w:rPr>
          <w:snapToGrid w:val="0"/>
          <w:color w:val="000000" w:themeColor="text1"/>
          <w:lang w:eastAsia="ja-JP" w:bidi="th-TH"/>
        </w:rPr>
        <w:fldChar w:fldCharType="separate"/>
      </w:r>
      <w:r w:rsidR="006D390F" w:rsidRPr="006D390F">
        <w:rPr>
          <w:noProof/>
          <w:snapToGrid w:val="0"/>
          <w:color w:val="000000" w:themeColor="text1"/>
          <w:lang w:eastAsia="ja-JP" w:bidi="th-TH"/>
        </w:rPr>
        <w:t>(Shisanya 2018)</w:t>
      </w:r>
      <w:r w:rsidR="006D390F">
        <w:rPr>
          <w:snapToGrid w:val="0"/>
          <w:color w:val="000000" w:themeColor="text1"/>
          <w:lang w:eastAsia="ja-JP" w:bidi="th-TH"/>
        </w:rPr>
        <w:fldChar w:fldCharType="end"/>
      </w:r>
      <w:r w:rsidR="006D390F">
        <w:rPr>
          <w:snapToGrid w:val="0"/>
          <w:color w:val="000000" w:themeColor="text1"/>
          <w:lang w:eastAsia="ja-JP" w:bidi="th-TH"/>
        </w:rPr>
        <w:t xml:space="preserve"> </w:t>
      </w:r>
      <w:r w:rsidR="00A95232">
        <w:rPr>
          <w:snapToGrid w:val="0"/>
          <w:color w:val="000000" w:themeColor="text1"/>
          <w:lang w:eastAsia="ja-JP" w:bidi="th-TH"/>
        </w:rPr>
        <w:t xml:space="preserve">, they often </w:t>
      </w:r>
      <w:r>
        <w:rPr>
          <w:snapToGrid w:val="0"/>
          <w:color w:val="000000" w:themeColor="text1"/>
          <w:lang w:eastAsia="ja-JP" w:bidi="th-TH"/>
        </w:rPr>
        <w:t>do not have the capacity to exert their customary</w:t>
      </w:r>
      <w:r w:rsidR="00A95232">
        <w:rPr>
          <w:snapToGrid w:val="0"/>
          <w:color w:val="000000" w:themeColor="text1"/>
          <w:lang w:eastAsia="ja-JP" w:bidi="th-TH"/>
        </w:rPr>
        <w:t xml:space="preserve"> authority over outsiders, </w:t>
      </w:r>
      <w:r>
        <w:t>and could be in great peril should they encounter well-armed</w:t>
      </w:r>
      <w:r w:rsidR="00077C07">
        <w:t xml:space="preserve"> external hunting gangs</w:t>
      </w:r>
      <w:r>
        <w:t xml:space="preserve">. </w:t>
      </w:r>
      <w:r>
        <w:rPr>
          <w:snapToGrid w:val="0"/>
          <w:color w:val="000000" w:themeColor="text1"/>
          <w:lang w:eastAsia="ja-JP" w:bidi="th-TH"/>
        </w:rPr>
        <w:t xml:space="preserve">In this case communities may often need the timely support of a competent agency </w:t>
      </w:r>
      <w:r w:rsidR="009137B3">
        <w:rPr>
          <w:snapToGrid w:val="0"/>
          <w:color w:val="000000" w:themeColor="text1"/>
          <w:lang w:eastAsia="ja-JP" w:bidi="th-TH"/>
        </w:rPr>
        <w:fldChar w:fldCharType="begin" w:fldLock="1"/>
      </w:r>
      <w:r w:rsidR="00566AAF">
        <w:rPr>
          <w:snapToGrid w:val="0"/>
          <w:color w:val="000000" w:themeColor="text1"/>
          <w:lang w:eastAsia="ja-JP" w:bidi="th-TH"/>
        </w:rPr>
        <w:instrText>ADDIN CSL_CITATION {"citationItems":[{"id":"ITEM-1","itemData":{"author":[{"dropping-particle":"","family":"Wilkie","given":"David S.","non-dropping-particle":"","parse-names":false,"suffix":""},{"dropping-particle":"","family":"Wieland","given":"Michelle","non-dropping-particle":"","parse-names":false,"suffix":""},{"dropping-particle":"","family":"Detoeuf","given":"D.","non-dropping-particle":"","parse-names":false,"suffix":""}],"id":"ITEM-1","issued":{"date-parts":[["2015"]]},"publisher-place":"USAID, Washington DC, and WCS, New York, USA","title":"Guidelines for learning and applying the natural resource governance tool (NRGT) in landscapes and seascapes","type":"report"},"uris":["http://www.mendeley.com/documents/?uuid=5f1fad88-480b-40ed-a799-06f82b907e97"]}],"mendeley":{"formattedCitation":"(Wilkie et al. 2015)","plainTextFormattedCitation":"(Wilkie et al. 2015)","previouslyFormattedCitation":"(Wilkie et al. 2015)"},"properties":{"noteIndex":0},"schema":"https://github.com/citation-style-language/schema/raw/master/csl-citation.json"}</w:instrText>
      </w:r>
      <w:r w:rsidR="009137B3">
        <w:rPr>
          <w:snapToGrid w:val="0"/>
          <w:color w:val="000000" w:themeColor="text1"/>
          <w:lang w:eastAsia="ja-JP" w:bidi="th-TH"/>
        </w:rPr>
        <w:fldChar w:fldCharType="separate"/>
      </w:r>
      <w:r w:rsidR="009137B3" w:rsidRPr="009137B3">
        <w:rPr>
          <w:noProof/>
          <w:snapToGrid w:val="0"/>
          <w:color w:val="000000" w:themeColor="text1"/>
          <w:lang w:eastAsia="ja-JP" w:bidi="th-TH"/>
        </w:rPr>
        <w:t>(Wilkie et al. 2015)</w:t>
      </w:r>
      <w:r w:rsidR="009137B3">
        <w:rPr>
          <w:snapToGrid w:val="0"/>
          <w:color w:val="000000" w:themeColor="text1"/>
          <w:lang w:eastAsia="ja-JP" w:bidi="th-TH"/>
        </w:rPr>
        <w:fldChar w:fldCharType="end"/>
      </w:r>
      <w:r>
        <w:rPr>
          <w:snapToGrid w:val="0"/>
          <w:color w:val="000000" w:themeColor="text1"/>
          <w:lang w:eastAsia="ja-JP" w:bidi="th-TH"/>
        </w:rPr>
        <w:t xml:space="preserve"> with the authority to arrest and prosecute external hunters (i.e., hunters who take wildlife illegally or illegitimately). </w:t>
      </w:r>
      <w:r>
        <w:t xml:space="preserve">Communities should only play the role of the “eyes and ears” of government law enforcement, providing to them actionable intelligence they can use to apprehend and arrest law breakers </w:t>
      </w:r>
      <w:r w:rsidR="009137B3">
        <w:fldChar w:fldCharType="begin" w:fldLock="1"/>
      </w:r>
      <w:r w:rsidR="00566AAF">
        <w:instrText>ADDIN CSL_CITATION {"citationItems":[{"id":"ITEM-1","itemData":{"author":[{"dropping-particle":"","family":"Wilkie","given":"David S.","non-dropping-particle":"","parse-names":false,"suffix":""},{"dropping-particle":"","family":"Wieland","given":"Michelle","non-dropping-particle":"","parse-names":false,"suffix":""},{"dropping-particle":"","family":"Detoeuf","given":"D.","non-dropping-particle":"","parse-names":false,"suffix":""}],"id":"ITEM-1","issued":{"date-parts":[["2015"]]},"publisher-place":"USAID, Washington DC, and WCS, New York, USA","title":"Guidelines for learning and applying the natural resource governance tool (NRGT) in landscapes and seascapes","type":"report"},"uris":["http://www.mendeley.com/documents/?uuid=5f1fad88-480b-40ed-a799-06f82b907e97"]}],"mendeley":{"formattedCitation":"(Wilkie et al. 2015)","plainTextFormattedCitation":"(Wilkie et al. 2015)","previouslyFormattedCitation":"(Wilkie et al. 2015)"},"properties":{"noteIndex":0},"schema":"https://github.com/citation-style-language/schema/raw/master/csl-citation.json"}</w:instrText>
      </w:r>
      <w:r w:rsidR="009137B3">
        <w:fldChar w:fldCharType="separate"/>
      </w:r>
      <w:r w:rsidR="009137B3" w:rsidRPr="009137B3">
        <w:rPr>
          <w:noProof/>
        </w:rPr>
        <w:t>(Wilkie et al. 2015)</w:t>
      </w:r>
      <w:r w:rsidR="009137B3">
        <w:fldChar w:fldCharType="end"/>
      </w:r>
      <w:r w:rsidR="009137B3">
        <w:t xml:space="preserve">. </w:t>
      </w:r>
      <w:r>
        <w:t xml:space="preserve">Community co-management arrangements with national arresting agencies have great potential to effectively regulate who has access to how much wildlife both within and beyond the hunting community. </w:t>
      </w:r>
    </w:p>
    <w:p w14:paraId="3A2D8AC5" w14:textId="42A07862" w:rsidR="00A95232" w:rsidRDefault="00A95232" w:rsidP="00C258BC">
      <w:pPr>
        <w:jc w:val="both"/>
        <w:rPr>
          <w:color w:val="000000" w:themeColor="text1"/>
        </w:rPr>
      </w:pPr>
      <w:r>
        <w:rPr>
          <w:color w:val="000000" w:themeColor="text1"/>
        </w:rPr>
        <w:t xml:space="preserve">As discussed in Section </w:t>
      </w:r>
      <w:r>
        <w:rPr>
          <w:color w:val="000000" w:themeColor="text1"/>
        </w:rPr>
        <w:fldChar w:fldCharType="begin"/>
      </w:r>
      <w:r>
        <w:rPr>
          <w:color w:val="000000" w:themeColor="text1"/>
        </w:rPr>
        <w:instrText xml:space="preserve"> REF _Ref520122619 \r \h </w:instrText>
      </w:r>
      <w:r>
        <w:rPr>
          <w:color w:val="000000" w:themeColor="text1"/>
        </w:rPr>
      </w:r>
      <w:r>
        <w:rPr>
          <w:color w:val="000000" w:themeColor="text1"/>
        </w:rPr>
        <w:fldChar w:fldCharType="separate"/>
      </w:r>
      <w:r w:rsidR="007034F1">
        <w:rPr>
          <w:color w:val="000000" w:themeColor="text1"/>
        </w:rPr>
        <w:t>4.4</w:t>
      </w:r>
      <w:r>
        <w:rPr>
          <w:color w:val="000000" w:themeColor="text1"/>
        </w:rPr>
        <w:fldChar w:fldCharType="end"/>
      </w:r>
      <w:r>
        <w:rPr>
          <w:color w:val="000000" w:themeColor="text1"/>
        </w:rPr>
        <w:t xml:space="preserve">, in many countries hunting laws need revision, as they: 1) were formulated to regulate recreational hunting not hunting for food and income, 2) are perceived as illegitimate by hunters and traders, 3) are unenforceable because they focus on seasonal or </w:t>
      </w:r>
      <w:r>
        <w:rPr>
          <w:color w:val="000000" w:themeColor="text1"/>
        </w:rPr>
        <w:lastRenderedPageBreak/>
        <w:t xml:space="preserve">species bans and are not relevant to multi-species hunts and the life-histories of most tropical species and 4) do not provide for the regulation of outsiders, as they were written in an era when transport of both hunters and meat was negligible. When wildlife laws are seen as not reflecting the interests and concerns of hunters dependent on the resource for their livelihood security, and when they conflict with customary rules, they are typically perceived as illegitimate and </w:t>
      </w:r>
      <w:r w:rsidR="00A76587">
        <w:rPr>
          <w:color w:val="000000" w:themeColor="text1"/>
        </w:rPr>
        <w:t>are ignored</w:t>
      </w:r>
      <w:r>
        <w:rPr>
          <w:color w:val="000000" w:themeColor="text1"/>
        </w:rPr>
        <w:t>.</w:t>
      </w:r>
    </w:p>
    <w:p w14:paraId="0031683C" w14:textId="088817EB" w:rsidR="00A95232" w:rsidRDefault="00A95232" w:rsidP="00C258BC">
      <w:pPr>
        <w:jc w:val="both"/>
        <w:rPr>
          <w:color w:val="000000" w:themeColor="text1"/>
        </w:rPr>
      </w:pPr>
      <w:r>
        <w:rPr>
          <w:color w:val="000000" w:themeColor="text1"/>
        </w:rPr>
        <w:t>In addition, in many countries wildli</w:t>
      </w:r>
      <w:r w:rsidR="000A6F27">
        <w:rPr>
          <w:color w:val="000000" w:themeColor="text1"/>
        </w:rPr>
        <w:t xml:space="preserve">fe laws are not enforced, </w:t>
      </w:r>
      <w:r>
        <w:rPr>
          <w:color w:val="000000" w:themeColor="text1"/>
        </w:rPr>
        <w:t>because</w:t>
      </w:r>
      <w:r w:rsidR="000A6F27">
        <w:rPr>
          <w:color w:val="000000" w:themeColor="text1"/>
        </w:rPr>
        <w:t xml:space="preserve"> enforcement </w:t>
      </w:r>
      <w:r w:rsidR="00A479D2">
        <w:rPr>
          <w:color w:val="000000" w:themeColor="text1"/>
        </w:rPr>
        <w:t>officials</w:t>
      </w:r>
      <w:r w:rsidR="000A6F27">
        <w:rPr>
          <w:color w:val="000000" w:themeColor="text1"/>
        </w:rPr>
        <w:t xml:space="preserve"> (police, </w:t>
      </w:r>
      <w:r w:rsidR="00A479D2">
        <w:rPr>
          <w:color w:val="000000" w:themeColor="text1"/>
        </w:rPr>
        <w:t>lawyers</w:t>
      </w:r>
      <w:r w:rsidR="000A6F27">
        <w:rPr>
          <w:color w:val="000000" w:themeColor="text1"/>
        </w:rPr>
        <w:t xml:space="preserve">, </w:t>
      </w:r>
      <w:r w:rsidR="00A479D2">
        <w:rPr>
          <w:color w:val="000000" w:themeColor="text1"/>
        </w:rPr>
        <w:t>judges</w:t>
      </w:r>
      <w:r w:rsidR="000A6F27">
        <w:rPr>
          <w:color w:val="000000" w:themeColor="text1"/>
        </w:rPr>
        <w:t>) may</w:t>
      </w:r>
      <w:r>
        <w:rPr>
          <w:color w:val="000000" w:themeColor="text1"/>
        </w:rPr>
        <w:t xml:space="preserve"> </w:t>
      </w:r>
      <w:r w:rsidR="000A6F27">
        <w:rPr>
          <w:color w:val="000000" w:themeColor="text1"/>
        </w:rPr>
        <w:t>1) not know the wildlife laws 2) be</w:t>
      </w:r>
      <w:r>
        <w:rPr>
          <w:color w:val="000000" w:themeColor="text1"/>
        </w:rPr>
        <w:t xml:space="preserve"> morally unwilling to punish people to protect wildlife</w:t>
      </w:r>
      <w:r w:rsidR="000A6F27">
        <w:rPr>
          <w:color w:val="000000" w:themeColor="text1"/>
        </w:rPr>
        <w:t>, 3) be ‘rent seeking’, and accepting money/other compensation in place of apprehending law breakers</w:t>
      </w:r>
      <w:r>
        <w:rPr>
          <w:color w:val="000000" w:themeColor="text1"/>
        </w:rPr>
        <w:t xml:space="preserve"> </w:t>
      </w:r>
      <w:r w:rsidR="000A6F27">
        <w:rPr>
          <w:color w:val="000000" w:themeColor="text1"/>
        </w:rPr>
        <w:t>and/or 4</w:t>
      </w:r>
      <w:r>
        <w:rPr>
          <w:color w:val="000000" w:themeColor="text1"/>
        </w:rPr>
        <w:t xml:space="preserve">) the government does not have, or is unwilling to allocate, sufficient funds to apprehend, arrest, charge, try and convict wildlife-law breakers. This situation has </w:t>
      </w:r>
      <w:r w:rsidR="00A479D2">
        <w:rPr>
          <w:color w:val="000000" w:themeColor="text1"/>
        </w:rPr>
        <w:t>led</w:t>
      </w:r>
      <w:r>
        <w:rPr>
          <w:color w:val="000000" w:themeColor="text1"/>
        </w:rPr>
        <w:t xml:space="preserve">, in perhaps the majority of tropical countries where wild meat still underpins some food security, to a situation where widespread non-compliance and non-enforcement of subsistence hunting law has promoted a </w:t>
      </w:r>
      <w:r w:rsidRPr="00CD36F4">
        <w:rPr>
          <w:i/>
          <w:color w:val="000000" w:themeColor="text1"/>
        </w:rPr>
        <w:t>de facto</w:t>
      </w:r>
      <w:r>
        <w:rPr>
          <w:color w:val="000000" w:themeColor="text1"/>
        </w:rPr>
        <w:t xml:space="preserve"> ‘open access’ scenario; and thus, as discussed above, to rapid overexploitation to the benefit of the few </w:t>
      </w:r>
      <w:r w:rsidR="006D390F">
        <w:rPr>
          <w:color w:val="000000" w:themeColor="text1"/>
        </w:rPr>
        <w:fldChar w:fldCharType="begin" w:fldLock="1"/>
      </w:r>
      <w:r w:rsidR="00B2630D">
        <w:rPr>
          <w:color w:val="000000" w:themeColor="text1"/>
        </w:rPr>
        <w:instrText>ADDIN CSL_CITATION {"citationItems":[{"id":"ITEM-1","itemData":{"author":[{"dropping-particle":"","family":"Hardin","given":"G","non-dropping-particle":"","parse-names":false,"suffix":""}],"container-title":"Science","id":"ITEM-1","issue":"3859","issued":{"date-parts":[["1968"]]},"page":"1243-1248","title":"The tragedy of the commons","type":"article-journal","volume":"162"},"uris":["http://www.mendeley.com/documents/?uuid=13360a45-be8a-4c64-b7dd-91de0dc629b0"]},{"id":"ITEM-2","itemData":{"author":[{"dropping-particle":"","family":"Ostrom","given":"E","non-dropping-particle":"","parse-names":false,"suffix":""}],"id":"ITEM-2","issued":{"date-parts":[["1990"]]},"publisher":"Cambridge University Press","publisher-place":"Cambridge","title":"Governing the Commons: The Evolution of Institutions for Collective Action","type":"book"},"uris":["http://www.mendeley.com/documents/?uuid=639aab37-cb79-4e3c-b1a3-f2b8fc935fdb"]}],"mendeley":{"formattedCitation":"(Hardin 1968; Ostrom 1990)","plainTextFormattedCitation":"(Hardin 1968; Ostrom 1990)","previouslyFormattedCitation":"(Hardin 1968; Ostrom 1990)"},"properties":{"noteIndex":0},"schema":"https://github.com/citation-style-language/schema/raw/master/csl-citation.json"}</w:instrText>
      </w:r>
      <w:r w:rsidR="006D390F">
        <w:rPr>
          <w:color w:val="000000" w:themeColor="text1"/>
        </w:rPr>
        <w:fldChar w:fldCharType="separate"/>
      </w:r>
      <w:r w:rsidR="006D390F" w:rsidRPr="006D390F">
        <w:rPr>
          <w:noProof/>
          <w:color w:val="000000" w:themeColor="text1"/>
        </w:rPr>
        <w:t>(Hardin 1968; Ostrom 1990)</w:t>
      </w:r>
      <w:r w:rsidR="006D390F">
        <w:rPr>
          <w:color w:val="000000" w:themeColor="text1"/>
        </w:rPr>
        <w:fldChar w:fldCharType="end"/>
      </w:r>
      <w:r w:rsidR="006D390F">
        <w:rPr>
          <w:color w:val="000000" w:themeColor="text1"/>
        </w:rPr>
        <w:t>.</w:t>
      </w:r>
      <w:r>
        <w:rPr>
          <w:color w:val="000000" w:themeColor="text1"/>
        </w:rPr>
        <w:t xml:space="preserve"> </w:t>
      </w:r>
    </w:p>
    <w:p w14:paraId="637DBC57" w14:textId="5C0D7215" w:rsidR="00A95232" w:rsidRDefault="00A95232" w:rsidP="00C258BC">
      <w:pPr>
        <w:jc w:val="both"/>
      </w:pPr>
      <w:r>
        <w:rPr>
          <w:color w:val="000000" w:themeColor="text1"/>
        </w:rPr>
        <w:t xml:space="preserve">Revision of hunting laws is imperative to avoid the current ‘tragedy of the commons’. New laws need to reflect local community needs, obtain local and national legitimacy and ensure transparency in the law enforcement responsibilities of different actors. Such revisions are crucial to provide an enabling environment for the management of wild meat supply (see recommendations in </w:t>
      </w:r>
      <w:r w:rsidR="00AC1583">
        <w:rPr>
          <w:color w:val="000000" w:themeColor="text1"/>
        </w:rPr>
        <w:t>Chapter</w:t>
      </w:r>
      <w:r>
        <w:rPr>
          <w:color w:val="000000" w:themeColor="text1"/>
        </w:rPr>
        <w:t xml:space="preserve"> </w:t>
      </w:r>
      <w:r w:rsidR="00AC1583">
        <w:rPr>
          <w:color w:val="000000" w:themeColor="text1"/>
        </w:rPr>
        <w:fldChar w:fldCharType="begin"/>
      </w:r>
      <w:r w:rsidR="00AC1583">
        <w:rPr>
          <w:color w:val="000000" w:themeColor="text1"/>
        </w:rPr>
        <w:instrText xml:space="preserve"> REF _Ref520377864 \r \h </w:instrText>
      </w:r>
      <w:r w:rsidR="00AC1583">
        <w:rPr>
          <w:color w:val="000000" w:themeColor="text1"/>
        </w:rPr>
      </w:r>
      <w:r w:rsidR="00AC1583">
        <w:rPr>
          <w:color w:val="000000" w:themeColor="text1"/>
        </w:rPr>
        <w:fldChar w:fldCharType="separate"/>
      </w:r>
      <w:r w:rsidR="007034F1">
        <w:rPr>
          <w:color w:val="000000" w:themeColor="text1"/>
        </w:rPr>
        <w:t>7</w:t>
      </w:r>
      <w:r w:rsidR="00AC1583">
        <w:rPr>
          <w:color w:val="000000" w:themeColor="text1"/>
        </w:rPr>
        <w:fldChar w:fldCharType="end"/>
      </w:r>
      <w:r>
        <w:rPr>
          <w:color w:val="000000" w:themeColor="text1"/>
        </w:rPr>
        <w:t>).</w:t>
      </w:r>
    </w:p>
    <w:p w14:paraId="69AF52A6" w14:textId="77777777" w:rsidR="00A95232" w:rsidRPr="003E3238" w:rsidRDefault="00A95232" w:rsidP="00DF57F3">
      <w:pPr>
        <w:pStyle w:val="Heading2"/>
      </w:pPr>
      <w:bookmarkStart w:id="258" w:name="_Toc520802800"/>
      <w:bookmarkStart w:id="259" w:name="_Ref528415687"/>
      <w:bookmarkStart w:id="260" w:name="_Toc529390372"/>
      <w:r w:rsidRPr="005512D2">
        <w:t xml:space="preserve">Legalisation and </w:t>
      </w:r>
      <w:r w:rsidRPr="003E3238">
        <w:t>taxation of the trade in wild meat products</w:t>
      </w:r>
      <w:bookmarkEnd w:id="258"/>
      <w:bookmarkEnd w:id="259"/>
      <w:bookmarkEnd w:id="260"/>
    </w:p>
    <w:p w14:paraId="06028A4B" w14:textId="10E2B772" w:rsidR="00A95232" w:rsidRDefault="00A95232" w:rsidP="00C258BC">
      <w:pPr>
        <w:jc w:val="both"/>
        <w:rPr>
          <w:color w:val="000000" w:themeColor="text1"/>
        </w:rPr>
      </w:pPr>
      <w:r>
        <w:rPr>
          <w:color w:val="000000" w:themeColor="text1"/>
        </w:rPr>
        <w:t xml:space="preserve">Trade in wildlife for food is primarily within the informal sector (i.e., not licensed, taxed, or included in national systems of account) and is often illegal. </w:t>
      </w:r>
      <w:r w:rsidR="00A76587">
        <w:rPr>
          <w:color w:val="000000" w:themeColor="text1"/>
        </w:rPr>
        <w:t>It has been suggested that</w:t>
      </w:r>
      <w:r>
        <w:rPr>
          <w:color w:val="000000" w:themeColor="text1"/>
        </w:rPr>
        <w:t xml:space="preserve"> legalization of the trade</w:t>
      </w:r>
      <w:r w:rsidR="00A76587">
        <w:rPr>
          <w:color w:val="000000" w:themeColor="text1"/>
        </w:rPr>
        <w:t xml:space="preserve"> in resilient species</w:t>
      </w:r>
      <w:r>
        <w:rPr>
          <w:color w:val="000000" w:themeColor="text1"/>
        </w:rPr>
        <w:t xml:space="preserve"> </w:t>
      </w:r>
      <w:r w:rsidR="00A76587">
        <w:rPr>
          <w:color w:val="000000" w:themeColor="text1"/>
        </w:rPr>
        <w:t xml:space="preserve">might </w:t>
      </w:r>
      <w:r>
        <w:rPr>
          <w:color w:val="000000" w:themeColor="text1"/>
        </w:rPr>
        <w:t>encourage informal traders to move into the fo</w:t>
      </w:r>
      <w:r w:rsidR="00A76587">
        <w:rPr>
          <w:color w:val="000000" w:themeColor="text1"/>
        </w:rPr>
        <w:t>rmal sector and c</w:t>
      </w:r>
      <w:r>
        <w:rPr>
          <w:color w:val="000000" w:themeColor="text1"/>
        </w:rPr>
        <w:t>ould</w:t>
      </w:r>
      <w:r w:rsidR="00A76587">
        <w:rPr>
          <w:color w:val="000000" w:themeColor="text1"/>
        </w:rPr>
        <w:t xml:space="preserve"> thereby</w:t>
      </w:r>
      <w:r>
        <w:rPr>
          <w:color w:val="000000" w:themeColor="text1"/>
        </w:rPr>
        <w:t xml:space="preserve"> increase the sustainability of hunting. </w:t>
      </w:r>
      <w:r w:rsidR="00A76587">
        <w:rPr>
          <w:color w:val="000000" w:themeColor="text1"/>
        </w:rPr>
        <w:t>However, for</w:t>
      </w:r>
      <w:r>
        <w:rPr>
          <w:color w:val="000000" w:themeColor="text1"/>
        </w:rPr>
        <w:t xml:space="preserve"> l</w:t>
      </w:r>
      <w:r w:rsidRPr="004904D8">
        <w:rPr>
          <w:color w:val="000000" w:themeColor="text1"/>
        </w:rPr>
        <w:t>egali</w:t>
      </w:r>
      <w:r>
        <w:rPr>
          <w:color w:val="000000" w:themeColor="text1"/>
        </w:rPr>
        <w:t>zation of</w:t>
      </w:r>
      <w:r w:rsidRPr="004904D8">
        <w:rPr>
          <w:color w:val="000000" w:themeColor="text1"/>
        </w:rPr>
        <w:t xml:space="preserve"> trade </w:t>
      </w:r>
      <w:r>
        <w:rPr>
          <w:color w:val="000000" w:themeColor="text1"/>
        </w:rPr>
        <w:t>to be successful in providing sustainable flows</w:t>
      </w:r>
      <w:r w:rsidR="00A76587">
        <w:rPr>
          <w:color w:val="000000" w:themeColor="text1"/>
        </w:rPr>
        <w:t xml:space="preserve"> of food and income, and preventing</w:t>
      </w:r>
      <w:r>
        <w:rPr>
          <w:color w:val="000000" w:themeColor="text1"/>
        </w:rPr>
        <w:t xml:space="preserve"> the depletion and loss of both targeted and protected species</w:t>
      </w:r>
      <w:r w:rsidR="00A76587">
        <w:rPr>
          <w:color w:val="000000" w:themeColor="text1"/>
        </w:rPr>
        <w:t>,</w:t>
      </w:r>
      <w:r>
        <w:rPr>
          <w:color w:val="000000" w:themeColor="text1"/>
        </w:rPr>
        <w:t xml:space="preserve"> the following requisites </w:t>
      </w:r>
      <w:r w:rsidR="00A76587">
        <w:rPr>
          <w:color w:val="000000" w:themeColor="text1"/>
        </w:rPr>
        <w:t>must</w:t>
      </w:r>
      <w:r>
        <w:rPr>
          <w:color w:val="000000" w:themeColor="text1"/>
        </w:rPr>
        <w:t xml:space="preserve"> be in place:</w:t>
      </w:r>
    </w:p>
    <w:p w14:paraId="2A800683" w14:textId="77777777" w:rsidR="00A95232" w:rsidRDefault="00A95232" w:rsidP="00C258BC">
      <w:pPr>
        <w:jc w:val="both"/>
        <w:rPr>
          <w:color w:val="000000" w:themeColor="text1"/>
        </w:rPr>
      </w:pPr>
      <w:r>
        <w:rPr>
          <w:color w:val="000000" w:themeColor="text1"/>
        </w:rPr>
        <w:t>1) laws to protect non-resilient species are strictly enforced;</w:t>
      </w:r>
    </w:p>
    <w:p w14:paraId="0C8689F6" w14:textId="5678DE71" w:rsidR="00A95232" w:rsidRDefault="00A95232" w:rsidP="00C258BC">
      <w:pPr>
        <w:jc w:val="both"/>
        <w:rPr>
          <w:color w:val="000000" w:themeColor="text1"/>
        </w:rPr>
      </w:pPr>
      <w:r>
        <w:rPr>
          <w:color w:val="000000" w:themeColor="text1"/>
        </w:rPr>
        <w:t>2) indigenous and traditional hunters</w:t>
      </w:r>
      <w:r w:rsidR="00A76587">
        <w:rPr>
          <w:color w:val="000000" w:themeColor="text1"/>
        </w:rPr>
        <w:t xml:space="preserve"> and local communities</w:t>
      </w:r>
      <w:r>
        <w:rPr>
          <w:color w:val="000000" w:themeColor="text1"/>
        </w:rPr>
        <w:t xml:space="preserve"> have the authority to govern access to and use of wildlife on their traditional lands, and have sufficient power to exercise that authority to ensure they benefit exclusively from the sustainable use of their wildlife;</w:t>
      </w:r>
    </w:p>
    <w:p w14:paraId="206768F4" w14:textId="27B32F92" w:rsidR="00A95232" w:rsidRDefault="00A76587" w:rsidP="00C258BC">
      <w:pPr>
        <w:jc w:val="both"/>
        <w:rPr>
          <w:color w:val="000000" w:themeColor="text1"/>
        </w:rPr>
      </w:pPr>
      <w:r>
        <w:rPr>
          <w:color w:val="000000" w:themeColor="text1"/>
        </w:rPr>
        <w:t xml:space="preserve">3) </w:t>
      </w:r>
      <w:r w:rsidR="00A95232">
        <w:rPr>
          <w:color w:val="000000" w:themeColor="text1"/>
        </w:rPr>
        <w:t>hunters</w:t>
      </w:r>
      <w:r>
        <w:rPr>
          <w:color w:val="000000" w:themeColor="text1"/>
        </w:rPr>
        <w:t xml:space="preserve"> external to indigenous and local communities are regulated – for example, they</w:t>
      </w:r>
      <w:r w:rsidR="00A95232">
        <w:rPr>
          <w:color w:val="000000" w:themeColor="text1"/>
        </w:rPr>
        <w:t xml:space="preserve"> can purchase a limited number of catch share licenses which specify total offtake and permitted hunting zones ou</w:t>
      </w:r>
      <w:r w:rsidR="00923270">
        <w:rPr>
          <w:color w:val="000000" w:themeColor="text1"/>
        </w:rPr>
        <w:t>tside of indigenous territories</w:t>
      </w:r>
      <w:r w:rsidR="00A95232">
        <w:rPr>
          <w:color w:val="000000" w:themeColor="text1"/>
        </w:rPr>
        <w:t>;</w:t>
      </w:r>
    </w:p>
    <w:p w14:paraId="3A32102A" w14:textId="27BBB5F6" w:rsidR="00A95232" w:rsidRDefault="00A76587" w:rsidP="00C258BC">
      <w:pPr>
        <w:jc w:val="both"/>
        <w:rPr>
          <w:color w:val="000000" w:themeColor="text1"/>
        </w:rPr>
      </w:pPr>
      <w:r>
        <w:rPr>
          <w:color w:val="000000" w:themeColor="text1"/>
        </w:rPr>
        <w:t>8) wildlife status and</w:t>
      </w:r>
      <w:r w:rsidR="00A95232" w:rsidRPr="004904D8">
        <w:rPr>
          <w:color w:val="000000" w:themeColor="text1"/>
        </w:rPr>
        <w:t xml:space="preserve"> hunting effort</w:t>
      </w:r>
      <w:r>
        <w:rPr>
          <w:color w:val="000000" w:themeColor="text1"/>
        </w:rPr>
        <w:t xml:space="preserve"> are regularly monitored</w:t>
      </w:r>
      <w:r w:rsidR="00A95232" w:rsidRPr="004904D8">
        <w:rPr>
          <w:color w:val="000000" w:themeColor="text1"/>
        </w:rPr>
        <w:t>, using methods capable of reflecting true cha</w:t>
      </w:r>
      <w:r>
        <w:rPr>
          <w:color w:val="000000" w:themeColor="text1"/>
        </w:rPr>
        <w:t>nges in wildlife populations, and are</w:t>
      </w:r>
      <w:r w:rsidR="00A95232" w:rsidRPr="004904D8">
        <w:rPr>
          <w:color w:val="000000" w:themeColor="text1"/>
        </w:rPr>
        <w:t xml:space="preserve"> incorporated into flexible an</w:t>
      </w:r>
      <w:r w:rsidR="00A95232" w:rsidRPr="005512D2">
        <w:rPr>
          <w:color w:val="000000" w:themeColor="text1"/>
        </w:rPr>
        <w:t>d adaptive management of offtakes</w:t>
      </w:r>
    </w:p>
    <w:p w14:paraId="2DA2E597" w14:textId="77777777" w:rsidR="00A95232" w:rsidRDefault="00A95232" w:rsidP="00C258BC">
      <w:pPr>
        <w:jc w:val="both"/>
        <w:rPr>
          <w:color w:val="000000" w:themeColor="text1"/>
        </w:rPr>
      </w:pPr>
      <w:r>
        <w:rPr>
          <w:color w:val="000000" w:themeColor="text1"/>
        </w:rPr>
        <w:t>4) traders are licensed and the species they can sell is regulated and strictly enforced;</w:t>
      </w:r>
    </w:p>
    <w:p w14:paraId="5D4E8C86" w14:textId="77777777" w:rsidR="00A95232" w:rsidRDefault="00A95232" w:rsidP="00C258BC">
      <w:pPr>
        <w:jc w:val="both"/>
        <w:rPr>
          <w:color w:val="000000" w:themeColor="text1"/>
        </w:rPr>
      </w:pPr>
      <w:r>
        <w:rPr>
          <w:color w:val="000000" w:themeColor="text1"/>
        </w:rPr>
        <w:t>5) consumers pay a sales tax that is collected by licensed traders;</w:t>
      </w:r>
    </w:p>
    <w:p w14:paraId="2971D323" w14:textId="71A372EB" w:rsidR="00A95232" w:rsidRDefault="00A95232" w:rsidP="00C258BC">
      <w:pPr>
        <w:jc w:val="both"/>
        <w:rPr>
          <w:color w:val="000000" w:themeColor="text1"/>
        </w:rPr>
      </w:pPr>
      <w:r>
        <w:rPr>
          <w:color w:val="000000" w:themeColor="text1"/>
        </w:rPr>
        <w:lastRenderedPageBreak/>
        <w:t>6) hunting license fees and sales taxes are captured by the state and used to finance law enforcement at a level sufficient to ensure that hunting regulations are adhered to;</w:t>
      </w:r>
    </w:p>
    <w:p w14:paraId="0EBDB31E" w14:textId="77777777" w:rsidR="00A95232" w:rsidRDefault="00A95232" w:rsidP="00C258BC">
      <w:pPr>
        <w:jc w:val="both"/>
        <w:rPr>
          <w:color w:val="000000" w:themeColor="text1"/>
        </w:rPr>
      </w:pPr>
      <w:r w:rsidRPr="003D0A34">
        <w:rPr>
          <w:color w:val="000000" w:themeColor="text1"/>
        </w:rPr>
        <w:t>7) law enforcement</w:t>
      </w:r>
      <w:r>
        <w:rPr>
          <w:color w:val="000000" w:themeColor="text1"/>
        </w:rPr>
        <w:t xml:space="preserve"> and tax</w:t>
      </w:r>
      <w:r w:rsidRPr="003D0A34">
        <w:rPr>
          <w:color w:val="000000" w:themeColor="text1"/>
        </w:rPr>
        <w:t xml:space="preserve"> </w:t>
      </w:r>
      <w:r>
        <w:rPr>
          <w:color w:val="000000" w:themeColor="text1"/>
        </w:rPr>
        <w:t>officials</w:t>
      </w:r>
      <w:r w:rsidRPr="003D0A34">
        <w:rPr>
          <w:color w:val="000000" w:themeColor="text1"/>
        </w:rPr>
        <w:t xml:space="preserve"> </w:t>
      </w:r>
      <w:r>
        <w:rPr>
          <w:color w:val="000000" w:themeColor="text1"/>
        </w:rPr>
        <w:t>have adequate training and capacity to know and apply hunting laws equally and fairly</w:t>
      </w:r>
      <w:r w:rsidRPr="003D0A34">
        <w:rPr>
          <w:color w:val="000000" w:themeColor="text1"/>
        </w:rPr>
        <w:t xml:space="preserve">. </w:t>
      </w:r>
    </w:p>
    <w:p w14:paraId="1E8D51BA" w14:textId="12FEFDCF" w:rsidR="00A95232" w:rsidRDefault="00A95232" w:rsidP="00C258BC">
      <w:pPr>
        <w:jc w:val="both"/>
        <w:rPr>
          <w:color w:val="000000" w:themeColor="text1"/>
        </w:rPr>
      </w:pPr>
      <w:r>
        <w:rPr>
          <w:color w:val="000000" w:themeColor="text1"/>
        </w:rPr>
        <w:t>L</w:t>
      </w:r>
      <w:r w:rsidRPr="0070404D">
        <w:rPr>
          <w:color w:val="000000" w:themeColor="text1"/>
        </w:rPr>
        <w:t xml:space="preserve">egal hunting for sport has been highly successful in the United States where hunter licenses are the primary source of funds that the State and other wildlife agencies use to manage hunted and non-hunted species </w:t>
      </w:r>
      <w:r w:rsidR="006D390F">
        <w:rPr>
          <w:color w:val="000000" w:themeColor="text1"/>
        </w:rPr>
        <w:fldChar w:fldCharType="begin" w:fldLock="1"/>
      </w:r>
      <w:r w:rsidR="006D390F">
        <w:rPr>
          <w:color w:val="000000" w:themeColor="text1"/>
        </w:rPr>
        <w:instrText>ADDIN CSL_CITATION {"citationItems":[{"id":"ITEM-1","itemData":{"author":[{"dropping-particle":"","family":"Organ","given":"John F","non-dropping-particle":"","parse-names":false,"suffix":""},{"dropping-particle":"","family":"Mahoney","given":"Shane P","non-dropping-particle":"","parse-names":false,"suffix":""},{"dropping-particle":"","family":"Geist","given":"Valerius","non-dropping-particle":"","parse-names":false,"suffix":""}],"container-title":"The Willdlife Professional","id":"ITEM-1","issue":"3","issued":{"date-parts":[["2010"]]},"page":"22-27","title":"Born in the hands of hunters: the North American model of wildlife conservation","type":"article-journal","volume":"4"},"uris":["http://www.mendeley.com/documents/?uuid=078ba34b-364e-41d9-b0a6-225569aba753"]}],"mendeley":{"formattedCitation":"(Organ et al. 2010)","plainTextFormattedCitation":"(Organ et al. 2010)","previouslyFormattedCitation":"(Organ et al. 2010)"},"properties":{"noteIndex":0},"schema":"https://github.com/citation-style-language/schema/raw/master/csl-citation.json"}</w:instrText>
      </w:r>
      <w:r w:rsidR="006D390F">
        <w:rPr>
          <w:color w:val="000000" w:themeColor="text1"/>
        </w:rPr>
        <w:fldChar w:fldCharType="separate"/>
      </w:r>
      <w:r w:rsidR="006D390F" w:rsidRPr="006D390F">
        <w:rPr>
          <w:noProof/>
          <w:color w:val="000000" w:themeColor="text1"/>
        </w:rPr>
        <w:t>(Organ et al. 2010)</w:t>
      </w:r>
      <w:r w:rsidR="006D390F">
        <w:rPr>
          <w:color w:val="000000" w:themeColor="text1"/>
        </w:rPr>
        <w:fldChar w:fldCharType="end"/>
      </w:r>
      <w:r w:rsidRPr="004904D8">
        <w:rPr>
          <w:color w:val="000000" w:themeColor="text1"/>
        </w:rPr>
        <w:fldChar w:fldCharType="begin"/>
      </w:r>
      <w:r>
        <w:rPr>
          <w:color w:val="000000" w:themeColor="text1"/>
        </w:rPr>
        <w:instrText xml:space="preserve"> ADDIN EN.CITE &lt;EndNote&gt;&lt;Cite&gt;&lt;Author&gt;Organ&lt;/Author&gt;&lt;Year&gt;2010&lt;/Year&gt;&lt;RecNum&gt;7833&lt;/RecNum&gt;&lt;DisplayText&gt;(Organ et al. 2010)&lt;/DisplayText&gt;&lt;record&gt;&lt;rec-number&gt;7833&lt;/rec-number&gt;&lt;foreign-keys&gt;&lt;key app="EN" db-id="99f9d2024rrsptevpzoptt05re9wrz9pw9pa" timestamp="1499864632"&gt;7833&lt;/key&gt;&lt;/foreign-keys&gt;&lt;ref-type name="Journal Article"&gt;17&lt;/ref-type&gt;&lt;contributors&gt;&lt;authors&gt;&lt;author&gt;Organ, John F&lt;/author&gt;&lt;author&gt;Mahoney, Shane P&lt;/author&gt;&lt;author&gt;Geist, Valerius&lt;/author&gt;&lt;/authors&gt;&lt;/contributors&gt;&lt;titles&gt;&lt;title&gt;Born in the hands of hunters&lt;/title&gt;&lt;secondary-title&gt;Wildl Prof&lt;/secondary-title&gt;&lt;/titles&gt;&lt;periodical&gt;&lt;full-title&gt;Wildl Prof&lt;/full-title&gt;&lt;/periodical&gt;&lt;pages&gt;22-27&lt;/pages&gt;&lt;volume&gt;4&lt;/volume&gt;&lt;dates&gt;&lt;year&gt;2010&lt;/year&gt;&lt;/dates&gt;&lt;urls&gt;&lt;/urls&gt;&lt;/record&gt;&lt;/Cite&gt;&lt;/EndNote&gt;</w:instrText>
      </w:r>
      <w:r w:rsidRPr="004904D8">
        <w:rPr>
          <w:color w:val="000000" w:themeColor="text1"/>
        </w:rPr>
        <w:fldChar w:fldCharType="end"/>
      </w:r>
      <w:r w:rsidR="006D390F" w:rsidRPr="004904D8">
        <w:rPr>
          <w:color w:val="000000" w:themeColor="text1"/>
        </w:rPr>
        <w:t xml:space="preserve"> </w:t>
      </w:r>
      <w:r w:rsidRPr="004904D8">
        <w:rPr>
          <w:color w:val="000000" w:themeColor="text1"/>
        </w:rPr>
        <w:t>. Legal hunting also is an effective management tool in Europe</w:t>
      </w:r>
      <w:r>
        <w:rPr>
          <w:color w:val="000000" w:themeColor="text1"/>
        </w:rPr>
        <w:t>, Namibia and South Africa</w:t>
      </w:r>
      <w:r w:rsidRPr="004904D8">
        <w:rPr>
          <w:color w:val="000000" w:themeColor="text1"/>
        </w:rPr>
        <w:t xml:space="preserve">. However, </w:t>
      </w:r>
      <w:r>
        <w:rPr>
          <w:color w:val="000000" w:themeColor="text1"/>
        </w:rPr>
        <w:t>these</w:t>
      </w:r>
      <w:r w:rsidRPr="004904D8">
        <w:rPr>
          <w:color w:val="000000" w:themeColor="text1"/>
        </w:rPr>
        <w:t xml:space="preserve"> systems are </w:t>
      </w:r>
      <w:r>
        <w:rPr>
          <w:color w:val="000000" w:themeColor="text1"/>
        </w:rPr>
        <w:t xml:space="preserve">generally </w:t>
      </w:r>
      <w:r w:rsidRPr="004904D8">
        <w:rPr>
          <w:color w:val="000000" w:themeColor="text1"/>
        </w:rPr>
        <w:t>founded in societies that are not dependent on wild meat for food security,</w:t>
      </w:r>
      <w:r>
        <w:rPr>
          <w:color w:val="000000" w:themeColor="text1"/>
        </w:rPr>
        <w:t xml:space="preserve"> have</w:t>
      </w:r>
      <w:r w:rsidRPr="005512D2">
        <w:rPr>
          <w:color w:val="000000" w:themeColor="text1"/>
        </w:rPr>
        <w:t xml:space="preserve"> effective, established enabling environments (e.g. suitable hunting laws, effective law enforcement</w:t>
      </w:r>
      <w:r w:rsidRPr="004904D8">
        <w:rPr>
          <w:color w:val="000000" w:themeColor="text1"/>
        </w:rPr>
        <w:t>)</w:t>
      </w:r>
      <w:r>
        <w:rPr>
          <w:color w:val="000000" w:themeColor="text1"/>
        </w:rPr>
        <w:t xml:space="preserve">, and focus on a few target species. </w:t>
      </w:r>
    </w:p>
    <w:p w14:paraId="2E851F84" w14:textId="6FC69279" w:rsidR="00A95232" w:rsidRDefault="00A95232" w:rsidP="00C258BC">
      <w:pPr>
        <w:jc w:val="both"/>
        <w:rPr>
          <w:color w:val="000000" w:themeColor="text1"/>
        </w:rPr>
      </w:pPr>
      <w:r>
        <w:rPr>
          <w:color w:val="000000" w:themeColor="text1"/>
        </w:rPr>
        <w:t xml:space="preserve">Many tropical and sub-tropical countries where wild meat represents an important source of income for rural communities do not currently have sufficient capacity, in terms of trained personnel, infrastructure and budgets, to successfully operate a system of wild meat taxation and enforce laws. Without effective law enforcement, hunters and traders have little motivation to pay the likely higher costs associated with entering the legal marketplace. </w:t>
      </w:r>
      <w:r>
        <w:rPr>
          <w:snapToGrid w:val="0"/>
          <w:color w:val="000000" w:themeColor="text1"/>
          <w:lang w:eastAsia="ja-JP" w:bidi="th-TH"/>
        </w:rPr>
        <w:t xml:space="preserve">For example, in Vietnam, the total profit earned from </w:t>
      </w:r>
      <w:r w:rsidRPr="007F7C39">
        <w:t>illegal wildlife trade</w:t>
      </w:r>
      <w:r>
        <w:t xml:space="preserve"> in 2008</w:t>
      </w:r>
      <w:r w:rsidRPr="007F7C39">
        <w:t xml:space="preserve"> </w:t>
      </w:r>
      <w:r>
        <w:t>was estimated to be</w:t>
      </w:r>
      <w:r w:rsidRPr="007F7C39">
        <w:t xml:space="preserve"> 31 times larger</w:t>
      </w:r>
      <w:r>
        <w:t xml:space="preserve"> than the monitoring and enforcement budget of Vietnam’s Forest Protection Department</w:t>
      </w:r>
      <w:r w:rsidRPr="007F7C39">
        <w:t>, and the official confiscated value of</w:t>
      </w:r>
      <w:r>
        <w:t xml:space="preserve"> illegal wildlife trade accounted</w:t>
      </w:r>
      <w:r w:rsidRPr="007F7C39">
        <w:t xml:space="preserve"> for only 3.1% of the</w:t>
      </w:r>
      <w:r w:rsidRPr="009460EC">
        <w:t xml:space="preserve"> </w:t>
      </w:r>
      <w:r w:rsidRPr="007F7C39">
        <w:t>estimated total trade value</w:t>
      </w:r>
      <w:r>
        <w:t xml:space="preserve"> </w:t>
      </w:r>
      <w:r w:rsidR="006D390F">
        <w:fldChar w:fldCharType="begin" w:fldLock="1"/>
      </w:r>
      <w:r w:rsidR="006D390F">
        <w:instrText>ADDIN CSL_CITATION {"citationItems":[{"id":"ITEM-1","itemData":{"author":[{"dropping-particle":"","family":"Song","given":"Nguyen","non-dropping-particle":"Van","parse-names":false,"suffix":""}],"container-title":"The Journal of Environment &amp; Development","id":"ITEM-1","issue":"2","issued":{"date-parts":[["2008"]]},"page":"145-165","title":"Wildlife trading in Vietnam. Situation, causes, and solutions","type":"article-journal","volume":"17"},"uris":["http://www.mendeley.com/documents/?uuid=ba13aeca-3951-4680-b319-a2497dd0d495"]}],"mendeley":{"formattedCitation":"(Van Song 2008)","plainTextFormattedCitation":"(Van Song 2008)","previouslyFormattedCitation":"(Van Song 2008)"},"properties":{"noteIndex":0},"schema":"https://github.com/citation-style-language/schema/raw/master/csl-citation.json"}</w:instrText>
      </w:r>
      <w:r w:rsidR="006D390F">
        <w:fldChar w:fldCharType="separate"/>
      </w:r>
      <w:r w:rsidR="006D390F" w:rsidRPr="006D390F">
        <w:rPr>
          <w:noProof/>
        </w:rPr>
        <w:t>(Van Song 2008)</w:t>
      </w:r>
      <w:r w:rsidR="006D390F">
        <w:fldChar w:fldCharType="end"/>
      </w:r>
      <w:r w:rsidR="006D390F">
        <w:t>.</w:t>
      </w:r>
      <w:r w:rsidRPr="007F7C39">
        <w:t xml:space="preserve"> </w:t>
      </w:r>
    </w:p>
    <w:p w14:paraId="4416E7B7" w14:textId="1A1B3739" w:rsidR="00A95232" w:rsidRDefault="00A95232" w:rsidP="00C258BC">
      <w:pPr>
        <w:jc w:val="both"/>
        <w:rPr>
          <w:color w:val="000000" w:themeColor="text1"/>
        </w:rPr>
      </w:pPr>
      <w:r>
        <w:rPr>
          <w:color w:val="000000" w:themeColor="text1"/>
        </w:rPr>
        <w:t xml:space="preserve">The funding required </w:t>
      </w:r>
      <w:r w:rsidRPr="004904D8">
        <w:rPr>
          <w:color w:val="000000" w:themeColor="text1"/>
        </w:rPr>
        <w:t>to effectively govern and manage a system</w:t>
      </w:r>
      <w:r>
        <w:rPr>
          <w:color w:val="000000" w:themeColor="text1"/>
        </w:rPr>
        <w:t xml:space="preserve"> of taxation can be provided the </w:t>
      </w:r>
      <w:r w:rsidR="00A479D2">
        <w:rPr>
          <w:color w:val="000000" w:themeColor="text1"/>
        </w:rPr>
        <w:t xml:space="preserve">hunting </w:t>
      </w:r>
      <w:r w:rsidR="00A479D2" w:rsidRPr="004904D8">
        <w:rPr>
          <w:color w:val="000000" w:themeColor="text1"/>
        </w:rPr>
        <w:t>license</w:t>
      </w:r>
      <w:r w:rsidRPr="004904D8">
        <w:rPr>
          <w:color w:val="000000" w:themeColor="text1"/>
        </w:rPr>
        <w:t xml:space="preserve"> fee </w:t>
      </w:r>
      <w:r>
        <w:rPr>
          <w:color w:val="000000" w:themeColor="text1"/>
        </w:rPr>
        <w:t>and</w:t>
      </w:r>
      <w:r w:rsidRPr="004904D8">
        <w:rPr>
          <w:color w:val="000000" w:themeColor="text1"/>
        </w:rPr>
        <w:t xml:space="preserve"> tax on sales and purchases</w:t>
      </w:r>
      <w:r>
        <w:rPr>
          <w:color w:val="000000" w:themeColor="text1"/>
        </w:rPr>
        <w:t>; t</w:t>
      </w:r>
      <w:r w:rsidRPr="004904D8">
        <w:rPr>
          <w:color w:val="000000" w:themeColor="text1"/>
        </w:rPr>
        <w:t xml:space="preserve">hese license fees and taxes must be set at levels sufficient to generate the revenue needed to enforce the laws legalising wildlife hunting and trade for food. </w:t>
      </w:r>
      <w:r>
        <w:rPr>
          <w:color w:val="000000" w:themeColor="text1"/>
        </w:rPr>
        <w:t>A</w:t>
      </w:r>
      <w:r w:rsidRPr="004904D8">
        <w:rPr>
          <w:color w:val="000000" w:themeColor="text1"/>
        </w:rPr>
        <w:t xml:space="preserve"> 2006 assessment of such as system in Gabon showed that tax levels and tax recovery rates would need to be unrealistically high to cover the costs of effective implementation of legal trade and prevention of illegally hunted wildlife being laundered within legal markets </w:t>
      </w:r>
      <w:r w:rsidR="006D390F">
        <w:rPr>
          <w:color w:val="000000" w:themeColor="text1"/>
        </w:rPr>
        <w:fldChar w:fldCharType="begin" w:fldLock="1"/>
      </w:r>
      <w:r w:rsidR="006B1E6F">
        <w:rPr>
          <w:color w:val="000000" w:themeColor="text1"/>
        </w:rPr>
        <w:instrText>ADDIN CSL_CITATION {"citationItems":[{"id":"ITEM-1","itemData":{"DOI":"10.1080/13880290601039287","ISBN":"1388-0292","ISSN":"1388-0292","abstract":"Unregulated hunting for the bushmeat market is posing excessive pressures on wildlife. Taxation of the bushmeat trade has been proposed as one of the effective regulatory means. This paper reviews the conservation risks and the economic and administrative feasibility of legalizing the commercial trade in bushmeat, using empirical data on bushmeat consumption and prices in Gabon, and costs of effective wildlife enforcements in Congo.","author":[{"dropping-particle":"","family":"Wilkie","given":"David S.","non-dropping-particle":"","parse-names":false,"suffix":""},{"dropping-particle":"","family":"Starkey","given":"Malcolm","non-dropping-particle":"","parse-names":false,"suffix":""},{"dropping-particle":"","family":"Bennett","given":"Elizabeth L.","non-dropping-particle":"","parse-names":false,"suffix":""},{"dropping-particle":"","family":"Abernethy","given":"Kate","non-dropping-particle":"","parse-names":false,"suffix":""},{"dropping-particle":"","family":"Fotso","given":"Roger","non-dropping-particle":"","parse-names":false,"suffix":""},{"dropping-particle":"","family":"Maisels","given":"Fiona","non-dropping-particle":"","parse-names":false,"suffix":""},{"dropping-particle":"","family":"Elkan","given":"Paul","non-dropping-particle":"","parse-names":false,"suffix":""}],"container-title":"Journal of International Wildlife Law &amp; Policy","id":"ITEM-1","issue":"4","issued":{"date-parts":[["2006"]]},"page":"335-349","title":"Can taxation contribute to sustainable management of the bushmeat trade? Evidence from Gabon and Cameroon","type":"article-journal","volume":"9"},"uris":["http://www.mendeley.com/documents/?uuid=116ab648-7c76-40e3-897a-28720f727166"]}],"mendeley":{"formattedCitation":"(Wilkie et al. 2006)","plainTextFormattedCitation":"(Wilkie et al. 2006)","previouslyFormattedCitation":"(Wilkie et al. 2006)"},"properties":{"noteIndex":0},"schema":"https://github.com/citation-style-language/schema/raw/master/csl-citation.json"}</w:instrText>
      </w:r>
      <w:r w:rsidR="006D390F">
        <w:rPr>
          <w:color w:val="000000" w:themeColor="text1"/>
        </w:rPr>
        <w:fldChar w:fldCharType="separate"/>
      </w:r>
      <w:r w:rsidR="006D390F" w:rsidRPr="006D390F">
        <w:rPr>
          <w:noProof/>
          <w:color w:val="000000" w:themeColor="text1"/>
        </w:rPr>
        <w:t>(Wilkie et al. 2006)</w:t>
      </w:r>
      <w:r w:rsidR="006D390F">
        <w:rPr>
          <w:color w:val="000000" w:themeColor="text1"/>
        </w:rPr>
        <w:fldChar w:fldCharType="end"/>
      </w:r>
      <w:r w:rsidRPr="004904D8">
        <w:rPr>
          <w:color w:val="000000" w:themeColor="text1"/>
        </w:rPr>
        <w:t>.</w:t>
      </w:r>
      <w:r>
        <w:rPr>
          <w:color w:val="000000" w:themeColor="text1"/>
        </w:rPr>
        <w:t xml:space="preserve"> This case-study highlights that while taxation systems for wildmeat may be appropriate for some </w:t>
      </w:r>
      <w:r w:rsidRPr="00A76587">
        <w:rPr>
          <w:color w:val="000000" w:themeColor="text1"/>
        </w:rPr>
        <w:t>na</w:t>
      </w:r>
      <w:r w:rsidR="00923270">
        <w:rPr>
          <w:color w:val="000000" w:themeColor="text1"/>
        </w:rPr>
        <w:t>tions, it may not be feasible or</w:t>
      </w:r>
      <w:r w:rsidRPr="00A76587">
        <w:rPr>
          <w:color w:val="000000" w:themeColor="text1"/>
        </w:rPr>
        <w:t xml:space="preserve"> cost-effective in others. There has been little research into the feasibility of, and requirements for, establishing taxation systems for wild meat in countries w</w:t>
      </w:r>
      <w:r w:rsidR="00A76587" w:rsidRPr="00A76587">
        <w:rPr>
          <w:color w:val="000000" w:themeColor="text1"/>
        </w:rPr>
        <w:t>hic</w:t>
      </w:r>
      <w:r w:rsidRPr="00A76587">
        <w:rPr>
          <w:color w:val="000000" w:themeColor="text1"/>
        </w:rPr>
        <w:t>h</w:t>
      </w:r>
      <w:r w:rsidR="00A76587" w:rsidRPr="00A76587">
        <w:rPr>
          <w:color w:val="000000" w:themeColor="text1"/>
        </w:rPr>
        <w:t xml:space="preserve"> have</w:t>
      </w:r>
      <w:r w:rsidRPr="00A76587">
        <w:rPr>
          <w:color w:val="000000" w:themeColor="text1"/>
        </w:rPr>
        <w:t xml:space="preserve"> limited existing taxation systems for other goods, and this should be a priority area for wild meat research.</w:t>
      </w:r>
    </w:p>
    <w:p w14:paraId="3DC42C60" w14:textId="77777777" w:rsidR="00A95232" w:rsidRDefault="00A95232" w:rsidP="00DF57F3">
      <w:pPr>
        <w:pStyle w:val="Heading2"/>
      </w:pPr>
      <w:bookmarkStart w:id="261" w:name="_Toc529390373"/>
      <w:r>
        <w:t>Regulation of supply destined for an international market</w:t>
      </w:r>
      <w:bookmarkEnd w:id="261"/>
    </w:p>
    <w:p w14:paraId="29E73100" w14:textId="20E80DE9" w:rsidR="00A95232" w:rsidRDefault="00A95232" w:rsidP="00C258BC">
      <w:pPr>
        <w:jc w:val="both"/>
        <w:rPr>
          <w:color w:val="000000" w:themeColor="text1"/>
        </w:rPr>
      </w:pPr>
      <w:r>
        <w:rPr>
          <w:color w:val="000000" w:themeColor="text1"/>
        </w:rPr>
        <w:t>In most countries the vast majority of wildlife hunted for food is consumed locally or nationally. Only relatively small amounts are exported to international markets and most of that is by road or b</w:t>
      </w:r>
      <w:r w:rsidR="00A76587">
        <w:rPr>
          <w:color w:val="000000" w:themeColor="text1"/>
        </w:rPr>
        <w:t xml:space="preserve">oat to neighbouring countries. </w:t>
      </w:r>
      <w:r>
        <w:rPr>
          <w:color w:val="000000" w:themeColor="text1"/>
        </w:rPr>
        <w:t>Wildmeat destined for long distant international markets is very often traded illegally, as either trade in the species is illegal or importation of wild meat products is illegal. Wild meat traded international is typically transported by air, because it is perishable. As the practice is illegal, the most effective way to discourage this is to conduct, frequent random searches of both checked, freight and carry-on luggage</w:t>
      </w:r>
      <w:r w:rsidRPr="000D569E">
        <w:rPr>
          <w:color w:val="000000" w:themeColor="text1"/>
        </w:rPr>
        <w:t xml:space="preserve"> </w:t>
      </w:r>
      <w:r>
        <w:rPr>
          <w:color w:val="000000" w:themeColor="text1"/>
        </w:rPr>
        <w:t>at both take-off and landing airports, and to arrest smugglers and charge them with a crime that carries a heavy penalty.</w:t>
      </w:r>
    </w:p>
    <w:p w14:paraId="4A1722EE" w14:textId="706B177F" w:rsidR="00141F67" w:rsidRDefault="00141F67" w:rsidP="00DF57F3">
      <w:pPr>
        <w:pStyle w:val="Heading2"/>
      </w:pPr>
      <w:bookmarkStart w:id="262" w:name="_Toc529390374"/>
      <w:bookmarkEnd w:id="255"/>
      <w:bookmarkEnd w:id="256"/>
      <w:r>
        <w:lastRenderedPageBreak/>
        <w:t xml:space="preserve">Suggested steps </w:t>
      </w:r>
      <w:r w:rsidRPr="00320E0C">
        <w:rPr>
          <w:lang w:eastAsia="ja-JP" w:bidi="th-TH"/>
        </w:rPr>
        <w:t>for improving the sustainability of wild</w:t>
      </w:r>
      <w:r>
        <w:rPr>
          <w:lang w:eastAsia="ja-JP" w:bidi="th-TH"/>
        </w:rPr>
        <w:t xml:space="preserve"> </w:t>
      </w:r>
      <w:r w:rsidRPr="00320E0C">
        <w:rPr>
          <w:lang w:eastAsia="ja-JP" w:bidi="th-TH"/>
        </w:rPr>
        <w:t>meat supply</w:t>
      </w:r>
      <w:bookmarkEnd w:id="262"/>
      <w:r w:rsidRPr="004904D8">
        <w:t xml:space="preserve"> </w:t>
      </w:r>
    </w:p>
    <w:p w14:paraId="5A14B301" w14:textId="0F4EEDC2" w:rsidR="00141F67" w:rsidRPr="00320E0C" w:rsidRDefault="00141F67" w:rsidP="00C258BC">
      <w:pPr>
        <w:suppressLineNumbers/>
        <w:suppressAutoHyphens/>
        <w:spacing w:after="120"/>
        <w:contextualSpacing/>
        <w:jc w:val="both"/>
        <w:rPr>
          <w:rFonts w:eastAsia="Batang"/>
          <w:bCs/>
          <w:iCs/>
          <w:color w:val="000000"/>
          <w:kern w:val="22"/>
          <w:szCs w:val="22"/>
          <w:lang w:eastAsia="ja-JP" w:bidi="th-TH"/>
        </w:rPr>
      </w:pPr>
      <w:r w:rsidRPr="00320E0C">
        <w:rPr>
          <w:rFonts w:eastAsia="Batang"/>
          <w:bCs/>
          <w:iCs/>
          <w:color w:val="000000"/>
          <w:kern w:val="22"/>
          <w:szCs w:val="22"/>
          <w:lang w:eastAsia="ja-JP" w:bidi="th-TH"/>
        </w:rPr>
        <w:t xml:space="preserve">Develop and strengthen participatory processes in formulating and implementing the sustainable management and harvesting of wildlife, including wild meat species, with the participation of </w:t>
      </w:r>
      <w:r w:rsidR="0077363A">
        <w:rPr>
          <w:rFonts w:eastAsia="Batang"/>
          <w:bCs/>
          <w:iCs/>
          <w:color w:val="000000"/>
          <w:kern w:val="22"/>
          <w:szCs w:val="22"/>
          <w:lang w:eastAsia="ja-JP" w:bidi="th-TH"/>
        </w:rPr>
        <w:t>IPLCs</w:t>
      </w:r>
      <w:r w:rsidRPr="00320E0C">
        <w:rPr>
          <w:rFonts w:eastAsia="Batang"/>
          <w:bCs/>
          <w:iCs/>
          <w:color w:val="000000"/>
          <w:kern w:val="22"/>
          <w:szCs w:val="22"/>
          <w:lang w:eastAsia="ja-JP" w:bidi="th-TH"/>
        </w:rPr>
        <w:t>, non-governmental organizations, the private sector and other relevant stakeholders:</w:t>
      </w:r>
    </w:p>
    <w:p w14:paraId="67241F54" w14:textId="77777777" w:rsidR="00141F67" w:rsidRPr="00320E0C" w:rsidRDefault="00141F67" w:rsidP="00C258BC">
      <w:pPr>
        <w:suppressLineNumbers/>
        <w:suppressAutoHyphens/>
        <w:spacing w:after="120"/>
        <w:ind w:left="709"/>
        <w:contextualSpacing/>
        <w:jc w:val="both"/>
        <w:rPr>
          <w:rFonts w:eastAsia="Batang"/>
          <w:bCs/>
          <w:iCs/>
          <w:color w:val="000000"/>
          <w:kern w:val="22"/>
          <w:szCs w:val="22"/>
          <w:lang w:eastAsia="ja-JP" w:bidi="th-TH"/>
        </w:rPr>
      </w:pPr>
    </w:p>
    <w:p w14:paraId="06EE2E4C" w14:textId="79CA849F" w:rsidR="00791D9D" w:rsidRPr="00791D9D" w:rsidRDefault="00FA0C1B" w:rsidP="00791D9D">
      <w:pPr>
        <w:numPr>
          <w:ilvl w:val="0"/>
          <w:numId w:val="30"/>
        </w:numPr>
        <w:suppressLineNumbers/>
        <w:suppressAutoHyphens/>
        <w:spacing w:before="120" w:after="120"/>
        <w:ind w:left="709" w:hanging="720"/>
        <w:jc w:val="both"/>
        <w:rPr>
          <w:rFonts w:eastAsia="Batang"/>
          <w:bCs/>
          <w:iCs/>
          <w:color w:val="000000"/>
          <w:kern w:val="22"/>
          <w:szCs w:val="22"/>
          <w:lang w:eastAsia="ja-JP" w:bidi="th-TH"/>
        </w:rPr>
      </w:pPr>
      <w:r>
        <w:rPr>
          <w:color w:val="000000"/>
          <w:kern w:val="22"/>
          <w:szCs w:val="22"/>
        </w:rPr>
        <w:t xml:space="preserve">Where </w:t>
      </w:r>
      <w:r w:rsidR="00A93FE8">
        <w:rPr>
          <w:color w:val="000000"/>
          <w:kern w:val="22"/>
          <w:szCs w:val="22"/>
        </w:rPr>
        <w:t xml:space="preserve">human </w:t>
      </w:r>
      <w:r>
        <w:rPr>
          <w:color w:val="000000"/>
          <w:kern w:val="22"/>
          <w:szCs w:val="22"/>
        </w:rPr>
        <w:t>communities and wildlife co-exis</w:t>
      </w:r>
      <w:r w:rsidR="006740B0">
        <w:rPr>
          <w:color w:val="000000"/>
          <w:kern w:val="22"/>
          <w:szCs w:val="22"/>
        </w:rPr>
        <w:t>t</w:t>
      </w:r>
      <w:r>
        <w:rPr>
          <w:color w:val="000000"/>
          <w:kern w:val="22"/>
          <w:szCs w:val="22"/>
        </w:rPr>
        <w:t>, c</w:t>
      </w:r>
      <w:r w:rsidR="00141F67" w:rsidRPr="00320E0C">
        <w:rPr>
          <w:color w:val="000000"/>
          <w:kern w:val="22"/>
          <w:szCs w:val="22"/>
        </w:rPr>
        <w:t>ommunities should be involved in the sustainable management of local wildlife resources</w:t>
      </w:r>
      <w:r>
        <w:rPr>
          <w:color w:val="000000"/>
          <w:kern w:val="22"/>
          <w:szCs w:val="22"/>
        </w:rPr>
        <w:t xml:space="preserve"> where possible</w:t>
      </w:r>
      <w:r w:rsidR="00141F67" w:rsidRPr="00320E0C">
        <w:rPr>
          <w:color w:val="000000"/>
          <w:kern w:val="22"/>
          <w:szCs w:val="22"/>
        </w:rPr>
        <w:t xml:space="preserve">. This can be achieved by recognizing and supporting </w:t>
      </w:r>
      <w:r w:rsidR="00141F67" w:rsidRPr="00320E0C">
        <w:rPr>
          <w:kern w:val="22"/>
          <w:szCs w:val="22"/>
        </w:rPr>
        <w:t xml:space="preserve">territories and areas conserved by </w:t>
      </w:r>
      <w:r w:rsidR="0077363A">
        <w:rPr>
          <w:kern w:val="22"/>
          <w:szCs w:val="22"/>
        </w:rPr>
        <w:t>IPLCs</w:t>
      </w:r>
      <w:r w:rsidR="00141F67" w:rsidRPr="00320E0C">
        <w:rPr>
          <w:color w:val="000000"/>
          <w:kern w:val="22"/>
          <w:szCs w:val="22"/>
        </w:rPr>
        <w:t xml:space="preserve">, and by using a range of governance models, including </w:t>
      </w:r>
      <w:r w:rsidR="00141F67">
        <w:rPr>
          <w:color w:val="000000"/>
          <w:kern w:val="22"/>
          <w:szCs w:val="22"/>
        </w:rPr>
        <w:t>ICCAs and hunting zones</w:t>
      </w:r>
      <w:r w:rsidR="00141F67" w:rsidRPr="00320E0C">
        <w:rPr>
          <w:color w:val="000000"/>
          <w:kern w:val="22"/>
          <w:szCs w:val="22"/>
        </w:rPr>
        <w:t>, community conservancies, payment for ecosystem services and certification schemes</w:t>
      </w:r>
      <w:r>
        <w:rPr>
          <w:kern w:val="22"/>
          <w:szCs w:val="22"/>
        </w:rPr>
        <w:t>.</w:t>
      </w:r>
    </w:p>
    <w:p w14:paraId="2B3DAEA0" w14:textId="13585D0F" w:rsidR="00DB5A9F" w:rsidRPr="00820427" w:rsidRDefault="00DB5A9F" w:rsidP="00C258BC">
      <w:pPr>
        <w:numPr>
          <w:ilvl w:val="0"/>
          <w:numId w:val="30"/>
        </w:numPr>
        <w:suppressLineNumbers/>
        <w:suppressAutoHyphens/>
        <w:spacing w:before="120" w:after="120"/>
        <w:ind w:left="709" w:hanging="720"/>
        <w:jc w:val="both"/>
        <w:rPr>
          <w:rFonts w:eastAsia="Batang"/>
          <w:bCs/>
          <w:iCs/>
          <w:color w:val="000000"/>
          <w:kern w:val="22"/>
          <w:szCs w:val="22"/>
          <w:lang w:eastAsia="ja-JP" w:bidi="th-TH"/>
        </w:rPr>
      </w:pPr>
      <w:r w:rsidRPr="00DB5A9F">
        <w:rPr>
          <w:kern w:val="22"/>
          <w:szCs w:val="22"/>
        </w:rPr>
        <w:t>In all cases, management interventions should be designed and based on a clear understanding of the drivers of wild meat us</w:t>
      </w:r>
      <w:r>
        <w:rPr>
          <w:kern w:val="22"/>
          <w:szCs w:val="22"/>
        </w:rPr>
        <w:t xml:space="preserve">e, </w:t>
      </w:r>
      <w:r w:rsidR="00A479D2">
        <w:rPr>
          <w:kern w:val="22"/>
          <w:szCs w:val="22"/>
        </w:rPr>
        <w:t>and the</w:t>
      </w:r>
      <w:r w:rsidR="00151BE7">
        <w:rPr>
          <w:kern w:val="22"/>
          <w:szCs w:val="22"/>
        </w:rPr>
        <w:t xml:space="preserve"> </w:t>
      </w:r>
      <w:r w:rsidR="00944860">
        <w:rPr>
          <w:kern w:val="22"/>
          <w:szCs w:val="22"/>
        </w:rPr>
        <w:t>characteri</w:t>
      </w:r>
      <w:r w:rsidR="00944860" w:rsidRPr="00DB5A9F">
        <w:rPr>
          <w:kern w:val="22"/>
          <w:szCs w:val="22"/>
        </w:rPr>
        <w:t>stics</w:t>
      </w:r>
      <w:r w:rsidR="00151BE7">
        <w:rPr>
          <w:kern w:val="22"/>
          <w:szCs w:val="22"/>
        </w:rPr>
        <w:t xml:space="preserve"> and needs</w:t>
      </w:r>
      <w:r w:rsidRPr="00DB5A9F">
        <w:rPr>
          <w:kern w:val="22"/>
          <w:szCs w:val="22"/>
        </w:rPr>
        <w:t xml:space="preserve"> of the local communities, using a clear, evidence-based theory of change, and applying </w:t>
      </w:r>
      <w:r>
        <w:rPr>
          <w:kern w:val="22"/>
          <w:szCs w:val="22"/>
        </w:rPr>
        <w:t>the principles of adaptive management</w:t>
      </w:r>
      <w:r w:rsidRPr="00DB5A9F">
        <w:rPr>
          <w:kern w:val="22"/>
          <w:szCs w:val="22"/>
        </w:rPr>
        <w:t>.</w:t>
      </w:r>
      <w:r>
        <w:rPr>
          <w:kern w:val="22"/>
          <w:szCs w:val="22"/>
        </w:rPr>
        <w:t xml:space="preserve"> Where local communities are affected by management interventions</w:t>
      </w:r>
      <w:r w:rsidR="00151BE7">
        <w:rPr>
          <w:kern w:val="22"/>
          <w:szCs w:val="22"/>
        </w:rPr>
        <w:t xml:space="preserve"> (which will be the case for the majo</w:t>
      </w:r>
      <w:r w:rsidR="000552B6">
        <w:rPr>
          <w:kern w:val="22"/>
          <w:szCs w:val="22"/>
        </w:rPr>
        <w:t>rity of wild meat interventions)</w:t>
      </w:r>
      <w:r>
        <w:rPr>
          <w:kern w:val="22"/>
          <w:szCs w:val="22"/>
        </w:rPr>
        <w:t xml:space="preserve">, active participation of local communities </w:t>
      </w:r>
      <w:r w:rsidR="00F44A36">
        <w:rPr>
          <w:kern w:val="22"/>
          <w:szCs w:val="22"/>
        </w:rPr>
        <w:t xml:space="preserve">in management </w:t>
      </w:r>
      <w:r>
        <w:rPr>
          <w:kern w:val="22"/>
          <w:szCs w:val="22"/>
        </w:rPr>
        <w:t xml:space="preserve">should </w:t>
      </w:r>
      <w:r w:rsidR="00A479D2">
        <w:rPr>
          <w:kern w:val="22"/>
          <w:szCs w:val="22"/>
        </w:rPr>
        <w:t xml:space="preserve">be </w:t>
      </w:r>
      <w:r w:rsidR="00A479D2" w:rsidRPr="00DB5A9F">
        <w:rPr>
          <w:kern w:val="22"/>
          <w:szCs w:val="22"/>
        </w:rPr>
        <w:t>a</w:t>
      </w:r>
      <w:r w:rsidR="00F44A36">
        <w:rPr>
          <w:kern w:val="22"/>
          <w:szCs w:val="22"/>
        </w:rPr>
        <w:t xml:space="preserve"> </w:t>
      </w:r>
      <w:r w:rsidR="00944860">
        <w:rPr>
          <w:kern w:val="22"/>
          <w:szCs w:val="22"/>
        </w:rPr>
        <w:t>goal</w:t>
      </w:r>
      <w:r>
        <w:rPr>
          <w:kern w:val="22"/>
          <w:szCs w:val="22"/>
        </w:rPr>
        <w:t xml:space="preserve">, and Free, Prior and Informed Consent (FPIC) guidelines followed (see Section </w:t>
      </w:r>
      <w:r>
        <w:rPr>
          <w:kern w:val="22"/>
          <w:szCs w:val="22"/>
        </w:rPr>
        <w:fldChar w:fldCharType="begin"/>
      </w:r>
      <w:r>
        <w:rPr>
          <w:kern w:val="22"/>
          <w:szCs w:val="22"/>
        </w:rPr>
        <w:instrText xml:space="preserve"> REF _Ref520377911 \r \h </w:instrText>
      </w:r>
      <w:r>
        <w:rPr>
          <w:kern w:val="22"/>
          <w:szCs w:val="22"/>
        </w:rPr>
      </w:r>
      <w:r>
        <w:rPr>
          <w:kern w:val="22"/>
          <w:szCs w:val="22"/>
        </w:rPr>
        <w:fldChar w:fldCharType="separate"/>
      </w:r>
      <w:r w:rsidR="007034F1">
        <w:rPr>
          <w:kern w:val="22"/>
          <w:szCs w:val="22"/>
        </w:rPr>
        <w:t>10</w:t>
      </w:r>
      <w:r>
        <w:rPr>
          <w:kern w:val="22"/>
          <w:szCs w:val="22"/>
        </w:rPr>
        <w:fldChar w:fldCharType="end"/>
      </w:r>
      <w:r>
        <w:rPr>
          <w:kern w:val="22"/>
          <w:szCs w:val="22"/>
        </w:rPr>
        <w:t>).</w:t>
      </w:r>
    </w:p>
    <w:p w14:paraId="02CCC980" w14:textId="6ACCBA6D" w:rsidR="00141F67" w:rsidRPr="00320E0C" w:rsidRDefault="00141F67" w:rsidP="00C258BC">
      <w:pPr>
        <w:numPr>
          <w:ilvl w:val="0"/>
          <w:numId w:val="30"/>
        </w:numPr>
        <w:suppressLineNumbers/>
        <w:suppressAutoHyphens/>
        <w:spacing w:before="120" w:after="120"/>
        <w:ind w:left="709" w:hanging="720"/>
        <w:jc w:val="both"/>
        <w:rPr>
          <w:rFonts w:eastAsia="Batang"/>
          <w:bCs/>
          <w:iCs/>
          <w:color w:val="000000"/>
          <w:kern w:val="22"/>
          <w:szCs w:val="22"/>
          <w:lang w:eastAsia="ja-JP" w:bidi="th-TH"/>
        </w:rPr>
      </w:pPr>
      <w:r w:rsidRPr="00320E0C">
        <w:rPr>
          <w:rFonts w:eastAsia="Batang"/>
          <w:bCs/>
          <w:iCs/>
          <w:color w:val="000000"/>
          <w:kern w:val="22"/>
          <w:szCs w:val="22"/>
          <w:lang w:eastAsia="ja-JP" w:bidi="th-TH"/>
        </w:rPr>
        <w:t>Wildlife management, including wild meat species management, should be an essential part of the management or business plans for extractive industri</w:t>
      </w:r>
      <w:r>
        <w:rPr>
          <w:rFonts w:eastAsia="Batang"/>
          <w:bCs/>
          <w:iCs/>
          <w:color w:val="000000"/>
          <w:kern w:val="22"/>
          <w:szCs w:val="22"/>
          <w:lang w:eastAsia="ja-JP" w:bidi="th-TH"/>
        </w:rPr>
        <w:t xml:space="preserve">es (oil, gas, minerals, timber, </w:t>
      </w:r>
      <w:r w:rsidRPr="00320E0C">
        <w:rPr>
          <w:rFonts w:eastAsia="Batang"/>
          <w:bCs/>
          <w:iCs/>
          <w:color w:val="000000"/>
          <w:kern w:val="22"/>
          <w:szCs w:val="22"/>
          <w:lang w:eastAsia="ja-JP" w:bidi="th-TH"/>
        </w:rPr>
        <w:t>etc.) operating in tropical and sub-tropical ecosystems. In relevant circumstances, contracts between government and infrastructure and extractive industry companies should provide food alternatives to wild meat for staff working in such concessions where demand exceeds or is projected to exceed the sustainable yield;</w:t>
      </w:r>
    </w:p>
    <w:p w14:paraId="055AE0FC" w14:textId="77777777" w:rsidR="00141F67" w:rsidRPr="00320E0C" w:rsidRDefault="00141F67" w:rsidP="00C258BC">
      <w:pPr>
        <w:numPr>
          <w:ilvl w:val="0"/>
          <w:numId w:val="30"/>
        </w:numPr>
        <w:suppressLineNumbers/>
        <w:suppressAutoHyphens/>
        <w:spacing w:before="120" w:after="120"/>
        <w:ind w:left="709" w:hanging="720"/>
        <w:jc w:val="both"/>
        <w:rPr>
          <w:rFonts w:eastAsia="Batang"/>
          <w:bCs/>
          <w:iCs/>
          <w:color w:val="000000"/>
          <w:kern w:val="22"/>
          <w:szCs w:val="22"/>
          <w:lang w:eastAsia="ja-JP" w:bidi="th-TH"/>
        </w:rPr>
      </w:pPr>
      <w:r w:rsidRPr="00320E0C">
        <w:rPr>
          <w:rFonts w:eastAsia="Batang"/>
          <w:bCs/>
          <w:iCs/>
          <w:color w:val="000000"/>
          <w:kern w:val="22"/>
          <w:szCs w:val="22"/>
          <w:lang w:eastAsia="ja-JP" w:bidi="th-TH"/>
        </w:rPr>
        <w:t>Existing biodiversity safeguards and standards within extractive industry guidelines and policies should be identified, expanded where needed, applied and monitored. Fines and compensation measures should be applied in cases where companies default on such safeguards and standards;</w:t>
      </w:r>
    </w:p>
    <w:p w14:paraId="0A75E0D8" w14:textId="0EDC906A" w:rsidR="00141F67" w:rsidRPr="00DB5A9F" w:rsidRDefault="00141F67" w:rsidP="00C258BC">
      <w:pPr>
        <w:numPr>
          <w:ilvl w:val="0"/>
          <w:numId w:val="30"/>
        </w:numPr>
        <w:suppressLineNumbers/>
        <w:suppressAutoHyphens/>
        <w:spacing w:before="120" w:after="120"/>
        <w:ind w:left="709" w:hanging="720"/>
        <w:jc w:val="both"/>
        <w:rPr>
          <w:rFonts w:eastAsia="Batang"/>
          <w:bCs/>
          <w:iCs/>
          <w:color w:val="000000"/>
          <w:kern w:val="22"/>
          <w:szCs w:val="22"/>
          <w:lang w:eastAsia="ja-JP" w:bidi="th-TH"/>
        </w:rPr>
      </w:pPr>
      <w:r w:rsidRPr="00320E0C">
        <w:rPr>
          <w:rFonts w:eastAsia="Batang"/>
          <w:bCs/>
          <w:iCs/>
          <w:color w:val="000000"/>
          <w:kern w:val="22"/>
          <w:szCs w:val="22"/>
          <w:lang w:eastAsia="ja-JP" w:bidi="th-TH"/>
        </w:rPr>
        <w:t>Sustainable wild meat management considerations could be further integrated into forest certification schemes</w:t>
      </w:r>
      <w:r w:rsidRPr="00184775">
        <w:rPr>
          <w:rStyle w:val="FootnoteReference"/>
          <w:rFonts w:eastAsia="Batang"/>
        </w:rPr>
        <w:footnoteReference w:id="6"/>
      </w:r>
      <w:r w:rsidRPr="00320E0C">
        <w:rPr>
          <w:rFonts w:eastAsia="Batang"/>
          <w:bCs/>
          <w:iCs/>
          <w:color w:val="000000"/>
          <w:kern w:val="22"/>
          <w:szCs w:val="22"/>
          <w:vertAlign w:val="superscript"/>
          <w:lang w:eastAsia="ja-JP" w:bidi="th-TH"/>
        </w:rPr>
        <w:t xml:space="preserve"> </w:t>
      </w:r>
      <w:r w:rsidRPr="00320E0C">
        <w:rPr>
          <w:rFonts w:eastAsia="Batang"/>
          <w:bCs/>
          <w:iCs/>
          <w:color w:val="000000"/>
          <w:kern w:val="22"/>
          <w:szCs w:val="22"/>
          <w:lang w:eastAsia="ja-JP" w:bidi="th-TH"/>
        </w:rPr>
        <w:t xml:space="preserve">and criteria and indicator processes for sustainable forest </w:t>
      </w:r>
      <w:r w:rsidRPr="00DB5A9F">
        <w:rPr>
          <w:rFonts w:eastAsia="Batang"/>
          <w:bCs/>
          <w:iCs/>
          <w:color w:val="000000"/>
          <w:kern w:val="22"/>
          <w:szCs w:val="22"/>
          <w:lang w:eastAsia="ja-JP" w:bidi="th-TH"/>
        </w:rPr>
        <w:t>management to mitigate the impacts of human activities on wildlife</w:t>
      </w:r>
      <w:r w:rsidRPr="00DB5A9F" w:rsidDel="00371BC5">
        <w:rPr>
          <w:rFonts w:eastAsia="Batang"/>
          <w:bCs/>
          <w:iCs/>
          <w:color w:val="000000"/>
          <w:kern w:val="22"/>
          <w:szCs w:val="22"/>
          <w:lang w:eastAsia="ja-JP" w:bidi="th-TH"/>
        </w:rPr>
        <w:t xml:space="preserve"> </w:t>
      </w:r>
      <w:r w:rsidRPr="00DB5A9F">
        <w:rPr>
          <w:rFonts w:eastAsia="Batang"/>
          <w:bCs/>
          <w:iCs/>
          <w:color w:val="000000"/>
          <w:kern w:val="22"/>
          <w:szCs w:val="22"/>
          <w:lang w:eastAsia="ja-JP" w:bidi="th-TH"/>
        </w:rPr>
        <w:t>by including provisions for alternative, sustainable food sources and livelihoods, where needed, and for capacity-building and management systems that support legal and sustainable hunting, and effectively regulating the hunting of protected species.</w:t>
      </w:r>
    </w:p>
    <w:p w14:paraId="46089797" w14:textId="77777777" w:rsidR="00AF4B00" w:rsidRDefault="00AF4B00" w:rsidP="00C258BC">
      <w:pPr>
        <w:suppressLineNumbers/>
        <w:suppressAutoHyphens/>
        <w:spacing w:after="120"/>
        <w:ind w:left="720"/>
        <w:contextualSpacing/>
        <w:jc w:val="both"/>
        <w:rPr>
          <w:rFonts w:eastAsia="Batang"/>
          <w:bCs/>
          <w:iCs/>
          <w:color w:val="000000"/>
          <w:kern w:val="22"/>
          <w:szCs w:val="22"/>
          <w:lang w:eastAsia="ja-JP" w:bidi="th-TH"/>
        </w:rPr>
        <w:sectPr w:rsidR="00AF4B00">
          <w:pgSz w:w="11906" w:h="16838"/>
          <w:pgMar w:top="1440" w:right="1440" w:bottom="1440" w:left="1440" w:header="708" w:footer="708" w:gutter="0"/>
          <w:cols w:space="708"/>
          <w:docGrid w:linePitch="360"/>
        </w:sectPr>
      </w:pPr>
    </w:p>
    <w:p w14:paraId="0FC5C0A7" w14:textId="585167D1" w:rsidR="00421627" w:rsidRPr="00421627" w:rsidRDefault="00421627" w:rsidP="00C258BC">
      <w:pPr>
        <w:suppressLineNumbers/>
        <w:suppressAutoHyphens/>
        <w:spacing w:after="120"/>
        <w:ind w:left="720"/>
        <w:contextualSpacing/>
        <w:jc w:val="both"/>
        <w:rPr>
          <w:rFonts w:eastAsia="Batang"/>
          <w:bCs/>
          <w:iCs/>
          <w:color w:val="000000"/>
          <w:kern w:val="22"/>
          <w:szCs w:val="22"/>
          <w:lang w:eastAsia="ja-JP" w:bidi="th-TH"/>
        </w:rPr>
      </w:pPr>
    </w:p>
    <w:p w14:paraId="1A60537A" w14:textId="517600CE" w:rsidR="0088112B" w:rsidRPr="00785A38" w:rsidRDefault="00015AE5" w:rsidP="00DF57F3">
      <w:pPr>
        <w:pStyle w:val="Heading1"/>
      </w:pPr>
      <w:bookmarkStart w:id="263" w:name="_Toc517693774"/>
      <w:bookmarkStart w:id="264" w:name="_Ref518893112"/>
      <w:bookmarkStart w:id="265" w:name="_Toc519156120"/>
      <w:bookmarkStart w:id="266" w:name="_Ref520377906"/>
      <w:bookmarkStart w:id="267" w:name="_Toc529390375"/>
      <w:r w:rsidRPr="00785A38">
        <w:t xml:space="preserve">REDUCING THE </w:t>
      </w:r>
      <w:r w:rsidR="0088112B" w:rsidRPr="00785A38">
        <w:t>DEMAND FOR WILD MEAT</w:t>
      </w:r>
      <w:bookmarkEnd w:id="263"/>
      <w:bookmarkEnd w:id="264"/>
      <w:bookmarkEnd w:id="265"/>
      <w:bookmarkEnd w:id="266"/>
      <w:bookmarkEnd w:id="267"/>
      <w:r w:rsidR="0088112B" w:rsidRPr="00785A38">
        <w:t xml:space="preserve"> </w:t>
      </w:r>
    </w:p>
    <w:bookmarkEnd w:id="187"/>
    <w:p w14:paraId="0ED25806" w14:textId="63A167C8" w:rsidR="00EE0A5A" w:rsidRPr="004904D8" w:rsidRDefault="008A1137" w:rsidP="00C258BC">
      <w:pPr>
        <w:jc w:val="both"/>
        <w:rPr>
          <w:color w:val="000000" w:themeColor="text1"/>
        </w:rPr>
      </w:pPr>
      <w:r w:rsidRPr="004904D8">
        <w:rPr>
          <w:snapToGrid w:val="0"/>
          <w:color w:val="000000" w:themeColor="text1"/>
          <w:kern w:val="22"/>
          <w:lang w:eastAsia="ja-JP" w:bidi="th-TH"/>
        </w:rPr>
        <w:t>The global demand f</w:t>
      </w:r>
      <w:r w:rsidR="005133B6">
        <w:rPr>
          <w:snapToGrid w:val="0"/>
          <w:color w:val="000000" w:themeColor="text1"/>
          <w:kern w:val="22"/>
          <w:lang w:eastAsia="ja-JP" w:bidi="th-TH"/>
        </w:rPr>
        <w:t>or animal protein is increasing</w:t>
      </w:r>
      <w:r w:rsidRPr="004904D8">
        <w:rPr>
          <w:snapToGrid w:val="0"/>
          <w:color w:val="000000" w:themeColor="text1"/>
          <w:kern w:val="22"/>
          <w:lang w:eastAsia="ja-JP" w:bidi="th-TH"/>
        </w:rPr>
        <w:t xml:space="preserve"> due to a fast-growing human population, urbanization, </w:t>
      </w:r>
      <w:r w:rsidR="00FC3586" w:rsidRPr="004904D8">
        <w:rPr>
          <w:snapToGrid w:val="0"/>
          <w:color w:val="000000" w:themeColor="text1"/>
          <w:kern w:val="22"/>
          <w:lang w:eastAsia="ja-JP" w:bidi="th-TH"/>
        </w:rPr>
        <w:t xml:space="preserve">changes in consumer demand, </w:t>
      </w:r>
      <w:r w:rsidRPr="004904D8">
        <w:rPr>
          <w:snapToGrid w:val="0"/>
          <w:color w:val="000000" w:themeColor="text1"/>
          <w:kern w:val="22"/>
          <w:lang w:eastAsia="ja-JP" w:bidi="th-TH"/>
        </w:rPr>
        <w:t xml:space="preserve">and increasingly successful global efforts to alleviate poverty. </w:t>
      </w:r>
      <w:r w:rsidR="00923F9C" w:rsidRPr="004904D8">
        <w:rPr>
          <w:color w:val="000000" w:themeColor="text1"/>
        </w:rPr>
        <w:t>Livestock supply is not keepi</w:t>
      </w:r>
      <w:r w:rsidR="00923F9C" w:rsidRPr="005512D2">
        <w:rPr>
          <w:color w:val="000000" w:themeColor="text1"/>
        </w:rPr>
        <w:t xml:space="preserve">ng pace </w:t>
      </w:r>
      <w:r w:rsidR="006B1E6F">
        <w:rPr>
          <w:color w:val="000000" w:themeColor="text1"/>
        </w:rPr>
        <w:fldChar w:fldCharType="begin" w:fldLock="1"/>
      </w:r>
      <w:r w:rsidR="00A11C8C">
        <w:rPr>
          <w:color w:val="000000" w:themeColor="text1"/>
        </w:rPr>
        <w:instrText>ADDIN CSL_CITATION {"citationItems":[{"id":"ITEM-1","itemData":{"author":[{"dropping-particle":"","family":"Smil","given":"B Y Vaclav","non-dropping-particle":"","parse-names":false,"suffix":""}],"container-title":"The World Financial Review","id":"ITEM-1","issue":"February","issued":{"date-parts":[["2016"]]},"page":"46-49","title":"Harvesting the Biosphere","type":"article-magazine"},"uris":["http://www.mendeley.com/documents/?uuid=f71439a7-74b5-49ba-9ca0-3c09b04546c6"]},{"id":"ITEM-2","itemData":{"DOI":"10.1098/rstb.2010.0134","ISBN":"0962-8436\\r1471-2970","ISSN":"14712970","PMID":"20713389","abstract":"The livestock sector globally is highly dynamic. In developing countries, it is evolving in response to rapidly increasing demand for livestock products. In developed countries, demand for livestock products is stagnating, while many production systems are increasing their efficiency and environmental sustainability. Historical changes in the demand for livestock products have been largely driven by human population growth, income growth and urbanization and the production response in different livestock systems has been associated with science and technology as well as increases in animal numbers. In the future, production will increasingly be affected by competition for natural resources, particularly land and water, competition between food and feed and by the need to operate in a carbon-constrained economy. Developments in breeding, nutrition and animal health will continue to contribute to increasing potential production and further efficiency and genetic gains. Livestock production is likely to be increasingly affected by carbon constraints and environmental and animal welfare legislation. Demand for livestock products in the future could be heavily moderated by socio-economic factors such as human health concerns and changing socio-cultural values. There is considerable uncertainty as to how these factors will play out in different regions of the world in the coming decades.","author":[{"dropping-particle":"","family":"Thornton","given":"Philip K.","non-dropping-particle":"","parse-names":false,"suffix":""}],"container-title":"Philosophical Transactions of the Royal Society B: Biological Sciences","id":"ITEM-2","issue":"1554","issued":{"date-parts":[["2010"]]},"page":"2853-2867","title":"Livestock production: recent trends, future prospects","type":"article-journal","volume":"365"},"uris":["http://www.mendeley.com/documents/?uuid=0d2cd4db-9534-4a12-9c71-38aa247c0a1d"]}],"mendeley":{"formattedCitation":"(Thornton 2010; Smil 2016)","plainTextFormattedCitation":"(Thornton 2010; Smil 2016)","previouslyFormattedCitation":"(Thornton 2010; Smil 2016)"},"properties":{"noteIndex":0},"schema":"https://github.com/citation-style-language/schema/raw/master/csl-citation.json"}</w:instrText>
      </w:r>
      <w:r w:rsidR="006B1E6F">
        <w:rPr>
          <w:color w:val="000000" w:themeColor="text1"/>
        </w:rPr>
        <w:fldChar w:fldCharType="separate"/>
      </w:r>
      <w:r w:rsidR="006B1E6F" w:rsidRPr="006B1E6F">
        <w:rPr>
          <w:noProof/>
          <w:color w:val="000000" w:themeColor="text1"/>
        </w:rPr>
        <w:t>(Thornton 2010; Smil 2016)</w:t>
      </w:r>
      <w:r w:rsidR="006B1E6F">
        <w:rPr>
          <w:color w:val="000000" w:themeColor="text1"/>
        </w:rPr>
        <w:fldChar w:fldCharType="end"/>
      </w:r>
      <w:r w:rsidR="00143DCE" w:rsidRPr="004904D8">
        <w:rPr>
          <w:color w:val="000000" w:themeColor="text1"/>
        </w:rPr>
        <w:t xml:space="preserve">. </w:t>
      </w:r>
      <w:r w:rsidR="00923F9C" w:rsidRPr="004904D8">
        <w:rPr>
          <w:color w:val="000000" w:themeColor="text1"/>
        </w:rPr>
        <w:t xml:space="preserve">Sub-Saharan Africa now faces a massive protein deficit that </w:t>
      </w:r>
      <w:r w:rsidR="00015AE5" w:rsidRPr="004904D8">
        <w:rPr>
          <w:color w:val="000000" w:themeColor="text1"/>
        </w:rPr>
        <w:t>is predicted to</w:t>
      </w:r>
      <w:r w:rsidR="00923F9C" w:rsidRPr="004904D8">
        <w:rPr>
          <w:color w:val="000000" w:themeColor="text1"/>
        </w:rPr>
        <w:t xml:space="preserve"> contribute to significant increases in malnutrition</w:t>
      </w:r>
      <w:r w:rsidR="00EE0A5A" w:rsidRPr="004904D8">
        <w:rPr>
          <w:color w:val="000000" w:themeColor="text1"/>
        </w:rPr>
        <w:t xml:space="preserve"> </w:t>
      </w:r>
      <w:r w:rsidR="006B1E6F">
        <w:rPr>
          <w:color w:val="000000" w:themeColor="text1"/>
        </w:rPr>
        <w:fldChar w:fldCharType="begin" w:fldLock="1"/>
      </w:r>
      <w:r w:rsidR="006B1E6F">
        <w:rPr>
          <w:color w:val="000000" w:themeColor="text1"/>
        </w:rPr>
        <w:instrText>ADDIN CSL_CITATION {"citationItems":[{"id":"ITEM-1","itemData":{"author":[{"dropping-particle":"","family":"King","given":"F S","non-dropping-particle":"","parse-names":false,"suffix":""},{"dropping-particle":"","family":"Burgess","given":"A","non-dropping-particle":"","parse-names":false,"suffix":""},{"dropping-particle":"","family":"Quinn","given":"V J","non-dropping-particle":"","parse-names":false,"suffix":""},{"dropping-particle":"","family":"Osei","given":"A K","non-dropping-particle":"","parse-names":false,"suffix":""}],"id":"ITEM-1","issued":{"date-parts":[["2015"]]},"publisher":"Oxford University Press, Oxford, UK","publisher-place":"Oxford University Press, Oxford, UK","title":"Nutrition for developing countries","type":"book"},"uris":["http://www.mendeley.com/documents/?uuid=167d6075-7ebb-4ec0-9b22-f35bb4dff993"]}],"mendeley":{"formattedCitation":"(King et al. 2015)","plainTextFormattedCitation":"(King et al. 2015)","previouslyFormattedCitation":"(King et al. 2015)"},"properties":{"noteIndex":0},"schema":"https://github.com/citation-style-language/schema/raw/master/csl-citation.json"}</w:instrText>
      </w:r>
      <w:r w:rsidR="006B1E6F">
        <w:rPr>
          <w:color w:val="000000" w:themeColor="text1"/>
        </w:rPr>
        <w:fldChar w:fldCharType="separate"/>
      </w:r>
      <w:r w:rsidR="006B1E6F" w:rsidRPr="006B1E6F">
        <w:rPr>
          <w:noProof/>
          <w:color w:val="000000" w:themeColor="text1"/>
        </w:rPr>
        <w:t>(King et al. 2015)</w:t>
      </w:r>
      <w:r w:rsidR="006B1E6F">
        <w:rPr>
          <w:color w:val="000000" w:themeColor="text1"/>
        </w:rPr>
        <w:fldChar w:fldCharType="end"/>
      </w:r>
      <w:r w:rsidR="009137B3">
        <w:rPr>
          <w:color w:val="000000" w:themeColor="text1"/>
        </w:rPr>
        <w:t>,</w:t>
      </w:r>
      <w:r w:rsidR="006B1E6F">
        <w:rPr>
          <w:color w:val="000000" w:themeColor="text1"/>
        </w:rPr>
        <w:t xml:space="preserve"> </w:t>
      </w:r>
      <w:r w:rsidR="00941BB5" w:rsidRPr="004904D8">
        <w:rPr>
          <w:color w:val="000000" w:themeColor="text1"/>
        </w:rPr>
        <w:t xml:space="preserve">increased demand for </w:t>
      </w:r>
      <w:r w:rsidR="00944860" w:rsidRPr="004904D8">
        <w:rPr>
          <w:color w:val="000000" w:themeColor="text1"/>
        </w:rPr>
        <w:t>wild meat</w:t>
      </w:r>
      <w:r w:rsidR="00941BB5" w:rsidRPr="004904D8">
        <w:rPr>
          <w:color w:val="000000" w:themeColor="text1"/>
        </w:rPr>
        <w:t xml:space="preserve"> and consequent reductions in wildlife </w:t>
      </w:r>
      <w:r w:rsidR="00D85930" w:rsidRPr="004904D8">
        <w:rPr>
          <w:color w:val="000000" w:themeColor="text1"/>
        </w:rPr>
        <w:t>populations</w:t>
      </w:r>
      <w:r w:rsidR="00923F9C" w:rsidRPr="004904D8">
        <w:rPr>
          <w:color w:val="000000" w:themeColor="text1"/>
        </w:rPr>
        <w:t xml:space="preserve">. </w:t>
      </w:r>
      <w:r w:rsidR="00015AE5" w:rsidRPr="004904D8">
        <w:rPr>
          <w:color w:val="000000" w:themeColor="text1"/>
        </w:rPr>
        <w:t>F</w:t>
      </w:r>
      <w:r w:rsidR="00923F9C" w:rsidRPr="004904D8">
        <w:rPr>
          <w:color w:val="000000" w:themeColor="text1"/>
        </w:rPr>
        <w:t xml:space="preserve">armlands are </w:t>
      </w:r>
      <w:r w:rsidR="00E47AAF" w:rsidRPr="005512D2">
        <w:rPr>
          <w:color w:val="000000" w:themeColor="text1"/>
        </w:rPr>
        <w:t xml:space="preserve">now </w:t>
      </w:r>
      <w:r w:rsidR="00923F9C" w:rsidRPr="005512D2">
        <w:rPr>
          <w:color w:val="000000" w:themeColor="text1"/>
        </w:rPr>
        <w:t xml:space="preserve">expanding to feed Africa’s rising </w:t>
      </w:r>
      <w:r w:rsidR="00944860" w:rsidRPr="005512D2">
        <w:rPr>
          <w:color w:val="000000" w:themeColor="text1"/>
        </w:rPr>
        <w:t>popul</w:t>
      </w:r>
      <w:r w:rsidR="00944860" w:rsidRPr="003E3238">
        <w:rPr>
          <w:color w:val="000000" w:themeColor="text1"/>
        </w:rPr>
        <w:t xml:space="preserve">ation </w:t>
      </w:r>
      <w:r w:rsidR="00944860" w:rsidRPr="0070404D">
        <w:rPr>
          <w:color w:val="000000" w:themeColor="text1"/>
        </w:rPr>
        <w:t>and</w:t>
      </w:r>
      <w:r w:rsidR="00FC3586" w:rsidRPr="0070404D">
        <w:rPr>
          <w:color w:val="000000" w:themeColor="text1"/>
        </w:rPr>
        <w:t xml:space="preserve"> to supply international demand for agricultural commodities</w:t>
      </w:r>
      <w:r w:rsidR="00B67567" w:rsidRPr="0070404D">
        <w:rPr>
          <w:color w:val="000000" w:themeColor="text1"/>
        </w:rPr>
        <w:t xml:space="preserve">, </w:t>
      </w:r>
      <w:r w:rsidR="00923F9C" w:rsidRPr="0070404D">
        <w:rPr>
          <w:color w:val="000000" w:themeColor="text1"/>
        </w:rPr>
        <w:t xml:space="preserve">and land for wildlife is experiencing a matching decline </w:t>
      </w:r>
      <w:r w:rsidR="006B1E6F">
        <w:rPr>
          <w:color w:val="000000" w:themeColor="text1"/>
        </w:rPr>
        <w:fldChar w:fldCharType="begin" w:fldLock="1"/>
      </w:r>
      <w:r w:rsidR="00A21E08">
        <w:rPr>
          <w:color w:val="000000" w:themeColor="text1"/>
        </w:rPr>
        <w:instrText>ADDIN CSL_CITATION {"citationItems":[{"id":"ITEM-1","itemData":{"DOI":"10.1016/j.tree.2013.12.001","ISBN":"0169-5347 (Print)\\r0169-5347 (Linking)","ISSN":"01695347","PMID":"24388286","abstract":"The human population is projected to reach 11 billion this century, with the greatest increases in tropical developing nations. This growth, in concert with rising per-capita consumption, will require large increases in food and biofuel production. How will these megatrends affect tropical terrestrial and aquatic ecosystems and biodiversityα We foresee (i) major expansion and intensification of tropical agriculture, especially in Sub-Saharan Africa and South America; (ii) continuing rapid loss and alteration of tropical old-growth forests, woodlands, and semi-arid environments; (iii) a pivotal role for new roadways in determining the spatial extent of agriculture; and (iv) intensified conflicts between food production and nature conservation. Key priorities are to improve technologies and policies that promote more ecologically efficient food production while optimizing the allocation of lands to conservation and agriculture. © 2013 Elsevier Ltd.","author":[{"dropping-particle":"","family":"Laurance","given":"William F.","non-dropping-particle":"","parse-names":false,"suffix":""},{"dropping-particle":"","family":"Sayer","given":"Jeffrey","non-dropping-particle":"","parse-names":false,"suffix":""},{"dropping-particle":"","family":"Cassman","given":"Kenneth G.","non-dropping-particle":"","parse-names":false,"suffix":""}],"container-title":"Trends in Ecology and Evolution","id":"ITEM-1","issue":"2","issued":{"date-parts":[["2014"]]},"page":"107-116","publisher":"Elsevier Ltd","title":"Agricultural expansion and its impacts on tropical nature","type":"article-journal","volume":"29"},"uris":["http://www.mendeley.com/documents/?uuid=f029a516-b926-430b-90b9-8dabfeaf2d95"]},{"id":"ITEM-2","itemData":{"DOI":"10.1016/j.worlddev.2013.07.006","ISBN":"0305-750X","ISSN":"0305750X","abstract":"Recent years have witnessed increased investment in African rural landscapes for agriculture and food security, poverty alleviation, climate change adaptation, and ecosystem conservation. While such investments historically tended to be made independently under sectoral programs, a new wave of integrated landscape initiatives (ILIs) is promoting integrated, multi-objective management of rural landscapes. We surveyed leaders and managers of 87 ILIs in 33 African countries to provide the first region-wide portrait of contexts, motivations, design, participation, and outcomes of such initiatives. Results suggest that ILIs are promoting \"multi-functionality\" of rural regions, while aiding stakeholders in mediating tradeoffs and synergies among multiple outcomes. © 2013 Elsevier Ltd.","author":[{"dropping-particle":"","family":"Milder","given":"Jeffrey C.","non-dropping-particle":"","parse-names":false,"suffix":""},{"dropping-particle":"","family":"Hart","given":"Abigail K.","non-dropping-particle":"","parse-names":false,"suffix":""},{"dropping-particle":"","family":"Dobie","given":"Philip","non-dropping-particle":"","parse-names":false,"suffix":""},{"dropping-particle":"","family":"Minai","given":"Joshua","non-dropping-particle":"","parse-names":false,"suffix":""},{"dropping-particle":"","family":"Zaleski","given":"Christi","non-dropping-particle":"","parse-names":false,"suffix":""}],"container-title":"World Development","id":"ITEM-2","issued":{"date-parts":[["2014"]]},"page":"68-80","publisher":"Elsevier Ltd","title":"Integrated landscape initiatives for African agriculture, development, and conservation: a region-wide assessment","type":"article-journal","volume":"54"},"uris":["http://www.mendeley.com/documents/?uuid=fd9914ce-4f46-4412-8bdd-8b057a83b349"]}],"mendeley":{"formattedCitation":"(Laurance et al. 2014; Milder et al. 2014)","plainTextFormattedCitation":"(Laurance et al. 2014; Milder et al. 2014)","previouslyFormattedCitation":"(Laurance et al. 2014; Milder et al. 2014)"},"properties":{"noteIndex":0},"schema":"https://github.com/citation-style-language/schema/raw/master/csl-citation.json"}</w:instrText>
      </w:r>
      <w:r w:rsidR="006B1E6F">
        <w:rPr>
          <w:color w:val="000000" w:themeColor="text1"/>
        </w:rPr>
        <w:fldChar w:fldCharType="separate"/>
      </w:r>
      <w:r w:rsidR="00A21E08" w:rsidRPr="00A21E08">
        <w:rPr>
          <w:noProof/>
          <w:color w:val="000000" w:themeColor="text1"/>
        </w:rPr>
        <w:t>(Laurance et al. 2014; Milder et al. 2014)</w:t>
      </w:r>
      <w:r w:rsidR="006B1E6F">
        <w:rPr>
          <w:color w:val="000000" w:themeColor="text1"/>
        </w:rPr>
        <w:fldChar w:fldCharType="end"/>
      </w:r>
      <w:r w:rsidR="009A1AFC">
        <w:rPr>
          <w:color w:val="000000" w:themeColor="text1"/>
        </w:rPr>
        <w:t>.</w:t>
      </w:r>
    </w:p>
    <w:p w14:paraId="0227B1D4" w14:textId="26F1F08D" w:rsidR="00923F9C" w:rsidRPr="004904D8" w:rsidRDefault="00015AE5" w:rsidP="00C258BC">
      <w:pPr>
        <w:jc w:val="both"/>
        <w:rPr>
          <w:color w:val="000000" w:themeColor="text1"/>
        </w:rPr>
      </w:pPr>
      <w:r w:rsidRPr="004904D8">
        <w:rPr>
          <w:color w:val="000000" w:themeColor="text1"/>
        </w:rPr>
        <w:t>D</w:t>
      </w:r>
      <w:r w:rsidR="00923F9C" w:rsidRPr="004904D8">
        <w:rPr>
          <w:color w:val="000000" w:themeColor="text1"/>
        </w:rPr>
        <w:t xml:space="preserve">emand for wildlife and wildlife products </w:t>
      </w:r>
      <w:r w:rsidR="005133B6">
        <w:rPr>
          <w:color w:val="000000" w:themeColor="text1"/>
        </w:rPr>
        <w:t>is</w:t>
      </w:r>
      <w:r w:rsidR="00923F9C" w:rsidRPr="004904D8">
        <w:rPr>
          <w:color w:val="000000" w:themeColor="text1"/>
        </w:rPr>
        <w:t xml:space="preserve"> increasing,</w:t>
      </w:r>
      <w:r w:rsidRPr="005512D2">
        <w:rPr>
          <w:color w:val="000000" w:themeColor="text1"/>
        </w:rPr>
        <w:t xml:space="preserve"> but</w:t>
      </w:r>
      <w:r w:rsidR="00923F9C" w:rsidRPr="005512D2">
        <w:rPr>
          <w:color w:val="000000" w:themeColor="text1"/>
        </w:rPr>
        <w:t xml:space="preserve"> interventions to tackle the illegal wildlife trade have generally focussed on controlling the</w:t>
      </w:r>
      <w:r w:rsidR="00923F9C" w:rsidRPr="003E3238">
        <w:rPr>
          <w:color w:val="000000" w:themeColor="text1"/>
        </w:rPr>
        <w:t xml:space="preserve"> supply and regulation of these products </w:t>
      </w:r>
      <w:r w:rsidR="006B1E6F">
        <w:rPr>
          <w:color w:val="000000" w:themeColor="text1"/>
        </w:rPr>
        <w:fldChar w:fldCharType="begin" w:fldLock="1"/>
      </w:r>
      <w:r w:rsidR="006B1E6F">
        <w:rPr>
          <w:color w:val="000000" w:themeColor="text1"/>
        </w:rPr>
        <w:instrText>ADDIN CSL_CITATION {"citationItems":[{"id":"ITEM-1","itemData":{"DOI":"10.1016/j.biocon.2014.09.020","ISBN":"0006-3207","ISSN":"00063207","abstract":"Poaching of African elephants is threatening the species viability. International non-governmental organizations and media often attribute the basic problem to China's domestic ivory market. We present quantitative and qualitative information on trends and drivers of the ivory trade in China. Results show that ivory is traded in \"white\" legally licensed retail outlets, \"black\" illegal shops and online trade forums, and \"gray\" live auctions of uncertain legality. White markets are primarily in Beijing, Shanghai, and Guangzhou. The numbers of legal factories and retail outlets increased from 9 and 31 in 2004 to 37 and 145 in 2013. Black markets thrive in online trading platforms, such as Baidu Post Bar. Gray markets auction ivory items surging around 2006, mushrooming after 2009, peaking in 2011, and plummeting over 97% following government intervention. During 2002 to 2011, the ivory auction in China and elephant poaching in Africa are strongly positively correlated. Drivers of the ivory trade are multiple and complex, including Chinese consumers' motivation stemming from the socially-constructed economic, social, cultural, aesthetic, religious, and medical values of ivory. We highlight China's intangible cultural heritage preservation, the boom of arts investment, and the auction ban in changing ivory values and influencing markets. We argue that elephant conservation can be more effective if it is based on a more comprehensive and contextual understanding of China's domestic ivory trade.","author":[{"dropping-particle":"","family":"Gao","given":"Yufang","non-dropping-particle":"","parse-names":false,"suffix":""},{"dropping-particle":"","family":"Clark","given":"Susan G.","non-dropping-particle":"","parse-names":false,"suffix":""}],"container-title":"Biological Conservation","id":"ITEM-1","issued":{"date-parts":[["2014"]]},"page":"23-30","publisher":"Elsevier Ltd","title":"Elephant ivory trade in China: trends and drivers","type":"article-journal","volume":"180"},"uris":["http://www.mendeley.com/documents/?uuid=1f4bf32e-74dc-42a5-b1b5-016c71c8dbf5"]}],"mendeley":{"formattedCitation":"(Gao &amp; Clark 2014)","plainTextFormattedCitation":"(Gao &amp; Clark 2014)","previouslyFormattedCitation":"(Gao &amp; Clark 2014)"},"properties":{"noteIndex":0},"schema":"https://github.com/citation-style-language/schema/raw/master/csl-citation.json"}</w:instrText>
      </w:r>
      <w:r w:rsidR="006B1E6F">
        <w:rPr>
          <w:color w:val="000000" w:themeColor="text1"/>
        </w:rPr>
        <w:fldChar w:fldCharType="separate"/>
      </w:r>
      <w:r w:rsidR="006B1E6F" w:rsidRPr="006B1E6F">
        <w:rPr>
          <w:noProof/>
          <w:color w:val="000000" w:themeColor="text1"/>
        </w:rPr>
        <w:t>(Gao &amp; Clark 2014)</w:t>
      </w:r>
      <w:r w:rsidR="006B1E6F">
        <w:rPr>
          <w:color w:val="000000" w:themeColor="text1"/>
        </w:rPr>
        <w:fldChar w:fldCharType="end"/>
      </w:r>
      <w:r w:rsidR="00923F9C" w:rsidRPr="004904D8">
        <w:rPr>
          <w:color w:val="000000" w:themeColor="text1"/>
        </w:rPr>
        <w:t>. The </w:t>
      </w:r>
      <w:hyperlink r:id="rId130" w:history="1">
        <w:r w:rsidR="00923F9C" w:rsidRPr="004904D8">
          <w:rPr>
            <w:rStyle w:val="Hyperlink"/>
            <w:color w:val="000000" w:themeColor="text1"/>
          </w:rPr>
          <w:t>first-ever review of international donor funding for combating illegal wildlife trade in Africa and Asia</w:t>
        </w:r>
      </w:hyperlink>
      <w:r w:rsidR="00923F9C" w:rsidRPr="004904D8">
        <w:rPr>
          <w:color w:val="000000" w:themeColor="text1"/>
        </w:rPr>
        <w:t xml:space="preserve"> showed that international investments to combat IWT totalled over </w:t>
      </w:r>
      <w:hyperlink r:id="rId131" w:history="1">
        <w:r w:rsidR="00923F9C" w:rsidRPr="004904D8">
          <w:rPr>
            <w:color w:val="000000" w:themeColor="text1"/>
          </w:rPr>
          <w:t>$1.3 billion</w:t>
        </w:r>
      </w:hyperlink>
      <w:r w:rsidR="00923F9C" w:rsidRPr="004904D8">
        <w:rPr>
          <w:color w:val="000000" w:themeColor="text1"/>
        </w:rPr>
        <w:t xml:space="preserve"> dollars since 2010. However, demand-reduction activities amounted to just 5% of the overall investments </w:t>
      </w:r>
      <w:r w:rsidR="006B1E6F">
        <w:rPr>
          <w:color w:val="000000" w:themeColor="text1"/>
        </w:rPr>
        <w:fldChar w:fldCharType="begin" w:fldLock="1"/>
      </w:r>
      <w:r w:rsidR="002F6BDE">
        <w:rPr>
          <w:color w:val="000000" w:themeColor="text1"/>
        </w:rPr>
        <w:instrText>ADDIN CSL_CITATION {"citationItems":[{"id":"ITEM-1","itemData":{"DOI":"10.1016/j.scitotenv.2015.07.022","ISBN":"0048-9697","ISSN":"18791026","PMID":"26231772","abstract":"The consumption of animal-sourced food products by humans is one of the most powerful negative forces affecting the conservation of terrestrial ecosystems and biological diversity. Livestock production is the single largest driver of habitat loss, and both livestock and feedstock production are increasing in developing tropical countries where the majority of biological diversity resides. Bushmeat consumption in Africa and southeastern Asia, as well as the high growth-rate of per capita livestock consumption in China are of special concern. The projected land base required by 2050 to support livestock production in several megadiverse countries exceeds 30-50% of their current agricultural areas. Livestock production is also a leading cause of climate change, soil loss, water and nutrient pollution, and decreases of apex predators and wild herbivores, compounding pressures on ecosystems and biodiversity. It is possible to greatly reduce the impacts of animal product consumption by humans on natural ecosystems and biodiversity while meeting nutritional needs of people, including the projected 2-3 billion people to be added to human population. We suggest that impacts can be remediated through several solutions: (1) reducing demand for animal-based food products and increasing proportions of plant-based foods in diets, the latter ideally to a global average of 90% of food consumed; (2) replacing ecologically-inefficient ruminants (e.g. cattle, goats, sheep) and bushmeat with monogastrics (e.g. poultry, pigs), integrated aquaculture, and other more-efficient protein sources; and (3) reintegrating livestock production away from single-product, intensive, fossil-fuel based systems into diverse, coupled systems designed more closely around the structure and functions of ecosystems that conserve energy and nutrients. Such efforts would also impart positive impacts on human health through reduction of diseases of nutritional extravagance.","author":[{"dropping-particle":"","family":"Machovina","given":"Brian","non-dropping-particle":"","parse-names":false,"suffix":""},{"dropping-particle":"","family":"Feeley","given":"Kenneth J.","non-dropping-particle":"","parse-names":false,"suffix":""},{"dropping-particle":"","family":"Ripple","given":"William J.","non-dropping-particle":"","parse-names":false,"suffix":""}],"container-title":"Science of the Total Environment","id":"ITEM-1","issued":{"date-parts":[["2015"]]},"page":"419-431","publisher":"Elsevier B.V.","title":"Biodiversity conservation: The key is reducing meat consumption","type":"article-journal","volume":"536"},"uris":["http://www.mendeley.com/documents/?uuid=f3302d26-be46-461d-82e2-d42b2a21bbbc"]},{"id":"ITEM-2","itemData":{"author":[{"dropping-particle":"","family":"World Bank Group","given":"","non-dropping-particle":"","parse-names":false,"suffix":""}],"id":"ITEM-2","issued":{"date-parts":[["2016"]]},"publisher-place":"World Bank, Washington DC, US","title":"Analysis of International Funding to Tackle Illegal Wildlife Trade","type":"report"},"uris":["http://www.mendeley.com/documents/?uuid=4f7089f5-1a6c-4354-b3dc-929dc65ab53d"]}],"mendeley":{"formattedCitation":"(Machovina et al. 2015; World Bank Group 2016)","plainTextFormattedCitation":"(Machovina et al. 2015; World Bank Group 2016)","previouslyFormattedCitation":"(Machovina et al. 2015; World Bank Group 2016)"},"properties":{"noteIndex":0},"schema":"https://github.com/citation-style-language/schema/raw/master/csl-citation.json"}</w:instrText>
      </w:r>
      <w:r w:rsidR="006B1E6F">
        <w:rPr>
          <w:color w:val="000000" w:themeColor="text1"/>
        </w:rPr>
        <w:fldChar w:fldCharType="separate"/>
      </w:r>
      <w:r w:rsidR="00566AAF" w:rsidRPr="00566AAF">
        <w:rPr>
          <w:noProof/>
          <w:color w:val="000000" w:themeColor="text1"/>
        </w:rPr>
        <w:t>(Machovina et al. 2015; World Bank Group 2016)</w:t>
      </w:r>
      <w:r w:rsidR="006B1E6F">
        <w:rPr>
          <w:color w:val="000000" w:themeColor="text1"/>
        </w:rPr>
        <w:fldChar w:fldCharType="end"/>
      </w:r>
      <w:r w:rsidR="006B1E6F">
        <w:rPr>
          <w:color w:val="000000" w:themeColor="text1"/>
        </w:rPr>
        <w:t>.</w:t>
      </w:r>
      <w:r w:rsidR="00923F9C" w:rsidRPr="004904D8">
        <w:rPr>
          <w:color w:val="000000" w:themeColor="text1"/>
        </w:rPr>
        <w:t xml:space="preserve"> </w:t>
      </w:r>
    </w:p>
    <w:p w14:paraId="1ED20846" w14:textId="7816B257" w:rsidR="0088112B" w:rsidRPr="004904D8" w:rsidRDefault="00A84317" w:rsidP="00C258BC">
      <w:pPr>
        <w:jc w:val="both"/>
        <w:rPr>
          <w:color w:val="000000" w:themeColor="text1"/>
        </w:rPr>
      </w:pPr>
      <w:bookmarkStart w:id="268" w:name="_Toc486594797"/>
      <w:r w:rsidRPr="004904D8">
        <w:rPr>
          <w:color w:val="000000" w:themeColor="text1"/>
        </w:rPr>
        <w:t>Strategies to reduc</w:t>
      </w:r>
      <w:r w:rsidR="005133B6">
        <w:rPr>
          <w:color w:val="000000" w:themeColor="text1"/>
        </w:rPr>
        <w:t xml:space="preserve">e demand for a range of goods, </w:t>
      </w:r>
      <w:r w:rsidRPr="004904D8">
        <w:rPr>
          <w:color w:val="000000" w:themeColor="text1"/>
        </w:rPr>
        <w:t xml:space="preserve">from electricity and water </w:t>
      </w:r>
      <w:r w:rsidR="006B1E6F">
        <w:rPr>
          <w:color w:val="000000" w:themeColor="text1"/>
        </w:rPr>
        <w:fldChar w:fldCharType="begin" w:fldLock="1"/>
      </w:r>
      <w:r w:rsidR="006B1E6F">
        <w:rPr>
          <w:color w:val="000000" w:themeColor="text1"/>
        </w:rPr>
        <w:instrText>ADDIN CSL_CITATION {"citationItems":[{"id":"ITEM-1","itemData":{"DOI":"10.1016/j.rser.2015.03.002","ISBN":"1364-0321","ISSN":"18790690","abstract":"Most commentators expect improved energy efficiency and reduced energy demand to provide the dominant contribution to tackling global climate change. But at the global level, the correlation between increased wealth and increased energy consumption is very strong and the impact of policies to reduce energy demand is both limited and contested. Different academic disciplines approach energy demand reduction in different ways: emphasising some mechanisms and neglecting others, being more or less optimistic about the potential for reducing energy demand and providing insights that are more or less useful for policymakers. This article provides an overview of the main issues and challenges associated with energy demand reduction, summarises how this challenge is 'framed' by key academic disciplines, indicates how these can provide complementary insights for policymakers and argues that a 'sociotechnical' perspective can provide a deeper understanding of the nature of this challenge and the processes through which it can be achieved. The article integrates ideas from the natural sciences, economics, psychology, innovation studies and sociology but does not give equal weight to each. It argues that reducing energy demand will prove more difficult than is commonly assumed and current approaches will be insufficient to deliver the transformation required.","author":[{"dropping-particle":"","family":"Sorrell","given":"Steve","non-dropping-particle":"","parse-names":false,"suffix":""}],"container-title":"Renewable and Sustainable Energy Reviews","id":"ITEM-1","issued":{"date-parts":[["2015"]]},"page":"74-82","publisher":"Elsevier","title":"Reducing energy demand: A review of issues, challenges and approaches","type":"article-journal","volume":"47"},"uris":["http://www.mendeley.com/documents/?uuid=c03e3c42-216b-422a-a001-0596ba467031"]}],"mendeley":{"formattedCitation":"(Sorrell 2015)","plainTextFormattedCitation":"(Sorrell 2015)","previouslyFormattedCitation":"(Sorrell 2015)"},"properties":{"noteIndex":0},"schema":"https://github.com/citation-style-language/schema/raw/master/csl-citation.json"}</w:instrText>
      </w:r>
      <w:r w:rsidR="006B1E6F">
        <w:rPr>
          <w:color w:val="000000" w:themeColor="text1"/>
        </w:rPr>
        <w:fldChar w:fldCharType="separate"/>
      </w:r>
      <w:r w:rsidR="006B1E6F" w:rsidRPr="006B1E6F">
        <w:rPr>
          <w:noProof/>
          <w:color w:val="000000" w:themeColor="text1"/>
        </w:rPr>
        <w:t>(Sorrell 2015)</w:t>
      </w:r>
      <w:r w:rsidR="006B1E6F">
        <w:rPr>
          <w:color w:val="000000" w:themeColor="text1"/>
        </w:rPr>
        <w:fldChar w:fldCharType="end"/>
      </w:r>
      <w:r w:rsidRPr="004904D8">
        <w:rPr>
          <w:color w:val="000000" w:themeColor="text1"/>
        </w:rPr>
        <w:t xml:space="preserve">, to </w:t>
      </w:r>
      <w:r w:rsidR="00EE0A5A" w:rsidRPr="004904D8">
        <w:rPr>
          <w:color w:val="000000" w:themeColor="text1"/>
        </w:rPr>
        <w:t xml:space="preserve">habit-forming drugs </w:t>
      </w:r>
      <w:r w:rsidR="006B1E6F">
        <w:rPr>
          <w:color w:val="000000" w:themeColor="text1"/>
        </w:rPr>
        <w:fldChar w:fldCharType="begin" w:fldLock="1"/>
      </w:r>
      <w:r w:rsidR="00B2630D">
        <w:rPr>
          <w:color w:val="000000" w:themeColor="text1"/>
        </w:rPr>
        <w:instrText>ADDIN CSL_CITATION {"citationItems":[{"id":"ITEM-1","itemData":{"DOI":"10.3386/w10976","abstract":"This paper concentrates on both the positive and normative effects of punishments that enforce laws to make production and consumption of particular goods illegal, with illegal drugs as the main example. Optimal public expenditures on apprehension and conviction of illegal suppliers obviously depend on the extent of the difference between the social and private value of consumption of illegal goods, but they also depend crucially on the elasticity of demand for these goods. In particular, when demand is inelastic, it does not pay to enforce any prohibition unless the social value is negative and not merely less than the private value. We also compare outputs and prices when a good is legal and taxed with outputs and prices when the good is illegal. We show that a monetary tax on a legal good could cause a greater reduction in output and increase in price than would optimal enforcement, even recognizing that producers may want to go underground to try to avoid a monetary tax. This means that fighting a war on drugs by legalizing drug use and taxing consumption may be more effective than continuing to prohibit the legal use of drugs.","author":[{"dropping-particle":"","family":"Becker","given":"Gary S","non-dropping-particle":"","parse-names":false,"suffix":""},{"dropping-particle":"","family":"Murphy","given":"Kevin M","non-dropping-particle":"","parse-names":false,"suffix":""},{"dropping-particle":"","family":"Grossman","given":"Michael","non-dropping-particle":"","parse-names":false,"suffix":""}],"id":"ITEM-1","issued":{"date-parts":[["2004"]]},"publisher-place":"National Bureau of Economic Research Working Paper Series 10876. http://www.nber.org/papers/w10976","title":"The Economic Theory of Illegal Goods","type":"report"},"uris":["http://www.mendeley.com/documents/?uuid=f4d10425-ed6f-4f86-9acd-b821e436ace9"]},{"id":"ITEM-2","itemData":{"author":[{"dropping-particle":"","family":"Caulkins","given":"J P","non-dropping-particle":"","parse-names":false,"suffix":""},{"dropping-particle":"","family":"Reuter","given":"P","non-dropping-particle":"","parse-names":false,"suffix":""}],"container-title":"Socio-Economic Planning Science","id":"ITEM-2","issued":{"date-parts":[["2006"]]},"page":"1-14","title":"Illicit drug markets and economic irregularities","type":"article-journal","volume":"40"},"uris":["http://www.mendeley.com/documents/?uuid=3cd39141-c2db-44c1-a35e-17e52074138c"]}],"mendeley":{"formattedCitation":"(Becker et al. 2004; Caulkins &amp; Reuter 2006)","plainTextFormattedCitation":"(Becker et al. 2004; Caulkins &amp; Reuter 2006)","previouslyFormattedCitation":"(Becker et al. 2004; Caulkins &amp; Reuter 2006)"},"properties":{"noteIndex":0},"schema":"https://github.com/citation-style-language/schema/raw/master/csl-citation.json"}</w:instrText>
      </w:r>
      <w:r w:rsidR="006B1E6F">
        <w:rPr>
          <w:color w:val="000000" w:themeColor="text1"/>
        </w:rPr>
        <w:fldChar w:fldCharType="separate"/>
      </w:r>
      <w:r w:rsidR="006B1E6F" w:rsidRPr="006B1E6F">
        <w:rPr>
          <w:noProof/>
          <w:color w:val="000000" w:themeColor="text1"/>
        </w:rPr>
        <w:t>(Becker et al. 2004; Caulkins &amp; Reuter 2006)</w:t>
      </w:r>
      <w:r w:rsidR="006B1E6F">
        <w:rPr>
          <w:color w:val="000000" w:themeColor="text1"/>
        </w:rPr>
        <w:fldChar w:fldCharType="end"/>
      </w:r>
      <w:r w:rsidR="00EE0A5A" w:rsidRPr="004904D8">
        <w:rPr>
          <w:color w:val="000000" w:themeColor="text1"/>
        </w:rPr>
        <w:t xml:space="preserve">, to </w:t>
      </w:r>
      <w:r w:rsidR="005133B6">
        <w:rPr>
          <w:color w:val="000000" w:themeColor="text1"/>
        </w:rPr>
        <w:t>wildlife and fish,</w:t>
      </w:r>
      <w:r w:rsidRPr="004904D8">
        <w:rPr>
          <w:color w:val="000000" w:themeColor="text1"/>
        </w:rPr>
        <w:t xml:space="preserve"> all rely on altering consumer choice by:</w:t>
      </w:r>
      <w:r w:rsidRPr="005512D2">
        <w:rPr>
          <w:color w:val="000000" w:themeColor="text1"/>
        </w:rPr>
        <w:t xml:space="preserve"> a) directly or indirectly changing the price of the good or its substitutes, and/or b) influencing one or more non-price drivers</w:t>
      </w:r>
      <w:r w:rsidRPr="004904D8">
        <w:rPr>
          <w:color w:val="000000" w:themeColor="text1"/>
        </w:rPr>
        <w:t>.</w:t>
      </w:r>
    </w:p>
    <w:p w14:paraId="7A942617" w14:textId="683B3D72" w:rsidR="00923F9C" w:rsidRPr="005512D2" w:rsidRDefault="00DF07E0" w:rsidP="00DF57F3">
      <w:pPr>
        <w:pStyle w:val="Heading2"/>
      </w:pPr>
      <w:bookmarkStart w:id="269" w:name="_Toc491942978"/>
      <w:bookmarkStart w:id="270" w:name="_Toc491961680"/>
      <w:bookmarkStart w:id="271" w:name="_Toc517693775"/>
      <w:bookmarkStart w:id="272" w:name="_Toc519156121"/>
      <w:bookmarkStart w:id="273" w:name="_Toc529390376"/>
      <w:r w:rsidRPr="004904D8">
        <w:t>Increasing the supply and decreasing</w:t>
      </w:r>
      <w:r w:rsidR="00923F9C" w:rsidRPr="004904D8">
        <w:t xml:space="preserve"> the price of </w:t>
      </w:r>
      <w:r w:rsidR="009F4564" w:rsidRPr="005512D2">
        <w:t>wild meat</w:t>
      </w:r>
      <w:r w:rsidR="00923F9C" w:rsidRPr="005512D2">
        <w:t xml:space="preserve"> substitutes</w:t>
      </w:r>
      <w:bookmarkEnd w:id="268"/>
      <w:bookmarkEnd w:id="269"/>
      <w:bookmarkEnd w:id="270"/>
      <w:bookmarkEnd w:id="271"/>
      <w:bookmarkEnd w:id="272"/>
      <w:bookmarkEnd w:id="273"/>
    </w:p>
    <w:p w14:paraId="4DB0AE01" w14:textId="1EA520E6" w:rsidR="00B345F6" w:rsidRPr="0070404D" w:rsidRDefault="00923F9C" w:rsidP="00C258BC">
      <w:pPr>
        <w:jc w:val="both"/>
        <w:rPr>
          <w:snapToGrid w:val="0"/>
          <w:color w:val="000000" w:themeColor="text1"/>
          <w:lang w:eastAsia="ja-JP" w:bidi="th-TH"/>
        </w:rPr>
      </w:pPr>
      <w:r w:rsidRPr="003E3238">
        <w:rPr>
          <w:color w:val="000000" w:themeColor="text1"/>
        </w:rPr>
        <w:t xml:space="preserve">A reduction in the price of substitutes for </w:t>
      </w:r>
      <w:r w:rsidR="009F4564" w:rsidRPr="003E3238">
        <w:rPr>
          <w:color w:val="000000" w:themeColor="text1"/>
        </w:rPr>
        <w:t>wild mea</w:t>
      </w:r>
      <w:r w:rsidR="009F4564" w:rsidRPr="00EE2428">
        <w:rPr>
          <w:color w:val="000000" w:themeColor="text1"/>
        </w:rPr>
        <w:t>t</w:t>
      </w:r>
      <w:r w:rsidR="00BC5D2E" w:rsidRPr="00EE2428">
        <w:rPr>
          <w:color w:val="000000" w:themeColor="text1"/>
        </w:rPr>
        <w:t>, and/or an increase in the price of wild meat</w:t>
      </w:r>
      <w:r w:rsidRPr="0064175F">
        <w:rPr>
          <w:color w:val="000000" w:themeColor="text1"/>
        </w:rPr>
        <w:t xml:space="preserve"> </w:t>
      </w:r>
      <w:r w:rsidR="008F13E7" w:rsidRPr="0070404D">
        <w:rPr>
          <w:color w:val="000000" w:themeColor="text1"/>
        </w:rPr>
        <w:t xml:space="preserve">can </w:t>
      </w:r>
      <w:r w:rsidRPr="0070404D">
        <w:rPr>
          <w:color w:val="000000" w:themeColor="text1"/>
        </w:rPr>
        <w:t xml:space="preserve">reduce the demand for </w:t>
      </w:r>
      <w:r w:rsidR="009F4564" w:rsidRPr="0070404D">
        <w:rPr>
          <w:color w:val="000000" w:themeColor="text1"/>
        </w:rPr>
        <w:t>wild meat</w:t>
      </w:r>
      <w:r w:rsidRPr="0070404D">
        <w:rPr>
          <w:color w:val="000000" w:themeColor="text1"/>
        </w:rPr>
        <w:t xml:space="preserve"> where </w:t>
      </w:r>
      <w:r w:rsidR="006740B0">
        <w:rPr>
          <w:color w:val="000000" w:themeColor="text1"/>
        </w:rPr>
        <w:t>it</w:t>
      </w:r>
      <w:r w:rsidR="008178D7" w:rsidRPr="0070404D">
        <w:rPr>
          <w:color w:val="000000" w:themeColor="text1"/>
        </w:rPr>
        <w:t xml:space="preserve"> is a necessity, </w:t>
      </w:r>
      <w:r w:rsidRPr="0070404D">
        <w:rPr>
          <w:color w:val="000000" w:themeColor="text1"/>
        </w:rPr>
        <w:t>and substitutes are avai</w:t>
      </w:r>
      <w:r w:rsidR="00A84317" w:rsidRPr="0070404D">
        <w:rPr>
          <w:color w:val="000000" w:themeColor="text1"/>
        </w:rPr>
        <w:t>lable in sufficient quantities</w:t>
      </w:r>
      <w:r w:rsidRPr="0070404D">
        <w:rPr>
          <w:color w:val="000000" w:themeColor="text1"/>
        </w:rPr>
        <w:t xml:space="preserve">. </w:t>
      </w:r>
      <w:r w:rsidR="00AA7D16" w:rsidRPr="0070404D">
        <w:rPr>
          <w:snapToGrid w:val="0"/>
          <w:color w:val="000000" w:themeColor="text1"/>
          <w:lang w:eastAsia="ja-JP" w:bidi="th-TH"/>
        </w:rPr>
        <w:t>Less commonly</w:t>
      </w:r>
      <w:r w:rsidR="00BC5D2E" w:rsidRPr="0070404D">
        <w:rPr>
          <w:snapToGrid w:val="0"/>
          <w:color w:val="000000" w:themeColor="text1"/>
          <w:lang w:eastAsia="ja-JP" w:bidi="th-TH"/>
        </w:rPr>
        <w:t>, where consumption of wild meat confers prestige on the consumer, wealthy households may be motivated to consume more as the price</w:t>
      </w:r>
      <w:r w:rsidR="008F13E7" w:rsidRPr="0070404D">
        <w:rPr>
          <w:snapToGrid w:val="0"/>
          <w:color w:val="000000" w:themeColor="text1"/>
          <w:lang w:eastAsia="ja-JP" w:bidi="th-TH"/>
        </w:rPr>
        <w:t xml:space="preserve"> of wild meat</w:t>
      </w:r>
      <w:r w:rsidR="005133B6">
        <w:rPr>
          <w:snapToGrid w:val="0"/>
          <w:color w:val="000000" w:themeColor="text1"/>
          <w:lang w:eastAsia="ja-JP" w:bidi="th-TH"/>
        </w:rPr>
        <w:t xml:space="preserve"> increases. I</w:t>
      </w:r>
      <w:r w:rsidR="00BC5D2E" w:rsidRPr="0070404D">
        <w:rPr>
          <w:snapToGrid w:val="0"/>
          <w:color w:val="000000" w:themeColor="text1"/>
          <w:lang w:eastAsia="ja-JP" w:bidi="th-TH"/>
        </w:rPr>
        <w:t>n this circumstance wild meat can be described as a ‘</w:t>
      </w:r>
      <w:r w:rsidR="008178D7" w:rsidRPr="0070404D">
        <w:rPr>
          <w:snapToGrid w:val="0"/>
          <w:color w:val="000000" w:themeColor="text1"/>
          <w:lang w:eastAsia="ja-JP" w:bidi="th-TH"/>
        </w:rPr>
        <w:t>V</w:t>
      </w:r>
      <w:r w:rsidR="00BC5D2E" w:rsidRPr="0070404D">
        <w:rPr>
          <w:snapToGrid w:val="0"/>
          <w:color w:val="000000" w:themeColor="text1"/>
          <w:lang w:eastAsia="ja-JP" w:bidi="th-TH"/>
        </w:rPr>
        <w:t>eblen good’</w:t>
      </w:r>
      <w:r w:rsidR="008178D7" w:rsidRPr="0070404D">
        <w:rPr>
          <w:snapToGrid w:val="0"/>
          <w:color w:val="000000" w:themeColor="text1"/>
          <w:lang w:eastAsia="ja-JP" w:bidi="th-TH"/>
        </w:rPr>
        <w:t>,</w:t>
      </w:r>
      <w:r w:rsidR="00BC5D2E" w:rsidRPr="0070404D">
        <w:rPr>
          <w:snapToGrid w:val="0"/>
          <w:color w:val="000000" w:themeColor="text1"/>
          <w:lang w:eastAsia="ja-JP" w:bidi="th-TH"/>
        </w:rPr>
        <w:t xml:space="preserve"> </w:t>
      </w:r>
      <w:r w:rsidR="008178D7" w:rsidRPr="0070404D">
        <w:rPr>
          <w:snapToGrid w:val="0"/>
          <w:color w:val="000000" w:themeColor="text1"/>
          <w:lang w:eastAsia="ja-JP" w:bidi="th-TH"/>
        </w:rPr>
        <w:t xml:space="preserve">is a luxury item whose price does not follow the </w:t>
      </w:r>
      <w:r w:rsidR="005133B6">
        <w:rPr>
          <w:snapToGrid w:val="0"/>
          <w:color w:val="000000" w:themeColor="text1"/>
          <w:lang w:eastAsia="ja-JP" w:bidi="th-TH"/>
        </w:rPr>
        <w:t>usual laws of supply and demand</w:t>
      </w:r>
      <w:r w:rsidR="008178D7" w:rsidRPr="0070404D">
        <w:rPr>
          <w:snapToGrid w:val="0"/>
          <w:color w:val="000000" w:themeColor="text1"/>
          <w:lang w:eastAsia="ja-JP" w:bidi="th-TH"/>
        </w:rPr>
        <w:t>.</w:t>
      </w:r>
    </w:p>
    <w:p w14:paraId="692A2AA2" w14:textId="2C2F17D3" w:rsidR="008F13E7" w:rsidRPr="0070404D" w:rsidRDefault="00B345F6" w:rsidP="00C258BC">
      <w:pPr>
        <w:jc w:val="both"/>
        <w:rPr>
          <w:color w:val="000000" w:themeColor="text1"/>
        </w:rPr>
      </w:pPr>
      <w:r w:rsidRPr="0070404D">
        <w:rPr>
          <w:color w:val="000000" w:themeColor="text1"/>
        </w:rPr>
        <w:t>Substitutes</w:t>
      </w:r>
      <w:r w:rsidR="00FE038C" w:rsidRPr="0070404D">
        <w:rPr>
          <w:color w:val="000000" w:themeColor="text1"/>
        </w:rPr>
        <w:t xml:space="preserve"> to wild meat</w:t>
      </w:r>
      <w:r w:rsidRPr="0070404D">
        <w:rPr>
          <w:color w:val="000000" w:themeColor="text1"/>
        </w:rPr>
        <w:t xml:space="preserve"> that have been suggested include freshwater and marine fish</w:t>
      </w:r>
      <w:r w:rsidR="00965460" w:rsidRPr="0070404D">
        <w:rPr>
          <w:color w:val="000000" w:themeColor="text1"/>
        </w:rPr>
        <w:t xml:space="preserve"> (including smoked fish)</w:t>
      </w:r>
      <w:r w:rsidRPr="0070404D">
        <w:rPr>
          <w:color w:val="000000" w:themeColor="text1"/>
        </w:rPr>
        <w:t>, domestic terrestrial species such as cows, pigs and poultry, farmed wild species such as cane rats</w:t>
      </w:r>
      <w:r w:rsidR="0086793B" w:rsidRPr="0070404D">
        <w:rPr>
          <w:color w:val="000000" w:themeColor="text1"/>
        </w:rPr>
        <w:t xml:space="preserve">, </w:t>
      </w:r>
      <w:r w:rsidR="004F157B">
        <w:rPr>
          <w:color w:val="000000" w:themeColor="text1"/>
        </w:rPr>
        <w:t xml:space="preserve">paca and porcupines, and non-animal proteins such as insects and vegetable </w:t>
      </w:r>
      <w:r w:rsidR="00D85930">
        <w:rPr>
          <w:color w:val="000000" w:themeColor="text1"/>
        </w:rPr>
        <w:t>proteins</w:t>
      </w:r>
      <w:r w:rsidR="004F157B">
        <w:rPr>
          <w:color w:val="000000" w:themeColor="text1"/>
        </w:rPr>
        <w:t xml:space="preserve"> (i.e. beans and pulses)</w:t>
      </w:r>
      <w:r w:rsidRPr="004904D8">
        <w:rPr>
          <w:color w:val="000000" w:themeColor="text1"/>
        </w:rPr>
        <w:t xml:space="preserve">. </w:t>
      </w:r>
      <w:r w:rsidR="00AA7D16" w:rsidRPr="004904D8">
        <w:rPr>
          <w:color w:val="000000" w:themeColor="text1"/>
        </w:rPr>
        <w:t>However,</w:t>
      </w:r>
      <w:r w:rsidRPr="004904D8">
        <w:rPr>
          <w:color w:val="000000" w:themeColor="text1"/>
        </w:rPr>
        <w:t xml:space="preserve"> </w:t>
      </w:r>
      <w:r w:rsidRPr="004904D8">
        <w:rPr>
          <w:snapToGrid w:val="0"/>
          <w:color w:val="000000" w:themeColor="text1"/>
          <w:lang w:eastAsia="ja-JP" w:bidi="th-TH"/>
        </w:rPr>
        <w:t>t</w:t>
      </w:r>
      <w:r w:rsidR="008F13E7" w:rsidRPr="005512D2">
        <w:rPr>
          <w:snapToGrid w:val="0"/>
          <w:color w:val="000000" w:themeColor="text1"/>
          <w:lang w:eastAsia="ja-JP" w:bidi="th-TH"/>
        </w:rPr>
        <w:t>here is currently limited information on how much the pr</w:t>
      </w:r>
      <w:r w:rsidR="005133B6">
        <w:rPr>
          <w:snapToGrid w:val="0"/>
          <w:color w:val="000000" w:themeColor="text1"/>
          <w:lang w:eastAsia="ja-JP" w:bidi="th-TH"/>
        </w:rPr>
        <w:t xml:space="preserve">ice of wild meat needs to </w:t>
      </w:r>
      <w:r w:rsidR="00A479D2">
        <w:rPr>
          <w:snapToGrid w:val="0"/>
          <w:color w:val="000000" w:themeColor="text1"/>
          <w:lang w:eastAsia="ja-JP" w:bidi="th-TH"/>
        </w:rPr>
        <w:t>rise,</w:t>
      </w:r>
      <w:r w:rsidR="00A479D2" w:rsidRPr="005512D2">
        <w:rPr>
          <w:snapToGrid w:val="0"/>
          <w:color w:val="000000" w:themeColor="text1"/>
          <w:lang w:eastAsia="ja-JP" w:bidi="th-TH"/>
        </w:rPr>
        <w:t xml:space="preserve"> known</w:t>
      </w:r>
      <w:r w:rsidR="008F13E7" w:rsidRPr="005512D2">
        <w:rPr>
          <w:snapToGrid w:val="0"/>
          <w:color w:val="000000" w:themeColor="text1"/>
          <w:lang w:eastAsia="ja-JP" w:bidi="th-TH"/>
        </w:rPr>
        <w:t xml:space="preserve"> as the ‘own price elas</w:t>
      </w:r>
      <w:r w:rsidR="005133B6">
        <w:rPr>
          <w:snapToGrid w:val="0"/>
          <w:color w:val="000000" w:themeColor="text1"/>
          <w:lang w:eastAsia="ja-JP" w:bidi="th-TH"/>
        </w:rPr>
        <w:t>ticity’ of a good</w:t>
      </w:r>
      <w:r w:rsidR="008F13E7" w:rsidRPr="005512D2">
        <w:rPr>
          <w:snapToGrid w:val="0"/>
          <w:color w:val="000000" w:themeColor="text1"/>
          <w:lang w:eastAsia="ja-JP" w:bidi="th-TH"/>
        </w:rPr>
        <w:t xml:space="preserve">, </w:t>
      </w:r>
      <w:r w:rsidRPr="003E3238">
        <w:rPr>
          <w:snapToGrid w:val="0"/>
          <w:color w:val="000000" w:themeColor="text1"/>
          <w:lang w:eastAsia="ja-JP" w:bidi="th-TH"/>
        </w:rPr>
        <w:t>or</w:t>
      </w:r>
      <w:r w:rsidR="008F13E7" w:rsidRPr="003E3238">
        <w:rPr>
          <w:snapToGrid w:val="0"/>
          <w:color w:val="000000" w:themeColor="text1"/>
          <w:lang w:eastAsia="ja-JP" w:bidi="th-TH"/>
        </w:rPr>
        <w:t xml:space="preserve"> the price of avail</w:t>
      </w:r>
      <w:r w:rsidR="005133B6">
        <w:rPr>
          <w:snapToGrid w:val="0"/>
          <w:color w:val="000000" w:themeColor="text1"/>
          <w:lang w:eastAsia="ja-JP" w:bidi="th-TH"/>
        </w:rPr>
        <w:t xml:space="preserve">able substitutes needs to fall, </w:t>
      </w:r>
      <w:r w:rsidR="008F13E7" w:rsidRPr="003E3238">
        <w:rPr>
          <w:snapToGrid w:val="0"/>
          <w:color w:val="000000" w:themeColor="text1"/>
          <w:lang w:eastAsia="ja-JP" w:bidi="th-TH"/>
        </w:rPr>
        <w:t>known as the ‘cr</w:t>
      </w:r>
      <w:r w:rsidR="005133B6">
        <w:rPr>
          <w:snapToGrid w:val="0"/>
          <w:color w:val="000000" w:themeColor="text1"/>
          <w:lang w:eastAsia="ja-JP" w:bidi="th-TH"/>
        </w:rPr>
        <w:t>oss price elasticity’ of a good</w:t>
      </w:r>
      <w:r w:rsidR="008F13E7" w:rsidRPr="003E3238">
        <w:rPr>
          <w:snapToGrid w:val="0"/>
          <w:color w:val="000000" w:themeColor="text1"/>
          <w:lang w:eastAsia="ja-JP" w:bidi="th-TH"/>
        </w:rPr>
        <w:t>, before demand for wild meat will significantly decrease</w:t>
      </w:r>
      <w:r w:rsidR="00FE038C" w:rsidRPr="00EE2428">
        <w:rPr>
          <w:snapToGrid w:val="0"/>
          <w:color w:val="000000" w:themeColor="text1"/>
          <w:lang w:eastAsia="ja-JP" w:bidi="th-TH"/>
        </w:rPr>
        <w:t xml:space="preserve"> (</w:t>
      </w:r>
      <w:r w:rsidR="004F157B">
        <w:rPr>
          <w:snapToGrid w:val="0"/>
          <w:color w:val="000000" w:themeColor="text1"/>
          <w:lang w:eastAsia="ja-JP" w:bidi="th-TH"/>
        </w:rPr>
        <w:t>Appendix 1</w:t>
      </w:r>
      <w:r w:rsidR="00FE038C" w:rsidRPr="0070404D">
        <w:rPr>
          <w:snapToGrid w:val="0"/>
          <w:color w:val="000000" w:themeColor="text1"/>
          <w:lang w:eastAsia="ja-JP" w:bidi="th-TH"/>
        </w:rPr>
        <w:t>)</w:t>
      </w:r>
      <w:r w:rsidR="008F13E7" w:rsidRPr="0070404D">
        <w:rPr>
          <w:snapToGrid w:val="0"/>
          <w:color w:val="000000" w:themeColor="text1"/>
          <w:lang w:eastAsia="ja-JP" w:bidi="th-TH"/>
        </w:rPr>
        <w:t xml:space="preserve">. This information is crucial when designing demand-reduction strategies. </w:t>
      </w:r>
      <w:r w:rsidR="0024287C" w:rsidRPr="0070404D">
        <w:rPr>
          <w:color w:val="000000" w:themeColor="text1"/>
        </w:rPr>
        <w:t>Good substitutes</w:t>
      </w:r>
      <w:r w:rsidR="00923F9C" w:rsidRPr="0070404D">
        <w:rPr>
          <w:color w:val="000000" w:themeColor="text1"/>
        </w:rPr>
        <w:t xml:space="preserve"> </w:t>
      </w:r>
      <w:r w:rsidR="0024287C" w:rsidRPr="0070404D">
        <w:rPr>
          <w:color w:val="000000" w:themeColor="text1"/>
        </w:rPr>
        <w:t>should</w:t>
      </w:r>
      <w:r w:rsidR="00923F9C" w:rsidRPr="0070404D">
        <w:rPr>
          <w:color w:val="000000" w:themeColor="text1"/>
        </w:rPr>
        <w:t xml:space="preserve"> </w:t>
      </w:r>
      <w:r w:rsidR="0024287C" w:rsidRPr="0070404D">
        <w:rPr>
          <w:color w:val="000000" w:themeColor="text1"/>
        </w:rPr>
        <w:t>have a high</w:t>
      </w:r>
      <w:r w:rsidR="00923F9C" w:rsidRPr="0070404D">
        <w:rPr>
          <w:color w:val="000000" w:themeColor="text1"/>
        </w:rPr>
        <w:t xml:space="preserve"> cross-price elasticity</w:t>
      </w:r>
      <w:r w:rsidR="0024287C" w:rsidRPr="0070404D">
        <w:rPr>
          <w:color w:val="000000" w:themeColor="text1"/>
        </w:rPr>
        <w:t xml:space="preserve"> with </w:t>
      </w:r>
      <w:r w:rsidR="00944860" w:rsidRPr="0070404D">
        <w:rPr>
          <w:color w:val="000000" w:themeColor="text1"/>
        </w:rPr>
        <w:t>wild meat</w:t>
      </w:r>
      <w:r w:rsidR="00923F9C" w:rsidRPr="0070404D">
        <w:rPr>
          <w:color w:val="000000" w:themeColor="text1"/>
        </w:rPr>
        <w:t xml:space="preserve">, </w:t>
      </w:r>
      <w:r w:rsidR="0024287C" w:rsidRPr="0070404D">
        <w:rPr>
          <w:color w:val="000000" w:themeColor="text1"/>
        </w:rPr>
        <w:t>a low environmental impact, and be easy</w:t>
      </w:r>
      <w:r w:rsidR="00923F9C" w:rsidRPr="0070404D">
        <w:rPr>
          <w:color w:val="000000" w:themeColor="text1"/>
        </w:rPr>
        <w:t xml:space="preserve"> </w:t>
      </w:r>
      <w:r w:rsidR="0024287C" w:rsidRPr="0070404D">
        <w:rPr>
          <w:color w:val="000000" w:themeColor="text1"/>
        </w:rPr>
        <w:t>to</w:t>
      </w:r>
      <w:r w:rsidR="00923F9C" w:rsidRPr="0070404D">
        <w:rPr>
          <w:color w:val="000000" w:themeColor="text1"/>
        </w:rPr>
        <w:t xml:space="preserve"> transport and refrigerat</w:t>
      </w:r>
      <w:r w:rsidR="0024287C" w:rsidRPr="0070404D">
        <w:rPr>
          <w:color w:val="000000" w:themeColor="text1"/>
        </w:rPr>
        <w:t xml:space="preserve">e. They must also </w:t>
      </w:r>
      <w:r w:rsidR="00D85930">
        <w:rPr>
          <w:color w:val="000000" w:themeColor="text1"/>
        </w:rPr>
        <w:t xml:space="preserve">be </w:t>
      </w:r>
      <w:r w:rsidR="00D85930" w:rsidRPr="0070404D">
        <w:rPr>
          <w:color w:val="000000" w:themeColor="text1"/>
        </w:rPr>
        <w:t>produced</w:t>
      </w:r>
      <w:r w:rsidR="0024287C" w:rsidRPr="0070404D">
        <w:rPr>
          <w:color w:val="000000" w:themeColor="text1"/>
        </w:rPr>
        <w:t xml:space="preserve"> in quantities high enough to satisfy demand, and therefore alleviate pressure on wild meat species. </w:t>
      </w:r>
      <w:r w:rsidR="00923F9C" w:rsidRPr="0070404D">
        <w:rPr>
          <w:color w:val="000000" w:themeColor="text1"/>
        </w:rPr>
        <w:t xml:space="preserve">Substitutes can be provided either as butchered meats at markets, or as live animals to be reared by the household. </w:t>
      </w:r>
      <w:r w:rsidR="0024287C" w:rsidRPr="0070404D">
        <w:rPr>
          <w:snapToGrid w:val="0"/>
          <w:color w:val="000000" w:themeColor="text1"/>
          <w:lang w:eastAsia="ja-JP" w:bidi="th-TH"/>
        </w:rPr>
        <w:t>Further information on types of good, elasticities of demand, and the factors which influence the consumption of goods, is given in Appendix 1.</w:t>
      </w:r>
    </w:p>
    <w:p w14:paraId="1A0CE3D4" w14:textId="30D7C064" w:rsidR="00273E6F" w:rsidRPr="00785A38" w:rsidRDefault="00CC7B92" w:rsidP="001C1D6E">
      <w:pPr>
        <w:pStyle w:val="Heading3"/>
      </w:pPr>
      <w:r w:rsidRPr="00785A38">
        <w:lastRenderedPageBreak/>
        <w:t>Sca</w:t>
      </w:r>
      <w:r w:rsidR="006E420E" w:rsidRPr="00785A38">
        <w:t>ling-</w:t>
      </w:r>
      <w:r w:rsidRPr="00785A38">
        <w:t xml:space="preserve">up </w:t>
      </w:r>
      <w:r w:rsidR="0024287C" w:rsidRPr="00785A38">
        <w:t>domestic</w:t>
      </w:r>
      <w:r w:rsidRPr="00785A38">
        <w:t xml:space="preserve"> meat provision</w:t>
      </w:r>
    </w:p>
    <w:p w14:paraId="6CE2D75E" w14:textId="1C7DCB78" w:rsidR="00923F9C" w:rsidRDefault="009601C8" w:rsidP="00C258BC">
      <w:pPr>
        <w:jc w:val="both"/>
        <w:rPr>
          <w:color w:val="000000" w:themeColor="text1"/>
        </w:rPr>
      </w:pPr>
      <w:r w:rsidRPr="004904D8">
        <w:rPr>
          <w:color w:val="000000" w:themeColor="text1"/>
        </w:rPr>
        <w:t>W</w:t>
      </w:r>
      <w:r w:rsidR="00923F9C" w:rsidRPr="004904D8">
        <w:rPr>
          <w:color w:val="000000" w:themeColor="text1"/>
        </w:rPr>
        <w:t xml:space="preserve">here the aim of reducing </w:t>
      </w:r>
      <w:r w:rsidR="009F4564" w:rsidRPr="004904D8">
        <w:rPr>
          <w:color w:val="000000" w:themeColor="text1"/>
        </w:rPr>
        <w:t>wild meat</w:t>
      </w:r>
      <w:r w:rsidR="00923F9C" w:rsidRPr="004904D8">
        <w:rPr>
          <w:color w:val="000000" w:themeColor="text1"/>
        </w:rPr>
        <w:t xml:space="preserve"> consumption is biodiversity protection, the ecological impact of increasing the consumpt</w:t>
      </w:r>
      <w:r w:rsidR="00923F9C" w:rsidRPr="005512D2">
        <w:rPr>
          <w:color w:val="000000" w:themeColor="text1"/>
        </w:rPr>
        <w:t xml:space="preserve">ion of substitutes must be considered. </w:t>
      </w:r>
      <w:r w:rsidR="00923F9C" w:rsidRPr="00EE2428">
        <w:rPr>
          <w:color w:val="000000" w:themeColor="text1"/>
        </w:rPr>
        <w:t>While small-scale livestock rearing of a few animals pe</w:t>
      </w:r>
      <w:r w:rsidR="00923F9C" w:rsidRPr="0064175F">
        <w:rPr>
          <w:color w:val="000000" w:themeColor="text1"/>
        </w:rPr>
        <w:t xml:space="preserve">r household is not likely to have </w:t>
      </w:r>
      <w:r w:rsidR="00923F9C" w:rsidRPr="0070404D">
        <w:rPr>
          <w:color w:val="000000" w:themeColor="text1"/>
        </w:rPr>
        <w:t xml:space="preserve">a great impact, the amount of domestic meat needed to replace the current consumption of </w:t>
      </w:r>
      <w:r w:rsidR="009F4564" w:rsidRPr="0070404D">
        <w:rPr>
          <w:color w:val="000000" w:themeColor="text1"/>
        </w:rPr>
        <w:t>wild meat</w:t>
      </w:r>
      <w:r w:rsidR="00923F9C" w:rsidRPr="0070404D">
        <w:rPr>
          <w:color w:val="000000" w:themeColor="text1"/>
        </w:rPr>
        <w:t xml:space="preserve"> could result in large-scale environmental destruction </w:t>
      </w:r>
      <w:r w:rsidR="001F08C9" w:rsidRPr="0070404D">
        <w:rPr>
          <w:color w:val="000000" w:themeColor="text1"/>
        </w:rPr>
        <w:t xml:space="preserve">if the environmental footprint of the substitute is not considered </w:t>
      </w:r>
      <w:r w:rsidR="006B1E6F">
        <w:rPr>
          <w:color w:val="000000" w:themeColor="text1"/>
        </w:rPr>
        <w:fldChar w:fldCharType="begin" w:fldLock="1"/>
      </w:r>
      <w:r w:rsidR="006B1E6F">
        <w:rPr>
          <w:color w:val="000000" w:themeColor="text1"/>
        </w:rPr>
        <w:instrText>ADDIN CSL_CITATION {"citationItems":[{"id":"ITEM-1","itemData":{"DOI":"10.1016/j.scitotenv.2015.07.022","ISBN":"0048-9697","ISSN":"18791026","PMID":"26231772","abstract":"The consumption of animal-sourced food products by humans is one of the most powerful negative forces affecting the conservation of terrestrial ecosystems and biological diversity. Livestock production is the single largest driver of habitat loss, and both livestock and feedstock production are increasing in developing tropical countries where the majority of biological diversity resides. Bushmeat consumption in Africa and southeastern Asia, as well as the high growth-rate of per capita livestock consumption in China are of special concern. The projected land base required by 2050 to support livestock production in several megadiverse countries exceeds 30-50% of their current agricultural areas. Livestock production is also a leading cause of climate change, soil loss, water and nutrient pollution, and decreases of apex predators and wild herbivores, compounding pressures on ecosystems and biodiversity. It is possible to greatly reduce the impacts of animal product consumption by humans on natural ecosystems and biodiversity while meeting nutritional needs of people, including the projected 2-3 billion people to be added to human population. We suggest that impacts can be remediated through several solutions: (1) reducing demand for animal-based food products and increasing proportions of plant-based foods in diets, the latter ideally to a global average of 90% of food consumed; (2) replacing ecologically-inefficient ruminants (e.g. cattle, goats, sheep) and bushmeat with monogastrics (e.g. poultry, pigs), integrated aquaculture, and other more-efficient protein sources; and (3) reintegrating livestock production away from single-product, intensive, fossil-fuel based systems into diverse, coupled systems designed more closely around the structure and functions of ecosystems that conserve energy and nutrients. Such efforts would also impart positive impacts on human health through reduction of diseases of nutritional extravagance.","author":[{"dropping-particle":"","family":"Machovina","given":"Brian","non-dropping-particle":"","parse-names":false,"suffix":""},{"dropping-particle":"","family":"Feeley","given":"Kenneth J.","non-dropping-particle":"","parse-names":false,"suffix":""},{"dropping-particle":"","family":"Ripple","given":"William J.","non-dropping-particle":"","parse-names":false,"suffix":""}],"container-title":"Science of the Total Environment","id":"ITEM-1","issued":{"date-parts":[["2015"]]},"page":"419-431","publisher":"Elsevier B.V.","title":"Biodiversity conservation: The key is reducing meat consumption","type":"article-journal","volume":"536"},"uris":["http://www.mendeley.com/documents/?uuid=f3302d26-be46-461d-82e2-d42b2a21bbbc"]}],"mendeley":{"formattedCitation":"(Machovina et al. 2015)","plainTextFormattedCitation":"(Machovina et al. 2015)","previouslyFormattedCitation":"(Machovina et al. 2015)"},"properties":{"noteIndex":0},"schema":"https://github.com/citation-style-language/schema/raw/master/csl-citation.json"}</w:instrText>
      </w:r>
      <w:r w:rsidR="006B1E6F">
        <w:rPr>
          <w:color w:val="000000" w:themeColor="text1"/>
        </w:rPr>
        <w:fldChar w:fldCharType="separate"/>
      </w:r>
      <w:r w:rsidR="006B1E6F" w:rsidRPr="006B1E6F">
        <w:rPr>
          <w:noProof/>
          <w:color w:val="000000" w:themeColor="text1"/>
        </w:rPr>
        <w:t>(Machovina et al. 2015)</w:t>
      </w:r>
      <w:r w:rsidR="006B1E6F">
        <w:rPr>
          <w:color w:val="000000" w:themeColor="text1"/>
        </w:rPr>
        <w:fldChar w:fldCharType="end"/>
      </w:r>
      <w:r w:rsidR="006B1E6F">
        <w:rPr>
          <w:color w:val="000000" w:themeColor="text1"/>
        </w:rPr>
        <w:t>.</w:t>
      </w:r>
    </w:p>
    <w:p w14:paraId="157B6E93" w14:textId="22A50451" w:rsidR="00FA0C1B" w:rsidRDefault="006A2867" w:rsidP="00C258BC">
      <w:pPr>
        <w:jc w:val="both"/>
        <w:rPr>
          <w:color w:val="000000" w:themeColor="text1"/>
        </w:rPr>
      </w:pPr>
      <w:r w:rsidRPr="0070404D">
        <w:rPr>
          <w:color w:val="000000" w:themeColor="text1"/>
        </w:rPr>
        <w:t xml:space="preserve">Domestic animals that are the </w:t>
      </w:r>
      <w:r w:rsidR="00CA5B82" w:rsidRPr="0070404D">
        <w:rPr>
          <w:color w:val="000000" w:themeColor="text1"/>
        </w:rPr>
        <w:t>most efficient in converting feed to meat</w:t>
      </w:r>
      <w:r w:rsidRPr="0070404D">
        <w:rPr>
          <w:color w:val="000000" w:themeColor="text1"/>
        </w:rPr>
        <w:t xml:space="preserve"> will generally be more ecologically sustainable</w:t>
      </w:r>
      <w:r w:rsidR="00CA5B82" w:rsidRPr="0070404D">
        <w:rPr>
          <w:color w:val="000000" w:themeColor="text1"/>
        </w:rPr>
        <w:t xml:space="preserve">. For example, beef cattle typically require 8-12 kilograms of feed to produce 1 kilogram of meat. This </w:t>
      </w:r>
      <w:r w:rsidR="00CA2131" w:rsidRPr="0070404D">
        <w:rPr>
          <w:color w:val="000000" w:themeColor="text1"/>
        </w:rPr>
        <w:t>‘</w:t>
      </w:r>
      <w:r w:rsidR="00CA5B82" w:rsidRPr="0070404D">
        <w:rPr>
          <w:color w:val="000000" w:themeColor="text1"/>
        </w:rPr>
        <w:t>feed to meat</w:t>
      </w:r>
      <w:r w:rsidR="00CA2131" w:rsidRPr="0070404D">
        <w:rPr>
          <w:color w:val="000000" w:themeColor="text1"/>
        </w:rPr>
        <w:t>’</w:t>
      </w:r>
      <w:r w:rsidR="00CA5B82" w:rsidRPr="0070404D">
        <w:rPr>
          <w:color w:val="000000" w:themeColor="text1"/>
        </w:rPr>
        <w:t xml:space="preserve"> ratio is much less for oth</w:t>
      </w:r>
      <w:r w:rsidR="00EC7867">
        <w:rPr>
          <w:color w:val="000000" w:themeColor="text1"/>
        </w:rPr>
        <w:t>er animals, such as chickens which</w:t>
      </w:r>
      <w:r w:rsidR="00CA5B82" w:rsidRPr="0070404D">
        <w:rPr>
          <w:color w:val="000000" w:themeColor="text1"/>
        </w:rPr>
        <w:t xml:space="preserve"> can yield one kilogram of meat wit</w:t>
      </w:r>
      <w:r w:rsidR="00EC7867">
        <w:rPr>
          <w:color w:val="000000" w:themeColor="text1"/>
        </w:rPr>
        <w:t xml:space="preserve">h about 2.5 kilograms of feed, </w:t>
      </w:r>
      <w:r w:rsidR="00CA5B82" w:rsidRPr="0070404D">
        <w:rPr>
          <w:color w:val="000000" w:themeColor="text1"/>
        </w:rPr>
        <w:t xml:space="preserve">and which also provide eggs </w:t>
      </w:r>
      <w:r w:rsidR="006B1E6F">
        <w:rPr>
          <w:color w:val="000000" w:themeColor="text1"/>
        </w:rPr>
        <w:fldChar w:fldCharType="begin" w:fldLock="1"/>
      </w:r>
      <w:r w:rsidR="006B1E6F">
        <w:rPr>
          <w:color w:val="000000" w:themeColor="text1"/>
        </w:rPr>
        <w:instrText>ADDIN CSL_CITATION {"citationItems":[{"id":"ITEM-1","itemData":{"DOI":"10.1007/s11367-015-0944-1","ISBN":"0948-3349","ISSN":"16147502","PMID":"13606173","abstract":"Livestock already use most global agricultural land, whereas the demand for animal-source food (ASF) is expected to increase. To address the contribution of livestock to global food supply, we need a measure for land use efficiency of livestock systems.","author":[{"dropping-particle":"","family":"Zanten","given":"Hannah H.E.","non-dropping-particle":"Van","parse-names":false,"suffix":""},{"dropping-particle":"","family":"Mollenhorst","given":"Herman","non-dropping-particle":"","parse-names":false,"suffix":""},{"dropping-particle":"","family":"Klootwijk","given":"Cindy W.","non-dropping-particle":"","parse-names":false,"suffix":""},{"dropping-particle":"","family":"Middelaar","given":"Corina E.","non-dropping-particle":"van","parse-names":false,"suffix":""},{"dropping-particle":"","family":"Boer","given":"Imke J.M.","non-dropping-particle":"de","parse-names":false,"suffix":""}],"container-title":"International Journal of Life Cycle Assessment","id":"ITEM-1","issue":"5","issued":{"date-parts":[["2016"]]},"page":"747-758","publisher":"The International Journal of Life Cycle Assessment","title":"Global food supply: land use efficiency of livestock systems","type":"article-journal","volume":"21"},"uris":["http://www.mendeley.com/documents/?uuid=065781ab-ddea-4f18-badd-a36d6857417d"]}],"mendeley":{"formattedCitation":"(Van Zanten et al. 2016)","manualFormatting":"(Van Zanten et al. 2016; Figure 9)","plainTextFormattedCitation":"(Van Zanten et al. 2016)","previouslyFormattedCitation":"(Van Zanten et al. 2016)"},"properties":{"noteIndex":0},"schema":"https://github.com/citation-style-language/schema/raw/master/csl-citation.json"}</w:instrText>
      </w:r>
      <w:r w:rsidR="006B1E6F">
        <w:rPr>
          <w:color w:val="000000" w:themeColor="text1"/>
        </w:rPr>
        <w:fldChar w:fldCharType="separate"/>
      </w:r>
      <w:r w:rsidR="006B1E6F" w:rsidRPr="006B1E6F">
        <w:rPr>
          <w:noProof/>
          <w:color w:val="000000" w:themeColor="text1"/>
        </w:rPr>
        <w:t>(Van Zanten et al. 2016</w:t>
      </w:r>
      <w:r w:rsidR="006B1E6F">
        <w:rPr>
          <w:noProof/>
          <w:color w:val="000000" w:themeColor="text1"/>
        </w:rPr>
        <w:t>; Figure 9</w:t>
      </w:r>
      <w:r w:rsidR="006B1E6F" w:rsidRPr="006B1E6F">
        <w:rPr>
          <w:noProof/>
          <w:color w:val="000000" w:themeColor="text1"/>
        </w:rPr>
        <w:t>)</w:t>
      </w:r>
      <w:r w:rsidR="006B1E6F">
        <w:rPr>
          <w:color w:val="000000" w:themeColor="text1"/>
        </w:rPr>
        <w:fldChar w:fldCharType="end"/>
      </w:r>
      <w:r w:rsidR="00CA5B82" w:rsidRPr="004904D8">
        <w:rPr>
          <w:color w:val="000000" w:themeColor="text1"/>
        </w:rPr>
        <w:t>. </w:t>
      </w:r>
      <w:r w:rsidR="00143DCE" w:rsidRPr="004904D8">
        <w:rPr>
          <w:color w:val="000000" w:themeColor="text1"/>
        </w:rPr>
        <w:t xml:space="preserve">The consumption of poultry has grown tremendously </w:t>
      </w:r>
      <w:r w:rsidR="00E32B80">
        <w:rPr>
          <w:color w:val="000000" w:themeColor="text1"/>
        </w:rPr>
        <w:t xml:space="preserve">in the tropics, and </w:t>
      </w:r>
      <w:r w:rsidR="00E259E2">
        <w:rPr>
          <w:color w:val="000000" w:themeColor="text1"/>
        </w:rPr>
        <w:t>around the world</w:t>
      </w:r>
      <w:r w:rsidR="00864D20">
        <w:rPr>
          <w:color w:val="000000" w:themeColor="text1"/>
        </w:rPr>
        <w:t>,</w:t>
      </w:r>
      <w:r w:rsidR="00143DCE" w:rsidRPr="004904D8">
        <w:rPr>
          <w:color w:val="000000" w:themeColor="text1"/>
        </w:rPr>
        <w:t xml:space="preserve"> during the last decades </w:t>
      </w:r>
      <w:r w:rsidR="006B1E6F">
        <w:rPr>
          <w:color w:val="000000" w:themeColor="text1"/>
        </w:rPr>
        <w:fldChar w:fldCharType="begin" w:fldLock="1"/>
      </w:r>
      <w:r w:rsidR="00B2630D">
        <w:rPr>
          <w:color w:val="000000" w:themeColor="text1"/>
        </w:rPr>
        <w:instrText>ADDIN CSL_CITATION {"citationItems":[{"id":"ITEM-1","itemData":{"author":[{"dropping-particle":"","family":"FAO","given":"","non-dropping-particle":"","parse-names":false,"suffix":""},{"dropping-particle":"","family":"IFAD","given":"","non-dropping-particle":"","parse-names":false,"suffix":""},{"dropping-particle":"","family":"WFP","given":"","non-dropping-particle":"","parse-names":false,"suffix":""}],"id":"ITEM-1","issued":{"date-parts":[["2015"]]},"publisher-place":"Food and Agriculture Organization of the United Nations (FAO), Rome, Italy","title":"The state of food insecurity in the world 2015. Meeting the 2015 international hunger targets: taking stock of uneven progress","type":"report"},"uris":["http://www.mendeley.com/documents/?uuid=be90b12c-f5b6-45dd-902b-f4bcb8d019cb"]}],"mendeley":{"formattedCitation":"(FAO et al. 2015)","manualFormatting":"(FAO et al. 2015; Figure 10)","plainTextFormattedCitation":"(FAO et al. 2015)","previouslyFormattedCitation":"(FAO et al. 2015)"},"properties":{"noteIndex":0},"schema":"https://github.com/citation-style-language/schema/raw/master/csl-citation.json"}</w:instrText>
      </w:r>
      <w:r w:rsidR="006B1E6F">
        <w:rPr>
          <w:color w:val="000000" w:themeColor="text1"/>
        </w:rPr>
        <w:fldChar w:fldCharType="separate"/>
      </w:r>
      <w:r w:rsidR="006B1E6F" w:rsidRPr="006B1E6F">
        <w:rPr>
          <w:noProof/>
          <w:color w:val="000000" w:themeColor="text1"/>
        </w:rPr>
        <w:t>(FAO et al. 2015</w:t>
      </w:r>
      <w:r w:rsidR="006B1E6F">
        <w:rPr>
          <w:noProof/>
          <w:color w:val="000000" w:themeColor="text1"/>
        </w:rPr>
        <w:t>; Figure 10</w:t>
      </w:r>
      <w:r w:rsidR="006B1E6F" w:rsidRPr="006B1E6F">
        <w:rPr>
          <w:noProof/>
          <w:color w:val="000000" w:themeColor="text1"/>
        </w:rPr>
        <w:t>)</w:t>
      </w:r>
      <w:r w:rsidR="006B1E6F">
        <w:rPr>
          <w:color w:val="000000" w:themeColor="text1"/>
        </w:rPr>
        <w:fldChar w:fldCharType="end"/>
      </w:r>
      <w:r w:rsidR="004D77B0">
        <w:rPr>
          <w:color w:val="000000" w:themeColor="text1"/>
        </w:rPr>
        <w:t xml:space="preserve">. In 2015, Brazil became the second largest producer of the chicken in the world, exporting within the region and to Europe and America </w:t>
      </w:r>
      <w:r w:rsidR="006B1E6F">
        <w:rPr>
          <w:color w:val="000000" w:themeColor="text1"/>
        </w:rPr>
        <w:fldChar w:fldCharType="begin" w:fldLock="1"/>
      </w:r>
      <w:r w:rsidR="006B1E6F">
        <w:rPr>
          <w:color w:val="000000" w:themeColor="text1"/>
        </w:rPr>
        <w:instrText>ADDIN CSL_CITATION {"citationItems":[{"id":"ITEM-1","itemData":{"author":[{"dropping-particle":"","family":"Schor","given":"T","non-dropping-particle":"","parse-names":false,"suffix":""},{"dropping-particle":"","family":"Avelino","given":"F C C","non-dropping-particle":"","parse-names":false,"suffix":""}],"container-title":"Cuadernos de Geografia: Revista Colombiana de Geografia","id":"ITEM-1","issue":"1","issued":{"date-parts":[["2017"]]},"page":"141-154","title":"Geography of food and the urban network in the tri-border Brazil-Peru-Colombia: the case of production and commercialization of poultry in the Amazon","type":"article-journal","volume":"26"},"uris":["http://www.mendeley.com/documents/?uuid=c4e7c3c7-b958-4404-a788-291aa5d1109a"]}],"mendeley":{"formattedCitation":"(Schor &amp; Avelino 2017)","plainTextFormattedCitation":"(Schor &amp; Avelino 2017)","previouslyFormattedCitation":"(Schor &amp; Avelino 2017)"},"properties":{"noteIndex":0},"schema":"https://github.com/citation-style-language/schema/raw/master/csl-citation.json"}</w:instrText>
      </w:r>
      <w:r w:rsidR="006B1E6F">
        <w:rPr>
          <w:color w:val="000000" w:themeColor="text1"/>
        </w:rPr>
        <w:fldChar w:fldCharType="separate"/>
      </w:r>
      <w:r w:rsidR="006B1E6F" w:rsidRPr="006B1E6F">
        <w:rPr>
          <w:noProof/>
          <w:color w:val="000000" w:themeColor="text1"/>
        </w:rPr>
        <w:t>(Schor &amp; Avelino 2017)</w:t>
      </w:r>
      <w:r w:rsidR="006B1E6F">
        <w:rPr>
          <w:color w:val="000000" w:themeColor="text1"/>
        </w:rPr>
        <w:fldChar w:fldCharType="end"/>
      </w:r>
      <w:r w:rsidR="004D77B0">
        <w:rPr>
          <w:color w:val="000000" w:themeColor="text1"/>
        </w:rPr>
        <w:t xml:space="preserve">. </w:t>
      </w:r>
      <w:r w:rsidR="004D77B0" w:rsidRPr="00710CCC">
        <w:rPr>
          <w:color w:val="000000" w:themeColor="text1"/>
        </w:rPr>
        <w:t xml:space="preserve">The consumption of chicken meat per capita (kg/person) has increased steadily in the last decade going from 29.91 kg/person in 2000 to approximately 43 kg/person in 2014/2015. </w:t>
      </w:r>
      <w:r w:rsidR="00FA0C1B">
        <w:rPr>
          <w:color w:val="000000" w:themeColor="text1"/>
        </w:rPr>
        <w:t xml:space="preserve">However, the emergence of more large-scale poultry farming in West and Central Africa has been set back by cheap imports of chicken legs and wings from the EU, driven by the ban in bone-meal feed in the late 1990s. These imports sell at 1/3 the price of locally-raised chickens and is given as the main reason for the death of Ghana’s emerging broiler industry in the 1990s </w:t>
      </w:r>
      <w:r w:rsidR="006B1E6F">
        <w:rPr>
          <w:color w:val="000000" w:themeColor="text1"/>
        </w:rPr>
        <w:fldChar w:fldCharType="begin" w:fldLock="1"/>
      </w:r>
      <w:r w:rsidR="00566AAF">
        <w:rPr>
          <w:color w:val="000000" w:themeColor="text1"/>
        </w:rPr>
        <w:instrText>ADDIN CSL_CITATION {"citationItems":[{"id":"ITEM-1","itemData":{"author":[{"dropping-particle":"","family":"Heinrich Böll Foundation","given":"","non-dropping-particle":"","parse-names":false,"suffix":""}],"id":"ITEM-1","issued":{"date-parts":[["2014"]]},"publisher-place":"Heinrich Böll Foundation, Berlin, Germany, and Friends of the Earth Europe, Brussels, Belgium","title":"Meat Atlas: Facts and Figures about the Animals We Aat","type":"report"},"uris":["http://www.mendeley.com/documents/?uuid=19006fc0-82df-46a0-bdfc-5b56660d247d"]}],"mendeley":{"formattedCitation":"(Heinrich Böll Foundation 2014)","plainTextFormattedCitation":"(Heinrich Böll Foundation 2014)","previouslyFormattedCitation":"(Heinrich Böll Foundation 2014)"},"properties":{"noteIndex":0},"schema":"https://github.com/citation-style-language/schema/raw/master/csl-citation.json"}</w:instrText>
      </w:r>
      <w:r w:rsidR="006B1E6F">
        <w:rPr>
          <w:color w:val="000000" w:themeColor="text1"/>
        </w:rPr>
        <w:fldChar w:fldCharType="separate"/>
      </w:r>
      <w:r w:rsidR="006B1E6F" w:rsidRPr="006B1E6F">
        <w:rPr>
          <w:noProof/>
          <w:color w:val="000000" w:themeColor="text1"/>
        </w:rPr>
        <w:t>(Heinrich Böll Foundation 2014)</w:t>
      </w:r>
      <w:r w:rsidR="006B1E6F">
        <w:rPr>
          <w:color w:val="000000" w:themeColor="text1"/>
        </w:rPr>
        <w:fldChar w:fldCharType="end"/>
      </w:r>
      <w:r w:rsidR="00FA0C1B">
        <w:rPr>
          <w:bCs/>
          <w:color w:val="000000" w:themeColor="text1"/>
          <w:lang w:val="de-AT"/>
        </w:rPr>
        <w:t>.</w:t>
      </w:r>
      <w:r w:rsidR="00FA0C1B">
        <w:rPr>
          <w:color w:val="000000" w:themeColor="text1"/>
        </w:rPr>
        <w:t xml:space="preserve"> </w:t>
      </w:r>
      <w:r w:rsidR="00D85930">
        <w:rPr>
          <w:color w:val="000000" w:themeColor="text1"/>
        </w:rPr>
        <w:t>The most dramatic change in de</w:t>
      </w:r>
      <w:r w:rsidR="00D85930" w:rsidRPr="004D77B0">
        <w:rPr>
          <w:color w:val="000000" w:themeColor="text1"/>
        </w:rPr>
        <w:t>mand for poultry meat</w:t>
      </w:r>
      <w:r w:rsidR="00D85930">
        <w:rPr>
          <w:color w:val="000000" w:themeColor="text1"/>
        </w:rPr>
        <w:t xml:space="preserve"> in the future is predicted to</w:t>
      </w:r>
      <w:r w:rsidR="00D85930" w:rsidRPr="004D77B0">
        <w:rPr>
          <w:color w:val="000000" w:themeColor="text1"/>
        </w:rPr>
        <w:t xml:space="preserve"> ta</w:t>
      </w:r>
      <w:r w:rsidR="00D85930">
        <w:rPr>
          <w:color w:val="000000" w:themeColor="text1"/>
        </w:rPr>
        <w:t>ke place in South Asia, where demand</w:t>
      </w:r>
      <w:r w:rsidR="00D85930" w:rsidRPr="004D77B0">
        <w:rPr>
          <w:color w:val="000000" w:themeColor="text1"/>
        </w:rPr>
        <w:t xml:space="preserve"> is expected to rise more than sevenfold by 2050</w:t>
      </w:r>
      <w:r w:rsidR="00D85930">
        <w:rPr>
          <w:color w:val="000000" w:themeColor="text1"/>
        </w:rPr>
        <w:t>, where an increase in per-capita consumption is associated with the low price of chicken and the lack of cultural and religious taboos against eating it (a</w:t>
      </w:r>
      <w:r w:rsidR="006B1E6F">
        <w:rPr>
          <w:color w:val="000000" w:themeColor="text1"/>
        </w:rPr>
        <w:t xml:space="preserve">s compared with pork and beef) </w:t>
      </w:r>
      <w:r w:rsidR="006B1E6F">
        <w:rPr>
          <w:color w:val="000000" w:themeColor="text1"/>
        </w:rPr>
        <w:fldChar w:fldCharType="begin" w:fldLock="1"/>
      </w:r>
      <w:r w:rsidR="00566AAF">
        <w:rPr>
          <w:color w:val="000000" w:themeColor="text1"/>
        </w:rPr>
        <w:instrText>ADDIN CSL_CITATION {"citationItems":[{"id":"ITEM-1","itemData":{"author":[{"dropping-particle":"","family":"Heinrich Böll Foundation","given":"","non-dropping-particle":"","parse-names":false,"suffix":""}],"id":"ITEM-1","issued":{"date-parts":[["2014"]]},"publisher-place":"Heinrich Böll Foundation, Berlin, Germany, and Friends of the Earth Europe, Brussels, Belgium","title":"Meat Atlas: Facts and Figures about the Animals We Aat","type":"report"},"uris":["http://www.mendeley.com/documents/?uuid=19006fc0-82df-46a0-bdfc-5b56660d247d"]}],"mendeley":{"formattedCitation":"(Heinrich Böll Foundation 2014)","plainTextFormattedCitation":"(Heinrich Böll Foundation 2014)","previouslyFormattedCitation":"(Heinrich Böll Foundation 2014)"},"properties":{"noteIndex":0},"schema":"https://github.com/citation-style-language/schema/raw/master/csl-citation.json"}</w:instrText>
      </w:r>
      <w:r w:rsidR="006B1E6F">
        <w:rPr>
          <w:color w:val="000000" w:themeColor="text1"/>
        </w:rPr>
        <w:fldChar w:fldCharType="separate"/>
      </w:r>
      <w:r w:rsidR="006B1E6F" w:rsidRPr="006B1E6F">
        <w:rPr>
          <w:noProof/>
          <w:color w:val="000000" w:themeColor="text1"/>
        </w:rPr>
        <w:t>(Heinrich Böll Foundation 2014)</w:t>
      </w:r>
      <w:r w:rsidR="006B1E6F">
        <w:rPr>
          <w:color w:val="000000" w:themeColor="text1"/>
        </w:rPr>
        <w:fldChar w:fldCharType="end"/>
      </w:r>
      <w:r w:rsidR="006B1E6F">
        <w:rPr>
          <w:color w:val="000000" w:themeColor="text1"/>
        </w:rPr>
        <w:t>.</w:t>
      </w:r>
    </w:p>
    <w:p w14:paraId="169C9B0A" w14:textId="0B2FCCCA" w:rsidR="00B81D13" w:rsidRDefault="004D77B0" w:rsidP="00C258BC">
      <w:pPr>
        <w:jc w:val="both"/>
        <w:rPr>
          <w:color w:val="000000" w:themeColor="text1"/>
        </w:rPr>
      </w:pPr>
      <w:r>
        <w:rPr>
          <w:color w:val="000000" w:themeColor="text1"/>
        </w:rPr>
        <w:t>G</w:t>
      </w:r>
      <w:r w:rsidR="00143DCE" w:rsidRPr="004904D8">
        <w:rPr>
          <w:color w:val="000000" w:themeColor="text1"/>
        </w:rPr>
        <w:t xml:space="preserve">reat </w:t>
      </w:r>
      <w:r w:rsidR="00AF25D3" w:rsidRPr="004904D8">
        <w:rPr>
          <w:color w:val="000000" w:themeColor="text1"/>
        </w:rPr>
        <w:t>progress has</w:t>
      </w:r>
      <w:r w:rsidR="00143DCE" w:rsidRPr="004904D8">
        <w:rPr>
          <w:color w:val="000000" w:themeColor="text1"/>
        </w:rPr>
        <w:t xml:space="preserve"> been made in selective breeding of chickens that are tolerant of tropical climates, lay many more eggs, and grow larger and faster, all without the need for supplemental feed</w:t>
      </w:r>
      <w:r w:rsidR="006A2867" w:rsidRPr="005512D2">
        <w:rPr>
          <w:color w:val="000000" w:themeColor="text1"/>
        </w:rPr>
        <w:t xml:space="preserve"> </w:t>
      </w:r>
      <w:r w:rsidR="006B1E6F">
        <w:rPr>
          <w:color w:val="000000" w:themeColor="text1"/>
        </w:rPr>
        <w:fldChar w:fldCharType="begin" w:fldLock="1"/>
      </w:r>
      <w:r w:rsidR="00B2630D">
        <w:rPr>
          <w:color w:val="000000" w:themeColor="text1"/>
        </w:rPr>
        <w:instrText>ADDIN CSL_CITATION {"citationItems":[{"id":"ITEM-1","itemData":{"DOI":"10.9734/BMRJ/2016/21741","ISSN":"22310886","author":[{"dropping-particle":"","family":"Sharma","given":"Ravindra","non-dropping-particle":"","parse-names":false,"suffix":""},{"dropping-particle":"","family":"Tiwari","given":"Keshaw","non-dropping-particle":"","parse-names":false,"suffix":""},{"dropping-particle":"","family":"Belmar","given":"Vanessa Mathew","non-dropping-particle":"","parse-names":false,"suffix":""},{"dropping-particle":"","family":"Kumar","given":"Sunil","non-dropping-particle":"","parse-names":false,"suffix":""},{"dropping-particle":"","family":"Goyal","given":"Sagar M","non-dropping-particle":"","parse-names":false,"suffix":""},{"dropping-particle":"","family":"Amadi","given":"Victor A","non-dropping-particle":"","parse-names":false,"suffix":""},{"dropping-particle":"","family":"Watson","given":"Natalie","non-dropping-particle":"","parse-names":false,"suffix":""},{"dropping-particle":"","family":"Hariharan","given":"Harry","non-dropping-particle":"","parse-names":false,"suffix":""}],"container-title":"British Microbiology Research Journal","id":"ITEM-1","issue":"4","issued":{"date-parts":[["2016"]]},"page":"1-8","title":"Prevalence and antimicrobial resistance of Campylobacter species isolated from backyard chickens in Grenada, West Indies","type":"article-journal","volume":"11"},"uris":["http://www.mendeley.com/documents/?uuid=ad4b1f13-9a83-42f4-b772-527919f4abcf"]},{"id":"ITEM-2","itemData":{"author":[{"dropping-particle":"","family":"Dessie","given":"T","non-dropping-particle":"","parse-names":false,"suffix":""},{"dropping-particle":"","family":"Getachew","given":"F","non-dropping-particle":"","parse-names":false,"suffix":""}],"id":"ITEM-2","issued":{"date-parts":[["2016"]]},"publisher-place":"ILRI, Nairobi, Kenya","title":"The Kuroiler Breed. Factsheet 2","type":"report"},"uris":["http://www.mendeley.com/documents/?uuid=fa657bd2-bbc7-4575-af16-53ac18180105"]}],"mendeley":{"formattedCitation":"(Dessie &amp; Getachew 2016; Sharma et al. 2016)","plainTextFormattedCitation":"(Dessie &amp; Getachew 2016; Sharma et al. 2016)","previouslyFormattedCitation":"(Dessie &amp; Getachew 2016; Sharma et al. 2016)"},"properties":{"noteIndex":0},"schema":"https://github.com/citation-style-language/schema/raw/master/csl-citation.json"}</w:instrText>
      </w:r>
      <w:r w:rsidR="006B1E6F">
        <w:rPr>
          <w:color w:val="000000" w:themeColor="text1"/>
        </w:rPr>
        <w:fldChar w:fldCharType="separate"/>
      </w:r>
      <w:r w:rsidR="006B1E6F" w:rsidRPr="006B1E6F">
        <w:rPr>
          <w:noProof/>
          <w:color w:val="000000" w:themeColor="text1"/>
        </w:rPr>
        <w:t>(Dessie &amp; Getachew 2016; Sharma et al. 2016)</w:t>
      </w:r>
      <w:r w:rsidR="006B1E6F">
        <w:rPr>
          <w:color w:val="000000" w:themeColor="text1"/>
        </w:rPr>
        <w:fldChar w:fldCharType="end"/>
      </w:r>
      <w:r w:rsidR="0084316B">
        <w:rPr>
          <w:color w:val="000000" w:themeColor="text1"/>
        </w:rPr>
        <w:t xml:space="preserve">. </w:t>
      </w:r>
      <w:r w:rsidR="009275AA" w:rsidRPr="004904D8">
        <w:rPr>
          <w:color w:val="000000" w:themeColor="text1"/>
        </w:rPr>
        <w:t>While p</w:t>
      </w:r>
      <w:r w:rsidR="006A2867" w:rsidRPr="004904D8">
        <w:rPr>
          <w:color w:val="000000" w:themeColor="text1"/>
        </w:rPr>
        <w:t xml:space="preserve">oultry can be susceptible to disease, especially when more intensively reared </w:t>
      </w:r>
      <w:r w:rsidR="006B1E6F">
        <w:rPr>
          <w:color w:val="000000" w:themeColor="text1"/>
        </w:rPr>
        <w:fldChar w:fldCharType="begin" w:fldLock="1"/>
      </w:r>
      <w:r w:rsidR="00B2630D">
        <w:rPr>
          <w:color w:val="000000" w:themeColor="text1"/>
        </w:rPr>
        <w:instrText>ADDIN CSL_CITATION {"citationItems":[{"id":"ITEM-1","itemData":{"ISBN":"1863203079","author":[{"dropping-particle":"","family":"Alders","given":"R. G. (Robyn G.)","non-dropping-particle":"","parse-names":false,"suffix":""},{"dropping-particle":"","family":"Spradbrow","given":"P. B.","non-dropping-particle":"","parse-names":false,"suffix":""}],"id":"ITEM-1","issued":{"date-parts":[["2001"]]},"number-of-pages":"112","publisher-place":"Australian Centre for International Agricultural Research (ACIAR). Monograph No. 82, Lusaka, Zambia","title":"Controlling Newcastle disease in village chickens: a field manual","type":"report"},"uris":["http://www.mendeley.com/documents/?uuid=8ed0cae4-be19-4fe8-a890-f7205240852c"]},{"id":"ITEM-2","itemData":{"author":[{"dropping-particle":"","family":"Bagnol","given":"B","non-dropping-particle":"","parse-names":false,"suffix":""},{"dropping-particle":"","family":"Alders","given":"R G","non-dropping-particle":"","parse-names":false,"suffix":""},{"dropping-particle":"","family":"Costa","given":"R","non-dropping-particle":"","parse-names":false,"suffix":""},{"dropping-particle":"","family":"Lauchande","given":"C","non-dropping-particle":"","parse-names":false,"suffix":""},{"dropping-particle":"","family":"Monteiro","given":"J","non-dropping-particle":"","parse-names":false,"suffix":""},{"dropping-particle":"","family":"Msami","given":"H","non-dropping-particle":"","parse-names":false,"suffix":""},{"dropping-particle":"","family":"Mgomezulu","given":"R","non-dropping-particle":"","parse-names":false,"suffix":""},{"dropping-particle":"","family":"Zandamela","given":"A","non-dropping-particle":"","parse-names":false,"suffix":""},{"dropping-particle":"","family":"Young","given":"M","non-dropping-particle":"","parse-names":false,"suffix":""}],"container-title":"Livestock Research for Rural Development","id":"ITEM-2","issue":"95","issued":{"date-parts":[["2013"]]},"title":"Contributing factors for successful vaccination campaigns against Newcastle disease","type":"article-journal","volume":"25"},"uris":["http://www.mendeley.com/documents/?uuid=8bfe737b-a867-40b8-96fa-19d9d940aa3e"]}],"mendeley":{"formattedCitation":"(Alders &amp; Spradbrow 2001b; Bagnol et al. 2013a)","plainTextFormattedCitation":"(Alders &amp; Spradbrow 2001b; Bagnol et al. 2013a)","previouslyFormattedCitation":"(Alders &amp; Spradbrow 2001b; Bagnol et al. 2013a)"},"properties":{"noteIndex":0},"schema":"https://github.com/citation-style-language/schema/raw/master/csl-citation.json"}</w:instrText>
      </w:r>
      <w:r w:rsidR="006B1E6F">
        <w:rPr>
          <w:color w:val="000000" w:themeColor="text1"/>
        </w:rPr>
        <w:fldChar w:fldCharType="separate"/>
      </w:r>
      <w:r w:rsidR="007078FA" w:rsidRPr="007078FA">
        <w:rPr>
          <w:noProof/>
          <w:color w:val="000000" w:themeColor="text1"/>
        </w:rPr>
        <w:t>(Alders &amp; Spradbrow 2001b; Bagnol et al. 2013a)</w:t>
      </w:r>
      <w:r w:rsidR="006B1E6F">
        <w:rPr>
          <w:color w:val="000000" w:themeColor="text1"/>
        </w:rPr>
        <w:fldChar w:fldCharType="end"/>
      </w:r>
      <w:r w:rsidR="009275AA" w:rsidRPr="004904D8">
        <w:rPr>
          <w:color w:val="000000" w:themeColor="text1"/>
        </w:rPr>
        <w:t xml:space="preserve">, there have been recent </w:t>
      </w:r>
      <w:r w:rsidR="006A2867" w:rsidRPr="004904D8">
        <w:rPr>
          <w:color w:val="000000" w:themeColor="text1"/>
        </w:rPr>
        <w:t>advances in poultry production disease control</w:t>
      </w:r>
      <w:r w:rsidR="009275AA" w:rsidRPr="004904D8">
        <w:rPr>
          <w:color w:val="000000" w:themeColor="text1"/>
        </w:rPr>
        <w:t xml:space="preserve"> for backyard poultry farming (see </w:t>
      </w:r>
      <w:r w:rsidR="00D50D44">
        <w:rPr>
          <w:color w:val="000000" w:themeColor="text1"/>
        </w:rPr>
        <w:fldChar w:fldCharType="begin"/>
      </w:r>
      <w:r w:rsidR="00D50D44">
        <w:rPr>
          <w:color w:val="000000" w:themeColor="text1"/>
        </w:rPr>
        <w:instrText xml:space="preserve"> REF _Ref519874286 \h </w:instrText>
      </w:r>
      <w:r w:rsidR="00D50D44">
        <w:rPr>
          <w:color w:val="000000" w:themeColor="text1"/>
        </w:rPr>
      </w:r>
      <w:r w:rsidR="00D50D44">
        <w:rPr>
          <w:color w:val="000000" w:themeColor="text1"/>
        </w:rPr>
        <w:fldChar w:fldCharType="separate"/>
      </w:r>
      <w:r w:rsidR="007034F1">
        <w:t xml:space="preserve">Box </w:t>
      </w:r>
      <w:r w:rsidR="007034F1">
        <w:rPr>
          <w:noProof/>
        </w:rPr>
        <w:t>8</w:t>
      </w:r>
      <w:r w:rsidR="00D50D44">
        <w:rPr>
          <w:color w:val="000000" w:themeColor="text1"/>
        </w:rPr>
        <w:fldChar w:fldCharType="end"/>
      </w:r>
      <w:r w:rsidR="009275AA" w:rsidRPr="004904D8">
        <w:rPr>
          <w:color w:val="000000" w:themeColor="text1"/>
        </w:rPr>
        <w:t>)</w:t>
      </w:r>
      <w:r w:rsidR="006A2867" w:rsidRPr="004904D8">
        <w:rPr>
          <w:color w:val="000000" w:themeColor="text1"/>
        </w:rPr>
        <w:t xml:space="preserve">. </w:t>
      </w:r>
    </w:p>
    <w:p w14:paraId="3911FAC1" w14:textId="0A3586DC" w:rsidR="006A2867" w:rsidRDefault="006A2867" w:rsidP="00C258BC">
      <w:pPr>
        <w:jc w:val="both"/>
        <w:rPr>
          <w:color w:val="000000" w:themeColor="text1"/>
        </w:rPr>
      </w:pPr>
      <w:r w:rsidRPr="004904D8">
        <w:rPr>
          <w:color w:val="000000" w:themeColor="text1"/>
        </w:rPr>
        <w:t>For chicken to be an e</w:t>
      </w:r>
      <w:r w:rsidRPr="005512D2">
        <w:rPr>
          <w:color w:val="000000" w:themeColor="text1"/>
        </w:rPr>
        <w:t xml:space="preserve">ffective substitute, consumers must also be willing to substitute wild meat with chicken. In Brazil, a simple decrease in the price of chicken did not result in a decrease in wild meat consumption. However, social marketing campaigns, which promoted recipes for chicken dishes, resulted in a 62% </w:t>
      </w:r>
      <w:r w:rsidR="00DB6C78" w:rsidRPr="003E3238">
        <w:rPr>
          <w:color w:val="000000" w:themeColor="text1"/>
        </w:rPr>
        <w:t>decrease</w:t>
      </w:r>
      <w:r w:rsidRPr="003E3238">
        <w:rPr>
          <w:color w:val="000000" w:themeColor="text1"/>
        </w:rPr>
        <w:t xml:space="preserve"> in wild meat consumption </w:t>
      </w:r>
      <w:r w:rsidR="006B1E6F">
        <w:rPr>
          <w:color w:val="000000" w:themeColor="text1"/>
        </w:rPr>
        <w:fldChar w:fldCharType="begin" w:fldLock="1"/>
      </w:r>
      <w:r w:rsidR="00305C43">
        <w:rPr>
          <w:color w:val="000000" w:themeColor="text1"/>
        </w:rPr>
        <w:instrText>ADDIN CSL_CITATION {"citationItems":[{"id":"ITEM-1","itemData":{"DOI":"10.1016/j.biocon.2017.06.013","ISSN":"00063207","abstract":"Wild meat is an important source of food and income for people across the tropics, but overhunting is driving species declines. Comprehension of the interrelated factors that influence wild meat consumption is needed to help address this important issue. A central hypothesis is that market access in the tropics drives consumption. We tested this hypothesis by comparing households with high (living in a town) and low (living in rural areas) market access in the central Amazon. When comparing households in rural communities only, we used travel frequency to town and boat traffic as proxies for market access. To determine interrelationships, we assessed other factors that may influence meat consumption, such as occupation, wealth, and number of people in households. As predicted, town residents consumed more domesticated meat and less wild meat than rural residents. Among rural communities, travel frequency was negatively, and boat traffic was positively, associated with wild meat consumption. Occupation was an important predictor of consumption, with farmers (occupation more common in rural areas) consuming more wild meat than people with other occupations. Number of people in the household was negatively associated with beef consumption. Wealth was associated with wild meat and beef consumption but its effect on consumption was negligible (effect size near zero). When comparing urban and rural residents, we detected a strong relationship between market access and wild meat consumption, but this was influenced by the diversity of livelihood options available to town versus rural residents. Among rural residents, we detected a relationship between market access and wild meat consumption, but this relationship depended on the nature of the market access (household travel frequency to town versus boat traffic at rural communities). Our findings suggest that greater access to market may lead to a decrease in wild meat consumption at the household level. Key factors we did not address, however, require further research in rural communities; namely whether reduced consumption leads to overall reduction in hunting or merely a shift from consumption to trade.","author":[{"dropping-particle":"","family":"Chaves","given":"Willandia A.","non-dropping-particle":"","parse-names":false,"suffix":""},{"dropping-particle":"","family":"Wilkie","given":"David S.","non-dropping-particle":"","parse-names":false,"suffix":""},{"dropping-particle":"","family":"Monroe","given":"Martha C.","non-dropping-particle":"","parse-names":false,"suffix":""},{"dropping-particle":"","family":"Sieving","given":"Kathryn E.","non-dropping-particle":"","parse-names":false,"suffix":""}],"container-title":"Biological Conservation","id":"ITEM-1","issue":"September 2016","issued":{"date-parts":[["2017"]]},"page":"240-248","publisher":"Elsevier","title":"Market access and wild meat consumption in the central Amazon, Brazil","type":"article-journal","volume":"212"},"uris":["http://www.mendeley.com/documents/?uuid=9d810650-03c6-4937-a837-917c1bddea12"]}],"mendeley":{"formattedCitation":"(Chaves et al. 2017)","plainTextFormattedCitation":"(Chaves et al. 2017)","previouslyFormattedCitation":"(Chaves et al. 2017)"},"properties":{"noteIndex":0},"schema":"https://github.com/citation-style-language/schema/raw/master/csl-citation.json"}</w:instrText>
      </w:r>
      <w:r w:rsidR="006B1E6F">
        <w:rPr>
          <w:color w:val="000000" w:themeColor="text1"/>
        </w:rPr>
        <w:fldChar w:fldCharType="separate"/>
      </w:r>
      <w:r w:rsidR="006B1E6F" w:rsidRPr="006B1E6F">
        <w:rPr>
          <w:noProof/>
          <w:color w:val="000000" w:themeColor="text1"/>
        </w:rPr>
        <w:t>(Chaves et al. 2017)</w:t>
      </w:r>
      <w:r w:rsidR="006B1E6F">
        <w:rPr>
          <w:color w:val="000000" w:themeColor="text1"/>
        </w:rPr>
        <w:fldChar w:fldCharType="end"/>
      </w:r>
      <w:r w:rsidRPr="003E3238">
        <w:rPr>
          <w:color w:val="000000" w:themeColor="text1"/>
        </w:rPr>
        <w:t>. Th</w:t>
      </w:r>
      <w:r w:rsidR="00F53A71">
        <w:rPr>
          <w:color w:val="000000" w:themeColor="text1"/>
        </w:rPr>
        <w:t>ese</w:t>
      </w:r>
      <w:r w:rsidRPr="003E3238">
        <w:rPr>
          <w:color w:val="000000" w:themeColor="text1"/>
        </w:rPr>
        <w:t xml:space="preserve"> example</w:t>
      </w:r>
      <w:r w:rsidR="00F53A71">
        <w:rPr>
          <w:color w:val="000000" w:themeColor="text1"/>
        </w:rPr>
        <w:t>s</w:t>
      </w:r>
      <w:r w:rsidRPr="003E3238">
        <w:rPr>
          <w:color w:val="000000" w:themeColor="text1"/>
        </w:rPr>
        <w:t xml:space="preserve"> </w:t>
      </w:r>
      <w:r w:rsidR="00A479D2" w:rsidRPr="003E3238">
        <w:rPr>
          <w:color w:val="000000" w:themeColor="text1"/>
        </w:rPr>
        <w:t>illustrate</w:t>
      </w:r>
      <w:r w:rsidRPr="003E3238">
        <w:rPr>
          <w:color w:val="000000" w:themeColor="text1"/>
        </w:rPr>
        <w:t xml:space="preserve"> how a proper understanding of the factors influencing wild and domestic meat </w:t>
      </w:r>
      <w:r w:rsidR="00F53A71">
        <w:rPr>
          <w:color w:val="000000" w:themeColor="text1"/>
        </w:rPr>
        <w:t xml:space="preserve">availability and </w:t>
      </w:r>
      <w:r w:rsidRPr="003E3238">
        <w:rPr>
          <w:color w:val="000000" w:themeColor="text1"/>
        </w:rPr>
        <w:t>consumptio</w:t>
      </w:r>
      <w:r w:rsidR="00F53A71">
        <w:rPr>
          <w:color w:val="000000" w:themeColor="text1"/>
        </w:rPr>
        <w:t xml:space="preserve">n </w:t>
      </w:r>
      <w:r w:rsidRPr="00EE2428">
        <w:rPr>
          <w:color w:val="000000" w:themeColor="text1"/>
        </w:rPr>
        <w:t xml:space="preserve">is crucial. </w:t>
      </w:r>
    </w:p>
    <w:p w14:paraId="17390C60" w14:textId="77777777" w:rsidR="00227B8E" w:rsidRDefault="00227B8E" w:rsidP="00C258BC">
      <w:pPr>
        <w:jc w:val="both"/>
        <w:rPr>
          <w:color w:val="000000" w:themeColor="text1"/>
        </w:rPr>
      </w:pPr>
    </w:p>
    <w:p w14:paraId="4C002A2F" w14:textId="1708FC4E" w:rsidR="00E259E2" w:rsidRDefault="00E259E2" w:rsidP="00C258BC">
      <w:pPr>
        <w:jc w:val="both"/>
        <w:rPr>
          <w:color w:val="000000" w:themeColor="text1"/>
        </w:rPr>
      </w:pPr>
    </w:p>
    <w:p w14:paraId="79B18A9F" w14:textId="1AD38CF8" w:rsidR="004F157B" w:rsidRDefault="004F157B" w:rsidP="00C258BC">
      <w:pPr>
        <w:jc w:val="both"/>
        <w:rPr>
          <w:color w:val="000000" w:themeColor="text1"/>
        </w:rPr>
      </w:pPr>
    </w:p>
    <w:p w14:paraId="7E1BB0ED" w14:textId="7866ED82" w:rsidR="004F157B" w:rsidRDefault="004F157B" w:rsidP="00C258BC">
      <w:pPr>
        <w:jc w:val="both"/>
        <w:rPr>
          <w:color w:val="000000" w:themeColor="text1"/>
        </w:rPr>
      </w:pPr>
    </w:p>
    <w:p w14:paraId="7287D087" w14:textId="4A8C9929" w:rsidR="004F157B" w:rsidRDefault="004F157B" w:rsidP="00C258BC">
      <w:pPr>
        <w:ind w:left="284"/>
        <w:jc w:val="both"/>
        <w:rPr>
          <w:color w:val="000000" w:themeColor="text1"/>
        </w:rPr>
      </w:pPr>
      <w:r>
        <w:rPr>
          <w:noProof/>
          <w:color w:val="000000" w:themeColor="text1"/>
          <w:lang w:val="en-US"/>
        </w:rPr>
        <w:lastRenderedPageBreak/>
        <w:drawing>
          <wp:inline distT="0" distB="0" distL="0" distR="0" wp14:anchorId="0281A299" wp14:editId="0F75DE39">
            <wp:extent cx="3933208" cy="3249930"/>
            <wp:effectExtent l="0" t="0" r="381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reenshot 2018-07-23 15.50.35.png"/>
                    <pic:cNvPicPr/>
                  </pic:nvPicPr>
                  <pic:blipFill>
                    <a:blip r:embed="rId132"/>
                    <a:stretch>
                      <a:fillRect/>
                    </a:stretch>
                  </pic:blipFill>
                  <pic:spPr>
                    <a:xfrm>
                      <a:off x="0" y="0"/>
                      <a:ext cx="3936716" cy="3252829"/>
                    </a:xfrm>
                    <a:prstGeom prst="rect">
                      <a:avLst/>
                    </a:prstGeom>
                  </pic:spPr>
                </pic:pic>
              </a:graphicData>
            </a:graphic>
          </wp:inline>
        </w:drawing>
      </w:r>
    </w:p>
    <w:p w14:paraId="0EDC8700" w14:textId="79639C11" w:rsidR="004F157B" w:rsidRPr="00305C43" w:rsidRDefault="004F157B" w:rsidP="00C258BC">
      <w:pPr>
        <w:pStyle w:val="Caption"/>
        <w:jc w:val="both"/>
        <w:rPr>
          <w:b w:val="0"/>
        </w:rPr>
      </w:pPr>
      <w:bookmarkStart w:id="274" w:name="_Ref520124521"/>
      <w:r>
        <w:t xml:space="preserve">Figure </w:t>
      </w:r>
      <w:r>
        <w:fldChar w:fldCharType="begin"/>
      </w:r>
      <w:r>
        <w:instrText xml:space="preserve"> SEQ Figure \* ARABIC </w:instrText>
      </w:r>
      <w:r>
        <w:fldChar w:fldCharType="separate"/>
      </w:r>
      <w:r w:rsidR="004873F0">
        <w:rPr>
          <w:noProof/>
        </w:rPr>
        <w:t>8</w:t>
      </w:r>
      <w:r>
        <w:fldChar w:fldCharType="end"/>
      </w:r>
      <w:bookmarkEnd w:id="274"/>
      <w:r>
        <w:rPr>
          <w:color w:val="000000" w:themeColor="text1"/>
        </w:rPr>
        <w:t xml:space="preserve">: Emmisions from beef and poultry production in the USA. </w:t>
      </w:r>
      <w:r>
        <w:t>Reproduced</w:t>
      </w:r>
      <w:r w:rsidRPr="00305C43">
        <w:t xml:space="preserve"> from </w:t>
      </w:r>
      <w:r w:rsidR="00305C43" w:rsidRPr="00305C43">
        <w:fldChar w:fldCharType="begin" w:fldLock="1"/>
      </w:r>
      <w:r w:rsidR="00566AAF">
        <w:instrText>ADDIN CSL_CITATION {"citationItems":[{"id":"ITEM-1","itemData":{"author":[{"dropping-particle":"","family":"Heinrich Böll Foundation","given":"","non-dropping-particle":"","parse-names":false,"suffix":""}],"id":"ITEM-1","issued":{"date-parts":[["2014"]]},"publisher-place":"Heinrich Böll Foundation, Berlin, Germany, and Friends of the Earth Europe, Brussels, Belgium","title":"Meat Atlas: Facts and Figures about the Animals We Aat","type":"report"},"uris":["http://www.mendeley.com/documents/?uuid=19006fc0-82df-46a0-bdfc-5b56660d247d"]}],"mendeley":{"formattedCitation":"(Heinrich Böll Foundation 2014)","manualFormatting":"Heinrich Böll Foundation 2014","plainTextFormattedCitation":"(Heinrich Böll Foundation 2014)","previouslyFormattedCitation":"(Heinrich Böll Foundation 2014)"},"properties":{"noteIndex":0},"schema":"https://github.com/citation-style-language/schema/raw/master/csl-citation.json"}</w:instrText>
      </w:r>
      <w:r w:rsidR="00305C43" w:rsidRPr="00305C43">
        <w:fldChar w:fldCharType="separate"/>
      </w:r>
      <w:r w:rsidR="00305C43" w:rsidRPr="00305C43">
        <w:rPr>
          <w:noProof/>
        </w:rPr>
        <w:t>Heinrich Böll Foundation 2014</w:t>
      </w:r>
      <w:r w:rsidR="00305C43" w:rsidRPr="00305C43">
        <w:fldChar w:fldCharType="end"/>
      </w:r>
    </w:p>
    <w:p w14:paraId="3D5F19E0" w14:textId="5F4BC8AD" w:rsidR="00E259E2" w:rsidRDefault="0003521E" w:rsidP="00C258BC">
      <w:pPr>
        <w:jc w:val="both"/>
        <w:rPr>
          <w:color w:val="000000" w:themeColor="text1"/>
        </w:rPr>
      </w:pPr>
      <w:r>
        <w:rPr>
          <w:noProof/>
          <w:color w:val="000000" w:themeColor="text1"/>
          <w:lang w:val="en-US"/>
        </w:rPr>
        <w:drawing>
          <wp:inline distT="0" distB="0" distL="0" distR="0" wp14:anchorId="533B728A" wp14:editId="68C7907C">
            <wp:extent cx="4619840" cy="3392805"/>
            <wp:effectExtent l="0" t="0" r="3175" b="0"/>
            <wp:docPr id="13" name="Picture 13" descr="../../../../Screenshots/Screenshot%202018-07-18%2018.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s/Screenshot%202018-07-18%2018.10.01.pn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643209" cy="3409967"/>
                    </a:xfrm>
                    <a:prstGeom prst="rect">
                      <a:avLst/>
                    </a:prstGeom>
                    <a:noFill/>
                    <a:ln>
                      <a:noFill/>
                    </a:ln>
                  </pic:spPr>
                </pic:pic>
              </a:graphicData>
            </a:graphic>
          </wp:inline>
        </w:drawing>
      </w:r>
    </w:p>
    <w:p w14:paraId="515DD80A" w14:textId="393AA596" w:rsidR="00305C43" w:rsidRPr="00305C43" w:rsidRDefault="00D85930" w:rsidP="00305C43">
      <w:pPr>
        <w:pStyle w:val="Caption"/>
        <w:jc w:val="both"/>
        <w:rPr>
          <w:b w:val="0"/>
        </w:rPr>
      </w:pPr>
      <w:bookmarkStart w:id="275" w:name="_Ref520124084"/>
      <w:r>
        <w:t xml:space="preserve">Figure </w:t>
      </w:r>
      <w:r>
        <w:fldChar w:fldCharType="begin"/>
      </w:r>
      <w:r>
        <w:instrText xml:space="preserve"> SEQ Figure \* ARABIC </w:instrText>
      </w:r>
      <w:r>
        <w:fldChar w:fldCharType="separate"/>
      </w:r>
      <w:r w:rsidR="004873F0">
        <w:rPr>
          <w:noProof/>
        </w:rPr>
        <w:t>9</w:t>
      </w:r>
      <w:r>
        <w:fldChar w:fldCharType="end"/>
      </w:r>
      <w:bookmarkEnd w:id="275"/>
      <w:r>
        <w:t xml:space="preserve">: Global meat production, trends and forecast, in million tonnes. </w:t>
      </w:r>
      <w:r w:rsidR="001871DA">
        <w:t>Reproduced from</w:t>
      </w:r>
      <w:r w:rsidR="001871DA" w:rsidRPr="00305C43">
        <w:t xml:space="preserve"> </w:t>
      </w:r>
      <w:r w:rsidR="00305C43" w:rsidRPr="00305C43">
        <w:fldChar w:fldCharType="begin" w:fldLock="1"/>
      </w:r>
      <w:r w:rsidR="00566AAF">
        <w:instrText>ADDIN CSL_CITATION {"citationItems":[{"id":"ITEM-1","itemData":{"author":[{"dropping-particle":"","family":"Heinrich Böll Foundation","given":"","non-dropping-particle":"","parse-names":false,"suffix":""}],"id":"ITEM-1","issued":{"date-parts":[["2014"]]},"publisher-place":"Heinrich Böll Foundation, Berlin, Germany, and Friends of the Earth Europe, Brussels, Belgium","title":"Meat Atlas: Facts and Figures about the Animals We Aat","type":"report"},"uris":["http://www.mendeley.com/documents/?uuid=19006fc0-82df-46a0-bdfc-5b56660d247d"]}],"mendeley":{"formattedCitation":"(Heinrich Böll Foundation 2014)","manualFormatting":"Heinrich Böll Foundation 2014","plainTextFormattedCitation":"(Heinrich Böll Foundation 2014)","previouslyFormattedCitation":"(Heinrich Böll Foundation 2014)"},"properties":{"noteIndex":0},"schema":"https://github.com/citation-style-language/schema/raw/master/csl-citation.json"}</w:instrText>
      </w:r>
      <w:r w:rsidR="00305C43" w:rsidRPr="00305C43">
        <w:fldChar w:fldCharType="separate"/>
      </w:r>
      <w:r w:rsidR="00305C43" w:rsidRPr="00305C43">
        <w:rPr>
          <w:noProof/>
        </w:rPr>
        <w:t>Heinrich Böll Foundation 2014</w:t>
      </w:r>
      <w:r w:rsidR="00305C43" w:rsidRPr="00305C43">
        <w:fldChar w:fldCharType="end"/>
      </w:r>
    </w:p>
    <w:p w14:paraId="6A6F13A2" w14:textId="686DA4F2" w:rsidR="00965460" w:rsidRPr="0070404D" w:rsidRDefault="00965460" w:rsidP="00C258BC">
      <w:pPr>
        <w:pStyle w:val="Caption"/>
        <w:jc w:val="both"/>
      </w:pPr>
    </w:p>
    <w:p w14:paraId="361864B8" w14:textId="77777777" w:rsidR="007078FA" w:rsidRDefault="007078FA" w:rsidP="00C258BC">
      <w:pPr>
        <w:jc w:val="both"/>
        <w:rPr>
          <w:color w:val="000000" w:themeColor="text1"/>
        </w:rPr>
      </w:pPr>
    </w:p>
    <w:p w14:paraId="1C5BD684" w14:textId="7CB4E346" w:rsidR="007078FA" w:rsidRDefault="007078FA" w:rsidP="007078FA">
      <w:r>
        <w:rPr>
          <w:color w:val="000000" w:themeColor="text1"/>
        </w:rPr>
        <w:lastRenderedPageBreak/>
        <w:t>References for Box 8:</w:t>
      </w:r>
      <w:r w:rsidR="006A2867" w:rsidRPr="006C56F2">
        <w:rPr>
          <w:noProof/>
          <w:color w:val="000000" w:themeColor="text1"/>
          <w:lang w:val="en-US"/>
        </w:rPr>
        <mc:AlternateContent>
          <mc:Choice Requires="wps">
            <w:drawing>
              <wp:anchor distT="0" distB="0" distL="114300" distR="114300" simplePos="0" relativeHeight="251642880" behindDoc="0" locked="0" layoutInCell="1" allowOverlap="1" wp14:anchorId="37E8FA42" wp14:editId="3F8F18DB">
                <wp:simplePos x="0" y="0"/>
                <wp:positionH relativeFrom="column">
                  <wp:posOffset>-113665</wp:posOffset>
                </wp:positionH>
                <wp:positionV relativeFrom="paragraph">
                  <wp:posOffset>0</wp:posOffset>
                </wp:positionV>
                <wp:extent cx="6146800" cy="4686300"/>
                <wp:effectExtent l="0" t="0" r="25400" b="38100"/>
                <wp:wrapSquare wrapText="bothSides"/>
                <wp:docPr id="4" name="Text Box 4"/>
                <wp:cNvGraphicFramePr/>
                <a:graphic xmlns:a="http://schemas.openxmlformats.org/drawingml/2006/main">
                  <a:graphicData uri="http://schemas.microsoft.com/office/word/2010/wordprocessingShape">
                    <wps:wsp>
                      <wps:cNvSpPr txBox="1"/>
                      <wps:spPr>
                        <a:xfrm>
                          <a:off x="0" y="0"/>
                          <a:ext cx="6146800" cy="4686300"/>
                        </a:xfrm>
                        <a:prstGeom prst="rect">
                          <a:avLst/>
                        </a:prstGeom>
                        <a:solidFill>
                          <a:schemeClr val="bg1">
                            <a:lumMod val="75000"/>
                          </a:schemeClr>
                        </a:solidFill>
                        <a:ln w="22225"/>
                      </wps:spPr>
                      <wps:style>
                        <a:lnRef idx="2">
                          <a:schemeClr val="dk1"/>
                        </a:lnRef>
                        <a:fillRef idx="1">
                          <a:schemeClr val="lt1"/>
                        </a:fillRef>
                        <a:effectRef idx="0">
                          <a:schemeClr val="dk1"/>
                        </a:effectRef>
                        <a:fontRef idx="minor">
                          <a:schemeClr val="dk1"/>
                        </a:fontRef>
                      </wps:style>
                      <wps:txbx>
                        <w:txbxContent>
                          <w:p w14:paraId="5DB4B0CA" w14:textId="4DA7D776" w:rsidR="00B82BFD" w:rsidRPr="00D50D44" w:rsidRDefault="00B82BFD" w:rsidP="00D50D44">
                            <w:pPr>
                              <w:pStyle w:val="Caption"/>
                            </w:pPr>
                            <w:bookmarkStart w:id="276" w:name="_Ref519874286"/>
                            <w:bookmarkStart w:id="277" w:name="_Hlk529278066"/>
                            <w:r>
                              <w:t xml:space="preserve">Box </w:t>
                            </w:r>
                            <w:r>
                              <w:fldChar w:fldCharType="begin"/>
                            </w:r>
                            <w:r>
                              <w:instrText xml:space="preserve"> SEQ Box \* ARABIC </w:instrText>
                            </w:r>
                            <w:r>
                              <w:fldChar w:fldCharType="separate"/>
                            </w:r>
                            <w:r>
                              <w:rPr>
                                <w:noProof/>
                              </w:rPr>
                              <w:t>8</w:t>
                            </w:r>
                            <w:r>
                              <w:fldChar w:fldCharType="end"/>
                            </w:r>
                            <w:bookmarkEnd w:id="276"/>
                            <w:r w:rsidRPr="006A2867">
                              <w:rPr>
                                <w:b w:val="0"/>
                              </w:rPr>
                              <w:t xml:space="preserve">: </w:t>
                            </w:r>
                            <w:r w:rsidRPr="00D50D44">
                              <w:t>Reducing disease prevelance in poultry</w:t>
                            </w:r>
                          </w:p>
                          <w:bookmarkEnd w:id="277"/>
                          <w:p w14:paraId="1B583670" w14:textId="54233FA0" w:rsidR="00B82BFD" w:rsidRPr="0084316B" w:rsidRDefault="00B82BFD" w:rsidP="006A2867">
                            <w:r w:rsidRPr="0088112B">
                              <w:t xml:space="preserve">Introducing new, more productive breeds of poultry holds promise as a source of nutrition and income for families, both of which will </w:t>
                            </w:r>
                            <w:r w:rsidRPr="0084316B">
                              <w:t xml:space="preserve">improve health and well-being. However, it is not sufficient, as families who try to raise backyard poultry can lose up to 80-95% of the birds to virulent strains of Newcastle disease (ND) every rainy season </w:t>
                            </w:r>
                            <w:r w:rsidRPr="0084316B">
                              <w:fldChar w:fldCharType="begin"/>
                            </w:r>
                            <w:r w:rsidRPr="0084316B">
                              <w:instrText xml:space="preserve"> ADDIN EN.CITE &lt;EndNote&gt;&lt;Cite&gt;&lt;Author&gt;Bagnol&lt;/Author&gt;&lt;Year&gt;2013&lt;/Year&gt;&lt;RecNum&gt;7819&lt;/RecNum&gt;&lt;DisplayText&gt;(Alders and Spradbrow 2001; Bagnol et al. 2013)&lt;/DisplayText&gt;&lt;record&gt;&lt;rec-number&gt;7819&lt;/rec-number&gt;&lt;foreign-keys&gt;&lt;key app="EN" db-id="99f9d2024rrsptevpzoptt05re9wrz9pw9pa" timestamp="1499721787"&gt;7819&lt;/key&gt;&lt;/foreign-keys&gt;&lt;ref-type name="Journal Article"&gt;17&lt;/ref-type&gt;&lt;contributors&gt;&lt;authors&gt;&lt;author&gt;Bagnol, B&lt;/author&gt;&lt;author&gt;Alders, RG&lt;/author&gt;&lt;author&gt;Costa, R&lt;/author&gt;&lt;author&gt;Lauchande, C&lt;/author&gt;&lt;author&gt;Monteiro, J&lt;/author&gt;&lt;author&gt;Msami, H&lt;/author&gt;&lt;author&gt;Mgomezulu, R&lt;/author&gt;&lt;author&gt;Zandamela, A&lt;/author&gt;&lt;author&gt;Young, M&lt;/author&gt;&lt;/authors&gt;&lt;/contributors&gt;&lt;titles&gt;&lt;title&gt;Contributing factors for successful vaccination campaigns against Newcastle disease&lt;/title&gt;&lt;secondary-title&gt;Development&lt;/secondary-title&gt;&lt;/titles&gt;&lt;periodical&gt;&lt;full-title&gt;Development&lt;/full-title&gt;&lt;/periodical&gt;&lt;pages&gt;6&lt;/pages&gt;&lt;volume&gt;25&lt;/volume&gt;&lt;dates&gt;&lt;year&gt;2013&lt;/year&gt;&lt;/dates&gt;&lt;urls&gt;&lt;/urls&gt;&lt;/record&gt;&lt;/Cite&gt;&lt;Cite&gt;&lt;Author&gt;Alders&lt;/Author&gt;&lt;Year&gt;2001&lt;/Year&gt;&lt;RecNum&gt;7816&lt;/RecNum&gt;&lt;record&gt;&lt;rec-number&gt;7816&lt;/rec-number&gt;&lt;foreign-keys&gt;&lt;key app="EN" db-id="99f9d2024rrsptevpzoptt05re9wrz9pw9pa" timestamp="1499721531"&gt;7816&lt;/key&gt;&lt;/foreign-keys&gt;&lt;ref-type name="Book"&gt;6&lt;/ref-type&gt;&lt;contributors&gt;&lt;authors&gt;&lt;author&gt;Alders, Robyn&lt;/author&gt;&lt;author&gt;Spradbrow, Peter&lt;/author&gt;&lt;/authors&gt;&lt;/contributors&gt;&lt;titles&gt;&lt;title&gt;Controlling Newcastle disease in village chickens: a field manual&lt;/title&gt;&lt;/titles&gt;&lt;dates&gt;&lt;year&gt;2001&lt;/year&gt;&lt;/dates&gt;&lt;publisher&gt;Australian Centre for International Agricultural Research (ACIAR)&lt;/publisher&gt;&lt;isbn&gt;1863203079&lt;/isbn&gt;&lt;urls&gt;&lt;/urls&gt;&lt;/record&gt;&lt;/Cite&gt;&lt;/EndNote&gt;</w:instrText>
                            </w:r>
                            <w:r w:rsidRPr="0084316B">
                              <w:fldChar w:fldCharType="separate"/>
                            </w:r>
                            <w:r w:rsidRPr="0084316B">
                              <w:rPr>
                                <w:noProof/>
                              </w:rPr>
                              <w:t>(Alders &amp; Spradbrow, 2001; Bagnol et al., 2013)</w:t>
                            </w:r>
                            <w:r w:rsidRPr="0084316B">
                              <w:fldChar w:fldCharType="end"/>
                            </w:r>
                            <w:r w:rsidRPr="0084316B">
                              <w:t xml:space="preserve">.  One of the major challenges in controlling ND in remote areas is the need to keep vaccines chilled within a narrow temperature range at all stages of transport, and the need for the vaccine to be injected. The Australian Centre for International Agricultural Research has recently developed freeze-dried, thermo-tolerant vaccines that retain their effectiveness for up to two months at temperatures of between 9 and 29°C, and for two weeks at temperatures of between 30 and 37°C </w:t>
                            </w:r>
                            <w:r w:rsidRPr="0084316B">
                              <w:fldChar w:fldCharType="begin"/>
                            </w:r>
                            <w:r w:rsidRPr="0084316B">
                              <w:instrText xml:space="preserve"> ADDIN EN.CITE &lt;EndNote&gt;&lt;Cite&gt;&lt;Author&gt;Spradbrow&lt;/Author&gt;&lt;Year&gt;2013&lt;/Year&gt;&lt;RecNum&gt;7622&lt;/RecNum&gt;&lt;DisplayText&gt;(Spradbrow 2013)&lt;/DisplayText&gt;&lt;record&gt;&lt;rec-number&gt;7622&lt;/rec-number&gt;&lt;foreign-keys&gt;&lt;key app="EN" db-id="99f9d2024rrsptevpzoptt05re9wrz9pw9pa" timestamp="0"&gt;7622&lt;/key&gt;&lt;/foreign-keys&gt;&lt;ref-type name="Conference Proceedings"&gt;10&lt;/ref-type&gt;&lt;contributors&gt;&lt;authors&gt;&lt;author&gt;Spradbrow, P. B.&lt;/author&gt;&lt;/authors&gt;&lt;/contributors&gt;&lt;titles&gt;&lt;title&gt;Thermostable Newcastle disease vaccines for use in village chickens&lt;/title&gt;&lt;secondary-title&gt;INFPDE-CONFERENCE&lt;/secondary-title&gt;&lt;/titles&gt;&lt;pages&gt;143&lt;/pages&gt;&lt;dates&gt;&lt;year&gt;2013&lt;/year&gt;&lt;/dates&gt;&lt;urls&gt;&lt;/urls&gt;&lt;/record&gt;&lt;/Cite&gt;&lt;/EndNote&gt;</w:instrText>
                            </w:r>
                            <w:r w:rsidRPr="0084316B">
                              <w:fldChar w:fldCharType="separate"/>
                            </w:r>
                            <w:r w:rsidRPr="0084316B">
                              <w:rPr>
                                <w:noProof/>
                              </w:rPr>
                              <w:t>(Mahmood et al., 2014)</w:t>
                            </w:r>
                            <w:r w:rsidRPr="0084316B">
                              <w:fldChar w:fldCharType="end"/>
                            </w:r>
                            <w:r w:rsidRPr="0084316B">
                              <w:t xml:space="preserve">. Both the ACIAR and the Kyeema Foundation have been exploring the use of these new vaccines that can cut mortality from Newcastle virus to less than 2% when delivered by eye drop or in drinking water every 3 months </w:t>
                            </w:r>
                            <w:r w:rsidRPr="0084316B">
                              <w:fldChar w:fldCharType="begin"/>
                            </w:r>
                            <w:r w:rsidRPr="0084316B">
                              <w:instrText xml:space="preserve"> ADDIN EN.CITE &lt;EndNote&gt;&lt;Cite&gt;&lt;Author&gt;Alders&lt;/Author&gt;&lt;Year&gt;2014&lt;/Year&gt;&lt;RecNum&gt;7820&lt;/RecNum&gt;&lt;DisplayText&gt;(Alders 2014)&lt;/DisplayText&gt;&lt;record&gt;&lt;rec-number&gt;7820&lt;/rec-number&gt;&lt;foreign-keys&gt;&lt;key app="EN" db-id="99f9d2024rrsptevpzoptt05re9wrz9pw9pa" timestamp="1499721843"&gt;7820&lt;/key&gt;&lt;/foreign-keys&gt;&lt;ref-type name="Journal Article"&gt;17&lt;/ref-type&gt;&lt;contributors&gt;&lt;authors&gt;&lt;author&gt;Alders, Robyn G&lt;/author&gt;&lt;/authors&gt;&lt;/contributors&gt;&lt;titles&gt;&lt;title&gt;Making Newcastle disease vaccines available at village level&lt;/title&gt;&lt;secondary-title&gt;Veterinary Record&lt;/secondary-title&gt;&lt;/titles&gt;&lt;periodical&gt;&lt;full-title&gt;Veterinary Record&lt;/full-title&gt;&lt;/periodical&gt;&lt;pages&gt;502-503&lt;/pages&gt;&lt;volume&gt;174&lt;/volume&gt;&lt;number&gt;20&lt;/number&gt;&lt;dates&gt;&lt;year&gt;2014&lt;/year&gt;&lt;/dates&gt;&lt;isbn&gt;0042-4900&lt;/isbn&gt;&lt;urls&gt;&lt;/urls&gt;&lt;/record&gt;&lt;/Cite&gt;&lt;/EndNote&gt;</w:instrText>
                            </w:r>
                            <w:r w:rsidRPr="0084316B">
                              <w:fldChar w:fldCharType="separate"/>
                            </w:r>
                            <w:r w:rsidRPr="0084316B">
                              <w:rPr>
                                <w:noProof/>
                              </w:rPr>
                              <w:t>(Alders, 2014)</w:t>
                            </w:r>
                            <w:r w:rsidRPr="0084316B">
                              <w:fldChar w:fldCharType="end"/>
                            </w:r>
                            <w:r w:rsidRPr="0084316B">
                              <w:t>.</w:t>
                            </w:r>
                          </w:p>
                          <w:p w14:paraId="222D25DB" w14:textId="1BFE3A49" w:rsidR="00B82BFD" w:rsidRDefault="00B82BFD" w:rsidP="006A2867">
                            <w:r w:rsidRPr="0084316B">
                              <w:t xml:space="preserve">Combining the use of tropical tolerant, low-input breeds with access to affordable and reliable supplies of a thermo-tolerant, easy-to-deliver vaccine for Newcastle disease has already been demonstrated to substantially increase backyard chicken production, women’s income, and the health of children </w:t>
                            </w:r>
                            <w:r w:rsidRPr="0084316B">
                              <w:fldChar w:fldCharType="begin"/>
                            </w:r>
                            <w:r w:rsidRPr="0084316B">
                              <w:instrText xml:space="preserve"> ADDIN EN.CITE &lt;EndNote&gt;&lt;Cite&gt;&lt;Author&gt;Alders&lt;/Author&gt;&lt;Year&gt;2014&lt;/Year&gt;&lt;RecNum&gt;7820&lt;/RecNum&gt;&lt;DisplayText&gt;(Bagnol et al. 2013; Alders 2014)&lt;/DisplayText&gt;&lt;record&gt;&lt;rec-number&gt;7820&lt;/rec-number&gt;&lt;foreign-keys&gt;&lt;key app="EN" db-id="99f9d2024rrsptevpzoptt05re9wrz9pw9pa" timestamp="1499721843"&gt;7820&lt;/key&gt;&lt;/foreign-keys&gt;&lt;ref-type name="Journal Article"&gt;17&lt;/ref-type&gt;&lt;contributors&gt;&lt;authors&gt;&lt;author&gt;Alders, Robyn G&lt;/author&gt;&lt;/authors&gt;&lt;/contributors&gt;&lt;titles&gt;&lt;title&gt;Making Newcastle disease vaccines available at village level&lt;/title&gt;&lt;secondary-title&gt;Veterinary Record&lt;/secondary-title&gt;&lt;/titles&gt;&lt;periodical&gt;&lt;full-title&gt;Veterinary Record&lt;/full-title&gt;&lt;/periodical&gt;&lt;pages&gt;502-503&lt;/pages&gt;&lt;volume&gt;174&lt;/volume&gt;&lt;number&gt;20&lt;/number&gt;&lt;dates&gt;&lt;year&gt;2014&lt;/year&gt;&lt;/dates&gt;&lt;isbn&gt;0042-4900&lt;/isbn&gt;&lt;urls&gt;&lt;/urls&gt;&lt;/record&gt;&lt;/Cite&gt;&lt;Cite&gt;&lt;Author&gt;Bagnol&lt;/Author&gt;&lt;Year&gt;2013&lt;/Year&gt;&lt;RecNum&gt;7819&lt;/RecNum&gt;&lt;record&gt;&lt;rec-number&gt;7819&lt;/rec-number&gt;&lt;foreign-keys&gt;&lt;key app="EN" db-id="99f9d2024rrsptevpzoptt05re9wrz9pw9pa" timestamp="1499721787"&gt;7819&lt;/key&gt;&lt;/foreign-keys&gt;&lt;ref-type name="Journal Article"&gt;17&lt;/ref-type&gt;&lt;contributors&gt;&lt;authors&gt;&lt;author&gt;Bagnol, B&lt;/author&gt;&lt;author&gt;Alders, RG&lt;/author&gt;&lt;author&gt;Costa, R&lt;/author&gt;&lt;author&gt;Lauchande, C&lt;/author&gt;&lt;author&gt;Monteiro, J&lt;/author&gt;&lt;author&gt;Msami, H&lt;/author&gt;&lt;author&gt;Mgomezulu, R&lt;/author&gt;&lt;author&gt;Zandamela, A&lt;/author&gt;&lt;author&gt;Young, M&lt;/author&gt;&lt;/authors&gt;&lt;/contributors&gt;&lt;titles&gt;&lt;title&gt;Contributing factors for successful vaccination campaigns against Newcastle disease&lt;/title&gt;&lt;secondary-title&gt;Development&lt;/secondary-title&gt;&lt;/titles&gt;&lt;periodical&gt;&lt;full-title&gt;Development&lt;/full-title&gt;&lt;/periodical&gt;&lt;pages&gt;6&lt;/pages&gt;&lt;volume&gt;25&lt;/volume&gt;&lt;dates&gt;&lt;year&gt;2013&lt;/year&gt;&lt;/dates&gt;&lt;urls&gt;&lt;/urls&gt;&lt;/record&gt;&lt;/Cite&gt;&lt;/EndNote&gt;</w:instrText>
                            </w:r>
                            <w:r w:rsidRPr="0084316B">
                              <w:fldChar w:fldCharType="separate"/>
                            </w:r>
                            <w:r w:rsidRPr="0084316B">
                              <w:rPr>
                                <w:noProof/>
                              </w:rPr>
                              <w:t>(Bagnol et al., 2013; Alders, 2014)</w:t>
                            </w:r>
                            <w:r w:rsidRPr="0084316B">
                              <w:fldChar w:fldCharType="end"/>
                            </w:r>
                            <w:r w:rsidRPr="0084316B">
                              <w:t>. Work supported by the Bill and Melinda Gates Foundation in Nigeria, Ethiopia and Tanzania has shown that backyard production of improved breeds of chicken protected from disease can rapidly scale up as more households see the economic and nutritional benefits from adopting this new approach to livestock production (Donald Nkrumah, pers. cons.).</w:t>
                            </w:r>
                            <w:r w:rsidRPr="0088112B">
                              <w:t xml:space="preserve"> </w:t>
                            </w:r>
                          </w:p>
                          <w:p w14:paraId="5B130871" w14:textId="77777777" w:rsidR="00B82BFD" w:rsidRDefault="00B82B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E8FA42" id="Text Box 4" o:spid="_x0000_s1033" type="#_x0000_t202" style="position:absolute;margin-left:-8.95pt;margin-top:0;width:484pt;height:369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" fillcolor="#bfbfbf [2412]" strokecolor="black [3200]" strokeweight="1.75pt">
                <v:textbox>
                  <w:txbxContent>
                    <w:p w14:paraId="5DB4B0CA" w14:textId="4DA7D776" w:rsidR="00B82BFD" w:rsidRPr="00D50D44" w:rsidRDefault="00B82BFD" w:rsidP="00D50D44">
                      <w:pPr>
                        <w:pStyle w:val="Caption"/>
                      </w:pPr>
                      <w:bookmarkStart w:id="278" w:name="_Ref519874286"/>
                      <w:bookmarkStart w:id="279" w:name="_Hlk529278066"/>
                      <w:r>
                        <w:t xml:space="preserve">Box </w:t>
                      </w:r>
                      <w:r>
                        <w:fldChar w:fldCharType="begin"/>
                      </w:r>
                      <w:r>
                        <w:instrText xml:space="preserve"> SEQ Box \* ARABIC </w:instrText>
                      </w:r>
                      <w:r>
                        <w:fldChar w:fldCharType="separate"/>
                      </w:r>
                      <w:r>
                        <w:rPr>
                          <w:noProof/>
                        </w:rPr>
                        <w:t>8</w:t>
                      </w:r>
                      <w:r>
                        <w:fldChar w:fldCharType="end"/>
                      </w:r>
                      <w:bookmarkEnd w:id="278"/>
                      <w:r w:rsidRPr="006A2867">
                        <w:rPr>
                          <w:b w:val="0"/>
                        </w:rPr>
                        <w:t xml:space="preserve">: </w:t>
                      </w:r>
                      <w:r w:rsidRPr="00D50D44">
                        <w:t>Reducing disease prevelance in poultry</w:t>
                      </w:r>
                    </w:p>
                    <w:bookmarkEnd w:id="279"/>
                    <w:p w14:paraId="1B583670" w14:textId="54233FA0" w:rsidR="00B82BFD" w:rsidRPr="0084316B" w:rsidRDefault="00B82BFD" w:rsidP="006A2867">
                      <w:r w:rsidRPr="0088112B">
                        <w:t xml:space="preserve">Introducing new, more productive breeds of poultry holds promise as a source of nutrition and income for families, both of which will </w:t>
                      </w:r>
                      <w:r w:rsidRPr="0084316B">
                        <w:t xml:space="preserve">improve health and well-being. However, it is not sufficient, as families who try to raise backyard poultry can lose up to 80-95% of the birds to virulent strains of Newcastle disease (ND) every rainy season </w:t>
                      </w:r>
                      <w:r w:rsidRPr="0084316B">
                        <w:fldChar w:fldCharType="begin"/>
                      </w:r>
                      <w:r w:rsidRPr="0084316B">
                        <w:instrText xml:space="preserve"> ADDIN EN.CITE &lt;EndNote&gt;&lt;Cite&gt;&lt;Author&gt;Bagnol&lt;/Author&gt;&lt;Year&gt;2013&lt;/Year&gt;&lt;RecNum&gt;7819&lt;/RecNum&gt;&lt;DisplayText&gt;(Alders and Spradbrow 2001; Bagnol et al. 2013)&lt;/DisplayText&gt;&lt;record&gt;&lt;rec-number&gt;7819&lt;/rec-number&gt;&lt;foreign-keys&gt;&lt;key app="EN" db-id="99f9d2024rrsptevpzoptt05re9wrz9pw9pa" timestamp="1499721787"&gt;7819&lt;/key&gt;&lt;/foreign-keys&gt;&lt;ref-type name="Journal Article"&gt;17&lt;/ref-type&gt;&lt;contributors&gt;&lt;authors&gt;&lt;author&gt;Bagnol, B&lt;/author&gt;&lt;author&gt;Alders, RG&lt;/author&gt;&lt;author&gt;Costa, R&lt;/author&gt;&lt;author&gt;Lauchande, C&lt;/author&gt;&lt;author&gt;Monteiro, J&lt;/author&gt;&lt;author&gt;Msami, H&lt;/author&gt;&lt;author&gt;Mgomezulu, R&lt;/author&gt;&lt;author&gt;Zandamela, A&lt;/author&gt;&lt;author&gt;Young, M&lt;/author&gt;&lt;/authors&gt;&lt;/contributors&gt;&lt;titles&gt;&lt;title&gt;Contributing factors for successful vaccination campaigns against Newcastle disease&lt;/title&gt;&lt;secondary-title&gt;Development&lt;/secondary-title&gt;&lt;/titles&gt;&lt;periodical&gt;&lt;full-title&gt;Development&lt;/full-title&gt;&lt;/periodical&gt;&lt;pages&gt;6&lt;/pages&gt;&lt;volume&gt;25&lt;/volume&gt;&lt;dates&gt;&lt;year&gt;2013&lt;/year&gt;&lt;/dates&gt;&lt;urls&gt;&lt;/urls&gt;&lt;/record&gt;&lt;/Cite&gt;&lt;Cite&gt;&lt;Author&gt;Alders&lt;/Author&gt;&lt;Year&gt;2001&lt;/Year&gt;&lt;RecNum&gt;7816&lt;/RecNum&gt;&lt;record&gt;&lt;rec-number&gt;7816&lt;/rec-number&gt;&lt;foreign-keys&gt;&lt;key app="EN" db-id="99f9d2024rrsptevpzoptt05re9wrz9pw9pa" timestamp="1499721531"&gt;7816&lt;/key&gt;&lt;/foreign-keys&gt;&lt;ref-type name="Book"&gt;6&lt;/ref-type&gt;&lt;contributors&gt;&lt;authors&gt;&lt;author&gt;Alders, Robyn&lt;/author&gt;&lt;author&gt;Spradbrow, Peter&lt;/author&gt;&lt;/authors&gt;&lt;/contributors&gt;&lt;titles&gt;&lt;title&gt;Controlling Newcastle disease in village chickens: a field manual&lt;/title&gt;&lt;/titles&gt;&lt;dates&gt;&lt;year&gt;2001&lt;/year&gt;&lt;/dates&gt;&lt;publisher&gt;Australian Centre for International Agricultural Research (ACIAR)&lt;/publisher&gt;&lt;isbn&gt;1863203079&lt;/isbn&gt;&lt;urls&gt;&lt;/urls&gt;&lt;/record&gt;&lt;/Cite&gt;&lt;/EndNote&gt;</w:instrText>
                      </w:r>
                      <w:r w:rsidRPr="0084316B">
                        <w:fldChar w:fldCharType="separate"/>
                      </w:r>
                      <w:r w:rsidRPr="0084316B">
                        <w:rPr>
                          <w:noProof/>
                        </w:rPr>
                        <w:t>(Alders &amp; Spradbrow, 2001; Bagnol et al., 2013)</w:t>
                      </w:r>
                      <w:r w:rsidRPr="0084316B">
                        <w:fldChar w:fldCharType="end"/>
                      </w:r>
                      <w:r w:rsidRPr="0084316B">
                        <w:t xml:space="preserve">.  One of the major challenges in controlling ND in remote areas is the need to keep vaccines chilled within a narrow temperature range at all stages of transport, and the need for the vaccine to be injected. The Australian Centre for International Agricultural Research has recently developed freeze-dried, thermo-tolerant vaccines that retain their effectiveness for up to two months at temperatures of between 9 and 29°C, and for two weeks at temperatures of between 30 and 37°C </w:t>
                      </w:r>
                      <w:r w:rsidRPr="0084316B">
                        <w:fldChar w:fldCharType="begin"/>
                      </w:r>
                      <w:r w:rsidRPr="0084316B">
                        <w:instrText xml:space="preserve"> ADDIN EN.CITE &lt;EndNote&gt;&lt;Cite&gt;&lt;Author&gt;Spradbrow&lt;/Author&gt;&lt;Year&gt;2013&lt;/Year&gt;&lt;RecNum&gt;7622&lt;/RecNum&gt;&lt;DisplayText&gt;(Spradbrow 2013)&lt;/DisplayText&gt;&lt;record&gt;&lt;rec-number&gt;7622&lt;/rec-number&gt;&lt;foreign-keys&gt;&lt;key app="EN" db-id="99f9d2024rrsptevpzoptt05re9wrz9pw9pa" timestamp="0"&gt;7622&lt;/key&gt;&lt;/foreign-keys&gt;&lt;ref-type name="Conference Proceedings"&gt;10&lt;/ref-type&gt;&lt;contributors&gt;&lt;authors&gt;&lt;author&gt;Spradbrow, P. B.&lt;/author&gt;&lt;/authors&gt;&lt;/contributors&gt;&lt;titles&gt;&lt;title&gt;Thermostable Newcastle disease vaccines for use in village chickens&lt;/title&gt;&lt;secondary-title&gt;INFPDE-CONFERENCE&lt;/secondary-title&gt;&lt;/titles&gt;&lt;pages&gt;143&lt;/pages&gt;&lt;dates&gt;&lt;year&gt;2013&lt;/year&gt;&lt;/dates&gt;&lt;urls&gt;&lt;/urls&gt;&lt;/record&gt;&lt;/Cite&gt;&lt;/EndNote&gt;</w:instrText>
                      </w:r>
                      <w:r w:rsidRPr="0084316B">
                        <w:fldChar w:fldCharType="separate"/>
                      </w:r>
                      <w:r w:rsidRPr="0084316B">
                        <w:rPr>
                          <w:noProof/>
                        </w:rPr>
                        <w:t>(Mahmood et al., 2014)</w:t>
                      </w:r>
                      <w:r w:rsidRPr="0084316B">
                        <w:fldChar w:fldCharType="end"/>
                      </w:r>
                      <w:r w:rsidRPr="0084316B">
                        <w:t xml:space="preserve">. Both the ACIAR and the Kyeema Foundation have been exploring the use of these new vaccines that can cut mortality from Newcastle virus to less than 2% when delivered by eye drop or in drinking water every 3 months </w:t>
                      </w:r>
                      <w:r w:rsidRPr="0084316B">
                        <w:fldChar w:fldCharType="begin"/>
                      </w:r>
                      <w:r w:rsidRPr="0084316B">
                        <w:instrText xml:space="preserve"> ADDIN EN.CITE &lt;EndNote&gt;&lt;Cite&gt;&lt;Author&gt;Alders&lt;/Author&gt;&lt;Year&gt;2014&lt;/Year&gt;&lt;RecNum&gt;7820&lt;/RecNum&gt;&lt;DisplayText&gt;(Alders 2014)&lt;/DisplayText&gt;&lt;record&gt;&lt;rec-number&gt;7820&lt;/rec-number&gt;&lt;foreign-keys&gt;&lt;key app="EN" db-id="99f9d2024rrsptevpzoptt05re9wrz9pw9pa" timestamp="1499721843"&gt;7820&lt;/key&gt;&lt;/foreign-keys&gt;&lt;ref-type name="Journal Article"&gt;17&lt;/ref-type&gt;&lt;contributors&gt;&lt;authors&gt;&lt;author&gt;Alders, Robyn G&lt;/author&gt;&lt;/authors&gt;&lt;/contributors&gt;&lt;titles&gt;&lt;title&gt;Making Newcastle disease vaccines available at village level&lt;/title&gt;&lt;secondary-title&gt;Veterinary Record&lt;/secondary-title&gt;&lt;/titles&gt;&lt;periodical&gt;&lt;full-title&gt;Veterinary Record&lt;/full-title&gt;&lt;/periodical&gt;&lt;pages&gt;502-503&lt;/pages&gt;&lt;volume&gt;174&lt;/volume&gt;&lt;number&gt;20&lt;/number&gt;&lt;dates&gt;&lt;year&gt;2014&lt;/year&gt;&lt;/dates&gt;&lt;isbn&gt;0042-4900&lt;/isbn&gt;&lt;urls&gt;&lt;/urls&gt;&lt;/record&gt;&lt;/Cite&gt;&lt;/EndNote&gt;</w:instrText>
                      </w:r>
                      <w:r w:rsidRPr="0084316B">
                        <w:fldChar w:fldCharType="separate"/>
                      </w:r>
                      <w:r w:rsidRPr="0084316B">
                        <w:rPr>
                          <w:noProof/>
                        </w:rPr>
                        <w:t>(Alders, 2014)</w:t>
                      </w:r>
                      <w:r w:rsidRPr="0084316B">
                        <w:fldChar w:fldCharType="end"/>
                      </w:r>
                      <w:r w:rsidRPr="0084316B">
                        <w:t>.</w:t>
                      </w:r>
                    </w:p>
                    <w:p w14:paraId="222D25DB" w14:textId="1BFE3A49" w:rsidR="00B82BFD" w:rsidRDefault="00B82BFD" w:rsidP="006A2867">
                      <w:r w:rsidRPr="0084316B">
                        <w:t xml:space="preserve">Combining the use of tropical tolerant, low-input breeds with access to affordable and reliable supplies of a thermo-tolerant, easy-to-deliver vaccine for Newcastle disease has already been demonstrated to substantially increase backyard chicken production, women’s income, and the health of children </w:t>
                      </w:r>
                      <w:r w:rsidRPr="0084316B">
                        <w:fldChar w:fldCharType="begin"/>
                      </w:r>
                      <w:r w:rsidRPr="0084316B">
                        <w:instrText xml:space="preserve"> ADDIN EN.CITE &lt;EndNote&gt;&lt;Cite&gt;&lt;Author&gt;Alders&lt;/Author&gt;&lt;Year&gt;2014&lt;/Year&gt;&lt;RecNum&gt;7820&lt;/RecNum&gt;&lt;DisplayText&gt;(Bagnol et al. 2013; Alders 2014)&lt;/DisplayText&gt;&lt;record&gt;&lt;rec-number&gt;7820&lt;/rec-number&gt;&lt;foreign-keys&gt;&lt;key app="EN" db-id="99f9d2024rrsptevpzoptt05re9wrz9pw9pa" timestamp="1499721843"&gt;7820&lt;/key&gt;&lt;/foreign-keys&gt;&lt;ref-type name="Journal Article"&gt;17&lt;/ref-type&gt;&lt;contributors&gt;&lt;authors&gt;&lt;author&gt;Alders, Robyn G&lt;/author&gt;&lt;/authors&gt;&lt;/contributors&gt;&lt;titles&gt;&lt;title&gt;Making Newcastle disease vaccines available at village level&lt;/title&gt;&lt;secondary-title&gt;Veterinary Record&lt;/secondary-title&gt;&lt;/titles&gt;&lt;periodical&gt;&lt;full-title&gt;Veterinary Record&lt;/full-title&gt;&lt;/periodical&gt;&lt;pages&gt;502-503&lt;/pages&gt;&lt;volume&gt;174&lt;/volume&gt;&lt;number&gt;20&lt;/number&gt;&lt;dates&gt;&lt;year&gt;2014&lt;/year&gt;&lt;/dates&gt;&lt;isbn&gt;0042-4900&lt;/isbn&gt;&lt;urls&gt;&lt;/urls&gt;&lt;/record&gt;&lt;/Cite&gt;&lt;Cite&gt;&lt;Author&gt;Bagnol&lt;/Author&gt;&lt;Year&gt;2013&lt;/Year&gt;&lt;RecNum&gt;7819&lt;/RecNum&gt;&lt;record&gt;&lt;rec-number&gt;7819&lt;/rec-number&gt;&lt;foreign-keys&gt;&lt;key app="EN" db-id="99f9d2024rrsptevpzoptt05re9wrz9pw9pa" timestamp="1499721787"&gt;7819&lt;/key&gt;&lt;/foreign-keys&gt;&lt;ref-type name="Journal Article"&gt;17&lt;/ref-type&gt;&lt;contributors&gt;&lt;authors&gt;&lt;author&gt;Bagnol, B&lt;/author&gt;&lt;author&gt;Alders, RG&lt;/author&gt;&lt;author&gt;Costa, R&lt;/author&gt;&lt;author&gt;Lauchande, C&lt;/author&gt;&lt;author&gt;Monteiro, J&lt;/author&gt;&lt;author&gt;Msami, H&lt;/author&gt;&lt;author&gt;Mgomezulu, R&lt;/author&gt;&lt;author&gt;Zandamela, A&lt;/author&gt;&lt;author&gt;Young, M&lt;/author&gt;&lt;/authors&gt;&lt;/contributors&gt;&lt;titles&gt;&lt;title&gt;Contributing factors for successful vaccination campaigns against Newcastle disease&lt;/title&gt;&lt;secondary-title&gt;Development&lt;/secondary-title&gt;&lt;/titles&gt;&lt;periodical&gt;&lt;full-title&gt;Development&lt;/full-title&gt;&lt;/periodical&gt;&lt;pages&gt;6&lt;/pages&gt;&lt;volume&gt;25&lt;/volume&gt;&lt;dates&gt;&lt;year&gt;2013&lt;/year&gt;&lt;/dates&gt;&lt;urls&gt;&lt;/urls&gt;&lt;/record&gt;&lt;/Cite&gt;&lt;/EndNote&gt;</w:instrText>
                      </w:r>
                      <w:r w:rsidRPr="0084316B">
                        <w:fldChar w:fldCharType="separate"/>
                      </w:r>
                      <w:r w:rsidRPr="0084316B">
                        <w:rPr>
                          <w:noProof/>
                        </w:rPr>
                        <w:t>(Bagnol et al., 2013; Alders, 2014)</w:t>
                      </w:r>
                      <w:r w:rsidRPr="0084316B">
                        <w:fldChar w:fldCharType="end"/>
                      </w:r>
                      <w:r w:rsidRPr="0084316B">
                        <w:t>. Work supported by the Bill and Melinda Gates Foundation in Nigeria, Ethiopia and Tanzania has shown that backyard production of improved breeds of chicken protected from disease can rapidly scale up as more households see the economic and nutritional benefits from adopting this new approach to livestock production (Donald Nkrumah, pers. cons.).</w:t>
                      </w:r>
                      <w:r w:rsidRPr="0088112B">
                        <w:t xml:space="preserve"> </w:t>
                      </w:r>
                    </w:p>
                    <w:p w14:paraId="5B130871" w14:textId="77777777" w:rsidR="00B82BFD" w:rsidRDefault="00B82BFD"/>
                  </w:txbxContent>
                </v:textbox>
                <w10:wrap type="square"/>
              </v:shape>
            </w:pict>
          </mc:Fallback>
        </mc:AlternateContent>
      </w:r>
      <w:r>
        <w:rPr>
          <w:color w:val="000000" w:themeColor="text1"/>
        </w:rPr>
        <w:t xml:space="preserve"> </w:t>
      </w:r>
      <w:r>
        <w:fldChar w:fldCharType="begin" w:fldLock="1"/>
      </w:r>
      <w:r w:rsidR="00B2630D">
        <w:instrText>ADDIN CSL_CITATION {"citationItems":[{"id":"ITEM-1","itemData":{"author":[{"dropping-particle":"","family":"Mahmood","given":"M.S.","non-dropping-particle":"","parse-names":false,"suffix":""},{"dropping-particle":"","family":"Siddique","given":"F.","non-dropping-particle":"","parse-names":false,"suffix":""},{"dropping-particle":"","family":"Hussain","given":"I.","non-dropping-particle":"","parse-names":false,"suffix":""},{"dropping-particle":"","family":"Ahmad","given":"S.I.","non-dropping-particle":"","parse-names":false,"suffix":""},{"dropping-particle":"","family":"Rafique","given":"A.","non-dropping-particle":"","parse-names":false,"suffix":""}],"container-title":"World's poultry science journal","id":"ITEM-1","issue":"04","issued":{"date-parts":[["2014"]]},"page":"829 - 838","title":"Thermostable vaccines for Newcastle disease: A review","type":"article-journal","volume":"70"},"uris":["http://www.mendeley.com/documents/?uuid=b9e85007-3d7e-46cb-a97d-85ed1691ef6f"]},{"id":"ITEM-2","itemData":{"author":[{"dropping-particle":"","family":"Alders","given":"R.G.","non-dropping-particle":"","parse-names":false,"suffix":""}],"container-title":"Veterinary Record","id":"ITEM-2","issue":"20","issued":{"date-parts":[["2014"]]},"title":"Making Newcastle disease vaccines available at village level","type":"article-journal","volume":"174"},"uris":["http://www.mendeley.com/documents/?uuid=5e767fb6-6257-4022-b317-b118644fc68f"]},{"id":"ITEM-3","itemData":{"author":[{"dropping-particle":"","family":"Bagnol","given":"B.","non-dropping-particle":"","parse-names":false,"suffix":""},{"dropping-particle":"","family":"Alders","given":"R.G.","non-dropping-particle":"","parse-names":false,"suffix":""},{"dropping-particle":"","family":"Costa","given":"R.","non-dropping-particle":"","parse-names":false,"suffix":""},{"dropping-particle":"","family":"Lauchande","given":"C.","non-dropping-particle":"","parse-names":false,"suffix":""},{"dropping-particle":"","family":"Monteiro","given":"J.","non-dropping-particle":"","parse-names":false,"suffix":""},{"dropping-particle":"","family":"Msami","given":"H.","non-dropping-particle":"","parse-names":false,"suffix":""},{"dropping-particle":"","family":"Mgomezulu","given":"R.","non-dropping-particle":"","parse-names":false,"suffix":""},{"dropping-particle":"","family":"Zandamela","given":"A.","non-dropping-particle":"","parse-names":false,"suffix":""},{"dropping-particle":"","family":"Young","given":"M.","non-dropping-particle":"","parse-names":false,"suffix":""}],"container-title":"Livestock Research for Rural Development","id":"ITEM-3","issue":"6","issued":{"date-parts":[["2013"]]},"page":"95","title":"Contributing factors for successful vaccination campaigns against Newcastle disease","type":"article-journal","volume":"25"},"uris":["http://www.mendeley.com/documents/?uuid=a4bd0750-b4e2-48f6-96f6-4bf505688d4d"]},{"id":"ITEM-4","itemData":{"author":[{"dropping-particle":"","family":"Alders","given":"R.","non-dropping-particle":"","parse-names":false,"suffix":""},{"dropping-particle":"","family":"Spradbrow","given":"P.B.","non-dropping-particle":"","parse-names":false,"suffix":""}],"id":"ITEM-4","issued":{"date-parts":[["2001"]]},"number-of-pages":"112","publisher-place":"Australian Centre for International Agricultural Research (ACIAR). Monograph No. 82, Lusaka, Zambia","title":"Controlling Newcastle disease in village chicken: a field manual","type":"report"},"uris":["http://www.mendeley.com/documents/?uuid=c2d20399-76b2-4168-9ab6-176248c38d4d"]}],"mendeley":{"formattedCitation":"(Alders &amp; Spradbrow 2001a; Bagnol et al. 2013b; Alders 2014; Mahmood et al. 2014)","plainTextFormattedCitation":"(Alders &amp; Spradbrow 2001a; Bagnol et al. 2013b; Alders 2014; Mahmood et al. 2014)","previouslyFormattedCitation":"(Alders &amp; Spradbrow 2001a; Bagnol et al. 2013b; Alders 2014; Mahmood et al. 2014)"},"properties":{"noteIndex":0},"schema":"https://github.com/citation-style-language/schema/raw/master/csl-citation.json"}</w:instrText>
      </w:r>
      <w:r>
        <w:fldChar w:fldCharType="separate"/>
      </w:r>
      <w:r w:rsidRPr="007078FA">
        <w:rPr>
          <w:noProof/>
        </w:rPr>
        <w:t>(Alders &amp; Spradbrow 2001a; Bagnol et al. 2013b; Alders 2014; Mahmood et al. 2014)</w:t>
      </w:r>
      <w:r>
        <w:fldChar w:fldCharType="end"/>
      </w:r>
    </w:p>
    <w:p w14:paraId="7372D89B" w14:textId="14B91B5F" w:rsidR="006A2867" w:rsidRPr="004904D8" w:rsidRDefault="006A2867" w:rsidP="00C258BC">
      <w:pPr>
        <w:jc w:val="both"/>
        <w:rPr>
          <w:color w:val="000000" w:themeColor="text1"/>
        </w:rPr>
      </w:pPr>
    </w:p>
    <w:p w14:paraId="263052D5" w14:textId="3D32D235" w:rsidR="004006D7" w:rsidRPr="00785A38" w:rsidRDefault="00D85930" w:rsidP="001C1D6E">
      <w:pPr>
        <w:pStyle w:val="Heading3"/>
      </w:pPr>
      <w:r w:rsidRPr="00785A38">
        <w:t xml:space="preserve">Wildlife farming </w:t>
      </w:r>
    </w:p>
    <w:p w14:paraId="72B0A77B" w14:textId="5D0FAEA3" w:rsidR="00B37141" w:rsidRPr="00BC1092" w:rsidRDefault="00A158F0" w:rsidP="00C258BC">
      <w:pPr>
        <w:spacing w:after="0"/>
        <w:jc w:val="both"/>
        <w:rPr>
          <w:color w:val="000000" w:themeColor="text1"/>
        </w:rPr>
      </w:pPr>
      <w:r w:rsidRPr="00785A38">
        <w:rPr>
          <w:color w:val="000000" w:themeColor="text1"/>
        </w:rPr>
        <w:t xml:space="preserve">The </w:t>
      </w:r>
      <w:r w:rsidR="00FF2529" w:rsidRPr="00785A38">
        <w:rPr>
          <w:color w:val="000000" w:themeColor="text1"/>
        </w:rPr>
        <w:t>captive</w:t>
      </w:r>
      <w:r w:rsidRPr="00785A38">
        <w:rPr>
          <w:color w:val="000000" w:themeColor="text1"/>
        </w:rPr>
        <w:t xml:space="preserve"> r</w:t>
      </w:r>
      <w:r w:rsidR="001C28E5" w:rsidRPr="00785A38">
        <w:rPr>
          <w:color w:val="000000" w:themeColor="text1"/>
        </w:rPr>
        <w:t>earing of preferred</w:t>
      </w:r>
      <w:r w:rsidR="0086793B" w:rsidRPr="00785A38">
        <w:rPr>
          <w:color w:val="000000" w:themeColor="text1"/>
        </w:rPr>
        <w:t>, highly-traded</w:t>
      </w:r>
      <w:r w:rsidR="001C28E5" w:rsidRPr="00785A38">
        <w:rPr>
          <w:color w:val="000000" w:themeColor="text1"/>
        </w:rPr>
        <w:t xml:space="preserve"> </w:t>
      </w:r>
      <w:r w:rsidR="001C28E5" w:rsidRPr="00BC1092">
        <w:rPr>
          <w:color w:val="000000" w:themeColor="text1"/>
        </w:rPr>
        <w:t>wild meat species</w:t>
      </w:r>
      <w:r w:rsidRPr="00BC1092">
        <w:rPr>
          <w:color w:val="000000" w:themeColor="text1"/>
        </w:rPr>
        <w:t xml:space="preserve">, generally known as </w:t>
      </w:r>
      <w:r w:rsidR="0006017D" w:rsidRPr="00BC1092">
        <w:rPr>
          <w:color w:val="000000" w:themeColor="text1"/>
        </w:rPr>
        <w:t>wildlife farming, has been proposed as a way of meeting the rural and urban demand for wild-sourced animals. Commonly reared wild meat species include cane rats (</w:t>
      </w:r>
      <w:r w:rsidR="0006017D" w:rsidRPr="00BC1092">
        <w:rPr>
          <w:i/>
          <w:color w:val="000000" w:themeColor="text1"/>
        </w:rPr>
        <w:t xml:space="preserve">Thryonomys </w:t>
      </w:r>
      <w:r w:rsidR="0006017D" w:rsidRPr="00D6314A">
        <w:rPr>
          <w:color w:val="000000" w:themeColor="text1"/>
        </w:rPr>
        <w:t>sp</w:t>
      </w:r>
      <w:r w:rsidR="00D6314A" w:rsidRPr="00D6314A">
        <w:rPr>
          <w:color w:val="000000" w:themeColor="text1"/>
        </w:rPr>
        <w:t>p</w:t>
      </w:r>
      <w:r w:rsidR="0006017D" w:rsidRPr="00BC1092">
        <w:rPr>
          <w:i/>
          <w:color w:val="000000" w:themeColor="text1"/>
        </w:rPr>
        <w:t>.</w:t>
      </w:r>
      <w:r w:rsidR="0006017D" w:rsidRPr="00BC1092">
        <w:rPr>
          <w:color w:val="000000" w:themeColor="text1"/>
        </w:rPr>
        <w:t>) in sub-Saharan Africa; capybara (</w:t>
      </w:r>
      <w:r w:rsidR="0006017D" w:rsidRPr="00BC1092">
        <w:rPr>
          <w:i/>
          <w:color w:val="000000" w:themeColor="text1"/>
        </w:rPr>
        <w:t>Hydrochaerus hydrochaeris</w:t>
      </w:r>
      <w:r w:rsidR="0006017D" w:rsidRPr="00BC1092">
        <w:rPr>
          <w:color w:val="000000" w:themeColor="text1"/>
        </w:rPr>
        <w:t>), collared peccary (</w:t>
      </w:r>
      <w:r w:rsidR="0006017D" w:rsidRPr="00BC1092">
        <w:rPr>
          <w:i/>
          <w:color w:val="000000" w:themeColor="text1"/>
        </w:rPr>
        <w:t>Pecari tajacu</w:t>
      </w:r>
      <w:r w:rsidR="00D35CBB" w:rsidRPr="00BC1092">
        <w:rPr>
          <w:color w:val="000000" w:themeColor="text1"/>
        </w:rPr>
        <w:t>), white lipped peccary</w:t>
      </w:r>
      <w:r w:rsidR="0006017D" w:rsidRPr="00BC1092">
        <w:rPr>
          <w:color w:val="000000" w:themeColor="text1"/>
        </w:rPr>
        <w:t>, agouti</w:t>
      </w:r>
      <w:r w:rsidR="00172BE0">
        <w:rPr>
          <w:color w:val="000000" w:themeColor="text1"/>
        </w:rPr>
        <w:t>s</w:t>
      </w:r>
      <w:r w:rsidR="0006017D" w:rsidRPr="00BC1092">
        <w:rPr>
          <w:color w:val="000000" w:themeColor="text1"/>
        </w:rPr>
        <w:t xml:space="preserve"> (</w:t>
      </w:r>
      <w:r w:rsidR="0006017D" w:rsidRPr="00BC1092">
        <w:rPr>
          <w:i/>
          <w:color w:val="000000" w:themeColor="text1"/>
        </w:rPr>
        <w:t>Dasyprocta</w:t>
      </w:r>
      <w:r w:rsidR="0006017D" w:rsidRPr="00BC1092">
        <w:rPr>
          <w:color w:val="000000" w:themeColor="text1"/>
        </w:rPr>
        <w:t xml:space="preserve"> spp.) and paca</w:t>
      </w:r>
      <w:r w:rsidR="00D35CBB" w:rsidRPr="00BC1092">
        <w:rPr>
          <w:color w:val="000000" w:themeColor="text1"/>
        </w:rPr>
        <w:t xml:space="preserve"> </w:t>
      </w:r>
      <w:r w:rsidR="0006017D" w:rsidRPr="00BC1092">
        <w:rPr>
          <w:color w:val="000000" w:themeColor="text1"/>
        </w:rPr>
        <w:t>in South America; and porcupines (</w:t>
      </w:r>
      <w:r w:rsidR="0006017D" w:rsidRPr="00BC1092">
        <w:rPr>
          <w:i/>
          <w:color w:val="000000" w:themeColor="text1"/>
        </w:rPr>
        <w:t>Hystrix brachyura</w:t>
      </w:r>
      <w:r w:rsidR="0006017D" w:rsidRPr="00BC1092">
        <w:rPr>
          <w:color w:val="000000" w:themeColor="text1"/>
        </w:rPr>
        <w:t>) in SE Asia.</w:t>
      </w:r>
    </w:p>
    <w:p w14:paraId="1C8D484B" w14:textId="1ACB635A" w:rsidR="0067439B" w:rsidRPr="0070404D" w:rsidRDefault="00641A4E" w:rsidP="00C258BC">
      <w:pPr>
        <w:pStyle w:val="NormalWeb"/>
        <w:jc w:val="both"/>
        <w:rPr>
          <w:color w:val="000000" w:themeColor="text1"/>
        </w:rPr>
      </w:pPr>
      <w:r>
        <w:rPr>
          <w:color w:val="000000" w:themeColor="text1"/>
        </w:rPr>
        <w:t>In C</w:t>
      </w:r>
      <w:r w:rsidR="00351574" w:rsidRPr="00BC1092">
        <w:rPr>
          <w:color w:val="000000" w:themeColor="text1"/>
        </w:rPr>
        <w:t>entral Africa, w</w:t>
      </w:r>
      <w:r w:rsidR="00F810A2" w:rsidRPr="00BC1092">
        <w:rPr>
          <w:color w:val="000000" w:themeColor="text1"/>
        </w:rPr>
        <w:t>hile wildlife farming has been discussed</w:t>
      </w:r>
      <w:r w:rsidR="00351574" w:rsidRPr="00BC1092">
        <w:rPr>
          <w:color w:val="000000" w:themeColor="text1"/>
        </w:rPr>
        <w:t xml:space="preserve"> </w:t>
      </w:r>
      <w:r w:rsidR="00B00B2F" w:rsidRPr="00BC1092">
        <w:rPr>
          <w:color w:val="000000" w:themeColor="text1"/>
        </w:rPr>
        <w:t>by academics</w:t>
      </w:r>
      <w:r w:rsidR="00B00B2F" w:rsidRPr="003E3238">
        <w:rPr>
          <w:color w:val="000000" w:themeColor="text1"/>
        </w:rPr>
        <w:t xml:space="preserve"> and donor agencies </w:t>
      </w:r>
      <w:r w:rsidR="00351574" w:rsidRPr="00EE2428">
        <w:rPr>
          <w:color w:val="000000" w:themeColor="text1"/>
        </w:rPr>
        <w:t xml:space="preserve">for decades </w:t>
      </w:r>
      <w:r w:rsidR="00045DC5" w:rsidRPr="00EE2428">
        <w:rPr>
          <w:color w:val="000000" w:themeColor="text1"/>
        </w:rPr>
        <w:t>as a p</w:t>
      </w:r>
      <w:r w:rsidR="00F810A2" w:rsidRPr="0064175F">
        <w:rPr>
          <w:color w:val="000000" w:themeColor="text1"/>
        </w:rPr>
        <w:t>otential strategy</w:t>
      </w:r>
      <w:r w:rsidR="00F4531A" w:rsidRPr="0070404D">
        <w:rPr>
          <w:color w:val="000000" w:themeColor="text1"/>
        </w:rPr>
        <w:t xml:space="preserve"> to reduce hunting pressure</w:t>
      </w:r>
      <w:r w:rsidR="00351574" w:rsidRPr="0070404D">
        <w:rPr>
          <w:color w:val="000000" w:themeColor="text1"/>
        </w:rPr>
        <w:t xml:space="preserve"> </w:t>
      </w:r>
      <w:r w:rsidR="00924988" w:rsidRPr="0070404D">
        <w:rPr>
          <w:color w:val="000000" w:themeColor="text1"/>
        </w:rPr>
        <w:t>(e.g.</w:t>
      </w:r>
      <w:r w:rsidR="00981EAE" w:rsidRPr="0070404D">
        <w:rPr>
          <w:color w:val="000000" w:themeColor="text1"/>
        </w:rPr>
        <w:t xml:space="preserve"> </w:t>
      </w:r>
      <w:r w:rsidR="00305C43">
        <w:rPr>
          <w:color w:val="000000" w:themeColor="text1"/>
        </w:rPr>
        <w:fldChar w:fldCharType="begin" w:fldLock="1"/>
      </w:r>
      <w:r w:rsidR="00305C43">
        <w:rPr>
          <w:color w:val="000000" w:themeColor="text1"/>
        </w:rPr>
        <w:instrText>ADDIN CSL_CITATION {"citationItems":[{"id":"ITEM-1","itemData":{"author":[{"dropping-particle":"","family":"Ntiamoa-Baidu","given":"Y","non-dropping-particle":"","parse-names":false,"suffix":""}],"id":"ITEM-1","issued":{"date-parts":[["1997"]]},"publisher-place":"Food and Agriculture Organization of the United Nations, Rome, Italy","title":"Wildlife and food security in Africa. FAO Conservation Guide 33.","type":"report"},"uris":["http://www.mendeley.com/documents/?uuid=d2366b1b-4470-49cc-b158-637aaa38f4a5"]},{"id":"ITEM-2","itemData":{"author":[{"dropping-particle":"","family":"Jori","given":"F","non-dropping-particle":"","parse-names":false,"suffix":""},{"dropping-particle":"","family":"Edderai","given":"D","non-dropping-particle":"","parse-names":false,"suffix":""},{"dropping-particle":"","family":"Houden","given":"P","non-dropping-particle":"","parse-names":false,"suffix":""}],"id":"ITEM-2","issued":{"date-parts":[["2005"]]},"publisher-place":"Programme ECONAP, CIRAD EMVT Campus International de Baillarguet, Montpellier 34398, Cedex 5, France","title":"The potential of rodents for minilivestock in Africa","type":"report"},"uris":["http://www.mendeley.com/documents/?uuid=e0c672d8-847c-4937-a416-ada4c3300d7a"]}],"mendeley":{"formattedCitation":"(Ntiamoa-Baidu 1997; Jori et al. 2005)","manualFormatting":"Ntiamoa-Baidu 1997; Jori et al. 2005)","plainTextFormattedCitation":"(Ntiamoa-Baidu 1997; Jori et al. 2005)","previouslyFormattedCitation":"(Ntiamoa-Baidu 1997; Jori et al. 2005)"},"properties":{"noteIndex":0},"schema":"https://github.com/citation-style-language/schema/raw/master/csl-citation.json"}</w:instrText>
      </w:r>
      <w:r w:rsidR="00305C43">
        <w:rPr>
          <w:color w:val="000000" w:themeColor="text1"/>
        </w:rPr>
        <w:fldChar w:fldCharType="separate"/>
      </w:r>
      <w:r w:rsidR="00305C43" w:rsidRPr="00305C43">
        <w:rPr>
          <w:noProof/>
          <w:color w:val="000000" w:themeColor="text1"/>
        </w:rPr>
        <w:t>Ntiamoa-Baidu 1997; Jori et al. 2005)</w:t>
      </w:r>
      <w:r w:rsidR="00305C43">
        <w:rPr>
          <w:color w:val="000000" w:themeColor="text1"/>
        </w:rPr>
        <w:fldChar w:fldCharType="end"/>
      </w:r>
      <w:r w:rsidR="0084316B">
        <w:rPr>
          <w:color w:val="000000" w:themeColor="text1"/>
        </w:rPr>
        <w:t>,</w:t>
      </w:r>
      <w:r w:rsidR="00B00B2F" w:rsidRPr="004904D8">
        <w:rPr>
          <w:bCs/>
          <w:color w:val="000000" w:themeColor="text1"/>
        </w:rPr>
        <w:t xml:space="preserve"> </w:t>
      </w:r>
      <w:r w:rsidR="00F810A2" w:rsidRPr="004904D8">
        <w:rPr>
          <w:color w:val="000000" w:themeColor="text1"/>
        </w:rPr>
        <w:t xml:space="preserve">it is </w:t>
      </w:r>
      <w:r w:rsidR="006B5CD5" w:rsidRPr="004904D8">
        <w:rPr>
          <w:color w:val="000000" w:themeColor="text1"/>
        </w:rPr>
        <w:t xml:space="preserve">still </w:t>
      </w:r>
      <w:r w:rsidR="00F810A2" w:rsidRPr="004904D8">
        <w:rPr>
          <w:color w:val="000000" w:themeColor="text1"/>
        </w:rPr>
        <w:t>not in widespread use</w:t>
      </w:r>
      <w:r w:rsidR="00B00B2F" w:rsidRPr="005512D2">
        <w:rPr>
          <w:color w:val="000000" w:themeColor="text1"/>
        </w:rPr>
        <w:t xml:space="preserve"> </w:t>
      </w:r>
      <w:r w:rsidR="00FF2529" w:rsidRPr="005512D2">
        <w:rPr>
          <w:color w:val="000000" w:themeColor="text1"/>
        </w:rPr>
        <w:t xml:space="preserve">(see </w:t>
      </w:r>
      <w:r w:rsidR="00D50D44">
        <w:rPr>
          <w:color w:val="000000" w:themeColor="text1"/>
        </w:rPr>
        <w:fldChar w:fldCharType="begin"/>
      </w:r>
      <w:r w:rsidR="00D50D44">
        <w:rPr>
          <w:color w:val="000000" w:themeColor="text1"/>
        </w:rPr>
        <w:instrText xml:space="preserve"> REF _Ref519874444 \h </w:instrText>
      </w:r>
      <w:r w:rsidR="00D50D44">
        <w:rPr>
          <w:color w:val="000000" w:themeColor="text1"/>
        </w:rPr>
      </w:r>
      <w:r w:rsidR="00D50D44">
        <w:rPr>
          <w:color w:val="000000" w:themeColor="text1"/>
        </w:rPr>
        <w:fldChar w:fldCharType="separate"/>
      </w:r>
      <w:r w:rsidR="007034F1">
        <w:t xml:space="preserve">Box </w:t>
      </w:r>
      <w:r w:rsidR="007034F1">
        <w:rPr>
          <w:noProof/>
        </w:rPr>
        <w:t>9</w:t>
      </w:r>
      <w:r w:rsidR="00D50D44">
        <w:rPr>
          <w:color w:val="000000" w:themeColor="text1"/>
        </w:rPr>
        <w:fldChar w:fldCharType="end"/>
      </w:r>
      <w:r w:rsidR="00D50D44">
        <w:rPr>
          <w:color w:val="000000" w:themeColor="text1"/>
        </w:rPr>
        <w:t xml:space="preserve"> </w:t>
      </w:r>
      <w:r w:rsidR="00FF2529" w:rsidRPr="005512D2">
        <w:rPr>
          <w:color w:val="000000" w:themeColor="text1"/>
        </w:rPr>
        <w:t xml:space="preserve">for an example of </w:t>
      </w:r>
      <w:r w:rsidR="00D85930" w:rsidRPr="005512D2">
        <w:rPr>
          <w:color w:val="000000" w:themeColor="text1"/>
        </w:rPr>
        <w:t>a cane</w:t>
      </w:r>
      <w:r w:rsidR="00FF2529" w:rsidRPr="005512D2">
        <w:rPr>
          <w:color w:val="000000" w:themeColor="text1"/>
        </w:rPr>
        <w:t xml:space="preserve"> rat farming project</w:t>
      </w:r>
      <w:r w:rsidR="00981EAE" w:rsidRPr="003E3238">
        <w:rPr>
          <w:color w:val="000000" w:themeColor="text1"/>
        </w:rPr>
        <w:t xml:space="preserve"> in Gabon</w:t>
      </w:r>
      <w:r w:rsidR="00FF2529" w:rsidRPr="003E3238">
        <w:rPr>
          <w:color w:val="000000" w:themeColor="text1"/>
        </w:rPr>
        <w:t>)</w:t>
      </w:r>
      <w:r w:rsidR="00F25546" w:rsidRPr="00EE2428">
        <w:rPr>
          <w:color w:val="000000" w:themeColor="text1"/>
        </w:rPr>
        <w:t xml:space="preserve">. </w:t>
      </w:r>
      <w:r w:rsidR="006B5CD5" w:rsidRPr="00EE2428">
        <w:rPr>
          <w:color w:val="000000" w:themeColor="text1"/>
        </w:rPr>
        <w:t>However, c</w:t>
      </w:r>
      <w:r w:rsidR="00F25546" w:rsidRPr="0064175F">
        <w:rPr>
          <w:color w:val="000000" w:themeColor="text1"/>
        </w:rPr>
        <w:t xml:space="preserve">ane rat farming </w:t>
      </w:r>
      <w:r w:rsidR="00103559" w:rsidRPr="0070404D">
        <w:rPr>
          <w:color w:val="000000" w:themeColor="text1"/>
        </w:rPr>
        <w:t xml:space="preserve">seems to be </w:t>
      </w:r>
      <w:r w:rsidR="00772895" w:rsidRPr="0070404D">
        <w:rPr>
          <w:color w:val="000000" w:themeColor="text1"/>
        </w:rPr>
        <w:t>becoming</w:t>
      </w:r>
      <w:r w:rsidR="00F25546" w:rsidRPr="0070404D">
        <w:rPr>
          <w:color w:val="000000" w:themeColor="text1"/>
        </w:rPr>
        <w:t xml:space="preserve"> </w:t>
      </w:r>
      <w:r w:rsidR="00B00B2F" w:rsidRPr="0070404D">
        <w:rPr>
          <w:color w:val="000000" w:themeColor="text1"/>
        </w:rPr>
        <w:t xml:space="preserve">more </w:t>
      </w:r>
      <w:r w:rsidR="00F25546" w:rsidRPr="0070404D">
        <w:rPr>
          <w:color w:val="000000" w:themeColor="text1"/>
        </w:rPr>
        <w:t xml:space="preserve">popular in </w:t>
      </w:r>
      <w:r w:rsidR="00C850CB" w:rsidRPr="0070404D">
        <w:rPr>
          <w:color w:val="000000" w:themeColor="text1"/>
        </w:rPr>
        <w:t xml:space="preserve">West Africa, especially in </w:t>
      </w:r>
      <w:r w:rsidR="00F25546" w:rsidRPr="0070404D">
        <w:rPr>
          <w:color w:val="000000" w:themeColor="text1"/>
        </w:rPr>
        <w:t>Ghana and Nigeria</w:t>
      </w:r>
      <w:r w:rsidR="008842B7" w:rsidRPr="0070404D">
        <w:rPr>
          <w:color w:val="000000" w:themeColor="text1"/>
        </w:rPr>
        <w:t xml:space="preserve"> </w:t>
      </w:r>
      <w:r w:rsidR="00305C43">
        <w:rPr>
          <w:color w:val="000000" w:themeColor="text1"/>
        </w:rPr>
        <w:fldChar w:fldCharType="begin" w:fldLock="1"/>
      </w:r>
      <w:r w:rsidR="00305C43">
        <w:rPr>
          <w:color w:val="000000" w:themeColor="text1"/>
        </w:rPr>
        <w:instrText>ADDIN CSL_CITATION {"citationItems":[{"id":"ITEM-1","itemData":{"DOI":"10.9734/AJEA/2015/14194","ISSN":"22310606","abstract":"This review brings together and consolidates the various research that had been undertaken in grass-cutter with the aim of providing adequate information that will be capable of improving and sustaining the production of the animal as well as its consumption in West Africa. Given the above scenario, this paper reviewed the results obtained by different researchers on feeding and nutritional requirement of the grasscutter, housing, performance, anatomy and morphology, some environmental issues, the challenges and the role of grasscutter in disease transmission. It was clear from this study that grasscutter is widely acceptable, utilizes inexpensive feed to produce good meat of high biological value, survives in simple housing apartments when confined, has good litter size and short generation interval, has simple anatomical dispositions which helps in breeding and they are capable of adapting to intensive rearing environments. However, some challenges of the grasscutter production include irregular supply of breeding stock, environmental issues, poor processing and marketing plan, lack of balanced diet, poor producer training and education, inadequate infrastructural development, poor information dissemination, incidences of diseases and mortality. With good understanding of the prospects and positive utilization of the challenges, there will be great improvement and sustainability in the production of the animal, such that more jobs will be created, more income generated and protein intake in the sub-region will be increased. This overview therefore highlights essential elements for sustainable grasscutter production and consumption in West Africa as well as suggests the direction of further research on grasscutter production.","author":[{"dropping-particle":"","family":"Akinola","given":"L.","non-dropping-particle":"","parse-names":false,"suffix":""},{"dropping-particle":"","family":"Etela","given":"I.","non-dropping-particle":"","parse-names":false,"suffix":""},{"dropping-particle":"","family":"Emiero","given":"S.","non-dropping-particle":"","parse-names":false,"suffix":""}],"container-title":"American Journal of Experimental Agriculture","id":"ITEM-1","issue":"4","issued":{"date-parts":[["2015"]]},"page":"196-207","title":"Grasscutter (Thryonomys swinderianus) production in West Africa: prospects, challenges and role in disease transmission","type":"article-journal","volume":"6"},"uris":["http://www.mendeley.com/documents/?uuid=f259fcb9-0e17-446e-ba2c-11e3129e9292"]}],"mendeley":{"formattedCitation":"(Akinola et al. 2015)","plainTextFormattedCitation":"(Akinola et al. 2015)","previouslyFormattedCitation":"(Akinola et al. 2015)"},"properties":{"noteIndex":0},"schema":"https://github.com/citation-style-language/schema/raw/master/csl-citation.json"}</w:instrText>
      </w:r>
      <w:r w:rsidR="00305C43">
        <w:rPr>
          <w:color w:val="000000" w:themeColor="text1"/>
        </w:rPr>
        <w:fldChar w:fldCharType="separate"/>
      </w:r>
      <w:r w:rsidR="00305C43" w:rsidRPr="00305C43">
        <w:rPr>
          <w:noProof/>
          <w:color w:val="000000" w:themeColor="text1"/>
        </w:rPr>
        <w:t>(Akinola et al. 2015)</w:t>
      </w:r>
      <w:r w:rsidR="00305C43">
        <w:rPr>
          <w:color w:val="000000" w:themeColor="text1"/>
        </w:rPr>
        <w:fldChar w:fldCharType="end"/>
      </w:r>
      <w:r w:rsidR="008842B7" w:rsidRPr="0070404D">
        <w:rPr>
          <w:color w:val="000000" w:themeColor="text1"/>
        </w:rPr>
        <w:t>,</w:t>
      </w:r>
      <w:r w:rsidR="00103559" w:rsidRPr="0070404D">
        <w:rPr>
          <w:color w:val="000000" w:themeColor="text1"/>
        </w:rPr>
        <w:t xml:space="preserve"> although</w:t>
      </w:r>
      <w:r w:rsidR="00103559" w:rsidRPr="004904D8">
        <w:rPr>
          <w:color w:val="000000" w:themeColor="text1"/>
        </w:rPr>
        <w:t xml:space="preserve"> there is little documentation of</w:t>
      </w:r>
      <w:r w:rsidR="008842B7" w:rsidRPr="004904D8">
        <w:rPr>
          <w:color w:val="000000" w:themeColor="text1"/>
        </w:rPr>
        <w:t xml:space="preserve"> the number of farms or farmers</w:t>
      </w:r>
      <w:r w:rsidR="00532932" w:rsidRPr="004904D8">
        <w:rPr>
          <w:color w:val="000000" w:themeColor="text1"/>
        </w:rPr>
        <w:t>.</w:t>
      </w:r>
      <w:r w:rsidR="00873515" w:rsidRPr="005512D2">
        <w:rPr>
          <w:color w:val="000000" w:themeColor="text1"/>
        </w:rPr>
        <w:t xml:space="preserve"> It may be that</w:t>
      </w:r>
      <w:r w:rsidR="00F8038B" w:rsidRPr="005512D2">
        <w:rPr>
          <w:color w:val="000000" w:themeColor="text1"/>
        </w:rPr>
        <w:t>,</w:t>
      </w:r>
      <w:r w:rsidR="00873515" w:rsidRPr="005512D2">
        <w:rPr>
          <w:color w:val="000000" w:themeColor="text1"/>
        </w:rPr>
        <w:t xml:space="preserve"> as wild</w:t>
      </w:r>
      <w:r w:rsidR="0090119B" w:rsidRPr="005512D2">
        <w:rPr>
          <w:color w:val="000000" w:themeColor="text1"/>
        </w:rPr>
        <w:t>life</w:t>
      </w:r>
      <w:r w:rsidR="00873515" w:rsidRPr="003E3238">
        <w:rPr>
          <w:color w:val="000000" w:themeColor="text1"/>
        </w:rPr>
        <w:t xml:space="preserve"> populations in West Africa have </w:t>
      </w:r>
      <w:r w:rsidR="0090119B" w:rsidRPr="003E3238">
        <w:rPr>
          <w:color w:val="000000" w:themeColor="text1"/>
        </w:rPr>
        <w:t>depleted</w:t>
      </w:r>
      <w:r w:rsidR="00873515" w:rsidRPr="00EE2428">
        <w:rPr>
          <w:color w:val="000000" w:themeColor="text1"/>
        </w:rPr>
        <w:t xml:space="preserve">, </w:t>
      </w:r>
      <w:r w:rsidR="006F6E2E" w:rsidRPr="00EE2428">
        <w:rPr>
          <w:color w:val="000000" w:themeColor="text1"/>
        </w:rPr>
        <w:t xml:space="preserve">and </w:t>
      </w:r>
      <w:r w:rsidR="00873515" w:rsidRPr="0064175F">
        <w:rPr>
          <w:color w:val="000000" w:themeColor="text1"/>
        </w:rPr>
        <w:t>wild-sourced meat has become</w:t>
      </w:r>
      <w:r w:rsidR="0090119B" w:rsidRPr="0070404D">
        <w:rPr>
          <w:color w:val="000000" w:themeColor="text1"/>
        </w:rPr>
        <w:t xml:space="preserve"> rarer and</w:t>
      </w:r>
      <w:r w:rsidR="00873515" w:rsidRPr="0070404D">
        <w:rPr>
          <w:color w:val="000000" w:themeColor="text1"/>
        </w:rPr>
        <w:t xml:space="preserve"> more expensive, reared meat</w:t>
      </w:r>
      <w:r w:rsidR="0090119B" w:rsidRPr="0070404D">
        <w:rPr>
          <w:color w:val="000000" w:themeColor="text1"/>
        </w:rPr>
        <w:t xml:space="preserve"> prices</w:t>
      </w:r>
      <w:r w:rsidR="00873515" w:rsidRPr="0070404D">
        <w:rPr>
          <w:color w:val="000000" w:themeColor="text1"/>
        </w:rPr>
        <w:t xml:space="preserve"> </w:t>
      </w:r>
      <w:r w:rsidR="0090119B" w:rsidRPr="0070404D">
        <w:rPr>
          <w:color w:val="000000" w:themeColor="text1"/>
        </w:rPr>
        <w:t>have</w:t>
      </w:r>
      <w:r w:rsidR="00873515" w:rsidRPr="0070404D">
        <w:rPr>
          <w:color w:val="000000" w:themeColor="text1"/>
        </w:rPr>
        <w:t xml:space="preserve"> become competitive with wild-sourced meat</w:t>
      </w:r>
      <w:r w:rsidR="00965460" w:rsidRPr="0070404D">
        <w:rPr>
          <w:color w:val="000000" w:themeColor="text1"/>
        </w:rPr>
        <w:t>. Some W</w:t>
      </w:r>
      <w:r w:rsidR="00873515" w:rsidRPr="0070404D">
        <w:rPr>
          <w:color w:val="000000" w:themeColor="text1"/>
        </w:rPr>
        <w:t xml:space="preserve">est-African </w:t>
      </w:r>
      <w:r w:rsidR="00873515" w:rsidRPr="0070404D">
        <w:rPr>
          <w:color w:val="000000" w:themeColor="text1"/>
        </w:rPr>
        <w:lastRenderedPageBreak/>
        <w:t xml:space="preserve">countries </w:t>
      </w:r>
      <w:r w:rsidR="00965460" w:rsidRPr="0070404D">
        <w:rPr>
          <w:color w:val="000000" w:themeColor="text1"/>
        </w:rPr>
        <w:t xml:space="preserve">may </w:t>
      </w:r>
      <w:r w:rsidR="00873515" w:rsidRPr="0070404D">
        <w:rPr>
          <w:color w:val="000000" w:themeColor="text1"/>
        </w:rPr>
        <w:t>also have a lo</w:t>
      </w:r>
      <w:r w:rsidR="00B37141" w:rsidRPr="0070404D">
        <w:rPr>
          <w:color w:val="000000" w:themeColor="text1"/>
        </w:rPr>
        <w:t>nger tradition of live</w:t>
      </w:r>
      <w:r w:rsidR="00873515" w:rsidRPr="0070404D">
        <w:rPr>
          <w:color w:val="000000" w:themeColor="text1"/>
        </w:rPr>
        <w:t xml:space="preserve">stock ranching than Central African countries, and so </w:t>
      </w:r>
      <w:r w:rsidR="00F8038B" w:rsidRPr="0070404D">
        <w:rPr>
          <w:color w:val="000000" w:themeColor="text1"/>
        </w:rPr>
        <w:t xml:space="preserve">may be more disposed </w:t>
      </w:r>
      <w:r w:rsidR="00873515" w:rsidRPr="0070404D">
        <w:rPr>
          <w:color w:val="000000" w:themeColor="text1"/>
        </w:rPr>
        <w:t>to adopt wild-</w:t>
      </w:r>
      <w:r w:rsidR="00C07702" w:rsidRPr="0070404D">
        <w:rPr>
          <w:color w:val="000000" w:themeColor="text1"/>
        </w:rPr>
        <w:t>farming</w:t>
      </w:r>
      <w:r w:rsidR="00873515" w:rsidRPr="0070404D">
        <w:rPr>
          <w:color w:val="000000" w:themeColor="text1"/>
        </w:rPr>
        <w:t xml:space="preserve"> techniques </w:t>
      </w:r>
      <w:r w:rsidR="00305C43">
        <w:rPr>
          <w:color w:val="000000" w:themeColor="text1"/>
        </w:rPr>
        <w:fldChar w:fldCharType="begin" w:fldLock="1"/>
      </w:r>
      <w:r w:rsidR="00305C43">
        <w:rPr>
          <w:color w:val="000000" w:themeColor="text1"/>
        </w:rPr>
        <w:instrText>ADDIN CSL_CITATION {"citationItems":[{"id":"ITEM-1","itemData":{"author":[{"dropping-particle":"","family":"Wicander","given":"S.","non-dropping-particle":"","parse-names":false,"suffix":""},{"dropping-particle":"","family":"Coad","given":"L.","non-dropping-particle":"","parse-names":false,"suffix":""}],"container-title":"Conservation and Society","id":"ITEM-1","issue":"4","issued":{"date-parts":[["2018"]]},"page":"441-458","title":"Can the provision of alternative livelihoods reduce the impact of wild meat hunting in West and Central Africa?","type":"article-journal","volume":"16"},"uris":["http://www.mendeley.com/documents/?uuid=8af76451-bff9-4fa3-a9a5-18e294a3d629"]}],"mendeley":{"formattedCitation":"(Wicander &amp; Coad 2018)","plainTextFormattedCitation":"(Wicander &amp; Coad 2018)","previouslyFormattedCitation":"(Wicander &amp; Coad 2018)"},"properties":{"noteIndex":0},"schema":"https://github.com/citation-style-language/schema/raw/master/csl-citation.json"}</w:instrText>
      </w:r>
      <w:r w:rsidR="00305C43">
        <w:rPr>
          <w:color w:val="000000" w:themeColor="text1"/>
        </w:rPr>
        <w:fldChar w:fldCharType="separate"/>
      </w:r>
      <w:r w:rsidR="00305C43" w:rsidRPr="00305C43">
        <w:rPr>
          <w:noProof/>
          <w:color w:val="000000" w:themeColor="text1"/>
        </w:rPr>
        <w:t>(Wicander &amp; Coad 2018)</w:t>
      </w:r>
      <w:r w:rsidR="00305C43">
        <w:rPr>
          <w:color w:val="000000" w:themeColor="text1"/>
        </w:rPr>
        <w:fldChar w:fldCharType="end"/>
      </w:r>
      <w:r w:rsidR="00873515" w:rsidRPr="0070404D">
        <w:rPr>
          <w:color w:val="000000" w:themeColor="text1"/>
        </w:rPr>
        <w:t>.</w:t>
      </w:r>
      <w:r w:rsidR="00C54F14" w:rsidRPr="0070404D">
        <w:rPr>
          <w:color w:val="000000" w:themeColor="text1"/>
        </w:rPr>
        <w:t xml:space="preserve"> </w:t>
      </w:r>
    </w:p>
    <w:p w14:paraId="74FA1B90" w14:textId="16097176" w:rsidR="0067439B" w:rsidRDefault="00F4531A" w:rsidP="00C258BC">
      <w:pPr>
        <w:pStyle w:val="NormalWeb"/>
        <w:jc w:val="both"/>
        <w:rPr>
          <w:color w:val="000000" w:themeColor="text1"/>
        </w:rPr>
      </w:pPr>
      <w:r w:rsidRPr="0070404D">
        <w:rPr>
          <w:color w:val="000000" w:themeColor="text1"/>
        </w:rPr>
        <w:t>C</w:t>
      </w:r>
      <w:r w:rsidR="00F810A2" w:rsidRPr="0070404D">
        <w:rPr>
          <w:color w:val="000000" w:themeColor="text1"/>
        </w:rPr>
        <w:t>ommercial</w:t>
      </w:r>
      <w:r w:rsidR="00F810A2" w:rsidRPr="004904D8">
        <w:rPr>
          <w:color w:val="000000" w:themeColor="text1"/>
        </w:rPr>
        <w:t xml:space="preserve"> wildlife farming is being actively encouraged by governments across much of Southeast </w:t>
      </w:r>
      <w:r w:rsidR="00F810A2" w:rsidRPr="000D48CB">
        <w:rPr>
          <w:color w:val="000000" w:themeColor="text1"/>
        </w:rPr>
        <w:t xml:space="preserve">Asia </w:t>
      </w:r>
      <w:r w:rsidR="000D48CB" w:rsidRPr="000D48CB">
        <w:rPr>
          <w:color w:val="000000" w:themeColor="text1"/>
        </w:rPr>
        <w:fldChar w:fldCharType="begin" w:fldLock="1"/>
      </w:r>
      <w:r w:rsidR="000D48CB">
        <w:rPr>
          <w:color w:val="000000" w:themeColor="text1"/>
        </w:rPr>
        <w:instrText>ADDIN CSL_CITATION {"citationItems":[{"id":"ITEM-1","itemData":{"author":[{"dropping-particle":"","family":"WCS","given":"","non-dropping-particle":"","parse-names":false,"suffix":""},{"dropping-particle":"","family":"TRAFFIC","given":"","non-dropping-particle":"","parse-names":false,"suffix":""}],"id":"ITEM-1","issued":{"date-parts":[["2004"]]},"publisher-place":"Bali, Indonesia","title":"Hunting and wildlife trade in Asia. Proceedings of a strategic planning meeting of the Wildlife Conservation Society and TRAFFIC.","type":"report"},"uris":["http://www.mendeley.com/documents/?uuid=11398c54-bbf4-418f-8ca4-410f56ec0ad4"]}],"mendeley":{"formattedCitation":"(WCS &amp; TRAFFIC 2004)","plainTextFormattedCitation":"(WCS &amp; TRAFFIC 2004)","previouslyFormattedCitation":"(WCS &amp; TRAFFIC 2004)"},"properties":{"noteIndex":0},"schema":"https://github.com/citation-style-language/schema/raw/master/csl-citation.json"}</w:instrText>
      </w:r>
      <w:r w:rsidR="000D48CB" w:rsidRPr="000D48CB">
        <w:rPr>
          <w:color w:val="000000" w:themeColor="text1"/>
        </w:rPr>
        <w:fldChar w:fldCharType="separate"/>
      </w:r>
      <w:r w:rsidR="000D48CB" w:rsidRPr="000D48CB">
        <w:rPr>
          <w:noProof/>
          <w:color w:val="000000" w:themeColor="text1"/>
        </w:rPr>
        <w:t>(WCS &amp; TRAFFIC 2004)</w:t>
      </w:r>
      <w:r w:rsidR="000D48CB" w:rsidRPr="000D48CB">
        <w:rPr>
          <w:color w:val="000000" w:themeColor="text1"/>
        </w:rPr>
        <w:fldChar w:fldCharType="end"/>
      </w:r>
      <w:r w:rsidR="000D48CB" w:rsidRPr="000D48CB">
        <w:rPr>
          <w:color w:val="000000" w:themeColor="text1"/>
        </w:rPr>
        <w:t xml:space="preserve"> </w:t>
      </w:r>
      <w:r w:rsidR="00D85930" w:rsidRPr="000D48CB">
        <w:rPr>
          <w:color w:val="000000" w:themeColor="text1"/>
        </w:rPr>
        <w:t>and</w:t>
      </w:r>
      <w:r w:rsidR="00F810A2" w:rsidRPr="000D48CB">
        <w:rPr>
          <w:color w:val="000000" w:themeColor="text1"/>
        </w:rPr>
        <w:t xml:space="preserve"> is becoming</w:t>
      </w:r>
      <w:r w:rsidR="00F810A2" w:rsidRPr="004904D8">
        <w:rPr>
          <w:color w:val="000000" w:themeColor="text1"/>
        </w:rPr>
        <w:t xml:space="preserve"> notice</w:t>
      </w:r>
      <w:r w:rsidR="00641692">
        <w:rPr>
          <w:color w:val="000000" w:themeColor="text1"/>
        </w:rPr>
        <w:t>ably more popular</w:t>
      </w:r>
      <w:r w:rsidR="007B247B">
        <w:rPr>
          <w:color w:val="000000" w:themeColor="text1"/>
        </w:rPr>
        <w:t xml:space="preserve"> </w:t>
      </w:r>
      <w:r w:rsidR="007B247B">
        <w:rPr>
          <w:color w:val="000000" w:themeColor="text1"/>
        </w:rPr>
        <w:fldChar w:fldCharType="begin" w:fldLock="1"/>
      </w:r>
      <w:r w:rsidR="007B247B">
        <w:rPr>
          <w:color w:val="000000" w:themeColor="text1"/>
        </w:rPr>
        <w:instrText>ADDIN CSL_CITATION {"citationItems":[{"id":"ITEM-1","itemData":{"DOI":"10.1016/j.biocon.2010.07.030","ISBN":"0006-3207","ISSN":"00063207","abstract":"Commercial farming of wildlife, particularly in Southeast Asia, is currently the subject of much debate and to date, its conservation impact has been largely unexplored. This study used semi-structured interviews to build a detailed understanding of the dynamics of the commercial farming of Southeast Asian porcupine (Hystrix brachyura) in the northwest Vietnamese province of Son La. Although farm owners are obliged by law to propagate stock solely from farm-bred animals, 58% of farm owners admitted purchasing wild founder stock, with at least 19% continuing to buy wild individuals. Despite the number of farms, the primary demand on them is to supply other farms, and wild meat restaurants were still sourcing their meat from wild populations. Lower cost was a major factor driving the trade in wild animals, with wild adult porcupines being bought for half the price of farm-bred adults. With high demand from farms and restaurants, increased targeted hunting may be the cause of a dramatic decline in the wild population of porcupines across the region. © 2010 Elsevier Ltd.","author":[{"dropping-particle":"","family":"Brooks","given":"E. G E","non-dropping-particle":"","parse-names":false,"suffix":""},{"dropping-particle":"","family":"Roberton","given":"Scott I.","non-dropping-particle":"","parse-names":false,"suffix":""},{"dropping-particle":"","family":"Bell","given":"Diana J.","non-dropping-particle":"","parse-names":false,"suffix":""}],"container-title":"Biological Conservation","id":"ITEM-1","issue":"11","issued":{"date-parts":[["2010"]]},"page":"2808-2814","publisher":"Elsevier Ltd","title":"The conservation impact of commercial wildlife farming of porcupines in Vietnam","type":"article-journal","volume":"143"},"uris":["http://www.mendeley.com/documents/?uuid=a432eb91-ae0c-4f96-95c2-5fa6489e678e"]}],"mendeley":{"formattedCitation":"(Brooks et al. 2010a)","plainTextFormattedCitation":"(Brooks et al. 2010a)","previouslyFormattedCitation":"(Brooks et al. 2010a)"},"properties":{"noteIndex":0},"schema":"https://github.com/citation-style-language/schema/raw/master/csl-citation.json"}</w:instrText>
      </w:r>
      <w:r w:rsidR="007B247B">
        <w:rPr>
          <w:color w:val="000000" w:themeColor="text1"/>
        </w:rPr>
        <w:fldChar w:fldCharType="separate"/>
      </w:r>
      <w:r w:rsidR="007B247B" w:rsidRPr="007B247B">
        <w:rPr>
          <w:noProof/>
          <w:color w:val="000000" w:themeColor="text1"/>
        </w:rPr>
        <w:t>(Brooks et al. 2010a)</w:t>
      </w:r>
      <w:r w:rsidR="007B247B">
        <w:rPr>
          <w:color w:val="000000" w:themeColor="text1"/>
        </w:rPr>
        <w:fldChar w:fldCharType="end"/>
      </w:r>
      <w:r w:rsidR="00F810A2" w:rsidRPr="004904D8">
        <w:rPr>
          <w:color w:val="000000" w:themeColor="text1"/>
        </w:rPr>
        <w:t>.</w:t>
      </w:r>
      <w:r w:rsidR="00140CA5" w:rsidRPr="004904D8">
        <w:rPr>
          <w:color w:val="000000" w:themeColor="text1"/>
        </w:rPr>
        <w:t xml:space="preserve"> </w:t>
      </w:r>
      <w:r w:rsidR="00832908" w:rsidRPr="004904D8">
        <w:rPr>
          <w:color w:val="000000" w:themeColor="text1"/>
        </w:rPr>
        <w:t xml:space="preserve">For instance, the government of Vietnam </w:t>
      </w:r>
      <w:r w:rsidR="00832908" w:rsidRPr="005512D2">
        <w:rPr>
          <w:color w:val="000000" w:themeColor="text1"/>
        </w:rPr>
        <w:t>has established a policy framework regulating the increasing number of commercial wildlife farms</w:t>
      </w:r>
      <w:r w:rsidR="00B5087D" w:rsidRPr="005512D2">
        <w:rPr>
          <w:color w:val="000000" w:themeColor="text1"/>
        </w:rPr>
        <w:t xml:space="preserve"> </w:t>
      </w:r>
      <w:r w:rsidR="00305C43">
        <w:rPr>
          <w:color w:val="000000" w:themeColor="text1"/>
        </w:rPr>
        <w:fldChar w:fldCharType="begin" w:fldLock="1"/>
      </w:r>
      <w:r w:rsidR="00305C43">
        <w:rPr>
          <w:color w:val="000000" w:themeColor="text1"/>
        </w:rPr>
        <w:instrText>ADDIN CSL_CITATION {"citationItems":[{"id":"ITEM-1","itemData":{"DOI":"10.1371/journal.pone.0134787","ISSN":"1932-6203","PMID":"26752642","abstract":"Vietnam is a significant consumer of wildlife, particularly wild meat, in urban restaurant settings. To meet this demand, poaching of wildlife is widespread, threatening regional and international biodiversity. Previous interventions to tackle illegal and potentially unsustainable consumption of wild meat in Vietnam have generally focused on limiting supply. While critical, they have been impeded by a lack of resources, the presence of increasingly organised criminal networks and corruption. Attention is, therefore, turning to the consumer, but a paucity of research investigating consumer demand for wild meat will impede the creation of effective consumer-centred interventions. Here we used a mixed-methods research approach comprising a hypothetical choice modelling survey and qualitative interviews to explore the drivers of wild meat consumption and consumer preferences among residents of Ho Chi Minh City, Vietnam. Our findings indicate that demand for wild meat is heterogeneous and highly context specific. Wild-sourced, rare, and expensive wild meat-types are eaten by those situated towards the top of the societal hierarchy to convey wealth and status and are commonly consumed in lucrative business contexts. Cheaper, legal and farmed substitutes for wild-sourced meats are also consumed, but typically in more casual consumption or social drinking settings. We explore the implications of our results for current conservation interventions in Vietnam that attempt to tackle illegal and potentially unsustainable trade in and consumption of wild meat and detail how our research informs future consumer-centric conservation actions.","author":[{"dropping-particle":"","family":"Shairp","given":"Rachel","non-dropping-particle":"","parse-names":false,"suffix":""},{"dropping-particle":"","family":"Veríssimo","given":"Diogo","non-dropping-particle":"","parse-names":false,"suffix":""},{"dropping-particle":"","family":"Fraser","given":"Iain","non-dropping-particle":"","parse-names":false,"suffix":""},{"dropping-particle":"","family":"Challender","given":"Daniel","non-dropping-particle":"","parse-names":false,"suffix":""},{"dropping-particle":"","family":"MacMillan","given":"Douglas","non-dropping-particle":"","parse-names":false,"suffix":""}],"container-title":"PloS one","id":"ITEM-1","issue":"1","issued":{"date-parts":[["2016","1"]]},"page":"e0134787","title":"Understanding urban demand for wild meat in Vietnam: implications for conservation actions","type":"article-journal","volume":"11"},"uris":["http://www.mendeley.com/documents/?uuid=16f60f29-219d-4b47-9cb9-2bab352ca360"]}],"mendeley":{"formattedCitation":"(Shairp et al. 2016)","plainTextFormattedCitation":"(Shairp et al. 2016)","previouslyFormattedCitation":"(Shairp et al. 2016)"},"properties":{"noteIndex":0},"schema":"https://github.com/citation-style-language/schema/raw/master/csl-citation.json"}</w:instrText>
      </w:r>
      <w:r w:rsidR="00305C43">
        <w:rPr>
          <w:color w:val="000000" w:themeColor="text1"/>
        </w:rPr>
        <w:fldChar w:fldCharType="separate"/>
      </w:r>
      <w:r w:rsidR="00305C43" w:rsidRPr="00305C43">
        <w:rPr>
          <w:noProof/>
          <w:color w:val="000000" w:themeColor="text1"/>
        </w:rPr>
        <w:t>(Shairp et al. 2016)</w:t>
      </w:r>
      <w:r w:rsidR="00305C43">
        <w:rPr>
          <w:color w:val="000000" w:themeColor="text1"/>
        </w:rPr>
        <w:fldChar w:fldCharType="end"/>
      </w:r>
      <w:r w:rsidR="00782C1E" w:rsidRPr="003E3238">
        <w:rPr>
          <w:color w:val="000000" w:themeColor="text1"/>
        </w:rPr>
        <w:t xml:space="preserve">, </w:t>
      </w:r>
      <w:r w:rsidR="002B52C1" w:rsidRPr="003E3238">
        <w:rPr>
          <w:color w:val="000000" w:themeColor="text1"/>
        </w:rPr>
        <w:t xml:space="preserve">and a </w:t>
      </w:r>
      <w:r w:rsidR="00B5087D" w:rsidRPr="00EE2428">
        <w:rPr>
          <w:color w:val="000000" w:themeColor="text1"/>
        </w:rPr>
        <w:t>wildlife farm census conducted in 12 of Vietnam’</w:t>
      </w:r>
      <w:r w:rsidR="008163DA" w:rsidRPr="00EE2428">
        <w:rPr>
          <w:color w:val="000000" w:themeColor="text1"/>
        </w:rPr>
        <w:t>s 58</w:t>
      </w:r>
      <w:r w:rsidR="00B5087D" w:rsidRPr="00EE2428">
        <w:rPr>
          <w:color w:val="000000" w:themeColor="text1"/>
        </w:rPr>
        <w:t xml:space="preserve"> provinces</w:t>
      </w:r>
      <w:r w:rsidR="008163DA" w:rsidRPr="0064175F">
        <w:rPr>
          <w:color w:val="000000" w:themeColor="text1"/>
        </w:rPr>
        <w:t xml:space="preserve"> in 2014</w:t>
      </w:r>
      <w:r w:rsidR="00B5087D" w:rsidRPr="0070404D">
        <w:rPr>
          <w:color w:val="000000" w:themeColor="text1"/>
        </w:rPr>
        <w:t xml:space="preserve"> found 4,099 operating farms, rearing over 175 wildlife species</w:t>
      </w:r>
      <w:r w:rsidR="008163DA" w:rsidRPr="0070404D">
        <w:rPr>
          <w:color w:val="000000" w:themeColor="text1"/>
        </w:rPr>
        <w:t xml:space="preserve"> </w:t>
      </w:r>
      <w:r w:rsidR="00305C43">
        <w:rPr>
          <w:color w:val="000000" w:themeColor="text1"/>
        </w:rPr>
        <w:fldChar w:fldCharType="begin" w:fldLock="1"/>
      </w:r>
      <w:r w:rsidR="00B2630D">
        <w:rPr>
          <w:color w:val="000000" w:themeColor="text1"/>
        </w:rPr>
        <w:instrText>ADDIN CSL_CITATION {"citationItems":[{"id":"ITEM-1","itemData":{"author":[{"dropping-particle":"","family":"FAO","given":"","non-dropping-particle":"","parse-names":false,"suffix":""}],"id":"ITEM-1","issued":{"date-parts":[["2014"]]},"publisher-place":"Food and Agriculture Organization of the United Nations (FAO), Rome, Italy","title":"Wildlife farming in Viet Nam: southern Viet Nam's wildlife farm survey report in a glance.","type":"report"},"uris":["http://www.mendeley.com/documents/?uuid=1ba3b169-1be2-4e8f-80fa-254ad98a7855"]}],"mendeley":{"formattedCitation":"(FAO 2014)","plainTextFormattedCitation":"(FAO 2014)","previouslyFormattedCitation":"(FAO 2014)"},"properties":{"noteIndex":0},"schema":"https://github.com/citation-style-language/schema/raw/master/csl-citation.json"}</w:instrText>
      </w:r>
      <w:r w:rsidR="00305C43">
        <w:rPr>
          <w:color w:val="000000" w:themeColor="text1"/>
        </w:rPr>
        <w:fldChar w:fldCharType="separate"/>
      </w:r>
      <w:r w:rsidR="00305C43" w:rsidRPr="00305C43">
        <w:rPr>
          <w:noProof/>
          <w:color w:val="000000" w:themeColor="text1"/>
        </w:rPr>
        <w:t>(FAO 2014)</w:t>
      </w:r>
      <w:r w:rsidR="00305C43">
        <w:rPr>
          <w:color w:val="000000" w:themeColor="text1"/>
        </w:rPr>
        <w:fldChar w:fldCharType="end"/>
      </w:r>
      <w:r w:rsidR="00B5087D" w:rsidRPr="004904D8">
        <w:rPr>
          <w:color w:val="000000" w:themeColor="text1"/>
        </w:rPr>
        <w:t xml:space="preserve">. </w:t>
      </w:r>
    </w:p>
    <w:p w14:paraId="0F2C1AD0" w14:textId="085966E2" w:rsidR="00974B4C" w:rsidRDefault="00974B4C" w:rsidP="00C258BC">
      <w:pPr>
        <w:jc w:val="both"/>
      </w:pPr>
      <w:r w:rsidRPr="00974B4C">
        <w:t xml:space="preserve">Laws in Brazil and other Latin American countries allow only the commercial use of wildlife fauna and products from captive-bred </w:t>
      </w:r>
      <w:r w:rsidRPr="00A4550C">
        <w:t xml:space="preserve">animals. </w:t>
      </w:r>
      <w:r w:rsidR="00A4550C" w:rsidRPr="00A4550C">
        <w:t>Interest in the raising of wild animals in farms in various South American countries has been prevalent for a few decades.</w:t>
      </w:r>
      <w:r w:rsidR="00A4550C" w:rsidRPr="00A4550C">
        <w:rPr>
          <w:rFonts w:ascii="Arial" w:hAnsi="Arial" w:cs="Arial"/>
          <w:color w:val="000000"/>
          <w:sz w:val="18"/>
          <w:szCs w:val="18"/>
        </w:rPr>
        <w:t> </w:t>
      </w:r>
      <w:r w:rsidRPr="00974B4C">
        <w:t xml:space="preserve">Farm-raising of capybara and peccary has been most successful in Brazil and Venezuela </w:t>
      </w:r>
      <w:r w:rsidR="00305C43">
        <w:fldChar w:fldCharType="begin" w:fldLock="1"/>
      </w:r>
      <w:r w:rsidR="00B2630D">
        <w:instrText>ADDIN CSL_CITATION {"citationItems":[{"id":"ITEM-1","itemData":{"author":[{"dropping-particle":"","family":"Gama","given":"S L","non-dropping-particle":"","parse-names":false,"suffix":""},{"dropping-particle":"","family":"Sequiera","given":"A","non-dropping-particle":"","parse-names":false,"suffix":""}],"container-title":"People in Nature: Wildlife Conservation in South and Central America","editor":[{"dropping-particle":"","family":"Silvius","given":"K","non-dropping-particle":"","parse-names":false,"suffix":""},{"dropping-particle":"","family":"Bodmer","given":"R","non-dropping-particle":"","parse-names":false,"suffix":""},{"dropping-particle":"","family":"Fragoso","given":"J","non-dropping-particle":"","parse-names":false,"suffix":""}],"id":"ITEM-1","issued":{"date-parts":[["2004"]]},"page":"171-190","publisher":"Columbia University Press, New York, USA","title":"Captive breeding programmes as an alternative for wildlife conservation in Brazil","type":"chapter"},"uris":["http://www.mendeley.com/documents/?uuid=177f9cf3-74a5-4590-85a6-af03e1fcf3f9"]},{"id":"ITEM-2","itemData":{"author":[{"dropping-particle":"","family":"Ojasti","given":"J","non-dropping-particle":"","parse-names":false,"suffix":""}],"container-title":"Neotropical Wildlife Use and Conservation","editor":[{"dropping-particle":"","family":"Robinson","given":"J G","non-dropping-particle":"","parse-names":false,"suffix":""},{"dropping-particle":"","family":"Redford","given":"K H","non-dropping-particle":"","parse-names":false,"suffix":""}],"id":"ITEM-2","issued":{"date-parts":[["1991"]]},"page":"236-252","publisher":"University of Chicago Press, Chicago, USA","title":"Human exploitation of capybara","type":"chapter"},"uris":["http://www.mendeley.com/documents/?uuid=0460ed01-4223-49cb-a5f2-496f27f912e8"]}],"mendeley":{"formattedCitation":"(Ojasti 1991; Gama &amp; Sequiera 2004)","plainTextFormattedCitation":"(Ojasti 1991; Gama &amp; Sequiera 2004)","previouslyFormattedCitation":"(Ojasti 1991; Gama &amp; Sequiera 2004)"},"properties":{"noteIndex":0},"schema":"https://github.com/citation-style-language/schema/raw/master/csl-citation.json"}</w:instrText>
      </w:r>
      <w:r w:rsidR="00305C43">
        <w:fldChar w:fldCharType="separate"/>
      </w:r>
      <w:r w:rsidR="00305C43" w:rsidRPr="00305C43">
        <w:rPr>
          <w:noProof/>
        </w:rPr>
        <w:t>(Ojasti 1991; Gama &amp; Sequiera 2004)</w:t>
      </w:r>
      <w:r w:rsidR="00305C43">
        <w:fldChar w:fldCharType="end"/>
      </w:r>
      <w:r w:rsidRPr="00974B4C">
        <w:t xml:space="preserve"> but </w:t>
      </w:r>
      <w:r w:rsidR="00462464">
        <w:t xml:space="preserve">trial </w:t>
      </w:r>
      <w:r w:rsidRPr="00974B4C">
        <w:t>paca</w:t>
      </w:r>
      <w:r w:rsidR="00462464">
        <w:t xml:space="preserve"> </w:t>
      </w:r>
      <w:r w:rsidR="00462464" w:rsidRPr="00974B4C">
        <w:t>farming</w:t>
      </w:r>
      <w:r w:rsidR="00462464">
        <w:t xml:space="preserve"> in Panama </w:t>
      </w:r>
      <w:r w:rsidR="00305C43">
        <w:fldChar w:fldCharType="begin" w:fldLock="1"/>
      </w:r>
      <w:r w:rsidR="00B2630D">
        <w:instrText>ADDIN CSL_CITATION {"citationItems":[{"id":"ITEM-1","itemData":{"author":[{"dropping-particle":"","family":"Smythe","given":"N","non-dropping-particle":"","parse-names":false,"suffix":""}],"container-title":"Neotropical Wildlife Use and Conservation","editor":[{"dropping-particle":"","family":"Robinson","given":"J G","non-dropping-particle":"","parse-names":false,"suffix":""},{"dropping-particle":"","family":"Redford","given":"K H","non-dropping-particle":"","parse-names":false,"suffix":""}],"id":"ITEM-1","issued":{"date-parts":[["1991"]]},"page":"202-216","publisher":"University of Chicago Press, Chicago, USA","title":"Steps toward domesticating the paca (Agouti = Cuniculus paca) and prospects for the future","type":"chapter"},"uris":["http://www.mendeley.com/documents/?uuid=7c703e12-27e3-4431-a354-f09ef7101696"]}],"mendeley":{"formattedCitation":"(Smythe 1991)","plainTextFormattedCitation":"(Smythe 1991)","previouslyFormattedCitation":"(Smythe 1991)"},"properties":{"noteIndex":0},"schema":"https://github.com/citation-style-language/schema/raw/master/csl-citation.json"}</w:instrText>
      </w:r>
      <w:r w:rsidR="00305C43">
        <w:fldChar w:fldCharType="separate"/>
      </w:r>
      <w:r w:rsidR="00305C43" w:rsidRPr="00305C43">
        <w:rPr>
          <w:noProof/>
        </w:rPr>
        <w:t>(Smythe 1991)</w:t>
      </w:r>
      <w:r w:rsidR="00305C43">
        <w:fldChar w:fldCharType="end"/>
      </w:r>
      <w:r w:rsidR="00462464">
        <w:t xml:space="preserve"> indicated that production costs prohibitively high, due to the monogamy of the species</w:t>
      </w:r>
      <w:r w:rsidRPr="00974B4C">
        <w:t>.</w:t>
      </w:r>
    </w:p>
    <w:p w14:paraId="6045C72E" w14:textId="06AB0162" w:rsidR="00826709" w:rsidRDefault="00A158F0" w:rsidP="00462464">
      <w:pPr>
        <w:spacing w:after="0"/>
        <w:jc w:val="both"/>
        <w:rPr>
          <w:color w:val="000000" w:themeColor="text1"/>
        </w:rPr>
      </w:pPr>
      <w:r w:rsidRPr="004904D8">
        <w:rPr>
          <w:color w:val="000000" w:themeColor="text1"/>
        </w:rPr>
        <w:t xml:space="preserve">Proponents of </w:t>
      </w:r>
      <w:r w:rsidR="00F25546" w:rsidRPr="00785A38">
        <w:rPr>
          <w:color w:val="000000" w:themeColor="text1"/>
        </w:rPr>
        <w:t>wildlife farming</w:t>
      </w:r>
      <w:r w:rsidRPr="004904D8">
        <w:rPr>
          <w:color w:val="000000" w:themeColor="text1"/>
        </w:rPr>
        <w:t xml:space="preserve"> suggest that </w:t>
      </w:r>
      <w:r w:rsidR="00122C1A" w:rsidRPr="004904D8">
        <w:rPr>
          <w:color w:val="000000" w:themeColor="text1"/>
        </w:rPr>
        <w:t xml:space="preserve">rural </w:t>
      </w:r>
      <w:r w:rsidR="0086793B" w:rsidRPr="004904D8">
        <w:rPr>
          <w:color w:val="000000" w:themeColor="text1"/>
        </w:rPr>
        <w:t xml:space="preserve">local </w:t>
      </w:r>
      <w:r w:rsidRPr="004904D8">
        <w:rPr>
          <w:color w:val="000000" w:themeColor="text1"/>
        </w:rPr>
        <w:t>backyard production, or peri-urban larger</w:t>
      </w:r>
      <w:r w:rsidRPr="00785A38">
        <w:rPr>
          <w:color w:val="000000" w:themeColor="text1"/>
        </w:rPr>
        <w:t xml:space="preserve">-scale ranches, could meet demand for </w:t>
      </w:r>
      <w:r w:rsidR="00351574" w:rsidRPr="00785A38">
        <w:rPr>
          <w:color w:val="000000" w:themeColor="text1"/>
        </w:rPr>
        <w:t>pre</w:t>
      </w:r>
      <w:r w:rsidR="0086793B" w:rsidRPr="00785A38">
        <w:rPr>
          <w:color w:val="000000" w:themeColor="text1"/>
        </w:rPr>
        <w:t>fer</w:t>
      </w:r>
      <w:r w:rsidR="00351574" w:rsidRPr="00785A38">
        <w:rPr>
          <w:color w:val="000000" w:themeColor="text1"/>
        </w:rPr>
        <w:t>r</w:t>
      </w:r>
      <w:r w:rsidR="0086793B" w:rsidRPr="00785A38">
        <w:rPr>
          <w:color w:val="000000" w:themeColor="text1"/>
        </w:rPr>
        <w:t xml:space="preserve">ed </w:t>
      </w:r>
      <w:r w:rsidRPr="00785A38">
        <w:rPr>
          <w:color w:val="000000" w:themeColor="text1"/>
        </w:rPr>
        <w:t>wildlife products while alleviating pressure on wild populations</w:t>
      </w:r>
      <w:r w:rsidR="00FC226B" w:rsidRPr="00785A38">
        <w:rPr>
          <w:color w:val="000000" w:themeColor="text1"/>
        </w:rPr>
        <w:t xml:space="preserve"> </w:t>
      </w:r>
      <w:r w:rsidR="00305C43">
        <w:rPr>
          <w:color w:val="000000" w:themeColor="text1"/>
        </w:rPr>
        <w:fldChar w:fldCharType="begin" w:fldLock="1"/>
      </w:r>
      <w:r w:rsidR="00B2630D">
        <w:rPr>
          <w:color w:val="000000" w:themeColor="text1"/>
        </w:rPr>
        <w:instrText>ADDIN CSL_CITATION {"citationItems":[{"id":"ITEM-1","itemData":{"author":[{"dropping-particle":"","family":"Ojasti","given":"J","non-dropping-particle":"","parse-names":false,"suffix":""}],"container-title":"Neotropical Wildlife Use and Conservation","editor":[{"dropping-particle":"","family":"Robinson","given":"J G","non-dropping-particle":"","parse-names":false,"suffix":""},{"dropping-particle":"","family":"Redford","given":"K H","non-dropping-particle":"","parse-names":false,"suffix":""}],"id":"ITEM-1","issued":{"date-parts":[["1991"]]},"page":"236-252","publisher":"University of Chicago Press, Chicago, USA","title":"Human exploitation of capybara","type":"chapter"},"uris":["http://www.mendeley.com/documents/?uuid=0460ed01-4223-49cb-a5f2-496f27f912e8"]},{"id":"ITEM-2","itemData":{"author":[{"dropping-particle":"","family":"Cooper","given":"J E","non-dropping-particle":"","parse-names":false,"suffix":""}],"container-title":"Biodiversity and Conservation","id":"ITEM-2","issued":{"date-parts":[["1995"]]},"page":"215-219","title":"Wildlife species for sustainable food production","type":"article-journal","volume":"4"},"uris":["http://www.mendeley.com/documents/?uuid=68416783-92b8-4875-92ba-b63c3794fe9e"]},{"id":"ITEM-3","itemData":{"author":[{"dropping-particle":"","family":"Jori","given":"F","non-dropping-particle":"","parse-names":false,"suffix":""},{"dropping-particle":"","family":"Edderai","given":"D","non-dropping-particle":"","parse-names":false,"suffix":""},{"dropping-particle":"","family":"Houden","given":"P","non-dropping-particle":"","parse-names":false,"suffix":""}],"id":"ITEM-3","issued":{"date-parts":[["2005"]]},"publisher-place":"Programme ECONAP, CIRAD EMVT Campus International de Baillarguet, Montpellier 34398, Cedex 5, France","title":"The potential of rodents for minilivestock in Africa","type":"report"},"uris":["http://www.mendeley.com/documents/?uuid=e0c672d8-847c-4937-a416-ada4c3300d7a"]},{"id":"ITEM-4","itemData":{"author":[{"dropping-particle":"","family":"Hardouin","given":"Jacques","non-dropping-particle":"","parse-names":false,"suffix":""}],"container-title":"Biodiversity and Conservation","id":"ITEM-4","issued":{"date-parts":[["1995"]]},"page":"220-232","title":"Minilivestock: from gathering to controlled production","type":"article-journal","volume":"4"},"uris":["http://www.mendeley.com/documents/?uuid=bcbcfb1f-0ff4-4834-9e57-6f37d65f1fcf"]},{"id":"ITEM-5","itemData":{"author":[{"dropping-particle":"","family":"Jori","given":"F","non-dropping-particle":"","parse-names":false,"suffix":""},{"dropping-particle":"","family":"Mensah","given":"G A","non-dropping-particle":"","parse-names":false,"suffix":""},{"dropping-particle":"","family":"Adjanohoun","given":"E","non-dropping-particle":"","parse-names":false,"suffix":""}],"container-title":"Biodiversity and Conservation","id":"ITEM-5","issued":{"date-parts":[["1995"]]},"page":"257-265","title":"Grasscutter production: an example of rational exploitation of wildlife","type":"article-journal","volume":"4"},"uris":["http://www.mendeley.com/documents/?uuid=ab3eeecb-f64a-466e-b9ef-5fd9df1c1312"]},{"id":"ITEM-6","itemData":{"author":[{"dropping-particle":"","family":"Nogueira-Filho","given":"S L G","non-dropping-particle":"","parse-names":false,"suffix":""},{"dropping-particle":"","family":"Nogueira","given":"S S C","non-dropping-particle":"","parse-names":false,"suffix":""}],"container-title":"People in Nature: Wildlife Management and Conservation in Latin America","editor":[{"dropping-particle":"","family":"Kirsten","given":"S","non-dropping-particle":"","parse-names":false,"suffix":""},{"dropping-particle":"","family":"Fragoso","given":"J","non-dropping-particle":"","parse-names":false,"suffix":""},{"dropping-particle":"","family":"Bodmer","given":"R","non-dropping-particle":"","parse-names":false,"suffix":""}],"id":"ITEM-6","issued":{"date-parts":[["2004"]]},"page":"171-190","publisher":"Columbia University Press, New York","title":"Captive breeding programs as an alternative for wildlife conservation in Brazil","type":"chapter"},"uris":["http://www.mendeley.com/documents/?uuid=4a3b4d30-be6d-4305-8296-f94cf4ca75e5"]},{"id":"ITEM-7","itemData":{"ISBN":"9769512311","author":[{"dropping-particle":"","family":"Garcia","given":"G W","non-dropping-particle":"","parse-names":false,"suffix":""},{"dropping-particle":"","family":"Young","given":"G G","non-dropping-particle":"","parse-names":false,"suffix":""},{"dropping-particle":"","family":"Amour","given":"K M","non-dropping-particle":"","parse-names":false,"suffix":""},{"dropping-particle":"","family":"James","given":"D","non-dropping-particle":"","parse-names":false,"suffix":""},{"dropping-particle":"","family":"Lallo","given":"C H O","non-dropping-particle":"","parse-names":false,"suffix":""},{"dropping-particle":"","family":"Mollineau","given":"W","non-dropping-particle":"","parse-names":false,"suffix":""},{"dropping-particle":"","family":"Roopchand","given":"A","non-dropping-particle":"","parse-names":false,"suffix":""},{"dropping-particle":"","family":"Ganessingh","given":"N","non-dropping-particle":"","parse-names":false,"suffix":""},{"dropping-particle":"","family":"Spencer","given":"M","non-dropping-particle":"","parse-names":false,"suffix":""},{"dropping-particle":"","family":"Propser","given":"M A","non-dropping-particle":"","parse-names":false,"suffix":""},{"dropping-particle":"","family":"Rooplal","given":"R","non-dropping-particle":"","parse-names":false,"suffix":""},{"dropping-particle":"","family":"Nathai-Gyan","given":"N","non-dropping-particle":"","parse-names":false,"suffix":""},{"dropping-particle":"","family":"Steil","given":"A","non-dropping-particle":"","parse-names":false,"suffix":""},{"dropping-particle":"","family":"Xande","given":"A","non-dropping-particle":"","parse-names":false,"suffix":""},{"dropping-particle":"","family":"Bemelmans","given":"A","non-dropping-particle":"","parse-names":false,"suffix":""},{"dropping-particle":"","family":"Filho","given":"S G N","non-dropping-particle":"","parse-names":false,"suffix":""},{"dropping-particle":"","family":"Guimaraes","given":"D","non-dropping-particle":"","parse-names":false,"suffix":""},{"dropping-particle":"","family":"Galves","given":"H","non-dropping-particle":"","parse-names":false,"suffix":""},{"dropping-particle":"","family":"Aparicio","given":"P M","non-dropping-particle":"","parse-names":false,"suffix":""}],"id":"ITEM-7","issued":{"date-parts":[["2005"]]},"publisher":"The University of the West Indies, St Augustine, Trinidad and Tobago, West Indies","publisher-place":"St Augustine, Trinidad and Tobago, West Indies","title":"The collared peccary / javelina / sajino / poco do monte / wild hog / pakira / patira / taitetu / catete / catto / quenk [Tayassu tajacu, T. peccary] booklet and producers' manual","type":"book"},"uris":["http://www.mendeley.com/documents/?uuid=504e555b-c7de-4c0e-8a45-0f735b26c6b3"]},{"id":"ITEM-8","itemData":{"DOI":"10.1016/j.ecolecon.2010.11.006","ISBN":"0921-8009","ISSN":"09218009","abstract":"Tigers are a threatened species that might soon disappear in the wild. Not only are tigers threatened by deteriorating and declining habitat, but poachers continue to kill tigers for traditional medicine, decoration pieces and so on. Although international trade in tiger products has been banned since 1987 and domestic trade within China since 1993, tigers continue to be poached and Chinese entrepreneurs have established tiger farms in anticipation of their demise. While China desires to permit sale of tiger products from captive-bred tigers, this is opposed on the grounds that it likely encourages illegal killing. Instead, wildlife conservationists lobby for more spending on anti-poaching and trade-ban enforcement. In this study, a mathematical bioeconomic model is used to investigate the issue. Simulation results indicate that, unless range states are characterized by institutions (rule of law and low corruption) similar to those found in the richest countries, reliance on enforcement alone is insufficient to guarantee survival of wild tigers. Likewise, even though conservation payments could protect wild tigers, the inability to enforce contracts militates against this. Our model indicates that wild tigers can be protected by permitting sale of products from tiger farms, although this likely requires the granting of an excl</w:instrText>
      </w:r>
      <w:r w:rsidR="00B2630D" w:rsidRPr="00814265">
        <w:rPr>
          <w:color w:val="000000" w:themeColor="text1"/>
          <w:lang w:val="pt-BR"/>
        </w:rPr>
        <w:instrText>usive license to sellers. Finally, it is possible to tradeoff enforcement effort and sale of products from captive-bred animals, but such tradeoffs are worsened by deteriorating tiger habitat. © 2010 Elsevier B.V.","author":[{"dropping-particle":"","family":"Abbott","given":"Brant","non-dropping-particle":"","parse-names":false,"suffix":""},{"dropping-particle":"","family":"Kooten","given":"G. Cornelis","non-dropping-particle":"van","parse-names":false,"suffix":""}],"container-title":"Ecological Economics","id":"ITEM-8","issue":"4","issued":{"date-parts":[["2011"]]},"page":"721-728","publisher":"Elsevier B.V.","title":"Can domestication of wildlife lead to conservation? The economics of tiger farming in China","type":"article-journal","volume":"70"},"uris":["http://www.mendeley.com/documents/?uuid=c1ef8df4-3f3d-4d51-8ee1-e16a09b7190f"]}],"mendeley":{"formattedCitation":"(Ojasti 1991; Cooper 1995; Hardouin 1995; Jori et al. 1995, 2005; Nogueira-Filho &amp; Nogueira 2004; Garcia et al. 2005; Abbott &amp; van Kooten 2011)","plainTextFormattedCitation":"(Ojasti 1991; Cooper 1995; Hardouin 1995; Jori et al. 1995, 2005; Nogueira-Filho &amp; Nogueira 2004; Garcia et al. 2005; Abbott &amp; van Kooten 2011)","previouslyFormattedCitation":"(Ojasti 1991; Cooper 1995; Hardouin 1995; Jori et al. 1995, 2005; Nogueira-Filho &amp; Nogueira 2004; Garcia et al. 2005; Abbott &amp; van Kooten 2011)"},"properties":{"noteIndex":0},"schema":"https://github.com/citation-style-language/schema/raw/master/csl-citation.json"}</w:instrText>
      </w:r>
      <w:r w:rsidR="00305C43">
        <w:rPr>
          <w:color w:val="000000" w:themeColor="text1"/>
        </w:rPr>
        <w:fldChar w:fldCharType="separate"/>
      </w:r>
      <w:r w:rsidR="00305C43" w:rsidRPr="00814265">
        <w:rPr>
          <w:noProof/>
          <w:color w:val="000000" w:themeColor="text1"/>
          <w:lang w:val="pt-BR"/>
        </w:rPr>
        <w:t>(Ojasti 1991; Cooper 1995; Hardouin 1995; Jori et al. 1995, 2005; Nogueira-Filho &amp; Nogueira 2004; Garcia et al. 2005; Abbott &amp; van Kooten 2011)</w:t>
      </w:r>
      <w:r w:rsidR="00305C43">
        <w:rPr>
          <w:color w:val="000000" w:themeColor="text1"/>
        </w:rPr>
        <w:fldChar w:fldCharType="end"/>
      </w:r>
      <w:r w:rsidRPr="00814265">
        <w:rPr>
          <w:color w:val="000000" w:themeColor="text1"/>
          <w:lang w:val="pt-BR"/>
        </w:rPr>
        <w:t xml:space="preserve">. </w:t>
      </w:r>
      <w:r w:rsidR="00A4550C">
        <w:rPr>
          <w:color w:val="000000" w:themeColor="text1"/>
        </w:rPr>
        <w:t xml:space="preserve">In the Amazon, </w:t>
      </w:r>
      <w:r w:rsidR="00A4550C">
        <w:t>i</w:t>
      </w:r>
      <w:r w:rsidR="00A4550C" w:rsidRPr="00974B4C">
        <w:t>t is also argued that this activity can decrease the expansion of pastures being established for rearing livestock</w:t>
      </w:r>
      <w:r w:rsidR="00A4550C">
        <w:t xml:space="preserve"> </w:t>
      </w:r>
      <w:r w:rsidR="00305C43">
        <w:fldChar w:fldCharType="begin" w:fldLock="1"/>
      </w:r>
      <w:r w:rsidR="00305C43">
        <w:instrText>ADDIN CSL_CITATION {"citationItems":[{"id":"ITEM-1","itemData":{"DOI":"10.1007/s10531-011-0047-7","author":[{"dropping-particle":"","family":"Nogueira","given":"S S C","non-dropping-particle":"","parse-names":false,"suffix":""},{"dropping-particle":"","family":"Nogueira-Filho","given":"S L G","non-dropping-particle":"","parse-names":false,"suffix":""}],"container-title":"Biodiversity and Conservation","id":"ITEM-1","issued":{"date-parts":[["2011"]]},"page":"1385-1397","title":"Wildlife farming: an alternative to unsustainable hunting and deforestation in Neotropical forests?","type":"article-journal","volume":"20"},"uris":["http://www.mendeley.com/documents/?uuid=0b246260-2902-4a44-b7f5-af78e40741f8"]}],"mendeley":{"formattedCitation":"(Nogueira &amp; Nogueira-Filho 2011)","plainTextFormattedCitation":"(Nogueira &amp; Nogueira-Filho 2011)","previouslyFormattedCitation":"(Nogueira &amp; Nogueira-Filho 2011)"},"properties":{"noteIndex":0},"schema":"https://github.com/citation-style-language/schema/raw/master/csl-citation.json"}</w:instrText>
      </w:r>
      <w:r w:rsidR="00305C43">
        <w:fldChar w:fldCharType="separate"/>
      </w:r>
      <w:r w:rsidR="00305C43" w:rsidRPr="00305C43">
        <w:rPr>
          <w:noProof/>
        </w:rPr>
        <w:t>(Nogueira &amp; Nogueira-Filho 2011)</w:t>
      </w:r>
      <w:r w:rsidR="00305C43">
        <w:fldChar w:fldCharType="end"/>
      </w:r>
      <w:r w:rsidR="00A4550C" w:rsidRPr="00974B4C">
        <w:t xml:space="preserve">. </w:t>
      </w:r>
      <w:r w:rsidR="00807449" w:rsidRPr="004904D8">
        <w:rPr>
          <w:color w:val="000000" w:themeColor="text1"/>
        </w:rPr>
        <w:t xml:space="preserve">Although widely discussed, analyses of </w:t>
      </w:r>
      <w:r w:rsidR="00807449" w:rsidRPr="005512D2">
        <w:rPr>
          <w:color w:val="000000" w:themeColor="text1"/>
        </w:rPr>
        <w:t>the impacts of wildlife farming</w:t>
      </w:r>
      <w:r w:rsidR="00351574" w:rsidRPr="003E3238">
        <w:rPr>
          <w:color w:val="000000" w:themeColor="text1"/>
        </w:rPr>
        <w:t xml:space="preserve"> on wild species populations and local livelihoods</w:t>
      </w:r>
      <w:r w:rsidR="0084316B">
        <w:rPr>
          <w:color w:val="000000" w:themeColor="text1"/>
        </w:rPr>
        <w:t xml:space="preserve"> are rare </w:t>
      </w:r>
      <w:r w:rsidR="00305C43">
        <w:rPr>
          <w:color w:val="000000" w:themeColor="text1"/>
        </w:rPr>
        <w:fldChar w:fldCharType="begin" w:fldLock="1"/>
      </w:r>
      <w:r w:rsidR="00305C43">
        <w:rPr>
          <w:color w:val="000000" w:themeColor="text1"/>
        </w:rPr>
        <w:instrText>ADDIN CSL_CITATION {"citationItems":[{"id":"ITEM-1","itemData":{"DOI":"10.1111/cobi.12160","ISBN":"08888892 (ISSN)","ISSN":"08888892","PMID":"24471784","abstract":"Market-based, supply-side interventions such as domestication, cultivation, and wildlife farming have been proposed as legal substitutes for wild-collected plants and animals in the marketplace. Based on the literature, we devised a list of the conditions under which supply-side interventions may yield positive conservation outcomes. We applied it to the trade of the orchid Rhynchostylis gigantea, a protected ornamental plant. We conducted a survey of R. gigantea at Jatujak Market in Bangkok, Thailand. Farmed (legal) and wild (illegal, protected) specimens of R. gigantea were sold side-by-side at market. These results suggest farmed specimens are not being substituted for wild plants in the marketplace. For any given set of physical plant characteristics (size, condition, flowers), the origin of the plants (wild vs. farmed) did not affect price. For all price classes, farmed plants were of superior quality to wild-collected plants on the basis of most physical variables. These results suggest wild and farmed specimens represent parallel markets and may not be substitutable goods. Our results with R. gigantea highlight a range of explanations for why supply-side interventions may lack effectiveness, for example, consumer preferences for wild-collected products and low financial incentives for farming. Our results suggest that market-based conservation strategies may not be effective by themselves and may be best utilized as supplements to regulation and education. This approach represents a broad, multidisciplinary evaluation of supply-side interventions that can be applied to other plant and animal species.","author":[{"dropping-particle":"","family":"Phelps","given":"J.","non-dropping-particle":"","parse-names":false,"suffix":""},{"dropping-particle":"","family":"Carrasco","given":"L. R.","non-dropping-particle":"","parse-names":false,"suffix":""},{"dropping-particle":"","family":"Webb","given":"E. L.","non-dropping-particle":"","parse-names":false,"suffix":""}],"container-title":"Conservation Biology","id":"ITEM-1","issue":"1","issued":{"date-parts":[["2014"]]},"page":"244-257","title":"A framework for assessing supply-side wildlife conservation","type":"article-journal","volume":"28"},"uris":["http://www.mendeley.com/documents/?uuid=b197139f-c22a-4f2f-90a3-19a59201c95a"]},{"id":"ITEM-2","itemData":{"DOI":"10.1111/cobi.12998","ISBN":"1089-8603 (Print)\\r1089-8603 (Linking)","ISSN":"15231739","PMID":"15740985","abstract":"Unsustainable wildlife trade affects biodiversity and the livelihoods of communities dependent upon those resources. Wildlife farming has often been proposed to promote sustainable trade but characterizing markets and understanding consumer behaviour remain neglected, but essential, steps with important implications for its design and evaluation. We used sea turtle trade in the Cayman Islands as a case study – where turtle meat for consumption has been produced for almost 50 years, to explore consumer preferences towards wild-sourced (illegal) and farmed (legal) products and potential conservation implications. Combining methods innovatively (including indirect questioning and choice experiments), we conducted a nationwide trade assessment. Whilst 30% of resident households had consumed turtle in the previous 12 months, the purchase and consumption of wild products was relatively rare (e.g. 64–742 resident households consumed wild turtle meat, representing 0.3-3.5% of resident households), although representing an important threat to wild turtles in the area due to reduced populations. We found marked differences among groups of consumers with price and source of product playing an important role in their decisions. Despite the long-term practice of farming turtle, some consumers showed a strong preference for wild products, demonstrating limitations of wildlife farming as a single tool for sustainable wildlife trade. By using a diversified toolset to investigate demand for wildlife products, we obtained insights about consumer behaviour that can be used to develop conservation demand-focused initiatives. Lack of long-term social-ecological assessments, a common issue worldwide, hinders the evaluation and learning potential of wildlife farming as conservation tool. This information is key to understanding under which conditions different interventions (e.g. bans, wildlife farming, social marketing) are likely to succeed. This article is protected by copyright. All rights reserved","author":[{"dropping-particle":"","family":"Nuno","given":"A.","non-dropping-particle":"","parse-names":false,"suffix":""},{"dropping-particle":"","family":"Blumenthal","given":"J. M.","non-dropping-particle":"","parse-names":false,"suffix":""},{"dropping-particle":"","family":"Austin","given":"T. J.","non-dropping-particle":"","parse-names":false,"suffix":""},{"dropping-particle":"","family":"Bothwell","given":"J.","non-dropping-particle":"","parse-names":false,"suffix":""},{"dropping-particle":"","family":"Ebanks-Petrie","given":"G.","non-dropping-particle":"","parse-names":false,"suffix":""},{"dropping-particle":"","family":"Godley","given":"B. J.","non-dropping-particle":"","parse-names":false,"suffix":""},{"dropping-particle":"","family":"Broderick","given":"A. C.","non-dropping-particle":"","parse-names":false,"suffix":""}],"container-title":"Conservation Biology","id":"ITEM-2","issue":"2","issued":{"date-parts":[["2018"]]},"page":"390-400","title":"Understanding implications of consumer behavior for wildlife farming and sustainable wildlife trade","type":"article-journal","volume":"32"},"uris":["http://www.mendeley.com/documents/?uuid=5764b25d-ba4f-4128-9c11-8ae52b5b7128"]}],"mendeley":{"formattedCitation":"(Phelps et al. 2014; Nuno et al. 2018)","manualFormatting":"(Phelps et al. 2014 but see Nuno et al. 2018)","plainTextFormattedCitation":"(Phelps et al. 2014; Nuno et al. 2018)","previouslyFormattedCitation":"(Phelps et al. 2014; Nuno et al. 2018)"},"properties":{"noteIndex":0},"schema":"https://github.com/citation-style-language/schema/raw/master/csl-citation.json"}</w:instrText>
      </w:r>
      <w:r w:rsidR="00305C43">
        <w:rPr>
          <w:color w:val="000000" w:themeColor="text1"/>
        </w:rPr>
        <w:fldChar w:fldCharType="separate"/>
      </w:r>
      <w:r w:rsidR="00305C43">
        <w:rPr>
          <w:noProof/>
          <w:color w:val="000000" w:themeColor="text1"/>
        </w:rPr>
        <w:t>(Phelps et al. 2014 but see</w:t>
      </w:r>
      <w:r w:rsidR="00305C43" w:rsidRPr="00305C43">
        <w:rPr>
          <w:noProof/>
          <w:color w:val="000000" w:themeColor="text1"/>
        </w:rPr>
        <w:t xml:space="preserve"> Nuno et al. 2018)</w:t>
      </w:r>
      <w:r w:rsidR="00305C43">
        <w:rPr>
          <w:color w:val="000000" w:themeColor="text1"/>
        </w:rPr>
        <w:fldChar w:fldCharType="end"/>
      </w:r>
      <w:r w:rsidR="00807449" w:rsidRPr="003E3238">
        <w:rPr>
          <w:color w:val="000000" w:themeColor="text1"/>
        </w:rPr>
        <w:t xml:space="preserve">. </w:t>
      </w:r>
      <w:r w:rsidRPr="00785A38">
        <w:rPr>
          <w:color w:val="000000" w:themeColor="text1"/>
        </w:rPr>
        <w:t xml:space="preserve">However, </w:t>
      </w:r>
      <w:r w:rsidR="00807449" w:rsidRPr="00785A38">
        <w:rPr>
          <w:color w:val="000000" w:themeColor="text1"/>
        </w:rPr>
        <w:t>recent</w:t>
      </w:r>
      <w:r w:rsidR="00F25546" w:rsidRPr="00785A38">
        <w:rPr>
          <w:color w:val="000000" w:themeColor="text1"/>
        </w:rPr>
        <w:t xml:space="preserve"> </w:t>
      </w:r>
      <w:r w:rsidR="00924988" w:rsidRPr="00785A38">
        <w:rPr>
          <w:color w:val="000000" w:themeColor="text1"/>
        </w:rPr>
        <w:t xml:space="preserve">analyses and reviews </w:t>
      </w:r>
      <w:r w:rsidR="00305C43">
        <w:rPr>
          <w:color w:val="000000" w:themeColor="text1"/>
        </w:rPr>
        <w:fldChar w:fldCharType="begin" w:fldLock="1"/>
      </w:r>
      <w:r w:rsidR="00566AAF">
        <w:rPr>
          <w:color w:val="000000" w:themeColor="text1"/>
        </w:rPr>
        <w:instrText>ADDIN CSL_CITATION {"citationItems":[{"id":"ITEM-1","itemData":{"ISBN":"9782831717036","author":[{"dropping-particle":"","family":"Wicander","given":"S","non-dropping-particle":"","parse-names":false,"suffix":""},{"dropping-particle":"","family":"Coad","given":"L","non-dropping-particle":"","parse-names":false,"suffix":""}],"id":"ITEM-1","issued":{"date-parts":[["2015"]]},"publisher-place":"University of Oxford, Oxford, UK, and IUCN, Gland, Switzerland","title":"Learning our Lessons. A review of alternative livelihood projects in Central Africa","type":"book"},"uris":["http://www.mendeley.com/documents/?uuid=db689e0c-f6fe-47d3-9cfd-84380720b447"]},{"id":"ITEM-2","itemData":{"DOI":"10.1016/j.biocon.2010.05.023","ISBN":"0006-3207","ISSN":"00063207","abstract":"Commercial trade is a major driver of over-exploitation of wild species, but the pattern of demand and how it responds to changes in supply is poorly understood. Here we explore the markets for snakes from Tonle Sap Lake in Cambodia to evaluate future exploitation scenarios, identify entry points for conservation and, more generally, to illustrate the value of multi-scale analysis of markets to traded wildlife conservation. In Cambodia, the largest driver of snake exploitation is the domestic trade in snakes as crocodile food. We estimate that farmed crocodiles consume between 2.7 and 12.2 million snakes per year. The market price for crocodiles has been in decline since 2003, which, combined with rising prices for their food, has led to a reduced frequency of feeding and closure of small farms. The large farms that generate a disproportionate amount of the demand for snakes continue to operate in anticipation of future market opportunities, and preferences for snakes could help maintain demand if market prices for crocodiles rise to pre 2003 levels. In the absence of a sustained demand from crocodile farms, it is also possible that alternative markets will develop, such as one for human snack food. The demand for snakes, however, also depends on the availability of substitute resources, principally fish. The substitutability and low price elasticity of demand offers a relatively sustainable form of consumerism. Given the nature of these market drivers, addressing consumer preferences and limiting the protection of snakes to their breeding season are likely to be the most effective tools for conservation. This study highlights the importance of understanding the structure of markets and the behaviour of consumer demand prior to implementing regulations on wildlife hunting and trade. © 2010 Elsevier Ltd.","author":[{"dropping-particle":"","family":"Brooks","given":"Sharon E.","non-dropping-particle":"","parse-names":false,"suffix":""},{"dropping-particle":"","family":"Allison","given":"Edward H.","non-dropping-particle":"","parse-names":false,"suffix":""},{"dropping-particle":"","family":"Gill","given":"Jennifer A.","non-dropping-particle":"","parse-names":false,"suffix":""},{"dropping-particle":"","family":"Reynolds","given":"John D.","non-dropping-particle":"","parse-names":false,"suffix":""}],"container-title":"Biological Conservation","id":"ITEM-2","issue":"9","issued":{"date-parts":[["2010"]]},"page":"2127-2135","publisher":"Elsevier Ltd","title":"Snake prices and crocodile appetites: aquatic wildlife supply and demand on Tonle Sap Lake, Cambodia","type":"article-journal","volume":"143"},"uris":["http://www.mendeley.com/documents/?uuid=32a5c6b2-a0a5-4f3c-aff8-0369fb375bf6"]},{"id":"ITEM-3","itemData":{"DOI":"10.1016/j.gecco.2016.03.007","ISBN":"23519894","ISSN":"23519894","abstract":"Wild animals and their derivatives are traded worldwide. Consequent poaching has been a main threat to species conservation. As current interventions and law enforcement cannot circumvent the resulting extinction of species, an alternative approach must be considered. It has been suggested that commercial breeding can keep the pressure off wild populations, referred to as wildlife farming. During this review, it is argued that wildlife farming can benefit species conservation only if the following criteria are met: (i) the legal products will form a substitute, and consumers show no preference for wild-caught animals; (ii) a substantial part of the demand is met, and the demand does not increase due to the legalized market; (iii) the legal products will be more cost-efficient, in order to combat the black market prices; (iv) wildlife farming does not rely on wild populations for re-stocking; (v) laundering of illegal products into the commercial trade is absent. For most species encountered in the wildlife trade, these criteria are unlikely to be met in reality and commercial breeding has the potential to have the opposite effect to what is desired for conservation. For some species, however, none of the criteria are violated, and wildlife farming can be considered a possible conservation tool as it may help to take the pressure off wild populations. For these species, future research should focus on the impact of legal products on the market dynamics, effective law enforcement that can prevent corruption, and wildlife forensics that enable the distinction between captive-bred and wild-caught species.","author":[{"dropping-particle":"","family":"Tensen","given":"Laura","non-dropping-particle":"","parse-names":false,"suffix":""}],"container-title":"Global Ecology and Conservation","id":"ITEM-3","issued":{"date-parts":[["2016"]]},"page":"286-298","publisher":"Elsevier B.V.","title":"Under what circumstances can wildlife farming benefit species conservation?","type":"article-journal","volume":"6"},"uris":["http://www.mendeley.com/documents/?uuid=0b6e9309-4146-4c94-88d8-f6f74c2a61c4"]}],"mendeley":{"formattedCitation":"(Brooks et al. 2010b; Wicander &amp; Coad 2015; Tensen 2016)","plainTextFormattedCitation":"(Brooks et al. 2010b; Wicander &amp; Coad 2015; Tensen 2016)","previouslyFormattedCitation":"(Brooks et al. 2010b; Wicander &amp; Coad 2015; Tensen 2016)"},"properties":{"noteIndex":0},"schema":"https://github.com/citation-style-language/schema/raw/master/csl-citation.json"}</w:instrText>
      </w:r>
      <w:r w:rsidR="00305C43">
        <w:rPr>
          <w:color w:val="000000" w:themeColor="text1"/>
        </w:rPr>
        <w:fldChar w:fldCharType="separate"/>
      </w:r>
      <w:r w:rsidR="007B247B" w:rsidRPr="007B247B">
        <w:rPr>
          <w:noProof/>
          <w:color w:val="000000" w:themeColor="text1"/>
        </w:rPr>
        <w:t>(Brooks et al. 2010b; Wicander &amp; Coad 2015; Tensen 2016)</w:t>
      </w:r>
      <w:r w:rsidR="00305C43">
        <w:rPr>
          <w:color w:val="000000" w:themeColor="text1"/>
        </w:rPr>
        <w:fldChar w:fldCharType="end"/>
      </w:r>
      <w:r w:rsidR="00305C43">
        <w:rPr>
          <w:color w:val="000000" w:themeColor="text1"/>
        </w:rPr>
        <w:t xml:space="preserve"> </w:t>
      </w:r>
      <w:r w:rsidR="00F25546" w:rsidRPr="00785A38">
        <w:rPr>
          <w:color w:val="000000" w:themeColor="text1"/>
        </w:rPr>
        <w:t xml:space="preserve">have </w:t>
      </w:r>
      <w:r w:rsidRPr="00785A38">
        <w:rPr>
          <w:color w:val="000000" w:themeColor="text1"/>
        </w:rPr>
        <w:t>suggest</w:t>
      </w:r>
      <w:r w:rsidR="00F25546" w:rsidRPr="00785A38">
        <w:rPr>
          <w:color w:val="000000" w:themeColor="text1"/>
        </w:rPr>
        <w:t>ed</w:t>
      </w:r>
      <w:r w:rsidRPr="00785A38">
        <w:rPr>
          <w:color w:val="000000" w:themeColor="text1"/>
        </w:rPr>
        <w:t xml:space="preserve"> that wildlife ranching projects</w:t>
      </w:r>
      <w:r w:rsidR="00F4531A" w:rsidRPr="00785A38">
        <w:rPr>
          <w:color w:val="000000" w:themeColor="text1"/>
        </w:rPr>
        <w:t xml:space="preserve"> with the aim of reducing h</w:t>
      </w:r>
      <w:r w:rsidR="007E6A17" w:rsidRPr="00785A38">
        <w:rPr>
          <w:color w:val="000000" w:themeColor="text1"/>
        </w:rPr>
        <w:t>unting pressure on wild species</w:t>
      </w:r>
      <w:r w:rsidRPr="00785A38">
        <w:rPr>
          <w:color w:val="000000" w:themeColor="text1"/>
        </w:rPr>
        <w:t xml:space="preserve"> </w:t>
      </w:r>
      <w:r w:rsidR="00F4531A" w:rsidRPr="00785A38">
        <w:rPr>
          <w:color w:val="000000" w:themeColor="text1"/>
        </w:rPr>
        <w:t>have not</w:t>
      </w:r>
      <w:r w:rsidR="0086793B" w:rsidRPr="00785A38">
        <w:rPr>
          <w:color w:val="000000" w:themeColor="text1"/>
        </w:rPr>
        <w:t xml:space="preserve"> </w:t>
      </w:r>
      <w:r w:rsidR="009D3A82" w:rsidRPr="00785A38">
        <w:rPr>
          <w:color w:val="000000" w:themeColor="text1"/>
        </w:rPr>
        <w:t xml:space="preserve">yet </w:t>
      </w:r>
      <w:r w:rsidR="00F4531A" w:rsidRPr="00785A38">
        <w:rPr>
          <w:color w:val="000000" w:themeColor="text1"/>
        </w:rPr>
        <w:t xml:space="preserve">met agreed criteria for success </w:t>
      </w:r>
      <w:r w:rsidR="000D48CB">
        <w:rPr>
          <w:color w:val="000000" w:themeColor="text1"/>
        </w:rPr>
        <w:fldChar w:fldCharType="begin" w:fldLock="1"/>
      </w:r>
      <w:r w:rsidR="00B2630D">
        <w:rPr>
          <w:color w:val="000000" w:themeColor="text1"/>
        </w:rPr>
        <w:instrText>ADDIN CSL_CITATION {"citationItems":[{"id":"ITEM-1","itemData":{"author":[{"dropping-particle":"","family":"Ojasti","given":"J","non-dropping-particle":"","parse-names":false,"suffix":""}],"container-title":"Neotropical Wildlife Use and Conservation","editor":[{"dropping-particle":"","family":"Robinson","given":"J G","non-dropping-particle":"","parse-names":false,"suffix":""},{"dropping-particle":"","family":"Redford","given":"K H","non-dropping-particle":"","parse-names":false,"suffix":""}],"id":"ITEM-1","issued":{"date-parts":[["1991"]]},"page":"236-252","publisher":"University of Chicago Press, Chicago, USA","title":"Human exploitation of capybara","type":"chapter"},"uris":["http://www.mendeley.com/documents/?uuid=0460ed01-4223-49cb-a5f2-496f27f912e8"]},{"id":"ITEM-2","itemData":{"DOI":"10.1016/j.gecco.2016.03.007","ISBN":"23519894","ISSN":"23519894","abstract":"Wild animals and their derivatives are traded worldwide. Consequent poaching has been a main threat to species conservation. As current interventions and law enforcement cannot circumvent the resulting extinction of species, an alternative approach must be considered. It has been suggested that commercial breeding can keep the pressure off wild populations, referred to as wildlife farming. During this review, it is argued that wildlife farming can benefit species conservation only if the following criteria are met: (i) the legal products will form a substitute, and consumers show no preference for wild-caught animals; (ii) a substantial part of the demand is met, and the demand does not increase due to the legalized market; (iii) the legal products will be more cost-efficient, in order to combat the black market prices; (iv) wildlife farming does not rely on wild populations for re-stocking; (v) laundering of illegal products into the commercial trade is absent. For most species encountered in the wildlife trade, these criteria are unlikely to be met in reality and commercial breeding has the potential to have the opposite effect to what is desired for conservation. For some species, however, none of the criteria are violated, and wildlife farming can be considered a possible conservation tool as it may help to take the pressure off wild populations. For these species, future research should focus on the impact of legal products on the market dynamics, effective law enforcement that can prevent corruption, and wildlife forensics that enable the distinction between captive-bred and wild-caught species.","author":[{"dropping-particle":"","family":"Tensen","given":"Laura","non-dropping-particle":"","parse-names":false,"suffix":""}],"container-title":"Global Ecology and Conservation","id":"ITEM-2","issued":{"date-parts":[["2016"]]},"page":"286-298","publisher":"Elsevier B.V.","title":"Under what circumstances can wildlife farming benefit species conservation?","type":"article-journal","volume":"6"},"uris":["http://www.mendeley.com/documents/?uuid=0b6e9309-4146-4c94-88d8-f6f74c2a61c4"]},{"id":"ITEM-3","itemData":{"DOI":"10.2307/23367342","author":[{"dropping-particle":"","family":"Biggs","given":"D","non-dropping-particle":"","parse-names":false,"suffix":""},{"dropping-particle":"","family":"Couchamp","given":"F.","non-dropping-particle":"","parse-names":false,"suffix":""},{"dropping-particle":"","family":"Martin","given":"R.","non-dropping-particle":"","parse-names":false,"suffix":""},{"dropping-particle":"","family":"Possingham","given":"H.","non-dropping-particle":"","parse-names":false,"suffix":""}],"container-title":"Science","id":"ITEM-3","issued":{"date-parts":[["2013"]]},"page":"1038 - 1039","title":"Legal trade of Africa’s rhino horns.","type":"article-journal","volume":"339"},"uris":["http://www.mendeley.com/documents/?uuid=1a05ab6a-8712-45d9-90ef-43be887afbbf"]}],"mendeley":{"formattedCitation":"(Ojasti 1991; Biggs et al. 2013; Tensen 2016)","plainTextFormattedCitation":"(Ojasti 1991; Biggs et al. 2013; Tensen 2016)","previouslyFormattedCitation":"(Ojasti 1991; Biggs et al. 2013; Tensen 2016)"},"properties":{"noteIndex":0},"schema":"https://github.com/citation-style-language/schema/raw/master/csl-citation.json"}</w:instrText>
      </w:r>
      <w:r w:rsidR="000D48CB">
        <w:rPr>
          <w:color w:val="000000" w:themeColor="text1"/>
        </w:rPr>
        <w:fldChar w:fldCharType="separate"/>
      </w:r>
      <w:r w:rsidR="000D48CB" w:rsidRPr="000D48CB">
        <w:rPr>
          <w:noProof/>
          <w:color w:val="000000" w:themeColor="text1"/>
        </w:rPr>
        <w:t>(Ojasti 1991; Biggs et al. 2013; Tensen 2016)</w:t>
      </w:r>
      <w:r w:rsidR="000D48CB">
        <w:rPr>
          <w:color w:val="000000" w:themeColor="text1"/>
        </w:rPr>
        <w:fldChar w:fldCharType="end"/>
      </w:r>
      <w:r w:rsidR="007B247B">
        <w:rPr>
          <w:color w:val="000000" w:themeColor="text1"/>
        </w:rPr>
        <w:t xml:space="preserve"> </w:t>
      </w:r>
      <w:r w:rsidR="000D48CB">
        <w:rPr>
          <w:color w:val="000000" w:themeColor="text1"/>
        </w:rPr>
        <w:t>(</w:t>
      </w:r>
      <w:r w:rsidR="007B247B">
        <w:rPr>
          <w:color w:val="000000" w:themeColor="text1"/>
        </w:rPr>
        <w:fldChar w:fldCharType="begin"/>
      </w:r>
      <w:r w:rsidR="007B247B">
        <w:rPr>
          <w:color w:val="000000" w:themeColor="text1"/>
        </w:rPr>
        <w:instrText xml:space="preserve"> REF _Ref519698369 \h </w:instrText>
      </w:r>
      <w:r w:rsidR="007B247B">
        <w:rPr>
          <w:color w:val="000000" w:themeColor="text1"/>
        </w:rPr>
      </w:r>
      <w:r w:rsidR="007B247B">
        <w:rPr>
          <w:color w:val="000000" w:themeColor="text1"/>
        </w:rPr>
        <w:fldChar w:fldCharType="separate"/>
      </w:r>
      <w:r w:rsidR="007B247B">
        <w:t xml:space="preserve">Figure </w:t>
      </w:r>
      <w:r w:rsidR="007B247B">
        <w:rPr>
          <w:noProof/>
        </w:rPr>
        <w:t>11</w:t>
      </w:r>
      <w:r w:rsidR="007B247B">
        <w:rPr>
          <w:color w:val="000000" w:themeColor="text1"/>
        </w:rPr>
        <w:fldChar w:fldCharType="end"/>
      </w:r>
      <w:r w:rsidR="007B247B">
        <w:rPr>
          <w:color w:val="000000" w:themeColor="text1"/>
        </w:rPr>
        <w:t>):</w:t>
      </w:r>
    </w:p>
    <w:p w14:paraId="04B80732" w14:textId="6FF723FF" w:rsidR="00462464" w:rsidRDefault="00284A73" w:rsidP="00462464">
      <w:pPr>
        <w:spacing w:after="0"/>
        <w:jc w:val="both"/>
        <w:rPr>
          <w:color w:val="000000" w:themeColor="text1"/>
        </w:rPr>
      </w:pPr>
      <w:r>
        <w:rPr>
          <w:color w:val="000000" w:themeColor="text1"/>
        </w:rPr>
        <w:t xml:space="preserve"> </w:t>
      </w:r>
    </w:p>
    <w:p w14:paraId="452CB5E0" w14:textId="33E0FAC5" w:rsidR="00F924FC" w:rsidRPr="00462464" w:rsidRDefault="00A158F0" w:rsidP="00462464">
      <w:pPr>
        <w:pStyle w:val="ListParagraph"/>
        <w:numPr>
          <w:ilvl w:val="0"/>
          <w:numId w:val="63"/>
        </w:numPr>
        <w:spacing w:after="0"/>
        <w:jc w:val="both"/>
      </w:pPr>
      <w:r w:rsidRPr="00462464">
        <w:rPr>
          <w:i/>
          <w:color w:val="000000" w:themeColor="text1"/>
        </w:rPr>
        <w:t>F</w:t>
      </w:r>
      <w:r w:rsidR="00015AE5" w:rsidRPr="00462464">
        <w:rPr>
          <w:i/>
          <w:color w:val="000000" w:themeColor="text1"/>
        </w:rPr>
        <w:t>armed products must provide</w:t>
      </w:r>
      <w:r w:rsidR="00205A59" w:rsidRPr="00462464">
        <w:rPr>
          <w:i/>
          <w:color w:val="000000" w:themeColor="text1"/>
        </w:rPr>
        <w:t xml:space="preserve"> a substitute for wild products</w:t>
      </w:r>
      <w:r w:rsidRPr="00462464">
        <w:rPr>
          <w:color w:val="000000" w:themeColor="text1"/>
        </w:rPr>
        <w:t>.</w:t>
      </w:r>
      <w:r w:rsidR="00FC226B" w:rsidRPr="00462464">
        <w:rPr>
          <w:color w:val="000000" w:themeColor="text1"/>
        </w:rPr>
        <w:t xml:space="preserve"> </w:t>
      </w:r>
      <w:r w:rsidR="002D5966" w:rsidRPr="00462464">
        <w:rPr>
          <w:color w:val="000000" w:themeColor="text1"/>
        </w:rPr>
        <w:t>In urban settings, wild meat is often consumed by wealthier members of society</w:t>
      </w:r>
      <w:r w:rsidR="00B33A4A" w:rsidRPr="00462464">
        <w:rPr>
          <w:color w:val="000000" w:themeColor="text1"/>
        </w:rPr>
        <w:t xml:space="preserve"> as a luxury item </w:t>
      </w:r>
      <w:r w:rsidR="002D5966" w:rsidRPr="00462464">
        <w:rPr>
          <w:color w:val="000000" w:themeColor="text1"/>
        </w:rPr>
        <w:t>to convey status and wealth</w:t>
      </w:r>
      <w:r w:rsidR="00B33A4A" w:rsidRPr="00462464">
        <w:rPr>
          <w:color w:val="000000" w:themeColor="text1"/>
        </w:rPr>
        <w:t xml:space="preserve"> </w:t>
      </w:r>
      <w:r w:rsidR="00D73A32" w:rsidRPr="00462464">
        <w:rPr>
          <w:color w:val="000000" w:themeColor="text1"/>
        </w:rPr>
        <w:t xml:space="preserve">(see Section </w:t>
      </w:r>
      <w:r w:rsidR="00D73A32" w:rsidRPr="00462464">
        <w:rPr>
          <w:color w:val="000000" w:themeColor="text1"/>
        </w:rPr>
        <w:fldChar w:fldCharType="begin"/>
      </w:r>
      <w:r w:rsidR="00D73A32" w:rsidRPr="00462464">
        <w:rPr>
          <w:color w:val="000000" w:themeColor="text1"/>
        </w:rPr>
        <w:instrText xml:space="preserve"> REF _Ref519603514 \r \h </w:instrText>
      </w:r>
      <w:r w:rsidR="00D73A32" w:rsidRPr="00462464">
        <w:rPr>
          <w:color w:val="000000" w:themeColor="text1"/>
        </w:rPr>
      </w:r>
      <w:r w:rsidR="00D73A32" w:rsidRPr="00462464">
        <w:rPr>
          <w:color w:val="000000" w:themeColor="text1"/>
        </w:rPr>
        <w:fldChar w:fldCharType="separate"/>
      </w:r>
      <w:r w:rsidR="007034F1">
        <w:rPr>
          <w:color w:val="000000" w:themeColor="text1"/>
        </w:rPr>
        <w:t>4.3.1</w:t>
      </w:r>
      <w:r w:rsidR="00D73A32" w:rsidRPr="00462464">
        <w:rPr>
          <w:color w:val="000000" w:themeColor="text1"/>
        </w:rPr>
        <w:fldChar w:fldCharType="end"/>
      </w:r>
      <w:r w:rsidR="00B33A4A" w:rsidRPr="00462464">
        <w:rPr>
          <w:color w:val="000000" w:themeColor="text1"/>
        </w:rPr>
        <w:t>)</w:t>
      </w:r>
      <w:r w:rsidR="002D5966" w:rsidRPr="00462464">
        <w:rPr>
          <w:color w:val="000000" w:themeColor="text1"/>
        </w:rPr>
        <w:t xml:space="preserve">. For these consumers, farmed sourced wild meat is not an appropriate substitute as it lacks the product characteristics needed to symbolically convey status and wealth– expense and rarity </w:t>
      </w:r>
      <w:r w:rsidR="00305C43">
        <w:rPr>
          <w:color w:val="000000" w:themeColor="text1"/>
        </w:rPr>
        <w:fldChar w:fldCharType="begin" w:fldLock="1"/>
      </w:r>
      <w:r w:rsidR="00305C43">
        <w:rPr>
          <w:color w:val="000000" w:themeColor="text1"/>
        </w:rPr>
        <w:instrText>ADDIN CSL_CITATION {"citationItems":[{"id":"ITEM-1","itemData":{"DOI":"10.1371/journal.pone.0134787","ISSN":"1932-6203","PMID":"26752642","abstract":"Vietnam is a significant consumer of wildlife, particularly wild meat, in urban restaurant settings. To meet this demand, poaching of wildlife is widespread, threatening regional and international biodiversity. Previous interventions to tackle illegal and potentially unsustainable consumption of wild meat in Vietnam have generally focused on limiting supply. While critical, they have been impeded by a lack of resources, the presence of increasingly organised criminal networks and corruption. Attention is, therefore, turning to the consumer, but a paucity of research investigating consumer demand for wild meat will impede the creation of effective consumer-centred interventions. Here we used a mixed-methods research approach comprising a hypothetical choice modelling survey and qualitative interviews to explore the drivers of wild meat consumption and consumer preferences among residents of Ho Chi Minh City, Vietnam. Our findings indicate that demand for wild meat is heterogeneous and highly context specific. Wild-sourced, rare, and expensive wild meat-types are eaten by those situated towards the top of the societal hierarchy to convey wealth and status and are commonly consumed in lucrative business contexts. Cheaper, legal and farmed substitutes for wild-sourced meats are also consumed, but typically in more casual consumption or social drinking settings. We explore the implications of our results for current conservation interventions in Vietnam that attempt to tackle illegal and potentially unsustainable trade in and consumption of wild meat and detail how our research informs future consumer-centric conservation actions.","author":[{"dropping-particle":"","family":"Shairp","given":"Rachel","non-dropping-particle":"","parse-names":false,"suffix":""},{"dropping-particle":"","family":"Veríssimo","given":"Diogo","non-dropping-particle":"","parse-names":false,"suffix":""},{"dropping-particle":"","family":"Fraser","given":"Iain","non-dropping-particle":"","parse-names":false,"suffix":""},{"dropping-particle":"","family":"Challender","given":"Daniel","non-dropping-particle":"","parse-names":false,"suffix":""},{"dropping-particle":"","family":"MacMillan","given":"Douglas","non-dropping-particle":"","parse-names":false,"suffix":""}],"container-title":"PloS one","id":"ITEM-1","issue":"1","issued":{"date-parts":[["2016","1"]]},"page":"e0134787","title":"Understanding urban demand for wild meat in Vietnam: implications for conservation actions","type":"article-journal","volume":"11"},"uris":["http://www.mendeley.com/documents/?uuid=16f60f29-219d-4b47-9cb9-2bab352ca360"]}],"mendeley":{"formattedCitation":"(Shairp et al. 2016)","plainTextFormattedCitation":"(Shairp et al. 2016)","previouslyFormattedCitation":"(Shairp et al. 2016)"},"properties":{"noteIndex":0},"schema":"https://github.com/citation-style-language/schema/raw/master/csl-citation.json"}</w:instrText>
      </w:r>
      <w:r w:rsidR="00305C43">
        <w:rPr>
          <w:color w:val="000000" w:themeColor="text1"/>
        </w:rPr>
        <w:fldChar w:fldCharType="separate"/>
      </w:r>
      <w:r w:rsidR="00305C43" w:rsidRPr="00305C43">
        <w:rPr>
          <w:noProof/>
          <w:color w:val="000000" w:themeColor="text1"/>
        </w:rPr>
        <w:t>(Shairp et al. 2016)</w:t>
      </w:r>
      <w:r w:rsidR="00305C43">
        <w:rPr>
          <w:color w:val="000000" w:themeColor="text1"/>
        </w:rPr>
        <w:fldChar w:fldCharType="end"/>
      </w:r>
      <w:r w:rsidR="009B270C" w:rsidRPr="00462464">
        <w:rPr>
          <w:color w:val="000000" w:themeColor="text1"/>
        </w:rPr>
        <w:t xml:space="preserve">. Urban </w:t>
      </w:r>
      <w:r w:rsidR="00AF0761" w:rsidRPr="00462464">
        <w:rPr>
          <w:color w:val="000000" w:themeColor="text1"/>
        </w:rPr>
        <w:t xml:space="preserve">consumers </w:t>
      </w:r>
      <w:r w:rsidR="003378E7" w:rsidRPr="00462464">
        <w:rPr>
          <w:color w:val="000000" w:themeColor="text1"/>
        </w:rPr>
        <w:t xml:space="preserve">often report </w:t>
      </w:r>
      <w:r w:rsidR="00CA0236" w:rsidRPr="00462464">
        <w:rPr>
          <w:color w:val="000000" w:themeColor="text1"/>
        </w:rPr>
        <w:t>a preference for wild-sourced meat</w:t>
      </w:r>
      <w:r w:rsidR="00674205" w:rsidRPr="00462464">
        <w:rPr>
          <w:color w:val="000000" w:themeColor="text1"/>
        </w:rPr>
        <w:t xml:space="preserve"> </w:t>
      </w:r>
      <w:r w:rsidR="009B270C" w:rsidRPr="00462464">
        <w:rPr>
          <w:color w:val="000000" w:themeColor="text1"/>
        </w:rPr>
        <w:t xml:space="preserve">reporting </w:t>
      </w:r>
      <w:r w:rsidR="00351574" w:rsidRPr="00462464">
        <w:rPr>
          <w:color w:val="000000" w:themeColor="text1"/>
        </w:rPr>
        <w:t>it to be tastier, healthier and,</w:t>
      </w:r>
      <w:r w:rsidR="009B270C" w:rsidRPr="00462464">
        <w:rPr>
          <w:color w:val="000000" w:themeColor="text1"/>
        </w:rPr>
        <w:t xml:space="preserve"> in the case of traditional medicines, more effective</w:t>
      </w:r>
      <w:r w:rsidR="00305C43">
        <w:rPr>
          <w:color w:val="000000" w:themeColor="text1"/>
        </w:rPr>
        <w:t xml:space="preserve"> </w:t>
      </w:r>
      <w:r w:rsidR="00305C43">
        <w:rPr>
          <w:color w:val="000000" w:themeColor="text1"/>
        </w:rPr>
        <w:fldChar w:fldCharType="begin" w:fldLock="1"/>
      </w:r>
      <w:r w:rsidR="007B247B">
        <w:rPr>
          <w:color w:val="000000" w:themeColor="text1"/>
        </w:rPr>
        <w:instrText>ADDIN CSL_CITATION {"citationItems":[{"id":"ITEM-1","itemData":{"DOI":"10.1371/journal.pone.0145901","ISBN":"1932-6203 (Electronic)\\r1932-6203 (Linking)","ISSN":"19326203","PMID":"26930487","abstract":"A wide array of wildlife species, including many animals, are used in traditional medicines across many medicinal systems, including in Traditional Chinese Medicine (TCM). Due to over-exploitation and habitat loss, the populations of many animals commonly used in TCM have declined and are unable to meet market demand. A number of measures have been taken to try to reduce the impact that this large and growing market for TCM may have on wild animal species. Consumer preferences and behavior are known to play an important role in the consumption and protection of wild animals used in traditional medicine, and thus are likely to be an important factor in the success of many of these mechanisms-particularly given the significant percentage of TCMs that are over-the-counter products (access to which is not mediated by practitioners). In this study we conducted questionnaires and designed stated preference experiments embodying different simulation scenarios using a random sample of the population in Beijing to elicit individuals' knowledge, perceptions and preferences toward wild or farmed animal materials and their substitutes used in traditional Chinese medicine. We found that respondents had a stated preference for wild materials over farm-raised and other alternatives because they believe that the effectiveness of wild-sourced materials is more credible than that of other sources. However, we also found that, although respondents used TCM products, they had a poor understanding of the function or composition of either traditional Chinese medicines or proprietary Chinese medicines (PCM), and paid little attention to the composition of products when making purchasing decisions. Furthermore, awareness of the need for species protection, or \"conservation consciousness\" was found to play an important role in willingness to accept substitutions for wild animal materials, while traditional animal medicinal materials (TAMs) derived from well-known endangered species, such as bear bile and tiger bone, show relatively higher substitutability. These results suggest that there is still hope for conservation measures which seek to promote a transition to farmed animal, plant and synthetic ingredients and provide clear directions for future social marketing, education and engagement efforts.","author":[{"dropping-particle":"","family":"Liu","given":"Zhao","non-dropping-particle":"","parse-names":false,"suffix":""},{"dropping-particle":"","family":"Jiang","given":"Zhigang","non-dropping-particle":"","parse-names":false,"suffix":""},{"dropping-particle":"","family":"Fang","given":"Hongxia","non-dropping-particle":"","parse-names":false,"suffix":""},{"dropping-particle":"","family":"Li","given":"Chunwang","non-dropping-particle":"","parse-names":false,"suffix":""},{"dropping-particle":"","family":"Mi","given":"Aizi","non-dropping-particle":"","parse-names":false,"suffix":""},{"dropping-particle":"","family":"Chen","given":"Jing","non-dropping-particle":"","parse-names":false,"suffix":""},{"dropping-particle":"","family":"Zhang","given":"Xiaowei","non-dropping-particle":"","parse-names":false,"suffix":""},{"dropping-particle":"","family":"Cui","given":"Shaopeng","non-dropping-particle":"","parse-names":false,"suffix":""},{"dropping-particle":"","family":"Chen","given":"Daiqiang","non-dropping-particle":"","parse-names":false,"suffix":""},{"dropping-particle":"","family":"Ping","given":"Xiaoge","non-dropping-particle":"","parse-names":false,"suffix":""},{"dropping-particle":"","family":"Li","given":"Feng","non-dropping-particle":"","parse-names":false,"suffix":""},{"dropping-particle":"","family":"Li","given":"Chunlin","non-dropping-particle":"","parse-names":false,"suffix":""},{"dropping-particle":"","family":"Tang","given":"Songhua","non-dropping-particle":"","parse-names":false,"suffix":""},{"dropping-particle":"","family":"Luo","given":"Zhenhua","non-dropping-particle":"","parse-names":false,"suffix":""},{"dropping-particle":"","family":"Zeng","given":"Yan","non-dropping-particle":"","parse-names":false,"suffix":""},{"dropping-particle":"","family":"Meng","given":"Zhibin","non-dropping-particle":"","parse-names":false,"suffix":""}],"container-title":"PLoS ONE","id":"ITEM-1","issue":"3","issued":{"date-parts":[["2016"]]},"page":"1-19","title":"Perception, price and preference: consumption and protection of wild animals used in traditional medicine","type":"article-journal","volume":"11"},"uris":["http://www.mendeley.com/documents/?uuid=2dd9fa02-28e7-464b-bf87-a9b0fc3daac5"]},{"id":"ITEM-2","itemData":{"DOI":"10.1371/journal.pone.0021243","ISBN":"1932-6203","ISSN":"19326203","PMID":"21799733","abstract":"Farming of animals and plants has recently been considered not merely as a more efficient and plentiful supply of their products but also as a means of protecting wild populations from that trade. Amongst these nascent farming products might be listed bear bile. Bear bile has been exploited by traditional Chinese medicinalists for millennia. Since the 1980s consumers have had the options of: illegal wild gall bladders, bile extracted from caged live bears or the acid synthesised chemically. Despite these alternatives bears continue to be harvested from the wild. In this paper we use stated preference techniques using a random sample of the Chinese population to estimate demand functions for wild bear bile with and without competition from farmed bear bile. We find a willingness to pay considerably more for wild bear bile than farmed. Wild bear bile has low own price elasticity and cross price elasticity with farmed bear bile. The ability of farmed bear bile to reduce demand for wild bear bile is at best limited and, at prevailing prices, may be close to zero or have the opposite effect. The demand functions estimated suggest that the own price elasticity of wild bear bile is lower when competing with farmed bear bile than when it is the only option available. This means that the incumbent product may actually sell more items at a higher price when competing than when alone in the market. This finding may be of broader interest to behavioural economists as we argue that one explanation may be that as product choice increases price has less impact on decision making. For the wildlife farming debate this indicates that at some prices the introduction of farmed competition might increase the demand for the wild product.","author":[{"dropping-particle":"","family":"Dutton","given":"Adam J.","non-dropping-particle":"","parse-names":false,"suffix":""},{"dropping-particle":"","family":"Hepburn","given":"Cameron","non-dropping-particle":"","parse-names":false,"suffix":""},{"dropping-particle":"","family":"Macdonald","given":"David W.","non-dropping-particle":"","parse-names":false,"suffix":""}],"container-title":"PLoS ONE","id":"ITEM-2","issue":"7","issued":{"date-parts":[["2011"]]},"title":"A stated preference investigation into the chinese demand for farmed vs. wild bear bile","type":"article-journal","volume":"6"},"uris":["http://www.mendeley.com/documents/?uuid=ca47907a-2137-4749-9cab-ad8b23460a48"]},{"id":"ITEM-3","itemData":{"DOI":"10.1111/j.1755-263X.2009.00078.x","ISBN":"1755-263X","ISSN":"1755263X","abstract":"Vietnam is an established thoroughfare for illegal trade in wildlife and growing urban prosperity is believed to be increasing domestic demand for wild animal products and for wild meat in particular. While the debate about the potential for wildlife farming to reduce incentives to hunt and trade continues, the findings of this study (based on data collected through semistructured interviews with the central Hanoi population) demonstrate that farming is not an effective tool in reducing demand for illegal wildlife products and may in fact stimulate greater demand for wild-caught products. In this context, conservation policy should seek to prevent listed species being farmed for consumption as wild meat; to reduce consumer demand for wild meat through marketing campaigns developed by social marketing experts and based on an in-depth understanding of the drivers of consumer demand garnered using appropriate social science research methods; and to continue strengthening regulation and enforcement actions preventing illegal trade in wild species.","author":[{"dropping-particle":"","family":"Drury","given":"Rebecca","non-dropping-particle":"","parse-names":false,"suffix":""}],"container-title":"Conservation Letters","id":"ITEM-3","issue":"6","issued":{"date-parts":[["2009"]]},"page":"263-270","title":"Reducing urban demand for wild animals in Vietnam: examining the potential of wildlife farming as a conservation tool","type":"article-journal","volume":"2"},"uris":["http://www.mendeley.com/documents/?uuid=54dd81bb-8565-4f6f-93b4-6cf15aec4deb"]},{"id":"ITEM-4","itemData":{"DOI":"10.1016/j.biocon.2010.07.030","ISBN":"0006-3207","ISSN":"00063207","abstract":"Commercial farming of wildlife, particularly in Southeast Asia, is currently the subject of much debate and to date, its conservation impact has been largely unexplored. This study used semi-structured interviews to build a detailed understanding of the dynamics of the commercial farming of Southeast Asian porcupine (Hystrix brachyura) in the northwest Vietnamese province of Son La. Although farm owners are obliged by law to propagate stock solely from farm-bred animals, 58% of farm owners admitted purchasing wild founder stock, with at least 19% continuing to buy wild individuals. Despite the number of farms, the primary demand on them is to supply other farms, and wild meat restaurants were still sourcing their meat from wild populations. Lower cost</w:instrText>
      </w:r>
      <w:r w:rsidR="007B247B" w:rsidRPr="00DF57F3">
        <w:rPr>
          <w:color w:val="000000" w:themeColor="text1"/>
          <w:lang w:val="fr-FR"/>
        </w:rPr>
        <w:instrText xml:space="preserve"> was a major factor driving the trade in wild animals, with wild adult porcupines being bought for half the price of farm-bred adults. With high demand from farms and restaurants, increased targeted hunting may be the cause of a dramatic decline in the wild population of porcupines across the region. © 2010 Elsevier Ltd.","author":[{"dropping-particle":"","family":"Brooks","given":"E. G E","non-dropping-particle":"","parse-names":false,"suffix":""},{"dropping-particle":"","family":"Roberton","given":"Scott I.","non-dropping-particle":"","parse-names":false,"suffix":""},{"dropping-particle":"","family":"Bell","given":"Diana J.","non-dropping-particle":"","parse-names":false,"suffix":""}],"container-title":"Biological Conservation","id":"ITEM-4","issue":"11","issued":{"date-parts":[["2010"]]},"page":"2808-2814","publisher":"Elsevier Ltd","title":"The conservation impact of commercial wildlife farming of porcupines in Vietnam","type":"article-journal","volume":"143"},"uris":["http://www.mendeley.com/documents/?uuid=a432eb91-ae0c-4f96-95c2-5fa6489e678e"]}],"mendeley":{"formattedCitation":"(Drury 2009; Brooks et al. 2010a; Dutton et al. 2011; Liu et al. 2016)","plainTextFormattedCitation":"(Drury 2009; Brooks et al. 2010a; Dutton et al. 2011; Liu et al. 2016)","previouslyFormattedCitation":"(Drury 2009; Brooks et al. 2010a; Dutton et al. 2011; Liu et al. 2016)"},"properties":{"noteIndex":0},"schema":"https://github.com/citation-style-language/schema/raw/master/csl-citation.json"}</w:instrText>
      </w:r>
      <w:r w:rsidR="00305C43">
        <w:rPr>
          <w:color w:val="000000" w:themeColor="text1"/>
        </w:rPr>
        <w:fldChar w:fldCharType="separate"/>
      </w:r>
      <w:r w:rsidR="007B247B" w:rsidRPr="00DF57F3">
        <w:rPr>
          <w:noProof/>
          <w:color w:val="000000" w:themeColor="text1"/>
          <w:lang w:val="fr-FR"/>
        </w:rPr>
        <w:t>(Drury 2009; Brooks et al. 2010a; Dutton et al. 2011; Liu et al. 2016)</w:t>
      </w:r>
      <w:r w:rsidR="00305C43">
        <w:rPr>
          <w:color w:val="000000" w:themeColor="text1"/>
        </w:rPr>
        <w:fldChar w:fldCharType="end"/>
      </w:r>
      <w:r w:rsidR="00305C43" w:rsidRPr="00DF57F3">
        <w:rPr>
          <w:color w:val="000000" w:themeColor="text1"/>
          <w:lang w:val="fr-FR"/>
        </w:rPr>
        <w:t xml:space="preserve">. </w:t>
      </w:r>
      <w:r w:rsidR="00C62A56" w:rsidRPr="00462464">
        <w:rPr>
          <w:color w:val="000000" w:themeColor="text1"/>
        </w:rPr>
        <w:t>In addition, in rural communities, adopters of wildlife ranching are often women, rather than hunters, and therefore wildlife ranching can become an additional activity, rather than a substitute for hunting</w:t>
      </w:r>
      <w:r w:rsidR="00305C43">
        <w:rPr>
          <w:color w:val="000000" w:themeColor="text1"/>
        </w:rPr>
        <w:t xml:space="preserve"> </w:t>
      </w:r>
      <w:r w:rsidR="00305C43">
        <w:rPr>
          <w:color w:val="000000" w:themeColor="text1"/>
        </w:rPr>
        <w:fldChar w:fldCharType="begin" w:fldLock="1"/>
      </w:r>
      <w:r w:rsidR="00305C43">
        <w:rPr>
          <w:color w:val="000000" w:themeColor="text1"/>
        </w:rPr>
        <w:instrText>ADDIN CSL_CITATION {"citationItems":[{"id":"ITEM-1","itemData":{"author":[{"dropping-particle":"","family":"Wicander","given":"S.","non-dropping-particle":"","parse-names":false,"suffix":""},{"dropping-particle":"","family":"Coad","given":"L.","non-dropping-particle":"","parse-names":false,"suffix":""}],"container-title":"Conservation and Society","id":"ITEM-1","issue":"4","issued":{"date-parts":[["2018"]]},"page":"441-458","title":"Can the provision of alternative livelihoods reduce the impact of wild meat hunting in West and Central Africa?","type":"article-journal","volume":"16"},"uris":["http://www.mendeley.com/documents/?uuid=8af76451-bff9-4fa3-a9a5-18e294a3d629"]}],"mendeley":{"formattedCitation":"(Wicander &amp; Coad 2018)","plainTextFormattedCitation":"(Wicander &amp; Coad 2018)","previouslyFormattedCitation":"(Wicander &amp; Coad 2018)"},"properties":{"noteIndex":0},"schema":"https://github.com/citation-style-language/schema/raw/master/csl-citation.json"}</w:instrText>
      </w:r>
      <w:r w:rsidR="00305C43">
        <w:rPr>
          <w:color w:val="000000" w:themeColor="text1"/>
        </w:rPr>
        <w:fldChar w:fldCharType="separate"/>
      </w:r>
      <w:r w:rsidR="00305C43" w:rsidRPr="00305C43">
        <w:rPr>
          <w:noProof/>
          <w:color w:val="000000" w:themeColor="text1"/>
        </w:rPr>
        <w:t>(Wicander &amp; Coad 2018)</w:t>
      </w:r>
      <w:r w:rsidR="00305C43">
        <w:rPr>
          <w:color w:val="000000" w:themeColor="text1"/>
        </w:rPr>
        <w:fldChar w:fldCharType="end"/>
      </w:r>
      <w:r w:rsidR="00C62A56" w:rsidRPr="00462464">
        <w:rPr>
          <w:color w:val="000000" w:themeColor="text1"/>
        </w:rPr>
        <w:t>.</w:t>
      </w:r>
    </w:p>
    <w:p w14:paraId="3AF99261" w14:textId="77777777" w:rsidR="00F924FC" w:rsidRPr="005512D2" w:rsidRDefault="00F924FC" w:rsidP="00C258BC">
      <w:pPr>
        <w:pStyle w:val="ListParagraph"/>
        <w:jc w:val="both"/>
        <w:rPr>
          <w:color w:val="000000" w:themeColor="text1"/>
        </w:rPr>
      </w:pPr>
    </w:p>
    <w:p w14:paraId="65FF8FF6" w14:textId="2286D2D3" w:rsidR="00C62A56" w:rsidRPr="0070404D" w:rsidRDefault="00A158F0" w:rsidP="00C258BC">
      <w:pPr>
        <w:pStyle w:val="ListParagraph"/>
        <w:numPr>
          <w:ilvl w:val="0"/>
          <w:numId w:val="12"/>
        </w:numPr>
        <w:jc w:val="both"/>
      </w:pPr>
      <w:r w:rsidRPr="003E3238">
        <w:rPr>
          <w:i/>
        </w:rPr>
        <w:t xml:space="preserve">The </w:t>
      </w:r>
      <w:r w:rsidR="00015AE5" w:rsidRPr="003E3238">
        <w:rPr>
          <w:i/>
        </w:rPr>
        <w:t xml:space="preserve">demand for wildlife products </w:t>
      </w:r>
      <w:r w:rsidRPr="00EE2428">
        <w:rPr>
          <w:i/>
        </w:rPr>
        <w:t>is met and does not increase.</w:t>
      </w:r>
      <w:r w:rsidR="00015AE5" w:rsidRPr="00EE2428">
        <w:t xml:space="preserve"> </w:t>
      </w:r>
      <w:r w:rsidR="00FC226B" w:rsidRPr="0064175F">
        <w:t xml:space="preserve">Theoretically, any percentage of the demand that can be covered by wildlife farming </w:t>
      </w:r>
      <w:r w:rsidR="00351574" w:rsidRPr="0070404D">
        <w:t>should reduce</w:t>
      </w:r>
      <w:r w:rsidR="00FC226B" w:rsidRPr="0070404D">
        <w:t xml:space="preserve"> pressure on wild populations </w:t>
      </w:r>
      <w:r w:rsidR="00305C43">
        <w:fldChar w:fldCharType="begin" w:fldLock="1"/>
      </w:r>
      <w:r w:rsidR="00305C43">
        <w:instrText>ADDIN CSL_CITATION {"citationItems":[{"id":"ITEM-1","itemData":{"author":[{"dropping-particle":"","family":"Jori","given":"F","non-dropping-particle":"","parse-names":false,"suffix":""},{"dropping-particle":"","family":"Mensah","given":"G A","non-dropping-particle":"","parse-names":false,"suffix":""},{"dropping-particle":"","family":"Adjanohoun","given":"E","non-dropping-particle":"","parse-names":false,"suffix":""}],"container-title":"Biodiversity and Conservation","id":"ITEM-1","issued":{"date-parts":[["1995"]]},"page":"257-265","title":"Grasscutter production: an example of rational exploitation of wildlife","type":"article-journal","volume":"4"},"uris":["http://www.mendeley.com/documents/?uuid=ab3eeecb-f64a-466e-b9ef-5fd9df1c1312"]}],"mendeley":{"formattedCitation":"(Jori et al. 1995)","plainTextFormattedCitation":"(Jori et al. 1995)","previouslyFormattedCitation":"(Jori et al. 1995)"},"properties":{"noteIndex":0},"schema":"https://github.com/citation-style-language/schema/raw/master/csl-citation.json"}</w:instrText>
      </w:r>
      <w:r w:rsidR="00305C43">
        <w:fldChar w:fldCharType="separate"/>
      </w:r>
      <w:r w:rsidR="00305C43" w:rsidRPr="00305C43">
        <w:rPr>
          <w:noProof/>
        </w:rPr>
        <w:t>(Jori et al. 1995)</w:t>
      </w:r>
      <w:r w:rsidR="00305C43">
        <w:fldChar w:fldCharType="end"/>
      </w:r>
      <w:r w:rsidR="00FC226B" w:rsidRPr="0070404D">
        <w:t xml:space="preserve">. </w:t>
      </w:r>
      <w:r w:rsidR="00F924FC" w:rsidRPr="0070404D">
        <w:t xml:space="preserve">However, </w:t>
      </w:r>
      <w:r w:rsidR="00C07702" w:rsidRPr="0070404D">
        <w:t>currently</w:t>
      </w:r>
      <w:r w:rsidR="00F924FC" w:rsidRPr="0070404D">
        <w:t xml:space="preserve"> </w:t>
      </w:r>
      <w:r w:rsidR="003704B6" w:rsidRPr="0070404D">
        <w:t>a</w:t>
      </w:r>
      <w:r w:rsidR="00F924FC" w:rsidRPr="0070404D">
        <w:t xml:space="preserve"> </w:t>
      </w:r>
      <w:r w:rsidR="003704B6" w:rsidRPr="0070404D">
        <w:t>common limitation</w:t>
      </w:r>
      <w:r w:rsidR="00F924FC" w:rsidRPr="0070404D">
        <w:t xml:space="preserve"> of </w:t>
      </w:r>
      <w:r w:rsidR="003704B6" w:rsidRPr="0070404D">
        <w:t>wildlife ranching</w:t>
      </w:r>
      <w:r w:rsidR="00F924FC" w:rsidRPr="0070404D">
        <w:t xml:space="preserve"> projects has been their scale, </w:t>
      </w:r>
      <w:r w:rsidR="00C62A56" w:rsidRPr="0070404D">
        <w:t xml:space="preserve">as they </w:t>
      </w:r>
      <w:r w:rsidR="00F924FC" w:rsidRPr="0070404D">
        <w:t xml:space="preserve">often only </w:t>
      </w:r>
      <w:r w:rsidR="00C62A56" w:rsidRPr="0070404D">
        <w:t>supply</w:t>
      </w:r>
      <w:r w:rsidR="00F924FC" w:rsidRPr="0070404D">
        <w:t xml:space="preserve"> </w:t>
      </w:r>
      <w:r w:rsidR="00C62A56" w:rsidRPr="0070404D">
        <w:t xml:space="preserve">a </w:t>
      </w:r>
      <w:r w:rsidR="00F924FC" w:rsidRPr="0070404D">
        <w:t xml:space="preserve">small number of participants/communities </w:t>
      </w:r>
      <w:r w:rsidR="00305C43">
        <w:fldChar w:fldCharType="begin" w:fldLock="1"/>
      </w:r>
      <w:r w:rsidR="00305C43">
        <w:instrText>ADDIN CSL_CITATION {"citationItems":[{"id":"ITEM-1","itemData":{"author":[{"dropping-particle":"","family":"Wicander","given":"S.","non-dropping-particle":"","parse-names":false,"suffix":""},{"dropping-particle":"","family":"Coad","given":"L.","non-dropping-particle":"","parse-names":false,"suffix":""}],"container-title":"Conservation and Society","id":"ITEM-1","issue":"4","issued":{"date-parts":[["2018"]]},"page":"441-458","title":"Can the provision of alternative livelihoods reduce the impact of wild meat hunting in West and Central Africa?","type":"article-journal","volume":"16"},"uris":["http://www.mendeley.com/documents/?uuid=8af76451-bff9-4fa3-a9a5-18e294a3d629"]}],"mendeley":{"formattedCitation":"(Wicander &amp; Coad 2018)","plainTextFormattedCitation":"(Wicander &amp; Coad 2018)","previouslyFormattedCitation":"(Wicander &amp; Coad 2018)"},"properties":{"noteIndex":0},"schema":"https://github.com/citation-style-language/schema/raw/master/csl-citation.json"}</w:instrText>
      </w:r>
      <w:r w:rsidR="00305C43">
        <w:fldChar w:fldCharType="separate"/>
      </w:r>
      <w:r w:rsidR="00305C43" w:rsidRPr="00305C43">
        <w:rPr>
          <w:noProof/>
        </w:rPr>
        <w:t>(Wicander &amp; Coad 2018)</w:t>
      </w:r>
      <w:r w:rsidR="00305C43">
        <w:fldChar w:fldCharType="end"/>
      </w:r>
      <w:r w:rsidR="00F924FC" w:rsidRPr="0070404D">
        <w:t xml:space="preserve">. This is unlikely to offset the increasing levels of wild meat consumption in small towns, which will require the production of </w:t>
      </w:r>
      <w:r w:rsidR="00351574" w:rsidRPr="0070404D">
        <w:t xml:space="preserve">much </w:t>
      </w:r>
      <w:r w:rsidR="00F924FC" w:rsidRPr="0070404D">
        <w:t xml:space="preserve">larger volumes of low-cost substitute proteins. In some cases, such as for porcupine farming in Vietnam, captive rearing may be increasing pressure on </w:t>
      </w:r>
      <w:r w:rsidR="00F924FC" w:rsidRPr="0070404D">
        <w:lastRenderedPageBreak/>
        <w:t xml:space="preserve">wild populations, due to the high demand for founder-stock </w:t>
      </w:r>
      <w:r w:rsidR="00305C43">
        <w:fldChar w:fldCharType="begin" w:fldLock="1"/>
      </w:r>
      <w:r w:rsidR="007B247B">
        <w:instrText>ADDIN CSL_CITATION {"citationItems":[{"id":"ITEM-1","itemData":{"DOI":"10.1016/j.biocon.2010.05.023","ISBN":"0006-3207","ISSN":"00063207","abstract":"Commercial trade is a major driver of over-exploitation of wild species, but the pattern of demand and how it responds to changes in supply is poorly understood. Here we explore the markets for snakes from Tonle Sap Lake in Cambodia to evaluate future exploitation scenarios, identify entry points for conservation and, more generally, to illustrate the value of multi-scale analysis of markets to traded wildlife conservation. In Cambodia, the largest driver of snake exploitation is the domestic trade in snakes as crocodile food. We estimate that farmed crocodiles consume between 2.7 and 12.2 million snakes per year. The market price for crocodiles has been in decline since 2003, which, combined with rising prices for their food, has led to a reduced frequency of feeding and closure of small farms. The large farms that generate a disproportionate amount of the demand for snakes continue to operate in anticipation of future market opportunities, and preferences for snakes could help maintain demand if market prices for crocodiles rise to pre 2003 levels. In the absence of a sustained demand from crocodile farms, it is also possible that alternative markets will develop, such as one for human snack food. The demand for snakes, however, also depends on the availability of substitute resources, principally fish. The substitutability and low price elasticity of demand offers a relatively sustainable form of consumerism. Given the nature of these market drivers, addressing consumer preferences and limiting the protection of snakes to their breeding season are likely to be the most effective tools for conservation. This study highlights the importance of understanding the structure of markets and the behaviour of consumer demand prior to implementing regulations on wildlife hunting and trade. © 2010 Elsevier Ltd.","author":[{"dropping-particle":"","family":"Brooks","given":"Sharon E.","non-dropping-particle":"","parse-names":false,"suffix":""},{"dropping-particle":"","family":"Allison","given":"Edward H.","non-dropping-particle":"","parse-names":false,"suffix":""},{"dropping-particle":"","family":"Gill","given":"Jennifer A.","non-dropping-particle":"","parse-names":false,"suffix":""},{"dropping-particle":"","family":"Reynolds","given":"John D.","non-dropping-particle":"","parse-names":false,"suffix":""}],"container-title":"Biological Conservation","id":"ITEM-1","issue":"9","issued":{"date-parts":[["2010"]]},"page":"2127-2135","publisher":"Elsevier Ltd","title":"Snake prices and crocodile appetites: aquatic wildlife supply and demand on Tonle Sap Lake, Cambodia","type":"article-journal","volume":"143"},"uris":["http://www.mendeley.com/documents/?uuid=32a5c6b2-a0a5-4f3c-aff8-0369fb375bf6"]}],"mendeley":{"formattedCitation":"(Brooks et al. 2010b)","manualFormatting":"(Brooks et al. 2010a)","plainTextFormattedCitation":"(Brooks et al. 2010b)","previouslyFormattedCitation":"(Brooks et al. 2010b)"},"properties":{"noteIndex":0},"schema":"https://github.com/citation-style-language/schema/raw/master/csl-citation.json"}</w:instrText>
      </w:r>
      <w:r w:rsidR="00305C43">
        <w:fldChar w:fldCharType="separate"/>
      </w:r>
      <w:r w:rsidR="007B247B">
        <w:rPr>
          <w:noProof/>
        </w:rPr>
        <w:fldChar w:fldCharType="begin" w:fldLock="1"/>
      </w:r>
      <w:r w:rsidR="007B247B">
        <w:rPr>
          <w:noProof/>
        </w:rPr>
        <w:instrText>ADDIN CSL_CITATION {"citationItems":[{"id":"ITEM-1","itemData":{"DOI":"10.1016/j.biocon.2010.07.030","ISBN":"0006-3207","ISSN":"00063207","abstract":"Commercial farming of wildlife, particularly in Southeast Asia, is currently the subject of much debate and to date, its conservation impact has been largely unexplored. This study used semi-structured interviews to build a detailed understanding of the dynamics of the commercial farming of Southeast Asian porcupine (Hystrix brachyura) in the northwest Vietnamese province of Son La. Although farm owners are obliged by law to propagate stock solely from farm-bred animals, 58% of farm owners admitted purchasing wild founder stock, with at least 19% continuing to buy wild individuals. Despite the number of farms, the primary demand on them is to supply other farms, and wild meat restaurants were still sourcing their meat from wild populations. Lower cost was a major factor driving the trade in wild animals, with wild adult porcupines being bought for half the price of farm-bred adults. With high demand from farms and restaurants, increased targeted hunting may be the cause of a dramatic decline in the wild population of porcupines across the region. © 2010 Elsevier Ltd.","author":[{"dropping-particle":"","family":"Brooks","given":"E. G E","non-dropping-particle":"","parse-names":false,"suffix":""},{"dropping-particle":"","family":"Roberton","given":"Scott I.","non-dropping-particle":"","parse-names":false,"suffix":""},{"dropping-particle":"","family":"Bell","given":"Diana J.","non-dropping-particle":"","parse-names":false,"suffix":""}],"container-title":"Biological Conservation","id":"ITEM-1","issue":"11","issued":{"date-parts":[["2010"]]},"page":"2808-2814","publisher":"Elsevier Ltd","title":"The conservation impact of commercial wildlife farming of porcupines in Vietnam","type":"article-journal","volume":"143"},"uris":["http://www.mendeley.com/documents/?uuid=a432eb91-ae0c-4f96-95c2-5fa6489e678e"]}],"mendeley":{"formattedCitation":"(Brooks et al. 2010a)","plainTextFormattedCitation":"(Brooks et al. 2010a)","previouslyFormattedCitation":"(Brooks et al. 2010a)"},"properties":{"noteIndex":0},"schema":"https://github.com/citation-style-language/schema/raw/master/csl-citation.json"}</w:instrText>
      </w:r>
      <w:r w:rsidR="007B247B">
        <w:rPr>
          <w:noProof/>
        </w:rPr>
        <w:fldChar w:fldCharType="separate"/>
      </w:r>
      <w:r w:rsidR="007B247B" w:rsidRPr="007B247B">
        <w:rPr>
          <w:noProof/>
        </w:rPr>
        <w:t>(Brooks et al. 2010a)</w:t>
      </w:r>
      <w:r w:rsidR="007B247B">
        <w:rPr>
          <w:noProof/>
        </w:rPr>
        <w:fldChar w:fldCharType="end"/>
      </w:r>
      <w:r w:rsidR="00305C43">
        <w:fldChar w:fldCharType="end"/>
      </w:r>
      <w:r w:rsidR="007B247B" w:rsidRPr="0070404D">
        <w:t xml:space="preserve"> </w:t>
      </w:r>
      <w:r w:rsidR="00F924FC" w:rsidRPr="0070404D">
        <w:t>, see below).</w:t>
      </w:r>
      <w:r w:rsidR="003704B6" w:rsidRPr="0070404D">
        <w:t xml:space="preserve"> </w:t>
      </w:r>
    </w:p>
    <w:p w14:paraId="3F7F1B25" w14:textId="77777777" w:rsidR="00C62A56" w:rsidRPr="0070404D" w:rsidRDefault="00C62A56" w:rsidP="00C258BC">
      <w:pPr>
        <w:pStyle w:val="ListParagraph"/>
        <w:jc w:val="both"/>
        <w:rPr>
          <w:color w:val="000000" w:themeColor="text1"/>
        </w:rPr>
      </w:pPr>
    </w:p>
    <w:p w14:paraId="131187A8" w14:textId="165D35E5" w:rsidR="00015AE5" w:rsidRPr="0070404D" w:rsidRDefault="00A158F0" w:rsidP="00C258BC">
      <w:pPr>
        <w:pStyle w:val="ListParagraph"/>
        <w:numPr>
          <w:ilvl w:val="0"/>
          <w:numId w:val="12"/>
        </w:numPr>
        <w:jc w:val="both"/>
        <w:rPr>
          <w:color w:val="000000" w:themeColor="text1"/>
        </w:rPr>
      </w:pPr>
      <w:r w:rsidRPr="0070404D">
        <w:rPr>
          <w:i/>
          <w:color w:val="000000" w:themeColor="text1"/>
        </w:rPr>
        <w:t>L</w:t>
      </w:r>
      <w:r w:rsidR="00015AE5" w:rsidRPr="0070404D">
        <w:rPr>
          <w:i/>
          <w:color w:val="000000" w:themeColor="text1"/>
        </w:rPr>
        <w:t>egalized farming is more cost-efficient tha</w:t>
      </w:r>
      <w:r w:rsidRPr="0070404D">
        <w:rPr>
          <w:i/>
          <w:color w:val="000000" w:themeColor="text1"/>
        </w:rPr>
        <w:t xml:space="preserve">n illegal </w:t>
      </w:r>
      <w:r w:rsidR="00965460" w:rsidRPr="0070404D">
        <w:rPr>
          <w:i/>
          <w:color w:val="000000" w:themeColor="text1"/>
        </w:rPr>
        <w:t>hunting</w:t>
      </w:r>
      <w:r w:rsidRPr="0070404D">
        <w:rPr>
          <w:i/>
          <w:color w:val="000000" w:themeColor="text1"/>
        </w:rPr>
        <w:t xml:space="preserve">. </w:t>
      </w:r>
      <w:r w:rsidR="003704B6" w:rsidRPr="0070404D">
        <w:rPr>
          <w:color w:val="000000" w:themeColor="text1"/>
        </w:rPr>
        <w:t xml:space="preserve">In most contexts, hunting </w:t>
      </w:r>
      <w:r w:rsidR="00C07702" w:rsidRPr="0070404D">
        <w:rPr>
          <w:color w:val="000000" w:themeColor="text1"/>
        </w:rPr>
        <w:t>is still</w:t>
      </w:r>
      <w:r w:rsidR="00395B22" w:rsidRPr="0070404D">
        <w:rPr>
          <w:color w:val="000000" w:themeColor="text1"/>
        </w:rPr>
        <w:t xml:space="preserve"> cheaper that wildlife farming</w:t>
      </w:r>
      <w:r w:rsidR="003704B6" w:rsidRPr="0070404D">
        <w:rPr>
          <w:color w:val="000000" w:themeColor="text1"/>
        </w:rPr>
        <w:t>. While hunting (especially snare hunting) can have very low direct and opportunity costs</w:t>
      </w:r>
      <w:r w:rsidR="00C07702" w:rsidRPr="0070404D">
        <w:rPr>
          <w:color w:val="000000" w:themeColor="text1"/>
        </w:rPr>
        <w:t xml:space="preserve"> where wildlife populations are still intact</w:t>
      </w:r>
      <w:r w:rsidR="003704B6" w:rsidRPr="0070404D">
        <w:rPr>
          <w:color w:val="000000" w:themeColor="text1"/>
        </w:rPr>
        <w:t>, raising wild species in captivity can require significant investments</w:t>
      </w:r>
      <w:r w:rsidR="00395B22" w:rsidRPr="0070404D">
        <w:rPr>
          <w:color w:val="000000" w:themeColor="text1"/>
        </w:rPr>
        <w:t xml:space="preserve"> in the housing construction</w:t>
      </w:r>
      <w:r w:rsidR="00965460" w:rsidRPr="0070404D">
        <w:rPr>
          <w:color w:val="000000" w:themeColor="text1"/>
        </w:rPr>
        <w:t>,</w:t>
      </w:r>
      <w:r w:rsidR="00395B22" w:rsidRPr="0070404D">
        <w:rPr>
          <w:color w:val="000000" w:themeColor="text1"/>
        </w:rPr>
        <w:t xml:space="preserve"> feeding</w:t>
      </w:r>
      <w:r w:rsidR="00965460" w:rsidRPr="0070404D">
        <w:rPr>
          <w:color w:val="000000" w:themeColor="text1"/>
        </w:rPr>
        <w:t>, fencing and veterinary care</w:t>
      </w:r>
      <w:r w:rsidR="00C01D0E" w:rsidRPr="0070404D">
        <w:rPr>
          <w:color w:val="000000" w:themeColor="text1"/>
        </w:rPr>
        <w:t xml:space="preserve"> </w:t>
      </w:r>
      <w:r w:rsidR="00305C43">
        <w:rPr>
          <w:color w:val="000000" w:themeColor="text1"/>
        </w:rPr>
        <w:fldChar w:fldCharType="begin" w:fldLock="1"/>
      </w:r>
      <w:r w:rsidR="00C42431">
        <w:rPr>
          <w:color w:val="000000" w:themeColor="text1"/>
        </w:rPr>
        <w:instrText>ADDIN CSL_CITATION {"citationItems":[{"id":"ITEM-1","itemData":{"ISBN":"0267-4297","ISSN":"0267-4297","abstract":"Indonesia is one of the world’s largest exporters of frogs’ legs for consumption as food. The majority of the frogs are\\r\\ncaught in natural habitat on the island of Java - predominantly the Crab-eating Frog Fejervarya cancrivora (75%), and the Giant Javan Frog Limnonectes macrodon (19%). While the greater number of frogs taken is for local consumption, the available data show increasing numbers of frogs’ legs have been exported from Indonesia over time - from around 28 t in 1969, rising to around 5600 t in 1992 and then declining to around 3800 t in 2002. A strong increase in exports after 1985 corresponded with the banning in that year of exports of edible frogs from India and Pakistan - formerly the principal exporters of frogs’ legs. This paper examines the trade in Indonesia based on export data covering 34 years (1969 to 2002) and market surveys and interviews conducted in 2001 to 2003. Although some concern has been raised about the trade, this paper discusses the possibility that the current level of harvest has not depleted Indonesia’s population of edible frogs. However, it is not possible at the moment to state that current harvest levels are not a problem as insufficient information is available on production for the substantial domestic market.","author":[{"dropping-particle":"","family":"Kusrini","given":"Mirza D","non-dropping-particle":"","parse-names":false,"suffix":""},{"dropping-particle":"","family":"Alford","given":"Ross A","non-dropping-particle":"","parse-names":false,"suffix":""}],"container-title":"Traffic","id":"ITEM-1","issue":"1","issued":{"date-parts":[["2006"]]},"page":"13-24","title":"Indonesia’s exports of frogs’ legs","type":"article-journal","volume":"21"},"uris":["http://www.mendeley.com/documents/?uuid=fac97aa5-fd43-4cd1-a2d4-25a670cdd3d6"]},{"id":"ITEM-2","itemData":{"DOI":"10.1016/j.gecco.2016.03.007","ISBN":"23519894","ISSN":"23519894","abstract":"Wild animals and their derivatives are traded worldwide. Consequent poaching has been a main threat to species conservation. As current interventions and law enforcement cannot circumvent the resulting extinction of species, an alternative approach must be considered. It has been suggested that commercial breeding can keep the pressure off wild populations, referred to as wildlife farming. During this review, it is argued that wildlife farming can benefit species conservation only if the following criteria are met: (i) the legal products will form a substitute, and consumers show no preference for wild-caught animals; (ii) a substantial part of the demand is met, and the demand does not increase due to the legalized market; (iii) the legal products will be more cost-efficient, in order to combat the black market prices; (iv) wildlife farming does not rely on wild populations for re-stocking; (v) laundering of illegal products into the commercial trade is absent. For most species encountered in the wildlife trade, these criteria are unlikely to be met in reality and commercial breeding has the potential to have the opposite effect to what is desired for conservation. For some species, however, none of the criteria are violated, and wildlife farming can be considered a possible conservation tool as it may help to take the pressure off wild populations. For these species, future research should focus on the impact of legal products on the market dynamics, effective law enforcement that can prevent corruption, and wildlife forensics that enable the distinction between captive-bred and wild-caught species.","author":[{"dropping-particle":"","family":"Tensen","given":"Laura","non-dropping-particle":"","parse-names":false,"suffix":""}],"container-title":"Global Ecology and Conservation","id":"ITEM-2","issued":{"date-parts":[["2016"]]},"page":"286-298","publisher":"Elsevier B.V.","title":"Under what circumstances can wildlife farming benefit species conservation?","type":"article-journal","volume":"6"},"uris":["http://www.mendeley.com/documents/?uuid=0b6e9309-4146-4c94-88d8-f6f74c2a61c4"]}],"mendeley":{"formattedCitation":"(Kusrini &amp; Alford 2006; Tensen 2016)","plainTextFormattedCitation":"(Kusrini &amp; Alford 2006; Tensen 2016)","previouslyFormattedCitation":"(Kusrini &amp; Alford 2006; Tensen 2016)"},"properties":{"noteIndex":0},"schema":"https://github.com/citation-style-language/schema/raw/master/csl-citation.json"}</w:instrText>
      </w:r>
      <w:r w:rsidR="00305C43">
        <w:rPr>
          <w:color w:val="000000" w:themeColor="text1"/>
        </w:rPr>
        <w:fldChar w:fldCharType="separate"/>
      </w:r>
      <w:r w:rsidR="00C42431" w:rsidRPr="00C42431">
        <w:rPr>
          <w:noProof/>
          <w:color w:val="000000" w:themeColor="text1"/>
        </w:rPr>
        <w:t>(Kusrini &amp; Alford 2006; Tensen 2016)</w:t>
      </w:r>
      <w:r w:rsidR="00305C43">
        <w:rPr>
          <w:color w:val="000000" w:themeColor="text1"/>
        </w:rPr>
        <w:fldChar w:fldCharType="end"/>
      </w:r>
      <w:r w:rsidR="00C42431">
        <w:rPr>
          <w:color w:val="000000" w:themeColor="text1"/>
        </w:rPr>
        <w:t>.</w:t>
      </w:r>
      <w:r w:rsidR="00395B22" w:rsidRPr="004904D8">
        <w:rPr>
          <w:color w:val="000000" w:themeColor="text1"/>
        </w:rPr>
        <w:t xml:space="preserve"> Many animals are unsuited to captivity</w:t>
      </w:r>
      <w:r w:rsidR="00C01D0E" w:rsidRPr="005512D2">
        <w:rPr>
          <w:color w:val="000000" w:themeColor="text1"/>
        </w:rPr>
        <w:t xml:space="preserve">; </w:t>
      </w:r>
      <w:r w:rsidR="00D85930" w:rsidRPr="005512D2">
        <w:rPr>
          <w:color w:val="000000" w:themeColor="text1"/>
        </w:rPr>
        <w:t>generally,</w:t>
      </w:r>
      <w:r w:rsidR="00395B22" w:rsidRPr="005512D2">
        <w:rPr>
          <w:color w:val="000000" w:themeColor="text1"/>
        </w:rPr>
        <w:t xml:space="preserve"> domestication happens over a long period of time</w:t>
      </w:r>
      <w:r w:rsidR="00351574" w:rsidRPr="003E3238">
        <w:rPr>
          <w:color w:val="000000" w:themeColor="text1"/>
        </w:rPr>
        <w:t>,</w:t>
      </w:r>
      <w:r w:rsidR="00395B22" w:rsidRPr="003E3238">
        <w:rPr>
          <w:color w:val="000000" w:themeColor="text1"/>
        </w:rPr>
        <w:t xml:space="preserve"> through selective breeding for traits such as </w:t>
      </w:r>
      <w:r w:rsidR="00C01D0E" w:rsidRPr="00EE2428">
        <w:rPr>
          <w:color w:val="000000" w:themeColor="text1"/>
        </w:rPr>
        <w:t>early maturity, diet tolerance, simple social structures</w:t>
      </w:r>
      <w:r w:rsidR="00965460" w:rsidRPr="00EE2428">
        <w:rPr>
          <w:color w:val="000000" w:themeColor="text1"/>
        </w:rPr>
        <w:t xml:space="preserve">, </w:t>
      </w:r>
      <w:r w:rsidR="00965460" w:rsidRPr="0064175F">
        <w:rPr>
          <w:color w:val="000000" w:themeColor="text1"/>
        </w:rPr>
        <w:t>and sociability</w:t>
      </w:r>
      <w:r w:rsidR="00C01D0E" w:rsidRPr="0070404D">
        <w:rPr>
          <w:color w:val="000000" w:themeColor="text1"/>
        </w:rPr>
        <w:t>. As a result</w:t>
      </w:r>
      <w:r w:rsidR="00E53B9B" w:rsidRPr="0070404D">
        <w:rPr>
          <w:color w:val="000000" w:themeColor="text1"/>
        </w:rPr>
        <w:t>, low breeding success and</w:t>
      </w:r>
      <w:r w:rsidR="00C01D0E" w:rsidRPr="0070404D">
        <w:rPr>
          <w:color w:val="000000" w:themeColor="text1"/>
        </w:rPr>
        <w:t xml:space="preserve"> high mortality rates for wild-caught animals are common </w:t>
      </w:r>
      <w:r w:rsidR="00305C43">
        <w:rPr>
          <w:color w:val="000000" w:themeColor="text1"/>
        </w:rPr>
        <w:fldChar w:fldCharType="begin" w:fldLock="1"/>
      </w:r>
      <w:r w:rsidR="00C42431">
        <w:rPr>
          <w:color w:val="000000" w:themeColor="text1"/>
        </w:rPr>
        <w:instrText>ADDIN CSL_CITATION {"citationItems":[{"id":"ITEM-1","itemData":{"author":[{"dropping-particle":"","family":"Mockrin","given":"M H","non-dropping-particle":"","parse-names":false,"suffix":""},{"dropping-particle":"","family":"Bennett","given":"E L","non-dropping-particle":"","parse-names":false,"suffix":""},{"dropping-particle":"","family":"LaBruna","given":"D T","non-dropping-particle":"","parse-names":false,"suffix":""}],"id":"ITEM-1","issued":{"date-parts":[["2005"]]},"publisher-place":"Wildlife Conservation Society, New York, USA","title":"Wildlife farming: a viable alternative to hunting in tropical forests? WCS Working Paper No. 23","type":"report"},"uris":["http://www.mendeley.com/documents/?uuid=cadda6eb-2a96-42e2-8d9d-164d35f3f8c6"]}],"mendeley":{"formattedCitation":"(Mockrin et al. 2005)","plainTextFormattedCitation":"(Mockrin et al. 2005)","previouslyFormattedCitation":"(Mockrin et al. 2005)"},"properties":{"noteIndex":0},"schema":"https://github.com/citation-style-language/schema/raw/master/csl-citation.json"}</w:instrText>
      </w:r>
      <w:r w:rsidR="00305C43">
        <w:rPr>
          <w:color w:val="000000" w:themeColor="text1"/>
        </w:rPr>
        <w:fldChar w:fldCharType="separate"/>
      </w:r>
      <w:r w:rsidR="00305C43" w:rsidRPr="00305C43">
        <w:rPr>
          <w:noProof/>
          <w:color w:val="000000" w:themeColor="text1"/>
        </w:rPr>
        <w:t>(Mockrin et al. 2005)</w:t>
      </w:r>
      <w:r w:rsidR="00305C43">
        <w:rPr>
          <w:color w:val="000000" w:themeColor="text1"/>
        </w:rPr>
        <w:fldChar w:fldCharType="end"/>
      </w:r>
      <w:r w:rsidR="00C01D0E" w:rsidRPr="0070404D">
        <w:rPr>
          <w:color w:val="000000" w:themeColor="text1"/>
        </w:rPr>
        <w:t xml:space="preserve">. </w:t>
      </w:r>
      <w:r w:rsidR="00E53B9B" w:rsidRPr="0070404D">
        <w:rPr>
          <w:color w:val="000000" w:themeColor="text1"/>
        </w:rPr>
        <w:t>F</w:t>
      </w:r>
      <w:r w:rsidR="00C01D0E" w:rsidRPr="0070404D">
        <w:rPr>
          <w:color w:val="000000" w:themeColor="text1"/>
        </w:rPr>
        <w:t xml:space="preserve">armers must </w:t>
      </w:r>
      <w:r w:rsidR="00E53B9B" w:rsidRPr="0070404D">
        <w:rPr>
          <w:color w:val="000000" w:themeColor="text1"/>
        </w:rPr>
        <w:t>therefore charge higher prices for fa</w:t>
      </w:r>
      <w:r w:rsidR="00C01D0E" w:rsidRPr="0070404D">
        <w:rPr>
          <w:color w:val="000000" w:themeColor="text1"/>
        </w:rPr>
        <w:t>r</w:t>
      </w:r>
      <w:r w:rsidR="00E53B9B" w:rsidRPr="0070404D">
        <w:rPr>
          <w:color w:val="000000" w:themeColor="text1"/>
        </w:rPr>
        <w:t>m</w:t>
      </w:r>
      <w:r w:rsidR="00C01D0E" w:rsidRPr="0070404D">
        <w:rPr>
          <w:color w:val="000000" w:themeColor="text1"/>
        </w:rPr>
        <w:t xml:space="preserve">ed animals, to offset their costs, than hunters can set for wild animals. </w:t>
      </w:r>
      <w:r w:rsidR="00E53B9B" w:rsidRPr="0070404D">
        <w:rPr>
          <w:color w:val="000000" w:themeColor="text1"/>
        </w:rPr>
        <w:t>For example, i</w:t>
      </w:r>
      <w:r w:rsidR="00395B22" w:rsidRPr="0070404D">
        <w:rPr>
          <w:color w:val="000000" w:themeColor="text1"/>
        </w:rPr>
        <w:t>n Kumasi, Ghana, wild-caught cane-rats sell between 30 and 55 cedis ($7-12), whereas reared cane-rats are sold for 80-120 cedis</w:t>
      </w:r>
      <w:r w:rsidR="00C01D0E" w:rsidRPr="0070404D">
        <w:rPr>
          <w:color w:val="000000" w:themeColor="text1"/>
        </w:rPr>
        <w:t xml:space="preserve"> </w:t>
      </w:r>
      <w:r w:rsidR="007B247B">
        <w:rPr>
          <w:color w:val="000000" w:themeColor="text1"/>
        </w:rPr>
        <w:fldChar w:fldCharType="begin" w:fldLock="1"/>
      </w:r>
      <w:r w:rsidR="00532E87">
        <w:rPr>
          <w:color w:val="000000" w:themeColor="text1"/>
        </w:rPr>
        <w:instrText>ADDIN CSL_CITATION {"citationItems":[{"id":"ITEM-1","itemData":{"author":[{"dropping-particle":"","family":"The Economist","given":"","non-dropping-particle":"","parse-names":false,"suffix":""}],"container-title":"The Economist","id":"ITEM-1","issued":{"date-parts":[["2017"]]},"title":"The grasscutter shows why it is hard to stop bushmeat hunting","type":"article-magazine"},"uris":["http://www.mendeley.com/documents/?uuid=60acf650-a837-473b-bc25-249c5a7b8859"]}],"mendeley":{"formattedCitation":"(The Economist 2017)","plainTextFormattedCitation":"(The Economist 2017)","previouslyFormattedCitation":"(The Economist 2017)"},"properties":{"noteIndex":0},"schema":"https://github.com/citation-style-language/schema/raw/master/csl-citation.json"}</w:instrText>
      </w:r>
      <w:r w:rsidR="007B247B">
        <w:rPr>
          <w:color w:val="000000" w:themeColor="text1"/>
        </w:rPr>
        <w:fldChar w:fldCharType="separate"/>
      </w:r>
      <w:r w:rsidR="007B247B" w:rsidRPr="007B247B">
        <w:rPr>
          <w:noProof/>
          <w:color w:val="000000" w:themeColor="text1"/>
        </w:rPr>
        <w:t>(The Economist 2017)</w:t>
      </w:r>
      <w:r w:rsidR="007B247B">
        <w:rPr>
          <w:color w:val="000000" w:themeColor="text1"/>
        </w:rPr>
        <w:fldChar w:fldCharType="end"/>
      </w:r>
      <w:r w:rsidR="007B247B">
        <w:rPr>
          <w:color w:val="000000" w:themeColor="text1"/>
        </w:rPr>
        <w:t xml:space="preserve">. </w:t>
      </w:r>
      <w:r w:rsidR="00E53B9B" w:rsidRPr="0070404D">
        <w:rPr>
          <w:color w:val="000000" w:themeColor="text1"/>
        </w:rPr>
        <w:t xml:space="preserve">In </w:t>
      </w:r>
      <w:r w:rsidR="00D85930" w:rsidRPr="0070404D">
        <w:rPr>
          <w:color w:val="000000" w:themeColor="text1"/>
        </w:rPr>
        <w:t>Vietnam</w:t>
      </w:r>
      <w:r w:rsidR="00E53B9B" w:rsidRPr="0070404D">
        <w:rPr>
          <w:color w:val="000000" w:themeColor="text1"/>
        </w:rPr>
        <w:t>, wild adult porcupines are bought for half the price of farm-bred adult</w:t>
      </w:r>
      <w:r w:rsidR="007B247B">
        <w:rPr>
          <w:color w:val="000000" w:themeColor="text1"/>
        </w:rPr>
        <w:t xml:space="preserve"> </w:t>
      </w:r>
      <w:r w:rsidR="007B247B">
        <w:rPr>
          <w:color w:val="000000" w:themeColor="text1"/>
        </w:rPr>
        <w:fldChar w:fldCharType="begin" w:fldLock="1"/>
      </w:r>
      <w:r w:rsidR="007B247B">
        <w:rPr>
          <w:color w:val="000000" w:themeColor="text1"/>
        </w:rPr>
        <w:instrText>ADDIN CSL_CITATION {"citationItems":[{"id":"ITEM-1","itemData":{"DOI":"10.1016/j.biocon.2010.07.030","ISBN":"0006-3207","ISSN":"00063207","abstract":"Commercial farming of wildlife, particularly in Southeast Asia, is currently the subject of much debate and to date, its conservation impact has been largely unexplored. This study used semi-structured interviews to build a detailed understanding of the dynamics of the commercial farming of Southeast Asian porcupine (Hystrix brachyura) in the northwest Vietnamese province of Son La. Although farm owners are obliged by law to propagate stock solely from farm-bred animals, 58% of farm owners admitted purchasing wild founder stock, with at least 19% continuing to buy wild individuals. Despite the number of farms, the primary demand on them is to supply other farms, and wild meat restaurants were still sourcing their meat from wild populations. Lower cost was a major factor driving the trade in wild animals, with wild adult porcupines being bought for half the price of farm-bred adults. With high demand from farms and restaurants, increased targeted hunting may be the cause of a dramatic decline in the wild population of porcupines across the region. © 2010 Elsevier Ltd.","author":[{"dropping-particle":"","family":"Brooks","given":"E. G E","non-dropping-particle":"","parse-names":false,"suffix":""},{"dropping-particle":"","family":"Roberton","given":"Scott I.","non-dropping-particle":"","parse-names":false,"suffix":""},{"dropping-particle":"","family":"Bell","given":"Diana J.","non-dropping-particle":"","parse-names":false,"suffix":""}],"container-title":"Biological Conservation","id":"ITEM-1","issue":"11","issued":{"date-parts":[["2010"]]},"page":"2808-2814","publisher":"Elsevier Ltd","title":"The conservation impact of commercial wildlife farming of porcupines in Vietnam","type":"article-journal","volume":"143"},"uris":["http://www.mendeley.com/documents/?uuid=a432eb91-ae0c-4f96-95c2-5fa6489e678e"]}],"mendeley":{"formattedCitation":"(Brooks et al. 2010a)","plainTextFormattedCitation":"(Brooks et al. 2010a)","previouslyFormattedCitation":"(Brooks et al. 2010a)"},"properties":{"noteIndex":0},"schema":"https://github.com/citation-style-language/schema/raw/master/csl-citation.json"}</w:instrText>
      </w:r>
      <w:r w:rsidR="007B247B">
        <w:rPr>
          <w:color w:val="000000" w:themeColor="text1"/>
        </w:rPr>
        <w:fldChar w:fldCharType="separate"/>
      </w:r>
      <w:r w:rsidR="007B247B" w:rsidRPr="007B247B">
        <w:rPr>
          <w:noProof/>
          <w:color w:val="000000" w:themeColor="text1"/>
        </w:rPr>
        <w:t>(Brooks et al. 2010a)</w:t>
      </w:r>
      <w:r w:rsidR="007B247B">
        <w:rPr>
          <w:color w:val="000000" w:themeColor="text1"/>
        </w:rPr>
        <w:fldChar w:fldCharType="end"/>
      </w:r>
      <w:r w:rsidR="00E53B9B" w:rsidRPr="0070404D">
        <w:rPr>
          <w:color w:val="000000" w:themeColor="text1"/>
        </w:rPr>
        <w:t>.</w:t>
      </w:r>
    </w:p>
    <w:p w14:paraId="4861315F" w14:textId="77777777" w:rsidR="00E53B9B" w:rsidRPr="0070404D" w:rsidRDefault="00E53B9B" w:rsidP="00C258BC">
      <w:pPr>
        <w:pStyle w:val="ListParagraph"/>
        <w:jc w:val="both"/>
        <w:rPr>
          <w:color w:val="000000" w:themeColor="text1"/>
        </w:rPr>
      </w:pPr>
    </w:p>
    <w:p w14:paraId="3CAD28C4" w14:textId="74C5A47B" w:rsidR="00B1043D" w:rsidRPr="004904D8" w:rsidRDefault="00A158F0" w:rsidP="00C258BC">
      <w:pPr>
        <w:pStyle w:val="ListParagraph"/>
        <w:numPr>
          <w:ilvl w:val="0"/>
          <w:numId w:val="13"/>
        </w:numPr>
        <w:spacing w:after="90"/>
        <w:jc w:val="both"/>
        <w:rPr>
          <w:color w:val="000000" w:themeColor="text1"/>
        </w:rPr>
      </w:pPr>
      <w:r w:rsidRPr="0070404D">
        <w:rPr>
          <w:i/>
          <w:color w:val="000000" w:themeColor="text1"/>
        </w:rPr>
        <w:t>W</w:t>
      </w:r>
      <w:r w:rsidR="00015AE5" w:rsidRPr="0070404D">
        <w:rPr>
          <w:i/>
          <w:color w:val="000000" w:themeColor="text1"/>
        </w:rPr>
        <w:t>ildlife farms do not rely on wild population</w:t>
      </w:r>
      <w:r w:rsidR="00015AE5" w:rsidRPr="004904D8">
        <w:rPr>
          <w:i/>
          <w:color w:val="000000" w:themeColor="text1"/>
        </w:rPr>
        <w:t xml:space="preserve"> for re-</w:t>
      </w:r>
      <w:r w:rsidR="00D85930" w:rsidRPr="004904D8">
        <w:rPr>
          <w:i/>
          <w:color w:val="000000" w:themeColor="text1"/>
        </w:rPr>
        <w:t>stocking.</w:t>
      </w:r>
      <w:r w:rsidR="00D85930" w:rsidRPr="004904D8">
        <w:rPr>
          <w:color w:val="000000" w:themeColor="text1"/>
        </w:rPr>
        <w:t xml:space="preserve"> Studies</w:t>
      </w:r>
      <w:r w:rsidR="00B1043D" w:rsidRPr="004904D8">
        <w:rPr>
          <w:color w:val="000000" w:themeColor="text1"/>
        </w:rPr>
        <w:t xml:space="preserve"> have shown that 90 percent of cane rat farms in Ghana </w:t>
      </w:r>
      <w:r w:rsidR="00C42431">
        <w:rPr>
          <w:color w:val="000000" w:themeColor="text1"/>
        </w:rPr>
        <w:fldChar w:fldCharType="begin" w:fldLock="1"/>
      </w:r>
      <w:r w:rsidR="00C42431">
        <w:rPr>
          <w:color w:val="000000" w:themeColor="text1"/>
        </w:rPr>
        <w:instrText>ADDIN CSL_CITATION {"citationItems":[{"id":"ITEM-1","itemData":{"author":[{"dropping-particle":"","family":"Mockrin","given":"M H","non-dropping-particle":"","parse-names":false,"suffix":""},{"dropping-particle":"","family":"Bennett","given":"E L","non-dropping-particle":"","parse-names":false,"suffix":""},{"dropping-particle":"","family":"LaBruna","given":"D T","non-dropping-particle":"","parse-names":false,"suffix":""}],"id":"ITEM-1","issued":{"date-parts":[["2005"]]},"publisher-place":"Wildlife Conservation Society, New York, USA","title":"Wildlife farming: a viable alternative to hunting in tropical forests? WCS Working Paper No. 23","type":"report"},"uris":["http://www.mendeley.com/documents/?uuid=cadda6eb-2a96-42e2-8d9d-164d35f3f8c6"]}],"mendeley":{"formattedCitation":"(Mockrin et al. 2005)","plainTextFormattedCitation":"(Mockrin et al. 2005)","previouslyFormattedCitation":"(Mockrin et al. 2005)"},"properties":{"noteIndex":0},"schema":"https://github.com/citation-style-language/schema/raw/master/csl-citation.json"}</w:instrText>
      </w:r>
      <w:r w:rsidR="00C42431">
        <w:rPr>
          <w:color w:val="000000" w:themeColor="text1"/>
        </w:rPr>
        <w:fldChar w:fldCharType="separate"/>
      </w:r>
      <w:r w:rsidR="00C42431" w:rsidRPr="00C42431">
        <w:rPr>
          <w:noProof/>
          <w:color w:val="000000" w:themeColor="text1"/>
        </w:rPr>
        <w:t>(Mockrin et al. 2005)</w:t>
      </w:r>
      <w:r w:rsidR="00C42431">
        <w:rPr>
          <w:color w:val="000000" w:themeColor="text1"/>
        </w:rPr>
        <w:fldChar w:fldCharType="end"/>
      </w:r>
      <w:r w:rsidR="00B1043D" w:rsidRPr="004904D8">
        <w:rPr>
          <w:color w:val="000000" w:themeColor="text1"/>
        </w:rPr>
        <w:t>, half of porcupine farms in Vietnam</w:t>
      </w:r>
      <w:r w:rsidR="007B247B">
        <w:rPr>
          <w:color w:val="000000" w:themeColor="text1"/>
        </w:rPr>
        <w:t xml:space="preserve"> </w:t>
      </w:r>
      <w:r w:rsidR="007B247B">
        <w:rPr>
          <w:color w:val="000000" w:themeColor="text1"/>
        </w:rPr>
        <w:fldChar w:fldCharType="begin" w:fldLock="1"/>
      </w:r>
      <w:r w:rsidR="007B247B">
        <w:rPr>
          <w:color w:val="000000" w:themeColor="text1"/>
        </w:rPr>
        <w:instrText>ADDIN CSL_CITATION {"citationItems":[{"id":"ITEM-1","itemData":{"DOI":"10.1016/j.biocon.2010.07.030","ISBN":"0006-3207","ISSN":"00063207","abstract":"Commercial farming of wildlife, particularly in Southeast Asia, is currently the subject of much debate and to date, its conservation impact has been largely unexplored. This study used semi-structured interviews to build a detailed understanding of the dynamics of the commercial farming of Southeast Asian porcupine (Hystrix brachyura) in the northwest Vietnamese province of Son La. Although farm owners are obliged by law to propagate stock solely from farm-bred animals, 58% of farm owners admitted purchasing wild founder stock, with at least 19% continuing to buy wild individuals. Despite the number of farms, the primary demand on them is to supply other farms, and wild meat restaurants were still sourcing their meat from wild populations. Lower cost was a major factor driving the trade in wild animals, with wild adult porcupines being bought for half the price of farm-bred adults. With high demand from farms and restaurants, increased targeted hunting may be the cause of a dramatic decline in the wild population of porcupines across the region. © 2010 Elsevier Ltd.","author":[{"dropping-particle":"","family":"Brooks","given":"E. G E","non-dropping-particle":"","parse-names":false,"suffix":""},{"dropping-particle":"","family":"Roberton","given":"Scott I.","non-dropping-particle":"","parse-names":false,"suffix":""},{"dropping-particle":"","family":"Bell","given":"Diana J.","non-dropping-particle":"","parse-names":false,"suffix":""}],"container-title":"Biological Conservation","id":"ITEM-1","issue":"11","issued":{"date-parts":[["2010"]]},"page":"2808-2814","publisher":"Elsevier Ltd","title":"The conservation impact of commercial wildlife farming of porcupines in Vietnam","type":"article-journal","volume":"143"},"uris":["http://www.mendeley.com/documents/?uuid=a432eb91-ae0c-4f96-95c2-5fa6489e678e"]}],"mendeley":{"formattedCitation":"(Brooks et al. 2010a)","plainTextFormattedCitation":"(Brooks et al. 2010a)","previouslyFormattedCitation":"(Brooks et al. 2010a)"},"properties":{"noteIndex":0},"schema":"https://github.com/citation-style-language/schema/raw/master/csl-citation.json"}</w:instrText>
      </w:r>
      <w:r w:rsidR="007B247B">
        <w:rPr>
          <w:color w:val="000000" w:themeColor="text1"/>
        </w:rPr>
        <w:fldChar w:fldCharType="separate"/>
      </w:r>
      <w:r w:rsidR="007B247B" w:rsidRPr="007B247B">
        <w:rPr>
          <w:noProof/>
          <w:color w:val="000000" w:themeColor="text1"/>
        </w:rPr>
        <w:t>(Brooks et al. 2010a)</w:t>
      </w:r>
      <w:r w:rsidR="007B247B">
        <w:rPr>
          <w:color w:val="000000" w:themeColor="text1"/>
        </w:rPr>
        <w:fldChar w:fldCharType="end"/>
      </w:r>
      <w:r w:rsidR="00B1043D" w:rsidRPr="005512D2">
        <w:rPr>
          <w:color w:val="000000" w:themeColor="text1"/>
        </w:rPr>
        <w:t xml:space="preserve">, and </w:t>
      </w:r>
      <w:r w:rsidR="00C4439E" w:rsidRPr="005512D2">
        <w:rPr>
          <w:color w:val="000000" w:themeColor="text1"/>
        </w:rPr>
        <w:t>76%</w:t>
      </w:r>
      <w:r w:rsidR="00B1043D" w:rsidRPr="003E3238">
        <w:rPr>
          <w:color w:val="000000" w:themeColor="text1"/>
        </w:rPr>
        <w:t xml:space="preserve"> of green python farms in Indonesia still take animals from the wild</w:t>
      </w:r>
      <w:r w:rsidR="00C4439E" w:rsidRPr="00EE2428">
        <w:rPr>
          <w:color w:val="000000" w:themeColor="text1"/>
        </w:rPr>
        <w:t xml:space="preserve"> </w:t>
      </w:r>
      <w:r w:rsidR="00C42431">
        <w:rPr>
          <w:color w:val="000000" w:themeColor="text1"/>
        </w:rPr>
        <w:fldChar w:fldCharType="begin" w:fldLock="1"/>
      </w:r>
      <w:r w:rsidR="00C42431">
        <w:rPr>
          <w:color w:val="000000" w:themeColor="text1"/>
        </w:rPr>
        <w:instrText>ADDIN CSL_CITATION {"citationItems":[{"id":"ITEM-1","itemData":{"DOI":"10.1016/j.biocon.2011.10.002","ISBN":"0006-3207","ISSN":"00063207","abstract":"Wildlife breeding farms have been promoted to aid biodiversity conservation by alleviating the pressure of harvest on wild populations. There is, however, growing concern that many breeding farms are being used to launder illegally caught wildlife. Surveys of wildlife traders in the Indonesian provinces of Maluku, West Papua and Papua were conducted between August 2009 and April 2011 to assess the trade of the green python (Morelia viridis), the species currently exported in the largest numbers from Indonesia declared as captive-bred. In total, 4227 illegally collected wild green pythons were recorded during surveys and high levels of harvest were found to have depleted and skewed the demographics of some island populations. Snakes were traced from their point of capture to breeding farms in Jakarta where they are to be exported for the pet trade, confirming the reports of wildlife laundering. Extrapolation of monthly collection estimates provided by traders revealed that at least 5337 green pythons are collected each year, suggesting that at least 80% of the green pythons exported from Indonesia annually are illegally wild-caught. The results of examination of 139 eggshells from five python species suggest that reptilian eggshells may be used as proof of provenance for each individual reptile exported. This method, in addition to the evidence that breeding farms play a significant role in the illegal exploitation of wildlife, allows conservation managers to begin to adequately monitor, regulate and determine the role of breeding farms in the conservation of wild populations. © 2011 Elsevier Ltd.","author":[{"dropping-particle":"","family":"Lyons","given":"Jessica A.","non-dropping-particle":"","parse-names":false,"suffix":""},{"dropping-particle":"","family":"Natusch","given":"Daniel J D","non-dropping-particle":"","parse-names":false,"suffix":""}],"container-title":"Biological Conservation","id":"ITEM-1","issue":"12","issued":{"date-parts":[["2011"]]},"page":"3073-3081","publisher":"Elsevier Ltd","title":"Wildlife laundering through breeding farms: illegal harvest, population declines and a means of regulating the trade of green pythons (Morelia viridis) from Indonesia","type":"article-journal","volume":"144"},"uris":["http://www.mendeley.com/documents/?uuid=54316719-bea5-4c9d-85a7-e235ee6c21e6"]}],"mendeley":{"formattedCitation":"(Lyons &amp; Natusch 2011)","plainTextFormattedCitation":"(Lyons &amp; Natusch 2011)","previouslyFormattedCitation":"(Lyons &amp; Natusch 2011)"},"properties":{"noteIndex":0},"schema":"https://github.com/citation-style-language/schema/raw/master/csl-citation.json"}</w:instrText>
      </w:r>
      <w:r w:rsidR="00C42431">
        <w:rPr>
          <w:color w:val="000000" w:themeColor="text1"/>
        </w:rPr>
        <w:fldChar w:fldCharType="separate"/>
      </w:r>
      <w:r w:rsidR="00C42431" w:rsidRPr="00C42431">
        <w:rPr>
          <w:noProof/>
          <w:color w:val="000000" w:themeColor="text1"/>
        </w:rPr>
        <w:t>(Lyons &amp; Natusch 2011)</w:t>
      </w:r>
      <w:r w:rsidR="00C42431">
        <w:rPr>
          <w:color w:val="000000" w:themeColor="text1"/>
        </w:rPr>
        <w:fldChar w:fldCharType="end"/>
      </w:r>
      <w:r w:rsidR="00160D75" w:rsidRPr="00EE2428">
        <w:rPr>
          <w:color w:val="000000" w:themeColor="text1"/>
        </w:rPr>
        <w:t>, partly due to difficulties with captive breeding of non-domesticated species</w:t>
      </w:r>
      <w:r w:rsidR="00B1043D" w:rsidRPr="0064175F">
        <w:rPr>
          <w:color w:val="000000" w:themeColor="text1"/>
        </w:rPr>
        <w:t>. </w:t>
      </w:r>
      <w:r w:rsidR="00160D75" w:rsidRPr="0070404D">
        <w:rPr>
          <w:color w:val="000000" w:themeColor="text1"/>
        </w:rPr>
        <w:t xml:space="preserve">This </w:t>
      </w:r>
      <w:r w:rsidR="00C62A56" w:rsidRPr="0070404D">
        <w:rPr>
          <w:color w:val="000000" w:themeColor="text1"/>
        </w:rPr>
        <w:t>can put significant</w:t>
      </w:r>
      <w:r w:rsidR="00160D75" w:rsidRPr="0070404D">
        <w:rPr>
          <w:color w:val="000000" w:themeColor="text1"/>
        </w:rPr>
        <w:t xml:space="preserve"> pressure on wild </w:t>
      </w:r>
      <w:r w:rsidR="00C62A56" w:rsidRPr="0070404D">
        <w:rPr>
          <w:color w:val="000000" w:themeColor="text1"/>
        </w:rPr>
        <w:t>populations</w:t>
      </w:r>
      <w:r w:rsidR="00160D75" w:rsidRPr="0070404D">
        <w:rPr>
          <w:color w:val="000000" w:themeColor="text1"/>
        </w:rPr>
        <w:t xml:space="preserve">. For </w:t>
      </w:r>
      <w:r w:rsidR="00D85930" w:rsidRPr="0070404D">
        <w:rPr>
          <w:color w:val="000000" w:themeColor="text1"/>
        </w:rPr>
        <w:t>example, Brooks</w:t>
      </w:r>
      <w:r w:rsidR="00631457" w:rsidRPr="0070404D">
        <w:rPr>
          <w:color w:val="000000" w:themeColor="text1"/>
        </w:rPr>
        <w:t xml:space="preserve"> </w:t>
      </w:r>
      <w:r w:rsidR="00475918">
        <w:rPr>
          <w:color w:val="000000" w:themeColor="text1"/>
        </w:rPr>
        <w:t>et al</w:t>
      </w:r>
      <w:r w:rsidR="00F46C6A">
        <w:rPr>
          <w:color w:val="000000" w:themeColor="text1"/>
        </w:rPr>
        <w:t xml:space="preserve">. </w:t>
      </w:r>
      <w:r w:rsidR="00F46C6A">
        <w:rPr>
          <w:color w:val="000000" w:themeColor="text1"/>
        </w:rPr>
        <w:fldChar w:fldCharType="begin" w:fldLock="1"/>
      </w:r>
      <w:r w:rsidR="00F46C6A">
        <w:rPr>
          <w:color w:val="000000" w:themeColor="text1"/>
        </w:rPr>
        <w:instrText>ADDIN CSL_CITATION {"citationItems":[{"id":"ITEM-1","itemData":{"DOI":"10.1016/j.biocon.2010.07.030","ISBN":"0006-3207","ISSN":"00063207","abstract":"Commercial farming of wildlife, particularly in Southeast Asia, is currently the subject of much debate and to date, its conservation impact has been largely unexplored. This study used semi-structured interviews to build a detailed understanding of the dynamics of the commercial farming of Southeast Asian porcupine (Hystrix brachyura) in the northwest Vietnamese province of Son La. Although farm owners are obliged by law to propagate stock solely from farm-bred animals, 58% of farm owners admitted purchasing wild founder stock, with at least 19% continuing to buy wild individuals. Despite the number of farms, the primary demand on them is to supply other farms, and wild meat restaurants were still sourcing their meat from wild populations. Lower cost was a major factor driving the trade in wild animals, with wild adult porcupines being bought for half the price of farm-bred adults. With high demand from farms and restaurants, increased targeted hunting may be the cause of a dramatic decline in the wild population of porcupines across the region. © 2010 Elsevier Ltd.","author":[{"dropping-particle":"","family":"Brooks","given":"E. G E","non-dropping-particle":"","parse-names":false,"suffix":""},{"dropping-particle":"","family":"Roberton","given":"Scott I.","non-dropping-particle":"","parse-names":false,"suffix":""},{"dropping-particle":"","family":"Bell","given":"Diana J.","non-dropping-particle":"","parse-names":false,"suffix":""}],"container-title":"Biological Conservation","id":"ITEM-1","issue":"11","issued":{"date-parts":[["2010"]]},"page":"2808-2814","publisher":"Elsevier Ltd","title":"The conservation impact of commercial wildlife farming of porcupines in Vietnam","type":"article-journal","volume":"143"},"uris":["http://www.mendeley.com/documents/?uuid=a432eb91-ae0c-4f96-95c2-5fa6489e678e"]}],"mendeley":{"formattedCitation":"(Brooks et al. 2010a)","manualFormatting":"(2010a)","plainTextFormattedCitation":"(Brooks et al. 2010a)","previouslyFormattedCitation":"(Brooks et al. 2010a)"},"properties":{"noteIndex":0},"schema":"https://github.com/citation-style-language/schema/raw/master/csl-citation.json"}</w:instrText>
      </w:r>
      <w:r w:rsidR="00F46C6A">
        <w:rPr>
          <w:color w:val="000000" w:themeColor="text1"/>
        </w:rPr>
        <w:fldChar w:fldCharType="separate"/>
      </w:r>
      <w:r w:rsidR="00F46C6A" w:rsidRPr="007B247B">
        <w:rPr>
          <w:noProof/>
          <w:color w:val="000000" w:themeColor="text1"/>
        </w:rPr>
        <w:t>(2010a)</w:t>
      </w:r>
      <w:r w:rsidR="00F46C6A">
        <w:rPr>
          <w:color w:val="000000" w:themeColor="text1"/>
        </w:rPr>
        <w:fldChar w:fldCharType="end"/>
      </w:r>
      <w:r w:rsidR="00475918">
        <w:rPr>
          <w:color w:val="000000" w:themeColor="text1"/>
        </w:rPr>
        <w:t xml:space="preserve">, </w:t>
      </w:r>
      <w:r w:rsidR="00631457" w:rsidRPr="0070404D">
        <w:rPr>
          <w:color w:val="000000" w:themeColor="text1"/>
        </w:rPr>
        <w:t>estimate that the trade in wild-caught porcupines, taken from Lao</w:t>
      </w:r>
      <w:r w:rsidR="00FD42C3" w:rsidRPr="00FD42C3">
        <w:rPr>
          <w:color w:val="000000" w:themeColor="text1"/>
        </w:rPr>
        <w:t xml:space="preserve"> </w:t>
      </w:r>
      <w:r w:rsidR="00987D4F">
        <w:rPr>
          <w:color w:val="000000" w:themeColor="text1"/>
        </w:rPr>
        <w:t>PDR</w:t>
      </w:r>
      <w:r w:rsidR="00631457" w:rsidRPr="0070404D">
        <w:rPr>
          <w:color w:val="000000" w:themeColor="text1"/>
        </w:rPr>
        <w:t xml:space="preserve"> to supply </w:t>
      </w:r>
      <w:r w:rsidR="00D85930" w:rsidRPr="0070404D">
        <w:rPr>
          <w:color w:val="000000" w:themeColor="text1"/>
        </w:rPr>
        <w:t>Vietnamese</w:t>
      </w:r>
      <w:r w:rsidR="00631457" w:rsidRPr="0070404D">
        <w:rPr>
          <w:color w:val="000000" w:themeColor="text1"/>
        </w:rPr>
        <w:t xml:space="preserve"> farms, could be as high as 14,000 po</w:t>
      </w:r>
      <w:r w:rsidR="00C62A56" w:rsidRPr="0070404D">
        <w:rPr>
          <w:color w:val="000000" w:themeColor="text1"/>
        </w:rPr>
        <w:t>r</w:t>
      </w:r>
      <w:r w:rsidR="00631457" w:rsidRPr="0070404D">
        <w:rPr>
          <w:color w:val="000000" w:themeColor="text1"/>
        </w:rPr>
        <w:t xml:space="preserve">cupines per year, and </w:t>
      </w:r>
      <w:r w:rsidR="00F46C6A">
        <w:rPr>
          <w:color w:val="000000" w:themeColor="text1"/>
        </w:rPr>
        <w:t xml:space="preserve">this </w:t>
      </w:r>
      <w:r w:rsidR="00C62A56" w:rsidRPr="0070404D">
        <w:rPr>
          <w:color w:val="000000" w:themeColor="text1"/>
        </w:rPr>
        <w:t>is thought to be one of the drivers of significant declines in</w:t>
      </w:r>
      <w:r w:rsidR="00F46C6A">
        <w:rPr>
          <w:color w:val="000000" w:themeColor="text1"/>
        </w:rPr>
        <w:t xml:space="preserve"> porcupines within</w:t>
      </w:r>
      <w:r w:rsidR="00C62A56" w:rsidRPr="0070404D">
        <w:rPr>
          <w:color w:val="000000" w:themeColor="text1"/>
        </w:rPr>
        <w:t xml:space="preserve"> the Nam Et-Phou Louey National Protected Area</w:t>
      </w:r>
      <w:r w:rsidR="007B247B">
        <w:rPr>
          <w:color w:val="000000" w:themeColor="text1"/>
        </w:rPr>
        <w:t xml:space="preserve"> .</w:t>
      </w:r>
    </w:p>
    <w:p w14:paraId="019AA657" w14:textId="77777777" w:rsidR="00C62A56" w:rsidRPr="004904D8" w:rsidRDefault="00C62A56" w:rsidP="00C258BC">
      <w:pPr>
        <w:pStyle w:val="ListParagraph"/>
        <w:spacing w:after="90"/>
        <w:jc w:val="both"/>
        <w:rPr>
          <w:color w:val="000000" w:themeColor="text1"/>
        </w:rPr>
      </w:pPr>
    </w:p>
    <w:p w14:paraId="3300CA55" w14:textId="35694DCD" w:rsidR="00605955" w:rsidRPr="00605955" w:rsidRDefault="002D2352" w:rsidP="00605955">
      <w:pPr>
        <w:pStyle w:val="ListParagraph"/>
        <w:numPr>
          <w:ilvl w:val="0"/>
          <w:numId w:val="13"/>
        </w:numPr>
        <w:spacing w:after="90"/>
        <w:jc w:val="both"/>
        <w:rPr>
          <w:color w:val="000000" w:themeColor="text1"/>
        </w:rPr>
      </w:pPr>
      <w:r w:rsidRPr="005512D2">
        <w:rPr>
          <w:i/>
          <w:color w:val="000000" w:themeColor="text1"/>
        </w:rPr>
        <w:t xml:space="preserve">Farmed wildlife cannot serve to launder the illegal </w:t>
      </w:r>
      <w:r w:rsidR="00D85930" w:rsidRPr="005512D2">
        <w:rPr>
          <w:i/>
          <w:color w:val="000000" w:themeColor="text1"/>
        </w:rPr>
        <w:t>product</w:t>
      </w:r>
      <w:r w:rsidR="00D85930" w:rsidRPr="003E3238">
        <w:rPr>
          <w:color w:val="000000" w:themeColor="text1"/>
        </w:rPr>
        <w:t>. In</w:t>
      </w:r>
      <w:r w:rsidR="00C62A56" w:rsidRPr="003E3238">
        <w:rPr>
          <w:color w:val="000000" w:themeColor="text1"/>
        </w:rPr>
        <w:t xml:space="preserve"> countries where wildmeat trade is illegal, the commercial use of wildlife fauna and products from captive-bred animals</w:t>
      </w:r>
      <w:r w:rsidR="00C62A56" w:rsidRPr="004904D8">
        <w:rPr>
          <w:color w:val="000000" w:themeColor="text1"/>
        </w:rPr>
        <w:t xml:space="preserve"> is often currently the only legal route for trading wild meat </w:t>
      </w:r>
      <w:r w:rsidR="00C42431">
        <w:rPr>
          <w:color w:val="000000" w:themeColor="text1"/>
        </w:rPr>
        <w:fldChar w:fldCharType="begin" w:fldLock="1"/>
      </w:r>
      <w:r w:rsidR="00C42431">
        <w:rPr>
          <w:color w:val="000000" w:themeColor="text1"/>
        </w:rPr>
        <w:instrText>ADDIN CSL_CITATION {"citationItems":[{"id":"ITEM-1","itemData":{"DOI":"10.1007/s10531-011-0047-7","author":[{"dropping-particle":"","family":"Nogueira","given":"S S C","non-dropping-particle":"","parse-names":false,"suffix":""},{"dropping-particle":"","family":"Nogueira-Filho","given":"S L G","non-dropping-particle":"","parse-names":false,"suffix":""}],"container-title":"Biodiversity and Conservation","id":"ITEM-1","issued":{"date-parts":[["2011"]]},"page":"1385-1397","title":"Wildlife farming: an alternative to unsustainable hunting and deforestation in Neotropical forests?","type":"article-journal","volume":"20"},"uris":["http://www.mendeley.com/documents/?uuid=0b246260-2902-4a44-b7f5-af78e40741f8"]}],"mendeley":{"formattedCitation":"(Nogueira &amp; Nogueira-Filho 2011)","plainTextFormattedCitation":"(Nogueira &amp; Nogueira-Filho 2011)","previouslyFormattedCitation":"(Nogueira &amp; Nogueira-Filho 2011)"},"properties":{"noteIndex":0},"schema":"https://github.com/citation-style-language/schema/raw/master/csl-citation.json"}</w:instrText>
      </w:r>
      <w:r w:rsidR="00C42431">
        <w:rPr>
          <w:color w:val="000000" w:themeColor="text1"/>
        </w:rPr>
        <w:fldChar w:fldCharType="separate"/>
      </w:r>
      <w:r w:rsidR="00C42431" w:rsidRPr="00C42431">
        <w:rPr>
          <w:noProof/>
          <w:color w:val="000000" w:themeColor="text1"/>
        </w:rPr>
        <w:t>(Nogueira &amp; Nogueira-Filho 2011)</w:t>
      </w:r>
      <w:r w:rsidR="00C42431">
        <w:rPr>
          <w:color w:val="000000" w:themeColor="text1"/>
        </w:rPr>
        <w:fldChar w:fldCharType="end"/>
      </w:r>
      <w:r w:rsidR="00D85930" w:rsidRPr="004904D8">
        <w:rPr>
          <w:color w:val="000000" w:themeColor="text1"/>
        </w:rPr>
        <w:t>. To</w:t>
      </w:r>
      <w:r w:rsidR="00C62A56" w:rsidRPr="004904D8">
        <w:rPr>
          <w:color w:val="000000" w:themeColor="text1"/>
        </w:rPr>
        <w:t xml:space="preserve"> prevent wild-caught </w:t>
      </w:r>
      <w:r w:rsidR="00C62A56" w:rsidRPr="005512D2">
        <w:rPr>
          <w:color w:val="000000" w:themeColor="text1"/>
        </w:rPr>
        <w:t xml:space="preserve">animals being passed off as legally farmed animals, a mechanism for tracing farmed animals is required. For example, </w:t>
      </w:r>
      <w:r w:rsidR="00946301" w:rsidRPr="005512D2">
        <w:rPr>
          <w:color w:val="000000" w:themeColor="text1"/>
        </w:rPr>
        <w:t xml:space="preserve">Brazilian laws demand that </w:t>
      </w:r>
      <w:r w:rsidR="00C62A56" w:rsidRPr="003E3238">
        <w:rPr>
          <w:color w:val="000000" w:themeColor="text1"/>
        </w:rPr>
        <w:t>reared peccaries be registered with the gov</w:t>
      </w:r>
      <w:r w:rsidR="00946301" w:rsidRPr="003E3238">
        <w:rPr>
          <w:color w:val="000000" w:themeColor="text1"/>
        </w:rPr>
        <w:t xml:space="preserve">ernment at birth and identified by ear tags </w:t>
      </w:r>
      <w:r w:rsidR="00946301" w:rsidRPr="00EE2428">
        <w:rPr>
          <w:color w:val="000000" w:themeColor="text1"/>
        </w:rPr>
        <w:t xml:space="preserve">or microchip. This distinguishes it from wild </w:t>
      </w:r>
      <w:r w:rsidR="00D85930" w:rsidRPr="00EE2428">
        <w:rPr>
          <w:color w:val="000000" w:themeColor="text1"/>
        </w:rPr>
        <w:t>peccaries and</w:t>
      </w:r>
      <w:r w:rsidR="00946301" w:rsidRPr="00EE2428">
        <w:rPr>
          <w:color w:val="000000" w:themeColor="text1"/>
        </w:rPr>
        <w:t xml:space="preserve"> reduces the chances of wild stock being ‘laundered’ through captive breeding systems</w:t>
      </w:r>
      <w:r w:rsidR="00C42431">
        <w:rPr>
          <w:color w:val="000000" w:themeColor="text1"/>
        </w:rPr>
        <w:t xml:space="preserve"> </w:t>
      </w:r>
      <w:r w:rsidR="00C42431">
        <w:rPr>
          <w:color w:val="000000" w:themeColor="text1"/>
        </w:rPr>
        <w:fldChar w:fldCharType="begin" w:fldLock="1"/>
      </w:r>
      <w:r w:rsidR="00C42431">
        <w:rPr>
          <w:color w:val="000000" w:themeColor="text1"/>
        </w:rPr>
        <w:instrText>ADDIN CSL_CITATION {"citationItems":[{"id":"ITEM-1","itemData":{"DOI":"10.1007/s10531-011-0047-7","author":[{"dropping-particle":"","family":"Nogueira","given":"S S C","non-dropping-particle":"","parse-names":false,"suffix":""},{"dropping-particle":"","family":"Nogueira-Filho","given":"S L G","non-dropping-particle":"","parse-names":false,"suffix":""}],"container-title":"Biodiversity and Conservation","id":"ITEM-1","issued":{"date-parts":[["2011"]]},"page":"1385-1397","title":"Wildlife farming: an alternative to unsustainable hunting and deforestation in Neotropical forests?","type":"article-journal","volume":"20"},"uris":["http://www.mendeley.com/documents/?uuid=0b246260-2902-4a44-b7f5-af78e40741f8"]}],"mendeley":{"formattedCitation":"(Nogueira &amp; Nogueira-Filho 2011)","plainTextFormattedCitation":"(Nogueira &amp; Nogueira-Filho 2011)","previouslyFormattedCitation":"(Nogueira &amp; Nogueira-Filho 2011)"},"properties":{"noteIndex":0},"schema":"https://github.com/citation-style-language/schema/raw/master/csl-citation.json"}</w:instrText>
      </w:r>
      <w:r w:rsidR="00C42431">
        <w:rPr>
          <w:color w:val="000000" w:themeColor="text1"/>
        </w:rPr>
        <w:fldChar w:fldCharType="separate"/>
      </w:r>
      <w:r w:rsidR="00C42431" w:rsidRPr="00C42431">
        <w:rPr>
          <w:noProof/>
          <w:color w:val="000000" w:themeColor="text1"/>
        </w:rPr>
        <w:t>(Nogueira &amp; Nogueira-Filho 2011)</w:t>
      </w:r>
      <w:r w:rsidR="00C42431">
        <w:rPr>
          <w:color w:val="000000" w:themeColor="text1"/>
        </w:rPr>
        <w:fldChar w:fldCharType="end"/>
      </w:r>
      <w:r w:rsidR="00992143" w:rsidRPr="004904D8">
        <w:rPr>
          <w:color w:val="000000" w:themeColor="text1"/>
        </w:rPr>
        <w:t xml:space="preserve">. </w:t>
      </w:r>
      <w:r w:rsidR="00EB0C2A" w:rsidRPr="004904D8">
        <w:rPr>
          <w:color w:val="000000" w:themeColor="text1"/>
        </w:rPr>
        <w:t>Unfortuna</w:t>
      </w:r>
      <w:r w:rsidR="00A42537" w:rsidRPr="004904D8">
        <w:rPr>
          <w:color w:val="000000" w:themeColor="text1"/>
        </w:rPr>
        <w:t>tely, in many countries the reg</w:t>
      </w:r>
      <w:r w:rsidR="00EB0C2A" w:rsidRPr="005512D2">
        <w:rPr>
          <w:color w:val="000000" w:themeColor="text1"/>
        </w:rPr>
        <w:t>ulatory environment needed to properly track farmed meats is not in place, and laundering is common (</w:t>
      </w:r>
      <w:r w:rsidR="00A42537" w:rsidRPr="003E3238">
        <w:rPr>
          <w:color w:val="000000" w:themeColor="text1"/>
        </w:rPr>
        <w:t xml:space="preserve">e.g. </w:t>
      </w:r>
      <w:r w:rsidR="00C42431">
        <w:rPr>
          <w:color w:val="000000" w:themeColor="text1"/>
        </w:rPr>
        <w:fldChar w:fldCharType="begin" w:fldLock="1"/>
      </w:r>
      <w:r w:rsidR="00C42431">
        <w:rPr>
          <w:color w:val="000000" w:themeColor="text1"/>
        </w:rPr>
        <w:instrText>ADDIN CSL_CITATION {"citationItems":[{"id":"ITEM-1","itemData":{"DOI":"10.1016/j.biocon.2011.10.002","ISBN":"0006-3207","ISSN":"00063207","abstract":"Wildlife breeding farms have been promoted to aid biodiversity conservation by alleviating the pressure of harvest on wild populations. There is, however, growing concern that many breeding farms are being used to launder illegally caught wildlife. Surveys of wildlife traders in the Indonesian provinces of Maluku, West Papua and Papua were conducted between August 2009 and April 2011 to assess the trade of the green python (Morelia viridis), the species currently exported in the largest numbers from Indonesia declared as captive-bred. In total, 4227 illegally collected wild green pythons were recorded during surveys and high levels of harvest were found to have depleted and skewed the demographics of some island populations. Snakes were traced from their point of capture to breeding farms in Jakarta where they are to be exported for the pet trade, confirming the reports of wildlife laundering. Extrapolation of monthly collection estimates provided by traders revealed that at least 5337 green pythons are collected each year, suggesting that at least 80% of the green pythons exported from Indonesia annually are illegally wild-caught. The results of examination of 139 eggshells from five python species suggest that reptilian eggshells may be used as proof of provenance for each individual reptile exported. This method, in addition to the evidence that breeding farms play a significant role in the illegal exploitation of wildlife, allows conservation managers to begin to adequately monitor, regulate and determine the role of breeding farms in the conservation of wild populations. © 2011 Elsevier Ltd.","author":[{"dropping-particle":"","family":"Lyons","given":"Jessica A.","non-dropping-particle":"","parse-names":false,"suffix":""},{"dropping-particle":"","family":"Natusch","given":"Daniel J D","non-dropping-particle":"","parse-names":false,"suffix":""}],"container-title":"Biological Conservation","id":"ITEM-1","issue":"12","issued":{"date-parts":[["2011"]]},"page":"3073-3081","publisher":"Elsevier Ltd","title":"Wildlife laundering through breeding farms: illegal harvest, population declines and a means of regulating the trade of green pythons (Morelia viridis) from Indonesia","type":"article-journal","volume":"144"},"uris":["http://www.mendeley.com/documents/?uuid=54316719-bea5-4c9d-85a7-e235ee6c21e6"]}],"mendeley":{"formattedCitation":"(Lyons &amp; Natusch 2011)","manualFormatting":"Lyons &amp; Natusch 2011)","plainTextFormattedCitation":"(Lyons &amp; Natusch 2011)","previouslyFormattedCitation":"(Lyons &amp; Natusch 2011)"},"properties":{"noteIndex":0},"schema":"https://github.com/citation-style-language/schema/raw/master/csl-citation.json"}</w:instrText>
      </w:r>
      <w:r w:rsidR="00C42431">
        <w:rPr>
          <w:color w:val="000000" w:themeColor="text1"/>
        </w:rPr>
        <w:fldChar w:fldCharType="separate"/>
      </w:r>
      <w:r w:rsidR="00C42431" w:rsidRPr="00C42431">
        <w:rPr>
          <w:noProof/>
          <w:color w:val="000000" w:themeColor="text1"/>
        </w:rPr>
        <w:t>Lyons &amp; Natusch 2011)</w:t>
      </w:r>
      <w:r w:rsidR="00C42431">
        <w:rPr>
          <w:color w:val="000000" w:themeColor="text1"/>
        </w:rPr>
        <w:fldChar w:fldCharType="end"/>
      </w:r>
      <w:r w:rsidR="00A42537" w:rsidRPr="003E3238">
        <w:rPr>
          <w:color w:val="000000" w:themeColor="text1"/>
        </w:rPr>
        <w:t xml:space="preserve">. </w:t>
      </w:r>
    </w:p>
    <w:p w14:paraId="37BEEFC3" w14:textId="77777777" w:rsidR="00605955" w:rsidRPr="003E3238" w:rsidRDefault="00605955" w:rsidP="00605955">
      <w:pPr>
        <w:pStyle w:val="ListParagraph"/>
        <w:spacing w:after="90"/>
        <w:jc w:val="both"/>
        <w:rPr>
          <w:color w:val="000000" w:themeColor="text1"/>
        </w:rPr>
      </w:pPr>
    </w:p>
    <w:p w14:paraId="1F76FBBD" w14:textId="5C8DB2B3" w:rsidR="00015AE5" w:rsidRPr="0070404D" w:rsidRDefault="00A42537" w:rsidP="00C258BC">
      <w:pPr>
        <w:spacing w:after="90"/>
        <w:jc w:val="both"/>
        <w:rPr>
          <w:color w:val="000000" w:themeColor="text1"/>
        </w:rPr>
      </w:pPr>
      <w:r w:rsidRPr="00EE2428">
        <w:rPr>
          <w:color w:val="000000" w:themeColor="text1"/>
        </w:rPr>
        <w:t xml:space="preserve">While this synopsis paints a bleak picture, where/when these criteria can be met, there </w:t>
      </w:r>
      <w:r w:rsidR="00D063CB">
        <w:rPr>
          <w:color w:val="000000" w:themeColor="text1"/>
        </w:rPr>
        <w:t>may be</w:t>
      </w:r>
      <w:r w:rsidRPr="00EE2428">
        <w:rPr>
          <w:color w:val="000000" w:themeColor="text1"/>
        </w:rPr>
        <w:t xml:space="preserve"> the potential for wildlife farming to help reduce the demand for wild-caught species. As with many previously tested, </w:t>
      </w:r>
      <w:r w:rsidR="00D85930" w:rsidRPr="00EE2428">
        <w:rPr>
          <w:color w:val="000000" w:themeColor="text1"/>
        </w:rPr>
        <w:t>unsuccessful</w:t>
      </w:r>
      <w:r w:rsidRPr="00EE2428">
        <w:rPr>
          <w:color w:val="000000" w:themeColor="text1"/>
        </w:rPr>
        <w:t xml:space="preserve"> initiatives to increase hunting sustainability, lack of success</w:t>
      </w:r>
      <w:r w:rsidR="008D702F" w:rsidRPr="0064175F">
        <w:rPr>
          <w:color w:val="000000" w:themeColor="text1"/>
        </w:rPr>
        <w:t xml:space="preserve"> may be</w:t>
      </w:r>
      <w:r w:rsidRPr="0070404D">
        <w:rPr>
          <w:color w:val="000000" w:themeColor="text1"/>
        </w:rPr>
        <w:t xml:space="preserve"> due, in part, to the lack of an enabling environment. Successful wildlife farming will require the sector to be properly regulated, </w:t>
      </w:r>
      <w:r w:rsidR="008D702F" w:rsidRPr="0070404D">
        <w:rPr>
          <w:color w:val="000000" w:themeColor="text1"/>
        </w:rPr>
        <w:t>ensuring</w:t>
      </w:r>
      <w:r w:rsidRPr="0070404D">
        <w:rPr>
          <w:color w:val="000000" w:themeColor="text1"/>
        </w:rPr>
        <w:t xml:space="preserve"> that wild-caught animals are not laundered and used to re-stock farms. Wildlife farming may </w:t>
      </w:r>
      <w:r w:rsidR="008D702F" w:rsidRPr="0070404D">
        <w:rPr>
          <w:color w:val="000000" w:themeColor="text1"/>
        </w:rPr>
        <w:t>prove a useful component within</w:t>
      </w:r>
      <w:r w:rsidRPr="0070404D">
        <w:rPr>
          <w:color w:val="000000" w:themeColor="text1"/>
        </w:rPr>
        <w:t xml:space="preserve"> suite of complementary initiatives which includes </w:t>
      </w:r>
      <w:r w:rsidR="008D702F" w:rsidRPr="0070404D">
        <w:rPr>
          <w:color w:val="000000" w:themeColor="text1"/>
        </w:rPr>
        <w:t>policies to</w:t>
      </w:r>
      <w:r w:rsidRPr="0070404D">
        <w:rPr>
          <w:color w:val="000000" w:themeColor="text1"/>
        </w:rPr>
        <w:t xml:space="preserve"> increase the price and decrease the preference for wild-caught animals. </w:t>
      </w:r>
      <w:r w:rsidR="008D702F" w:rsidRPr="0070404D">
        <w:rPr>
          <w:color w:val="000000" w:themeColor="text1"/>
        </w:rPr>
        <w:t>Howev</w:t>
      </w:r>
      <w:r w:rsidRPr="0070404D">
        <w:rPr>
          <w:color w:val="000000" w:themeColor="text1"/>
        </w:rPr>
        <w:t>er, as with all interventions, l</w:t>
      </w:r>
      <w:r w:rsidR="002E549A" w:rsidRPr="0070404D">
        <w:rPr>
          <w:color w:val="000000" w:themeColor="text1"/>
        </w:rPr>
        <w:t xml:space="preserve">egalized wildlife farming should not be considered until the impact on the market and consumers’ demand is clarified </w:t>
      </w:r>
      <w:r w:rsidR="00C42431">
        <w:rPr>
          <w:color w:val="000000" w:themeColor="text1"/>
        </w:rPr>
        <w:fldChar w:fldCharType="begin" w:fldLock="1"/>
      </w:r>
      <w:r w:rsidR="00C42431">
        <w:rPr>
          <w:color w:val="000000" w:themeColor="text1"/>
        </w:rPr>
        <w:instrText>ADDIN CSL_CITATION {"citationItems":[{"id":"ITEM-1","itemData":{"DOI":"10.1111/j.1523-1739.2005.00149.x","ISBN":"0888-8892","ISSN":"08888892","abstract":"Uncertainty gives rise to two decision errors in implementing theU.S. Endangered Species Act: listing \\nspecies that are not in danger of extinction and delisting species that are in danger of extinction. I evaluated \\nfour methods (minimumstandard, precautionary principle, minimax regret criterion, adaptive management) \\nfor deciding whether to list or delist a species when there is uncertainty about how those decisions are likely to \\ninfluence survival of the species. A safe minimumstandard criterion preserves some minimumamount or safe \\nstandard (population) of a species unless maintaining that amount generates unacceptable social cost. The \\nprecautionary principle favors not delisting a species when there is insufficient evidence on the efficacy of state \\nmanagement plans for protecting them. A minimax regret criterion selects the delisting decision that minimizes \\nthe maximumloss likely to occur under alternative ecosystem states. When the cost of making a correct decision \\nis less than the cost of making an incorrect decision, the minimax regret criteria indicates that delisting is \\nthe optimal decision. Active adaptive management employs statistically valid experiments to test hypotheses \\nabout the likely impacts of delisting decisions. Safe minimum standard and minimax regret criterion are not \\ncompatible with the U.S. Endangered Species Act. The precautionary principle comes closest to describing how \\nfederal agencies make delisting decisions. Active adaptive management is scientifically superior to the other \\nmethods but is costly and time consuming and may not be compatible with the U.S. National Environmental \\nPolicy Act.","author":[{"dropping-particle":"","family":"Bulte","given":"E H","non-dropping-particle":"","parse-names":false,"suffix":""},{"dropping-particle":"","family":"Damania","given":"R","non-dropping-particle":"","parse-names":false,"suffix":""}],"container-title":"Conservation Biology","id":"ITEM-1","issue":"4","issued":{"date-parts":[["2005"]]},"page":"1222-1233","title":"An economic assessment of wildlife farming and conservation","type":"article-journal","volume":"19"},"uris":["http://www.mendeley.com/documents/?uuid=ce6101da-5bbb-41e3-abf4-71ee984cd454"]},{"id":"ITEM-2","itemData":{"DOI":"10.1016/j.gecco.2016.03.007","ISBN":"23519894","ISSN":"23519894","abstract":"Wild animals and their derivatives are traded worldwide. Consequent poaching has been a main threat to species conservation. As current interventions and law enforcement cannot circumvent the resulting extinction of species, an alternative approach must be considered. It has been suggested that commercial breeding can keep the pressure off wild populations, referred to as wildlife farming. During this review, it is argued that wildlife farming can benefit species conservation only if the following criteria are met: (i) the legal products will form a substitute, and consumers show no preference for wild-caught animals; (ii) a substantial part of the demand is met, and the demand does not increase due to the legalized market; (iii) the legal products will be more cost-efficient, in order to combat the black market prices; (iv) wildlife farming does not rely on wild populations for re-stocking; (v) laundering of illegal products into the commercial trade is absent. For most species encountered in the wildlife trade, these criteria are unlikely to be met in reality and commercial breeding has the potential to have the opposite effect to what is desired for conservation. For some species, however, none of the criteria are violated, and wildlife farming can be considered a possible conservation tool as it may help to take the pressure off wild populations. For these species, future research should focus on the impact of legal products on the market dynamics, effective law enforcement that can prevent corruption, and wildlife forensics that enable the distinction between captive-bred and wild-caught species.","author":[{"dropping-particle":"","family":"Tensen","given":"Laura","non-dropping-particle":"","parse-names":false,"suffix":""}],"container-title":"Global Ecology and Conservation","id":"ITEM-2","issued":{"date-parts":[["2016"]]},"page":"286-298","publisher":"Elsevier B.V.","title":"Under what circumstances can wildlife farming benefit species conservation?","type":"article-journal","volume":"6"},"uris":["http://www.mendeley.com/documents/?uuid=0b6e9309-4146-4c94-88d8-f6f74c2a61c4"]}],"mendeley":{"formattedCitation":"(Bulte &amp; Damania 2005; Tensen 2016)","plainTextFormattedCitation":"(Bulte &amp; Damania 2005; Tensen 2016)","previouslyFormattedCitation":"(Bulte &amp; Damania 2005; Tensen 2016)"},"properties":{"noteIndex":0},"schema":"https://github.com/citation-style-language/schema/raw/master/csl-citation.json"}</w:instrText>
      </w:r>
      <w:r w:rsidR="00C42431">
        <w:rPr>
          <w:color w:val="000000" w:themeColor="text1"/>
        </w:rPr>
        <w:fldChar w:fldCharType="separate"/>
      </w:r>
      <w:r w:rsidR="00C42431" w:rsidRPr="00C42431">
        <w:rPr>
          <w:noProof/>
          <w:color w:val="000000" w:themeColor="text1"/>
        </w:rPr>
        <w:t>(Bulte &amp; Damania 2005; Tensen 2016)</w:t>
      </w:r>
      <w:r w:rsidR="00C42431">
        <w:rPr>
          <w:color w:val="000000" w:themeColor="text1"/>
        </w:rPr>
        <w:fldChar w:fldCharType="end"/>
      </w:r>
      <w:r w:rsidR="002E549A" w:rsidRPr="0070404D">
        <w:rPr>
          <w:color w:val="000000" w:themeColor="text1"/>
        </w:rPr>
        <w:t>. </w:t>
      </w:r>
    </w:p>
    <w:p w14:paraId="32A43909" w14:textId="28A68F8F" w:rsidR="00015AE5" w:rsidRPr="004904D8" w:rsidRDefault="00B66480" w:rsidP="00C258BC">
      <w:pPr>
        <w:jc w:val="both"/>
        <w:rPr>
          <w:color w:val="000000" w:themeColor="text1"/>
        </w:rPr>
      </w:pPr>
      <w:r w:rsidRPr="006C56F2">
        <w:rPr>
          <w:noProof/>
          <w:color w:val="000000" w:themeColor="text1"/>
          <w:lang w:val="en-US"/>
        </w:rPr>
        <w:lastRenderedPageBreak/>
        <w:drawing>
          <wp:inline distT="0" distB="0" distL="0" distR="0" wp14:anchorId="260DAFA6" wp14:editId="01B9C55C">
            <wp:extent cx="5626359" cy="4102100"/>
            <wp:effectExtent l="0" t="0" r="0" b="0"/>
            <wp:docPr id="7" name="Picture 7" descr="../../../../Screenshots/Screenshot%202018-05-01%2014.25.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s/Screenshot%202018-05-01%2014.25.34.pn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641072" cy="4112827"/>
                    </a:xfrm>
                    <a:prstGeom prst="rect">
                      <a:avLst/>
                    </a:prstGeom>
                    <a:noFill/>
                    <a:ln>
                      <a:noFill/>
                    </a:ln>
                  </pic:spPr>
                </pic:pic>
              </a:graphicData>
            </a:graphic>
          </wp:inline>
        </w:drawing>
      </w:r>
    </w:p>
    <w:p w14:paraId="6F7D5BEE" w14:textId="4459D724" w:rsidR="008D702F" w:rsidRDefault="00F649DE" w:rsidP="00C258BC">
      <w:pPr>
        <w:pStyle w:val="Caption"/>
        <w:jc w:val="both"/>
        <w:rPr>
          <w:color w:val="000000" w:themeColor="text1"/>
        </w:rPr>
      </w:pPr>
      <w:bookmarkStart w:id="280" w:name="_Ref519698369"/>
      <w:r>
        <w:t xml:space="preserve">Figure </w:t>
      </w:r>
      <w:r>
        <w:fldChar w:fldCharType="begin"/>
      </w:r>
      <w:r>
        <w:instrText xml:space="preserve"> SEQ Figure \* ARABIC </w:instrText>
      </w:r>
      <w:r>
        <w:fldChar w:fldCharType="separate"/>
      </w:r>
      <w:r w:rsidR="004873F0">
        <w:rPr>
          <w:noProof/>
        </w:rPr>
        <w:t>10</w:t>
      </w:r>
      <w:r>
        <w:fldChar w:fldCharType="end"/>
      </w:r>
      <w:bookmarkEnd w:id="280"/>
      <w:r w:rsidR="00B66480" w:rsidRPr="004904D8">
        <w:rPr>
          <w:color w:val="000000" w:themeColor="text1"/>
        </w:rPr>
        <w:t xml:space="preserve">: </w:t>
      </w:r>
      <w:r w:rsidR="00B66480" w:rsidRPr="00826709">
        <w:rPr>
          <w:b w:val="0"/>
          <w:color w:val="000000" w:themeColor="text1"/>
        </w:rPr>
        <w:t xml:space="preserve">Criteria that have to be met for wildlife farming to be suitable as a conservation tool. </w:t>
      </w:r>
      <w:r w:rsidR="008D702F" w:rsidRPr="00826709">
        <w:rPr>
          <w:b w:val="0"/>
          <w:color w:val="000000" w:themeColor="text1"/>
        </w:rPr>
        <w:t xml:space="preserve">Reproduced from </w:t>
      </w:r>
      <w:r w:rsidR="00C42431">
        <w:rPr>
          <w:b w:val="0"/>
          <w:color w:val="000000" w:themeColor="text1"/>
        </w:rPr>
        <w:fldChar w:fldCharType="begin" w:fldLock="1"/>
      </w:r>
      <w:r w:rsidR="00A11C8C">
        <w:rPr>
          <w:b w:val="0"/>
          <w:color w:val="000000" w:themeColor="text1"/>
        </w:rPr>
        <w:instrText>ADDIN CSL_CITATION {"citationItems":[{"id":"ITEM-1","itemData":{"DOI":"10.1016/j.gecco.2016.03.007","ISBN":"23519894","ISSN":"23519894","abstract":"Wild animals and their derivatives are traded worldwide. Consequent poaching has been a main threat to species conservation. As current interventions and law enforcement cannot circumvent the resulting extinction of species, an alternative approach must be considered. It has been suggested that commercial breeding can keep the pressure off wild populations, referred to as wildlife farming. During this review, it is argued that wildlife farming can benefit species conservation only if the following criteria are met: (i) the legal products will form a substitute, and consumers show no preference for wild-caught animals; (ii) a substantial part of the demand is met, and the demand does not increase due to the legalized market; (iii) the legal products will be more cost-efficient, in order to combat the black market prices; (iv) wildlife farming does not rely on wild populations for re-stocking; (v) laundering of illegal products into the commercial trade is absent. For most species encountered in the wildlife trade, these criteria are unlikely to be met in reality and commercial breeding has the potential to have the opposite effect to what is desired for conservation. For some species, however, none of the criteria are violated, and wildlife farming can be considered a possible conservation tool as it may help to take the pressure off wild populations. For these species, future research should focus on the impact of legal products on the market dynamics, effective law enforcement that can prevent corruption, and wildlife forensics that enable the distinction between captive-bred and wild-caught species.","author":[{"dropping-particle":"","family":"Tensen","given":"Laura","non-dropping-particle":"","parse-names":false,"suffix":""}],"container-title":"Global Ecology and Conservation","id":"ITEM-1","issued":{"date-parts":[["2016"]]},"page":"286-298","publisher":"Elsevier B.V.","title":"Under what circumstances can wildlife farming benefit species conservation?","type":"article-journal","volume":"6"},"uris":["http://www.mendeley.com/documents/?uuid=0b6e9309-4146-4c94-88d8-f6f74c2a61c4"]}],"mendeley":{"formattedCitation":"(Tensen 2016)","manualFormatting":"Tensen (2016)","plainTextFormattedCitation":"(Tensen 2016)","previouslyFormattedCitation":"(Tensen 2016)"},"properties":{"noteIndex":0},"schema":"https://github.com/citation-style-language/schema/raw/master/csl-citation.json"}</w:instrText>
      </w:r>
      <w:r w:rsidR="00C42431">
        <w:rPr>
          <w:b w:val="0"/>
          <w:color w:val="000000" w:themeColor="text1"/>
        </w:rPr>
        <w:fldChar w:fldCharType="separate"/>
      </w:r>
      <w:r w:rsidR="00C42431" w:rsidRPr="00C42431">
        <w:rPr>
          <w:b w:val="0"/>
          <w:noProof/>
          <w:color w:val="000000" w:themeColor="text1"/>
        </w:rPr>
        <w:t xml:space="preserve">Tensen </w:t>
      </w:r>
      <w:r w:rsidR="00C42431">
        <w:rPr>
          <w:b w:val="0"/>
          <w:noProof/>
          <w:color w:val="000000" w:themeColor="text1"/>
        </w:rPr>
        <w:t>(</w:t>
      </w:r>
      <w:r w:rsidR="00C42431" w:rsidRPr="00C42431">
        <w:rPr>
          <w:b w:val="0"/>
          <w:noProof/>
          <w:color w:val="000000" w:themeColor="text1"/>
        </w:rPr>
        <w:t>2016)</w:t>
      </w:r>
      <w:r w:rsidR="00C42431">
        <w:rPr>
          <w:b w:val="0"/>
          <w:color w:val="000000" w:themeColor="text1"/>
        </w:rPr>
        <w:fldChar w:fldCharType="end"/>
      </w:r>
      <w:r w:rsidR="00C42431">
        <w:rPr>
          <w:b w:val="0"/>
          <w:color w:val="000000" w:themeColor="text1"/>
        </w:rPr>
        <w:t>.</w:t>
      </w:r>
    </w:p>
    <w:p w14:paraId="34F8B725" w14:textId="05F7EACD" w:rsidR="00837F97" w:rsidRDefault="00837F97" w:rsidP="00C258BC">
      <w:pPr>
        <w:jc w:val="both"/>
        <w:rPr>
          <w:lang w:val="de-AT" w:eastAsia="de-AT"/>
        </w:rPr>
      </w:pPr>
      <w:r w:rsidRPr="006C56F2">
        <w:rPr>
          <w:noProof/>
          <w:color w:val="000000" w:themeColor="text1"/>
          <w:lang w:val="en-US"/>
        </w:rPr>
        <w:lastRenderedPageBreak/>
        <mc:AlternateContent>
          <mc:Choice Requires="wps">
            <w:drawing>
              <wp:inline distT="0" distB="0" distL="0" distR="0" wp14:anchorId="12F77C90" wp14:editId="1ECBFD60">
                <wp:extent cx="5598795" cy="6972300"/>
                <wp:effectExtent l="0" t="0" r="14605" b="38100"/>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8795" cy="6972300"/>
                        </a:xfrm>
                        <a:prstGeom prst="rect">
                          <a:avLst/>
                        </a:prstGeom>
                        <a:solidFill>
                          <a:schemeClr val="bg1">
                            <a:lumMod val="85000"/>
                          </a:schemeClr>
                        </a:solidFill>
                        <a:ln w="22225">
                          <a:solidFill>
                            <a:schemeClr val="tx1">
                              <a:lumMod val="100000"/>
                              <a:lumOff val="0"/>
                            </a:schemeClr>
                          </a:solidFill>
                          <a:miter lim="800000"/>
                          <a:headEnd/>
                          <a:tailEnd/>
                        </a:ln>
                        <a:extLst/>
                      </wps:spPr>
                      <wps:txbx>
                        <w:txbxContent>
                          <w:p w14:paraId="68D7AACC" w14:textId="734BFA93" w:rsidR="00B82BFD" w:rsidRPr="00D50D44" w:rsidRDefault="00B82BFD" w:rsidP="00837F97">
                            <w:pPr>
                              <w:pStyle w:val="Caption"/>
                            </w:pPr>
                            <w:bookmarkStart w:id="281" w:name="_Ref519874444"/>
                            <w:bookmarkStart w:id="282" w:name="_Hlk529279909"/>
                            <w:r>
                              <w:t xml:space="preserve">Box </w:t>
                            </w:r>
                            <w:r>
                              <w:fldChar w:fldCharType="begin"/>
                            </w:r>
                            <w:r>
                              <w:instrText xml:space="preserve"> SEQ Box \* ARABIC </w:instrText>
                            </w:r>
                            <w:r>
                              <w:fldChar w:fldCharType="separate"/>
                            </w:r>
                            <w:r>
                              <w:rPr>
                                <w:noProof/>
                              </w:rPr>
                              <w:t>9</w:t>
                            </w:r>
                            <w:r>
                              <w:fldChar w:fldCharType="end"/>
                            </w:r>
                            <w:bookmarkEnd w:id="281"/>
                            <w:r w:rsidRPr="00803DEE">
                              <w:rPr>
                                <w:b w:val="0"/>
                                <w:sz w:val="22"/>
                              </w:rPr>
                              <w:t>:</w:t>
                            </w:r>
                            <w:r w:rsidRPr="00D50D44">
                              <w:rPr>
                                <w:sz w:val="22"/>
                              </w:rPr>
                              <w:t xml:space="preserve"> Providing alternatives to wild meat</w:t>
                            </w:r>
                          </w:p>
                          <w:bookmarkEnd w:id="282"/>
                          <w:p w14:paraId="34C0400B" w14:textId="29787459" w:rsidR="00B82BFD" w:rsidRPr="00803DEE" w:rsidRDefault="00B82BFD" w:rsidP="00837F97">
                            <w:pPr>
                              <w:rPr>
                                <w:sz w:val="22"/>
                              </w:rPr>
                            </w:pPr>
                            <w:r w:rsidRPr="00803DEE">
                              <w:rPr>
                                <w:sz w:val="22"/>
                              </w:rPr>
                              <w:t xml:space="preserve">Practical, successful examples of policies to provide wild meat </w:t>
                            </w:r>
                            <w:r w:rsidRPr="00F46C6A">
                              <w:rPr>
                                <w:sz w:val="22"/>
                              </w:rPr>
                              <w:t>substitutes are scarce. This is partly because policies have not been rigorously evaluated, nor impacts reported (Wicander &amp; Coad, 2015</w:t>
                            </w:r>
                            <w:r>
                              <w:rPr>
                                <w:sz w:val="22"/>
                              </w:rPr>
                              <w:t>, 2018</w:t>
                            </w:r>
                            <w:r w:rsidRPr="00F46C6A">
                              <w:rPr>
                                <w:sz w:val="22"/>
                              </w:rPr>
                              <w:t>). Interventions have generally been small-scale, and at the vil</w:t>
                            </w:r>
                            <w:r w:rsidRPr="00803DEE">
                              <w:rPr>
                                <w:sz w:val="22"/>
                              </w:rPr>
                              <w:t xml:space="preserve">lage level, and therefore even where projects have been successful, impacts on wild meat consumption to date have been minimal. Some examples of past projects are provided below, and further examples are discussed in Wicander </w:t>
                            </w:r>
                            <w:r>
                              <w:rPr>
                                <w:sz w:val="22"/>
                              </w:rPr>
                              <w:t>&amp;</w:t>
                            </w:r>
                            <w:r w:rsidRPr="00803DEE">
                              <w:rPr>
                                <w:sz w:val="22"/>
                              </w:rPr>
                              <w:t xml:space="preserve"> Coad (2015). </w:t>
                            </w:r>
                          </w:p>
                          <w:p w14:paraId="4E65C5C1" w14:textId="704B0530" w:rsidR="00B82BFD" w:rsidRPr="000A7365" w:rsidRDefault="003D3A1B" w:rsidP="00837F97">
                            <w:pPr>
                              <w:rPr>
                                <w:color w:val="000000" w:themeColor="text1"/>
                                <w:sz w:val="22"/>
                              </w:rPr>
                            </w:pPr>
                            <w:hyperlink r:id="rId135" w:history="1">
                              <w:r w:rsidR="00B82BFD" w:rsidRPr="00803DEE">
                                <w:rPr>
                                  <w:rStyle w:val="Hyperlink"/>
                                  <w:b/>
                                  <w:i/>
                                  <w:sz w:val="22"/>
                                </w:rPr>
                                <w:t xml:space="preserve">Poultry production in the </w:t>
                              </w:r>
                              <w:r w:rsidR="00B82BFD" w:rsidRPr="00803DEE">
                                <w:rPr>
                                  <w:rStyle w:val="Hyperlink"/>
                                  <w:b/>
                                  <w:bCs/>
                                  <w:i/>
                                  <w:sz w:val="22"/>
                                </w:rPr>
                                <w:t>Ruaha Landscape Tanzania</w:t>
                              </w:r>
                            </w:hyperlink>
                            <w:r w:rsidR="00B82BFD">
                              <w:rPr>
                                <w:rStyle w:val="Hyperlink"/>
                                <w:b/>
                                <w:bCs/>
                                <w:i/>
                                <w:sz w:val="22"/>
                              </w:rPr>
                              <w:t xml:space="preserve"> </w:t>
                            </w:r>
                            <w:r w:rsidR="00B82BFD" w:rsidRPr="00803DEE">
                              <w:rPr>
                                <w:b/>
                                <w:bCs/>
                                <w:i/>
                                <w:sz w:val="22"/>
                              </w:rPr>
                              <w:t>:</w:t>
                            </w:r>
                            <w:r w:rsidR="00B82BFD" w:rsidRPr="00803DEE">
                              <w:rPr>
                                <w:bCs/>
                                <w:i/>
                                <w:sz w:val="22"/>
                              </w:rPr>
                              <w:t xml:space="preserve"> </w:t>
                            </w:r>
                            <w:r w:rsidR="00B82BFD">
                              <w:rPr>
                                <w:sz w:val="22"/>
                              </w:rPr>
                              <w:t xml:space="preserve">In 2007, </w:t>
                            </w:r>
                            <w:r w:rsidR="00B82BFD" w:rsidRPr="000A7365">
                              <w:rPr>
                                <w:color w:val="000000" w:themeColor="text1"/>
                                <w:sz w:val="22"/>
                              </w:rPr>
                              <w:t>the United States Agency for International Development (USAID) funded project in three villages in Tanzania, implemented by the Wildlife Conservation Society, aimed to reduce disease prevalence in chickens to increase the supply of meat and eggs to village households</w:t>
                            </w:r>
                            <w:r w:rsidR="00B82BFD">
                              <w:rPr>
                                <w:color w:val="000000" w:themeColor="text1"/>
                                <w:sz w:val="22"/>
                              </w:rPr>
                              <w:t xml:space="preserve"> (Knueppel  et al. 2009). </w:t>
                            </w:r>
                            <w:r w:rsidR="00B82BFD" w:rsidRPr="000A7365">
                              <w:rPr>
                                <w:color w:val="000000" w:themeColor="text1"/>
                                <w:sz w:val="22"/>
                              </w:rPr>
                              <w:t>A side-aim of the project was to see how changes in poultry availability might influence wild meat consumption. While vaccinations were successful in increasing chicken meat availability, wild meat consumption was not correlated with the amount of chickens a household owned, and was unlikely to be a major factor in food security for these villages, demonstrating the need for a full understanding of the drivers of wild meat consumption when designing interventions.</w:t>
                            </w:r>
                          </w:p>
                          <w:p w14:paraId="31605C33" w14:textId="1A6D3155" w:rsidR="00B82BFD" w:rsidRPr="00F46C6A" w:rsidRDefault="00B82BFD" w:rsidP="00837F97">
                            <w:pPr>
                              <w:rPr>
                                <w:color w:val="000000" w:themeColor="text1"/>
                                <w:sz w:val="22"/>
                              </w:rPr>
                            </w:pPr>
                            <w:r w:rsidRPr="000A7365">
                              <w:rPr>
                                <w:b/>
                                <w:i/>
                                <w:color w:val="000000" w:themeColor="text1"/>
                                <w:sz w:val="22"/>
                              </w:rPr>
                              <w:t xml:space="preserve">Peri-urban cane rat rearing in Gabon, Congo and Cameroon: </w:t>
                            </w:r>
                            <w:r w:rsidRPr="000A7365">
                              <w:rPr>
                                <w:color w:val="000000" w:themeColor="text1"/>
                                <w:sz w:val="22"/>
                              </w:rPr>
                              <w:t xml:space="preserve">Funded by the European Union, this project ran from 2002 – 2004. The project was set up under the hypothesis that the volume of meat produced from cane rat farming could capture a significant part of the market for wild meat, reducing hunting pressure by reducing urban demand. Centres for breeding and training were set up in peri-urban areas (such as the outskirts of Libreville and Pointe Noire). Training and animals were provided to individuals who wished to become breeders, and support to breeders provided at regular intervals after the original training session. In Gabon and Congo none of the </w:t>
                            </w:r>
                            <w:r w:rsidRPr="00F46C6A">
                              <w:rPr>
                                <w:color w:val="000000" w:themeColor="text1"/>
                                <w:sz w:val="22"/>
                              </w:rPr>
                              <w:t xml:space="preserve">participants were still rearing cane rats one year after project completion. In Cameroon, the project manager suggested that uptake was more positive, potentially because Cameroon has a lower availability of wild meat, and more previous expertise in livestock rearing (Wicander </w:t>
                            </w:r>
                            <w:r>
                              <w:rPr>
                                <w:color w:val="000000" w:themeColor="text1"/>
                                <w:sz w:val="22"/>
                              </w:rPr>
                              <w:t xml:space="preserve">&amp; </w:t>
                            </w:r>
                            <w:r w:rsidRPr="00F46C6A">
                              <w:rPr>
                                <w:color w:val="000000" w:themeColor="text1"/>
                                <w:sz w:val="22"/>
                              </w:rPr>
                              <w:t>Coad, 2015). Although the project had no formal monitoring program, the project manager suggested there had been no impact on hunting pressure.</w:t>
                            </w:r>
                          </w:p>
                          <w:p w14:paraId="58BDD742" w14:textId="41755966" w:rsidR="00B82BFD" w:rsidRPr="00803DEE" w:rsidRDefault="00B82BFD" w:rsidP="00837F97">
                            <w:pPr>
                              <w:rPr>
                                <w:sz w:val="22"/>
                              </w:rPr>
                            </w:pPr>
                            <w:r w:rsidRPr="00F46C6A">
                              <w:rPr>
                                <w:b/>
                                <w:i/>
                                <w:color w:val="000000" w:themeColor="text1"/>
                                <w:sz w:val="22"/>
                              </w:rPr>
                              <w:t>Fish and chicken production in the Ituri, DRC.</w:t>
                            </w:r>
                            <w:r w:rsidRPr="00F46C6A">
                              <w:rPr>
                                <w:b/>
                                <w:color w:val="000000" w:themeColor="text1"/>
                                <w:sz w:val="22"/>
                              </w:rPr>
                              <w:t xml:space="preserve"> </w:t>
                            </w:r>
                            <w:r w:rsidRPr="00F46C6A">
                              <w:rPr>
                                <w:color w:val="000000" w:themeColor="text1"/>
                                <w:sz w:val="22"/>
                              </w:rPr>
                              <w:t xml:space="preserve">This project, funded by the Central Africa Regional Program for the Environment (CARPE), aimed to reduce the amount of hunting pressure in the Ituri forest by reintroducing the idea of animal husbandry, which had been decimated after the civil war. As a condition of participation in the project, hunters </w:t>
                            </w:r>
                            <w:r w:rsidRPr="00F46C6A">
                              <w:rPr>
                                <w:sz w:val="22"/>
                              </w:rPr>
                              <w:t>had to abide by hunting regulations: no killing of protected species, and no hunting in the closed season. There was little project monitoring, but interviews with the project managers (</w:t>
                            </w:r>
                            <w:r>
                              <w:rPr>
                                <w:sz w:val="22"/>
                              </w:rPr>
                              <w:t>Wicander &amp;</w:t>
                            </w:r>
                            <w:r w:rsidRPr="00F46C6A">
                              <w:rPr>
                                <w:sz w:val="22"/>
                              </w:rPr>
                              <w:t xml:space="preserve"> Coad, 2015) suggested that while communities were still using the alternatives, and within the communities there may have been some</w:t>
                            </w:r>
                            <w:r w:rsidRPr="00803DEE">
                              <w:rPr>
                                <w:sz w:val="22"/>
                              </w:rPr>
                              <w:t xml:space="preserve"> reduction in hunting, there was likely little impact on hunted species populations due to the scale of threats to these species from outside the village from non-village poachers.</w:t>
                            </w:r>
                          </w:p>
                        </w:txbxContent>
                      </wps:txbx>
                      <wps:bodyPr rot="0" vert="horz" wrap="square" lIns="91440" tIns="45720" rIns="91440" bIns="45720" anchor="t" anchorCtr="0" upright="1">
                        <a:noAutofit/>
                      </wps:bodyPr>
                    </wps:wsp>
                  </a:graphicData>
                </a:graphic>
              </wp:inline>
            </w:drawing>
          </mc:Choice>
          <mc:Fallback>
            <w:pict>
              <v:shape w14:anchorId="12F77C90" id="Text Box 1" o:spid="_x0000_s1034" type="#_x0000_t202" style="width:440.85pt;height:5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" fillcolor="#d8d8d8 [2732]" strokecolor="black [3213]" strokeweight="1.75pt">
                <v:textbox>
                  <w:txbxContent>
                    <w:p w14:paraId="68D7AACC" w14:textId="734BFA93" w:rsidR="00B82BFD" w:rsidRPr="00D50D44" w:rsidRDefault="00B82BFD" w:rsidP="00837F97">
                      <w:pPr>
                        <w:pStyle w:val="Caption"/>
                      </w:pPr>
                      <w:bookmarkStart w:id="283" w:name="_Ref519874444"/>
                      <w:bookmarkStart w:id="284" w:name="_Hlk529279909"/>
                      <w:r>
                        <w:t xml:space="preserve">Box </w:t>
                      </w:r>
                      <w:r>
                        <w:fldChar w:fldCharType="begin"/>
                      </w:r>
                      <w:r>
                        <w:instrText xml:space="preserve"> SEQ Box \* ARABIC </w:instrText>
                      </w:r>
                      <w:r>
                        <w:fldChar w:fldCharType="separate"/>
                      </w:r>
                      <w:r>
                        <w:rPr>
                          <w:noProof/>
                        </w:rPr>
                        <w:t>9</w:t>
                      </w:r>
                      <w:r>
                        <w:fldChar w:fldCharType="end"/>
                      </w:r>
                      <w:bookmarkEnd w:id="283"/>
                      <w:r w:rsidRPr="00803DEE">
                        <w:rPr>
                          <w:b w:val="0"/>
                          <w:sz w:val="22"/>
                        </w:rPr>
                        <w:t>:</w:t>
                      </w:r>
                      <w:r w:rsidRPr="00D50D44">
                        <w:rPr>
                          <w:sz w:val="22"/>
                        </w:rPr>
                        <w:t xml:space="preserve"> Providing alternatives to wild meat</w:t>
                      </w:r>
                    </w:p>
                    <w:bookmarkEnd w:id="284"/>
                    <w:p w14:paraId="34C0400B" w14:textId="29787459" w:rsidR="00B82BFD" w:rsidRPr="00803DEE" w:rsidRDefault="00B82BFD" w:rsidP="00837F97">
                      <w:pPr>
                        <w:rPr>
                          <w:sz w:val="22"/>
                        </w:rPr>
                      </w:pPr>
                      <w:r w:rsidRPr="00803DEE">
                        <w:rPr>
                          <w:sz w:val="22"/>
                        </w:rPr>
                        <w:t xml:space="preserve">Practical, successful examples of policies to provide wild meat </w:t>
                      </w:r>
                      <w:r w:rsidRPr="00F46C6A">
                        <w:rPr>
                          <w:sz w:val="22"/>
                        </w:rPr>
                        <w:t>substitutes are scarce. This is partly because policies have not been rigorously evaluated, nor impacts reported (Wicander &amp; Coad, 2015</w:t>
                      </w:r>
                      <w:r>
                        <w:rPr>
                          <w:sz w:val="22"/>
                        </w:rPr>
                        <w:t>, 2018</w:t>
                      </w:r>
                      <w:r w:rsidRPr="00F46C6A">
                        <w:rPr>
                          <w:sz w:val="22"/>
                        </w:rPr>
                        <w:t>). Interventions have generally been small-scale, and at the vil</w:t>
                      </w:r>
                      <w:r w:rsidRPr="00803DEE">
                        <w:rPr>
                          <w:sz w:val="22"/>
                        </w:rPr>
                        <w:t xml:space="preserve">lage level, and therefore even where projects have been successful, impacts on wild meat consumption to date have been minimal. Some examples of past projects are provided below, and further examples are discussed in Wicander </w:t>
                      </w:r>
                      <w:r>
                        <w:rPr>
                          <w:sz w:val="22"/>
                        </w:rPr>
                        <w:t>&amp;</w:t>
                      </w:r>
                      <w:r w:rsidRPr="00803DEE">
                        <w:rPr>
                          <w:sz w:val="22"/>
                        </w:rPr>
                        <w:t xml:space="preserve"> Coad (2015). </w:t>
                      </w:r>
                    </w:p>
                    <w:p w14:paraId="4E65C5C1" w14:textId="704B0530" w:rsidR="00B82BFD" w:rsidRPr="000A7365" w:rsidRDefault="003D3A1B" w:rsidP="00837F97">
                      <w:pPr>
                        <w:rPr>
                          <w:color w:val="000000" w:themeColor="text1"/>
                          <w:sz w:val="22"/>
                        </w:rPr>
                      </w:pPr>
                      <w:hyperlink r:id="rId136" w:history="1">
                        <w:r w:rsidR="00B82BFD" w:rsidRPr="00803DEE">
                          <w:rPr>
                            <w:rStyle w:val="Hyperlink"/>
                            <w:b/>
                            <w:i/>
                            <w:sz w:val="22"/>
                          </w:rPr>
                          <w:t xml:space="preserve">Poultry production in the </w:t>
                        </w:r>
                        <w:r w:rsidR="00B82BFD" w:rsidRPr="00803DEE">
                          <w:rPr>
                            <w:rStyle w:val="Hyperlink"/>
                            <w:b/>
                            <w:bCs/>
                            <w:i/>
                            <w:sz w:val="22"/>
                          </w:rPr>
                          <w:t>Ruaha Landscape Tanzania</w:t>
                        </w:r>
                      </w:hyperlink>
                      <w:r w:rsidR="00B82BFD">
                        <w:rPr>
                          <w:rStyle w:val="Hyperlink"/>
                          <w:b/>
                          <w:bCs/>
                          <w:i/>
                          <w:sz w:val="22"/>
                        </w:rPr>
                        <w:t xml:space="preserve"> </w:t>
                      </w:r>
                      <w:r w:rsidR="00B82BFD" w:rsidRPr="00803DEE">
                        <w:rPr>
                          <w:b/>
                          <w:bCs/>
                          <w:i/>
                          <w:sz w:val="22"/>
                        </w:rPr>
                        <w:t>:</w:t>
                      </w:r>
                      <w:r w:rsidR="00B82BFD" w:rsidRPr="00803DEE">
                        <w:rPr>
                          <w:bCs/>
                          <w:i/>
                          <w:sz w:val="22"/>
                        </w:rPr>
                        <w:t xml:space="preserve"> </w:t>
                      </w:r>
                      <w:r w:rsidR="00B82BFD">
                        <w:rPr>
                          <w:sz w:val="22"/>
                        </w:rPr>
                        <w:t xml:space="preserve">In 2007, </w:t>
                      </w:r>
                      <w:r w:rsidR="00B82BFD" w:rsidRPr="000A7365">
                        <w:rPr>
                          <w:color w:val="000000" w:themeColor="text1"/>
                          <w:sz w:val="22"/>
                        </w:rPr>
                        <w:t>the United States Agency for International Development (USAID) funded project in three villages in Tanzania, implemented by the Wildlife Conservation Society, aimed to reduce disease prevalence in chickens to increase the supply of meat and eggs to village households</w:t>
                      </w:r>
                      <w:r w:rsidR="00B82BFD">
                        <w:rPr>
                          <w:color w:val="000000" w:themeColor="text1"/>
                          <w:sz w:val="22"/>
                        </w:rPr>
                        <w:t xml:space="preserve"> (Knueppel  et al. 2009). </w:t>
                      </w:r>
                      <w:r w:rsidR="00B82BFD" w:rsidRPr="000A7365">
                        <w:rPr>
                          <w:color w:val="000000" w:themeColor="text1"/>
                          <w:sz w:val="22"/>
                        </w:rPr>
                        <w:t>A side-aim of the project was to see how changes in poultry availability might influence wild meat consumption. While vaccinations were successful in increasing chicken meat availability, wild meat consumption was not correlated with the amount of chickens a household owned, and was unlikely to be a major factor in food security for these villages, demonstrating the need for a full understanding of the drivers of wild meat consumption when designing interventions.</w:t>
                      </w:r>
                    </w:p>
                    <w:p w14:paraId="31605C33" w14:textId="1A6D3155" w:rsidR="00B82BFD" w:rsidRPr="00F46C6A" w:rsidRDefault="00B82BFD" w:rsidP="00837F97">
                      <w:pPr>
                        <w:rPr>
                          <w:color w:val="000000" w:themeColor="text1"/>
                          <w:sz w:val="22"/>
                        </w:rPr>
                      </w:pPr>
                      <w:r w:rsidRPr="000A7365">
                        <w:rPr>
                          <w:b/>
                          <w:i/>
                          <w:color w:val="000000" w:themeColor="text1"/>
                          <w:sz w:val="22"/>
                        </w:rPr>
                        <w:t xml:space="preserve">Peri-urban cane rat rearing in Gabon, Congo and Cameroon: </w:t>
                      </w:r>
                      <w:r w:rsidRPr="000A7365">
                        <w:rPr>
                          <w:color w:val="000000" w:themeColor="text1"/>
                          <w:sz w:val="22"/>
                        </w:rPr>
                        <w:t xml:space="preserve">Funded by the European Union, this project ran from 2002 – 2004. The project was set up under the hypothesis that the volume of meat produced from cane rat farming could capture a significant part of the market for wild meat, reducing hunting pressure by reducing urban demand. Centres for breeding and training were set up in peri-urban areas (such as the outskirts of Libreville and Pointe Noire). Training and animals were provided to individuals who wished to become breeders, and support to breeders provided at regular intervals after the original training session. In Gabon and Congo none of the </w:t>
                      </w:r>
                      <w:r w:rsidRPr="00F46C6A">
                        <w:rPr>
                          <w:color w:val="000000" w:themeColor="text1"/>
                          <w:sz w:val="22"/>
                        </w:rPr>
                        <w:t xml:space="preserve">participants were still rearing cane rats one year after project completion. In Cameroon, the project manager suggested that uptake was more positive, potentially because Cameroon has a lower availability of wild meat, and more previous expertise in livestock rearing (Wicander </w:t>
                      </w:r>
                      <w:r>
                        <w:rPr>
                          <w:color w:val="000000" w:themeColor="text1"/>
                          <w:sz w:val="22"/>
                        </w:rPr>
                        <w:t xml:space="preserve">&amp; </w:t>
                      </w:r>
                      <w:r w:rsidRPr="00F46C6A">
                        <w:rPr>
                          <w:color w:val="000000" w:themeColor="text1"/>
                          <w:sz w:val="22"/>
                        </w:rPr>
                        <w:t>Coad, 2015). Although the project had no formal monitoring program, the project manager suggested there had been no impact on hunting pressure.</w:t>
                      </w:r>
                    </w:p>
                    <w:p w14:paraId="58BDD742" w14:textId="41755966" w:rsidR="00B82BFD" w:rsidRPr="00803DEE" w:rsidRDefault="00B82BFD" w:rsidP="00837F97">
                      <w:pPr>
                        <w:rPr>
                          <w:sz w:val="22"/>
                        </w:rPr>
                      </w:pPr>
                      <w:r w:rsidRPr="00F46C6A">
                        <w:rPr>
                          <w:b/>
                          <w:i/>
                          <w:color w:val="000000" w:themeColor="text1"/>
                          <w:sz w:val="22"/>
                        </w:rPr>
                        <w:t>Fish and chicken production in the Ituri, DRC.</w:t>
                      </w:r>
                      <w:r w:rsidRPr="00F46C6A">
                        <w:rPr>
                          <w:b/>
                          <w:color w:val="000000" w:themeColor="text1"/>
                          <w:sz w:val="22"/>
                        </w:rPr>
                        <w:t xml:space="preserve"> </w:t>
                      </w:r>
                      <w:r w:rsidRPr="00F46C6A">
                        <w:rPr>
                          <w:color w:val="000000" w:themeColor="text1"/>
                          <w:sz w:val="22"/>
                        </w:rPr>
                        <w:t xml:space="preserve">This project, funded by the Central Africa Regional Program for the Environment (CARPE), aimed to reduce the amount of hunting pressure in the Ituri forest by reintroducing the idea of animal husbandry, which had been decimated after the civil war. As a condition of participation in the project, hunters </w:t>
                      </w:r>
                      <w:r w:rsidRPr="00F46C6A">
                        <w:rPr>
                          <w:sz w:val="22"/>
                        </w:rPr>
                        <w:t>had to abide by hunting regulations: no killing of protected species, and no hunting in the closed season. There was little project monitoring, but interviews with the project managers (</w:t>
                      </w:r>
                      <w:r>
                        <w:rPr>
                          <w:sz w:val="22"/>
                        </w:rPr>
                        <w:t>Wicander &amp;</w:t>
                      </w:r>
                      <w:r w:rsidRPr="00F46C6A">
                        <w:rPr>
                          <w:sz w:val="22"/>
                        </w:rPr>
                        <w:t xml:space="preserve"> Coad, 2015) suggested that while communities were still using the alternatives, and within the communities there may have been some</w:t>
                      </w:r>
                      <w:r w:rsidRPr="00803DEE">
                        <w:rPr>
                          <w:sz w:val="22"/>
                        </w:rPr>
                        <w:t xml:space="preserve"> reduction in hunting, there was likely little impact on hunted species populations due to the scale of threats to these species from outside the village from non-village poachers.</w:t>
                      </w:r>
                    </w:p>
                  </w:txbxContent>
                </v:textbox>
                <w10:anchorlock/>
              </v:shape>
            </w:pict>
          </mc:Fallback>
        </mc:AlternateContent>
      </w:r>
    </w:p>
    <w:p w14:paraId="29E70E4E" w14:textId="12E7F468" w:rsidR="007078FA" w:rsidRPr="00644BCE" w:rsidRDefault="007078FA" w:rsidP="007078FA">
      <w:pPr>
        <w:rPr>
          <w:lang w:val="de-AT" w:eastAsia="de-AT"/>
        </w:rPr>
      </w:pPr>
      <w:r>
        <w:rPr>
          <w:lang w:val="de-AT" w:eastAsia="de-AT"/>
        </w:rPr>
        <w:t xml:space="preserve">References for Box 9: </w:t>
      </w:r>
      <w:r>
        <w:rPr>
          <w:lang w:val="de-AT" w:eastAsia="de-AT"/>
        </w:rPr>
        <w:fldChar w:fldCharType="begin" w:fldLock="1"/>
      </w:r>
      <w:r w:rsidR="00566AAF">
        <w:rPr>
          <w:lang w:val="de-AT" w:eastAsia="de-AT"/>
        </w:rPr>
        <w:instrText>ADDIN CSL_CITATION {"citationItems":[{"id":"ITEM-1","itemData":{"DOI":"10.1007/BF02379265","ISBN":"b1dcaad58b5eb26c1096f078170fb828","ISSN":"00483893","abstract":"Shortages in protein availability are a well-known problem in village economies, especially in Africa, and the neurological and nutritional importance of animal-source protein is increasingly being recognized. A Newcastle disease vaccination program for chickens was undertaken to increase livestock productivity and to preemptively rule out Newcastle disease so that highly-pathogenic avian influenza would be more readily detected. This intervention offered an opportunity to examine how chicken vaccination affects household economies, and to test whether increased livestock productivity could reduce illegal hunting for bushmeat. We found that vaccinations did increase chicken production and egg and meat consumption but did not reduce the frequency of bushmeat consumption at the household level and, furthermore, that bushmeat consumption was not related to food security. Our findings suggest that bushmeat likely supplements (rather than substitutes) domestic meat, and its supply is driven by hunters’ demand for cash rather than household demand for protein","author":[{"dropping-particle":"","family":"Knueppel","given":"D.","non-dropping-particle":"","parse-names":false,"suffix":""},{"dropping-particle":"","family":"Coppolillo","given":"D.P.","non-dropping-particle":"","parse-names":false,"suffix":""},{"dropping-particle":"","family":"Msago","given":"A.O.","non-dropping-particle":"","parse-names":false,"suffix":""},{"dropping-particle":"","family":"Msoffe","given":"P.","non-dropping-particle":"","parse-names":false,"suffix":""},{"dropping-particle":"","family":"Mutekanga","given":"D.","non-dropping-particle":"","parse-names":false,"suffix":""},{"dropping-particle":"","family":"Cardona","given":"C","non-dropping-particle":"","parse-names":false,"suffix":""}],"container-title":"TRANSLINKS Case Study","id":"ITEM-1","issued":{"date-parts":[["2009"]]},"title":"Improving Poultry Production for Sustainability in the Ruaha Landscape, Tanzania","type":"report"},"uris":["http://www.mendeley.com/documents/?uuid=6c5efe4d-0888-41d0-bdc7-5c198daffdfb"]},{"id":"ITEM-2","itemData":{"author":[{"dropping-particle":"","family":"Wicander","given":"S.","non-dropping-particle":"","parse-names":false,"suffix":""},{"dropping-particle":"","family":"Coad","given":"L.","non-dropping-particle":"","parse-names":false,"suffix":""}],"container-title":"Conservation and Society","id":"ITEM-2","issue":"4","issued":{"date-parts":[["2018"]]},"page":"441-458","title":"Can the provision of alternative livelihoods reduce the impact of wild meat hunting in West and Central Africa?","type":"article-journal","volume":"16"},"uris":["http://www.mendeley.com/documents/?uuid=8af76451-bff9-4fa3-a9a5-18e294a3d629"]},{"id":"ITEM-3","itemData":{"ISBN":"9782831717036","author":[{"dropping-particle":"","family":"Wicander","given":"S","non-dropping-particle":"","parse-names":false,"suffix":""},{"dropping-particle":"","family":"Coad","given":"L","non-dropping-particle":"","parse-names":false,"suffix":""}],"id":"ITEM-3","issued":{"date-parts":[["2015"]]},"publisher-place":"University of Oxford, Oxford, UK, and IUCN, Gland, Switzerland","title":"Learning our Lessons. A review of alternative livelihood projects in Central Africa","type":"book"},"uris":["http://www.mendeley.com/documents/?uuid=db689e0c-f6fe-47d3-9cfd-84380720b447"]}],"mendeley":{"formattedCitation":"(Knueppel et al. 2009; Wicander &amp; Coad 2015, 2018)","plainTextFormattedCitation":"(Knueppel et al. 2009; Wicander &amp; Coad 2015, 2018)","previouslyFormattedCitation":"(Knueppel et al. 2009; Wicander &amp; Coad 2015, 2018)"},"properties":{"noteIndex":0},"schema":"https://github.com/citation-style-language/schema/raw/master/csl-citation.json"}</w:instrText>
      </w:r>
      <w:r>
        <w:rPr>
          <w:lang w:val="de-AT" w:eastAsia="de-AT"/>
        </w:rPr>
        <w:fldChar w:fldCharType="separate"/>
      </w:r>
      <w:r w:rsidRPr="00644BCE">
        <w:rPr>
          <w:noProof/>
          <w:lang w:val="de-AT" w:eastAsia="de-AT"/>
        </w:rPr>
        <w:t>(Knueppel et al. 2009; Wicander &amp; Coad 2015, 2018)</w:t>
      </w:r>
      <w:r>
        <w:rPr>
          <w:lang w:val="de-AT" w:eastAsia="de-AT"/>
        </w:rPr>
        <w:fldChar w:fldCharType="end"/>
      </w:r>
    </w:p>
    <w:p w14:paraId="6AD39F94" w14:textId="235FB673" w:rsidR="00837F97" w:rsidRDefault="00837F97" w:rsidP="00C258BC">
      <w:pPr>
        <w:jc w:val="both"/>
        <w:rPr>
          <w:lang w:val="de-AT" w:eastAsia="de-AT"/>
        </w:rPr>
      </w:pPr>
    </w:p>
    <w:p w14:paraId="095250E4" w14:textId="35F5E40A" w:rsidR="00837F97" w:rsidRDefault="00837F97" w:rsidP="00C258BC">
      <w:pPr>
        <w:jc w:val="both"/>
        <w:rPr>
          <w:lang w:val="de-AT" w:eastAsia="de-AT"/>
        </w:rPr>
      </w:pPr>
    </w:p>
    <w:p w14:paraId="353A29BA" w14:textId="1D9E61C2" w:rsidR="00837F97" w:rsidRDefault="00837F97" w:rsidP="00C258BC">
      <w:pPr>
        <w:jc w:val="both"/>
        <w:rPr>
          <w:lang w:val="de-AT" w:eastAsia="de-AT"/>
        </w:rPr>
      </w:pPr>
    </w:p>
    <w:p w14:paraId="60191BFA" w14:textId="77777777" w:rsidR="00A843D9" w:rsidRPr="00837F97" w:rsidRDefault="00A843D9" w:rsidP="00C258BC">
      <w:pPr>
        <w:jc w:val="both"/>
        <w:rPr>
          <w:lang w:val="de-AT" w:eastAsia="de-AT"/>
        </w:rPr>
      </w:pPr>
    </w:p>
    <w:p w14:paraId="3921D1CE" w14:textId="56FD90C7" w:rsidR="00273E6F" w:rsidRPr="0070404D" w:rsidRDefault="00273E6F" w:rsidP="00DF57F3">
      <w:pPr>
        <w:pStyle w:val="Heading2"/>
      </w:pPr>
      <w:bookmarkStart w:id="285" w:name="_Toc517693776"/>
      <w:bookmarkStart w:id="286" w:name="_Toc519156122"/>
      <w:bookmarkStart w:id="287" w:name="_Toc529390377"/>
      <w:r w:rsidRPr="00EE2428">
        <w:lastRenderedPageBreak/>
        <w:t>Increas</w:t>
      </w:r>
      <w:r w:rsidR="000C2513" w:rsidRPr="00EE2428">
        <w:t>ing</w:t>
      </w:r>
      <w:r w:rsidRPr="0064175F">
        <w:t xml:space="preserve"> the price and/or reduc</w:t>
      </w:r>
      <w:r w:rsidR="00EE0A5A" w:rsidRPr="0070404D">
        <w:t>ing</w:t>
      </w:r>
      <w:r w:rsidRPr="0070404D">
        <w:t xml:space="preserve"> the availability of wild meat</w:t>
      </w:r>
      <w:bookmarkEnd w:id="285"/>
      <w:bookmarkEnd w:id="286"/>
      <w:bookmarkEnd w:id="287"/>
      <w:r w:rsidRPr="0070404D">
        <w:t xml:space="preserve"> </w:t>
      </w:r>
    </w:p>
    <w:p w14:paraId="7CEF4246" w14:textId="4EE5CE05" w:rsidR="002B3540" w:rsidRPr="004904D8" w:rsidRDefault="00273E6F" w:rsidP="00C258BC">
      <w:pPr>
        <w:jc w:val="both"/>
        <w:rPr>
          <w:color w:val="000000" w:themeColor="text1"/>
        </w:rPr>
      </w:pPr>
      <w:r w:rsidRPr="0070404D">
        <w:rPr>
          <w:color w:val="000000" w:themeColor="text1"/>
        </w:rPr>
        <w:t xml:space="preserve">There are several ways to </w:t>
      </w:r>
      <w:r w:rsidR="008C0055" w:rsidRPr="0070404D">
        <w:rPr>
          <w:color w:val="000000" w:themeColor="text1"/>
        </w:rPr>
        <w:t xml:space="preserve">theoretically </w:t>
      </w:r>
      <w:r w:rsidRPr="0070404D">
        <w:rPr>
          <w:color w:val="000000" w:themeColor="text1"/>
        </w:rPr>
        <w:t>change the price and availability of wild meat in urban centres. Restricting supply in urban areas by enforcing wildlife laws that prohibit the sale of wildlife species shou</w:t>
      </w:r>
      <w:r w:rsidR="008C0055" w:rsidRPr="0070404D">
        <w:rPr>
          <w:color w:val="000000" w:themeColor="text1"/>
        </w:rPr>
        <w:t xml:space="preserve">ld </w:t>
      </w:r>
      <w:r w:rsidRPr="0070404D">
        <w:rPr>
          <w:color w:val="000000" w:themeColor="text1"/>
        </w:rPr>
        <w:t>increase the price charged to the consumer, as could licensing the trade and taxing the sale of wild meat in markets</w:t>
      </w:r>
      <w:r w:rsidR="002B3540" w:rsidRPr="0070404D">
        <w:rPr>
          <w:color w:val="000000" w:themeColor="text1"/>
        </w:rPr>
        <w:t xml:space="preserve"> (see</w:t>
      </w:r>
      <w:r w:rsidR="00A843D9">
        <w:rPr>
          <w:color w:val="000000" w:themeColor="text1"/>
        </w:rPr>
        <w:t xml:space="preserve"> Section</w:t>
      </w:r>
      <w:r w:rsidR="002B3540" w:rsidRPr="0070404D">
        <w:rPr>
          <w:color w:val="000000" w:themeColor="text1"/>
        </w:rPr>
        <w:t xml:space="preserve"> </w:t>
      </w:r>
      <w:r w:rsidR="00A843D9">
        <w:rPr>
          <w:color w:val="000000" w:themeColor="text1"/>
        </w:rPr>
        <w:fldChar w:fldCharType="begin"/>
      </w:r>
      <w:r w:rsidR="00A843D9">
        <w:rPr>
          <w:color w:val="000000" w:themeColor="text1"/>
        </w:rPr>
        <w:instrText xml:space="preserve"> REF _Ref528415687 \r \h </w:instrText>
      </w:r>
      <w:r w:rsidR="00A843D9">
        <w:rPr>
          <w:color w:val="000000" w:themeColor="text1"/>
        </w:rPr>
      </w:r>
      <w:r w:rsidR="00A843D9">
        <w:rPr>
          <w:color w:val="000000" w:themeColor="text1"/>
        </w:rPr>
        <w:fldChar w:fldCharType="separate"/>
      </w:r>
      <w:r w:rsidR="007034F1">
        <w:rPr>
          <w:color w:val="000000" w:themeColor="text1"/>
        </w:rPr>
        <w:t>8.5</w:t>
      </w:r>
      <w:r w:rsidR="00A843D9">
        <w:rPr>
          <w:color w:val="000000" w:themeColor="text1"/>
        </w:rPr>
        <w:fldChar w:fldCharType="end"/>
      </w:r>
      <w:r w:rsidR="002B3540" w:rsidRPr="004904D8">
        <w:rPr>
          <w:color w:val="000000" w:themeColor="text1"/>
        </w:rPr>
        <w:t>)</w:t>
      </w:r>
      <w:r w:rsidRPr="004904D8">
        <w:rPr>
          <w:color w:val="000000" w:themeColor="text1"/>
        </w:rPr>
        <w:t xml:space="preserve">, reducing demand where it is elastic. </w:t>
      </w:r>
    </w:p>
    <w:p w14:paraId="783399B4" w14:textId="026CA389" w:rsidR="00E13702" w:rsidRPr="00E451DE" w:rsidRDefault="00273E6F" w:rsidP="00C258BC">
      <w:pPr>
        <w:jc w:val="both"/>
        <w:rPr>
          <w:color w:val="000000" w:themeColor="text1"/>
        </w:rPr>
      </w:pPr>
      <w:r w:rsidRPr="004904D8">
        <w:rPr>
          <w:color w:val="000000" w:themeColor="text1"/>
        </w:rPr>
        <w:t xml:space="preserve">Trade bans could </w:t>
      </w:r>
      <w:r w:rsidR="002B3540" w:rsidRPr="005512D2">
        <w:rPr>
          <w:color w:val="000000" w:themeColor="text1"/>
        </w:rPr>
        <w:t>theoretically</w:t>
      </w:r>
      <w:r w:rsidR="008C0055" w:rsidRPr="005512D2">
        <w:rPr>
          <w:color w:val="000000" w:themeColor="text1"/>
        </w:rPr>
        <w:t xml:space="preserve"> </w:t>
      </w:r>
      <w:r w:rsidRPr="003E3238">
        <w:rPr>
          <w:color w:val="000000" w:themeColor="text1"/>
        </w:rPr>
        <w:t>reduce demand by increasing the stig</w:t>
      </w:r>
      <w:r w:rsidR="002B3540" w:rsidRPr="003E3238">
        <w:rPr>
          <w:color w:val="000000" w:themeColor="text1"/>
        </w:rPr>
        <w:t>ma of buying illegal products, and e</w:t>
      </w:r>
      <w:r w:rsidRPr="00EE2428">
        <w:rPr>
          <w:color w:val="000000" w:themeColor="text1"/>
        </w:rPr>
        <w:t xml:space="preserve">nforcement at the supply end could potentially reduce supply by decreasing the illegal </w:t>
      </w:r>
      <w:r w:rsidR="00746721">
        <w:rPr>
          <w:color w:val="000000" w:themeColor="text1"/>
        </w:rPr>
        <w:t>hunting</w:t>
      </w:r>
      <w:r w:rsidRPr="00EE2428">
        <w:rPr>
          <w:color w:val="000000" w:themeColor="text1"/>
        </w:rPr>
        <w:t xml:space="preserve"> and sales by non-rights holders. </w:t>
      </w:r>
      <w:r w:rsidR="002B3540" w:rsidRPr="0064175F">
        <w:rPr>
          <w:color w:val="000000" w:themeColor="text1"/>
        </w:rPr>
        <w:t>However, the</w:t>
      </w:r>
      <w:r w:rsidRPr="0070404D">
        <w:rPr>
          <w:color w:val="000000" w:themeColor="text1"/>
        </w:rPr>
        <w:t xml:space="preserve"> effectiveness of trade bans is debated, and depends on several factors, particularly the capacity of countries to monitor and enforce them </w:t>
      </w:r>
      <w:r w:rsidR="00532E87">
        <w:rPr>
          <w:color w:val="000000" w:themeColor="text1"/>
        </w:rPr>
        <w:fldChar w:fldCharType="begin" w:fldLock="1"/>
      </w:r>
      <w:r w:rsidR="00532E87">
        <w:rPr>
          <w:color w:val="000000" w:themeColor="text1"/>
        </w:rPr>
        <w:instrText>ADDIN CSL_CITATION {"citationItems":[{"id":"ITEM-1","itemData":{"DOI":"10.1017/S0030605306000056","ISBN":"0030-6053","ISSN":"00306053","PMID":"26054059","abstract":"problems and unforeseen consequences of trade bans, and highlight the conservation potential of market-led mechanisms that seek to reform trade chains to make them more ethical and sustainable. We contend that it is time for conservation scientists to critically examine the evidence concerning the efficacy of these two strategies as they relate to the trade in wild birds. Abstract In response to a declaration in 2004 from a coalition of conservation and animal welfare organiza-tions to ban imports of wild birds into the European Union, we propose that such blanket or indiscriminate bans are unlikely to be effective as a generic conservation approach to the wild bird trade. We further argue that such trade bans, particularly when imposed by Northern constituencies on Southern countries and communities, can act counter to broader values of equity and sustain-able development. Here we draw attention to a range of","author":[{"dropping-particle":"","family":"Cooney","given":"Rosie","non-dropping-particle":"","parse-names":false,"suffix":""},{"dropping-particle":"","family":"Jepson","given":"Paul","non-dropping-particle":"","parse-names":false,"suffix":""}],"container-title":"Oryx","id":"ITEM-1","issue":"1","issued":{"date-parts":[["2006"]]},"page":"18-23","title":"The international wild bird trade: What's wrong with blanket bans?","type":"article-journal","volume":"40"},"uris":["http://www.mendeley.com/documents/?uuid=fa3f0a22-21aa-4551-b5a8-4856ec9b156a"]},{"id":"ITEM-2","itemData":{"DOI":"10.1177/194008291200500302","ISBN":"1940-0829","ISSN":"19400829","abstract":"Since CITES (Convention on International Trade in Endangered Species of Wild Fauna and Flora) ratification 40 years ago, trade bans have emerged as a principle conservation tool for endangered species. While trade bans have been successful in helping to stabilize populations of certain species, evidence for others suggests that such bans are proving less effective. Looking at three species, the author identifies and explores a conflux of forces that, in the context of a trade ban, may result in an increase of illegal trade, further threatening a species already at risk. These forces include 1) inelastic demand and high profit potential, 2) long history of trade, both legal and illegal, coupled with strong cultural affiliation, 3) ambiguous property rights, 4) negative economic incentives for conservation due to human-animal conflict, and 5) inadequate enforcement. Termed a “Perfect Storm”, these forces combine to accelerate the demise of the species. In essence, a trade ban hands a monopoly on commerce to the black market. It is even possible that the trade ban protects the illegal market against competition, suggesting that other conservation tactics warrant consideration. The author concludes that legal, regulated trade needs to be fully investigated using fields of science that have evolved during CITES lifetime to determine if it is a viable tactic for conservation when such conditions exist.","author":[{"dropping-particle":"","family":"Conrad","given":"Kirsten","non-dropping-particle":"","parse-names":false,"suffix":""}],"container-title":"Tropical Conservation Science","id":"ITEM-2","issue":"3","issued":{"date-parts":[["2012"]]},"page":"245-254","title":"Trade bans: a perfect storm for poaching?","type":"article-journal","volume":"5"},"uris":["http://www.mendeley.com/documents/?uuid=484f5f0a-eb15-46b7-a7b9-fc724eec9f06"]}],"mendeley":{"formattedCitation":"(Cooney &amp; Jepson 2006; Conrad 2012)","plainTextFormattedCitation":"(Cooney &amp; Jepson 2006; Conrad 2012)","previouslyFormattedCitation":"(Cooney &amp; Jepson 2006; Conrad 2012)"},"properties":{"noteIndex":0},"schema":"https://github.com/citation-style-language/schema/raw/master/csl-citation.json"}</w:instrText>
      </w:r>
      <w:r w:rsidR="00532E87">
        <w:rPr>
          <w:color w:val="000000" w:themeColor="text1"/>
        </w:rPr>
        <w:fldChar w:fldCharType="separate"/>
      </w:r>
      <w:r w:rsidR="00532E87" w:rsidRPr="00532E87">
        <w:rPr>
          <w:noProof/>
          <w:color w:val="000000" w:themeColor="text1"/>
        </w:rPr>
        <w:t>(Cooney &amp; Jepson 2006; Conrad 2012)</w:t>
      </w:r>
      <w:r w:rsidR="00532E87">
        <w:rPr>
          <w:color w:val="000000" w:themeColor="text1"/>
        </w:rPr>
        <w:fldChar w:fldCharType="end"/>
      </w:r>
      <w:r w:rsidR="00532E87">
        <w:rPr>
          <w:color w:val="000000" w:themeColor="text1"/>
        </w:rPr>
        <w:t xml:space="preserve">. </w:t>
      </w:r>
      <w:r w:rsidRPr="0070404D">
        <w:rPr>
          <w:color w:val="000000" w:themeColor="text1"/>
        </w:rPr>
        <w:t xml:space="preserve">Recent studies also suggest that trade bans can have several negative unintended consequences </w:t>
      </w:r>
      <w:r w:rsidR="00532E87">
        <w:rPr>
          <w:color w:val="000000" w:themeColor="text1"/>
        </w:rPr>
        <w:fldChar w:fldCharType="begin" w:fldLock="1"/>
      </w:r>
      <w:r w:rsidR="00AB268B">
        <w:rPr>
          <w:color w:val="000000" w:themeColor="text1"/>
        </w:rPr>
        <w:instrText>ADDIN CSL_CITATION {"citationItems":[{"id":"ITEM-1","itemData":{"DOI":"10.1016/j.gecco.2014.11.010","ISBN":"23519894","ISSN":"23519894","abstract":"International trade in wildlife is a key threat to biodiversity conservation. CITES, the Convention on International Trade in Endangered Species of Wild Fauna and Flora, seeks to ensure international wildlife trade is sustainable, relying on trade bans and controls. However, there has been little comprehensive review of its effectiveness and here we review approaches taken to regulate wildlife trade in CITES. Although assessing its effectiveness is problematic, we assert that CITES boasts few measurable conservation successes. We attribute this to: non-compliance, an over reliance on regulation, lack of knowledge and monitoring of listed species, ignorance of market forces, and influence among CITES actors. To more effectively manage trade we argue that interventions should go beyond regulation and should be multi-faceted, reflecting the complexity of wildlife trade. To inform these interventions we assert an intensive research effort is needed around six key areas: (1) factors undermining wildlife trade governance at the national level, (2) determining sustainable harvest rates for, and adaptive management of CITES species, (3) gaining the buy-in of local communities in implementing CITES, (4) supply and demand based market interventions, (5) means of quantifying illicit trade, and (6) political processes and influence within CITES.","author":[{"dropping-particle":"","family":"Challender","given":"Daniel W S","non-dropping-particle":"","parse-names":false,"suffix":""},{"dropping-particle":"","family":"Harrop","given":"Stuart R.","non-dropping-particle":"","parse-names":false,"suffix":""},{"dropping-particle":"","family":"MacMillan","given":"Douglas C.","non-dropping-particle":"","parse-names":false,"suffix":""}],"container-title":"Global Ecology and Conservation","id":"ITEM-1","issued":{"date-parts":[["2015"]]},"page":"129-148","publisher":"Elsevier B.V.","title":"Towards informed and multi-faceted wildlife trade interventions","type":"article-journal","volume":"3"},"uris":["http://www.mendeley.com/documents/?uuid=b3f0719a-7a89-4b10-9fac-0e02f6ea2b48"]},{"id":"ITEM-2","itemData":{"DOI":"10.1016/j.gecco.2015.01.006","ISBN":"2351-9894","ISSN":"23519894","abstract":"CITES regulates international trade with the goal of preventing over-exploitation, thus the survival of species are not jeopardized from trade practices; however it has been used recently in nontrade conservation measures. As an example, the US proposed to up-list polar bears under CITES Appendix I, despite that the species did not conform to the biological criteria. Polar bears were listed as 'threatened' under US ESA in 2008, in response to loss of sea-ice and warming temperatures. In Nunavut, where most of Canada's polar bears are harvested, the resulting trade ban did not decrease total harvest after the ESA listing but reduced US hunter participation and the proportion of quotas taken by sport hunters from specific populations. Consequently, the import ban impacted livelihoods of Arctic indigenous communities with negative conservation - reduced tolerance for dangerous fauna and affected local participation in shared management initiatives. The polar bear may be the exemplar of an emerging problem: the use of trade bans in place of action for non-trade threats, e.g., climate change. Conservation prospects for this species and other climate-sensitive wildlife will likely diminish if the increasing use of trade bans to combat non-trade issues cause stakeholders to lose faith in participatory management.","author":[{"dropping-particle":"","family":"Weber","given":"Diana S","non-dropping-particle":"","parse-names":false,"suffix":""},{"dropping-particle":"","family":"Mandler","given":"Tait","non-dropping-particle":"","parse-names":false,"suffix":""},{"dropping-particle":"","family":"Dyck","given":"Markus","non-dropping-particle":"","parse-names":false,"suffix":""},{"dropping-particle":"Van","family":"Coeverden","given":"Peter J","non-dropping-particle":"","parse-names":false,"suffix":""},{"dropping-particle":"","family":"Groot","given":"De","non-dropping-particle":"","parse-names":false,"suffix":""},{"dropping-particle":"","family":"Lee","given":"David S","non-dropping-particle":"","parse-names":false,"suffix":""},{"dropping-particle":"","family":"Clark","given":"Douglas A","non-dropping-particle":"","parse-names":false,"suffix":""}],"container-title":"Global Ecology and Conservation","id":"ITEM-2","issued":{"date-parts":[["2015"]]},"page":"389-400","publisher":"Elsevier B.V.","title":"Unexpected and undesired conservation outcomes of wildlife trade bans-An emerging problem for stakeholders?","type":"article-journal","volume":"3"},"uris":["http://www.mendeley.com/documents/?uuid=cd159542-3824-3e5c-b56e-14d8864d0dbf"]}],"mendeley":{"formattedCitation":"(Challender et al. 2015; Weber et al. 2015)","plainTextFormattedCitation":"(Challender et al. 2015; Weber et al. 2015)","previouslyFormattedCitation":"(Challender et al. 2015; Weber et al. 2015)"},"properties":{"noteIndex":0},"schema":"https://github.com/citation-style-language/schema/raw/master/csl-citation.json"}</w:instrText>
      </w:r>
      <w:r w:rsidR="00532E87">
        <w:rPr>
          <w:color w:val="000000" w:themeColor="text1"/>
        </w:rPr>
        <w:fldChar w:fldCharType="separate"/>
      </w:r>
      <w:r w:rsidR="00532E87" w:rsidRPr="00532E87">
        <w:rPr>
          <w:noProof/>
          <w:color w:val="000000" w:themeColor="text1"/>
        </w:rPr>
        <w:t>(Challender et al. 2015; Weber et al. 2015)</w:t>
      </w:r>
      <w:r w:rsidR="00532E87">
        <w:rPr>
          <w:color w:val="000000" w:themeColor="text1"/>
        </w:rPr>
        <w:fldChar w:fldCharType="end"/>
      </w:r>
      <w:r w:rsidRPr="0070404D">
        <w:rPr>
          <w:color w:val="000000" w:themeColor="text1"/>
        </w:rPr>
        <w:t xml:space="preserve">. Constraining supply and increasing prices can drive increased </w:t>
      </w:r>
      <w:r w:rsidR="00746721">
        <w:rPr>
          <w:color w:val="000000" w:themeColor="text1"/>
        </w:rPr>
        <w:t>commercial hunting</w:t>
      </w:r>
      <w:r w:rsidRPr="0070404D">
        <w:rPr>
          <w:color w:val="000000" w:themeColor="text1"/>
        </w:rPr>
        <w:t xml:space="preserve"> </w:t>
      </w:r>
      <w:r w:rsidR="00532E87">
        <w:rPr>
          <w:color w:val="000000" w:themeColor="text1"/>
        </w:rPr>
        <w:fldChar w:fldCharType="begin" w:fldLock="1"/>
      </w:r>
      <w:r w:rsidR="00532E87">
        <w:rPr>
          <w:color w:val="000000" w:themeColor="text1"/>
        </w:rPr>
        <w:instrText>ADDIN CSL_CITATION {"citationItems":[{"id":"ITEM-1","itemData":{"DOI":"10.1016/j.gecco.2014.11.010","ISBN":"23519894","ISSN":"23519894","abstract":"International trade in wildlife is a key threat to biodiversity conservation. CITES, the Convention on International Trade in Endangered Species of Wild Fauna and Flora, seeks to ensure international wildlife trade is sustainable, relying on trade bans and controls. However, there has been little comprehensive review of its effectiveness and here we review approaches taken to regulate wildlife trade in CITES. Although assessing its effectiveness is problematic, we assert that CITES boasts few measurable conservation successes. We attribute this to: non-compliance, an over reliance on regulation, lack of knowledge and monitoring of listed species, ignorance of market forces, and influence among CITES actors. To more effectively manage trade we argue that interventions should go beyond regulation and should be multi-faceted, reflecting the complexity of wildlife trade. To inform these interventions we assert an intensive research effort is needed around six key areas: (1) factors undermining wildlife trade governance at the national level, (2) determining sustainable harvest rates for, and adaptive management of CITES species, (3) gaining the buy-in of local communities in implementing CITES, (4) supply and demand based market interventions, (5) means of quantifying illicit trade, and (6) political processes and influence within CITES.","author":[{"dropping-particle":"","family":"Challender","given":"Daniel W S","non-dropping-particle":"","parse-names":false,"suffix":""},{"dropping-particle":"","family":"Harrop","given":"Stuart R.","non-dropping-particle":"","parse-names":false,"suffix":""},{"dropping-particle":"","family":"MacMillan","given":"Douglas C.","non-dropping-particle":"","parse-names":false,"suffix":""}],"container-title":"Global Ecology and Conservation","id":"ITEM-1","issued":{"date-parts":[["2015"]]},"page":"129-148","publisher":"Elsevier B.V.","title":"Towards informed and multi-faceted wildlife trade interventions","type":"article-journal","volume":"3"},"uris":["http://www.mendeley.com/documents/?uuid=b3f0719a-7a89-4b10-9fac-0e02f6ea2b48"]}],"mendeley":{"formattedCitation":"(Challender et al. 2015)","plainTextFormattedCitation":"(Challender et al. 2015)","previouslyFormattedCitation":"(Challender et al. 2015)"},"properties":{"noteIndex":0},"schema":"https://github.com/citation-style-language/schema/raw/master/csl-citation.json"}</w:instrText>
      </w:r>
      <w:r w:rsidR="00532E87">
        <w:rPr>
          <w:color w:val="000000" w:themeColor="text1"/>
        </w:rPr>
        <w:fldChar w:fldCharType="separate"/>
      </w:r>
      <w:r w:rsidR="00532E87" w:rsidRPr="00532E87">
        <w:rPr>
          <w:noProof/>
          <w:color w:val="000000" w:themeColor="text1"/>
        </w:rPr>
        <w:t>(Challender et al. 2015)</w:t>
      </w:r>
      <w:r w:rsidR="00532E87">
        <w:rPr>
          <w:color w:val="000000" w:themeColor="text1"/>
        </w:rPr>
        <w:fldChar w:fldCharType="end"/>
      </w:r>
      <w:r w:rsidR="00532E87">
        <w:rPr>
          <w:color w:val="000000" w:themeColor="text1"/>
        </w:rPr>
        <w:t xml:space="preserve">. </w:t>
      </w:r>
      <w:r w:rsidRPr="0070404D">
        <w:rPr>
          <w:color w:val="000000" w:themeColor="text1"/>
        </w:rPr>
        <w:t>Where</w:t>
      </w:r>
      <w:r w:rsidR="00111BBC" w:rsidRPr="0070404D">
        <w:rPr>
          <w:color w:val="000000" w:themeColor="text1"/>
        </w:rPr>
        <w:t xml:space="preserve"> eating</w:t>
      </w:r>
      <w:r w:rsidRPr="0070404D">
        <w:rPr>
          <w:color w:val="000000" w:themeColor="text1"/>
        </w:rPr>
        <w:t xml:space="preserve"> wild meat </w:t>
      </w:r>
      <w:r w:rsidR="00111BBC" w:rsidRPr="0070404D">
        <w:rPr>
          <w:color w:val="000000" w:themeColor="text1"/>
        </w:rPr>
        <w:t>confers status and wealth</w:t>
      </w:r>
      <w:r w:rsidR="00BA7488" w:rsidRPr="0070404D">
        <w:rPr>
          <w:color w:val="000000" w:themeColor="text1"/>
        </w:rPr>
        <w:t>,</w:t>
      </w:r>
      <w:r w:rsidRPr="0070404D">
        <w:rPr>
          <w:color w:val="000000" w:themeColor="text1"/>
        </w:rPr>
        <w:t xml:space="preserve"> </w:t>
      </w:r>
      <w:r w:rsidR="006D1A1B" w:rsidRPr="0070404D">
        <w:rPr>
          <w:color w:val="000000" w:themeColor="text1"/>
        </w:rPr>
        <w:t xml:space="preserve">a higher price for wild meat may not have a major influence on wildlife consumption </w:t>
      </w:r>
      <w:r w:rsidR="00532E87">
        <w:rPr>
          <w:color w:val="000000" w:themeColor="text1"/>
        </w:rPr>
        <w:fldChar w:fldCharType="begin" w:fldLock="1"/>
      </w:r>
      <w:r w:rsidR="00532E87">
        <w:rPr>
          <w:color w:val="000000" w:themeColor="text1"/>
        </w:rPr>
        <w:instrText>ADDIN CSL_CITATION {"citationItems":[{"id":"ITEM-1","itemData":{"author":[{"dropping-particle":"","family":"TRAFFIC","given":"","non-dropping-particle":"","parse-names":false,"suffix":""}],"id":"ITEM-1","issued":{"date-parts":[["2008"]]},"publisher-place":"The World Bank, Washington","title":"What's driving the wildlife trade?","type":"report"},"uris":["http://www.mendeley.com/documents/?uuid=63b0c165-988f-4243-bb35-18e2718bb412"]}],"mendeley":{"formattedCitation":"(TRAFFIC 2008)","plainTextFormattedCitation":"(TRAFFIC 2008)","previouslyFormattedCitation":"(TRAFFIC 2008)"},"properties":{"noteIndex":0},"schema":"https://github.com/citation-style-language/schema/raw/master/csl-citation.json"}</w:instrText>
      </w:r>
      <w:r w:rsidR="00532E87">
        <w:rPr>
          <w:color w:val="000000" w:themeColor="text1"/>
        </w:rPr>
        <w:fldChar w:fldCharType="separate"/>
      </w:r>
      <w:r w:rsidR="00532E87" w:rsidRPr="00532E87">
        <w:rPr>
          <w:noProof/>
          <w:color w:val="000000" w:themeColor="text1"/>
        </w:rPr>
        <w:t>(TRAFFIC 2008)</w:t>
      </w:r>
      <w:r w:rsidR="00532E87">
        <w:rPr>
          <w:color w:val="000000" w:themeColor="text1"/>
        </w:rPr>
        <w:fldChar w:fldCharType="end"/>
      </w:r>
      <w:r w:rsidR="006D1A1B" w:rsidRPr="0070404D">
        <w:rPr>
          <w:color w:val="000000" w:themeColor="text1"/>
        </w:rPr>
        <w:t xml:space="preserve">, or </w:t>
      </w:r>
      <w:r w:rsidRPr="0070404D">
        <w:rPr>
          <w:color w:val="000000" w:themeColor="text1"/>
        </w:rPr>
        <w:t xml:space="preserve">as studies suggest for species in Vietnam </w:t>
      </w:r>
      <w:r w:rsidR="00532E87">
        <w:rPr>
          <w:color w:val="000000" w:themeColor="text1"/>
        </w:rPr>
        <w:fldChar w:fldCharType="begin" w:fldLock="1"/>
      </w:r>
      <w:r w:rsidR="00532E87">
        <w:rPr>
          <w:color w:val="000000" w:themeColor="text1"/>
        </w:rPr>
        <w:instrText>ADDIN CSL_CITATION {"citationItems":[{"id":"ITEM-1","itemData":{"DOI":"10.1371/journal.pone.0134787","ISSN":"1932-6203","PMID":"26752642","abstract":"Vietnam is a significant consumer of wildlife, particularly wild meat, in urban restaurant settings. To meet this demand, poaching of wildlife is widespread, threatening regional and international biodiversity. Previous interventions to tackle illegal and potentially unsustainable consumption of wild meat in Vietnam have generally focused on limiting supply. While critical, they have been impeded by a lack of resources, the presence of increasingly organised criminal networks and corruption. Attention is, therefore, turning to the consumer, but a paucity of research investigating consumer demand for wild meat will impede the creation of effective consumer-centred interventions. Here we used a mixed-methods research approach comprising a hypothetical choice modelling survey and qualitative interviews to explore the drivers of wild meat consumption and consumer preferences among residents of Ho Chi Minh City, Vietnam. Our findings indicate that demand for wild meat is heterogeneous and highly context specific. Wild-sourced, rare, and expensive wild meat-types are eaten by those situated towards the top of the societal hierarchy to convey wealth and status and are commonly consumed in lucrative business contexts. Cheaper, legal and farmed substitutes for wild-sourced meats are also consumed, but typically in more casual consumption or social drinking settings. We explore the implications of our results for current conservation interventions in Vietnam that attempt to tackle illegal and potentially unsustainable trade in and consumption of wild meat and detail how our research informs future consumer-centric conservation actions.","author":[{"dropping-particle":"","family":"Shairp","given":"Rachel","non-dropping-particle":"","parse-names":false,"suffix":""},{"dropping-particle":"","family":"Veríssimo","given":"Diogo","non-dropping-particle":"","parse-names":false,"suffix":""},{"dropping-particle":"","family":"Fraser","given":"Iain","non-dropping-particle":"","parse-names":false,"suffix":""},{"dropping-particle":"","family":"Challender","given":"Daniel","non-dropping-particle":"","parse-names":false,"suffix":""},{"dropping-particle":"","family":"MacMillan","given":"Douglas","non-dropping-particle":"","parse-names":false,"suffix":""}],"container-title":"PloS one","id":"ITEM-1","issue":"1","issued":{"date-parts":[["2016","1"]]},"page":"e0134787","title":"Understanding urban demand for wild meat in Vietnam: implications for conservation actions","type":"article-journal","volume":"11"},"uris":["http://www.mendeley.com/documents/?uuid=16f60f29-219d-4b47-9cb9-2bab352ca360"]}],"mendeley":{"formattedCitation":"(Shairp et al. 2016)","plainTextFormattedCitation":"(Shairp et al. 2016)","previouslyFormattedCitation":"(Shairp et al. 2016)"},"properties":{"noteIndex":0},"schema":"https://github.com/citation-style-language/schema/raw/master/csl-citation.json"}</w:instrText>
      </w:r>
      <w:r w:rsidR="00532E87">
        <w:rPr>
          <w:color w:val="000000" w:themeColor="text1"/>
        </w:rPr>
        <w:fldChar w:fldCharType="separate"/>
      </w:r>
      <w:r w:rsidR="00532E87" w:rsidRPr="00532E87">
        <w:rPr>
          <w:noProof/>
          <w:color w:val="000000" w:themeColor="text1"/>
        </w:rPr>
        <w:t>(Shairp et al. 2016)</w:t>
      </w:r>
      <w:r w:rsidR="00532E87">
        <w:rPr>
          <w:color w:val="000000" w:themeColor="text1"/>
        </w:rPr>
        <w:fldChar w:fldCharType="end"/>
      </w:r>
      <w:r w:rsidRPr="0070404D">
        <w:rPr>
          <w:color w:val="000000" w:themeColor="text1"/>
        </w:rPr>
        <w:t xml:space="preserve">, an increase in price may </w:t>
      </w:r>
      <w:r w:rsidR="006D1A1B" w:rsidRPr="0070404D">
        <w:rPr>
          <w:color w:val="000000" w:themeColor="text1"/>
        </w:rPr>
        <w:t xml:space="preserve">even </w:t>
      </w:r>
      <w:r w:rsidRPr="0070404D">
        <w:rPr>
          <w:color w:val="000000" w:themeColor="text1"/>
        </w:rPr>
        <w:t xml:space="preserve">increase the status of eating wild meat, and consequently drive up demand. </w:t>
      </w:r>
      <w:r w:rsidRPr="004904D8">
        <w:rPr>
          <w:color w:val="000000" w:themeColor="text1"/>
        </w:rPr>
        <w:t xml:space="preserve">Examples of counter-intuitive outcomes from enforcement are also recorded in the literature on illegal drugs. Examples that might be relevant to wild meat use including ‘juggling’, where drug users are also sellers, and therefore consumption of drugs increases as drugs prices increase, due to an increased in </w:t>
      </w:r>
      <w:r w:rsidRPr="00E451DE">
        <w:rPr>
          <w:color w:val="000000" w:themeColor="text1"/>
        </w:rPr>
        <w:t xml:space="preserve">disposable income </w:t>
      </w:r>
      <w:r w:rsidR="00532E87" w:rsidRPr="00E451DE">
        <w:rPr>
          <w:color w:val="000000" w:themeColor="text1"/>
        </w:rPr>
        <w:fldChar w:fldCharType="begin" w:fldLock="1"/>
      </w:r>
      <w:r w:rsidR="00F8189C" w:rsidRPr="00E451DE">
        <w:rPr>
          <w:color w:val="000000" w:themeColor="text1"/>
        </w:rPr>
        <w:instrText>ADDIN CSL_CITATION {"citationItems":[{"id":"ITEM-1","itemData":{"author":[{"dropping-particle":"","family":"Caulkins","given":"J P","non-dropping-particle":"","parse-names":false,"suffix":""},{"dropping-particle":"","family":"Reuter","given":"P","non-dropping-particle":"","parse-names":false,"suffix":""}],"container-title":"Socio-Economic Planning Science","id":"ITEM-1","issued":{"date-parts":[["2006"]]},"page":"1-14","title":"Illicit drug markets and economic irregularities","type":"article-journal","volume":"40"},"uris":["http://www.mendeley.com/documents/?uuid=3cd39141-c2db-44c1-a35e-17e52074138c"]}],"mendeley":{"formattedCitation":"(Caulkins &amp; Reuter 2006)","plainTextFormattedCitation":"(Caulkins &amp; Reuter 2006)","previouslyFormattedCitation":"(Caulkins &amp; Reuter 2006)"},"properties":{"noteIndex":0},"schema":"https://github.com/citation-style-language/schema/raw/master/csl-citation.json"}</w:instrText>
      </w:r>
      <w:r w:rsidR="00532E87" w:rsidRPr="00E451DE">
        <w:rPr>
          <w:color w:val="000000" w:themeColor="text1"/>
        </w:rPr>
        <w:fldChar w:fldCharType="separate"/>
      </w:r>
      <w:r w:rsidR="00532E87" w:rsidRPr="00E451DE">
        <w:rPr>
          <w:noProof/>
          <w:color w:val="000000" w:themeColor="text1"/>
        </w:rPr>
        <w:t>(Caulkins &amp; Reuter 2006)</w:t>
      </w:r>
      <w:r w:rsidR="00532E87" w:rsidRPr="00E451DE">
        <w:rPr>
          <w:color w:val="000000" w:themeColor="text1"/>
        </w:rPr>
        <w:fldChar w:fldCharType="end"/>
      </w:r>
      <w:r w:rsidRPr="00E451DE">
        <w:rPr>
          <w:color w:val="000000" w:themeColor="text1"/>
        </w:rPr>
        <w:t>.</w:t>
      </w:r>
      <w:r w:rsidR="002B3540" w:rsidRPr="00E451DE">
        <w:rPr>
          <w:color w:val="000000" w:themeColor="text1"/>
        </w:rPr>
        <w:t xml:space="preserve"> </w:t>
      </w:r>
    </w:p>
    <w:p w14:paraId="6EC94BB3" w14:textId="642391A6" w:rsidR="00273E6F" w:rsidRPr="00E451DE" w:rsidRDefault="00273E6F" w:rsidP="00DF57F3">
      <w:pPr>
        <w:pStyle w:val="Heading2"/>
      </w:pPr>
      <w:bookmarkStart w:id="288" w:name="_Toc529390378"/>
      <w:bookmarkStart w:id="289" w:name="_Toc517693777"/>
      <w:bookmarkStart w:id="290" w:name="_Toc519156123"/>
      <w:r w:rsidRPr="00E451DE">
        <w:t>In</w:t>
      </w:r>
      <w:r w:rsidR="00AF25D3" w:rsidRPr="00E451DE">
        <w:t>fluencing the</w:t>
      </w:r>
      <w:r w:rsidRPr="00E451DE">
        <w:t xml:space="preserve"> non-price determinants of demand</w:t>
      </w:r>
      <w:bookmarkEnd w:id="288"/>
      <w:r w:rsidRPr="00E451DE">
        <w:t xml:space="preserve"> </w:t>
      </w:r>
      <w:bookmarkEnd w:id="289"/>
      <w:bookmarkEnd w:id="290"/>
    </w:p>
    <w:p w14:paraId="5412781A" w14:textId="6DCADB5C" w:rsidR="00851059" w:rsidRDefault="00B72973" w:rsidP="00C258BC">
      <w:pPr>
        <w:jc w:val="both"/>
        <w:rPr>
          <w:color w:val="000000" w:themeColor="text1"/>
        </w:rPr>
      </w:pPr>
      <w:r w:rsidRPr="00E451DE">
        <w:rPr>
          <w:color w:val="000000" w:themeColor="text1"/>
        </w:rPr>
        <w:t>Demand reduction campaigns</w:t>
      </w:r>
      <w:r w:rsidR="00273E6F" w:rsidRPr="00E451DE">
        <w:rPr>
          <w:color w:val="000000" w:themeColor="text1"/>
        </w:rPr>
        <w:t xml:space="preserve"> in urban areas aim to influence the preferences of consumers, to change how they respond to the price of wild meat and</w:t>
      </w:r>
      <w:r w:rsidR="00273E6F" w:rsidRPr="004904D8">
        <w:rPr>
          <w:color w:val="000000" w:themeColor="text1"/>
        </w:rPr>
        <w:t xml:space="preserve"> its substitutes</w:t>
      </w:r>
      <w:r w:rsidR="00763BF5">
        <w:rPr>
          <w:color w:val="000000" w:themeColor="text1"/>
        </w:rPr>
        <w:t xml:space="preserve"> </w:t>
      </w:r>
      <w:r w:rsidR="00763BF5">
        <w:rPr>
          <w:color w:val="000000" w:themeColor="text1"/>
        </w:rPr>
        <w:fldChar w:fldCharType="begin" w:fldLock="1"/>
      </w:r>
      <w:r w:rsidR="00763BF5">
        <w:rPr>
          <w:color w:val="000000" w:themeColor="text1"/>
        </w:rPr>
        <w:instrText>ADDIN CSL_CITATION {"citationItems":[{"id":"ITEM-1","itemData":{"author":[{"dropping-particle":"","family":"Veríssimo","given":"Diogo","non-dropping-particle":"","parse-names":false,"suffix":""}],"container-title":"Conservation Evidence","id":"ITEM-1","issued":{"date-parts":[["2013"]]},"page":"29-31","title":"Influencing human behaviour: an underutilised tool for biodiversity management","type":"article-journal"},"uris":["http://www.mendeley.com/documents/?uuid=78c0e805-2d59-4ee0-9335-4c9e59f623e8"]}],"mendeley":{"formattedCitation":"(Veríssimo 2013)","plainTextFormattedCitation":"(Veríssimo 2013)","previouslyFormattedCitation":"(Veríssimo 2013)"},"properties":{"noteIndex":0},"schema":"https://github.com/citation-style-language/schema/raw/master/csl-citation.json"}</w:instrText>
      </w:r>
      <w:r w:rsidR="00763BF5">
        <w:rPr>
          <w:color w:val="000000" w:themeColor="text1"/>
        </w:rPr>
        <w:fldChar w:fldCharType="separate"/>
      </w:r>
      <w:r w:rsidR="00763BF5" w:rsidRPr="00763BF5">
        <w:rPr>
          <w:noProof/>
          <w:color w:val="000000" w:themeColor="text1"/>
        </w:rPr>
        <w:t>(Veríssimo 2013)</w:t>
      </w:r>
      <w:r w:rsidR="00763BF5">
        <w:rPr>
          <w:color w:val="000000" w:themeColor="text1"/>
        </w:rPr>
        <w:fldChar w:fldCharType="end"/>
      </w:r>
      <w:r w:rsidR="00141192">
        <w:rPr>
          <w:color w:val="000000" w:themeColor="text1"/>
        </w:rPr>
        <w:t>.</w:t>
      </w:r>
      <w:r w:rsidR="00273E6F" w:rsidRPr="004904D8">
        <w:rPr>
          <w:color w:val="000000" w:themeColor="text1"/>
        </w:rPr>
        <w:t xml:space="preserve"> For </w:t>
      </w:r>
      <w:r>
        <w:rPr>
          <w:color w:val="000000" w:themeColor="text1"/>
        </w:rPr>
        <w:t>example</w:t>
      </w:r>
      <w:r w:rsidR="00273E6F" w:rsidRPr="004904D8">
        <w:rPr>
          <w:color w:val="000000" w:themeColor="text1"/>
        </w:rPr>
        <w:t xml:space="preserve">, urban consumers in Libreville, Gabon, were found to prefer wild meat partly because they perceived it to be a healthy, organic alternative to processed and frozen, and partly due to its connection with traditional ways of life, in familial villages </w:t>
      </w:r>
      <w:r w:rsidR="00E451DE">
        <w:rPr>
          <w:color w:val="000000" w:themeColor="text1"/>
        </w:rPr>
        <w:fldChar w:fldCharType="begin" w:fldLock="1"/>
      </w:r>
      <w:r w:rsidR="00C51889">
        <w:rPr>
          <w:color w:val="000000" w:themeColor="text1"/>
        </w:rPr>
        <w:instrText>ADDIN CSL_CITATION {"citationItems":[{"id":"ITEM-1","itemData":{"abstract":"In this thesis I examine the role that the hunting, sale and consumption of bushmeat – wildlife hunted for food – plays in people’s livelihoods in Central Africa. This issue is central to current debates about how conservation and development can be reconciled in tropical forests, itself part of a wide debate about sustainable development. Three questions lie at the core of this debate: 1) Is urban consumption of bushmeat a key driver of exploitation of wildlife? 2) Why do contemporary Africans consume bushmeat? 3) How important is the consumption and sale of bushmeat for rural communities? I address these using quantitative and qualitative data collected in Gabon between October 2000 and September 2002. Using data from quantitative market and consumption surveys I show that in Gabon aggregate consumption of bushmeat is evenly divided between rural and urban areas. Urban consumption is concentrated in smaller towns in the interior of the country rather than in the large capital city. Most bushmeat consumed in urban areas does not pass through formal markets but more protected species are sold in formal markets. In rural areas of Gabon, people consume bushmeat because it is by far the cheapest available animal protein. Bushmeat is widely regarded as a desirable ‘organic’ meat that is preferable to lowquality imported frozen meat. It is therefore consumed even in urban areas where it is expensive compared to alternatives. However, bushmeat consumption is price sensitive and people consume less as it becomes more expensive. Using seven villages as a case study, I show that bushmeat is important to both household consumption and household income but is more important to income. It is also more important in poorer, more remote villages than in wealthier villages with easy market access. At any given site, from bushmeat is highly skewed; households that have both the male labour and financial capital to pursue both hunting and trapping simultaneously obtain most of the benefits from bushmeat. This thesis contributes to the wider debate about the role of forest resources in contribution to both development and conservation by illustrating the necessity for such debates to be based on empirical data collected at multiple scales of analysis.","author":[{"dropping-particle":"","family":"Starkey","given":"Malcolm","non-dropping-particle":"","parse-names":false,"suffix":""}],"id":"ITEM-1","issued":{"date-parts":[["2004"]]},"number-of-pages":"305","publisher":"PhD Thesis, University of Cambridge, UK","title":"Commerce and subsistence: the hunting, sale and consumption of bushmeat in Gabon","type":"book"},"uris":["http://www.mendeley.com/documents/?uuid=50e0e0eb-b3af-46eb-9916-3f5c20e90a00"]}],"mendeley":{"formattedCitation":"(Starkey 2004)","plainTextFormattedCitation":"(Starkey 2004)","previouslyFormattedCitation":"(Starkey 2004)"},"properties":{"noteIndex":0},"schema":"https://github.com/citation-style-language/schema/raw/master/csl-citation.json"}</w:instrText>
      </w:r>
      <w:r w:rsidR="00E451DE">
        <w:rPr>
          <w:color w:val="000000" w:themeColor="text1"/>
        </w:rPr>
        <w:fldChar w:fldCharType="separate"/>
      </w:r>
      <w:r w:rsidR="00C51889" w:rsidRPr="00C51889">
        <w:rPr>
          <w:noProof/>
          <w:color w:val="000000" w:themeColor="text1"/>
        </w:rPr>
        <w:t>(Starkey 2004)</w:t>
      </w:r>
      <w:r w:rsidR="00E451DE">
        <w:rPr>
          <w:color w:val="000000" w:themeColor="text1"/>
        </w:rPr>
        <w:fldChar w:fldCharType="end"/>
      </w:r>
      <w:r w:rsidR="00273E6F" w:rsidRPr="004904D8">
        <w:rPr>
          <w:color w:val="000000" w:themeColor="text1"/>
        </w:rPr>
        <w:t xml:space="preserve">. In this circumstance, </w:t>
      </w:r>
      <w:r>
        <w:rPr>
          <w:color w:val="000000" w:themeColor="text1"/>
        </w:rPr>
        <w:t>campaigns</w:t>
      </w:r>
      <w:r w:rsidR="00273E6F" w:rsidRPr="004904D8">
        <w:rPr>
          <w:color w:val="000000" w:themeColor="text1"/>
        </w:rPr>
        <w:t xml:space="preserve"> can aim to influence consumer preference for wild meat by providing consumers with information on the health issues connected with wild meat consumption (spoilage of meat, parasites, Ebola </w:t>
      </w:r>
      <w:r w:rsidR="00763BF5">
        <w:rPr>
          <w:color w:val="000000" w:themeColor="text1"/>
        </w:rPr>
        <w:fldChar w:fldCharType="begin" w:fldLock="1"/>
      </w:r>
      <w:r w:rsidR="00B2630D">
        <w:rPr>
          <w:color w:val="000000" w:themeColor="text1"/>
        </w:rPr>
        <w:instrText>ADDIN CSL_CITATION {"citationItems":[{"id":"ITEM-1","itemData":{"DOI":"10.1371/journal.pntd.0005450","ISBN":"1111111111","ISSN":"19352735","PMID":"28282378","abstract":"Bushmeat represents an important source of animal protein for humans in tropical Africa. Unsustainable bushmeat hunting is a major threat to wildlife and its consumption is associated with an increased risk of acquiring zoonotic diseases, such as Ebola virus disease (EVD). During the recent EVD outbreak in West Africa, it is likely that human dietary behavior and local attitudes toward bushmeat consumption changed in response to the crisis, and that the rate of change depended on prevailing socio-economic conditions, including wealth and education. In this study, we therefore investigated the effects of income, education, and literacy on changes in bushmeat consumption during the crisis, as well as complementary changes in daily meal frequency, food diversity and bushmeat preference. More specifically, we tested whether wealthier households with more educated household heads decreased their consumption of bushmeat during the EVD crisis, and whether their daily meal frequency and food diversity remained constant. We used Generalized Linear Mixed Models to analyze interview data from two nationwide household surveys across Liberia. We found an overall decrease in bushmeat consumption during the crisis across all income levels. However, the rate of bushmeat consumption in high-income households decreased less than in low-income households. Daily meal frequency decreased during the crisis, and the diversity of food items and preferences for bushmeat species remained constant. Our multidisciplinary approach to study the impact of EVD can be applied to assess how other disasters affect social-ecological systems and improve our understanding and the management of future crises.","author":[{"dropping-particle":"","family":"Ordaz-Németh","given":"Isabel","non-dropping-particle":"","parse-names":false,"suffix":""},{"dropping-particle":"","family":"Arandjelovic","given":"Mimi","non-dropping-particle":"","parse-names":false,"suffix":""},{"dropping-particle":"","family":"Boesch","given":"Lukas","non-dropping-particle":"","parse-names":false,"suffix":""},{"dropping-particle":"","family":"Gatiso","given":"Tsegaye","non-dropping-particle":"","parse-names":false,"suffix":""},{"dropping-particle":"","family":"Grimes","given":"Trokon","non-dropping-particle":"","parse-names":false,"suffix":""},{"dropping-particle":"","family":"Kuehl","given":"Hjalmar S.","non-dropping-particle":"","parse-names":false,"suffix":""},{"dropping-particle":"","family":"Lormie","given":"Menladi","non-dropping-particle":"","parse-names":false,"suffix":""},{"dropping-particle":"","family":"Stephens","given":"Colleen","non-dropping-particle":"","parse-names":false,"suffix":""},{"dropping-particle":"","family":"Tweh","given":"Clement","non-dropping-particle":"","parse-names":false,"suffix":""},{"dropping-particle":"","family":"Junker","given":"Jessica","non-dropping-particle":"","parse-names":false,"suffix":""}],"container-title":"PLoS Neglected Tropical Diseases","id":"ITEM-1","issue":"3","issued":{"date-parts":[["2017"]]},"page":"e0005450","title":"The socio-economic drivers of bushmeat consumption during the West African Ebola crisis","type":"article-journal","volume":"11"},"uris":["http://www.mendeley.com/documents/?uuid=7b90e1f8-9ae2-4eb4-86a5-2aeb9daa42f9"]}],"mendeley":{"formattedCitation":"(Ordaz-Németh et al. 2017)","plainTextFormattedCitation":"(Ordaz-Németh et al. 2017)","previouslyFormattedCitation":"(Ordaz-Németh et al. 2017)"},"properties":{"noteIndex":0},"schema":"https://github.com/citation-style-language/schema/raw/master/csl-citation.json"}</w:instrText>
      </w:r>
      <w:r w:rsidR="00763BF5">
        <w:rPr>
          <w:color w:val="000000" w:themeColor="text1"/>
        </w:rPr>
        <w:fldChar w:fldCharType="separate"/>
      </w:r>
      <w:r w:rsidR="00763BF5" w:rsidRPr="00763BF5">
        <w:rPr>
          <w:noProof/>
          <w:color w:val="000000" w:themeColor="text1"/>
        </w:rPr>
        <w:t>(Ordaz-Németh et al. 2017)</w:t>
      </w:r>
      <w:r w:rsidR="00763BF5">
        <w:rPr>
          <w:color w:val="000000" w:themeColor="text1"/>
        </w:rPr>
        <w:fldChar w:fldCharType="end"/>
      </w:r>
      <w:r w:rsidR="00273E6F" w:rsidRPr="004904D8">
        <w:rPr>
          <w:color w:val="000000" w:themeColor="text1"/>
        </w:rPr>
        <w:t>, and presenting domestic meats as a more up-and-coming, fashionable choice for young urban consumers</w:t>
      </w:r>
      <w:r w:rsidRPr="00EE2428">
        <w:rPr>
          <w:color w:val="000000" w:themeColor="text1"/>
        </w:rPr>
        <w:t xml:space="preserve">. In some </w:t>
      </w:r>
      <w:r>
        <w:rPr>
          <w:color w:val="000000" w:themeColor="text1"/>
        </w:rPr>
        <w:t>urban areas</w:t>
      </w:r>
      <w:r w:rsidRPr="00EE2428">
        <w:rPr>
          <w:color w:val="000000" w:themeColor="text1"/>
        </w:rPr>
        <w:t xml:space="preserve">, </w:t>
      </w:r>
      <w:r>
        <w:rPr>
          <w:color w:val="000000" w:themeColor="text1"/>
        </w:rPr>
        <w:t>a</w:t>
      </w:r>
      <w:r w:rsidRPr="00EE2428">
        <w:rPr>
          <w:color w:val="000000" w:themeColor="text1"/>
        </w:rPr>
        <w:t xml:space="preserve"> switch towards domestic meats as the preference of young urbanites is already occurring </w:t>
      </w:r>
      <w:r w:rsidR="00763BF5">
        <w:rPr>
          <w:color w:val="000000" w:themeColor="text1"/>
        </w:rPr>
        <w:fldChar w:fldCharType="begin" w:fldLock="1"/>
      </w:r>
      <w:r w:rsidR="0043640D">
        <w:rPr>
          <w:color w:val="000000" w:themeColor="text1"/>
        </w:rPr>
        <w:instrText>ADDIN CSL_CITATION {"citationItems":[{"id":"ITEM-1","itemData":{"DOI":"10.1016/j.actao.2017.10.002","ISSN":"1146609X","abstract":"The meat of wild animals (bushmeat) is consumed extensively in many tropical regions. Over the past few decades bushmeat consumption has greatly increased, threatening the survival of some hunted species and the supply of animal protein to countless numbers of people. Understanding patterns of bushmeat consumption is thus vital to ensure the sustainable use of this resource. Although the economic drivers of bushmeat consumption have been well studied, non-wealth correlates have been poorly considered. Here, we analyse how variables such as age and gender may influence bushmeat consumption in four West African countries, within the Guinean forests (Togo and Nigeria) and Sahel (Burkina Faso and Niger). We interviewed a total of 2453 persons (1253 urban, 1200 in rural areas) to determine frequency of consumption of bushmeat as well as the main species eaten. We found significant differences in bushmeat consumption between rural and urban areas in all four countries. In particular, the proportion of persons not consuming any bushmeat was highest in urban areas. Gender differences in bushmeat consumption were not generally important but young people consistently avoided eating bushmeat, especially in Togo and Nigeria, and in urban areas. The complicated interplay between tradition and evolution of social systems (especially the trends towards westernization) may explain the different perceptions that people may have towards consuming bushmeat in the four studied countries. In addition, we found considerable variation in types of bushmeat eaten, with antelopes and large rodents eaten by the great majority of interviewees, but bats, monkeys, and snakes being avoided, especially in urban settlements.","author":[{"dropping-particle":"","family":"Luiselli","given":"Luca","non-dropping-particle":"","parse-names":false,"suffix":""},{"dropping-particle":"","family":"Hema","given":"Emmanuel M.","non-dropping-particle":"","parse-names":false,"suffix":""},{"dropping-particle":"","family":"Segniagbeto","given":"Gabriel Hoinsoudé","non-dropping-particle":"","parse-names":false,"suffix":""},{"dropping-particle":"","family":"Ouattara","given":"Valy","non-dropping-particle":"","parse-names":false,"suffix":""},{"dropping-particle":"","family":"Eniang","given":"Edem A.","non-dropping-particle":"","parse-names":false,"suffix":""},{"dropping-particle":"","family":"Vittorio","given":"Massimiliano","non-dropping-particle":"Di","parse-names":false,"suffix":""},{"dropping-particle":"","family":"Amadi","given":"Nioking","non-dropping-particle":"","parse-names":false,"suffix":""},{"dropping-particle":"","family":"Parfait","given":"Gnoumou","non-dropping-particle":"","parse-names":false,"suffix":""},{"dropping-particle":"","family":"Pacini","given":"Nic","non-dropping-particle":"","parse-names":false,"suffix":""},{"dropping-particle":"","family":"Akani","given":"Godfrey C.","non-dropping-particle":"","parse-names":false,"suffix":""},{"dropping-particle":"","family":"Sirima","given":"Djidama","non-dropping-particle":"","parse-names":false,"suffix":""},{"dropping-particle":"","family":"Guenda","given":"Wendengoudi","non-dropping-particle":"","parse-names":false,"suffix":""},{"dropping-particle":"","family":"Fakae","given":"Barineme B.","non-dropping-particle":"","parse-names":false,"suffix":""},{"dropping-particle":"","family":"Dendi","given":"Daniele","non-dropping-particle":"","parse-names":false,"suffix":""},{"dropping-particle":"","family":"Fa","given":"John E.","non-dropping-particle":"","parse-names":false,"suffix":""}],"container-title":"Acta Oecologica","id":"ITEM-1","issued":{"date-parts":[["0"]]},"publisher":"Elsevier","title":"Understanding the influence of non-wealth factors in determining bushmeat consumption: results from four West African countries","type":"article-journal"},"uris":["http://www.mendeley.com/documents/?uuid=194add4e-7fd3-4504-99ac-febd2568f5f5"]}],"mendeley":{"formattedCitation":"(Luiselli et al. n.d.)","manualFormatting":"(Luiselli et al. in press)","plainTextFormattedCitation":"(Luiselli et al. n.d.)","previouslyFormattedCitation":"(Luiselli et al. n.d.)"},"properties":{"noteIndex":0},"schema":"https://github.com/citation-style-language/schema/raw/master/csl-citation.json"}</w:instrText>
      </w:r>
      <w:r w:rsidR="00763BF5">
        <w:rPr>
          <w:color w:val="000000" w:themeColor="text1"/>
        </w:rPr>
        <w:fldChar w:fldCharType="separate"/>
      </w:r>
      <w:r w:rsidR="00923270">
        <w:rPr>
          <w:noProof/>
          <w:color w:val="000000" w:themeColor="text1"/>
        </w:rPr>
        <w:t>(Luiselli et al. in press</w:t>
      </w:r>
      <w:r w:rsidR="000503D2" w:rsidRPr="000503D2">
        <w:rPr>
          <w:noProof/>
          <w:color w:val="000000" w:themeColor="text1"/>
        </w:rPr>
        <w:t>)</w:t>
      </w:r>
      <w:r w:rsidR="00763BF5">
        <w:rPr>
          <w:color w:val="000000" w:themeColor="text1"/>
        </w:rPr>
        <w:fldChar w:fldCharType="end"/>
      </w:r>
      <w:r w:rsidRPr="00EE2428">
        <w:rPr>
          <w:color w:val="000000" w:themeColor="text1"/>
        </w:rPr>
        <w:t xml:space="preserve"> and this may provide an opportunity for </w:t>
      </w:r>
      <w:r>
        <w:rPr>
          <w:color w:val="000000" w:themeColor="text1"/>
        </w:rPr>
        <w:t>demand reduction</w:t>
      </w:r>
      <w:r w:rsidRPr="00EE2428">
        <w:rPr>
          <w:color w:val="000000" w:themeColor="text1"/>
        </w:rPr>
        <w:t xml:space="preserve"> campaigns to give further ‘nudge’ to a trend that has already s</w:t>
      </w:r>
      <w:r w:rsidRPr="0064175F">
        <w:rPr>
          <w:color w:val="000000" w:themeColor="text1"/>
        </w:rPr>
        <w:t>tarted of its own accord.</w:t>
      </w:r>
    </w:p>
    <w:p w14:paraId="3B6A0B0A" w14:textId="17628DE5" w:rsidR="00273E6F" w:rsidRDefault="00851059" w:rsidP="00C258BC">
      <w:pPr>
        <w:jc w:val="both"/>
        <w:rPr>
          <w:color w:val="000000" w:themeColor="text1"/>
        </w:rPr>
      </w:pPr>
      <w:r>
        <w:rPr>
          <w:color w:val="000000" w:themeColor="text1"/>
        </w:rPr>
        <w:t xml:space="preserve">A recent global review of demand reduction campaigns for wildlife identified over 280 </w:t>
      </w:r>
      <w:r w:rsidR="00D85930">
        <w:rPr>
          <w:color w:val="000000" w:themeColor="text1"/>
        </w:rPr>
        <w:t>campaigns</w:t>
      </w:r>
      <w:r>
        <w:rPr>
          <w:color w:val="000000" w:themeColor="text1"/>
        </w:rPr>
        <w:t xml:space="preserve"> conducted since the 1970s, with 85% of these being led by NGOs </w:t>
      </w:r>
      <w:r w:rsidR="000503D2">
        <w:rPr>
          <w:color w:val="000000" w:themeColor="text1"/>
        </w:rPr>
        <w:fldChar w:fldCharType="begin" w:fldLock="1"/>
      </w:r>
      <w:r w:rsidR="000503D2">
        <w:rPr>
          <w:color w:val="000000" w:themeColor="text1"/>
        </w:rPr>
        <w:instrText>ADDIN CSL_CITATION {"citationItems":[{"id":"ITEM-1","itemData":{"DOI":"doi:10.31235/osf.io/642pb.","author":[{"dropping-particle":"","family":"Veríssimo","given":"D","non-dropping-particle":"","parse-names":false,"suffix":""},{"dropping-particle":"","family":"Wan","given":"A K Y","non-dropping-particle":"","parse-names":false,"suffix":""}],"container-title":"SocArXiv","id":"ITEM-1","issued":{"date-parts":[["2018"]]},"title":"Characterising the efforts to reduce consumer demand for wildlife products","type":"article-journal","volume":"February 2"},"uris":["http://www.mendeley.com/documents/?uuid=5c4cd488-37eb-48d1-bf1a-ccd64571d1a3"]}],"mendeley":{"formattedCitation":"(Veríssimo &amp; Wan 2018)","plainTextFormattedCitation":"(Veríssimo &amp; Wan 2018)","previouslyFormattedCitation":"(Veríssimo &amp; Wan 2018)"},"properties":{"noteIndex":0},"schema":"https://github.com/citation-style-language/schema/raw/master/csl-citation.json"}</w:instrText>
      </w:r>
      <w:r w:rsidR="000503D2">
        <w:rPr>
          <w:color w:val="000000" w:themeColor="text1"/>
        </w:rPr>
        <w:fldChar w:fldCharType="separate"/>
      </w:r>
      <w:r w:rsidR="000503D2" w:rsidRPr="000503D2">
        <w:rPr>
          <w:noProof/>
          <w:color w:val="000000" w:themeColor="text1"/>
        </w:rPr>
        <w:t>(Veríssimo &amp; Wan 2018)</w:t>
      </w:r>
      <w:r w:rsidR="000503D2">
        <w:rPr>
          <w:color w:val="000000" w:themeColor="text1"/>
        </w:rPr>
        <w:fldChar w:fldCharType="end"/>
      </w:r>
      <w:r>
        <w:rPr>
          <w:color w:val="000000" w:themeColor="text1"/>
        </w:rPr>
        <w:t xml:space="preserve">. </w:t>
      </w:r>
      <w:r w:rsidR="00B72973">
        <w:rPr>
          <w:color w:val="000000" w:themeColor="text1"/>
        </w:rPr>
        <w:t>C</w:t>
      </w:r>
      <w:r w:rsidR="00837F97">
        <w:rPr>
          <w:color w:val="000000" w:themeColor="text1"/>
        </w:rPr>
        <w:t>ampaigns</w:t>
      </w:r>
      <w:r>
        <w:rPr>
          <w:color w:val="000000" w:themeColor="text1"/>
        </w:rPr>
        <w:t xml:space="preserve"> </w:t>
      </w:r>
      <w:r w:rsidR="00273E6F" w:rsidRPr="005512D2">
        <w:rPr>
          <w:color w:val="000000" w:themeColor="text1"/>
        </w:rPr>
        <w:t xml:space="preserve">often </w:t>
      </w:r>
      <w:r w:rsidR="00B72973" w:rsidRPr="005512D2">
        <w:rPr>
          <w:color w:val="000000" w:themeColor="text1"/>
        </w:rPr>
        <w:t>us</w:t>
      </w:r>
      <w:r w:rsidR="00B72973">
        <w:rPr>
          <w:color w:val="000000" w:themeColor="text1"/>
        </w:rPr>
        <w:t>e</w:t>
      </w:r>
      <w:r w:rsidR="00B72973" w:rsidRPr="005512D2">
        <w:rPr>
          <w:color w:val="000000" w:themeColor="text1"/>
        </w:rPr>
        <w:t xml:space="preserve"> </w:t>
      </w:r>
      <w:r w:rsidR="00273E6F" w:rsidRPr="005512D2">
        <w:rPr>
          <w:color w:val="000000" w:themeColor="text1"/>
        </w:rPr>
        <w:t>local radio</w:t>
      </w:r>
      <w:r w:rsidR="00B72973">
        <w:rPr>
          <w:color w:val="000000" w:themeColor="text1"/>
        </w:rPr>
        <w:t xml:space="preserve"> (</w:t>
      </w:r>
      <w:r w:rsidR="00B72973">
        <w:rPr>
          <w:color w:val="000000" w:themeColor="text1"/>
        </w:rPr>
        <w:fldChar w:fldCharType="begin"/>
      </w:r>
      <w:r w:rsidR="00B72973">
        <w:rPr>
          <w:color w:val="000000" w:themeColor="text1"/>
        </w:rPr>
        <w:instrText xml:space="preserve"> REF _Ref519874639 \h </w:instrText>
      </w:r>
      <w:r w:rsidR="00B72973">
        <w:rPr>
          <w:color w:val="000000" w:themeColor="text1"/>
        </w:rPr>
      </w:r>
      <w:r w:rsidR="00B72973">
        <w:rPr>
          <w:color w:val="000000" w:themeColor="text1"/>
        </w:rPr>
        <w:fldChar w:fldCharType="separate"/>
      </w:r>
      <w:r w:rsidR="007034F1" w:rsidRPr="00837F97">
        <w:t xml:space="preserve">Box </w:t>
      </w:r>
      <w:r w:rsidR="007034F1">
        <w:rPr>
          <w:noProof/>
        </w:rPr>
        <w:t>10</w:t>
      </w:r>
      <w:r w:rsidR="00B72973">
        <w:rPr>
          <w:color w:val="000000" w:themeColor="text1"/>
        </w:rPr>
        <w:fldChar w:fldCharType="end"/>
      </w:r>
      <w:r w:rsidR="00B72973" w:rsidRPr="005512D2">
        <w:rPr>
          <w:color w:val="000000" w:themeColor="text1"/>
        </w:rPr>
        <w:t>)</w:t>
      </w:r>
      <w:r w:rsidR="00273E6F" w:rsidRPr="005512D2">
        <w:rPr>
          <w:color w:val="000000" w:themeColor="text1"/>
        </w:rPr>
        <w:t>, which has a wide reach in urban and rural areas and is a key form of communication for isolated rural communities. Whil</w:t>
      </w:r>
      <w:r w:rsidR="00273E6F" w:rsidRPr="003E3238">
        <w:rPr>
          <w:color w:val="000000" w:themeColor="text1"/>
        </w:rPr>
        <w:t xml:space="preserve">e campaigns </w:t>
      </w:r>
      <w:r w:rsidR="00B72973" w:rsidRPr="003E3238">
        <w:rPr>
          <w:color w:val="000000" w:themeColor="text1"/>
        </w:rPr>
        <w:t>regularly</w:t>
      </w:r>
      <w:r w:rsidR="00273E6F" w:rsidRPr="003E3238">
        <w:rPr>
          <w:color w:val="000000" w:themeColor="text1"/>
        </w:rPr>
        <w:t xml:space="preserve"> cover broad wild meat topics (dangers of hunting, health, etc.), aims have </w:t>
      </w:r>
      <w:r w:rsidR="00B72973" w:rsidRPr="003E3238">
        <w:rPr>
          <w:color w:val="000000" w:themeColor="text1"/>
        </w:rPr>
        <w:t>frequently</w:t>
      </w:r>
      <w:r w:rsidR="00273E6F" w:rsidRPr="003E3238">
        <w:rPr>
          <w:color w:val="000000" w:themeColor="text1"/>
        </w:rPr>
        <w:t xml:space="preserve"> focussed on the conservation of ‘emblematic’ species, such a</w:t>
      </w:r>
      <w:r w:rsidR="00837F97">
        <w:rPr>
          <w:color w:val="000000" w:themeColor="text1"/>
        </w:rPr>
        <w:t>s great apes (although see</w:t>
      </w:r>
      <w:r w:rsidR="00B72973">
        <w:rPr>
          <w:color w:val="000000" w:themeColor="text1"/>
        </w:rPr>
        <w:t xml:space="preserve"> ‘Temboni’,</w:t>
      </w:r>
      <w:r w:rsidR="00837F97">
        <w:rPr>
          <w:color w:val="000000" w:themeColor="text1"/>
        </w:rPr>
        <w:t xml:space="preserve"> </w:t>
      </w:r>
      <w:r w:rsidR="00837F97">
        <w:rPr>
          <w:color w:val="000000" w:themeColor="text1"/>
        </w:rPr>
        <w:fldChar w:fldCharType="begin"/>
      </w:r>
      <w:r w:rsidR="00837F97">
        <w:rPr>
          <w:color w:val="000000" w:themeColor="text1"/>
        </w:rPr>
        <w:instrText xml:space="preserve"> REF _Ref519874639 \h </w:instrText>
      </w:r>
      <w:r w:rsidR="00837F97">
        <w:rPr>
          <w:color w:val="000000" w:themeColor="text1"/>
        </w:rPr>
      </w:r>
      <w:r w:rsidR="00837F97">
        <w:rPr>
          <w:color w:val="000000" w:themeColor="text1"/>
        </w:rPr>
        <w:fldChar w:fldCharType="separate"/>
      </w:r>
      <w:r w:rsidR="007034F1" w:rsidRPr="00837F97">
        <w:t xml:space="preserve">Box </w:t>
      </w:r>
      <w:r w:rsidR="007034F1">
        <w:rPr>
          <w:noProof/>
        </w:rPr>
        <w:t>10</w:t>
      </w:r>
      <w:r w:rsidR="00837F97">
        <w:rPr>
          <w:color w:val="000000" w:themeColor="text1"/>
        </w:rPr>
        <w:fldChar w:fldCharType="end"/>
      </w:r>
      <w:r w:rsidR="00B72973">
        <w:rPr>
          <w:color w:val="000000" w:themeColor="text1"/>
        </w:rPr>
        <w:t xml:space="preserve"> for a multispecies approach). </w:t>
      </w:r>
      <w:r w:rsidR="00981A52" w:rsidRPr="0070404D">
        <w:rPr>
          <w:color w:val="000000" w:themeColor="text1"/>
        </w:rPr>
        <w:t xml:space="preserve">However, the impact of </w:t>
      </w:r>
      <w:r w:rsidR="00B72973">
        <w:rPr>
          <w:color w:val="000000" w:themeColor="text1"/>
        </w:rPr>
        <w:t>demand reduction campaigns</w:t>
      </w:r>
      <w:r w:rsidR="00981A52" w:rsidRPr="0070404D">
        <w:rPr>
          <w:color w:val="000000" w:themeColor="text1"/>
        </w:rPr>
        <w:t xml:space="preserve"> </w:t>
      </w:r>
      <w:r w:rsidR="00012687">
        <w:rPr>
          <w:color w:val="000000" w:themeColor="text1"/>
        </w:rPr>
        <w:t>is</w:t>
      </w:r>
      <w:r w:rsidR="00012687" w:rsidRPr="0070404D">
        <w:rPr>
          <w:color w:val="000000" w:themeColor="text1"/>
        </w:rPr>
        <w:t xml:space="preserve"> </w:t>
      </w:r>
      <w:r w:rsidR="00981A52" w:rsidRPr="0070404D">
        <w:rPr>
          <w:color w:val="000000" w:themeColor="text1"/>
        </w:rPr>
        <w:t>rarely been evaluated</w:t>
      </w:r>
      <w:r>
        <w:rPr>
          <w:color w:val="000000" w:themeColor="text1"/>
        </w:rPr>
        <w:t xml:space="preserve">; of </w:t>
      </w:r>
      <w:r w:rsidR="00C200A7">
        <w:rPr>
          <w:color w:val="000000" w:themeColor="text1"/>
        </w:rPr>
        <w:t xml:space="preserve">the </w:t>
      </w:r>
      <w:r>
        <w:rPr>
          <w:color w:val="000000" w:themeColor="text1"/>
        </w:rPr>
        <w:t xml:space="preserve">280 reviewed </w:t>
      </w:r>
      <w:r w:rsidR="00D85930">
        <w:rPr>
          <w:color w:val="000000" w:themeColor="text1"/>
        </w:rPr>
        <w:t>campaigns</w:t>
      </w:r>
      <w:r>
        <w:rPr>
          <w:color w:val="000000" w:themeColor="text1"/>
        </w:rPr>
        <w:t xml:space="preserve"> only 43 had attempted evaluation, and of these, only five made direct observations of changes in behaviour</w:t>
      </w:r>
      <w:r w:rsidR="000503D2">
        <w:rPr>
          <w:color w:val="000000" w:themeColor="text1"/>
        </w:rPr>
        <w:t xml:space="preserve"> </w:t>
      </w:r>
      <w:r w:rsidR="000503D2">
        <w:rPr>
          <w:color w:val="000000" w:themeColor="text1"/>
        </w:rPr>
        <w:fldChar w:fldCharType="begin" w:fldLock="1"/>
      </w:r>
      <w:r w:rsidR="000503D2">
        <w:rPr>
          <w:color w:val="000000" w:themeColor="text1"/>
        </w:rPr>
        <w:instrText>ADDIN CSL_CITATION {"citationItems":[{"id":"ITEM-1","itemData":{"DOI":"doi:10.31235/osf.io/642pb.","author":[{"dropping-particle":"","family":"Veríssimo","given":"D","non-dropping-particle":"","parse-names":false,"suffix":""},{"dropping-particle":"","family":"Wan","given":"A K Y","non-dropping-particle":"","parse-names":false,"suffix":""}],"container-title":"SocArXiv","id":"ITEM-1","issued":{"date-parts":[["2018"]]},"title":"Characterising the efforts to reduce consumer demand for wildlife products","type":"article-journal","volume":"February 2"},"uris":["http://www.mendeley.com/documents/?uuid=5c4cd488-37eb-48d1-bf1a-ccd64571d1a3"]}],"mendeley":{"formattedCitation":"(Veríssimo &amp; Wan 2018)","plainTextFormattedCitation":"(Veríssimo &amp; Wan 2018)","previouslyFormattedCitation":"(Veríssimo &amp; Wan 2018)"},"properties":{"noteIndex":0},"schema":"https://github.com/citation-style-language/schema/raw/master/csl-citation.json"}</w:instrText>
      </w:r>
      <w:r w:rsidR="000503D2">
        <w:rPr>
          <w:color w:val="000000" w:themeColor="text1"/>
        </w:rPr>
        <w:fldChar w:fldCharType="separate"/>
      </w:r>
      <w:r w:rsidR="000503D2" w:rsidRPr="000503D2">
        <w:rPr>
          <w:noProof/>
          <w:color w:val="000000" w:themeColor="text1"/>
        </w:rPr>
        <w:t>(Veríssimo &amp; Wan 2018)</w:t>
      </w:r>
      <w:r w:rsidR="000503D2">
        <w:rPr>
          <w:color w:val="000000" w:themeColor="text1"/>
        </w:rPr>
        <w:fldChar w:fldCharType="end"/>
      </w:r>
      <w:r w:rsidR="00981A52" w:rsidRPr="0070404D">
        <w:rPr>
          <w:color w:val="000000" w:themeColor="text1"/>
        </w:rPr>
        <w:t>.</w:t>
      </w:r>
      <w:r>
        <w:rPr>
          <w:color w:val="000000" w:themeColor="text1"/>
        </w:rPr>
        <w:t xml:space="preserve"> </w:t>
      </w:r>
      <w:r w:rsidR="000503D2">
        <w:rPr>
          <w:color w:val="000000" w:themeColor="text1"/>
        </w:rPr>
        <w:fldChar w:fldCharType="begin" w:fldLock="1"/>
      </w:r>
      <w:r w:rsidR="00807F32">
        <w:rPr>
          <w:color w:val="000000" w:themeColor="text1"/>
        </w:rPr>
        <w:instrText>ADDIN CSL_CITATION {"citationItems":[{"id":"ITEM-1","itemData":{"DOI":"10.1371/journal.pone.0134787","ISSN":"1932-6203","PMID":"26752642","abstract":"Vietnam is a significant consumer of wildlife, particularly wild meat, in urban restaurant settings. To meet this demand, poaching of wildlife is widespread, threatening regional and international biodiversity. Previous interventions to tackle illegal and potentially unsustainable consumption of wild meat in Vietnam have generally focused on limiting supply. While critical, they have been impeded by a lack of resources, the presence of increasingly organised criminal networks and corruption. Attention is, therefore, turning to the consumer, but a paucity of research investigating consumer demand for wild meat will impede the creation of effective consumer-centred interventions. Here we used a mixed-methods research approach comprising a hypothetical choice modelling survey and qualitative interviews to explore the drivers of wild meat consumption and consumer preferences among residents of Ho Chi Minh City, Vietnam. Our findings indicate that demand for wild meat is heterogeneous and highly context specific. Wild-sourced, rare, and expensive wild meat-types are eaten by those situated towards the top of the societal hierarchy to convey wealth and status and are commonly consumed in lucrative business contexts. Cheaper, legal and farmed substitutes for wild-sourced meats are also consumed, but typically in more casual consumption or social drinking settings. We explore the implications of our results for current conservation interventions in Vietnam that attempt to tackle illegal and potentially unsustainable trade in and consumption of wild meat and detail how our research informs future consumer-centric conservation actions.","author":[{"dropping-particle":"","family":"Shairp","given":"Rachel","non-dropping-particle":"","parse-names":false,"suffix":""},{"dropping-particle":"","family":"Veríssimo","given":"Diogo","non-dropping-particle":"","parse-names":false,"suffix":""},{"dropping-particle":"","family":"Fraser","given":"Iain","non-dropping-particle":"","parse-names":false,"suffix":""},{"dropping-particle":"","family":"Challender","given":"Daniel","non-dropping-particle":"","parse-names":false,"suffix":""},{"dropping-particle":"","family":"MacMillan","given":"Douglas","non-dropping-particle":"","parse-names":false,"suffix":""}],"container-title":"PloS one","id":"ITEM-1","issue":"1","issued":{"date-parts":[["2016","1"]]},"page":"e0134787","title":"Understanding urban demand for wild meat in Vietnam: implications for conservation actions","type":"article-journal","volume":"11"},"uris":["http://www.mendeley.com/documents/?uuid=16f60f29-219d-4b47-9cb9-2bab352ca360"]}],"mendeley":{"formattedCitation":"(Shairp et al. 2016)","manualFormatting":"Shairp et al. (2016)","plainTextFormattedCitation":"(Shairp et al. 2016)","previouslyFormattedCitation":"(Shairp et al. 2016)"},"properties":{"noteIndex":0},"schema":"https://github.com/citation-style-language/schema/raw/master/csl-citation.json"}</w:instrText>
      </w:r>
      <w:r w:rsidR="000503D2">
        <w:rPr>
          <w:color w:val="000000" w:themeColor="text1"/>
        </w:rPr>
        <w:fldChar w:fldCharType="separate"/>
      </w:r>
      <w:r w:rsidR="000503D2" w:rsidRPr="000503D2">
        <w:rPr>
          <w:noProof/>
          <w:color w:val="000000" w:themeColor="text1"/>
        </w:rPr>
        <w:t xml:space="preserve">Shairp et al. </w:t>
      </w:r>
      <w:r w:rsidR="000503D2">
        <w:rPr>
          <w:noProof/>
          <w:color w:val="000000" w:themeColor="text1"/>
        </w:rPr>
        <w:t>(</w:t>
      </w:r>
      <w:r w:rsidR="000503D2" w:rsidRPr="000503D2">
        <w:rPr>
          <w:noProof/>
          <w:color w:val="000000" w:themeColor="text1"/>
        </w:rPr>
        <w:t>2016)</w:t>
      </w:r>
      <w:r w:rsidR="000503D2">
        <w:rPr>
          <w:color w:val="000000" w:themeColor="text1"/>
        </w:rPr>
        <w:fldChar w:fldCharType="end"/>
      </w:r>
      <w:r w:rsidR="000503D2">
        <w:rPr>
          <w:color w:val="000000" w:themeColor="text1"/>
        </w:rPr>
        <w:t xml:space="preserve"> </w:t>
      </w:r>
      <w:r w:rsidR="00012687">
        <w:rPr>
          <w:color w:val="000000" w:themeColor="text1"/>
        </w:rPr>
        <w:t xml:space="preserve">suggest some common lessons for </w:t>
      </w:r>
      <w:r w:rsidR="00B72973">
        <w:rPr>
          <w:color w:val="000000" w:themeColor="text1"/>
        </w:rPr>
        <w:t>demand reduction</w:t>
      </w:r>
      <w:r w:rsidR="00012687">
        <w:rPr>
          <w:color w:val="000000" w:themeColor="text1"/>
        </w:rPr>
        <w:t xml:space="preserve"> campaign development:</w:t>
      </w:r>
    </w:p>
    <w:p w14:paraId="23732155" w14:textId="2FD3CA36" w:rsidR="00012687" w:rsidRDefault="00D85930" w:rsidP="00C258BC">
      <w:pPr>
        <w:pStyle w:val="ListParagraph"/>
        <w:numPr>
          <w:ilvl w:val="0"/>
          <w:numId w:val="25"/>
        </w:numPr>
        <w:jc w:val="both"/>
        <w:rPr>
          <w:color w:val="000000" w:themeColor="text1"/>
          <w:lang w:val="en-US"/>
        </w:rPr>
      </w:pPr>
      <w:r>
        <w:rPr>
          <w:color w:val="000000" w:themeColor="text1"/>
          <w:lang w:val="en-US"/>
        </w:rPr>
        <w:lastRenderedPageBreak/>
        <w:t>An</w:t>
      </w:r>
      <w:r w:rsidR="00012687">
        <w:rPr>
          <w:color w:val="000000" w:themeColor="text1"/>
          <w:lang w:val="en-US"/>
        </w:rPr>
        <w:t xml:space="preserve"> </w:t>
      </w:r>
      <w:r w:rsidR="00012687" w:rsidRPr="00012687">
        <w:rPr>
          <w:color w:val="000000" w:themeColor="text1"/>
          <w:lang w:val="en-US"/>
        </w:rPr>
        <w:t>understanding of the consumer</w:t>
      </w:r>
      <w:r w:rsidR="009F7645">
        <w:rPr>
          <w:color w:val="000000" w:themeColor="text1"/>
          <w:lang w:val="en-US"/>
        </w:rPr>
        <w:t>s</w:t>
      </w:r>
      <w:r w:rsidR="00012687">
        <w:rPr>
          <w:color w:val="000000" w:themeColor="text1"/>
          <w:lang w:val="en-US"/>
        </w:rPr>
        <w:t xml:space="preserve"> </w:t>
      </w:r>
      <w:r w:rsidR="00012687" w:rsidRPr="00710CCC">
        <w:rPr>
          <w:color w:val="000000" w:themeColor="text1"/>
          <w:lang w:val="en-US"/>
        </w:rPr>
        <w:t xml:space="preserve">and the drivers of consumption </w:t>
      </w:r>
      <w:r w:rsidR="00012687">
        <w:rPr>
          <w:color w:val="000000" w:themeColor="text1"/>
          <w:lang w:val="en-US"/>
        </w:rPr>
        <w:t xml:space="preserve">should be developed, </w:t>
      </w:r>
      <w:r w:rsidR="00012687" w:rsidRPr="00710CCC">
        <w:rPr>
          <w:color w:val="000000" w:themeColor="text1"/>
          <w:lang w:val="en-US"/>
        </w:rPr>
        <w:t>to be able to create effective messaging and</w:t>
      </w:r>
      <w:r w:rsidR="00012687">
        <w:rPr>
          <w:color w:val="000000" w:themeColor="text1"/>
          <w:lang w:val="en-US"/>
        </w:rPr>
        <w:t xml:space="preserve"> </w:t>
      </w:r>
      <w:r w:rsidR="00012687" w:rsidRPr="00710CCC">
        <w:rPr>
          <w:color w:val="000000" w:themeColor="text1"/>
          <w:lang w:val="en-US"/>
        </w:rPr>
        <w:t>target the right audience</w:t>
      </w:r>
      <w:r w:rsidR="00012687">
        <w:rPr>
          <w:color w:val="000000" w:themeColor="text1"/>
          <w:lang w:val="en-US"/>
        </w:rPr>
        <w:t>;</w:t>
      </w:r>
    </w:p>
    <w:p w14:paraId="0E8055DD" w14:textId="2C175169" w:rsidR="009F7645" w:rsidRDefault="009F7645" w:rsidP="00C258BC">
      <w:pPr>
        <w:pStyle w:val="ListParagraph"/>
        <w:numPr>
          <w:ilvl w:val="0"/>
          <w:numId w:val="25"/>
        </w:numPr>
        <w:jc w:val="both"/>
        <w:rPr>
          <w:color w:val="000000" w:themeColor="text1"/>
          <w:lang w:val="en-US"/>
        </w:rPr>
      </w:pPr>
      <w:r w:rsidRPr="00413807">
        <w:rPr>
          <w:color w:val="000000" w:themeColor="text1"/>
          <w:lang w:val="en-US"/>
        </w:rPr>
        <w:t xml:space="preserve">Campaigns should be highly targeted </w:t>
      </w:r>
      <w:r w:rsidR="00B72973">
        <w:rPr>
          <w:color w:val="000000" w:themeColor="text1"/>
          <w:lang w:val="en-US"/>
        </w:rPr>
        <w:t>for</w:t>
      </w:r>
      <w:r w:rsidRPr="00413807">
        <w:rPr>
          <w:color w:val="000000" w:themeColor="text1"/>
          <w:lang w:val="en-US"/>
        </w:rPr>
        <w:t xml:space="preserve"> </w:t>
      </w:r>
      <w:r>
        <w:rPr>
          <w:color w:val="000000" w:themeColor="text1"/>
          <w:lang w:val="en-US"/>
        </w:rPr>
        <w:t xml:space="preserve">different </w:t>
      </w:r>
      <w:r w:rsidRPr="00413807">
        <w:rPr>
          <w:color w:val="000000" w:themeColor="text1"/>
          <w:lang w:val="en-US"/>
        </w:rPr>
        <w:t xml:space="preserve">consumer groups, </w:t>
      </w:r>
      <w:r>
        <w:rPr>
          <w:color w:val="000000" w:themeColor="text1"/>
          <w:lang w:val="en-US"/>
        </w:rPr>
        <w:t>accounting</w:t>
      </w:r>
      <w:r w:rsidRPr="00413807">
        <w:rPr>
          <w:color w:val="000000" w:themeColor="text1"/>
          <w:lang w:val="en-US"/>
        </w:rPr>
        <w:t xml:space="preserve"> for heterogene</w:t>
      </w:r>
      <w:r>
        <w:rPr>
          <w:color w:val="000000" w:themeColor="text1"/>
          <w:lang w:val="en-US"/>
        </w:rPr>
        <w:t>ity in consumers and drivers.</w:t>
      </w:r>
    </w:p>
    <w:p w14:paraId="446B5F7C" w14:textId="64C7F061" w:rsidR="009F7645" w:rsidRPr="00710CCC" w:rsidRDefault="009F7645" w:rsidP="00C258BC">
      <w:pPr>
        <w:pStyle w:val="ListParagraph"/>
        <w:numPr>
          <w:ilvl w:val="0"/>
          <w:numId w:val="25"/>
        </w:numPr>
        <w:jc w:val="both"/>
        <w:rPr>
          <w:color w:val="000000" w:themeColor="text1"/>
          <w:lang w:val="en-US"/>
        </w:rPr>
      </w:pPr>
      <w:r w:rsidRPr="00413807">
        <w:rPr>
          <w:color w:val="000000" w:themeColor="text1"/>
          <w:lang w:val="en-US"/>
        </w:rPr>
        <w:t>An understanding</w:t>
      </w:r>
      <w:r>
        <w:rPr>
          <w:color w:val="000000" w:themeColor="text1"/>
          <w:lang w:val="en-US"/>
        </w:rPr>
        <w:t xml:space="preserve"> of</w:t>
      </w:r>
      <w:r w:rsidRPr="00413807">
        <w:rPr>
          <w:color w:val="000000" w:themeColor="text1"/>
          <w:lang w:val="en-US"/>
        </w:rPr>
        <w:t xml:space="preserve"> the media and information sources that are typically used and that are trusted and esteemed by target audience members is needed, as well as the type and form of message that is likely to produce changes in </w:t>
      </w:r>
      <w:r>
        <w:rPr>
          <w:color w:val="000000" w:themeColor="text1"/>
          <w:lang w:val="en-US"/>
        </w:rPr>
        <w:t>behavior; and</w:t>
      </w:r>
    </w:p>
    <w:p w14:paraId="31DC1AA0" w14:textId="6F6DE022" w:rsidR="00012687" w:rsidRDefault="00012687" w:rsidP="00C258BC">
      <w:pPr>
        <w:pStyle w:val="ListParagraph"/>
        <w:numPr>
          <w:ilvl w:val="0"/>
          <w:numId w:val="25"/>
        </w:numPr>
        <w:jc w:val="both"/>
        <w:rPr>
          <w:color w:val="000000" w:themeColor="text1"/>
          <w:lang w:val="en-US"/>
        </w:rPr>
      </w:pPr>
      <w:r>
        <w:rPr>
          <w:color w:val="000000" w:themeColor="text1"/>
          <w:lang w:val="en-US"/>
        </w:rPr>
        <w:t xml:space="preserve">The </w:t>
      </w:r>
      <w:r w:rsidRPr="00710CCC">
        <w:rPr>
          <w:color w:val="000000" w:themeColor="text1"/>
          <w:lang w:val="en-US"/>
        </w:rPr>
        <w:t>issue should be approached in a culturally-grounded way</w:t>
      </w:r>
      <w:r>
        <w:rPr>
          <w:color w:val="000000" w:themeColor="text1"/>
          <w:lang w:val="en-US"/>
        </w:rPr>
        <w:t>;</w:t>
      </w:r>
    </w:p>
    <w:p w14:paraId="6E363F98" w14:textId="2947F665" w:rsidR="00512D14" w:rsidRPr="003E3238" w:rsidRDefault="00512D14" w:rsidP="00C258BC">
      <w:pPr>
        <w:jc w:val="both"/>
        <w:rPr>
          <w:color w:val="000000" w:themeColor="text1"/>
        </w:rPr>
      </w:pPr>
      <w:r w:rsidRPr="0070404D">
        <w:rPr>
          <w:color w:val="000000" w:themeColor="text1"/>
        </w:rPr>
        <w:t>Environmental education programs in rural areas aim to increase local knowledge of conservation issues, such as unsustainable hunting and national hunting laws, under the assumption that if local communities are aware of the impacts of hunting on species populations, and the illegality of hunting, they will change their hunting behaviour</w:t>
      </w:r>
      <w:r w:rsidRPr="004904D8">
        <w:rPr>
          <w:color w:val="000000" w:themeColor="text1"/>
        </w:rPr>
        <w:t xml:space="preserve">. While these programs have been widely applied, there is scant evidence of their success in changing behaviour when applied in isolation </w:t>
      </w:r>
      <w:r w:rsidR="00807F32">
        <w:rPr>
          <w:color w:val="000000" w:themeColor="text1"/>
        </w:rPr>
        <w:fldChar w:fldCharType="begin" w:fldLock="1"/>
      </w:r>
      <w:r w:rsidR="000C41C6">
        <w:rPr>
          <w:color w:val="000000" w:themeColor="text1"/>
        </w:rPr>
        <w:instrText>ADDIN CSL_CITATION {"citationItems":[{"id":"ITEM-1","itemData":{"DOI":"10.1080/13504620120081269","ISBN":"1350462012","ISSN":"1350-4622","abstract":"This article presents an analysis of the lessons for programme design and management that were distilled from a recent evaluation of the Worldwide Fund for Nature’s (WWF) global educational programmes. The aim of the evaluation was to clarify and document the contribution that education is making to the achievement of the conservation goals of the organisation. Aspects of the findings of the evaluation are presented but these are not the focus of the article. Rather, the emphasis is on the generalisations that can be drawn from an analysis of the evaluation process and the lessons to be learnt from the findings. This emphasis affords this article a degree of currency and utility that goes beyond its immediate value to WWF and may provide ideas and, in places, a vocabulary for thinking about planning and evaluating environ- mental education programmes, especially within conservation groups and resource management agencies.","author":[{"dropping-particle":"","family":"Fien","given":"John","non-dropping-particle":"","parse-names":false,"suffix":""},{"dropping-particle":"","family":"Scott","given":"William","non-dropping-particle":"","parse-names":false,"suffix":""},{"dropping-particle":"","family":"Tilbury","given":"Daniella","non-dropping-particle":"","parse-names":false,"suffix":""}],"container-title":"Environmental Education Research","id":"ITEM-1","issue":"4","issued":{"date-parts":[["2001"]]},"page":"379-395","title":"Education and Conservation: Lessons from an evaluation","type":"article-journal","volume":"7"},"uris":["http://www.mendeley.com/documents/?uuid=6023ea7f-2e60-4b21-b966-3530a1dce78b"]},{"id":"ITEM-2","itemData":{"DOI":"10.1371/journal.pbio.0040105","ISBN":"1544-9173","ISSN":"15457885","PMID":"16602825","abstract":"The field of conservation policy must adopt state-of-the-art program evaluation methods to determine what works, and when, if we are to stem the global decline of biodiversity and improve the effectiveness of conservation investments.","author":[{"dropping-particle":"","family":"Ferraro","given":"Paul J.","non-dropping-particle":"","parse-names":false,"suffix":""},{"dropping-particle":"","family":"Pattanayak","given":"Subhrendu K.","non-dropping-particle":"","parse-names":false,"suffix":""}],"container-title":"PLoS Biology","id":"ITEM-2","issue":"4","issued":{"date-parts":[["2006"]]},"page":"482-488","title":"Money for nothing? A call for empirical evaluation of biodiversity conservation investments","type":"article-journal","volume":"4"},"uris":["http://www.mendeley.com/documents/?uuid=8f732f88-709c-41b9-bad7-264a71e3015f"]}],"mendeley":{"formattedCitation":"(Fien et al. 2001; Ferraro &amp; Pattanayak 2006)","plainTextFormattedCitation":"(Fien et al. 2001; Ferraro &amp; Pattanayak 2006)","previouslyFormattedCitation":"(Fien et al. 2001; Ferraro &amp; Pattanayak 2006)"},"properties":{"noteIndex":0},"schema":"https://github.com/citation-style-language/schema/raw/master/csl-citation.json"}</w:instrText>
      </w:r>
      <w:r w:rsidR="00807F32">
        <w:rPr>
          <w:color w:val="000000" w:themeColor="text1"/>
        </w:rPr>
        <w:fldChar w:fldCharType="separate"/>
      </w:r>
      <w:r w:rsidR="00807F32" w:rsidRPr="00807F32">
        <w:rPr>
          <w:noProof/>
          <w:color w:val="000000" w:themeColor="text1"/>
        </w:rPr>
        <w:t>(Fien et al. 2001; Ferraro &amp; Pattanayak 2006)</w:t>
      </w:r>
      <w:r w:rsidR="00807F32">
        <w:rPr>
          <w:color w:val="000000" w:themeColor="text1"/>
        </w:rPr>
        <w:fldChar w:fldCharType="end"/>
      </w:r>
      <w:r w:rsidRPr="004904D8">
        <w:rPr>
          <w:color w:val="000000" w:themeColor="text1"/>
        </w:rPr>
        <w:t>. While the provision of information to local communities is one important element of sustainable management interventions, environmental education programmes must be used thoughtfully, and as one part of a larger project that also provides benefits from sustainable management to local communities. For rural communities where few alternative options to hunting exist, environmental education programmes can be perceived negatively by these communities as outsiders decrying the local livelihoods of poor communities without providing alternatives</w:t>
      </w:r>
      <w:r w:rsidRPr="003E3238">
        <w:rPr>
          <w:color w:val="000000" w:themeColor="text1"/>
        </w:rPr>
        <w:t xml:space="preserve">. </w:t>
      </w:r>
    </w:p>
    <w:p w14:paraId="32329691" w14:textId="76D0EC45" w:rsidR="00512D14" w:rsidRPr="00EE2428" w:rsidRDefault="00837F97" w:rsidP="00C258BC">
      <w:pPr>
        <w:jc w:val="both"/>
        <w:rPr>
          <w:color w:val="000000" w:themeColor="text1"/>
        </w:rPr>
      </w:pPr>
      <w:r w:rsidRPr="006C56F2">
        <w:rPr>
          <w:noProof/>
          <w:color w:val="000000" w:themeColor="text1"/>
          <w:lang w:val="en-US"/>
        </w:rPr>
        <w:lastRenderedPageBreak/>
        <mc:AlternateContent>
          <mc:Choice Requires="wps">
            <w:drawing>
              <wp:anchor distT="0" distB="0" distL="114300" distR="114300" simplePos="0" relativeHeight="251650048" behindDoc="0" locked="0" layoutInCell="1" allowOverlap="1" wp14:anchorId="480503A4" wp14:editId="03698CD0">
                <wp:simplePos x="0" y="0"/>
                <wp:positionH relativeFrom="column">
                  <wp:posOffset>0</wp:posOffset>
                </wp:positionH>
                <wp:positionV relativeFrom="paragraph">
                  <wp:posOffset>329565</wp:posOffset>
                </wp:positionV>
                <wp:extent cx="5731510" cy="5158740"/>
                <wp:effectExtent l="0" t="0" r="34290" b="2286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1510" cy="5158740"/>
                        </a:xfrm>
                        <a:prstGeom prst="rect">
                          <a:avLst/>
                        </a:prstGeom>
                        <a:solidFill>
                          <a:sysClr val="window" lastClr="FFFFFF">
                            <a:lumMod val="85000"/>
                          </a:sysClr>
                        </a:solidFill>
                        <a:ln>
                          <a:solidFill>
                            <a:sysClr val="windowText" lastClr="000000"/>
                          </a:solidFill>
                        </a:ln>
                        <a:effectLst/>
                      </wps:spPr>
                      <wps:txbx>
                        <w:txbxContent>
                          <w:p w14:paraId="4A21A922" w14:textId="452CAFBB" w:rsidR="00B82BFD" w:rsidRPr="00837F97" w:rsidRDefault="00B82BFD" w:rsidP="00837F97">
                            <w:pPr>
                              <w:pStyle w:val="Caption"/>
                            </w:pPr>
                            <w:bookmarkStart w:id="291" w:name="_Ref519874639"/>
                            <w:bookmarkStart w:id="292" w:name="_Hlk529352558"/>
                            <w:r w:rsidRPr="00837F97">
                              <w:t xml:space="preserve">Box </w:t>
                            </w:r>
                            <w:r w:rsidRPr="00837F97">
                              <w:fldChar w:fldCharType="begin"/>
                            </w:r>
                            <w:r w:rsidRPr="00837F97">
                              <w:instrText xml:space="preserve"> SEQ Box \* ARABIC </w:instrText>
                            </w:r>
                            <w:r w:rsidRPr="00837F97">
                              <w:fldChar w:fldCharType="separate"/>
                            </w:r>
                            <w:r>
                              <w:rPr>
                                <w:noProof/>
                              </w:rPr>
                              <w:t>10</w:t>
                            </w:r>
                            <w:r w:rsidRPr="00837F97">
                              <w:fldChar w:fldCharType="end"/>
                            </w:r>
                            <w:bookmarkEnd w:id="291"/>
                            <w:r w:rsidRPr="00837F97">
                              <w:rPr>
                                <w:sz w:val="22"/>
                              </w:rPr>
                              <w:t>: Behaviour-change interventions for reducing demand for wild meat</w:t>
                            </w:r>
                            <w:bookmarkEnd w:id="292"/>
                            <w:r w:rsidRPr="00837F97">
                              <w:rPr>
                                <w:sz w:val="22"/>
                              </w:rPr>
                              <w:t>:</w:t>
                            </w:r>
                          </w:p>
                          <w:p w14:paraId="0862498F" w14:textId="62D6C6E8" w:rsidR="00B82BFD" w:rsidRPr="00B823F8" w:rsidRDefault="00B82BFD" w:rsidP="00837F97">
                            <w:pPr>
                              <w:rPr>
                                <w:sz w:val="22"/>
                              </w:rPr>
                            </w:pPr>
                            <w:r w:rsidRPr="00803DEE">
                              <w:rPr>
                                <w:sz w:val="22"/>
                              </w:rPr>
                              <w:t xml:space="preserve">Wide-scale media campaigns to influence consumer preference, with the aim of reducing wild meat consumption, have already been trialled. However, the impact of these </w:t>
                            </w:r>
                            <w:r w:rsidRPr="00B823F8">
                              <w:rPr>
                                <w:sz w:val="22"/>
                              </w:rPr>
                              <w:t>campaigns is still mainly unknown; in many cases, the impact of the campaign was not measured (Verissimo, 2013), and in others where impact assessments have been factored into the campaign design, it is still too early into the project to be able to tell. Current examples targeting domestic consumers of wild meat include:</w:t>
                            </w:r>
                          </w:p>
                          <w:p w14:paraId="3DACA779" w14:textId="39E7D976" w:rsidR="00B82BFD" w:rsidRPr="00B823F8" w:rsidRDefault="003D3A1B" w:rsidP="00837F97">
                            <w:pPr>
                              <w:rPr>
                                <w:sz w:val="22"/>
                              </w:rPr>
                            </w:pPr>
                            <w:hyperlink r:id="rId137" w:history="1">
                              <w:r w:rsidR="00B82BFD" w:rsidRPr="00B823F8">
                                <w:rPr>
                                  <w:rStyle w:val="Hyperlink"/>
                                  <w:sz w:val="22"/>
                                </w:rPr>
                                <w:t>Temboni</w:t>
                              </w:r>
                            </w:hyperlink>
                            <w:r w:rsidR="00B82BFD" w:rsidRPr="00B823F8">
                              <w:rPr>
                                <w:sz w:val="22"/>
                              </w:rPr>
                              <w:t xml:space="preserve"> (‘The voice of the elephant’) in the Kilimanjaro, Tanga, Arusha, and Manyara regions of Tanzania. Temboni is a 25-episode radio drama whose key themes centre on illegal hunting and wild meat consumption. The behaviour change campaign aims to positively shift knowledge, attitudes, and behaviours of local populations regarding unsustainable harvesting, trade, and consumption of wild meat. The project has implemented a Monitoring and Evaluation strategy from the onset of the project, using both qualitative and quantitative assessment tools. However, a recent assessment of the impact of listening to the radio show, using using a Before</w:t>
                            </w:r>
                            <w:r w:rsidR="00B82BFD" w:rsidRPr="00B823F8">
                              <w:rPr>
                                <w:rFonts w:ascii="Cambria Math" w:hAnsi="Cambria Math" w:cs="Cambria Math"/>
                                <w:sz w:val="22"/>
                              </w:rPr>
                              <w:t>‐</w:t>
                            </w:r>
                            <w:r w:rsidR="00B82BFD" w:rsidRPr="00B823F8">
                              <w:rPr>
                                <w:sz w:val="22"/>
                              </w:rPr>
                              <w:t>After</w:t>
                            </w:r>
                            <w:r w:rsidR="00B82BFD" w:rsidRPr="00B823F8">
                              <w:rPr>
                                <w:rFonts w:ascii="Cambria Math" w:hAnsi="Cambria Math" w:cs="Cambria Math"/>
                                <w:sz w:val="22"/>
                              </w:rPr>
                              <w:t>‐</w:t>
                            </w:r>
                            <w:r w:rsidR="00B82BFD" w:rsidRPr="00B823F8">
                              <w:rPr>
                                <w:sz w:val="22"/>
                              </w:rPr>
                              <w:t>Control</w:t>
                            </w:r>
                            <w:r w:rsidR="00B82BFD" w:rsidRPr="00B823F8">
                              <w:rPr>
                                <w:rFonts w:ascii="Cambria Math" w:hAnsi="Cambria Math" w:cs="Cambria Math"/>
                                <w:sz w:val="22"/>
                              </w:rPr>
                              <w:t>‐</w:t>
                            </w:r>
                            <w:r w:rsidR="00B82BFD" w:rsidRPr="00B823F8">
                              <w:rPr>
                                <w:sz w:val="22"/>
                              </w:rPr>
                              <w:t>Impact framework, found no difference in wild meat consumption between consumers who had listened to the broadcast and those who had not (Verissimo et al., 2018a). </w:t>
                            </w:r>
                          </w:p>
                          <w:p w14:paraId="23A1B376" w14:textId="6AA58A62" w:rsidR="00B82BFD" w:rsidRPr="00803DEE" w:rsidRDefault="003D3A1B" w:rsidP="00837F97">
                            <w:pPr>
                              <w:rPr>
                                <w:sz w:val="22"/>
                              </w:rPr>
                            </w:pPr>
                            <w:hyperlink r:id="rId138" w:history="1">
                              <w:r w:rsidR="00B82BFD" w:rsidRPr="00B823F8">
                                <w:rPr>
                                  <w:rStyle w:val="Hyperlink"/>
                                  <w:iCs/>
                                  <w:sz w:val="22"/>
                                </w:rPr>
                                <w:t>Pambazuko</w:t>
                              </w:r>
                              <w:r w:rsidR="00B82BFD" w:rsidRPr="00B823F8">
                                <w:rPr>
                                  <w:rStyle w:val="Hyperlink"/>
                                  <w:sz w:val="22"/>
                                </w:rPr>
                                <w:t> </w:t>
                              </w:r>
                            </w:hyperlink>
                            <w:r w:rsidR="00B82BFD" w:rsidRPr="00B823F8">
                              <w:rPr>
                                <w:sz w:val="22"/>
                              </w:rPr>
                              <w:t>(‘New Dawn’) in DRC. This 156-episode drama is broadcast over 14</w:t>
                            </w:r>
                            <w:r w:rsidR="00B82BFD" w:rsidRPr="00803DEE">
                              <w:rPr>
                                <w:sz w:val="22"/>
                              </w:rPr>
                              <w:t xml:space="preserve"> community radio stations in Eastern DRC in Swahili and Lingala, and airs from February 2016 to August 2017. Among other topics, including women’s right and family planning, the drama explores environmental issues, including wild meat in terms of human health and environmental impact. It is part-funded by the Jane Goodhall Institute, and impact assessment research is being conducted before, during, and after the radio drama airs.</w:t>
                            </w:r>
                          </w:p>
                          <w:p w14:paraId="0D6E7BEE" w14:textId="77777777" w:rsidR="00B82BFD" w:rsidRPr="00803DEE" w:rsidRDefault="00B82BFD" w:rsidP="00837F97">
                            <w:pPr>
                              <w:rPr>
                                <w:sz w:val="22"/>
                              </w:rPr>
                            </w:pPr>
                            <w:r w:rsidRPr="00803DEE">
                              <w:rPr>
                                <w:sz w:val="22"/>
                              </w:rPr>
                              <w:t xml:space="preserve">The </w:t>
                            </w:r>
                            <w:hyperlink r:id="rId139" w:history="1">
                              <w:r w:rsidRPr="00803DEE">
                                <w:rPr>
                                  <w:rStyle w:val="Hyperlink"/>
                                  <w:sz w:val="22"/>
                                </w:rPr>
                                <w:t>Wildlife Consumer Behaviour Change Toolkit</w:t>
                              </w:r>
                            </w:hyperlink>
                            <w:r w:rsidRPr="00803DEE">
                              <w:rPr>
                                <w:sz w:val="22"/>
                              </w:rPr>
                              <w:t xml:space="preserve"> has been created to support practitioners working on changing behaviour to reduce consumer demand for illegal wildlife products. The website provides tools and guidance on how to design a behaviour change campaign, as well as news on latest research findings and best practice evidence, and is managed by TRAFFIC, the wildlife trade monitoring network.</w:t>
                            </w:r>
                          </w:p>
                          <w:p w14:paraId="62950691" w14:textId="77777777" w:rsidR="00B82BFD" w:rsidRPr="00803DEE" w:rsidRDefault="003D3A1B" w:rsidP="00837F97">
                            <w:pPr>
                              <w:rPr>
                                <w:sz w:val="22"/>
                              </w:rPr>
                            </w:pPr>
                            <w:hyperlink r:id="rId140" w:history="1">
                              <w:r w:rsidR="00B82BFD" w:rsidRPr="00803DEE">
                                <w:rPr>
                                  <w:rStyle w:val="Hyperlink"/>
                                  <w:sz w:val="22"/>
                                </w:rPr>
                                <w:t>Social marketing campaigns providing recipes for domestic meat dishes, in Tapauá</w:t>
                              </w:r>
                            </w:hyperlink>
                            <w:r w:rsidR="00B82BFD" w:rsidRPr="00803DEE">
                              <w:rPr>
                                <w:sz w:val="22"/>
                              </w:rPr>
                              <w:t xml:space="preserve">, central Brazilian Amazon, resulted in a 62% reduction in consumption of wild meat (Chaves et al. 2017). </w:t>
                            </w:r>
                          </w:p>
                          <w:p w14:paraId="0A29CFDB" w14:textId="77777777" w:rsidR="00B82BFD" w:rsidRPr="00803DEE" w:rsidRDefault="00B82BFD" w:rsidP="00837F97">
                            <w:pPr>
                              <w:rPr>
                                <w:sz w:val="22"/>
                              </w:rPr>
                            </w:pPr>
                          </w:p>
                          <w:p w14:paraId="0117BC9C" w14:textId="77777777" w:rsidR="00B82BFD" w:rsidRPr="00803DEE" w:rsidRDefault="00B82BFD" w:rsidP="00837F97">
                            <w:pPr>
                              <w:rPr>
                                <w:sz w:val="22"/>
                              </w:rPr>
                            </w:pPr>
                          </w:p>
                          <w:p w14:paraId="06AB5B0E" w14:textId="77777777" w:rsidR="00B82BFD" w:rsidRPr="00803DEE" w:rsidRDefault="00B82BFD" w:rsidP="00837F97">
                            <w:pPr>
                              <w:rPr>
                                <w:sz w:val="22"/>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80503A4" id="Text Box 2" o:spid="_x0000_s1035" type="#_x0000_t202" style="position:absolute;left:0;text-align:left;margin-left:0;margin-top:25.95pt;width:451.3pt;height:406.2pt;z-index:251650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" fillcolor="#d9d9d9" strokecolor="windowText">
                <v:path arrowok="t"/>
                <v:textbox>
                  <w:txbxContent>
                    <w:p w14:paraId="4A21A922" w14:textId="452CAFBB" w:rsidR="00B82BFD" w:rsidRPr="00837F97" w:rsidRDefault="00B82BFD" w:rsidP="00837F97">
                      <w:pPr>
                        <w:pStyle w:val="Caption"/>
                      </w:pPr>
                      <w:bookmarkStart w:id="293" w:name="_Ref519874639"/>
                      <w:bookmarkStart w:id="294" w:name="_Hlk529352558"/>
                      <w:r w:rsidRPr="00837F97">
                        <w:t xml:space="preserve">Box </w:t>
                      </w:r>
                      <w:r w:rsidRPr="00837F97">
                        <w:fldChar w:fldCharType="begin"/>
                      </w:r>
                      <w:r w:rsidRPr="00837F97">
                        <w:instrText xml:space="preserve"> SEQ Box \* ARABIC </w:instrText>
                      </w:r>
                      <w:r w:rsidRPr="00837F97">
                        <w:fldChar w:fldCharType="separate"/>
                      </w:r>
                      <w:r>
                        <w:rPr>
                          <w:noProof/>
                        </w:rPr>
                        <w:t>10</w:t>
                      </w:r>
                      <w:r w:rsidRPr="00837F97">
                        <w:fldChar w:fldCharType="end"/>
                      </w:r>
                      <w:bookmarkEnd w:id="293"/>
                      <w:r w:rsidRPr="00837F97">
                        <w:rPr>
                          <w:sz w:val="22"/>
                        </w:rPr>
                        <w:t>: Behaviour-change interventions for reducing demand for wild meat</w:t>
                      </w:r>
                      <w:bookmarkEnd w:id="294"/>
                      <w:r w:rsidRPr="00837F97">
                        <w:rPr>
                          <w:sz w:val="22"/>
                        </w:rPr>
                        <w:t>:</w:t>
                      </w:r>
                    </w:p>
                    <w:p w14:paraId="0862498F" w14:textId="62D6C6E8" w:rsidR="00B82BFD" w:rsidRPr="00B823F8" w:rsidRDefault="00B82BFD" w:rsidP="00837F97">
                      <w:pPr>
                        <w:rPr>
                          <w:sz w:val="22"/>
                        </w:rPr>
                      </w:pPr>
                      <w:r w:rsidRPr="00803DEE">
                        <w:rPr>
                          <w:sz w:val="22"/>
                        </w:rPr>
                        <w:t xml:space="preserve">Wide-scale media campaigns to influence consumer preference, with the aim of reducing wild meat consumption, have already been trialled. However, the impact of these </w:t>
                      </w:r>
                      <w:r w:rsidRPr="00B823F8">
                        <w:rPr>
                          <w:sz w:val="22"/>
                        </w:rPr>
                        <w:t>campaigns is still mainly unknown; in many cases, the impact of the campaign was not measured (Verissimo, 2013), and in others where impact assessments have been factored into the campaign design, it is still too early into the project to be able to tell. Current examples targeting domestic consumers of wild meat include:</w:t>
                      </w:r>
                    </w:p>
                    <w:p w14:paraId="3DACA779" w14:textId="39E7D976" w:rsidR="00B82BFD" w:rsidRPr="00B823F8" w:rsidRDefault="003D3A1B" w:rsidP="00837F97">
                      <w:pPr>
                        <w:rPr>
                          <w:sz w:val="22"/>
                        </w:rPr>
                      </w:pPr>
                      <w:hyperlink r:id="rId141" w:history="1">
                        <w:r w:rsidR="00B82BFD" w:rsidRPr="00B823F8">
                          <w:rPr>
                            <w:rStyle w:val="Hyperlink"/>
                            <w:sz w:val="22"/>
                          </w:rPr>
                          <w:t>Temboni</w:t>
                        </w:r>
                      </w:hyperlink>
                      <w:r w:rsidR="00B82BFD" w:rsidRPr="00B823F8">
                        <w:rPr>
                          <w:sz w:val="22"/>
                        </w:rPr>
                        <w:t xml:space="preserve"> (‘The voice of the elephant’) in the Kilimanjaro, Tanga, Arusha, and Manyara regions of Tanzania. Temboni is a 25-episode radio drama whose key themes centre on illegal hunting and wild meat consumption. The behaviour change campaign aims to positively shift knowledge, attitudes, and behaviours of local populations regarding unsustainable harvesting, trade, and consumption of wild meat. The project has implemented a Monitoring and Evaluation strategy from the onset of the project, using both qualitative and quantitative assessment tools. However, a recent assessment of the impact of listening to the radio show, using using a Before</w:t>
                      </w:r>
                      <w:r w:rsidR="00B82BFD" w:rsidRPr="00B823F8">
                        <w:rPr>
                          <w:rFonts w:ascii="Cambria Math" w:hAnsi="Cambria Math" w:cs="Cambria Math"/>
                          <w:sz w:val="22"/>
                        </w:rPr>
                        <w:t>‐</w:t>
                      </w:r>
                      <w:r w:rsidR="00B82BFD" w:rsidRPr="00B823F8">
                        <w:rPr>
                          <w:sz w:val="22"/>
                        </w:rPr>
                        <w:t>After</w:t>
                      </w:r>
                      <w:r w:rsidR="00B82BFD" w:rsidRPr="00B823F8">
                        <w:rPr>
                          <w:rFonts w:ascii="Cambria Math" w:hAnsi="Cambria Math" w:cs="Cambria Math"/>
                          <w:sz w:val="22"/>
                        </w:rPr>
                        <w:t>‐</w:t>
                      </w:r>
                      <w:r w:rsidR="00B82BFD" w:rsidRPr="00B823F8">
                        <w:rPr>
                          <w:sz w:val="22"/>
                        </w:rPr>
                        <w:t>Control</w:t>
                      </w:r>
                      <w:r w:rsidR="00B82BFD" w:rsidRPr="00B823F8">
                        <w:rPr>
                          <w:rFonts w:ascii="Cambria Math" w:hAnsi="Cambria Math" w:cs="Cambria Math"/>
                          <w:sz w:val="22"/>
                        </w:rPr>
                        <w:t>‐</w:t>
                      </w:r>
                      <w:r w:rsidR="00B82BFD" w:rsidRPr="00B823F8">
                        <w:rPr>
                          <w:sz w:val="22"/>
                        </w:rPr>
                        <w:t>Impact framework, found no difference in wild meat consumption between consumers who had listened to the broadcast and those who had not (Verissimo et al., 2018a). </w:t>
                      </w:r>
                    </w:p>
                    <w:p w14:paraId="23A1B376" w14:textId="6AA58A62" w:rsidR="00B82BFD" w:rsidRPr="00803DEE" w:rsidRDefault="003D3A1B" w:rsidP="00837F97">
                      <w:pPr>
                        <w:rPr>
                          <w:sz w:val="22"/>
                        </w:rPr>
                      </w:pPr>
                      <w:hyperlink r:id="rId142" w:history="1">
                        <w:r w:rsidR="00B82BFD" w:rsidRPr="00B823F8">
                          <w:rPr>
                            <w:rStyle w:val="Hyperlink"/>
                            <w:iCs/>
                            <w:sz w:val="22"/>
                          </w:rPr>
                          <w:t>Pambazuko</w:t>
                        </w:r>
                        <w:r w:rsidR="00B82BFD" w:rsidRPr="00B823F8">
                          <w:rPr>
                            <w:rStyle w:val="Hyperlink"/>
                            <w:sz w:val="22"/>
                          </w:rPr>
                          <w:t> </w:t>
                        </w:r>
                      </w:hyperlink>
                      <w:r w:rsidR="00B82BFD" w:rsidRPr="00B823F8">
                        <w:rPr>
                          <w:sz w:val="22"/>
                        </w:rPr>
                        <w:t>(‘New Dawn’) in DRC. This 156-episode drama is broadcast over 14</w:t>
                      </w:r>
                      <w:r w:rsidR="00B82BFD" w:rsidRPr="00803DEE">
                        <w:rPr>
                          <w:sz w:val="22"/>
                        </w:rPr>
                        <w:t xml:space="preserve"> community radio stations in Eastern DRC in Swahili and Lingala, and airs from February 2016 to August 2017. Among other topics, including women’s right and family planning, the drama explores environmental issues, including wild meat in terms of human health and environmental impact. It is part-funded by the Jane Goodhall Institute, and impact assessment research is being conducted before, during, and after the radio drama airs.</w:t>
                      </w:r>
                    </w:p>
                    <w:p w14:paraId="0D6E7BEE" w14:textId="77777777" w:rsidR="00B82BFD" w:rsidRPr="00803DEE" w:rsidRDefault="00B82BFD" w:rsidP="00837F97">
                      <w:pPr>
                        <w:rPr>
                          <w:sz w:val="22"/>
                        </w:rPr>
                      </w:pPr>
                      <w:r w:rsidRPr="00803DEE">
                        <w:rPr>
                          <w:sz w:val="22"/>
                        </w:rPr>
                        <w:t xml:space="preserve">The </w:t>
                      </w:r>
                      <w:hyperlink r:id="rId143" w:history="1">
                        <w:r w:rsidRPr="00803DEE">
                          <w:rPr>
                            <w:rStyle w:val="Hyperlink"/>
                            <w:sz w:val="22"/>
                          </w:rPr>
                          <w:t>Wildlife Consumer Behaviour Change Toolkit</w:t>
                        </w:r>
                      </w:hyperlink>
                      <w:r w:rsidRPr="00803DEE">
                        <w:rPr>
                          <w:sz w:val="22"/>
                        </w:rPr>
                        <w:t xml:space="preserve"> has been created to support practitioners working on changing behaviour to reduce consumer demand for illegal wildlife products. The website provides tools and guidance on how to design a behaviour change campaign, as well as news on latest research findings and best practice evidence, and is managed by TRAFFIC, the wildlife trade monitoring network.</w:t>
                      </w:r>
                    </w:p>
                    <w:p w14:paraId="62950691" w14:textId="77777777" w:rsidR="00B82BFD" w:rsidRPr="00803DEE" w:rsidRDefault="003D3A1B" w:rsidP="00837F97">
                      <w:pPr>
                        <w:rPr>
                          <w:sz w:val="22"/>
                        </w:rPr>
                      </w:pPr>
                      <w:hyperlink r:id="rId144" w:history="1">
                        <w:r w:rsidR="00B82BFD" w:rsidRPr="00803DEE">
                          <w:rPr>
                            <w:rStyle w:val="Hyperlink"/>
                            <w:sz w:val="22"/>
                          </w:rPr>
                          <w:t>Social marketing campaigns providing recipes for domestic meat dishes, in Tapauá</w:t>
                        </w:r>
                      </w:hyperlink>
                      <w:r w:rsidR="00B82BFD" w:rsidRPr="00803DEE">
                        <w:rPr>
                          <w:sz w:val="22"/>
                        </w:rPr>
                        <w:t xml:space="preserve">, central Brazilian Amazon, resulted in a 62% reduction in consumption of wild meat (Chaves et al. 2017). </w:t>
                      </w:r>
                    </w:p>
                    <w:p w14:paraId="0A29CFDB" w14:textId="77777777" w:rsidR="00B82BFD" w:rsidRPr="00803DEE" w:rsidRDefault="00B82BFD" w:rsidP="00837F97">
                      <w:pPr>
                        <w:rPr>
                          <w:sz w:val="22"/>
                        </w:rPr>
                      </w:pPr>
                    </w:p>
                    <w:p w14:paraId="0117BC9C" w14:textId="77777777" w:rsidR="00B82BFD" w:rsidRPr="00803DEE" w:rsidRDefault="00B82BFD" w:rsidP="00837F97">
                      <w:pPr>
                        <w:rPr>
                          <w:sz w:val="22"/>
                        </w:rPr>
                      </w:pPr>
                    </w:p>
                    <w:p w14:paraId="06AB5B0E" w14:textId="77777777" w:rsidR="00B82BFD" w:rsidRPr="00803DEE" w:rsidRDefault="00B82BFD" w:rsidP="00837F97">
                      <w:pPr>
                        <w:rPr>
                          <w:sz w:val="22"/>
                        </w:rPr>
                      </w:pPr>
                    </w:p>
                  </w:txbxContent>
                </v:textbox>
                <w10:wrap type="square"/>
              </v:shape>
            </w:pict>
          </mc:Fallback>
        </mc:AlternateContent>
      </w:r>
    </w:p>
    <w:p w14:paraId="6BFEEC32" w14:textId="77777777" w:rsidR="007078FA" w:rsidRPr="00DD65C9" w:rsidRDefault="007078FA" w:rsidP="007078FA">
      <w:pPr>
        <w:rPr>
          <w:b/>
          <w:lang w:val="pt-BR"/>
        </w:rPr>
      </w:pPr>
      <w:r w:rsidRPr="00DD65C9">
        <w:rPr>
          <w:color w:val="000000" w:themeColor="text1"/>
          <w:lang w:val="pt-BR"/>
        </w:rPr>
        <w:t xml:space="preserve">References for Box 10: </w:t>
      </w:r>
      <w:r>
        <w:rPr>
          <w:b/>
        </w:rPr>
        <w:fldChar w:fldCharType="begin" w:fldLock="1"/>
      </w:r>
      <w:r w:rsidRPr="00DD65C9">
        <w:rPr>
          <w:b/>
          <w:lang w:val="pt-BR"/>
        </w:rPr>
        <w:instrText>ADDIN CSL_CITATION {"citationItems":[{"id":"ITEM-1","itemData":{"author":[{"dropping-particle":"","family":"Veríssimo","given":"Diogo","non-dropping-particle":"","parse-names":false,"suffix":""}],"container-title":"Conservation Evidence","id":"ITEM-1","issued":{"date-parts":[["2013"]]},"page":"29-31","title":"Influencing human behaviour: an underutilised tool for biodiversity management","type":"article-journal"},"uris":["http://www.mendeley.com/documents/?uuid=78c0e805-2d59-4ee0-9335-4c9e59f623e8"]},{"id":"ITEM-2","itemData":{"DOI":"10.1111/acv.12396","author":[{"dropping-particle":"","family":"Veríssimo","given":"Diogo","non-dropping-particle":"","parse-names":false,"suffix":""},{"dropping-particle":"","family":"Schmid","given":"C","non-dropping-particle":"","parse-names":false,"suffix":""},{"dropping-particle":"","family":"Kimario","given":"F F","non-dropping-particle":"","parse-names":false,"suffix":""},{"dropping-particle":"","family":"Eves","given":"H E","non-dropping-particle":"","parse-names":false,"suffix":""}],"container-title":"Animal Conservation","id":"ITEM-2","issued":{"date-parts":[["2018"]]},"page":"1-8","title":"Measuring the impact of an entertainment-education intervention to reduce demand for bushmeat","type":"article-journal"},"uris":["http://www.mendeley.com/documents/?uuid=93f14e7b-4e4f-40c5-8106-7f834425b112"]}],"mendeley":{"formattedCitation":"(Veríssimo 2013; Veríssimo et al. 2018)","plainTextFormattedCitation":"(Veríssimo 2013; Veríssimo et al. 2018)","previouslyFormattedCitation":"(Veríssimo 2013; Veríssimo et al. 2018)"},"properties":{"noteIndex":0},"schema":"https://github.com/citation-style-language/schema/raw/master/csl-citation.json"}</w:instrText>
      </w:r>
      <w:r>
        <w:rPr>
          <w:b/>
        </w:rPr>
        <w:fldChar w:fldCharType="separate"/>
      </w:r>
      <w:r w:rsidRPr="00DD65C9">
        <w:rPr>
          <w:noProof/>
          <w:lang w:val="pt-BR"/>
        </w:rPr>
        <w:t>(Veríssimo 2013; Veríssimo et al. 2018)</w:t>
      </w:r>
      <w:r>
        <w:rPr>
          <w:b/>
        </w:rPr>
        <w:fldChar w:fldCharType="end"/>
      </w:r>
    </w:p>
    <w:p w14:paraId="015FBC62" w14:textId="46920CB9" w:rsidR="007078FA" w:rsidRPr="00DD65C9" w:rsidRDefault="007078FA" w:rsidP="00C258BC">
      <w:pPr>
        <w:jc w:val="both"/>
        <w:rPr>
          <w:color w:val="000000" w:themeColor="text1"/>
          <w:lang w:val="pt-BR"/>
        </w:rPr>
      </w:pPr>
    </w:p>
    <w:p w14:paraId="0039FB5C" w14:textId="48901209" w:rsidR="00AF4B00" w:rsidRDefault="00AF4B00" w:rsidP="00DF57F3">
      <w:pPr>
        <w:pStyle w:val="Heading2"/>
        <w:rPr>
          <w:lang w:eastAsia="ja-JP" w:bidi="th-TH"/>
        </w:rPr>
      </w:pPr>
      <w:bookmarkStart w:id="295" w:name="_Toc529390379"/>
      <w:r w:rsidRPr="00320E0C">
        <w:rPr>
          <w:lang w:eastAsia="ja-JP" w:bidi="th-TH"/>
        </w:rPr>
        <w:t xml:space="preserve">Suggested steps for reducing demand </w:t>
      </w:r>
      <w:r>
        <w:rPr>
          <w:lang w:eastAsia="ja-JP" w:bidi="th-TH"/>
        </w:rPr>
        <w:t>for</w:t>
      </w:r>
      <w:r w:rsidRPr="00320E0C">
        <w:rPr>
          <w:lang w:eastAsia="ja-JP" w:bidi="th-TH"/>
        </w:rPr>
        <w:t xml:space="preserve"> wild meat</w:t>
      </w:r>
      <w:bookmarkEnd w:id="295"/>
      <w:r w:rsidRPr="00320E0C">
        <w:rPr>
          <w:lang w:eastAsia="ja-JP" w:bidi="th-TH"/>
        </w:rPr>
        <w:t xml:space="preserve"> </w:t>
      </w:r>
    </w:p>
    <w:p w14:paraId="54E0D6FE" w14:textId="303401C4" w:rsidR="00467E3E" w:rsidRDefault="00151BE7" w:rsidP="00C258BC">
      <w:pPr>
        <w:suppressLineNumbers/>
        <w:suppressAutoHyphens/>
        <w:spacing w:before="120" w:after="120"/>
        <w:jc w:val="both"/>
        <w:rPr>
          <w:rFonts w:eastAsia="Batang"/>
          <w:bCs/>
          <w:iCs/>
          <w:color w:val="000000"/>
          <w:kern w:val="22"/>
          <w:szCs w:val="22"/>
          <w:lang w:eastAsia="ja-JP" w:bidi="th-TH"/>
        </w:rPr>
      </w:pPr>
      <w:r>
        <w:rPr>
          <w:rFonts w:eastAsia="Batang"/>
          <w:bCs/>
          <w:iCs/>
          <w:color w:val="000000"/>
          <w:kern w:val="22"/>
          <w:szCs w:val="22"/>
          <w:lang w:eastAsia="ja-JP" w:bidi="th-TH"/>
        </w:rPr>
        <w:t>With</w:t>
      </w:r>
      <w:r w:rsidR="00467E3E">
        <w:rPr>
          <w:rFonts w:eastAsia="Batang"/>
          <w:bCs/>
          <w:iCs/>
          <w:color w:val="000000"/>
          <w:kern w:val="22"/>
          <w:szCs w:val="22"/>
          <w:lang w:eastAsia="ja-JP" w:bidi="th-TH"/>
        </w:rPr>
        <w:t xml:space="preserve"> growing urban populations, wild meat consumption is </w:t>
      </w:r>
      <w:r>
        <w:rPr>
          <w:rFonts w:eastAsia="Batang"/>
          <w:bCs/>
          <w:iCs/>
          <w:color w:val="000000"/>
          <w:kern w:val="22"/>
          <w:szCs w:val="22"/>
          <w:lang w:eastAsia="ja-JP" w:bidi="th-TH"/>
        </w:rPr>
        <w:t>increasingly</w:t>
      </w:r>
      <w:r w:rsidR="00467E3E">
        <w:rPr>
          <w:rFonts w:eastAsia="Batang"/>
          <w:bCs/>
          <w:iCs/>
          <w:color w:val="000000"/>
          <w:kern w:val="22"/>
          <w:szCs w:val="22"/>
          <w:lang w:eastAsia="ja-JP" w:bidi="th-TH"/>
        </w:rPr>
        <w:t xml:space="preserve"> driven by an urban demand for wild meat, where it is eaten as a preference</w:t>
      </w:r>
      <w:r>
        <w:rPr>
          <w:rFonts w:eastAsia="Batang"/>
          <w:bCs/>
          <w:iCs/>
          <w:color w:val="000000"/>
          <w:kern w:val="22"/>
          <w:szCs w:val="22"/>
          <w:lang w:eastAsia="ja-JP" w:bidi="th-TH"/>
        </w:rPr>
        <w:t>,</w:t>
      </w:r>
      <w:r w:rsidR="00467E3E">
        <w:rPr>
          <w:rFonts w:eastAsia="Batang"/>
          <w:bCs/>
          <w:iCs/>
          <w:color w:val="000000"/>
          <w:kern w:val="22"/>
          <w:szCs w:val="22"/>
          <w:lang w:eastAsia="ja-JP" w:bidi="th-TH"/>
        </w:rPr>
        <w:t xml:space="preserve"> and a reduction in consumption (in most cases) is unlikely to have food security impacts. Reducing demand in urban areas should therefore be a focus. With this in mind, we make the following suggestions:</w:t>
      </w:r>
    </w:p>
    <w:p w14:paraId="46BFE288" w14:textId="1831E257" w:rsidR="00AF4B00" w:rsidRPr="00663FED" w:rsidRDefault="00467E3E" w:rsidP="00C258BC">
      <w:pPr>
        <w:suppressLineNumbers/>
        <w:suppressAutoHyphens/>
        <w:spacing w:before="120" w:after="120"/>
        <w:jc w:val="both"/>
        <w:rPr>
          <w:rFonts w:eastAsia="Batang"/>
          <w:b/>
          <w:bCs/>
          <w:iCs/>
          <w:color w:val="000000"/>
          <w:kern w:val="22"/>
          <w:szCs w:val="22"/>
          <w:lang w:eastAsia="ja-JP" w:bidi="th-TH"/>
        </w:rPr>
      </w:pPr>
      <w:r w:rsidRPr="00467E3E">
        <w:rPr>
          <w:rFonts w:eastAsia="Batang"/>
          <w:b/>
          <w:bCs/>
          <w:iCs/>
          <w:color w:val="000000"/>
          <w:kern w:val="22"/>
          <w:szCs w:val="22"/>
          <w:lang w:eastAsia="ja-JP" w:bidi="th-TH"/>
        </w:rPr>
        <w:t>Use</w:t>
      </w:r>
      <w:r>
        <w:rPr>
          <w:rFonts w:eastAsia="Batang"/>
          <w:bCs/>
          <w:iCs/>
          <w:color w:val="000000"/>
          <w:kern w:val="22"/>
          <w:szCs w:val="22"/>
          <w:lang w:eastAsia="ja-JP" w:bidi="th-TH"/>
        </w:rPr>
        <w:t xml:space="preserve"> </w:t>
      </w:r>
      <w:r w:rsidR="00AF4B00" w:rsidRPr="00663FED">
        <w:rPr>
          <w:rFonts w:eastAsia="Batang"/>
          <w:b/>
          <w:bCs/>
          <w:iCs/>
          <w:color w:val="000000"/>
          <w:kern w:val="22"/>
          <w:szCs w:val="22"/>
          <w:lang w:eastAsia="ja-JP" w:bidi="th-TH"/>
        </w:rPr>
        <w:t>a cross-sectoral approach, in accordance with national circumstances and applicable national legislation</w:t>
      </w:r>
    </w:p>
    <w:p w14:paraId="11F125D7" w14:textId="77777777" w:rsidR="00AF4B00" w:rsidRPr="00320E0C" w:rsidRDefault="00AF4B00" w:rsidP="00C258BC">
      <w:pPr>
        <w:numPr>
          <w:ilvl w:val="6"/>
          <w:numId w:val="32"/>
        </w:numPr>
        <w:suppressLineNumbers/>
        <w:suppressAutoHyphens/>
        <w:spacing w:before="120" w:after="120"/>
        <w:ind w:left="709" w:hanging="720"/>
        <w:jc w:val="both"/>
        <w:rPr>
          <w:rFonts w:eastAsia="Batang"/>
          <w:bCs/>
          <w:iCs/>
          <w:color w:val="000000"/>
          <w:kern w:val="22"/>
          <w:szCs w:val="22"/>
          <w:lang w:eastAsia="ja-JP" w:bidi="th-TH"/>
        </w:rPr>
      </w:pPr>
      <w:r w:rsidRPr="00320E0C">
        <w:rPr>
          <w:rFonts w:eastAsia="Batang"/>
          <w:bCs/>
          <w:iCs/>
          <w:color w:val="000000"/>
          <w:kern w:val="22"/>
          <w:szCs w:val="22"/>
          <w:lang w:eastAsia="ja-JP" w:bidi="th-TH"/>
        </w:rPr>
        <w:t xml:space="preserve">Demand for wild meat is not an isolated environmental issue, and hence demand-reduction strategies should be developed cross-sectorally, with the involvement of government ministries responsible for health, food, agriculture, business, development, economy, finance, infrastructure, and education, as well as those responsible for the environment, and relevant experts in the fields of consumer behaviour change, </w:t>
      </w:r>
      <w:r w:rsidRPr="00320E0C">
        <w:rPr>
          <w:rFonts w:eastAsia="Batang"/>
          <w:bCs/>
          <w:iCs/>
          <w:color w:val="000000"/>
          <w:kern w:val="22"/>
          <w:szCs w:val="22"/>
          <w:lang w:eastAsia="ja-JP" w:bidi="th-TH"/>
        </w:rPr>
        <w:lastRenderedPageBreak/>
        <w:t>including social marketing and behavioural economics, and in conjunction with the private sector and experts in fields that go beyond conservation;</w:t>
      </w:r>
    </w:p>
    <w:p w14:paraId="5F1D3060" w14:textId="752B216F" w:rsidR="00AF4B00" w:rsidRDefault="00AF4B00" w:rsidP="00C258BC">
      <w:pPr>
        <w:numPr>
          <w:ilvl w:val="6"/>
          <w:numId w:val="32"/>
        </w:numPr>
        <w:suppressLineNumbers/>
        <w:suppressAutoHyphens/>
        <w:spacing w:before="120" w:after="120"/>
        <w:ind w:left="709" w:hanging="720"/>
        <w:jc w:val="both"/>
        <w:rPr>
          <w:rFonts w:eastAsia="Batang"/>
          <w:bCs/>
          <w:iCs/>
          <w:color w:val="000000"/>
          <w:kern w:val="22"/>
          <w:szCs w:val="22"/>
          <w:lang w:eastAsia="ja-JP" w:bidi="th-TH"/>
        </w:rPr>
      </w:pPr>
      <w:r w:rsidRPr="00320E0C">
        <w:rPr>
          <w:rFonts w:eastAsia="Batang"/>
          <w:bCs/>
          <w:iCs/>
          <w:color w:val="000000"/>
          <w:kern w:val="22"/>
          <w:szCs w:val="22"/>
          <w:lang w:eastAsia="ja-JP" w:bidi="th-TH"/>
        </w:rPr>
        <w:t xml:space="preserve">Demand-reduction strategies should focus principally on consumers in provincial towns and metropolitan cities, where </w:t>
      </w:r>
      <w:r w:rsidRPr="00320E0C">
        <w:rPr>
          <w:color w:val="000000"/>
          <w:kern w:val="22"/>
          <w:szCs w:val="22"/>
        </w:rPr>
        <w:t xml:space="preserve">a reduction in wild meat consumption can be achieved without impacting livelihoods or land rights. </w:t>
      </w:r>
      <w:r w:rsidRPr="00320E0C">
        <w:rPr>
          <w:rFonts w:eastAsia="Batang"/>
          <w:bCs/>
          <w:iCs/>
          <w:color w:val="000000"/>
          <w:kern w:val="22"/>
          <w:szCs w:val="22"/>
          <w:lang w:eastAsia="ja-JP" w:bidi="th-TH"/>
        </w:rPr>
        <w:t xml:space="preserve">For provincial towns, close to sources of wildlife, a mix of formalization of short value chains based on the hunting of resilient species should be combined with strict enforcement especially for protected/vulnerable species, and the development of locally produced substitutes. For metropolitan cities, far from sources of wildlife, consumption is a </w:t>
      </w:r>
      <w:r w:rsidRPr="00320E0C">
        <w:rPr>
          <w:color w:val="000000"/>
          <w:kern w:val="22"/>
          <w:szCs w:val="22"/>
        </w:rPr>
        <w:t>consumer choice issue that may be best resolved through targeted social marketing to encourage behavioural change</w:t>
      </w:r>
      <w:r w:rsidRPr="00320E0C">
        <w:rPr>
          <w:rFonts w:eastAsia="Batang"/>
          <w:bCs/>
          <w:iCs/>
          <w:color w:val="000000"/>
          <w:kern w:val="22"/>
          <w:szCs w:val="22"/>
          <w:lang w:eastAsia="ja-JP" w:bidi="th-TH"/>
        </w:rPr>
        <w:t>;</w:t>
      </w:r>
    </w:p>
    <w:p w14:paraId="12AEA6B9" w14:textId="47ECB136" w:rsidR="00467E3E" w:rsidRPr="00467E3E" w:rsidRDefault="00467E3E" w:rsidP="00C258BC">
      <w:pPr>
        <w:numPr>
          <w:ilvl w:val="6"/>
          <w:numId w:val="32"/>
        </w:numPr>
        <w:suppressLineNumbers/>
        <w:suppressAutoHyphens/>
        <w:spacing w:before="120" w:after="120"/>
        <w:ind w:left="709" w:hanging="720"/>
        <w:jc w:val="both"/>
        <w:rPr>
          <w:rFonts w:eastAsia="Batang"/>
          <w:bCs/>
          <w:iCs/>
          <w:color w:val="000000"/>
          <w:kern w:val="22"/>
          <w:szCs w:val="22"/>
          <w:lang w:eastAsia="ja-JP" w:bidi="th-TH"/>
        </w:rPr>
      </w:pPr>
      <w:r w:rsidRPr="00320E0C">
        <w:rPr>
          <w:rFonts w:eastAsia="Batang"/>
          <w:bCs/>
          <w:iCs/>
          <w:color w:val="000000"/>
          <w:kern w:val="22"/>
          <w:szCs w:val="22"/>
          <w:lang w:eastAsia="ja-JP" w:bidi="th-TH"/>
        </w:rPr>
        <w:t>The development of effective demand reduction strategies must include the active involvement of the relevant experts in the related fields of consumer behaviour change, including social marke</w:t>
      </w:r>
      <w:r>
        <w:rPr>
          <w:rFonts w:eastAsia="Batang"/>
          <w:bCs/>
          <w:iCs/>
          <w:color w:val="000000"/>
          <w:kern w:val="22"/>
          <w:szCs w:val="22"/>
          <w:lang w:eastAsia="ja-JP" w:bidi="th-TH"/>
        </w:rPr>
        <w:t>ting and behavioural economics;</w:t>
      </w:r>
    </w:p>
    <w:p w14:paraId="7DD5CBBB" w14:textId="77777777" w:rsidR="00AF4B00" w:rsidRPr="00320E0C" w:rsidRDefault="00AF4B00" w:rsidP="00C258BC">
      <w:pPr>
        <w:numPr>
          <w:ilvl w:val="6"/>
          <w:numId w:val="32"/>
        </w:numPr>
        <w:suppressLineNumbers/>
        <w:suppressAutoHyphens/>
        <w:spacing w:before="120" w:after="120"/>
        <w:ind w:left="709" w:hanging="720"/>
        <w:jc w:val="both"/>
        <w:rPr>
          <w:rFonts w:eastAsia="Batang"/>
          <w:bCs/>
          <w:iCs/>
          <w:color w:val="000000"/>
          <w:kern w:val="22"/>
          <w:szCs w:val="22"/>
          <w:lang w:eastAsia="ja-JP" w:bidi="th-TH"/>
        </w:rPr>
      </w:pPr>
      <w:r w:rsidRPr="00320E0C">
        <w:rPr>
          <w:rFonts w:eastAsia="Batang"/>
          <w:bCs/>
          <w:iCs/>
          <w:color w:val="000000"/>
          <w:kern w:val="22"/>
          <w:szCs w:val="22"/>
          <w:lang w:eastAsia="ja-JP" w:bidi="th-TH"/>
        </w:rPr>
        <w:t>Demand-reduction strategies should be informed by research focused on the identification of environmental, economic and cultural drivers, attitudes and motivations that influence consumption of wild meat, in order to develop strategies that also address these important drivers</w:t>
      </w:r>
      <w:r>
        <w:rPr>
          <w:rFonts w:eastAsia="Batang"/>
          <w:bCs/>
          <w:iCs/>
          <w:color w:val="000000"/>
          <w:kern w:val="22"/>
          <w:szCs w:val="22"/>
          <w:lang w:eastAsia="ja-JP" w:bidi="th-TH"/>
        </w:rPr>
        <w:t>;</w:t>
      </w:r>
    </w:p>
    <w:p w14:paraId="6BBA2B0F" w14:textId="77777777" w:rsidR="00AF4B00" w:rsidRDefault="00AF4B00" w:rsidP="00C258BC">
      <w:pPr>
        <w:suppressLineNumbers/>
        <w:suppressAutoHyphens/>
        <w:spacing w:before="120" w:after="120"/>
        <w:jc w:val="both"/>
        <w:rPr>
          <w:rFonts w:eastAsia="Batang"/>
          <w:bCs/>
          <w:iCs/>
          <w:color w:val="000000"/>
          <w:kern w:val="22"/>
          <w:szCs w:val="22"/>
          <w:lang w:eastAsia="ja-JP" w:bidi="th-TH"/>
        </w:rPr>
      </w:pPr>
    </w:p>
    <w:p w14:paraId="113A9ABB" w14:textId="35046478" w:rsidR="00663FED" w:rsidRPr="00320E0C" w:rsidRDefault="00AF4B00" w:rsidP="00C258BC">
      <w:pPr>
        <w:suppressLineNumbers/>
        <w:suppressAutoHyphens/>
        <w:spacing w:before="120" w:after="120"/>
        <w:jc w:val="both"/>
        <w:rPr>
          <w:rFonts w:eastAsia="Batang"/>
          <w:bCs/>
          <w:iCs/>
          <w:color w:val="000000"/>
          <w:kern w:val="22"/>
          <w:szCs w:val="22"/>
          <w:lang w:eastAsia="ja-JP" w:bidi="th-TH"/>
        </w:rPr>
      </w:pPr>
      <w:r w:rsidRPr="00663FED">
        <w:rPr>
          <w:rFonts w:eastAsia="Batang"/>
          <w:b/>
          <w:bCs/>
          <w:iCs/>
          <w:color w:val="000000"/>
          <w:kern w:val="22"/>
          <w:szCs w:val="22"/>
          <w:lang w:eastAsia="ja-JP" w:bidi="th-TH"/>
        </w:rPr>
        <w:t>Increase the availability of sustainably produced and sustainably-harvested substitutes:</w:t>
      </w:r>
    </w:p>
    <w:p w14:paraId="55C91035" w14:textId="6B05A993" w:rsidR="00213651" w:rsidRDefault="00AF4B00" w:rsidP="00C258BC">
      <w:pPr>
        <w:numPr>
          <w:ilvl w:val="6"/>
          <w:numId w:val="33"/>
        </w:numPr>
        <w:suppressLineNumbers/>
        <w:suppressAutoHyphens/>
        <w:spacing w:before="120" w:after="120"/>
        <w:ind w:left="709" w:hanging="720"/>
        <w:jc w:val="both"/>
        <w:rPr>
          <w:rFonts w:eastAsia="Batang"/>
          <w:bCs/>
          <w:iCs/>
          <w:color w:val="000000"/>
          <w:kern w:val="22"/>
          <w:szCs w:val="22"/>
          <w:lang w:eastAsia="ja-JP" w:bidi="th-TH"/>
        </w:rPr>
      </w:pPr>
      <w:r w:rsidRPr="00320E0C">
        <w:rPr>
          <w:rFonts w:eastAsia="Batang"/>
          <w:bCs/>
          <w:iCs/>
          <w:color w:val="000000"/>
          <w:kern w:val="22"/>
          <w:szCs w:val="22"/>
          <w:lang w:eastAsia="ja-JP" w:bidi="th-TH"/>
        </w:rPr>
        <w:t xml:space="preserve">An enabling environment should be </w:t>
      </w:r>
      <w:r w:rsidR="00A479D2" w:rsidRPr="00320E0C">
        <w:rPr>
          <w:rFonts w:eastAsia="Batang"/>
          <w:bCs/>
          <w:iCs/>
          <w:color w:val="000000"/>
          <w:kern w:val="22"/>
          <w:szCs w:val="22"/>
          <w:lang w:eastAsia="ja-JP" w:bidi="th-TH"/>
        </w:rPr>
        <w:t>developed,</w:t>
      </w:r>
      <w:r w:rsidRPr="00320E0C">
        <w:rPr>
          <w:rFonts w:eastAsia="Batang"/>
          <w:bCs/>
          <w:iCs/>
          <w:color w:val="000000"/>
          <w:kern w:val="22"/>
          <w:szCs w:val="22"/>
          <w:lang w:eastAsia="ja-JP" w:bidi="th-TH"/>
        </w:rPr>
        <w:t xml:space="preserve"> and incentives provided to encourage the development of self-sufficient private enterprise and private-public partnerships to supply substitutes, such as sustainably produced chicken, fish and other domestic livestock, in urban settlement</w:t>
      </w:r>
      <w:r w:rsidR="00F15A6D">
        <w:rPr>
          <w:rFonts w:eastAsia="Batang"/>
          <w:bCs/>
          <w:iCs/>
          <w:color w:val="000000"/>
          <w:kern w:val="22"/>
          <w:szCs w:val="22"/>
          <w:lang w:eastAsia="ja-JP" w:bidi="th-TH"/>
        </w:rPr>
        <w:t xml:space="preserve">s which are sufficiently large, </w:t>
      </w:r>
      <w:r w:rsidRPr="00320E0C">
        <w:rPr>
          <w:rFonts w:eastAsia="Batang"/>
          <w:bCs/>
          <w:iCs/>
          <w:color w:val="000000"/>
          <w:kern w:val="22"/>
          <w:szCs w:val="22"/>
          <w:lang w:eastAsia="ja-JP" w:bidi="th-TH"/>
        </w:rPr>
        <w:t>and have a larg</w:t>
      </w:r>
      <w:r w:rsidR="00F15A6D">
        <w:rPr>
          <w:rFonts w:eastAsia="Batang"/>
          <w:bCs/>
          <w:iCs/>
          <w:color w:val="000000"/>
          <w:kern w:val="22"/>
          <w:szCs w:val="22"/>
          <w:lang w:eastAsia="ja-JP" w:bidi="th-TH"/>
        </w:rPr>
        <w:t>e enough customer base</w:t>
      </w:r>
      <w:r w:rsidRPr="00320E0C">
        <w:rPr>
          <w:rFonts w:eastAsia="Batang"/>
          <w:bCs/>
          <w:iCs/>
          <w:color w:val="000000"/>
          <w:kern w:val="22"/>
          <w:szCs w:val="22"/>
          <w:lang w:eastAsia="ja-JP" w:bidi="th-TH"/>
        </w:rPr>
        <w:t>. Assessments must be conducted to ensure that any increase of livestock and fishery production does not have adverse impacts on biodiversity and the environment, and that the production is sustainable;</w:t>
      </w:r>
    </w:p>
    <w:p w14:paraId="127F901E" w14:textId="6B5AA5F7" w:rsidR="00213651" w:rsidRPr="00213651" w:rsidRDefault="00213651" w:rsidP="00C258BC">
      <w:pPr>
        <w:numPr>
          <w:ilvl w:val="6"/>
          <w:numId w:val="33"/>
        </w:numPr>
        <w:suppressLineNumbers/>
        <w:suppressAutoHyphens/>
        <w:spacing w:before="120" w:after="120"/>
        <w:ind w:left="709" w:hanging="720"/>
        <w:jc w:val="both"/>
        <w:rPr>
          <w:rFonts w:eastAsia="Batang"/>
          <w:bCs/>
          <w:iCs/>
          <w:color w:val="000000"/>
          <w:kern w:val="22"/>
          <w:szCs w:val="22"/>
          <w:lang w:eastAsia="ja-JP" w:bidi="th-TH"/>
        </w:rPr>
      </w:pPr>
      <w:r w:rsidRPr="00213651">
        <w:rPr>
          <w:rFonts w:eastAsia="Batang"/>
          <w:bCs/>
          <w:iCs/>
          <w:color w:val="000000"/>
          <w:kern w:val="22"/>
          <w:szCs w:val="22"/>
          <w:lang w:eastAsia="ja-JP" w:bidi="th-TH"/>
        </w:rPr>
        <w:t xml:space="preserve">Promotion of responsible consumption of certified sustainably-sourced wild meat, since certification has the potential to contribute to the conservation and sustainable use of wild species by influencing consumer choices for sustainably-sourced products. </w:t>
      </w:r>
    </w:p>
    <w:p w14:paraId="101CD959" w14:textId="27046943" w:rsidR="00213651" w:rsidRPr="00213651" w:rsidRDefault="00AF4B00" w:rsidP="00C258BC">
      <w:pPr>
        <w:numPr>
          <w:ilvl w:val="6"/>
          <w:numId w:val="35"/>
        </w:numPr>
        <w:suppressLineNumbers/>
        <w:suppressAutoHyphens/>
        <w:spacing w:before="120" w:after="120"/>
        <w:ind w:left="709" w:hanging="720"/>
        <w:jc w:val="both"/>
        <w:rPr>
          <w:rFonts w:eastAsia="Batang"/>
          <w:b/>
          <w:bCs/>
          <w:iCs/>
          <w:color w:val="000000"/>
          <w:kern w:val="22"/>
          <w:szCs w:val="22"/>
          <w:lang w:eastAsia="ja-JP" w:bidi="th-TH"/>
        </w:rPr>
      </w:pPr>
      <w:r w:rsidRPr="00320E0C">
        <w:rPr>
          <w:rFonts w:eastAsia="Batang"/>
          <w:bCs/>
          <w:iCs/>
          <w:color w:val="000000"/>
          <w:kern w:val="22"/>
          <w:szCs w:val="22"/>
          <w:lang w:eastAsia="ja-JP" w:bidi="th-TH"/>
        </w:rPr>
        <w:t>Extractive and infrastructure industries that house their employees in close proximity to sources of wildlife should be required to ensure that their employees comply with applicable regulation concerning hunting of wild meat species and, where appropriate, have access to affordable and sustainably produced / sustainably-harvested sources of protein from livestock or sustainable system crops, sustainably and preferably domestically produced;</w:t>
      </w:r>
    </w:p>
    <w:p w14:paraId="4FF1381C" w14:textId="77777777" w:rsidR="00AF4B00" w:rsidRDefault="00AF4B00" w:rsidP="00C258BC">
      <w:pPr>
        <w:suppressLineNumbers/>
        <w:suppressAutoHyphens/>
        <w:spacing w:before="120" w:after="120"/>
        <w:ind w:left="-11"/>
        <w:jc w:val="both"/>
        <w:rPr>
          <w:rFonts w:eastAsia="Batang"/>
          <w:b/>
          <w:bCs/>
          <w:iCs/>
          <w:color w:val="000000"/>
          <w:kern w:val="22"/>
          <w:szCs w:val="22"/>
          <w:lang w:eastAsia="ja-JP" w:bidi="th-TH"/>
        </w:rPr>
      </w:pPr>
    </w:p>
    <w:p w14:paraId="26C03BDE" w14:textId="152BE4B2" w:rsidR="00AF4B00" w:rsidRPr="00663FED" w:rsidRDefault="00AF4B00" w:rsidP="00C258BC">
      <w:pPr>
        <w:suppressLineNumbers/>
        <w:suppressAutoHyphens/>
        <w:spacing w:before="120" w:after="120"/>
        <w:ind w:left="-11"/>
        <w:jc w:val="both"/>
        <w:rPr>
          <w:rFonts w:eastAsia="Batang"/>
          <w:b/>
          <w:bCs/>
          <w:iCs/>
          <w:color w:val="000000"/>
          <w:kern w:val="22"/>
          <w:szCs w:val="22"/>
          <w:lang w:eastAsia="ja-JP" w:bidi="th-TH"/>
        </w:rPr>
      </w:pPr>
      <w:r w:rsidRPr="00663FED">
        <w:rPr>
          <w:rFonts w:eastAsia="Batang"/>
          <w:b/>
          <w:bCs/>
          <w:iCs/>
          <w:color w:val="000000"/>
          <w:kern w:val="22"/>
          <w:szCs w:val="22"/>
          <w:lang w:eastAsia="ja-JP" w:bidi="th-TH"/>
        </w:rPr>
        <w:t>Decrease the availability and demand for unsustainably produced wild meat:</w:t>
      </w:r>
    </w:p>
    <w:p w14:paraId="37C571C4" w14:textId="49A579E1" w:rsidR="00AF4B00" w:rsidRPr="00320E0C" w:rsidRDefault="00AF4B00" w:rsidP="00C258BC">
      <w:pPr>
        <w:numPr>
          <w:ilvl w:val="6"/>
          <w:numId w:val="34"/>
        </w:numPr>
        <w:suppressLineNumbers/>
        <w:suppressAutoHyphens/>
        <w:spacing w:before="120" w:after="120"/>
        <w:ind w:left="709" w:hanging="720"/>
        <w:jc w:val="both"/>
        <w:rPr>
          <w:rFonts w:eastAsia="Batang"/>
          <w:b/>
          <w:bCs/>
          <w:iCs/>
          <w:color w:val="000000"/>
          <w:kern w:val="22"/>
          <w:szCs w:val="22"/>
          <w:lang w:eastAsia="ja-JP" w:bidi="th-TH"/>
        </w:rPr>
      </w:pPr>
      <w:r w:rsidRPr="00320E0C">
        <w:rPr>
          <w:rFonts w:eastAsia="Batang"/>
          <w:bCs/>
          <w:iCs/>
          <w:color w:val="000000"/>
          <w:kern w:val="22"/>
          <w:szCs w:val="22"/>
          <w:lang w:eastAsia="ja-JP" w:bidi="th-TH"/>
        </w:rPr>
        <w:t>Targeted media campaigning (based on an understanding of the drivers of consumption and relevant substitutes), including the use of social media, in urban towns and cities should be used to inform citizens on issues pertaining to wild meat consumption, including wildlife conservation, human health issues, conservation impact, wildlife laws and available sustainably produced/</w:t>
      </w:r>
      <w:r w:rsidRPr="00320E0C">
        <w:rPr>
          <w:kern w:val="22"/>
          <w:szCs w:val="22"/>
        </w:rPr>
        <w:t xml:space="preserve"> </w:t>
      </w:r>
      <w:r w:rsidRPr="00320E0C">
        <w:rPr>
          <w:rFonts w:eastAsia="Batang"/>
          <w:bCs/>
          <w:iCs/>
          <w:color w:val="000000"/>
          <w:kern w:val="22"/>
          <w:szCs w:val="22"/>
          <w:lang w:eastAsia="ja-JP" w:bidi="th-TH"/>
        </w:rPr>
        <w:t>sustainably-harvested substitutes, with the aim of changing consumer behaviour. Campaigns should be designed based on a clear understanding of the consumers, drivers, and substitutes in the areas to be targeted</w:t>
      </w:r>
      <w:r w:rsidR="00A843D9">
        <w:rPr>
          <w:rFonts w:eastAsia="Batang"/>
          <w:bCs/>
          <w:iCs/>
          <w:color w:val="000000"/>
          <w:kern w:val="22"/>
          <w:szCs w:val="22"/>
          <w:lang w:eastAsia="ja-JP" w:bidi="th-TH"/>
        </w:rPr>
        <w:t xml:space="preserve">. To </w:t>
      </w:r>
      <w:r w:rsidR="00A843D9">
        <w:rPr>
          <w:rFonts w:eastAsia="Batang"/>
          <w:bCs/>
          <w:iCs/>
          <w:color w:val="000000"/>
          <w:kern w:val="22"/>
          <w:szCs w:val="22"/>
          <w:lang w:eastAsia="ja-JP" w:bidi="th-TH"/>
        </w:rPr>
        <w:lastRenderedPageBreak/>
        <w:t xml:space="preserve">evaluate campaign impacts and enable adaptive management, a monitoring and evaluation program should be </w:t>
      </w:r>
      <w:r w:rsidR="00A479D2">
        <w:rPr>
          <w:rFonts w:eastAsia="Batang"/>
          <w:bCs/>
          <w:iCs/>
          <w:color w:val="000000"/>
          <w:kern w:val="22"/>
          <w:szCs w:val="22"/>
          <w:lang w:eastAsia="ja-JP" w:bidi="th-TH"/>
        </w:rPr>
        <w:t>incorporated</w:t>
      </w:r>
      <w:r w:rsidR="00A843D9">
        <w:rPr>
          <w:rFonts w:eastAsia="Batang"/>
          <w:bCs/>
          <w:iCs/>
          <w:color w:val="000000"/>
          <w:kern w:val="22"/>
          <w:szCs w:val="22"/>
          <w:lang w:eastAsia="ja-JP" w:bidi="th-TH"/>
        </w:rPr>
        <w:t xml:space="preserve"> from the outset</w:t>
      </w:r>
      <w:r w:rsidRPr="00320E0C">
        <w:rPr>
          <w:rFonts w:eastAsia="Batang"/>
          <w:bCs/>
          <w:iCs/>
          <w:color w:val="000000"/>
          <w:kern w:val="22"/>
          <w:szCs w:val="22"/>
          <w:lang w:eastAsia="ja-JP" w:bidi="th-TH"/>
        </w:rPr>
        <w:t>;</w:t>
      </w:r>
    </w:p>
    <w:p w14:paraId="08FAE836" w14:textId="59569038" w:rsidR="00AF4B00" w:rsidRDefault="00AF4B00" w:rsidP="00C258BC">
      <w:pPr>
        <w:numPr>
          <w:ilvl w:val="6"/>
          <w:numId w:val="34"/>
        </w:numPr>
        <w:suppressLineNumbers/>
        <w:suppressAutoHyphens/>
        <w:spacing w:before="120" w:after="120"/>
        <w:ind w:left="709" w:hanging="720"/>
        <w:jc w:val="both"/>
        <w:rPr>
          <w:rFonts w:eastAsia="Batang"/>
          <w:bCs/>
          <w:iCs/>
          <w:color w:val="000000"/>
          <w:kern w:val="22"/>
          <w:szCs w:val="22"/>
          <w:lang w:eastAsia="ja-JP" w:bidi="th-TH"/>
        </w:rPr>
      </w:pPr>
      <w:r w:rsidRPr="00320E0C">
        <w:rPr>
          <w:rFonts w:eastAsia="Batang"/>
          <w:bCs/>
          <w:iCs/>
          <w:color w:val="000000"/>
          <w:kern w:val="22"/>
          <w:szCs w:val="22"/>
          <w:lang w:eastAsia="ja-JP" w:bidi="th-TH"/>
        </w:rPr>
        <w:t>Wildlife laws governing th</w:t>
      </w:r>
      <w:r w:rsidR="00F15A6D">
        <w:rPr>
          <w:rFonts w:eastAsia="Batang"/>
          <w:bCs/>
          <w:iCs/>
          <w:color w:val="000000"/>
          <w:kern w:val="22"/>
          <w:szCs w:val="22"/>
          <w:lang w:eastAsia="ja-JP" w:bidi="th-TH"/>
        </w:rPr>
        <w:t xml:space="preserve">e trade and sales of wild meat </w:t>
      </w:r>
      <w:r w:rsidRPr="00320E0C">
        <w:rPr>
          <w:rFonts w:eastAsia="Batang"/>
          <w:bCs/>
          <w:iCs/>
          <w:color w:val="000000"/>
          <w:kern w:val="22"/>
          <w:szCs w:val="22"/>
          <w:lang w:eastAsia="ja-JP" w:bidi="th-TH"/>
        </w:rPr>
        <w:t xml:space="preserve">should be developed and applied in provincial </w:t>
      </w:r>
      <w:r w:rsidR="00F15A6D">
        <w:rPr>
          <w:rFonts w:eastAsia="Batang"/>
          <w:bCs/>
          <w:iCs/>
          <w:color w:val="000000"/>
          <w:kern w:val="22"/>
          <w:szCs w:val="22"/>
          <w:lang w:eastAsia="ja-JP" w:bidi="th-TH"/>
        </w:rPr>
        <w:t>towns, cities and villages</w:t>
      </w:r>
      <w:r w:rsidRPr="00320E0C">
        <w:rPr>
          <w:rFonts w:eastAsia="Batang"/>
          <w:bCs/>
          <w:iCs/>
          <w:color w:val="000000"/>
          <w:kern w:val="22"/>
          <w:szCs w:val="22"/>
          <w:lang w:eastAsia="ja-JP" w:bidi="th-TH"/>
        </w:rPr>
        <w:t xml:space="preserve"> to encourage legal, sustainable and traceable trade, and provide a disincentive to illegal traders.</w:t>
      </w:r>
      <w:r w:rsidR="00F15A6D">
        <w:rPr>
          <w:rFonts w:eastAsia="Batang"/>
          <w:bCs/>
          <w:iCs/>
          <w:color w:val="000000"/>
          <w:kern w:val="22"/>
          <w:szCs w:val="22"/>
          <w:lang w:eastAsia="ja-JP" w:bidi="th-TH"/>
        </w:rPr>
        <w:t xml:space="preserve"> These laws should be should be </w:t>
      </w:r>
      <w:r w:rsidR="00F15A6D" w:rsidRPr="00320E0C">
        <w:rPr>
          <w:rFonts w:eastAsia="Batang"/>
          <w:bCs/>
          <w:iCs/>
          <w:color w:val="000000"/>
          <w:kern w:val="22"/>
          <w:szCs w:val="22"/>
          <w:lang w:eastAsia="ja-JP" w:bidi="th-TH"/>
        </w:rPr>
        <w:t>relevant, u</w:t>
      </w:r>
      <w:r w:rsidR="00F15A6D">
        <w:rPr>
          <w:rFonts w:eastAsia="Batang"/>
          <w:bCs/>
          <w:iCs/>
          <w:color w:val="000000"/>
          <w:kern w:val="22"/>
          <w:szCs w:val="22"/>
          <w:lang w:eastAsia="ja-JP" w:bidi="th-TH"/>
        </w:rPr>
        <w:t xml:space="preserve">nderstandable and enforceable. </w:t>
      </w:r>
      <w:r w:rsidRPr="00320E0C">
        <w:rPr>
          <w:rFonts w:eastAsia="Batang"/>
          <w:bCs/>
          <w:iCs/>
          <w:color w:val="000000"/>
          <w:kern w:val="22"/>
          <w:szCs w:val="22"/>
          <w:lang w:eastAsia="ja-JP" w:bidi="th-TH"/>
        </w:rPr>
        <w:t xml:space="preserve">Prior assessments should be conducted in order to determine if increasing prices will increase demand in certain luxury markets and/or </w:t>
      </w:r>
      <w:r w:rsidR="00467E3E">
        <w:rPr>
          <w:rFonts w:eastAsia="Batang"/>
          <w:bCs/>
          <w:iCs/>
          <w:color w:val="000000"/>
          <w:kern w:val="22"/>
          <w:szCs w:val="22"/>
          <w:lang w:eastAsia="ja-JP" w:bidi="th-TH"/>
        </w:rPr>
        <w:t>lead to increased illegal trade.</w:t>
      </w:r>
    </w:p>
    <w:p w14:paraId="2FEAF52F" w14:textId="77777777" w:rsidR="00533A09" w:rsidRPr="00467E3E" w:rsidRDefault="00533A09" w:rsidP="00C258BC">
      <w:pPr>
        <w:numPr>
          <w:ilvl w:val="6"/>
          <w:numId w:val="34"/>
        </w:numPr>
        <w:suppressLineNumbers/>
        <w:suppressAutoHyphens/>
        <w:spacing w:before="120" w:after="120"/>
        <w:ind w:left="709" w:hanging="720"/>
        <w:jc w:val="both"/>
        <w:rPr>
          <w:rFonts w:eastAsia="Batang"/>
          <w:bCs/>
          <w:iCs/>
          <w:color w:val="000000"/>
          <w:kern w:val="22"/>
          <w:szCs w:val="22"/>
          <w:lang w:eastAsia="ja-JP" w:bidi="th-TH"/>
        </w:rPr>
        <w:sectPr w:rsidR="00533A09" w:rsidRPr="00467E3E">
          <w:pgSz w:w="11906" w:h="16838"/>
          <w:pgMar w:top="1440" w:right="1440" w:bottom="1440" w:left="1440" w:header="708" w:footer="708" w:gutter="0"/>
          <w:cols w:space="708"/>
          <w:docGrid w:linePitch="360"/>
        </w:sectPr>
      </w:pPr>
    </w:p>
    <w:p w14:paraId="05D7B9B0" w14:textId="77777777" w:rsidR="00CD659F" w:rsidRPr="004904D8" w:rsidRDefault="00CD659F" w:rsidP="00DF57F3">
      <w:pPr>
        <w:pStyle w:val="Heading2"/>
      </w:pPr>
    </w:p>
    <w:p w14:paraId="638DA384" w14:textId="2C833A94" w:rsidR="008B7903" w:rsidRDefault="008B7903" w:rsidP="00DF57F3">
      <w:pPr>
        <w:pStyle w:val="Heading1"/>
      </w:pPr>
      <w:bookmarkStart w:id="296" w:name="_Toc517693761"/>
      <w:bookmarkStart w:id="297" w:name="_Ref518893085"/>
      <w:bookmarkStart w:id="298" w:name="_Toc519156107"/>
      <w:bookmarkStart w:id="299" w:name="_Ref520377911"/>
      <w:bookmarkStart w:id="300" w:name="_Toc529390380"/>
      <w:bookmarkStart w:id="301" w:name="_Toc517693779"/>
      <w:bookmarkStart w:id="302" w:name="_Toc519156125"/>
      <w:r w:rsidRPr="00785A38">
        <w:t xml:space="preserve">DESIGNING AND APPLYING </w:t>
      </w:r>
      <w:bookmarkEnd w:id="296"/>
      <w:bookmarkEnd w:id="297"/>
      <w:bookmarkEnd w:id="298"/>
      <w:r>
        <w:t>INTERVENTIONS</w:t>
      </w:r>
      <w:bookmarkEnd w:id="299"/>
      <w:bookmarkEnd w:id="300"/>
    </w:p>
    <w:p w14:paraId="2584A48B" w14:textId="6EBC474D" w:rsidR="007D1A14" w:rsidRPr="007D1A14" w:rsidRDefault="007D1A14" w:rsidP="00C258BC">
      <w:pPr>
        <w:jc w:val="both"/>
        <w:rPr>
          <w:lang w:val="en-US"/>
        </w:rPr>
      </w:pPr>
      <w:r>
        <w:rPr>
          <w:lang w:val="en-US"/>
        </w:rPr>
        <w:t xml:space="preserve">The previous two </w:t>
      </w:r>
      <w:r w:rsidR="00A479D2">
        <w:rPr>
          <w:lang w:val="en-US"/>
        </w:rPr>
        <w:t>chapters</w:t>
      </w:r>
      <w:r>
        <w:rPr>
          <w:lang w:val="en-US"/>
        </w:rPr>
        <w:t xml:space="preserve"> highlight that a range of approaches have been employed with the aim of sustainably managing wildmeat supply and demand. However, these sections also highlight </w:t>
      </w:r>
      <w:r w:rsidR="00923017">
        <w:rPr>
          <w:lang w:val="en-US"/>
        </w:rPr>
        <w:t>a lack of evidence of the impacts of these different interventions. While best-practice guidelines for conservation projects are widely available, there is concern that many projects are still not applying these guidelines, and this is likely to be reducing their effectiveness. In this section we briefly outline some of the key and widely agreed-</w:t>
      </w:r>
      <w:r w:rsidR="00A479D2">
        <w:rPr>
          <w:lang w:val="en-US"/>
        </w:rPr>
        <w:t>upon</w:t>
      </w:r>
      <w:r w:rsidR="00923017">
        <w:rPr>
          <w:lang w:val="en-US"/>
        </w:rPr>
        <w:t xml:space="preserve"> elements of best practice for wild meat management projects, especially where they involve local and indigenous communities. We cover community engagement and consent, the collection of baseline information with which to </w:t>
      </w:r>
      <w:r w:rsidR="00A479D2">
        <w:rPr>
          <w:lang w:val="en-US"/>
        </w:rPr>
        <w:t>choose</w:t>
      </w:r>
      <w:r w:rsidR="00923017">
        <w:rPr>
          <w:lang w:val="en-US"/>
        </w:rPr>
        <w:t xml:space="preserve"> interventions and build a theory of change, and the importance of monitoring and evaluation for adaptive management, providing links to useful guidelines and methodologies. </w:t>
      </w:r>
    </w:p>
    <w:p w14:paraId="4BC6F437" w14:textId="77777777" w:rsidR="008B7903" w:rsidRDefault="008B7903" w:rsidP="00DF57F3">
      <w:pPr>
        <w:pStyle w:val="Heading2"/>
      </w:pPr>
      <w:bookmarkStart w:id="303" w:name="_Toc519156108"/>
      <w:bookmarkStart w:id="304" w:name="_Ref520204626"/>
      <w:bookmarkStart w:id="305" w:name="_Toc529390381"/>
      <w:r>
        <w:t>P</w:t>
      </w:r>
      <w:r w:rsidRPr="0070404D">
        <w:t xml:space="preserve">articipation, equity, </w:t>
      </w:r>
      <w:r w:rsidRPr="004904D8">
        <w:t>and consent</w:t>
      </w:r>
      <w:bookmarkEnd w:id="303"/>
      <w:bookmarkEnd w:id="304"/>
      <w:bookmarkEnd w:id="305"/>
      <w:r w:rsidRPr="0070404D">
        <w:t xml:space="preserve"> </w:t>
      </w:r>
    </w:p>
    <w:p w14:paraId="0871DD83" w14:textId="5697BDEA" w:rsidR="00FF3819" w:rsidRPr="00FF3819" w:rsidRDefault="00C23D27" w:rsidP="001C1D6E">
      <w:pPr>
        <w:pStyle w:val="Heading3"/>
      </w:pPr>
      <w:r>
        <w:t>Active</w:t>
      </w:r>
      <w:r w:rsidR="00FF3819">
        <w:t xml:space="preserve"> community participation</w:t>
      </w:r>
    </w:p>
    <w:p w14:paraId="1F8E1E3B" w14:textId="2DB835F2" w:rsidR="008D7B09" w:rsidRDefault="002616F9" w:rsidP="00C258BC">
      <w:pPr>
        <w:jc w:val="both"/>
      </w:pPr>
      <w:r w:rsidRPr="002616F9">
        <w:t>The</w:t>
      </w:r>
      <w:r>
        <w:t xml:space="preserve">re is now </w:t>
      </w:r>
      <w:r w:rsidR="00C23D27">
        <w:t xml:space="preserve">a </w:t>
      </w:r>
      <w:r w:rsidR="00A336C5">
        <w:t>common</w:t>
      </w:r>
      <w:r w:rsidRPr="002616F9">
        <w:t xml:space="preserve"> recognition that conserving wildlife is best done with the support and engagement of the communities living with wildlife</w:t>
      </w:r>
      <w:r>
        <w:t xml:space="preserve"> (Section</w:t>
      </w:r>
      <w:r w:rsidR="00A843D9">
        <w:t xml:space="preserve"> </w:t>
      </w:r>
      <w:r w:rsidR="00A843D9">
        <w:fldChar w:fldCharType="begin"/>
      </w:r>
      <w:r w:rsidR="00A843D9">
        <w:instrText xml:space="preserve"> REF _Ref528416137 \r \h </w:instrText>
      </w:r>
      <w:r w:rsidR="00A843D9">
        <w:fldChar w:fldCharType="separate"/>
      </w:r>
      <w:r w:rsidR="007034F1">
        <w:t>8.1</w:t>
      </w:r>
      <w:r w:rsidR="00A843D9">
        <w:fldChar w:fldCharType="end"/>
      </w:r>
      <w:r>
        <w:t>).</w:t>
      </w:r>
      <w:r w:rsidR="00A336C5">
        <w:t xml:space="preserve"> </w:t>
      </w:r>
      <w:r w:rsidR="00C23D27">
        <w:t>Yet</w:t>
      </w:r>
      <w:r>
        <w:t xml:space="preserve">, </w:t>
      </w:r>
      <w:r w:rsidR="00A336C5">
        <w:t xml:space="preserve">the </w:t>
      </w:r>
      <w:r w:rsidR="00A843D9">
        <w:t>understanding of what</w:t>
      </w:r>
      <w:r w:rsidR="00C23D27">
        <w:t xml:space="preserve"> community engagement</w:t>
      </w:r>
      <w:r w:rsidR="00A843D9">
        <w:t xml:space="preserve"> entails</w:t>
      </w:r>
      <w:r w:rsidR="00A336C5">
        <w:t xml:space="preserve"> varies enormously. C</w:t>
      </w:r>
      <w:r w:rsidR="0011666E" w:rsidRPr="0011666E">
        <w:t xml:space="preserve">ommunity involvement </w:t>
      </w:r>
      <w:r w:rsidR="00C23D27">
        <w:t xml:space="preserve">can be described </w:t>
      </w:r>
      <w:r w:rsidR="0011666E" w:rsidRPr="0011666E">
        <w:t>along a spectrum</w:t>
      </w:r>
      <w:r w:rsidR="00F15A6D">
        <w:t>, beginning with</w:t>
      </w:r>
      <w:r w:rsidR="0011666E" w:rsidRPr="0011666E">
        <w:t xml:space="preserve"> passive</w:t>
      </w:r>
      <w:r w:rsidR="008D7B09">
        <w:t xml:space="preserve"> (i.e. participating in a conservation project that has already been designed, or participation in decision-making only after the main phase of project design is completed)</w:t>
      </w:r>
      <w:r w:rsidR="0011666E" w:rsidRPr="0011666E">
        <w:t xml:space="preserve">, through </w:t>
      </w:r>
      <w:r w:rsidR="008D7B09">
        <w:t xml:space="preserve">to </w:t>
      </w:r>
      <w:r w:rsidR="0011666E" w:rsidRPr="0011666E">
        <w:t>active</w:t>
      </w:r>
      <w:r w:rsidR="008D7B09">
        <w:t xml:space="preserve"> (</w:t>
      </w:r>
      <w:r w:rsidR="00D85930">
        <w:t>i.e.</w:t>
      </w:r>
      <w:r w:rsidR="008D7B09">
        <w:t xml:space="preserve"> involved in joint decision-making)</w:t>
      </w:r>
      <w:r w:rsidR="0011666E" w:rsidRPr="0011666E">
        <w:t xml:space="preserve">, and </w:t>
      </w:r>
      <w:r w:rsidR="0011666E" w:rsidRPr="007078FA">
        <w:t>fin</w:t>
      </w:r>
      <w:r w:rsidR="008D7B09" w:rsidRPr="007078FA">
        <w:t>ally to full (i.e. where the communities set up and managed the project with no external help)</w:t>
      </w:r>
      <w:r w:rsidR="00C23D27" w:rsidRPr="007078FA">
        <w:t xml:space="preserve"> (</w:t>
      </w:r>
      <w:r w:rsidR="008A5A93" w:rsidRPr="007078FA">
        <w:fldChar w:fldCharType="begin"/>
      </w:r>
      <w:r w:rsidR="008A5A93" w:rsidRPr="007078FA">
        <w:instrText xml:space="preserve"> REF _Ref519694272 \h </w:instrText>
      </w:r>
      <w:r w:rsidR="000C41C6" w:rsidRPr="007078FA">
        <w:instrText xml:space="preserve"> \* MERGEFORMAT </w:instrText>
      </w:r>
      <w:r w:rsidR="008A5A93" w:rsidRPr="007078FA">
        <w:fldChar w:fldCharType="separate"/>
      </w:r>
      <w:r w:rsidR="007034F1" w:rsidRPr="007078FA">
        <w:t xml:space="preserve">Table </w:t>
      </w:r>
      <w:r w:rsidR="007034F1" w:rsidRPr="007078FA">
        <w:rPr>
          <w:noProof/>
        </w:rPr>
        <w:t>6</w:t>
      </w:r>
      <w:r w:rsidR="008A5A93" w:rsidRPr="007078FA">
        <w:fldChar w:fldCharType="end"/>
      </w:r>
      <w:r w:rsidR="00A336C5" w:rsidRPr="007078FA">
        <w:t>)</w:t>
      </w:r>
      <w:r w:rsidR="00FF3819" w:rsidRPr="007078FA">
        <w:t>.</w:t>
      </w:r>
      <w:r w:rsidR="00FF3819">
        <w:t xml:space="preserve"> </w:t>
      </w:r>
      <w:r w:rsidR="008D7B09">
        <w:t xml:space="preserve">There are many benefits of actively </w:t>
      </w:r>
      <w:r w:rsidR="004B1503">
        <w:t xml:space="preserve">involving </w:t>
      </w:r>
      <w:r w:rsidR="008D7B09">
        <w:t xml:space="preserve">communities from the inception of conservation projects, such as the inclusion of local community knowledge, ensuring that projects are locally appropriate and relevant, and tailored to local needs, fostering </w:t>
      </w:r>
      <w:r w:rsidR="00C23D27">
        <w:t>community</w:t>
      </w:r>
      <w:r w:rsidR="008D7B09">
        <w:t xml:space="preserve"> support and ownership, and increasing the potent</w:t>
      </w:r>
      <w:r w:rsidR="00837F97">
        <w:t>ial for project sustainability</w:t>
      </w:r>
      <w:r w:rsidR="008D7B09">
        <w:t xml:space="preserve">. However, </w:t>
      </w:r>
      <w:r w:rsidR="00C23D27">
        <w:t xml:space="preserve">previously </w:t>
      </w:r>
      <w:r w:rsidR="008D7B09">
        <w:t>t</w:t>
      </w:r>
      <w:r w:rsidR="00FF3819">
        <w:t>oo many conservation</w:t>
      </w:r>
      <w:r w:rsidR="008D7B09">
        <w:t xml:space="preserve"> and development</w:t>
      </w:r>
      <w:r w:rsidR="00FF3819">
        <w:t xml:space="preserve"> projects have tended towards passive participation</w:t>
      </w:r>
      <w:r w:rsidR="008D7B09">
        <w:t>.</w:t>
      </w:r>
      <w:r w:rsidR="00B361FD">
        <w:t xml:space="preserve"> Engagement and active involvement of local</w:t>
      </w:r>
      <w:r w:rsidR="001F17EE">
        <w:t xml:space="preserve"> communities and other stakeholders</w:t>
      </w:r>
      <w:r w:rsidR="00B361FD">
        <w:t xml:space="preserve"> should be the priority</w:t>
      </w:r>
      <w:r w:rsidR="001F17EE">
        <w:t xml:space="preserve"> at the inception phase of</w:t>
      </w:r>
      <w:r w:rsidR="00FF3819">
        <w:t xml:space="preserve"> </w:t>
      </w:r>
      <w:r w:rsidR="00B361FD">
        <w:t>a</w:t>
      </w:r>
      <w:r w:rsidR="00FF3819">
        <w:t xml:space="preserve"> project, </w:t>
      </w:r>
      <w:r w:rsidR="00B361FD">
        <w:t>and</w:t>
      </w:r>
      <w:r w:rsidR="00FF3819">
        <w:t xml:space="preserve"> active </w:t>
      </w:r>
      <w:r w:rsidR="00D85930">
        <w:t>participation</w:t>
      </w:r>
      <w:r w:rsidR="00B361FD">
        <w:t xml:space="preserve"> should be an aim</w:t>
      </w:r>
      <w:r w:rsidR="00FF3819">
        <w:t xml:space="preserve"> at all stages of the project timeline. </w:t>
      </w:r>
    </w:p>
    <w:p w14:paraId="3D40CB4E" w14:textId="38573BAD" w:rsidR="00FF3819" w:rsidRDefault="00D85930" w:rsidP="001C1D6E">
      <w:pPr>
        <w:pStyle w:val="Heading3"/>
      </w:pPr>
      <w:r>
        <w:t>Procedural</w:t>
      </w:r>
      <w:r w:rsidR="00FF3819">
        <w:t xml:space="preserve"> and distributive equity in project de</w:t>
      </w:r>
      <w:r w:rsidR="005F060A">
        <w:t>s</w:t>
      </w:r>
      <w:r w:rsidR="00FF3819">
        <w:t>ign and implementation</w:t>
      </w:r>
    </w:p>
    <w:p w14:paraId="7FB8E27B" w14:textId="56025B32" w:rsidR="008B7903" w:rsidRDefault="00DC6414" w:rsidP="00C258BC">
      <w:pPr>
        <w:jc w:val="both"/>
      </w:pPr>
      <w:r>
        <w:t xml:space="preserve">The concept of ‘equity’ </w:t>
      </w:r>
      <w:r w:rsidR="0036309E">
        <w:t>speaks to the ideas of fairness, justice</w:t>
      </w:r>
      <w:r w:rsidR="00783E49">
        <w:t>, equality</w:t>
      </w:r>
      <w:r w:rsidR="0036309E">
        <w:t xml:space="preserve"> and </w:t>
      </w:r>
      <w:r w:rsidR="00D85930">
        <w:t>impartiality</w:t>
      </w:r>
      <w:r w:rsidR="0036309E">
        <w:t xml:space="preserve">. While recognition of the importance of equity in conservation and development interventions is increasing, </w:t>
      </w:r>
      <w:r w:rsidR="00074B93">
        <w:t xml:space="preserve">practically </w:t>
      </w:r>
      <w:r w:rsidR="00D85930">
        <w:t>incorporating</w:t>
      </w:r>
      <w:r w:rsidR="00233AAA">
        <w:t xml:space="preserve"> the idea of equity </w:t>
      </w:r>
      <w:r w:rsidR="00D85930">
        <w:t>into</w:t>
      </w:r>
      <w:r w:rsidR="00233AAA">
        <w:t xml:space="preserve"> project design </w:t>
      </w:r>
      <w:r w:rsidR="00074B93">
        <w:t>is often held back</w:t>
      </w:r>
      <w:r w:rsidR="0036309E">
        <w:t xml:space="preserve"> by</w:t>
      </w:r>
      <w:r w:rsidR="0036309E" w:rsidRPr="0036309E">
        <w:t xml:space="preserve"> differing understandings of what equity means </w:t>
      </w:r>
      <w:r w:rsidR="0036309E">
        <w:t>and how to advance it.</w:t>
      </w:r>
      <w:r w:rsidR="00D9537B">
        <w:t xml:space="preserve"> </w:t>
      </w:r>
      <w:r w:rsidR="00233AAA">
        <w:t xml:space="preserve">To help conservation and </w:t>
      </w:r>
      <w:r w:rsidR="00D85930">
        <w:t>development</w:t>
      </w:r>
      <w:r w:rsidR="00233AAA">
        <w:t xml:space="preserve"> </w:t>
      </w:r>
      <w:r w:rsidR="00D85930">
        <w:t>practitioners</w:t>
      </w:r>
      <w:r w:rsidR="00233AAA">
        <w:t xml:space="preserve"> in this, </w:t>
      </w:r>
      <w:r w:rsidR="000C41C6">
        <w:fldChar w:fldCharType="begin" w:fldLock="1"/>
      </w:r>
      <w:r w:rsidR="00732103">
        <w:instrText>ADDIN CSL_CITATION {"citationItems":[{"id":"ITEM-1","itemData":{"DOI":"10.1016/j.envsci.2012.10.006","ISBN":"1462-9011","ISSN":"14629011","PMID":"18066069","abstract":"Concern over social equity dominates current debates about payments for ecosystem services and reduced deforestation and forest degradation (REDD+). Yet, despite the apprehension that these initiatives may undermine equity, the term is generally left undefined. This paper presents a systematic framework for the analysis of equity that can be used to examine how local equity is affected as the global value of ecosystem services changes. Our framework identifies three dimensions that form the content (the what) of equity. The first, distributive equity, addresses the distribution of benefits and costs. The second, procedural equity, refers to decision-making. These are linked by the third dimension, contextual equity, which incorporates the pre-existing conditions that limit or facilitate people's access to decision-making procedures, resources and, thereby, benefits. The framework then asks how these dimensions are shaped by the scale and target group of concern (who), the framing of goals with respect to equity (why), and, crucially, how the decisions about the content, target and aims of equity are taken. By spurring debate around the fundamental ethical values at stake, this framework can guide analysts, policymakers and planners towards more open and inclusive processes for defining equity, along with affirmative efforts to engage marginalised people. © 2012 Elsevier Ltd.","author":[{"dropping-particle":"","family":"McDermott","given":"Melanie","non-dropping-particle":"","parse-names":false,"suffix":""},{"dropping-particle":"","family":"Mahanty","given":"Sango","non-dropping-particle":"","parse-names":false,"suffix":""},{"dropping-particle":"","family":"Schreckenberg","given":"Kate","non-dropping-particle":"","parse-names":false,"suffix":""}],"container-title":"Environmental Science and Policy","id":"ITEM-1","issued":{"date-parts":[["2013"]]},"page":"416-427","publisher":"Elsevier Ltd","title":"Examining equity: a multidimensional framework for assessing equity in payments for ecosystem services","type":"article-journal","volume":"33"},"uris":["http://www.mendeley.com/documents/?uuid=e3d19269-bb4b-4372-a248-b6f4c9b9eedc"]}],"mendeley":{"formattedCitation":"(McDermott et al. 2013)","manualFormatting":"McDermott et al. (2013)","plainTextFormattedCitation":"(McDermott et al. 2013)","previouslyFormattedCitation":"(McDermott et al. 2013)"},"properties":{"noteIndex":0},"schema":"https://github.com/citation-style-language/schema/raw/master/csl-citation.json"}</w:instrText>
      </w:r>
      <w:r w:rsidR="000C41C6">
        <w:fldChar w:fldCharType="separate"/>
      </w:r>
      <w:r w:rsidR="000C41C6" w:rsidRPr="000C41C6">
        <w:rPr>
          <w:noProof/>
        </w:rPr>
        <w:t xml:space="preserve">McDermott et al. </w:t>
      </w:r>
      <w:r w:rsidR="000C41C6">
        <w:rPr>
          <w:noProof/>
        </w:rPr>
        <w:t>(</w:t>
      </w:r>
      <w:r w:rsidR="000C41C6" w:rsidRPr="000C41C6">
        <w:rPr>
          <w:noProof/>
        </w:rPr>
        <w:t>2013)</w:t>
      </w:r>
      <w:r w:rsidR="000C41C6">
        <w:fldChar w:fldCharType="end"/>
      </w:r>
      <w:r w:rsidR="008B7903" w:rsidRPr="005512D2">
        <w:t xml:space="preserve"> </w:t>
      </w:r>
      <w:r w:rsidR="004B1503">
        <w:t xml:space="preserve">provide an </w:t>
      </w:r>
      <w:hyperlink r:id="rId145" w:history="1">
        <w:r w:rsidR="004B1503" w:rsidRPr="004B1503">
          <w:rPr>
            <w:rStyle w:val="Hyperlink"/>
          </w:rPr>
          <w:t>Equity Framework</w:t>
        </w:r>
      </w:hyperlink>
      <w:r w:rsidR="004B1503">
        <w:t>, defining</w:t>
      </w:r>
      <w:r w:rsidR="008B7903" w:rsidRPr="005512D2">
        <w:t xml:space="preserve"> three type</w:t>
      </w:r>
      <w:r w:rsidR="001A6721">
        <w:t>s</w:t>
      </w:r>
      <w:r w:rsidR="008B7903" w:rsidRPr="005512D2">
        <w:t xml:space="preserve"> of</w:t>
      </w:r>
      <w:r w:rsidR="008B7903" w:rsidRPr="003E3238">
        <w:t xml:space="preserve"> equity that need to be considered when designing conservation and development initiatives: </w:t>
      </w:r>
      <w:r w:rsidR="00757723">
        <w:t xml:space="preserve">distributive, </w:t>
      </w:r>
      <w:r w:rsidR="008B7903" w:rsidRPr="003E3238">
        <w:t xml:space="preserve">procedural and </w:t>
      </w:r>
      <w:r w:rsidR="00757723">
        <w:t xml:space="preserve">contextual </w:t>
      </w:r>
      <w:r w:rsidR="008B7903" w:rsidRPr="003E3238">
        <w:t>equity</w:t>
      </w:r>
      <w:r w:rsidR="00757723">
        <w:t>:</w:t>
      </w:r>
    </w:p>
    <w:p w14:paraId="5A559CB4" w14:textId="720E2A2B" w:rsidR="00757723" w:rsidRDefault="00757723" w:rsidP="00C258BC">
      <w:pPr>
        <w:numPr>
          <w:ilvl w:val="0"/>
          <w:numId w:val="23"/>
        </w:numPr>
        <w:jc w:val="both"/>
      </w:pPr>
      <w:r w:rsidRPr="00757723">
        <w:rPr>
          <w:b/>
        </w:rPr>
        <w:t>Distributive equity</w:t>
      </w:r>
      <w:r w:rsidRPr="00757723">
        <w:t xml:space="preserve"> is concerned with the allocation among stakeholders of costs, risks and benefits resulting from environmental policy or resource management decisions, and therefore represents primarily (but not exclusively) the economic dimensions of equity. </w:t>
      </w:r>
      <w:r w:rsidR="009319F8">
        <w:t xml:space="preserve">For example, in the case of </w:t>
      </w:r>
      <w:r w:rsidR="00D85930">
        <w:t>a</w:t>
      </w:r>
      <w:r w:rsidR="009319F8">
        <w:t xml:space="preserve"> PES programme aiming to conserve particular species </w:t>
      </w:r>
      <w:r w:rsidR="00D85930">
        <w:t>threatened</w:t>
      </w:r>
      <w:r w:rsidR="009319F8">
        <w:t xml:space="preserve"> by over-hunting, it would be important to consider how the costs of </w:t>
      </w:r>
      <w:r w:rsidR="009319F8">
        <w:lastRenderedPageBreak/>
        <w:t xml:space="preserve">reduced </w:t>
      </w:r>
      <w:r w:rsidR="00D85930">
        <w:t>hunting</w:t>
      </w:r>
      <w:r w:rsidR="009319F8">
        <w:t xml:space="preserve">, and the benefits of PES payments, would be distributed </w:t>
      </w:r>
      <w:r w:rsidR="00233AAA">
        <w:t>among</w:t>
      </w:r>
      <w:r w:rsidR="009319F8">
        <w:t xml:space="preserve"> the local community, and whether these costs and benefits fell unfairly on certain </w:t>
      </w:r>
      <w:r w:rsidR="00D85930">
        <w:t>community</w:t>
      </w:r>
      <w:r w:rsidR="009319F8">
        <w:t xml:space="preserve"> members.</w:t>
      </w:r>
    </w:p>
    <w:p w14:paraId="65F1D4F5" w14:textId="02B79ED1" w:rsidR="00EF36EF" w:rsidRPr="00EF36EF" w:rsidRDefault="009319F8" w:rsidP="00C258BC">
      <w:pPr>
        <w:numPr>
          <w:ilvl w:val="0"/>
          <w:numId w:val="23"/>
        </w:numPr>
        <w:tabs>
          <w:tab w:val="num" w:pos="720"/>
        </w:tabs>
        <w:jc w:val="both"/>
      </w:pPr>
      <w:r w:rsidRPr="009319F8">
        <w:rPr>
          <w:b/>
        </w:rPr>
        <w:t>Procedural equity</w:t>
      </w:r>
      <w:r w:rsidRPr="009319F8">
        <w:t xml:space="preserve"> refers to fairness in the political processes that allocate resources and resolve </w:t>
      </w:r>
      <w:r w:rsidR="00EF36EF" w:rsidRPr="00EF36EF">
        <w:t>disputes. It involves representation, recognition/ inclusion, voice and participation in decision-making</w:t>
      </w:r>
      <w:r w:rsidR="00EF36EF">
        <w:t>. For example, in a conservation project aiming to actively engage local communities in decision-making, it would be important to consider whether different sections of the community (i.e. by gender, ethnicity, wealth, education etc.) were being fairly represented.</w:t>
      </w:r>
    </w:p>
    <w:p w14:paraId="2231D40F" w14:textId="08C0ABC8" w:rsidR="004B1503" w:rsidRDefault="00EF36EF" w:rsidP="00C258BC">
      <w:pPr>
        <w:numPr>
          <w:ilvl w:val="0"/>
          <w:numId w:val="23"/>
        </w:numPr>
        <w:tabs>
          <w:tab w:val="num" w:pos="720"/>
        </w:tabs>
        <w:jc w:val="both"/>
      </w:pPr>
      <w:r w:rsidRPr="004B1503">
        <w:rPr>
          <w:b/>
        </w:rPr>
        <w:t>Contextual equity</w:t>
      </w:r>
      <w:r w:rsidRPr="00EF36EF">
        <w:t xml:space="preserve"> links together the other two dimensions by </w:t>
      </w:r>
      <w:r w:rsidR="00D85930" w:rsidRPr="00EF36EF">
        <w:t>considering</w:t>
      </w:r>
      <w:r w:rsidRPr="00EF36EF">
        <w:t xml:space="preserve"> the pre-existing political, economic and social conditions under which people engage in procedures and benefit distributions – and which limit or enable their capacity to do both. </w:t>
      </w:r>
      <w:r w:rsidR="00233AAA">
        <w:t xml:space="preserve">In other words, </w:t>
      </w:r>
      <w:r>
        <w:t xml:space="preserve">what are the starting conditions for your project, in terms of who has the power to participate in and benefit from your project? For example, a project aiming to provide an alternative livelihood may only be accessible to those </w:t>
      </w:r>
      <w:r w:rsidR="00F15A6D">
        <w:t xml:space="preserve">with a certain level of income </w:t>
      </w:r>
      <w:r>
        <w:t>or educ</w:t>
      </w:r>
      <w:r w:rsidR="004B1503">
        <w:t>a</w:t>
      </w:r>
      <w:r>
        <w:t xml:space="preserve">tion. Similarly, a certain social group may be less able to engage in </w:t>
      </w:r>
      <w:r w:rsidR="004B1503">
        <w:t xml:space="preserve">project </w:t>
      </w:r>
      <w:r w:rsidR="00D85930">
        <w:t>decision</w:t>
      </w:r>
      <w:r w:rsidR="004B1503">
        <w:t>-making</w:t>
      </w:r>
      <w:r>
        <w:t>, due to economic hardship or existing community po</w:t>
      </w:r>
      <w:r w:rsidR="000C12FA">
        <w:t xml:space="preserve">wer structures </w:t>
      </w:r>
      <w:r w:rsidR="00732103">
        <w:fldChar w:fldCharType="begin" w:fldLock="1"/>
      </w:r>
      <w:r w:rsidR="00730634">
        <w:instrText>ADDIN CSL_CITATION {"citationItems":[{"id":"ITEM-1","itemData":{"DOI":"10.1111/j.1477-8947.2005.00130.x","ISBN":"0165-0203","ISSN":"14778947","abstract":"The article explores and examines challenges and lessons learned from the implementation of community based natural resources management (CBNRM) programmes in Ngamiland, northern Botswana. The article, based largely on primary data, with some secondary data sources, draws on the CBNRM framework, which promotes rural socio-economic development and natural resources management. Among the key factors identified as pivotal to the success of CBNRM is broadening the consultation base during the mobilization phase of the programme to facilitate effective community participation and representation. Preparedness by both the implementing institutions and participating communities is also highlighted as key to effective mobilization. This means moving away from a conventional consultative forum, to a more multi-faceted approach that will facilitate capturing the views of diverse user groups within the community. The article also suggests that feasibility studies are needed to address socio-economic, political and cultural characteristics inherent in communities to guide programme implementation. To achieve increased community participation and enhance positive conservation attitudes, the article advocates a mobilization approach and practice that will effectively facilitate the process.","author":[{"dropping-particle":"","family":"Thakadu","given":"O. T.","non-dropping-particle":"","parse-names":false,"suffix":""}],"container-title":"Natural Resources Forum","id":"ITEM-1","issue":"3","issued":{"date-parts":[["2005"]]},"page":"199-212","title":"Success factors in community based natural resources management in northern Botswana: lessons from practice","type":"article-journal","volume":"29"},"uris":["http://www.mendeley.com/documents/?uuid=d60c9f3d-dbe1-4592-ac7b-0f8775225841"]},{"id":"ITEM-2","itemData":{"ISBN":"9789280736960","author":[{"dropping-particle":"","family":"Cooney","given":"R","non-dropping-particle":"","parse-names":false,"suffix":""},{"dropping-particle":"","family":"Roe","given":"D","non-dropping-particle":"","parse-names":false,"suffix":""},{"dropping-particle":"","family":"Dublin","given":"H","non-dropping-particle":"","parse-names":false,"suffix":""},{"dropping-particle":"","family":"Booker","given":"F","non-dropping-particle":"","parse-names":false,"suffix":""}],"id":"ITEM-2","issued":{"date-parts":[["2018"]]},"publisher-place":"United Nations Environment Programme, Nairobi, Kenya","title":"Wild life, wild livelihoods: involving communities in sustainable wildlife management and combating illegal wildlife trade","type":"report"},"uris":["http://www.mendeley.com/documents/?uuid=685f5ffa-5b74-46e7-b7d2-36f8480346cf"]}],"mendeley":{"formattedCitation":"(Thakadu 2005; Cooney et al. 2018)","plainTextFormattedCitation":"(Thakadu 2005; Cooney et al. 2018)","previouslyFormattedCitation":"(Thakadu 2005; Cooney et al. 2018)"},"properties":{"noteIndex":0},"schema":"https://github.com/citation-style-language/schema/raw/master/csl-citation.json"}</w:instrText>
      </w:r>
      <w:r w:rsidR="00732103">
        <w:fldChar w:fldCharType="separate"/>
      </w:r>
      <w:r w:rsidR="00730634" w:rsidRPr="00730634">
        <w:rPr>
          <w:noProof/>
        </w:rPr>
        <w:t>(Thakadu 2005; Cooney et al. 2018)</w:t>
      </w:r>
      <w:r w:rsidR="00732103">
        <w:fldChar w:fldCharType="end"/>
      </w:r>
      <w:r w:rsidR="00730634">
        <w:t>.</w:t>
      </w:r>
      <w:r w:rsidR="004B1503">
        <w:t xml:space="preserve"> </w:t>
      </w:r>
    </w:p>
    <w:p w14:paraId="3C74AEFC" w14:textId="7FEDBB04" w:rsidR="00672DBC" w:rsidRDefault="00F15A6D" w:rsidP="00C258BC">
      <w:pPr>
        <w:jc w:val="both"/>
        <w:sectPr w:rsidR="00672DBC">
          <w:pgSz w:w="11906" w:h="16838"/>
          <w:pgMar w:top="1440" w:right="1440" w:bottom="1440" w:left="1440" w:header="708" w:footer="708" w:gutter="0"/>
          <w:cols w:space="708"/>
          <w:docGrid w:linePitch="360"/>
        </w:sectPr>
      </w:pPr>
      <w:r>
        <w:t>It</w:t>
      </w:r>
      <w:r w:rsidR="00EF36EF">
        <w:t xml:space="preserve"> is </w:t>
      </w:r>
      <w:r w:rsidR="004B1503">
        <w:t xml:space="preserve">impractical to expect </w:t>
      </w:r>
      <w:r>
        <w:t xml:space="preserve">projects </w:t>
      </w:r>
      <w:r w:rsidR="004B1503">
        <w:t xml:space="preserve">to be able to attain full equity in decision-making and the </w:t>
      </w:r>
      <w:r w:rsidR="00D85930">
        <w:t>distribution</w:t>
      </w:r>
      <w:r w:rsidR="004B1503">
        <w:t xml:space="preserve"> of project costs and benefits</w:t>
      </w:r>
      <w:r>
        <w:t xml:space="preserve">. However, </w:t>
      </w:r>
      <w:r w:rsidR="00EF36EF">
        <w:t xml:space="preserve">is important that conservation and development projects have a good understanding of how these </w:t>
      </w:r>
      <w:r w:rsidR="004B1503">
        <w:t>differences in</w:t>
      </w:r>
      <w:r w:rsidR="00EF36EF">
        <w:t xml:space="preserve"> equity are likely to influence, and by influenced by, the project design, and attempt to design a project that is as inclusive and fair as possible. Pro</w:t>
      </w:r>
      <w:r w:rsidR="00D70DF4">
        <w:t xml:space="preserve">jects that </w:t>
      </w:r>
      <w:r w:rsidR="00DD6E6E">
        <w:t xml:space="preserve">largely </w:t>
      </w:r>
      <w:r w:rsidR="00D70DF4">
        <w:t xml:space="preserve">benefit one section </w:t>
      </w:r>
      <w:r w:rsidR="00EF36EF">
        <w:t>o</w:t>
      </w:r>
      <w:r w:rsidR="00D70DF4">
        <w:t>f</w:t>
      </w:r>
      <w:r w:rsidR="00EF36EF">
        <w:t xml:space="preserve"> society to the detriment of others are likely to result in </w:t>
      </w:r>
      <w:r w:rsidR="00D85930">
        <w:t>resentments and</w:t>
      </w:r>
      <w:r w:rsidR="00EF36EF">
        <w:t xml:space="preserve"> are less likely to succeed. </w:t>
      </w:r>
    </w:p>
    <w:p w14:paraId="6369BD5B" w14:textId="77777777" w:rsidR="00672DBC" w:rsidRDefault="00672DBC" w:rsidP="00C258BC">
      <w:pPr>
        <w:jc w:val="both"/>
      </w:pPr>
      <w:r w:rsidRPr="00785A38">
        <w:rPr>
          <w:noProof/>
          <w:lang w:val="en-US"/>
        </w:rPr>
        <w:lastRenderedPageBreak/>
        <w:drawing>
          <wp:inline distT="0" distB="0" distL="0" distR="0" wp14:anchorId="05FB00C1" wp14:editId="095898ED">
            <wp:extent cx="9587254" cy="3450349"/>
            <wp:effectExtent l="0" t="0" r="0" b="4445"/>
            <wp:docPr id="6" name="Picture 6" descr="../../../../Screenshots/Screenshot%202018-07-02%2016.1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s/Screenshot%202018-07-02%2016.11.48.pn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9627032" cy="3464665"/>
                    </a:xfrm>
                    <a:prstGeom prst="rect">
                      <a:avLst/>
                    </a:prstGeom>
                    <a:noFill/>
                    <a:ln>
                      <a:noFill/>
                    </a:ln>
                  </pic:spPr>
                </pic:pic>
              </a:graphicData>
            </a:graphic>
          </wp:inline>
        </w:drawing>
      </w:r>
    </w:p>
    <w:p w14:paraId="6A9234A8" w14:textId="4167BF51" w:rsidR="00672DBC" w:rsidRDefault="00672DBC" w:rsidP="00C258BC">
      <w:pPr>
        <w:pStyle w:val="Caption"/>
        <w:keepNext/>
        <w:jc w:val="both"/>
      </w:pPr>
      <w:bookmarkStart w:id="306" w:name="_Ref519694272"/>
      <w:r>
        <w:t xml:space="preserve">Table </w:t>
      </w:r>
      <w:r w:rsidR="00DE31EF">
        <w:fldChar w:fldCharType="begin"/>
      </w:r>
      <w:r w:rsidR="00DE31EF">
        <w:instrText xml:space="preserve"> SEQ Table \* ARABIC </w:instrText>
      </w:r>
      <w:r w:rsidR="00DE31EF">
        <w:fldChar w:fldCharType="separate"/>
      </w:r>
      <w:r w:rsidR="004873F0">
        <w:rPr>
          <w:noProof/>
        </w:rPr>
        <w:t>6</w:t>
      </w:r>
      <w:r w:rsidR="00DE31EF">
        <w:fldChar w:fldCharType="end"/>
      </w:r>
      <w:bookmarkEnd w:id="306"/>
      <w:r>
        <w:t xml:space="preserve">: </w:t>
      </w:r>
      <w:r w:rsidRPr="00BF7DDE">
        <w:rPr>
          <w:b w:val="0"/>
        </w:rPr>
        <w:t>Different levels of community participation, from passive to active (reproduced from</w:t>
      </w:r>
      <w:r w:rsidR="007C50CD">
        <w:rPr>
          <w:b w:val="0"/>
        </w:rPr>
        <w:fldChar w:fldCharType="begin" w:fldLock="1"/>
      </w:r>
      <w:r w:rsidR="00566AAF">
        <w:rPr>
          <w:b w:val="0"/>
        </w:rPr>
        <w:instrText>ADDIN CSL_CITATION {"citationItems":[{"id":"ITEM-1","itemData":{"author":[{"dropping-particle":"","family":"IIED","given":"","non-dropping-particle":"","parse-names":false,"suffix":""}],"id":"ITEM-1","issued":{"date-parts":[["1994"]]},"publisher-place":"International Institute for Environment and Development, London, UK","title":"Whose Eden? An overview of community approaches to wildlife management. A report to Overseas Development Administration of the British Government","type":"report"},"uris":["http://www.mendeley.com/documents/?uuid=ba417693-76ac-48df-88fa-5929b8998a74"]}],"mendeley":{"formattedCitation":"(IIED 1994)","manualFormatting":" IIED, 1994","plainTextFormattedCitation":"(IIED 1994)","previouslyFormattedCitation":"(IIED 1994)"},"properties":{"noteIndex":0},"schema":"https://github.com/citation-style-language/schema/raw/master/csl-citation.json"}</w:instrText>
      </w:r>
      <w:r w:rsidR="007C50CD">
        <w:rPr>
          <w:b w:val="0"/>
        </w:rPr>
        <w:fldChar w:fldCharType="separate"/>
      </w:r>
      <w:r w:rsidR="007C50CD">
        <w:rPr>
          <w:b w:val="0"/>
          <w:noProof/>
        </w:rPr>
        <w:t xml:space="preserve"> </w:t>
      </w:r>
      <w:r w:rsidR="007C50CD" w:rsidRPr="007C50CD">
        <w:rPr>
          <w:b w:val="0"/>
          <w:noProof/>
        </w:rPr>
        <w:t>IIED</w:t>
      </w:r>
      <w:r w:rsidR="007C50CD">
        <w:rPr>
          <w:b w:val="0"/>
          <w:noProof/>
        </w:rPr>
        <w:t>,</w:t>
      </w:r>
      <w:r w:rsidR="007C50CD" w:rsidRPr="007C50CD">
        <w:rPr>
          <w:b w:val="0"/>
          <w:noProof/>
        </w:rPr>
        <w:t xml:space="preserve"> 1994</w:t>
      </w:r>
      <w:r w:rsidR="007C50CD">
        <w:rPr>
          <w:b w:val="0"/>
        </w:rPr>
        <w:fldChar w:fldCharType="end"/>
      </w:r>
      <w:r w:rsidRPr="00BF7DDE">
        <w:rPr>
          <w:b w:val="0"/>
        </w:rPr>
        <w:t>)</w:t>
      </w:r>
      <w:r w:rsidR="00BF7DDE" w:rsidRPr="00BF7DDE">
        <w:rPr>
          <w:b w:val="0"/>
        </w:rPr>
        <w:t>.</w:t>
      </w:r>
    </w:p>
    <w:p w14:paraId="5ED2E81D" w14:textId="77777777" w:rsidR="00BF7DDE" w:rsidRPr="00BF7DDE" w:rsidRDefault="00BF7DDE" w:rsidP="00BF7DDE">
      <w:pPr>
        <w:sectPr w:rsidR="00BF7DDE" w:rsidRPr="00BF7DDE" w:rsidSect="00E878B0">
          <w:pgSz w:w="16838" w:h="11906" w:orient="landscape"/>
          <w:pgMar w:top="1440" w:right="1440" w:bottom="1440" w:left="1440" w:header="708" w:footer="708" w:gutter="0"/>
          <w:cols w:space="708"/>
          <w:docGrid w:linePitch="360"/>
        </w:sectPr>
      </w:pPr>
    </w:p>
    <w:p w14:paraId="787BB00A" w14:textId="0695D0B7" w:rsidR="00074B93" w:rsidRPr="003E3238" w:rsidRDefault="00074B93" w:rsidP="00C258BC">
      <w:pPr>
        <w:jc w:val="both"/>
      </w:pPr>
    </w:p>
    <w:p w14:paraId="6583B14B" w14:textId="0F23DB55" w:rsidR="008B7903" w:rsidRDefault="00FF3819" w:rsidP="001C1D6E">
      <w:pPr>
        <w:pStyle w:val="Heading3"/>
      </w:pPr>
      <w:bookmarkStart w:id="307" w:name="_Ref519692634"/>
      <w:r>
        <w:t>Free, prior and informed consent</w:t>
      </w:r>
      <w:r w:rsidR="007C4636">
        <w:t xml:space="preserve"> (FPIC)</w:t>
      </w:r>
      <w:bookmarkEnd w:id="307"/>
      <w:r w:rsidR="008B7903">
        <w:t xml:space="preserve"> </w:t>
      </w:r>
    </w:p>
    <w:p w14:paraId="3A4F15C3" w14:textId="120BCE29" w:rsidR="007C4636" w:rsidRPr="001F5A90" w:rsidRDefault="007C4636" w:rsidP="00C258BC">
      <w:pPr>
        <w:jc w:val="both"/>
        <w:rPr>
          <w:lang w:val="en-US"/>
        </w:rPr>
      </w:pPr>
      <w:r w:rsidRPr="001F5A90">
        <w:rPr>
          <w:lang w:val="en-US"/>
        </w:rPr>
        <w:t xml:space="preserve">The following text on FPIC is modified from the </w:t>
      </w:r>
      <w:hyperlink r:id="rId147" w:history="1">
        <w:r w:rsidRPr="001F5A90">
          <w:rPr>
            <w:rStyle w:val="Hyperlink"/>
            <w:lang w:val="en-US"/>
          </w:rPr>
          <w:t>OXFAM Guide to Free Prior and Informed Consent</w:t>
        </w:r>
      </w:hyperlink>
      <w:r w:rsidRPr="001F5A90">
        <w:rPr>
          <w:lang w:val="en-US"/>
        </w:rPr>
        <w:t xml:space="preserve">, which provides a community and </w:t>
      </w:r>
      <w:r w:rsidR="00D85930" w:rsidRPr="001F5A90">
        <w:rPr>
          <w:lang w:val="en-US"/>
        </w:rPr>
        <w:t>practitioner</w:t>
      </w:r>
      <w:r w:rsidRPr="001F5A90">
        <w:rPr>
          <w:lang w:val="en-US"/>
        </w:rPr>
        <w:t xml:space="preserve"> guide to FPIC and its implementation</w:t>
      </w:r>
      <w:r w:rsidR="00D7409B" w:rsidRPr="001F5A90">
        <w:rPr>
          <w:lang w:val="en-US"/>
        </w:rPr>
        <w:t>.</w:t>
      </w:r>
    </w:p>
    <w:p w14:paraId="7C2CC7F3" w14:textId="15ADBA45" w:rsidR="007C4636" w:rsidRPr="001C7DDA" w:rsidRDefault="000F760D" w:rsidP="00C258BC">
      <w:pPr>
        <w:jc w:val="both"/>
      </w:pPr>
      <w:r>
        <w:rPr>
          <w:lang w:val="en-US"/>
        </w:rPr>
        <w:t>FPIC</w:t>
      </w:r>
      <w:r w:rsidR="007C4636" w:rsidRPr="001C7DDA">
        <w:rPr>
          <w:lang w:val="en-US"/>
        </w:rPr>
        <w:t xml:space="preserve"> is an important collective </w:t>
      </w:r>
      <w:r w:rsidR="001C7DDA" w:rsidRPr="001C7DDA">
        <w:rPr>
          <w:lang w:val="en-US"/>
        </w:rPr>
        <w:t xml:space="preserve">right that pertains to indigenous peoples and is </w:t>
      </w:r>
      <w:r w:rsidR="00D85930" w:rsidRPr="001C7DDA">
        <w:rPr>
          <w:lang w:val="en-US"/>
        </w:rPr>
        <w:t>recognized</w:t>
      </w:r>
      <w:r w:rsidR="001C7DDA" w:rsidRPr="001C7DDA">
        <w:rPr>
          <w:lang w:val="en-US"/>
        </w:rPr>
        <w:t xml:space="preserve"> in the United Nations Declaration on the Rights of Indigenous Peoples (UNDRIP). It allows them to give or withhold consent to a project that may affect them or their territories</w:t>
      </w:r>
      <w:r w:rsidR="007C4636" w:rsidRPr="001C7DDA">
        <w:rPr>
          <w:lang w:val="en-US"/>
        </w:rPr>
        <w:t>. For other project-affected communities, their full and effective participation in negotiation over the planning and implementation of these projects must be ensured. Even where national laws give a weak protection of the right to FPIC, and the right of project-affected peoples to consultation and</w:t>
      </w:r>
      <w:r w:rsidR="007C4636" w:rsidRPr="007C4636">
        <w:t xml:space="preserve"> participation in decision-making processes, these rights can and should be recognised by project developers. </w:t>
      </w:r>
    </w:p>
    <w:p w14:paraId="4979708C" w14:textId="37CB4530" w:rsidR="007C4636" w:rsidRPr="007C4636" w:rsidRDefault="007C4636" w:rsidP="00C258BC">
      <w:pPr>
        <w:jc w:val="both"/>
      </w:pPr>
      <w:r w:rsidRPr="007C4636">
        <w:t xml:space="preserve">Following is a simple explanation of what each term means: </w:t>
      </w:r>
    </w:p>
    <w:p w14:paraId="52DF7EDA" w14:textId="4B297EDC" w:rsidR="007C4636" w:rsidRPr="007C4636" w:rsidRDefault="00D7409B" w:rsidP="00C258BC">
      <w:pPr>
        <w:numPr>
          <w:ilvl w:val="0"/>
          <w:numId w:val="24"/>
        </w:numPr>
        <w:jc w:val="both"/>
      </w:pPr>
      <w:r w:rsidRPr="00D7409B">
        <w:rPr>
          <w:b/>
        </w:rPr>
        <w:t>F</w:t>
      </w:r>
      <w:r w:rsidR="00531752">
        <w:rPr>
          <w:b/>
        </w:rPr>
        <w:t>ree</w:t>
      </w:r>
      <w:r w:rsidR="007C4636" w:rsidRPr="007C4636">
        <w:t xml:space="preserve"> from force, intimidation, manipulation, coercion or pressure by any government or company. </w:t>
      </w:r>
    </w:p>
    <w:p w14:paraId="5364A0F2" w14:textId="6DCB3864" w:rsidR="007C4636" w:rsidRPr="007C4636" w:rsidRDefault="00D7409B" w:rsidP="00C258BC">
      <w:pPr>
        <w:numPr>
          <w:ilvl w:val="0"/>
          <w:numId w:val="24"/>
        </w:numPr>
        <w:jc w:val="both"/>
      </w:pPr>
      <w:r w:rsidRPr="00D7409B">
        <w:rPr>
          <w:b/>
        </w:rPr>
        <w:t>P</w:t>
      </w:r>
      <w:r w:rsidR="00531752">
        <w:rPr>
          <w:b/>
        </w:rPr>
        <w:t>rior</w:t>
      </w:r>
      <w:r w:rsidR="007C4636" w:rsidRPr="00D7409B">
        <w:rPr>
          <w:b/>
        </w:rPr>
        <w:t xml:space="preserve"> </w:t>
      </w:r>
      <w:r w:rsidR="007C4636" w:rsidRPr="007C4636">
        <w:t>to approval of specific projects</w:t>
      </w:r>
      <w:r>
        <w:t xml:space="preserve"> or allocation of lands</w:t>
      </w:r>
      <w:r w:rsidR="007C4636" w:rsidRPr="007C4636">
        <w:t xml:space="preserve">. </w:t>
      </w:r>
      <w:r>
        <w:t>Communities</w:t>
      </w:r>
      <w:r w:rsidR="007C4636" w:rsidRPr="007C4636">
        <w:t xml:space="preserve"> must be given enough time to consider all the information and make a decision. </w:t>
      </w:r>
    </w:p>
    <w:p w14:paraId="7424E1AD" w14:textId="1EB7CCE2" w:rsidR="007C4636" w:rsidRPr="007C4636" w:rsidRDefault="00D7409B" w:rsidP="00C258BC">
      <w:pPr>
        <w:numPr>
          <w:ilvl w:val="0"/>
          <w:numId w:val="24"/>
        </w:numPr>
        <w:jc w:val="both"/>
      </w:pPr>
      <w:r w:rsidRPr="00D7409B">
        <w:rPr>
          <w:b/>
        </w:rPr>
        <w:t>I</w:t>
      </w:r>
      <w:r w:rsidR="00531752">
        <w:rPr>
          <w:b/>
        </w:rPr>
        <w:t>nformed</w:t>
      </w:r>
      <w:r>
        <w:t xml:space="preserve">: Local communities must be </w:t>
      </w:r>
      <w:r w:rsidR="007C4636" w:rsidRPr="007C4636">
        <w:t xml:space="preserve">given all the relevant information to make </w:t>
      </w:r>
      <w:r>
        <w:t>their</w:t>
      </w:r>
      <w:r w:rsidR="007C4636" w:rsidRPr="007C4636">
        <w:t xml:space="preserve"> decision about whether to agree to the project or not</w:t>
      </w:r>
      <w:r>
        <w:t xml:space="preserve">: a) </w:t>
      </w:r>
      <w:r w:rsidR="007C4636" w:rsidRPr="007C4636">
        <w:t xml:space="preserve">in a language that </w:t>
      </w:r>
      <w:r>
        <w:t xml:space="preserve">they can easily understand; b) with </w:t>
      </w:r>
      <w:r w:rsidR="007C4636" w:rsidRPr="007C4636">
        <w:t>access to independent information, not just information from the project developers</w:t>
      </w:r>
      <w:r>
        <w:t xml:space="preserve"> and c) with </w:t>
      </w:r>
      <w:r w:rsidR="007C4636" w:rsidRPr="007C4636">
        <w:t xml:space="preserve">access to experts on law and technical issues, if requested, to help make </w:t>
      </w:r>
      <w:r>
        <w:t xml:space="preserve">their </w:t>
      </w:r>
      <w:r w:rsidR="007C4636" w:rsidRPr="007C4636">
        <w:t xml:space="preserve">decision. </w:t>
      </w:r>
    </w:p>
    <w:p w14:paraId="45F29D16" w14:textId="69BDEA14" w:rsidR="007C4636" w:rsidRPr="007C4636" w:rsidRDefault="00D7409B" w:rsidP="00C258BC">
      <w:pPr>
        <w:numPr>
          <w:ilvl w:val="0"/>
          <w:numId w:val="24"/>
        </w:numPr>
        <w:jc w:val="both"/>
      </w:pPr>
      <w:r w:rsidRPr="00D7409B">
        <w:rPr>
          <w:b/>
        </w:rPr>
        <w:t>C</w:t>
      </w:r>
      <w:r w:rsidR="00531752">
        <w:rPr>
          <w:b/>
        </w:rPr>
        <w:t>onsent</w:t>
      </w:r>
      <w:r w:rsidR="007C4636" w:rsidRPr="007C4636">
        <w:t xml:space="preserve"> requires that the people involved in the project allow communities to say “Yes” or “No” to the project and at each stage of the project, according to the decision-making process of your choice. The right to give or withhold consent is the most important difference between the rights of Indigenous Peoples and other project-affected peoples. </w:t>
      </w:r>
    </w:p>
    <w:p w14:paraId="4D8B7C41" w14:textId="79324E3E" w:rsidR="00E3097F" w:rsidRDefault="00D94C4D" w:rsidP="00C258BC">
      <w:pPr>
        <w:jc w:val="both"/>
        <w:rPr>
          <w:lang w:val="en-US"/>
        </w:rPr>
      </w:pPr>
      <w:r>
        <w:t>The FPIC process is outlined in a number of useful manuals, published by</w:t>
      </w:r>
      <w:r>
        <w:rPr>
          <w:lang w:val="en-US"/>
        </w:rPr>
        <w:t xml:space="preserve"> </w:t>
      </w:r>
      <w:hyperlink r:id="rId148" w:history="1">
        <w:r w:rsidRPr="00D94C4D">
          <w:rPr>
            <w:rStyle w:val="Hyperlink"/>
            <w:lang w:val="en-US"/>
          </w:rPr>
          <w:t>OXFAM</w:t>
        </w:r>
      </w:hyperlink>
      <w:r>
        <w:rPr>
          <w:lang w:val="en-US"/>
        </w:rPr>
        <w:t>,</w:t>
      </w:r>
      <w:r w:rsidRPr="001F5A90">
        <w:rPr>
          <w:lang w:val="en-US"/>
        </w:rPr>
        <w:t xml:space="preserve"> </w:t>
      </w:r>
      <w:hyperlink r:id="rId149" w:history="1">
        <w:r w:rsidRPr="001F5A90">
          <w:rPr>
            <w:rStyle w:val="Hyperlink"/>
            <w:lang w:val="en-US"/>
          </w:rPr>
          <w:t>FAO</w:t>
        </w:r>
      </w:hyperlink>
      <w:r>
        <w:rPr>
          <w:lang w:val="en-US"/>
        </w:rPr>
        <w:t>,</w:t>
      </w:r>
      <w:r w:rsidRPr="001F5A90">
        <w:rPr>
          <w:lang w:val="en-US"/>
        </w:rPr>
        <w:t xml:space="preserve"> </w:t>
      </w:r>
      <w:hyperlink r:id="rId150" w:history="1">
        <w:r w:rsidRPr="001F5A90">
          <w:rPr>
            <w:rStyle w:val="Hyperlink"/>
            <w:lang w:val="en-US"/>
          </w:rPr>
          <w:t>UNREDD</w:t>
        </w:r>
      </w:hyperlink>
      <w:r w:rsidRPr="001F5A90">
        <w:rPr>
          <w:lang w:val="en-US"/>
        </w:rPr>
        <w:t xml:space="preserve">, </w:t>
      </w:r>
      <w:r>
        <w:rPr>
          <w:lang w:val="en-US"/>
        </w:rPr>
        <w:t xml:space="preserve">and the </w:t>
      </w:r>
      <w:hyperlink r:id="rId151" w:history="1">
        <w:r w:rsidRPr="00D94C4D">
          <w:rPr>
            <w:rStyle w:val="Hyperlink"/>
            <w:lang w:val="en-US"/>
          </w:rPr>
          <w:t>Rainforest Alliance</w:t>
        </w:r>
      </w:hyperlink>
      <w:r>
        <w:rPr>
          <w:lang w:val="en-US"/>
        </w:rPr>
        <w:t xml:space="preserve">, </w:t>
      </w:r>
      <w:r w:rsidRPr="001F5A90">
        <w:rPr>
          <w:lang w:val="en-US"/>
        </w:rPr>
        <w:t>among others</w:t>
      </w:r>
      <w:r>
        <w:rPr>
          <w:lang w:val="en-US"/>
        </w:rPr>
        <w:t xml:space="preserve">. </w:t>
      </w:r>
      <w:r w:rsidR="00274B27">
        <w:rPr>
          <w:lang w:val="en-US"/>
        </w:rPr>
        <w:t>The</w:t>
      </w:r>
      <w:r w:rsidR="002E3EEF">
        <w:rPr>
          <w:lang w:val="en-US"/>
        </w:rPr>
        <w:t xml:space="preserve"> FPIC process (outlined in </w:t>
      </w:r>
      <w:r w:rsidR="00E3097F">
        <w:rPr>
          <w:lang w:val="en-US"/>
        </w:rPr>
        <w:fldChar w:fldCharType="begin"/>
      </w:r>
      <w:r w:rsidR="00E3097F">
        <w:rPr>
          <w:lang w:val="en-US"/>
        </w:rPr>
        <w:instrText xml:space="preserve"> REF _Ref519692558 \h </w:instrText>
      </w:r>
      <w:r w:rsidR="00E3097F">
        <w:rPr>
          <w:lang w:val="en-US"/>
        </w:rPr>
      </w:r>
      <w:r w:rsidR="00E3097F">
        <w:rPr>
          <w:lang w:val="en-US"/>
        </w:rPr>
        <w:fldChar w:fldCharType="separate"/>
      </w:r>
      <w:r w:rsidR="007034F1">
        <w:t xml:space="preserve">Figure </w:t>
      </w:r>
      <w:r w:rsidR="007034F1">
        <w:rPr>
          <w:noProof/>
        </w:rPr>
        <w:t>12</w:t>
      </w:r>
      <w:r w:rsidR="00E3097F">
        <w:rPr>
          <w:lang w:val="en-US"/>
        </w:rPr>
        <w:fldChar w:fldCharType="end"/>
      </w:r>
      <w:r w:rsidR="002E3EEF">
        <w:rPr>
          <w:lang w:val="en-US"/>
        </w:rPr>
        <w:t xml:space="preserve">) involves </w:t>
      </w:r>
      <w:r w:rsidR="00E3097F">
        <w:rPr>
          <w:lang w:val="en-US"/>
        </w:rPr>
        <w:t>six stages:</w:t>
      </w:r>
    </w:p>
    <w:p w14:paraId="7A95C2C3" w14:textId="67C27F49" w:rsidR="00E3097F" w:rsidRDefault="00E3097F" w:rsidP="00C258BC">
      <w:pPr>
        <w:jc w:val="both"/>
        <w:rPr>
          <w:lang w:val="en-US"/>
        </w:rPr>
      </w:pPr>
      <w:r>
        <w:rPr>
          <w:noProof/>
          <w:lang w:val="en-US"/>
        </w:rPr>
        <w:drawing>
          <wp:inline distT="0" distB="0" distL="0" distR="0" wp14:anchorId="16A8D296" wp14:editId="65A38754">
            <wp:extent cx="5706110" cy="682625"/>
            <wp:effectExtent l="0" t="0" r="8890" b="3175"/>
            <wp:docPr id="3" name="Picture 3" descr="../../../../Screenshots/Screenshot%202018-07-18%2015.49.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s/Screenshot%202018-07-18%2015.49.09.pn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706110" cy="682625"/>
                    </a:xfrm>
                    <a:prstGeom prst="rect">
                      <a:avLst/>
                    </a:prstGeom>
                    <a:noFill/>
                    <a:ln>
                      <a:noFill/>
                    </a:ln>
                  </pic:spPr>
                </pic:pic>
              </a:graphicData>
            </a:graphic>
          </wp:inline>
        </w:drawing>
      </w:r>
    </w:p>
    <w:p w14:paraId="2D9C8D03" w14:textId="41448E92" w:rsidR="00E3097F" w:rsidRPr="00BF7DDE" w:rsidRDefault="00E3097F" w:rsidP="00C258BC">
      <w:pPr>
        <w:pStyle w:val="Caption"/>
        <w:jc w:val="both"/>
        <w:rPr>
          <w:b w:val="0"/>
        </w:rPr>
      </w:pPr>
      <w:bookmarkStart w:id="308" w:name="_Ref519692558"/>
      <w:r>
        <w:t xml:space="preserve">Figure </w:t>
      </w:r>
      <w:r>
        <w:fldChar w:fldCharType="begin"/>
      </w:r>
      <w:r>
        <w:instrText xml:space="preserve"> SEQ Figure \* ARABIC </w:instrText>
      </w:r>
      <w:r>
        <w:fldChar w:fldCharType="separate"/>
      </w:r>
      <w:r w:rsidR="004873F0">
        <w:rPr>
          <w:noProof/>
        </w:rPr>
        <w:t>11</w:t>
      </w:r>
      <w:r>
        <w:fldChar w:fldCharType="end"/>
      </w:r>
      <w:bookmarkEnd w:id="308"/>
      <w:r>
        <w:t xml:space="preserve">: </w:t>
      </w:r>
      <w:r w:rsidRPr="00BF7DDE">
        <w:rPr>
          <w:b w:val="0"/>
        </w:rPr>
        <w:t>Steps for</w:t>
      </w:r>
      <w:r w:rsidR="00274B27" w:rsidRPr="00BF7DDE">
        <w:rPr>
          <w:b w:val="0"/>
        </w:rPr>
        <w:t xml:space="preserve"> t</w:t>
      </w:r>
      <w:r w:rsidRPr="00BF7DDE">
        <w:rPr>
          <w:b w:val="0"/>
        </w:rPr>
        <w:t>he Free, Prior and Informed Consent process, repro</w:t>
      </w:r>
      <w:r w:rsidR="00BF7DDE">
        <w:rPr>
          <w:b w:val="0"/>
        </w:rPr>
        <w:t xml:space="preserve">duced from </w:t>
      </w:r>
      <w:r w:rsidR="008B32ED">
        <w:rPr>
          <w:b w:val="0"/>
        </w:rPr>
        <w:fldChar w:fldCharType="begin" w:fldLock="1"/>
      </w:r>
      <w:r w:rsidR="008B32ED">
        <w:rPr>
          <w:b w:val="0"/>
        </w:rPr>
        <w:instrText>ADDIN CSL_CITATION {"citationItems":[{"id":"ITEM-1","itemData":{"author":[{"dropping-particle":"","family":"Rainforest Alliance","given":"","non-dropping-particle":"","parse-names":false,"suffix":""}],"id":"ITEM-1","issued":{"date-parts":[["2017"]]},"title":"Guide for Free, Prior and Informed Consent (FPIC) processes","type":"report"},"uris":["http://www.mendeley.com/documents/?uuid=24619a33-4761-4236-bbf7-68e55c7344a9"]}],"mendeley":{"formattedCitation":"(Rainforest Alliance 2017)","manualFormatting":"Rainforest Alliance (2017)","plainTextFormattedCitation":"(Rainforest Alliance 2017)","previouslyFormattedCitation":"(Rainforest Alliance 2017)"},"properties":{"noteIndex":0},"schema":"https://github.com/citation-style-language/schema/raw/master/csl-citation.json"}</w:instrText>
      </w:r>
      <w:r w:rsidR="008B32ED">
        <w:rPr>
          <w:b w:val="0"/>
        </w:rPr>
        <w:fldChar w:fldCharType="separate"/>
      </w:r>
      <w:r w:rsidR="008B32ED" w:rsidRPr="008B32ED">
        <w:rPr>
          <w:b w:val="0"/>
          <w:noProof/>
        </w:rPr>
        <w:t xml:space="preserve">Rainforest Alliance </w:t>
      </w:r>
      <w:r w:rsidR="008B32ED">
        <w:rPr>
          <w:b w:val="0"/>
          <w:noProof/>
        </w:rPr>
        <w:t>(</w:t>
      </w:r>
      <w:r w:rsidR="008B32ED" w:rsidRPr="008B32ED">
        <w:rPr>
          <w:b w:val="0"/>
          <w:noProof/>
        </w:rPr>
        <w:t>2017)</w:t>
      </w:r>
      <w:r w:rsidR="008B32ED">
        <w:rPr>
          <w:b w:val="0"/>
        </w:rPr>
        <w:fldChar w:fldCharType="end"/>
      </w:r>
      <w:r w:rsidR="00BF7DDE">
        <w:rPr>
          <w:b w:val="0"/>
        </w:rPr>
        <w:t>.</w:t>
      </w:r>
    </w:p>
    <w:p w14:paraId="36297899" w14:textId="77777777" w:rsidR="00C21D03" w:rsidRPr="00C21D03" w:rsidRDefault="00C21D03" w:rsidP="00C258BC">
      <w:pPr>
        <w:jc w:val="both"/>
        <w:rPr>
          <w:lang w:val="de-AT" w:eastAsia="de-AT"/>
        </w:rPr>
      </w:pPr>
    </w:p>
    <w:p w14:paraId="4D510BCE" w14:textId="50E8A354" w:rsidR="00E3097F" w:rsidRDefault="00E3097F" w:rsidP="00C258BC">
      <w:pPr>
        <w:ind w:left="720"/>
        <w:jc w:val="both"/>
        <w:rPr>
          <w:lang w:val="en-US"/>
        </w:rPr>
      </w:pPr>
      <w:r>
        <w:rPr>
          <w:lang w:val="en-US"/>
        </w:rPr>
        <w:t xml:space="preserve">1) </w:t>
      </w:r>
      <w:r w:rsidRPr="00E241D0">
        <w:rPr>
          <w:b/>
          <w:lang w:val="en-US"/>
        </w:rPr>
        <w:t>Scoping</w:t>
      </w:r>
      <w:r>
        <w:rPr>
          <w:lang w:val="en-US"/>
        </w:rPr>
        <w:t xml:space="preserve">, to identify communities and stakeholders that will be affected by the project, and their rights and claims to land or resources; </w:t>
      </w:r>
    </w:p>
    <w:p w14:paraId="7FD2BB9D" w14:textId="27483E4F" w:rsidR="00083B4B" w:rsidRDefault="00E3097F" w:rsidP="00C258BC">
      <w:pPr>
        <w:ind w:left="720"/>
        <w:jc w:val="both"/>
        <w:rPr>
          <w:lang w:val="en-US"/>
        </w:rPr>
      </w:pPr>
      <w:r>
        <w:rPr>
          <w:lang w:val="en-US"/>
        </w:rPr>
        <w:lastRenderedPageBreak/>
        <w:t xml:space="preserve">2) </w:t>
      </w:r>
      <w:r w:rsidRPr="00E241D0">
        <w:rPr>
          <w:b/>
          <w:lang w:val="en-US"/>
        </w:rPr>
        <w:t>Participatory mapping</w:t>
      </w:r>
      <w:r>
        <w:rPr>
          <w:lang w:val="en-US"/>
        </w:rPr>
        <w:t xml:space="preserve"> of land and natural resource use, identifying potential impacts of the project, and involving independent impartial parties to help with the process</w:t>
      </w:r>
    </w:p>
    <w:p w14:paraId="7D53F477" w14:textId="29FB61A1" w:rsidR="00E3097F" w:rsidRDefault="00E3097F" w:rsidP="00C258BC">
      <w:pPr>
        <w:ind w:left="720"/>
        <w:jc w:val="both"/>
        <w:rPr>
          <w:lang w:val="en-US"/>
        </w:rPr>
      </w:pPr>
      <w:r>
        <w:rPr>
          <w:lang w:val="en-US"/>
        </w:rPr>
        <w:t xml:space="preserve">3) </w:t>
      </w:r>
      <w:r w:rsidR="00E241D0" w:rsidRPr="00E241D0">
        <w:rPr>
          <w:b/>
          <w:lang w:val="en-US"/>
        </w:rPr>
        <w:t>Consultation</w:t>
      </w:r>
      <w:r w:rsidR="00E241D0">
        <w:rPr>
          <w:lang w:val="en-US"/>
        </w:rPr>
        <w:t>, p</w:t>
      </w:r>
      <w:r w:rsidRPr="00E241D0">
        <w:rPr>
          <w:lang w:val="en-US"/>
        </w:rPr>
        <w:t>rovid</w:t>
      </w:r>
      <w:r w:rsidR="00E241D0" w:rsidRPr="00E241D0">
        <w:rPr>
          <w:lang w:val="en-US"/>
        </w:rPr>
        <w:t>ing</w:t>
      </w:r>
      <w:r>
        <w:rPr>
          <w:lang w:val="en-US"/>
        </w:rPr>
        <w:t xml:space="preserve"> the community and stakeholders with accessible information on the project activities, and positive and negative impacts, and allow the community to consult </w:t>
      </w:r>
      <w:r w:rsidR="00E241D0">
        <w:rPr>
          <w:lang w:val="en-US"/>
        </w:rPr>
        <w:t>internally</w:t>
      </w:r>
    </w:p>
    <w:p w14:paraId="77A2106C" w14:textId="306FC4F8" w:rsidR="00E3097F" w:rsidRDefault="00E241D0" w:rsidP="00C258BC">
      <w:pPr>
        <w:ind w:left="720"/>
        <w:jc w:val="both"/>
        <w:rPr>
          <w:lang w:val="en-US"/>
        </w:rPr>
      </w:pPr>
      <w:r>
        <w:rPr>
          <w:lang w:val="en-US"/>
        </w:rPr>
        <w:t xml:space="preserve">4) </w:t>
      </w:r>
      <w:r w:rsidRPr="00E241D0">
        <w:rPr>
          <w:b/>
          <w:lang w:val="en-US"/>
        </w:rPr>
        <w:t>Negotiat</w:t>
      </w:r>
      <w:r w:rsidR="00672DBC">
        <w:rPr>
          <w:b/>
          <w:lang w:val="en-US"/>
        </w:rPr>
        <w:t xml:space="preserve">ion </w:t>
      </w:r>
      <w:r w:rsidR="00672DBC" w:rsidRPr="00672DBC">
        <w:rPr>
          <w:lang w:val="en-US"/>
        </w:rPr>
        <w:t>of</w:t>
      </w:r>
      <w:r w:rsidRPr="00E241D0">
        <w:rPr>
          <w:lang w:val="en-US"/>
        </w:rPr>
        <w:t xml:space="preserve"> </w:t>
      </w:r>
      <w:r>
        <w:rPr>
          <w:lang w:val="en-US"/>
        </w:rPr>
        <w:t>the terms of the project.</w:t>
      </w:r>
      <w:r w:rsidR="00E3097F">
        <w:rPr>
          <w:lang w:val="en-US"/>
        </w:rPr>
        <w:t xml:space="preserve"> Make legal </w:t>
      </w:r>
      <w:r w:rsidR="00D85930">
        <w:rPr>
          <w:lang w:val="en-US"/>
        </w:rPr>
        <w:t>advice</w:t>
      </w:r>
      <w:r w:rsidR="00E3097F">
        <w:rPr>
          <w:lang w:val="en-US"/>
        </w:rPr>
        <w:t xml:space="preserve"> and representation available to the </w:t>
      </w:r>
      <w:r w:rsidR="00D85930">
        <w:rPr>
          <w:lang w:val="en-US"/>
        </w:rPr>
        <w:t>community and</w:t>
      </w:r>
      <w:r>
        <w:rPr>
          <w:lang w:val="en-US"/>
        </w:rPr>
        <w:t xml:space="preserve"> develop a plan for conflict resolution.</w:t>
      </w:r>
    </w:p>
    <w:p w14:paraId="7CA44267" w14:textId="4AE41ED5" w:rsidR="00E241D0" w:rsidRDefault="00E241D0" w:rsidP="00C258BC">
      <w:pPr>
        <w:ind w:left="720"/>
        <w:jc w:val="both"/>
        <w:rPr>
          <w:lang w:val="en-US"/>
        </w:rPr>
      </w:pPr>
      <w:r>
        <w:rPr>
          <w:lang w:val="en-US"/>
        </w:rPr>
        <w:t xml:space="preserve">5) </w:t>
      </w:r>
      <w:r w:rsidRPr="00E241D0">
        <w:rPr>
          <w:b/>
          <w:lang w:val="en-US"/>
        </w:rPr>
        <w:t>Agreement</w:t>
      </w:r>
      <w:r>
        <w:rPr>
          <w:lang w:val="en-US"/>
        </w:rPr>
        <w:t xml:space="preserve">. Consult the community on whether they are happy with the agreement, and </w:t>
      </w:r>
      <w:r w:rsidR="00D85930">
        <w:rPr>
          <w:lang w:val="en-US"/>
        </w:rPr>
        <w:t>finalize</w:t>
      </w:r>
      <w:r>
        <w:rPr>
          <w:lang w:val="en-US"/>
        </w:rPr>
        <w:t xml:space="preserve"> the agreement</w:t>
      </w:r>
    </w:p>
    <w:p w14:paraId="41E61508" w14:textId="7ACA5E8B" w:rsidR="00D9537B" w:rsidRDefault="00E241D0" w:rsidP="00C258BC">
      <w:pPr>
        <w:ind w:left="720"/>
        <w:jc w:val="both"/>
        <w:rPr>
          <w:lang w:val="en-US"/>
        </w:rPr>
      </w:pPr>
      <w:r>
        <w:rPr>
          <w:lang w:val="en-US"/>
        </w:rPr>
        <w:t xml:space="preserve">6) </w:t>
      </w:r>
      <w:r w:rsidRPr="00E241D0">
        <w:rPr>
          <w:b/>
          <w:lang w:val="en-US"/>
        </w:rPr>
        <w:t>Implement</w:t>
      </w:r>
      <w:r w:rsidR="00672DBC">
        <w:rPr>
          <w:b/>
          <w:lang w:val="en-US"/>
        </w:rPr>
        <w:t xml:space="preserve">ation </w:t>
      </w:r>
      <w:r w:rsidR="00672DBC" w:rsidRPr="00672DBC">
        <w:rPr>
          <w:lang w:val="en-US"/>
        </w:rPr>
        <w:t>of</w:t>
      </w:r>
      <w:r>
        <w:rPr>
          <w:lang w:val="en-US"/>
        </w:rPr>
        <w:t xml:space="preserve"> the agreement and compensation mechanisms, participatory monitoring and the conflict resolution plan. </w:t>
      </w:r>
    </w:p>
    <w:p w14:paraId="4099E57E" w14:textId="77777777" w:rsidR="00565762" w:rsidRPr="005D1792" w:rsidRDefault="00565762" w:rsidP="00C258BC">
      <w:pPr>
        <w:ind w:left="720"/>
        <w:jc w:val="both"/>
        <w:rPr>
          <w:lang w:val="en-US"/>
        </w:rPr>
      </w:pPr>
    </w:p>
    <w:p w14:paraId="5EEED9DE" w14:textId="77777777" w:rsidR="008B7903" w:rsidRPr="004904D8" w:rsidRDefault="008B7903" w:rsidP="00DF57F3">
      <w:pPr>
        <w:pStyle w:val="Heading2"/>
      </w:pPr>
      <w:bookmarkStart w:id="309" w:name="_Toc519156109"/>
      <w:bookmarkStart w:id="310" w:name="_Toc529390382"/>
      <w:r w:rsidRPr="004904D8">
        <w:t>Understanding the context</w:t>
      </w:r>
      <w:bookmarkEnd w:id="309"/>
      <w:bookmarkEnd w:id="310"/>
    </w:p>
    <w:p w14:paraId="0C2902A0" w14:textId="3BFD17CD" w:rsidR="008B7903" w:rsidRDefault="008B7903" w:rsidP="00C258BC">
      <w:pPr>
        <w:spacing w:after="0"/>
        <w:jc w:val="both"/>
        <w:rPr>
          <w:color w:val="000000" w:themeColor="text1"/>
        </w:rPr>
      </w:pPr>
      <w:r w:rsidRPr="004904D8">
        <w:rPr>
          <w:color w:val="000000" w:themeColor="text1"/>
        </w:rPr>
        <w:t xml:space="preserve">Prior to designing any intervention, practitioners must develop an in-depth understanding of the drivers of wild meat use, the users, and the socio-political context; </w:t>
      </w:r>
      <w:r w:rsidRPr="005512D2">
        <w:rPr>
          <w:color w:val="000000" w:themeColor="text1"/>
        </w:rPr>
        <w:t>information all needed to develop a suitable ToC.</w:t>
      </w:r>
      <w:r w:rsidR="00E3097F">
        <w:rPr>
          <w:color w:val="000000" w:themeColor="text1"/>
        </w:rPr>
        <w:t xml:space="preserve"> Some of this information will also be required for the FPIC process (Section </w:t>
      </w:r>
      <w:r w:rsidR="00E3097F">
        <w:rPr>
          <w:color w:val="000000" w:themeColor="text1"/>
        </w:rPr>
        <w:fldChar w:fldCharType="begin"/>
      </w:r>
      <w:r w:rsidR="00E3097F">
        <w:rPr>
          <w:color w:val="000000" w:themeColor="text1"/>
        </w:rPr>
        <w:instrText xml:space="preserve"> REF _Ref519692634 \r \h </w:instrText>
      </w:r>
      <w:r w:rsidR="00E3097F">
        <w:rPr>
          <w:color w:val="000000" w:themeColor="text1"/>
        </w:rPr>
      </w:r>
      <w:r w:rsidR="00E3097F">
        <w:rPr>
          <w:color w:val="000000" w:themeColor="text1"/>
        </w:rPr>
        <w:fldChar w:fldCharType="separate"/>
      </w:r>
      <w:r w:rsidR="007034F1">
        <w:rPr>
          <w:color w:val="000000" w:themeColor="text1"/>
        </w:rPr>
        <w:t>10.1.3</w:t>
      </w:r>
      <w:r w:rsidR="00E3097F">
        <w:rPr>
          <w:color w:val="000000" w:themeColor="text1"/>
        </w:rPr>
        <w:fldChar w:fldCharType="end"/>
      </w:r>
      <w:r w:rsidR="00E3097F">
        <w:rPr>
          <w:color w:val="000000" w:themeColor="text1"/>
        </w:rPr>
        <w:t>).</w:t>
      </w:r>
      <w:r w:rsidRPr="005512D2">
        <w:rPr>
          <w:color w:val="000000" w:themeColor="text1"/>
        </w:rPr>
        <w:t xml:space="preserve"> Asse</w:t>
      </w:r>
      <w:r w:rsidR="00A843D9">
        <w:rPr>
          <w:color w:val="000000" w:themeColor="text1"/>
        </w:rPr>
        <w:t xml:space="preserve">ssments can include combination </w:t>
      </w:r>
      <w:r w:rsidRPr="005512D2">
        <w:rPr>
          <w:color w:val="000000" w:themeColor="text1"/>
        </w:rPr>
        <w:t>of methodologies, including participatory approaches where appropriate.</w:t>
      </w:r>
    </w:p>
    <w:p w14:paraId="51496867" w14:textId="77777777" w:rsidR="00A843D9" w:rsidRPr="005512D2" w:rsidRDefault="00A843D9" w:rsidP="00C258BC">
      <w:pPr>
        <w:spacing w:after="0"/>
        <w:jc w:val="both"/>
        <w:rPr>
          <w:color w:val="000000" w:themeColor="text1"/>
        </w:rPr>
      </w:pPr>
    </w:p>
    <w:p w14:paraId="1C5679F6" w14:textId="77777777" w:rsidR="008B7903" w:rsidRPr="0070404D" w:rsidRDefault="008B7903" w:rsidP="00C258BC">
      <w:pPr>
        <w:pStyle w:val="ListParagraph"/>
        <w:numPr>
          <w:ilvl w:val="0"/>
          <w:numId w:val="3"/>
        </w:numPr>
        <w:ind w:left="360"/>
        <w:jc w:val="both"/>
        <w:rPr>
          <w:color w:val="000000" w:themeColor="text1"/>
        </w:rPr>
      </w:pPr>
      <w:r w:rsidRPr="005512D2">
        <w:rPr>
          <w:color w:val="000000" w:themeColor="text1"/>
          <w:u w:val="single"/>
        </w:rPr>
        <w:t>An assessment of governance structures</w:t>
      </w:r>
      <w:r w:rsidRPr="003E3238">
        <w:rPr>
          <w:color w:val="000000" w:themeColor="text1"/>
        </w:rPr>
        <w:t xml:space="preserve"> concerning natural resource management, to identify strengths and weaknesses of national and local governance</w:t>
      </w:r>
      <w:r w:rsidRPr="00EE2428">
        <w:rPr>
          <w:color w:val="000000" w:themeColor="text1"/>
        </w:rPr>
        <w:t xml:space="preserve">, </w:t>
      </w:r>
      <w:r w:rsidRPr="00EE2428">
        <w:t>including land tenure systems and resource rights.</w:t>
      </w:r>
      <w:r w:rsidRPr="00785A38">
        <w:rPr>
          <w:color w:val="000000" w:themeColor="text1"/>
        </w:rPr>
        <w:t xml:space="preserve"> </w:t>
      </w:r>
    </w:p>
    <w:p w14:paraId="3C9190EF" w14:textId="0BB9972A" w:rsidR="008B7903" w:rsidRPr="0070404D" w:rsidRDefault="008B7903" w:rsidP="00C258BC">
      <w:pPr>
        <w:pStyle w:val="ListParagraph"/>
        <w:numPr>
          <w:ilvl w:val="0"/>
          <w:numId w:val="3"/>
        </w:numPr>
        <w:ind w:left="360"/>
        <w:jc w:val="both"/>
        <w:rPr>
          <w:color w:val="000000" w:themeColor="text1"/>
        </w:rPr>
      </w:pPr>
      <w:r w:rsidRPr="00785A38">
        <w:rPr>
          <w:color w:val="000000" w:themeColor="text1"/>
          <w:shd w:val="clear" w:color="auto" w:fill="FFFFFF"/>
          <w:lang w:eastAsia="es-ES"/>
        </w:rPr>
        <w:t>Where community hunting is being managed</w:t>
      </w:r>
      <w:r w:rsidRPr="00785A38">
        <w:rPr>
          <w:color w:val="000000" w:themeColor="text1"/>
          <w:u w:val="single"/>
          <w:shd w:val="clear" w:color="auto" w:fill="FFFFFF"/>
          <w:lang w:eastAsia="es-ES"/>
        </w:rPr>
        <w:t>, an assessment of local community structures</w:t>
      </w:r>
      <w:r w:rsidRPr="00785A38">
        <w:rPr>
          <w:color w:val="000000" w:themeColor="text1"/>
          <w:shd w:val="clear" w:color="auto" w:fill="FFFFFF"/>
          <w:lang w:eastAsia="es-ES"/>
        </w:rPr>
        <w:t xml:space="preserve">, social demography, rules governing community membership, </w:t>
      </w:r>
      <w:r w:rsidRPr="0070404D">
        <w:t>communit</w:t>
      </w:r>
      <w:r w:rsidRPr="004904D8">
        <w:t>y natur</w:t>
      </w:r>
      <w:r w:rsidR="00F15A6D">
        <w:t>al resource use and governance (</w:t>
      </w:r>
      <w:r w:rsidR="00D85930" w:rsidRPr="004904D8">
        <w:t>including rules</w:t>
      </w:r>
      <w:r w:rsidRPr="004904D8">
        <w:t xml:space="preserve"> of access and use, and how and by whom </w:t>
      </w:r>
      <w:r w:rsidR="00F15A6D">
        <w:t>decisions are made and enforced)</w:t>
      </w:r>
      <w:r w:rsidRPr="004904D8">
        <w:t xml:space="preserve"> traditional or local management practices, a</w:t>
      </w:r>
      <w:r w:rsidRPr="00785A38">
        <w:rPr>
          <w:color w:val="000000" w:themeColor="text1"/>
          <w:shd w:val="clear" w:color="auto" w:fill="FFFFFF"/>
          <w:lang w:eastAsia="es-ES"/>
        </w:rPr>
        <w:t>nd the communities’ relationship with the state.</w:t>
      </w:r>
    </w:p>
    <w:p w14:paraId="3771EE00" w14:textId="1715DA79" w:rsidR="008B7903" w:rsidRPr="00785A38" w:rsidRDefault="008B7903" w:rsidP="00C258BC">
      <w:pPr>
        <w:pStyle w:val="ListParagraph"/>
        <w:numPr>
          <w:ilvl w:val="0"/>
          <w:numId w:val="3"/>
        </w:numPr>
        <w:ind w:left="360"/>
        <w:jc w:val="both"/>
        <w:rPr>
          <w:color w:val="000000" w:themeColor="text1"/>
          <w:shd w:val="clear" w:color="auto" w:fill="FFFFFF"/>
          <w:lang w:eastAsia="es-ES"/>
        </w:rPr>
      </w:pPr>
      <w:r w:rsidRPr="004904D8">
        <w:rPr>
          <w:color w:val="000000" w:themeColor="text1"/>
          <w:u w:val="single"/>
        </w:rPr>
        <w:t>An assessment of the importance of wild meat for food and income</w:t>
      </w:r>
      <w:r w:rsidRPr="004904D8">
        <w:rPr>
          <w:color w:val="000000" w:themeColor="text1"/>
        </w:rPr>
        <w:t xml:space="preserve"> security in comparison to other alternatives available: </w:t>
      </w:r>
      <w:r w:rsidR="00A843D9">
        <w:rPr>
          <w:color w:val="000000" w:themeColor="text1"/>
        </w:rPr>
        <w:t>The</w:t>
      </w:r>
      <w:r w:rsidRPr="00785A38">
        <w:rPr>
          <w:color w:val="000000" w:themeColor="text1"/>
          <w:shd w:val="clear" w:color="auto" w:fill="FFFFFF"/>
          <w:lang w:eastAsia="es-ES"/>
        </w:rPr>
        <w:t xml:space="preserve"> importance of wild meat consumption and incomes </w:t>
      </w:r>
      <w:r w:rsidR="00A843D9">
        <w:rPr>
          <w:color w:val="000000" w:themeColor="text1"/>
          <w:shd w:val="clear" w:color="auto" w:fill="FFFFFF"/>
          <w:lang w:eastAsia="es-ES"/>
        </w:rPr>
        <w:t xml:space="preserve">can be assessed </w:t>
      </w:r>
      <w:r w:rsidRPr="00785A38">
        <w:rPr>
          <w:color w:val="000000" w:themeColor="text1"/>
          <w:shd w:val="clear" w:color="auto" w:fill="FFFFFF"/>
          <w:lang w:eastAsia="es-ES"/>
        </w:rPr>
        <w:t xml:space="preserve">through 24-hour (+) recall surveys targeted to household heads. Examples of household consumption surveys are provided </w:t>
      </w:r>
      <w:r w:rsidRPr="00730634">
        <w:rPr>
          <w:color w:val="000000" w:themeColor="text1"/>
          <w:shd w:val="clear" w:color="auto" w:fill="FFFFFF"/>
          <w:lang w:eastAsia="es-ES"/>
        </w:rPr>
        <w:t>by</w:t>
      </w:r>
      <w:r w:rsidR="001D376A">
        <w:rPr>
          <w:color w:val="000000" w:themeColor="text1"/>
          <w:shd w:val="clear" w:color="auto" w:fill="FFFFFF"/>
          <w:lang w:eastAsia="es-ES"/>
        </w:rPr>
        <w:t xml:space="preserve"> </w:t>
      </w:r>
      <w:r w:rsidR="001D376A">
        <w:rPr>
          <w:color w:val="000000" w:themeColor="text1"/>
          <w:shd w:val="clear" w:color="auto" w:fill="FFFFFF"/>
          <w:lang w:eastAsia="es-ES"/>
        </w:rPr>
        <w:fldChar w:fldCharType="begin" w:fldLock="1"/>
      </w:r>
      <w:r w:rsidR="001D376A">
        <w:rPr>
          <w:color w:val="000000" w:themeColor="text1"/>
          <w:shd w:val="clear" w:color="auto" w:fill="FFFFFF"/>
          <w:lang w:eastAsia="es-ES"/>
        </w:rPr>
        <w:instrText>ADDIN CSL_CITATION {"citationItems":[{"id":"ITEM-1","itemData":{"abstract":"It is often stated that wildlife is extremely important to poor rural households, particularly in tropical forest regions, and many have proposed that rural populations depend on wildife. There is evidence that the harvest of forest products such as bushmeat is highly unsustainable, and so there is a need to assess this dependence on forest resources in order to evaluate the potential impacts to people following a reduction in forest offtake whether due to declining wildlife populations or to management. There is clear evidence that the use of forest products, including bushmeat, wild fish and forest plants, is widespread, but the more ambiguous term dependence is harder to demonstrate. I show that two rural villages in continental Equatorial Guinea consume, produce and earn significant amounts from wildlife resources, particularly bushmeat. I show that the consumption of wild foods, particularly plants, increases during the lean season, implying that wild plants reduce vulnerability to food shortages in times of stress, and are therefore important for food security. Production and income from wildlife is highest for poorer, food insecure households, and this represents a significantly higher proportion of their income than for the rest of the population, suggesting that these vulnerable households with few livelihood options rely on wildlife for regular income. The less accessible village is more food insecure and has fewer income sources, and is also more reliant on forest resources, particularly bushmeat for income. Finally, I give evidence to demonstrate that monitoring sales of wildlife products in urban markets is a useful way to assess changes in offtakes. However, these markets may represent only a small fraction of the total harvest, and may underrepresent vulnerable taxa such as primates that have a relatively low price for their size. The data suggest that bushmeat harvest in continental Equatorial Guinea is likely to be unsustainable. This study has used a number of different approaches to explore dependence on wildlife in rural Equatorial Guinea, and I conclude that poorer families in the more remote village are indeed dependent on a range of wildlife resources, both for income and consumption. This must be taken into account in any policy responses to unsustainable harvests.","author":[{"dropping-particle":"","family":"Allebone-Webb","given":"Sophie M","non-dropping-particle":"","parse-names":false,"suffix":""}],"id":"ITEM-1","issued":{"date-parts":[["2009"]]},"publisher":"PhD Thesis, Imperial College London, UK.","title":"Evaluating dependence on wildlife products in rural Equatorial Guinea","type":"book"},"uris":["http://www.mendeley.com/documents/?uuid=ababf090-2775-41e4-9128-8980ae7ff6db"]},{"id":"ITEM-2","itemData":{"DOI":"10.1111/j.1469-1795.2009.00330.x","ISBN":"1367-9430","ISSN":"13679430","abstract":"Over the last decades, native Amazonians have put increasing pressure on animal wildlife owing to growth in demand. Across societies, household monetary income and wealth shape food consumption; hence, so it is natural to ask what effect might these variables have on the demand for wildlife consumption among native Amazonians, particularly as they gain a stronger foothold in the market economy and increasing de jure stewardship over their territories. Prior estimates of the effects of household monetary income and household wealth on wildlife consumption among native Amazonians have relied on cross-sectional data and produced unclear results. The goal of this research was to improve the precision of previous estimates by drawing on a larger sample and on longitudinal data. The analysis draws on a dataset composed of five consecutive annual surveys (2002–2006, inclusive) from 324 households in a native Amazonian society of foragers and farmers in Bolivia (Tsimane'). Multiple regression analysis is used to estimate the association between wildlife consumption and monetary income and wealth. Wildlife consumption bore a positive association with the level of household wealth and no significant association with household monetary income. Among Tsimane', the main internal threat to wildlife conservation in the short run will likely arise from increases in wealth, probably from the enhanced capacity that selected physical assets (e.g. guns) have in the capture of animal wildlife.","author":[{"dropping-particle":"","family":"Godoy","given":"R.","non-dropping-particle":"","parse-names":false,"suffix":""},{"dropping-particle":"","family":"Undurraga","given":"E. A.","non-dropping-particle":"","parse-names":false,"suffix":""},{"dropping-particle":"","family":"Wilkie","given":"D.","non-dropping-particle":"","parse-names":false,"suffix":""},{"dropping-particle":"","family":"Reyes-Garc??a","given":"V.","non-dropping-particle":"","parse-names":false,"suffix":""},{"dropping-particle":"","family":"Huanca","given":"T.","non-dropping-particle":"","parse-names":false,"suffix":""},{"dropping-particle":"","family":"Leonard","given":"W. R.","non-dropping-particle":"","parse-names":false,"suffix":""},{"dropping-particle":"","family":"McDade","given":"T.","non-dropping-particle":"","parse-names":false,"suffix":""},{"dropping-particle":"","family":"Tanner","given":"S.","non-dropping-particle":"","parse-names":false,"suffix":""},{"dropping-particle":"","family":"Vadez","given":"V.","non-dropping-particle":"","parse-names":false,"suffix":""}],"container-title":"Animal Conservation","id":"ITEM-2","issue":"3","issued":{"date-parts":[["2010"]]},"page":"265-274","title":"The effect of wealth and real income on wildlife consumption among native Amazonians in Bolivia: estimates of annual trends with longitudinal household data (2002-2006)","type":"article-journal","volume":"13"},"uris":["http://www.mendeley.com/documents/?uuid=3c399487-e5c0-4e2a-ba53-0886526b4469"]},{"id":"ITEM-3","itemData":{"abstract":"In this thesis I examine the role that the hunting, sale and consumption of bushmeat – wildlife hunted for food – plays in people’s livelihoods in Central Africa. This issue is central to current debates about how conservation and development can be reconciled in tropical forests, itself part of a wide debate about sustainable development. Three questions lie at the core of this debate: 1) Is urban consumption of bushmeat a key driver of exploitation of wildlife? 2) Why do contemporary Africans consume bushmeat? 3) How important is the consumption and sale of bushmeat for rural communities? I address these using quantitative and qualitative data collected in Gabon between October 2000 and September 2002. Using data from quantitative market and consumption surveys I show that in Gabon aggregate consumption of bushmeat is evenly divided between rural and urban areas. Urban consumption is concentrated in smaller towns in the interior of the country rather than in the large capital city. Most bushmeat consumed in urban areas does not pass through formal markets but more protected species are sold in formal markets. In rural areas of Gabon, people consume bushmeat because it is by far the cheapest available animal protein. Bushmeat is widely regarded as a desirable ‘organic’ meat that is preferable to lowquality imported frozen meat. It is therefore consumed even in urban areas where it is expensive compared to alternatives. However, bushmeat consumption is price sensitive and people consume less as it becomes more expensive. Using seven villages as a case study, I show that bushmeat is important to both household consumption and household income but is more important to income. It is also more important in poorer, more remote villages than in wealthier villages with easy market access. At any given site, from bushmeat is highly skewed; households that have both the male labour and financial capital to pursue both hunting and trapping simultaneously obtain most of the benefits from bushmeat. This thesis contributes to the wider debate about the role of forest resources in contribution to both development and conservation by illustrating the necessity for such debates to be based on empirical data collected at multiple scales of analysis.","author":[{"dropping-particle":"","family":"Starkey","given":"Malcolm","non-dropping-particle":"","parse-names":false,"suffix":""}],"id":"ITEM-3","issued":{"date-parts":[["2004"]]},"number-of-pages":"305","publisher":"PhD Thesis, University of Cambridge, UK","title":"Commerce and subsistence: the hunting, sale and consumption of bushmeat in Gabon","type":"book"},"uris":["http://www.mendeley.com/documents/?uuid=50e0e0eb-b3af-46eb-9916-3f5c20e90a00"]},{"id":"ITEM-4","itemData":{"DOI":"10.1111/j.1523-1739.2005.00372.x","ISBN":"0888-8892","ISSN":"08888892","abstract":"Unsustainable hunting of wildlife for food is often a more immediate and significant threat to the conservation of biological diversity in tropical forests than deforestation. Why people eat wildlife is debated. Some may eat bushmeat because they can afford it; othersmay eat it because it is familiar, traditional, confers prestige, tastes good, or adds variety. We completed a survey of 1208 rural and urban households in Gabon, Africa, in 2002–2003 to estimate the effect of wealth and prices on the consumption of wildlife and other sources of animal protein. Consumption of bushmeat, fish, chicken, and livestock increased with increasing household wealth, and as the price of these commodities rose, consumption declined. Although the prices of substitutes for bushmeat did not significantly, in statistical terms, influence bushmeat consumption, as the price of wildlife increased and its consumption fell, the consumption of fish rose, indicating that fish and bushmeat were dietary substitutes. Our results suggest that policy makers can use economic levers such as taxation or supply reduction through better law enforcement to change demand for wildlife. These measures will help to regulate unsustainable exploitation and reduce the risk of irreversible loss of large-bodied and slow-reproducing wildlife species. If policy makers focus solely on reducing the unsustainable consumption of wildlife, they may see adverse impacts on the exploitation of fish. Furthermore, policy makers must ensure that raising household wealth through development assistance does not result in undesirable impacts on the conservation status of wildlife and fish.","author":[{"dropping-particle":"","family":"Wilkie","given":"David S.","non-dropping-particle":"","parse-names":false,"suffix":""},{"dropping-particle":"","family":"Starkey","given":"Malcolm","non-dropping-particle":"","parse-names":false,"suffix":""},{"dropping-particle":"","family":"Abernethy","given":"Kate","non-dropping-particle":"","parse-names":false,"suffix":""},{"dropping-particle":"","family":"Effa","given":"Ernestine Nstame","non-dropping-particle":"","parse-names":false,"suffix":""},{"dropping-particle":"","family":"Telfer","given":"Paul","non-dropping-particle":"","parse-names":false,"suffix":""},{"dropping-particle":"","family":"Godoy","given":"Ricardo","non-dropping-particle":"","parse-names":false,"suffix":""}],"container-title":"Conservation Biology","id":"ITEM-4","issue":"1","issued":{"date-parts":[["2005"]]},"page":"268-274","title":"Role of prices and wealth in consumer demand for bushmeat in Gabon, Central Africa","type":"article-journal","volume":"19"},"uris":["http://www.mendeley.com/documents/?uuid=f47a699c-8e33-4ebf-812d-391d540a3466"]}],"mendeley":{"formattedCitation":"(Starkey 2004; Wilkie et al. 2005; Allebone-Webb 2009; Godoy et al. 2010)","manualFormatting":"Starkey (2004), Wilkie et al. (2005), Allebone-Webb (2009) and Godoy et al. 2010","plainTextFormattedCitation":"(Starkey 2004; Wilkie et al. 2005; Allebone-Webb 2009; Godoy et al. 2010)"},"properties":{"noteIndex":0},"schema":"https://github.com/citation-style-language/schema/raw/master/csl-citation.json"}</w:instrText>
      </w:r>
      <w:r w:rsidR="001D376A">
        <w:rPr>
          <w:color w:val="000000" w:themeColor="text1"/>
          <w:shd w:val="clear" w:color="auto" w:fill="FFFFFF"/>
          <w:lang w:eastAsia="es-ES"/>
        </w:rPr>
        <w:fldChar w:fldCharType="separate"/>
      </w:r>
      <w:r w:rsidR="001D376A" w:rsidRPr="001D376A">
        <w:rPr>
          <w:noProof/>
          <w:color w:val="000000" w:themeColor="text1"/>
          <w:shd w:val="clear" w:color="auto" w:fill="FFFFFF"/>
          <w:lang w:eastAsia="es-ES"/>
        </w:rPr>
        <w:t xml:space="preserve">Starkey </w:t>
      </w:r>
      <w:r w:rsidR="001D376A">
        <w:rPr>
          <w:noProof/>
          <w:color w:val="000000" w:themeColor="text1"/>
          <w:shd w:val="clear" w:color="auto" w:fill="FFFFFF"/>
          <w:lang w:eastAsia="es-ES"/>
        </w:rPr>
        <w:t>(2004),</w:t>
      </w:r>
      <w:r w:rsidR="001D376A" w:rsidRPr="001D376A">
        <w:rPr>
          <w:noProof/>
          <w:color w:val="000000" w:themeColor="text1"/>
          <w:shd w:val="clear" w:color="auto" w:fill="FFFFFF"/>
          <w:lang w:eastAsia="es-ES"/>
        </w:rPr>
        <w:t xml:space="preserve"> Wilkie et al. </w:t>
      </w:r>
      <w:r w:rsidR="001D376A">
        <w:rPr>
          <w:noProof/>
          <w:color w:val="000000" w:themeColor="text1"/>
          <w:shd w:val="clear" w:color="auto" w:fill="FFFFFF"/>
          <w:lang w:eastAsia="es-ES"/>
        </w:rPr>
        <w:t>(2005),</w:t>
      </w:r>
      <w:r w:rsidR="001D376A" w:rsidRPr="001D376A">
        <w:rPr>
          <w:noProof/>
          <w:color w:val="000000" w:themeColor="text1"/>
          <w:shd w:val="clear" w:color="auto" w:fill="FFFFFF"/>
          <w:lang w:eastAsia="es-ES"/>
        </w:rPr>
        <w:t xml:space="preserve"> Allebone-Webb </w:t>
      </w:r>
      <w:r w:rsidR="001D376A">
        <w:rPr>
          <w:noProof/>
          <w:color w:val="000000" w:themeColor="text1"/>
          <w:shd w:val="clear" w:color="auto" w:fill="FFFFFF"/>
          <w:lang w:eastAsia="es-ES"/>
        </w:rPr>
        <w:t>(</w:t>
      </w:r>
      <w:r w:rsidR="001D376A" w:rsidRPr="001D376A">
        <w:rPr>
          <w:noProof/>
          <w:color w:val="000000" w:themeColor="text1"/>
          <w:shd w:val="clear" w:color="auto" w:fill="FFFFFF"/>
          <w:lang w:eastAsia="es-ES"/>
        </w:rPr>
        <w:t>2009</w:t>
      </w:r>
      <w:r w:rsidR="001D376A">
        <w:rPr>
          <w:noProof/>
          <w:color w:val="000000" w:themeColor="text1"/>
          <w:shd w:val="clear" w:color="auto" w:fill="FFFFFF"/>
          <w:lang w:eastAsia="es-ES"/>
        </w:rPr>
        <w:t>) and</w:t>
      </w:r>
      <w:r w:rsidR="001D376A" w:rsidRPr="001D376A">
        <w:rPr>
          <w:noProof/>
          <w:color w:val="000000" w:themeColor="text1"/>
          <w:shd w:val="clear" w:color="auto" w:fill="FFFFFF"/>
          <w:lang w:eastAsia="es-ES"/>
        </w:rPr>
        <w:t xml:space="preserve"> Godoy et al. 2010</w:t>
      </w:r>
      <w:r w:rsidR="001D376A">
        <w:rPr>
          <w:color w:val="000000" w:themeColor="text1"/>
          <w:shd w:val="clear" w:color="auto" w:fill="FFFFFF"/>
          <w:lang w:eastAsia="es-ES"/>
        </w:rPr>
        <w:fldChar w:fldCharType="end"/>
      </w:r>
      <w:r w:rsidRPr="00730634">
        <w:rPr>
          <w:color w:val="000000" w:themeColor="text1"/>
          <w:shd w:val="clear" w:color="auto" w:fill="FFFFFF"/>
          <w:lang w:eastAsia="es-ES"/>
        </w:rPr>
        <w:t xml:space="preserve">. </w:t>
      </w:r>
      <w:r w:rsidRPr="00730634">
        <w:t>Seasonal</w:t>
      </w:r>
      <w:r w:rsidRPr="0070404D">
        <w:t xml:space="preserve"> calendars, participatory timelines and trend analysis are useful complementary</w:t>
      </w:r>
      <w:r w:rsidRPr="004904D8">
        <w:t xml:space="preserve"> methods for capturing seasonal variation, and</w:t>
      </w:r>
      <w:r w:rsidR="00730634">
        <w:t xml:space="preserve"> historical trends, in use </w:t>
      </w:r>
      <w:r w:rsidR="00730634">
        <w:fldChar w:fldCharType="begin" w:fldLock="1"/>
      </w:r>
      <w:r w:rsidR="00730634">
        <w:instrText>ADDIN CSL_CITATION {"citationItems":[{"id":"ITEM-1","itemData":{"author":[{"dropping-particle":"","family":"Newing","given":"H.","non-dropping-particle":"","parse-names":false,"suffix":""},{"dropping-particle":"","family":"Eagle","given":"C.M.","non-dropping-particle":"","parse-names":false,"suffix":""},{"dropping-particle":"","family":"Puri","given":"R.J.","non-dropping-particle":"","parse-names":false,"suffix":""},{"dropping-particle":"","family":"Watson","given":"C.W.","non-dropping-particle":"","parse-names":false,"suffix":""}],"id":"ITEM-1","issued":{"date-parts":[["2010"]]},"number-of-pages":"376","publisher":"Routledge","publisher-place":"London, UK","title":"Conducting research in conservation: Social science methods and practice","type":"book"},"uris":["http://www.mendeley.com/documents/?uuid=bfe36a61-c0fc-4ff1-a601-717527d851ca"]}],"mendeley":{"formattedCitation":"(Newing et al. 2010)","plainTextFormattedCitation":"(Newing et al. 2010)","previouslyFormattedCitation":"(Newing et al. 2010)"},"properties":{"noteIndex":0},"schema":"https://github.com/citation-style-language/schema/raw/master/csl-citation.json"}</w:instrText>
      </w:r>
      <w:r w:rsidR="00730634">
        <w:fldChar w:fldCharType="separate"/>
      </w:r>
      <w:r w:rsidR="00730634" w:rsidRPr="00730634">
        <w:rPr>
          <w:noProof/>
        </w:rPr>
        <w:t>(Newing et al. 2010)</w:t>
      </w:r>
      <w:r w:rsidR="00730634">
        <w:fldChar w:fldCharType="end"/>
      </w:r>
      <w:r w:rsidR="00730634">
        <w:t>.</w:t>
      </w:r>
    </w:p>
    <w:p w14:paraId="28C4534A" w14:textId="523BA7DC" w:rsidR="008B7903" w:rsidRPr="0070404D" w:rsidRDefault="008B7903" w:rsidP="00C258BC">
      <w:pPr>
        <w:pStyle w:val="ListParagraph"/>
        <w:numPr>
          <w:ilvl w:val="0"/>
          <w:numId w:val="3"/>
        </w:numPr>
        <w:ind w:left="360"/>
        <w:jc w:val="both"/>
        <w:rPr>
          <w:color w:val="000000" w:themeColor="text1"/>
          <w:shd w:val="clear" w:color="auto" w:fill="FFFFFF"/>
          <w:lang w:eastAsia="es-ES"/>
        </w:rPr>
      </w:pPr>
      <w:r w:rsidRPr="0070404D">
        <w:rPr>
          <w:color w:val="000000" w:themeColor="text1"/>
          <w:u w:val="single"/>
        </w:rPr>
        <w:t xml:space="preserve">A </w:t>
      </w:r>
      <w:r w:rsidRPr="00785A38">
        <w:rPr>
          <w:color w:val="000000" w:themeColor="text1"/>
          <w:u w:val="single"/>
          <w:shd w:val="clear" w:color="auto" w:fill="FFFFFF"/>
          <w:lang w:eastAsia="es-ES"/>
        </w:rPr>
        <w:t>thorough understanding of the wild meat market chain</w:t>
      </w:r>
      <w:r w:rsidRPr="00785A38">
        <w:rPr>
          <w:color w:val="000000" w:themeColor="text1"/>
          <w:shd w:val="clear" w:color="auto" w:fill="FFFFFF"/>
          <w:lang w:eastAsia="es-ES"/>
        </w:rPr>
        <w:t xml:space="preserve"> is key for management decisions, even in contexts where the trade is part of the informal economy. The market chain analysis identifies trade routes, stakeholders involved, degree of competition, evolution of prices along the chain, etc. A participatory approach to the market analysis, based on the perceptions and aspirations on the main actors, may help build a positive environment for future collaborative decision-making, </w:t>
      </w:r>
      <w:r w:rsidRPr="0070404D">
        <w:t>and is likely to be more robust than an approach that does not make use of local knowledge and understanding</w:t>
      </w:r>
      <w:r w:rsidRPr="00785A38">
        <w:rPr>
          <w:color w:val="000000" w:themeColor="text1"/>
          <w:shd w:val="clear" w:color="auto" w:fill="FFFFFF"/>
          <w:lang w:eastAsia="es-ES"/>
        </w:rPr>
        <w:t xml:space="preserve">. Example of market chain analyses are provided by </w:t>
      </w:r>
      <w:r w:rsidR="001A16C0">
        <w:rPr>
          <w:color w:val="000000" w:themeColor="text1"/>
          <w:shd w:val="clear" w:color="auto" w:fill="FFFFFF"/>
          <w:lang w:eastAsia="es-ES"/>
        </w:rPr>
        <w:fldChar w:fldCharType="begin" w:fldLock="1"/>
      </w:r>
      <w:r w:rsidR="001A16C0">
        <w:rPr>
          <w:color w:val="000000" w:themeColor="text1"/>
          <w:shd w:val="clear" w:color="auto" w:fill="FFFFFF"/>
          <w:lang w:eastAsia="es-ES"/>
        </w:rPr>
        <w:instrText>ADDIN CSL_CITATION {"citationItems":[{"id":"ITEM-1","itemData":{"abstract":"Bushmeat can be an important component of household food security and income in West and Central Africa. However, there is growing concern that current levels of bushmeat extraction are unsustainable and will lead to the loss of bushmeat as a natural resource and to the extinction of many threatened species. Policy development to mitigate this risk is impeded by a dearth of information on the structure of the bushmeat trade and its biological sustainability. In this study, we tackle these problems by exploring the structure and sustainability of a bushmeat commodity chain supplying the city of Takoradi in Ghana.","author":[{"dropping-particle":"","family":"Cowlishaw","given":"Guy","non-dropping-particle":"","parse-names":false,"suffix":""},{"dropping-particle":"","family":"Mendelson","given":"Samantha","non-dropping-particle":"","parse-names":false,"suffix":""},{"dropping-particle":"","family":"Rowcliffe","given":"J Marcus","non-dropping-particle":"","parse-names":false,"suffix":""}],"container-title":"Wildlife Policy","id":"ITEM-1","issue":"7","issued":{"date-parts":[["2004"]]},"page":"1-4","title":"The bushmeat commodity chain: patterns of trade and sustainability in a mature urban market in West Africa","type":"article-journal","volume":"7"},"uris":["http://www.mendeley.com/documents/?uuid=af071412-ab60-4521-9c8a-d19c3d263ad6"]},{"id":"ITEM-2","itemData":{"DOI":"10.1007/s10745-016-9813-1","ISSN":"0300-7839","author":[{"dropping-particle":"","family":"Boakye","given":"Maxwell Kwame","non-dropping-particle":"","parse-names":false,"suffix":""},{"dropping-particle":"","family":"Kotzé","given":"Antoinette","non-dropping-particle":"","parse-names":false,"suffix":""},{"dropping-particle":"","family":"Dalton","given":"Desiré Lee","non-dropping-particle":"","parse-names":false,"suffix":""},{"dropping-particle":"","family":"Jansen","given":"Raymond","non-dropping-particle":"","parse-names":false,"suffix":""}],"container-title":"Human Ecology","id":"ITEM-2","issue":"2","issued":{"date-parts":[["2016","1","28"]]},"page":"257-264","title":"Unravelling the pangolin bushmeat commodity chain and the extent of trade in Ghana","type":"article-journal","volume":"44"},"uris":["http://www.mendeley.com/documents/?uuid=ea5f3fe0-5fe9-4a8e-b141-95840455ac48"]}],"mendeley":{"formattedCitation":"(Cowlishaw et al. 2004; Boakye et al. 2016)","manualFormatting":"Cowlishaw et al. (2004) and Boakye et al. (2016)","plainTextFormattedCitation":"(Cowlishaw et al. 2004; Boakye et al. 2016)","previouslyFormattedCitation":"(Cowlishaw et al. 2004; Boakye et al. 2016)"},"properties":{"noteIndex":0},"schema":"https://github.com/citation-style-language/schema/raw/master/csl-citation.json"}</w:instrText>
      </w:r>
      <w:r w:rsidR="001A16C0">
        <w:rPr>
          <w:color w:val="000000" w:themeColor="text1"/>
          <w:shd w:val="clear" w:color="auto" w:fill="FFFFFF"/>
          <w:lang w:eastAsia="es-ES"/>
        </w:rPr>
        <w:fldChar w:fldCharType="separate"/>
      </w:r>
      <w:r w:rsidR="001A16C0" w:rsidRPr="001A16C0">
        <w:rPr>
          <w:noProof/>
          <w:color w:val="000000" w:themeColor="text1"/>
          <w:shd w:val="clear" w:color="auto" w:fill="FFFFFF"/>
          <w:lang w:eastAsia="es-ES"/>
        </w:rPr>
        <w:t xml:space="preserve">Cowlishaw et al. </w:t>
      </w:r>
      <w:r w:rsidR="001A16C0">
        <w:rPr>
          <w:noProof/>
          <w:color w:val="000000" w:themeColor="text1"/>
          <w:shd w:val="clear" w:color="auto" w:fill="FFFFFF"/>
          <w:lang w:eastAsia="es-ES"/>
        </w:rPr>
        <w:t>(</w:t>
      </w:r>
      <w:r w:rsidR="001A16C0" w:rsidRPr="001A16C0">
        <w:rPr>
          <w:noProof/>
          <w:color w:val="000000" w:themeColor="text1"/>
          <w:shd w:val="clear" w:color="auto" w:fill="FFFFFF"/>
          <w:lang w:eastAsia="es-ES"/>
        </w:rPr>
        <w:t>2004</w:t>
      </w:r>
      <w:r w:rsidR="001A16C0">
        <w:rPr>
          <w:noProof/>
          <w:color w:val="000000" w:themeColor="text1"/>
          <w:shd w:val="clear" w:color="auto" w:fill="FFFFFF"/>
          <w:lang w:eastAsia="es-ES"/>
        </w:rPr>
        <w:t>) and</w:t>
      </w:r>
      <w:r w:rsidR="001A16C0" w:rsidRPr="001A16C0">
        <w:rPr>
          <w:noProof/>
          <w:color w:val="000000" w:themeColor="text1"/>
          <w:shd w:val="clear" w:color="auto" w:fill="FFFFFF"/>
          <w:lang w:eastAsia="es-ES"/>
        </w:rPr>
        <w:t xml:space="preserve"> Boakye et al. </w:t>
      </w:r>
      <w:r w:rsidR="001A16C0">
        <w:rPr>
          <w:noProof/>
          <w:color w:val="000000" w:themeColor="text1"/>
          <w:shd w:val="clear" w:color="auto" w:fill="FFFFFF"/>
          <w:lang w:eastAsia="es-ES"/>
        </w:rPr>
        <w:t>(</w:t>
      </w:r>
      <w:r w:rsidR="001A16C0" w:rsidRPr="001A16C0">
        <w:rPr>
          <w:noProof/>
          <w:color w:val="000000" w:themeColor="text1"/>
          <w:shd w:val="clear" w:color="auto" w:fill="FFFFFF"/>
          <w:lang w:eastAsia="es-ES"/>
        </w:rPr>
        <w:t>2016)</w:t>
      </w:r>
      <w:r w:rsidR="001A16C0">
        <w:rPr>
          <w:color w:val="000000" w:themeColor="text1"/>
          <w:shd w:val="clear" w:color="auto" w:fill="FFFFFF"/>
          <w:lang w:eastAsia="es-ES"/>
        </w:rPr>
        <w:fldChar w:fldCharType="end"/>
      </w:r>
      <w:r w:rsidRPr="0070404D">
        <w:rPr>
          <w:color w:val="000000" w:themeColor="text1"/>
          <w:shd w:val="clear" w:color="auto" w:fill="FFFFFF"/>
          <w:lang w:eastAsia="es-ES"/>
        </w:rPr>
        <w:t xml:space="preserve">. </w:t>
      </w:r>
    </w:p>
    <w:p w14:paraId="0EBBF6D5" w14:textId="670E43DC" w:rsidR="008B7903" w:rsidRPr="00730634" w:rsidRDefault="008B7903" w:rsidP="00C258BC">
      <w:pPr>
        <w:pStyle w:val="ListParagraph"/>
        <w:numPr>
          <w:ilvl w:val="0"/>
          <w:numId w:val="3"/>
        </w:numPr>
        <w:ind w:left="360"/>
        <w:jc w:val="both"/>
        <w:rPr>
          <w:color w:val="000000" w:themeColor="text1"/>
        </w:rPr>
      </w:pPr>
      <w:r w:rsidRPr="004904D8">
        <w:rPr>
          <w:color w:val="000000" w:themeColor="text1"/>
          <w:u w:val="single"/>
        </w:rPr>
        <w:lastRenderedPageBreak/>
        <w:t>A participatory mapping of the hunting territory</w:t>
      </w:r>
      <w:r w:rsidRPr="004904D8">
        <w:rPr>
          <w:color w:val="000000" w:themeColor="text1"/>
        </w:rPr>
        <w:t xml:space="preserve">, providing a </w:t>
      </w:r>
      <w:r w:rsidRPr="00730634">
        <w:rPr>
          <w:color w:val="000000" w:themeColor="text1"/>
        </w:rPr>
        <w:t xml:space="preserve">good understanding of the geographical distribution of hunting activities and features important for wildlife management. Examples include </w:t>
      </w:r>
      <w:r w:rsidR="001A16C0" w:rsidRPr="00730634">
        <w:rPr>
          <w:color w:val="000000" w:themeColor="text1"/>
        </w:rPr>
        <w:fldChar w:fldCharType="begin" w:fldLock="1"/>
      </w:r>
      <w:r w:rsidR="001A16C0" w:rsidRPr="00730634">
        <w:rPr>
          <w:color w:val="000000" w:themeColor="text1"/>
        </w:rPr>
        <w:instrText>ADDIN CSL_CITATION {"citationItems":[{"id":"ITEM-1","itemData":{"author":[{"dropping-particle":"","family":"Smith","given":"D. A.","non-dropping-particle":"","parse-names":false,"suffix":""}],"container-title":"Human Organization","id":"ITEM-1","issue":"4","issued":{"date-parts":[["2003"]]},"page":"332-343","title":"Participatory mapping of community lands and hunting yields among the Bugle of Western Panama.","type":"article-journal","volume":"62"},"uris":["http://www.mendeley.com/documents/?uuid=9d5f3cb3-84cb-4de2-bcff-a2467e74b25e"]},{"id":"ITEM-2","itemData":{"author":[{"dropping-particle":"","family":"Corbett","given":"J","non-dropping-particle":"","parse-names":false,"suffix":""}],"id":"ITEM-2","issued":{"date-parts":[["2009"]]},"number-of-pages":"55","publisher-place":"IFAD, Rome, Italy","title":"Good practices in participatory mapping: a review prepared for the International Fund for Agricultural Development (IFAD)","type":"report"},"uris":["http://www.mendeley.com/documents/?uuid=2cf4596f-335c-4936-ab33-6533dfac42b1"]}],"mendeley":{"formattedCitation":"(Smith 2003; Corbett 2009)","manualFormatting":"Smith (2003), Corbett (2009)","plainTextFormattedCitation":"(Smith 2003; Corbett 2009)","previouslyFormattedCitation":"(Smith 2003; Corbett 2009)"},"properties":{"noteIndex":0},"schema":"https://github.com/citation-style-language/schema/raw/master/csl-citation.json"}</w:instrText>
      </w:r>
      <w:r w:rsidR="001A16C0" w:rsidRPr="00730634">
        <w:rPr>
          <w:color w:val="000000" w:themeColor="text1"/>
        </w:rPr>
        <w:fldChar w:fldCharType="separate"/>
      </w:r>
      <w:r w:rsidR="001A16C0" w:rsidRPr="00730634">
        <w:rPr>
          <w:noProof/>
          <w:color w:val="000000" w:themeColor="text1"/>
        </w:rPr>
        <w:t>Smith (2003), Corbett (2009)</w:t>
      </w:r>
      <w:r w:rsidR="001A16C0" w:rsidRPr="00730634">
        <w:rPr>
          <w:color w:val="000000" w:themeColor="text1"/>
        </w:rPr>
        <w:fldChar w:fldCharType="end"/>
      </w:r>
      <w:r w:rsidR="00730634" w:rsidRPr="00730634">
        <w:rPr>
          <w:color w:val="000000" w:themeColor="text1"/>
        </w:rPr>
        <w:t xml:space="preserve"> and </w:t>
      </w:r>
      <w:r w:rsidRPr="00730634">
        <w:rPr>
          <w:color w:val="000000" w:themeColor="text1"/>
        </w:rPr>
        <w:t xml:space="preserve"> </w:t>
      </w:r>
      <w:r w:rsidR="00730634" w:rsidRPr="00730634">
        <w:rPr>
          <w:color w:val="000000" w:themeColor="text1"/>
        </w:rPr>
        <w:fldChar w:fldCharType="begin" w:fldLock="1"/>
      </w:r>
      <w:r w:rsidR="00730634">
        <w:rPr>
          <w:color w:val="000000" w:themeColor="text1"/>
        </w:rPr>
        <w:instrText>ADDIN CSL_CITATION {"citationItems":[{"id":"ITEM-1","itemData":{"author":[{"dropping-particle":"","family":"IIED","given":"","non-dropping-particle":"","parse-names":false,"suffix":""},{"dropping-particle":"","family":"CTA","given":"","non-dropping-particle":"","parse-names":false,"suffix":""}],"id":"ITEM-1","issued":{"date-parts":[["2006"]]},"number-of-pages":"150","publisher":"IIED and CTA","publisher-place":"London,","title":"Mapping for Change: practice, technologies and communication. PLA 54.","type":"book"},"uris":["http://www.mendeley.com/documents/?uuid=58f73738-e698-48cf-b99d-1affbf5c8cc4"]}],"mendeley":{"formattedCitation":"(IIED &amp; CTA 2006)","manualFormatting":"IIED &amp; CTA (2006)","plainTextFormattedCitation":"(IIED &amp; CTA 2006)","previouslyFormattedCitation":"(IIED &amp; CTA 2006)"},"properties":{"noteIndex":0},"schema":"https://github.com/citation-style-language/schema/raw/master/csl-citation.json"}</w:instrText>
      </w:r>
      <w:r w:rsidR="00730634" w:rsidRPr="00730634">
        <w:rPr>
          <w:color w:val="000000" w:themeColor="text1"/>
        </w:rPr>
        <w:fldChar w:fldCharType="separate"/>
      </w:r>
      <w:r w:rsidR="00730634" w:rsidRPr="00730634">
        <w:rPr>
          <w:noProof/>
          <w:color w:val="000000" w:themeColor="text1"/>
        </w:rPr>
        <w:t>IIED &amp; CTA (2006)</w:t>
      </w:r>
      <w:r w:rsidR="00730634" w:rsidRPr="00730634">
        <w:rPr>
          <w:color w:val="000000" w:themeColor="text1"/>
        </w:rPr>
        <w:fldChar w:fldCharType="end"/>
      </w:r>
      <w:r w:rsidR="00730634" w:rsidRPr="00730634">
        <w:rPr>
          <w:color w:val="000000" w:themeColor="text1"/>
        </w:rPr>
        <w:t xml:space="preserve"> </w:t>
      </w:r>
      <w:r w:rsidRPr="00730634">
        <w:rPr>
          <w:color w:val="000000" w:themeColor="text1"/>
        </w:rPr>
        <w:t xml:space="preserve">and the </w:t>
      </w:r>
      <w:hyperlink r:id="rId153" w:history="1">
        <w:r w:rsidRPr="00730634">
          <w:rPr>
            <w:rStyle w:val="Hyperlink"/>
            <w:color w:val="000000" w:themeColor="text1"/>
          </w:rPr>
          <w:t>Mapping For Rights</w:t>
        </w:r>
      </w:hyperlink>
      <w:r w:rsidRPr="00730634">
        <w:rPr>
          <w:color w:val="000000" w:themeColor="text1"/>
        </w:rPr>
        <w:t xml:space="preserve"> website</w:t>
      </w:r>
      <w:r w:rsidR="00730634">
        <w:rPr>
          <w:color w:val="000000" w:themeColor="text1"/>
        </w:rPr>
        <w:t xml:space="preserve"> </w:t>
      </w:r>
      <w:r w:rsidR="00730634">
        <w:rPr>
          <w:color w:val="000000" w:themeColor="text1"/>
        </w:rPr>
        <w:fldChar w:fldCharType="begin" w:fldLock="1"/>
      </w:r>
      <w:r w:rsidR="004426B4">
        <w:rPr>
          <w:color w:val="000000" w:themeColor="text1"/>
        </w:rPr>
        <w:instrText>ADDIN CSL_CITATION {"citationItems":[{"id":"ITEM-1","itemData":{"URL":"https://www.mappingforrights.org","author":[{"dropping-particle":"","family":"Rainforest Alliance","given":"","non-dropping-particle":"","parse-names":false,"suffix":""}],"id":"ITEM-1","issued":{"date-parts":[["2018"]]},"title":"Mapping for Rights: putting community on the map (accessed on...)","type":"webpage"},"uris":["http://www.mendeley.com/documents/?uuid=1d9638c0-2b3f-4704-9332-47ba0ebe6fd3"]}],"mendeley":{"formattedCitation":"(Rainforest Alliance 2018)","plainTextFormattedCitation":"(Rainforest Alliance 2018)","previouslyFormattedCitation":"(Rainforest Alliance 2018)"},"properties":{"noteIndex":0},"schema":"https://github.com/citation-style-language/schema/raw/master/csl-citation.json"}</w:instrText>
      </w:r>
      <w:r w:rsidR="00730634">
        <w:rPr>
          <w:color w:val="000000" w:themeColor="text1"/>
        </w:rPr>
        <w:fldChar w:fldCharType="separate"/>
      </w:r>
      <w:r w:rsidR="00730634" w:rsidRPr="00730634">
        <w:rPr>
          <w:noProof/>
          <w:color w:val="000000" w:themeColor="text1"/>
        </w:rPr>
        <w:t>(Rainforest Alliance 2018)</w:t>
      </w:r>
      <w:r w:rsidR="00730634">
        <w:rPr>
          <w:color w:val="000000" w:themeColor="text1"/>
        </w:rPr>
        <w:fldChar w:fldCharType="end"/>
      </w:r>
      <w:r w:rsidRPr="00730634">
        <w:rPr>
          <w:color w:val="000000" w:themeColor="text1"/>
        </w:rPr>
        <w:t xml:space="preserve"> provides a range of training materials and examples. </w:t>
      </w:r>
    </w:p>
    <w:p w14:paraId="5BF8FEA7" w14:textId="1442E141" w:rsidR="008B7903" w:rsidRPr="00730634" w:rsidRDefault="008B7903" w:rsidP="00C258BC">
      <w:pPr>
        <w:pStyle w:val="ListParagraph"/>
        <w:numPr>
          <w:ilvl w:val="0"/>
          <w:numId w:val="3"/>
        </w:numPr>
        <w:ind w:left="360"/>
        <w:jc w:val="both"/>
        <w:rPr>
          <w:color w:val="000000" w:themeColor="text1"/>
        </w:rPr>
      </w:pPr>
      <w:r w:rsidRPr="00730634">
        <w:rPr>
          <w:color w:val="000000" w:themeColor="text1"/>
          <w:u w:val="single"/>
        </w:rPr>
        <w:t>A participatory assessment of hunting pressure</w:t>
      </w:r>
      <w:r w:rsidRPr="00730634">
        <w:rPr>
          <w:color w:val="000000" w:themeColor="text1"/>
        </w:rPr>
        <w:t xml:space="preserve"> based on </w:t>
      </w:r>
      <w:r w:rsidR="00F15A6D" w:rsidRPr="00730634">
        <w:rPr>
          <w:color w:val="000000" w:themeColor="text1"/>
        </w:rPr>
        <w:t xml:space="preserve">hunting </w:t>
      </w:r>
      <w:r w:rsidRPr="00730634">
        <w:rPr>
          <w:color w:val="000000" w:themeColor="text1"/>
        </w:rPr>
        <w:t xml:space="preserve">practices and offtake. Participating hunters report their preys upon return of each hunting trip using a notebook designed for data collection or using a mobile application (e.g. </w:t>
      </w:r>
      <w:hyperlink r:id="rId154" w:history="1">
        <w:r w:rsidRPr="00730634">
          <w:rPr>
            <w:rStyle w:val="Hyperlink"/>
            <w:color w:val="000000" w:themeColor="text1"/>
          </w:rPr>
          <w:t>Kobocollect</w:t>
        </w:r>
      </w:hyperlink>
      <w:r w:rsidRPr="00730634">
        <w:rPr>
          <w:color w:val="000000" w:themeColor="text1"/>
        </w:rPr>
        <w:t>. Other examples are provided by</w:t>
      </w:r>
      <w:r w:rsidR="003D6ACC">
        <w:rPr>
          <w:color w:val="000000" w:themeColor="text1"/>
        </w:rPr>
        <w:t xml:space="preserve"> </w:t>
      </w:r>
      <w:r w:rsidR="003D6ACC" w:rsidRPr="003D6ACC">
        <w:rPr>
          <w:noProof/>
          <w:color w:val="000000" w:themeColor="text1"/>
        </w:rPr>
        <w:t>Kümpel et al.</w:t>
      </w:r>
      <w:r w:rsidR="003D6ACC">
        <w:rPr>
          <w:color w:val="000000" w:themeColor="text1"/>
        </w:rPr>
        <w:fldChar w:fldCharType="begin" w:fldLock="1"/>
      </w:r>
      <w:r w:rsidR="00B82BFD">
        <w:rPr>
          <w:color w:val="000000" w:themeColor="text1"/>
        </w:rPr>
        <w:instrText>ADDIN CSL_CITATION {"citationItems":[{"id":"ITEM-1","itemData":{"author":[{"dropping-particle":"","family":"Kümpel","given":"N. F.","non-dropping-particle":"","parse-names":false,"suffix":""},{"dropping-particle":"","family":"East","given":"T.","non-dropping-particle":"","parse-names":false,"suffix":""},{"dropping-particle":"","family":"Keylock","given":"N.","non-dropping-particle":"","parse-names":false,"suffix":""},{"dropping-particle":"","family":"Rowcliffe","given":"J. M.","non-dropping-particle":"","parse-names":false,"suffix":""},{"dropping-particle":"","family":"Cowlishaw","given":"G.","non-dropping-particle":"","parse-names":false,"suffix":""},{"dropping-particle":"","family":"Milner‐Gulland","given":"E. J.","non-dropping-particle":"","parse-names":false,"suffix":""}],"container-title":"Bushmeat and Livelihoods: Wildlife Management and Poverty Reduction","editor":[{"dropping-particle":"","family":"Davies","given":"G.","non-dropping-particle":"","parse-names":false,"suffix":""},{"dropping-particle":"","family":"Brown","given":"D","non-dropping-particle":"","parse-names":false,"suffix":""}],"id":"ITEM-1","issued":{"date-parts":[["2007"]]},"page":"74-91","publisher":"Blackwell Publishers, Oxford, UK","title":"Determinants of bushmeat consumption and trade in continental Equatorial Guinea: an urban–rural comparison","type":"chapter"},"uris":["http://www.mendeley.com/documents/?uuid=354e6179-ee14-4ada-95dc-e2c7f0795ec8"]},{"id":"ITEM-2","itemData":{"DOI":"10.1111/j.1523-1739.2010.01525.x","author":[{"dropping-particle":"","family":"Coad","given":"L.","non-dropping-particle":"","parse-names":false,"suffix":""},{"dropping-particle":"","family":"Abernethy","given":"K.A.","non-dropping-particle":"","parse-names":false,"suffix":""},{"dropping-particle":"","family":"Balmford","given":"A.","non-dropping-particle":"","parse-names":false,"suffix":""},{"dropping-particle":"","family":"Manica","given":"A.","non-dropping-particle":"","parse-names":false,"suffix":""},{"dropping-particle":"","family":"Airey","given":"L.","non-dropping-particle":"","parse-names":false,"suffix":""},{"dropping-particle":"","family":"Milner-Gulland","given":"E.J.","non-dropping-particle":"","parse-names":false,"suffix":""}],"container-title":"Conservation Biology","id":"ITEM-2","issued":{"date-parts":[["2010"]]},"page":"1510-1518","title":"Distribution and use of income from bushmeat in a rural village, Central Gabon","type":"article-journal","volume":"24"},"uris":["http://www.mendeley.com/documents/?uuid=1613662d-7cac-4308-b879-4bfff838b077"]}],"mendeley":{"formattedCitation":"(Kümpel et al. 2007; Coad et al. 2010)","manualFormatting":"(2007),  Coad et al. (2010)","plainTextFormattedCitation":"(Kümpel et al. 2007; Coad et al. 2010)","previouslyFormattedCitation":"(Kümpel et al. 2007; Coad et al. 2010)"},"properties":{"noteIndex":0},"schema":"https://github.com/citation-style-language/schema/raw/master/csl-citation.json"}</w:instrText>
      </w:r>
      <w:r w:rsidR="003D6ACC">
        <w:rPr>
          <w:color w:val="000000" w:themeColor="text1"/>
        </w:rPr>
        <w:fldChar w:fldCharType="separate"/>
      </w:r>
      <w:r w:rsidR="003D6ACC" w:rsidRPr="003D6ACC">
        <w:rPr>
          <w:noProof/>
          <w:color w:val="000000" w:themeColor="text1"/>
        </w:rPr>
        <w:t>(2007</w:t>
      </w:r>
      <w:r w:rsidR="003D6ACC">
        <w:rPr>
          <w:noProof/>
          <w:color w:val="000000" w:themeColor="text1"/>
        </w:rPr>
        <w:t xml:space="preserve">), </w:t>
      </w:r>
      <w:r w:rsidR="003D6ACC" w:rsidRPr="003D6ACC">
        <w:rPr>
          <w:noProof/>
          <w:color w:val="000000" w:themeColor="text1"/>
        </w:rPr>
        <w:t xml:space="preserve"> Coad et al. </w:t>
      </w:r>
      <w:r w:rsidR="003D6ACC">
        <w:rPr>
          <w:noProof/>
          <w:color w:val="000000" w:themeColor="text1"/>
        </w:rPr>
        <w:t>(</w:t>
      </w:r>
      <w:r w:rsidR="00B82BFD">
        <w:rPr>
          <w:noProof/>
          <w:color w:val="000000" w:themeColor="text1"/>
        </w:rPr>
        <w:t>2010</w:t>
      </w:r>
      <w:r w:rsidR="003D6ACC" w:rsidRPr="003D6ACC">
        <w:rPr>
          <w:noProof/>
          <w:color w:val="000000" w:themeColor="text1"/>
        </w:rPr>
        <w:t>)</w:t>
      </w:r>
      <w:r w:rsidR="003D6ACC">
        <w:rPr>
          <w:color w:val="000000" w:themeColor="text1"/>
        </w:rPr>
        <w:fldChar w:fldCharType="end"/>
      </w:r>
      <w:r w:rsidRPr="00730634">
        <w:rPr>
          <w:color w:val="000000" w:themeColor="text1"/>
        </w:rPr>
        <w:t xml:space="preserve">, and </w:t>
      </w:r>
      <w:r w:rsidR="001A16C0" w:rsidRPr="00730634">
        <w:rPr>
          <w:color w:val="000000" w:themeColor="text1"/>
        </w:rPr>
        <w:fldChar w:fldCharType="begin" w:fldLock="1"/>
      </w:r>
      <w:r w:rsidR="001A16C0" w:rsidRPr="00730634">
        <w:rPr>
          <w:color w:val="000000" w:themeColor="text1"/>
        </w:rPr>
        <w:instrText>ADDIN CSL_CITATION {"citationItems":[{"id":"ITEM-1","itemData":{"DOI":"10.5751/ES-05164-170422","ISSN":"1708-3087","abstract":"Acre; Amaz{ô}nas; Caprivi; community participation; decentralization; indigenous people; protected area; wildlife management","author":[{"dropping-particle":"","family":"Constantino","given":"P A L","non-dropping-particle":"","parse-names":false,"suffix":""},{"dropping-particle":"","family":"Carlos","given":"H S A","non-dropping-particle":"","parse-names":false,"suffix":""},{"dropping-particle":"","family":"Ramalho","given":"E E","non-dropping-particle":"","parse-names":false,"suffix":""},{"dropping-particle":"","family":"Rostant","given":"L","non-dropping-particle":"","parse-names":false,"suffix":""},{"dropping-particle":"","family":"Marinelli","given":"C E","non-dropping-particle":"","parse-names":false,"suffix":""},{"dropping-particle":"","family":"Teles","given":"D","non-dropping-particle":"","parse-names":false,"suffix":""},{"dropping-particle":"","family":"Fonseca-Junior","given":"S F","non-dropping-particle":"","parse-names":false,"suffix":""},{"dropping-particle":"","family":"Fernandes","given":"R B","non-dropping-particle":"","parse-names":false,"suffix":""},{"dropping-particle":"","family":"Valsecchi","given":"","non-dropping-particle":"","parse-names":false,"suffix":""}],"container-title":"Ecology and Society","id":"ITEM-1","issue":"4","issued":{"date-parts":[["2012"]]},"page":"22","title":"Changing contexts, changing strategies empowering local people through community-based resource monitoring: a comparison between Brazil and Namibia","type":"article-journal","volume":"17"},"uris":["http://www.mendeley.com/documents/?uuid=c75c0b1c-a05b-44cd-b088-3e6561a0cca6"]}],"mendeley":{"formattedCitation":"(Constantino et al. 2012)","manualFormatting":"Constantino et al. (2012)","plainTextFormattedCitation":"(Constantino et al. 2012)","previouslyFormattedCitation":"(Constantino et al. 2012)"},"properties":{"noteIndex":0},"schema":"https://github.com/citation-style-language/schema/raw/master/csl-citation.json"}</w:instrText>
      </w:r>
      <w:r w:rsidR="001A16C0" w:rsidRPr="00730634">
        <w:rPr>
          <w:color w:val="000000" w:themeColor="text1"/>
        </w:rPr>
        <w:fldChar w:fldCharType="separate"/>
      </w:r>
      <w:r w:rsidR="001A16C0" w:rsidRPr="00730634">
        <w:rPr>
          <w:noProof/>
          <w:color w:val="000000" w:themeColor="text1"/>
        </w:rPr>
        <w:t>Constantino et al. (2012)</w:t>
      </w:r>
      <w:r w:rsidR="001A16C0" w:rsidRPr="00730634">
        <w:rPr>
          <w:color w:val="000000" w:themeColor="text1"/>
        </w:rPr>
        <w:fldChar w:fldCharType="end"/>
      </w:r>
      <w:r w:rsidR="001A16C0" w:rsidRPr="00730634">
        <w:rPr>
          <w:color w:val="000000" w:themeColor="text1"/>
        </w:rPr>
        <w:t>.</w:t>
      </w:r>
    </w:p>
    <w:p w14:paraId="41F8EB99" w14:textId="1E364899" w:rsidR="000E4784" w:rsidRPr="00710CCC" w:rsidRDefault="008B7903" w:rsidP="00C258BC">
      <w:pPr>
        <w:pStyle w:val="ListParagraph"/>
        <w:numPr>
          <w:ilvl w:val="0"/>
          <w:numId w:val="3"/>
        </w:numPr>
        <w:ind w:left="360"/>
        <w:jc w:val="both"/>
        <w:rPr>
          <w:color w:val="000000" w:themeColor="text1"/>
        </w:rPr>
      </w:pPr>
      <w:r w:rsidRPr="005512D2">
        <w:rPr>
          <w:color w:val="000000" w:themeColor="text1"/>
          <w:u w:val="single"/>
        </w:rPr>
        <w:t>An assessment of prey populations</w:t>
      </w:r>
      <w:r w:rsidRPr="005512D2">
        <w:rPr>
          <w:color w:val="000000" w:themeColor="text1"/>
        </w:rPr>
        <w:t xml:space="preserve">: </w:t>
      </w:r>
      <w:r w:rsidRPr="003E3238">
        <w:rPr>
          <w:color w:val="000000" w:themeColor="text1"/>
          <w:shd w:val="clear" w:color="auto" w:fill="FFFFFF"/>
        </w:rPr>
        <w:t>Estimating the abundance of wildlife in dense tropical and sub-tropical forests is a challenge given the low visibility and the discrete behaviour of wildlife. Numerous methods have been developed to assess the geographical distribution of prey species and quantify species richness and abundance, including direct and indirect sightings along transects, camera traps, recce counts, non-invasive genetic methods an</w:t>
      </w:r>
      <w:r w:rsidR="00F15A6D">
        <w:rPr>
          <w:color w:val="000000" w:themeColor="text1"/>
          <w:shd w:val="clear" w:color="auto" w:fill="FFFFFF"/>
        </w:rPr>
        <w:t xml:space="preserve">d acoustic assessments. </w:t>
      </w:r>
      <w:r w:rsidRPr="00EE2428">
        <w:rPr>
          <w:color w:val="000000" w:themeColor="text1"/>
          <w:shd w:val="clear" w:color="auto" w:fill="FFFFFF"/>
        </w:rPr>
        <w:t xml:space="preserve">Descriptions of key methods for surveying species populations  are provided in the </w:t>
      </w:r>
      <w:hyperlink r:id="rId155" w:history="1">
        <w:r w:rsidRPr="004904D8">
          <w:rPr>
            <w:rStyle w:val="Hyperlink"/>
            <w:shd w:val="clear" w:color="auto" w:fill="FFFFFF"/>
          </w:rPr>
          <w:t>virtual issue on Monitoring Wildlife</w:t>
        </w:r>
      </w:hyperlink>
      <w:r w:rsidRPr="004904D8">
        <w:rPr>
          <w:color w:val="000000" w:themeColor="text1"/>
          <w:shd w:val="clear" w:color="auto" w:fill="FFFFFF"/>
        </w:rPr>
        <w:t xml:space="preserve">, and by </w:t>
      </w:r>
      <w:hyperlink r:id="rId156" w:history="1">
        <w:r w:rsidRPr="004904D8">
          <w:rPr>
            <w:rStyle w:val="Hyperlink"/>
            <w:shd w:val="clear" w:color="auto" w:fill="FFFFFF"/>
          </w:rPr>
          <w:t xml:space="preserve">Stokes, Johnson </w:t>
        </w:r>
        <w:r w:rsidR="00DC426E">
          <w:rPr>
            <w:rStyle w:val="Hyperlink"/>
            <w:shd w:val="clear" w:color="auto" w:fill="FFFFFF"/>
          </w:rPr>
          <w:t xml:space="preserve">and </w:t>
        </w:r>
        <w:r w:rsidRPr="004904D8">
          <w:rPr>
            <w:rStyle w:val="Hyperlink"/>
            <w:shd w:val="clear" w:color="auto" w:fill="FFFFFF"/>
          </w:rPr>
          <w:t>Rao, 2011.</w:t>
        </w:r>
      </w:hyperlink>
      <w:r w:rsidRPr="004904D8">
        <w:rPr>
          <w:color w:val="000000" w:themeColor="text1"/>
          <w:shd w:val="clear" w:color="auto" w:fill="FFFFFF"/>
        </w:rPr>
        <w:t xml:space="preserve"> Methods should be chosen to suit the intervention objectives and technical capacity. For example, projects bordering and run in collaboration with a protected area, or run by an extractive industry, might wish to estimate the actual population sizes for key species, and have the financial and technical capacity needed to conduct </w:t>
      </w:r>
      <w:r w:rsidRPr="004904D8">
        <w:rPr>
          <w:color w:val="000000" w:themeColor="text1"/>
        </w:rPr>
        <w:t xml:space="preserve">line-transect surveys and camera-trapping. However, </w:t>
      </w:r>
      <w:r w:rsidRPr="005512D2">
        <w:rPr>
          <w:color w:val="000000" w:themeColor="text1"/>
          <w:shd w:val="clear" w:color="auto" w:fill="FFFFFF"/>
        </w:rPr>
        <w:t>the sampling effort and technical skills needed to estimate accurately the density of wildlife hunted is often disproportionate to the objectives and financial means of the stakeholders involved in participatory wildlife management, and in this case simpler indices, using participatory approaches, will be more suitable</w:t>
      </w:r>
      <w:r w:rsidRPr="004904D8">
        <w:rPr>
          <w:color w:val="000000" w:themeColor="text1"/>
          <w:shd w:val="clear" w:color="auto" w:fill="FFFFFF"/>
        </w:rPr>
        <w:t xml:space="preserve">. </w:t>
      </w:r>
    </w:p>
    <w:p w14:paraId="23FFB133" w14:textId="77777777" w:rsidR="008B7903" w:rsidRPr="004904D8" w:rsidRDefault="008B7903" w:rsidP="00C258BC">
      <w:pPr>
        <w:jc w:val="both"/>
        <w:rPr>
          <w:color w:val="000000" w:themeColor="text1"/>
        </w:rPr>
      </w:pPr>
      <w:r w:rsidRPr="004904D8">
        <w:rPr>
          <w:color w:val="000000" w:themeColor="text1"/>
        </w:rPr>
        <w:t>For interventions aiming to reduce demand by changing the price of wild meat and its substitutes, or through behaviour change interventions, baseline studies should include:</w:t>
      </w:r>
    </w:p>
    <w:p w14:paraId="233DC8D2" w14:textId="4BBEBADF" w:rsidR="008B7903" w:rsidRPr="003E3238" w:rsidRDefault="008B7903" w:rsidP="00C258BC">
      <w:pPr>
        <w:pStyle w:val="ListParagraph"/>
        <w:numPr>
          <w:ilvl w:val="0"/>
          <w:numId w:val="3"/>
        </w:numPr>
        <w:ind w:left="360"/>
        <w:jc w:val="both"/>
        <w:rPr>
          <w:color w:val="000000" w:themeColor="text1"/>
        </w:rPr>
      </w:pPr>
      <w:r w:rsidRPr="005512D2">
        <w:rPr>
          <w:color w:val="000000" w:themeColor="text1"/>
          <w:u w:val="single"/>
        </w:rPr>
        <w:t>Market surveys of wild meat and substitute sales and prices</w:t>
      </w:r>
      <w:r w:rsidRPr="005512D2">
        <w:rPr>
          <w:color w:val="000000" w:themeColor="text1"/>
        </w:rPr>
        <w:t xml:space="preserve"> </w:t>
      </w:r>
      <w:r w:rsidR="00F15A6D">
        <w:rPr>
          <w:color w:val="000000" w:themeColor="text1"/>
        </w:rPr>
        <w:t>such as for livestock, poultry, fish</w:t>
      </w:r>
      <w:r w:rsidRPr="005512D2">
        <w:rPr>
          <w:color w:val="000000" w:themeColor="text1"/>
        </w:rPr>
        <w:t>, to</w:t>
      </w:r>
      <w:r w:rsidRPr="003E3238">
        <w:rPr>
          <w:color w:val="000000" w:themeColor="text1"/>
        </w:rPr>
        <w:t xml:space="preserve"> estimate the own- and cross-price elasticity of </w:t>
      </w:r>
      <w:r w:rsidR="00D85930" w:rsidRPr="003E3238">
        <w:rPr>
          <w:color w:val="000000" w:themeColor="text1"/>
        </w:rPr>
        <w:t>demand and</w:t>
      </w:r>
      <w:r w:rsidRPr="003E3238">
        <w:rPr>
          <w:color w:val="000000" w:themeColor="text1"/>
        </w:rPr>
        <w:t xml:space="preserve"> determine the availability of substitutes.</w:t>
      </w:r>
    </w:p>
    <w:p w14:paraId="144DEB38" w14:textId="6600E080" w:rsidR="008B7903" w:rsidRPr="0070404D" w:rsidRDefault="008B7903" w:rsidP="00C258BC">
      <w:pPr>
        <w:pStyle w:val="ListParagraph"/>
        <w:numPr>
          <w:ilvl w:val="0"/>
          <w:numId w:val="3"/>
        </w:numPr>
        <w:ind w:left="360"/>
        <w:jc w:val="both"/>
        <w:rPr>
          <w:color w:val="000000" w:themeColor="text1"/>
        </w:rPr>
      </w:pPr>
      <w:r w:rsidRPr="003E3238">
        <w:rPr>
          <w:color w:val="000000" w:themeColor="text1"/>
          <w:u w:val="single"/>
        </w:rPr>
        <w:t>Household and consumer surveys</w:t>
      </w:r>
      <w:r w:rsidRPr="00EE2428">
        <w:rPr>
          <w:b/>
          <w:color w:val="000000" w:themeColor="text1"/>
        </w:rPr>
        <w:t>,</w:t>
      </w:r>
      <w:r w:rsidRPr="00EE2428">
        <w:rPr>
          <w:color w:val="000000" w:themeColor="text1"/>
        </w:rPr>
        <w:t xml:space="preserve"> to a) determine the amounts of wild meat consumed, and the income-elasticity of wild meat, and b) investigate the non-pr</w:t>
      </w:r>
      <w:r w:rsidRPr="0064175F">
        <w:rPr>
          <w:color w:val="000000" w:themeColor="text1"/>
        </w:rPr>
        <w:t xml:space="preserve">ice factors influencing wild meat </w:t>
      </w:r>
      <w:r w:rsidRPr="0070404D">
        <w:rPr>
          <w:color w:val="000000" w:themeColor="text1"/>
        </w:rPr>
        <w:t>consumption</w:t>
      </w:r>
      <w:r w:rsidR="00837F97">
        <w:rPr>
          <w:color w:val="000000" w:themeColor="text1"/>
        </w:rPr>
        <w:t xml:space="preserve"> (</w:t>
      </w:r>
      <w:r w:rsidR="00837F97">
        <w:rPr>
          <w:color w:val="000000" w:themeColor="text1"/>
        </w:rPr>
        <w:fldChar w:fldCharType="begin"/>
      </w:r>
      <w:r w:rsidR="00837F97">
        <w:rPr>
          <w:color w:val="000000" w:themeColor="text1"/>
        </w:rPr>
        <w:instrText xml:space="preserve"> REF _Ref519874924 \h </w:instrText>
      </w:r>
      <w:r w:rsidR="00837F97">
        <w:rPr>
          <w:color w:val="000000" w:themeColor="text1"/>
        </w:rPr>
      </w:r>
      <w:r w:rsidR="00837F97">
        <w:rPr>
          <w:color w:val="000000" w:themeColor="text1"/>
        </w:rPr>
        <w:fldChar w:fldCharType="separate"/>
      </w:r>
      <w:r w:rsidR="007034F1">
        <w:t xml:space="preserve">Box </w:t>
      </w:r>
      <w:r w:rsidR="007034F1">
        <w:rPr>
          <w:noProof/>
        </w:rPr>
        <w:t>13</w:t>
      </w:r>
      <w:r w:rsidR="00837F97">
        <w:rPr>
          <w:color w:val="000000" w:themeColor="text1"/>
        </w:rPr>
        <w:fldChar w:fldCharType="end"/>
      </w:r>
      <w:r w:rsidR="00837F97">
        <w:rPr>
          <w:color w:val="000000" w:themeColor="text1"/>
        </w:rPr>
        <w:t>)</w:t>
      </w:r>
      <w:r w:rsidR="00F15A6D">
        <w:rPr>
          <w:color w:val="000000" w:themeColor="text1"/>
        </w:rPr>
        <w:t xml:space="preserve">, </w:t>
      </w:r>
      <w:r w:rsidRPr="0070404D">
        <w:rPr>
          <w:color w:val="000000" w:themeColor="text1"/>
        </w:rPr>
        <w:t xml:space="preserve">where qualitative participatory approaches, such as focus groups, will be valuable </w:t>
      </w:r>
      <w:r w:rsidR="00DD7745">
        <w:rPr>
          <w:color w:val="000000" w:themeColor="text1"/>
        </w:rPr>
        <w:fldChar w:fldCharType="begin" w:fldLock="1"/>
      </w:r>
      <w:r w:rsidR="00AA5190">
        <w:rPr>
          <w:color w:val="000000" w:themeColor="text1"/>
        </w:rPr>
        <w:instrText>ADDIN CSL_CITATION {"citationItems":[{"id":"ITEM-1","itemData":{"author":[{"dropping-particle":"","family":"Newing","given":"H.","non-dropping-particle":"","parse-names":false,"suffix":""},{"dropping-particle":"","family":"Eagle","given":"C.M.","non-dropping-particle":"","parse-names":false,"suffix":""},{"dropping-particle":"","family":"Puri","given":"R.J.","non-dropping-particle":"","parse-names":false,"suffix":""},{"dropping-particle":"","family":"Watson","given":"C.W.","non-dropping-particle":"","parse-names":false,"suffix":""}],"id":"ITEM-1","issued":{"date-parts":[["2010"]]},"number-of-pages":"376","publisher":"Routledge","publisher-place":"London, UK","title":"Conducting research in conservation: Social science methods and practice","type":"book"},"uris":["http://www.mendeley.com/documents/?uuid=bfe36a61-c0fc-4ff1-a601-717527d851ca"]}],"mendeley":{"formattedCitation":"(Newing et al. 2010)","plainTextFormattedCitation":"(Newing et al. 2010)","previouslyFormattedCitation":"(Newing et al. 2010)"},"properties":{"noteIndex":0},"schema":"https://github.com/citation-style-language/schema/raw/master/csl-citation.json"}</w:instrText>
      </w:r>
      <w:r w:rsidR="00DD7745">
        <w:rPr>
          <w:color w:val="000000" w:themeColor="text1"/>
        </w:rPr>
        <w:fldChar w:fldCharType="separate"/>
      </w:r>
      <w:r w:rsidR="00DD7745" w:rsidRPr="00DD7745">
        <w:rPr>
          <w:noProof/>
          <w:color w:val="000000" w:themeColor="text1"/>
        </w:rPr>
        <w:t>(Newing et al. 2010)</w:t>
      </w:r>
      <w:r w:rsidR="00DD7745">
        <w:rPr>
          <w:color w:val="000000" w:themeColor="text1"/>
        </w:rPr>
        <w:fldChar w:fldCharType="end"/>
      </w:r>
      <w:r w:rsidR="00DD7745">
        <w:rPr>
          <w:color w:val="000000" w:themeColor="text1"/>
        </w:rPr>
        <w:t>.</w:t>
      </w:r>
    </w:p>
    <w:p w14:paraId="0C458F66" w14:textId="4157B39C" w:rsidR="008B7903" w:rsidRPr="0070404D" w:rsidRDefault="00D85930" w:rsidP="00DF57F3">
      <w:pPr>
        <w:pStyle w:val="Heading2"/>
      </w:pPr>
      <w:bookmarkStart w:id="311" w:name="_Toc519156110"/>
      <w:bookmarkStart w:id="312" w:name="_Toc529390383"/>
      <w:r w:rsidRPr="0070404D">
        <w:t>Choosing</w:t>
      </w:r>
      <w:r w:rsidR="008B7903" w:rsidRPr="0070404D">
        <w:t xml:space="preserve"> </w:t>
      </w:r>
      <w:r w:rsidR="008A5A93" w:rsidRPr="0070404D">
        <w:t>complementary interventions</w:t>
      </w:r>
      <w:r w:rsidR="008A5A93">
        <w:t xml:space="preserve">, suited to </w:t>
      </w:r>
      <w:r w:rsidR="008B7903" w:rsidRPr="0070404D">
        <w:t>the context</w:t>
      </w:r>
      <w:bookmarkEnd w:id="311"/>
      <w:bookmarkEnd w:id="312"/>
    </w:p>
    <w:p w14:paraId="639AFD8A" w14:textId="72F9C280" w:rsidR="008B7903" w:rsidRPr="000A7365" w:rsidRDefault="008B7903" w:rsidP="00C258BC">
      <w:pPr>
        <w:jc w:val="both"/>
        <w:rPr>
          <w:color w:val="000000" w:themeColor="text1"/>
        </w:rPr>
      </w:pPr>
      <w:r w:rsidRPr="0070404D">
        <w:rPr>
          <w:color w:val="000000" w:themeColor="text1"/>
        </w:rPr>
        <w:t xml:space="preserve">Strategies must also be chosen to suit the context in which they are to be applied; a strategy that is successful in one area may be unsuited to another. </w:t>
      </w:r>
      <w:r w:rsidR="00A479D2" w:rsidRPr="0070404D">
        <w:rPr>
          <w:color w:val="000000" w:themeColor="text1"/>
        </w:rPr>
        <w:t>For example, the Namibian model of community conservancies may be transferable t</w:t>
      </w:r>
      <w:r w:rsidR="00A479D2">
        <w:rPr>
          <w:color w:val="000000" w:themeColor="text1"/>
        </w:rPr>
        <w:t xml:space="preserve">o countries with similar characteristics and enabling environment </w:t>
      </w:r>
      <w:r w:rsidR="00A479D2" w:rsidRPr="0070404D">
        <w:rPr>
          <w:color w:val="000000" w:themeColor="text1"/>
        </w:rPr>
        <w:t xml:space="preserve">but would be unsuitable to </w:t>
      </w:r>
      <w:r w:rsidR="00A479D2">
        <w:rPr>
          <w:color w:val="000000" w:themeColor="text1"/>
        </w:rPr>
        <w:t>other regions where this enabling environment does not exist</w:t>
      </w:r>
      <w:r w:rsidR="00A479D2" w:rsidRPr="004904D8">
        <w:rPr>
          <w:color w:val="000000" w:themeColor="text1"/>
        </w:rPr>
        <w:t>.</w:t>
      </w:r>
      <w:r w:rsidR="00A479D2">
        <w:rPr>
          <w:color w:val="000000" w:themeColor="text1"/>
        </w:rPr>
        <w:t xml:space="preserve"> </w:t>
      </w:r>
      <w:r w:rsidR="001969F5">
        <w:rPr>
          <w:color w:val="000000" w:themeColor="text1"/>
        </w:rPr>
        <w:t>Suitable conditions would include</w:t>
      </w:r>
      <w:r w:rsidR="00F15A6D">
        <w:rPr>
          <w:color w:val="000000" w:themeColor="text1"/>
        </w:rPr>
        <w:t xml:space="preserve"> devolved </w:t>
      </w:r>
      <w:r w:rsidRPr="0070404D">
        <w:rPr>
          <w:color w:val="000000" w:themeColor="text1"/>
        </w:rPr>
        <w:t>rights over wil</w:t>
      </w:r>
      <w:r w:rsidR="009D7356">
        <w:rPr>
          <w:color w:val="000000" w:themeColor="text1"/>
        </w:rPr>
        <w:t xml:space="preserve">dlife to local communities, </w:t>
      </w:r>
      <w:r w:rsidRPr="0070404D">
        <w:rPr>
          <w:color w:val="000000" w:themeColor="text1"/>
        </w:rPr>
        <w:t xml:space="preserve">national frameworks and capacity for the management and monitoring of wildlife quotas, low population density, low levels of institutional corruption, </w:t>
      </w:r>
      <w:r w:rsidR="009D7356">
        <w:rPr>
          <w:color w:val="000000" w:themeColor="text1"/>
        </w:rPr>
        <w:t xml:space="preserve">and where </w:t>
      </w:r>
      <w:r w:rsidRPr="0070404D">
        <w:rPr>
          <w:color w:val="000000" w:themeColor="text1"/>
        </w:rPr>
        <w:t xml:space="preserve">livestock ranching </w:t>
      </w:r>
      <w:r w:rsidR="009D7356">
        <w:rPr>
          <w:color w:val="000000" w:themeColor="text1"/>
        </w:rPr>
        <w:t xml:space="preserve">is </w:t>
      </w:r>
      <w:r w:rsidRPr="0070404D">
        <w:rPr>
          <w:color w:val="000000" w:themeColor="text1"/>
        </w:rPr>
        <w:t>less profitable compared to wildlife u</w:t>
      </w:r>
      <w:r w:rsidR="001969F5">
        <w:rPr>
          <w:color w:val="000000" w:themeColor="text1"/>
        </w:rPr>
        <w:t xml:space="preserve">ses </w:t>
      </w:r>
      <w:r w:rsidR="001A16C0">
        <w:rPr>
          <w:color w:val="000000" w:themeColor="text1"/>
        </w:rPr>
        <w:fldChar w:fldCharType="begin" w:fldLock="1"/>
      </w:r>
      <w:r w:rsidR="00AB268B">
        <w:rPr>
          <w:color w:val="000000" w:themeColor="text1"/>
        </w:rPr>
        <w:instrText>ADDIN CSL_CITATION {"citationItems":[{"id":"ITEM-1","itemData":{"DOI":"10.1111/j.1467-7660.2008.00496.x","ISBN":"1467-7660","ISSN":"0012155X","abstract":"This article examines the institutional factors that account for the outcome of efforts to decentralize control over natural resources to local communities. It focuses on the political nature of institutional processes associated with decentralization in sub-Saharan Africa through a comparative analysis of wildlife management reforms in seven east and southern African countries. Institutional reforms are largely dependent on state authorities’ patronage interests, which in turn are shaped by the relative economic value of wildlife, the degree of central control over commercial utilization, and the accountability of governance institutions. Our findings have a range of practical implications for the design of CBNRM initiatives and institutional reform strategies.","author":[{"dropping-particle":"","family":"Nelson","given":"F","non-dropping-particle":"","parse-names":false,"suffix":""},{"dropping-particle":"","family":"Agrawal","given":"A","non-dropping-particle":"","parse-names":false,"suffix":""}],"container-title":"Development &amp; Change","id":"ITEM-1","issue":"4","issued":{"date-parts":[["2008"]]},"page":"557-585","title":"Patronage or participation? Community-based natural resource management reform in sub-Saharan Africa","type":"article-journal","volume":"39"},"uris":["http://www.mendeley.com/documents/?uuid=8eb9e65e-f38c-3bf4-a703-a81a92be0c8b"]}],"mendeley":{"formattedCitation":"(Nelson &amp; Agrawal 2008)","plainTextFormattedCitation":"(Nelson &amp; Agrawal 2008)","previouslyFormattedCitation":"(Nelson &amp; Agrawal 2008)"},"properties":{"noteIndex":0},"schema":"https://github.com/citation-style-language/schema/raw/master/csl-citation.json"}</w:instrText>
      </w:r>
      <w:r w:rsidR="001A16C0">
        <w:rPr>
          <w:color w:val="000000" w:themeColor="text1"/>
        </w:rPr>
        <w:fldChar w:fldCharType="separate"/>
      </w:r>
      <w:r w:rsidR="001A16C0" w:rsidRPr="001A16C0">
        <w:rPr>
          <w:noProof/>
          <w:color w:val="000000" w:themeColor="text1"/>
        </w:rPr>
        <w:t>(Nelson &amp; Agrawal 2008)</w:t>
      </w:r>
      <w:r w:rsidR="001A16C0">
        <w:rPr>
          <w:color w:val="000000" w:themeColor="text1"/>
        </w:rPr>
        <w:fldChar w:fldCharType="end"/>
      </w:r>
      <w:r w:rsidR="001969F5">
        <w:rPr>
          <w:color w:val="000000" w:themeColor="text1"/>
        </w:rPr>
        <w:t xml:space="preserve">. </w:t>
      </w:r>
      <w:r w:rsidRPr="004904D8">
        <w:rPr>
          <w:color w:val="000000" w:themeColor="text1"/>
        </w:rPr>
        <w:t>Small-scale animal husbandry projects may be more successful in countries where there is an history of animal husbandry and wildlife populations are already depleted; such as in the case of cane-rat ranching (</w:t>
      </w:r>
      <w:r w:rsidR="00837F97">
        <w:rPr>
          <w:color w:val="000000" w:themeColor="text1"/>
          <w:highlight w:val="yellow"/>
        </w:rPr>
        <w:fldChar w:fldCharType="begin"/>
      </w:r>
      <w:r w:rsidR="00837F97">
        <w:rPr>
          <w:color w:val="000000" w:themeColor="text1"/>
        </w:rPr>
        <w:instrText xml:space="preserve"> REF _Ref519874444 \h </w:instrText>
      </w:r>
      <w:r w:rsidR="00837F97">
        <w:rPr>
          <w:color w:val="000000" w:themeColor="text1"/>
          <w:highlight w:val="yellow"/>
        </w:rPr>
      </w:r>
      <w:r w:rsidR="00837F97">
        <w:rPr>
          <w:color w:val="000000" w:themeColor="text1"/>
          <w:highlight w:val="yellow"/>
        </w:rPr>
        <w:fldChar w:fldCharType="separate"/>
      </w:r>
      <w:r w:rsidR="007034F1">
        <w:t xml:space="preserve">Box </w:t>
      </w:r>
      <w:r w:rsidR="007034F1">
        <w:rPr>
          <w:noProof/>
        </w:rPr>
        <w:t>9</w:t>
      </w:r>
      <w:r w:rsidR="00837F97">
        <w:rPr>
          <w:color w:val="000000" w:themeColor="text1"/>
          <w:highlight w:val="yellow"/>
        </w:rPr>
        <w:fldChar w:fldCharType="end"/>
      </w:r>
      <w:r w:rsidRPr="004904D8">
        <w:rPr>
          <w:color w:val="000000" w:themeColor="text1"/>
        </w:rPr>
        <w:t>). Similarly, strategies to supply high quantities of a substitute protein at cheap prices may work well in a</w:t>
      </w:r>
      <w:r w:rsidRPr="005512D2">
        <w:rPr>
          <w:color w:val="000000" w:themeColor="text1"/>
        </w:rPr>
        <w:t xml:space="preserve"> settlement where wild meat is</w:t>
      </w:r>
      <w:r w:rsidRPr="003E3238">
        <w:rPr>
          <w:color w:val="000000" w:themeColor="text1"/>
        </w:rPr>
        <w:t xml:space="preserve"> eaten as a source of </w:t>
      </w:r>
      <w:r w:rsidRPr="003E3238">
        <w:rPr>
          <w:color w:val="000000" w:themeColor="text1"/>
        </w:rPr>
        <w:lastRenderedPageBreak/>
        <w:t xml:space="preserve">protein due to its availability and low price </w:t>
      </w:r>
      <w:r w:rsidRPr="00EE2428">
        <w:rPr>
          <w:color w:val="000000" w:themeColor="text1"/>
        </w:rPr>
        <w:t>(a normal good</w:t>
      </w:r>
      <w:r w:rsidR="00D85930" w:rsidRPr="0064175F">
        <w:rPr>
          <w:color w:val="000000" w:themeColor="text1"/>
        </w:rPr>
        <w:t>)</w:t>
      </w:r>
      <w:r w:rsidR="001969F5">
        <w:rPr>
          <w:color w:val="000000" w:themeColor="text1"/>
        </w:rPr>
        <w:t xml:space="preserve">. However, it may fail </w:t>
      </w:r>
      <w:r w:rsidRPr="0070404D">
        <w:rPr>
          <w:color w:val="000000" w:themeColor="text1"/>
        </w:rPr>
        <w:t xml:space="preserve">to reduce demand in a city where wild meat is eaten for reasons of prestige and preference (a luxury good). Due to this, interventions should be based </w:t>
      </w:r>
      <w:r w:rsidRPr="000A7365">
        <w:rPr>
          <w:color w:val="000000" w:themeColor="text1"/>
        </w:rPr>
        <w:t xml:space="preserve">on prior knowledge of the drivers of wild meat use, and the socio-political context, and be based on a </w:t>
      </w:r>
      <w:r w:rsidR="00BF033D" w:rsidRPr="000A7365">
        <w:rPr>
          <w:color w:val="000000" w:themeColor="text1"/>
        </w:rPr>
        <w:t>Theory of Change (ToC)</w:t>
      </w:r>
      <w:r w:rsidRPr="000A7365">
        <w:rPr>
          <w:color w:val="000000" w:themeColor="text1"/>
        </w:rPr>
        <w:t>.</w:t>
      </w:r>
    </w:p>
    <w:p w14:paraId="59396035" w14:textId="52C23285" w:rsidR="008B7903" w:rsidRPr="000A7365" w:rsidRDefault="008B7903" w:rsidP="00C258BC">
      <w:pPr>
        <w:jc w:val="both"/>
        <w:rPr>
          <w:color w:val="000000" w:themeColor="text1"/>
        </w:rPr>
      </w:pPr>
      <w:r w:rsidRPr="000A7365">
        <w:rPr>
          <w:color w:val="000000" w:themeColor="text1"/>
        </w:rPr>
        <w:t xml:space="preserve">Strategies to manage wild meat use will only be successful if used in complement, designed as part of a landscape approach rather than as isolated interventions. For example, organisations involved in media campaigns aimed at reducing the demand for </w:t>
      </w:r>
      <w:r w:rsidR="00DD34E0" w:rsidRPr="000A7365">
        <w:rPr>
          <w:color w:val="000000" w:themeColor="text1"/>
        </w:rPr>
        <w:t xml:space="preserve">rhino </w:t>
      </w:r>
      <w:r w:rsidRPr="000A7365">
        <w:rPr>
          <w:color w:val="000000" w:themeColor="text1"/>
        </w:rPr>
        <w:t xml:space="preserve">horn in Vietnam reported that, without the appropriate intervention from law enforcement agencies, reducing the demand for illegal wildlife products was not possible </w:t>
      </w:r>
      <w:r w:rsidR="001A16C0">
        <w:rPr>
          <w:color w:val="000000" w:themeColor="text1"/>
        </w:rPr>
        <w:fldChar w:fldCharType="begin" w:fldLock="1"/>
      </w:r>
      <w:r w:rsidR="00F80C4C">
        <w:rPr>
          <w:color w:val="000000" w:themeColor="text1"/>
        </w:rPr>
        <w:instrText>ADDIN CSL_CITATION {"citationItems":[{"id":"ITEM-1","itemData":{"DOI":"10.1111/conl.12365","author":[{"dropping-particle":"","family":"Olmedo","given":"A.","non-dropping-particle":"","parse-names":false,"suffix":""},{"dropping-particle":"","family":"Sharif","given":"V.","non-dropping-particle":"","parse-names":false,"suffix":""},{"dropping-particle":"","family":"Milner-Gulland","given":"E.J.","non-dropping-particle":"","parse-names":false,"suffix":""}],"container-title":"Conservation Letters","id":"ITEM-1","issued":{"date-parts":[["2018"]]},"page":"e12365","title":"Evaluating the design of behaviour change interventions: a case study of rhino horn in Vietnam","type":"article-journal","volume":"11"},"uris":["http://www.mendeley.com/documents/?uuid=6013e5ac-b554-4a56-825b-c1343e609efd"]}],"mendeley":{"formattedCitation":"(Olmedo et al. 2018)","plainTextFormattedCitation":"(Olmedo et al. 2018)","previouslyFormattedCitation":"(Olmedo et al. 2018)"},"properties":{"noteIndex":0},"schema":"https://github.com/citation-style-language/schema/raw/master/csl-citation.json"}</w:instrText>
      </w:r>
      <w:r w:rsidR="001A16C0">
        <w:rPr>
          <w:color w:val="000000" w:themeColor="text1"/>
        </w:rPr>
        <w:fldChar w:fldCharType="separate"/>
      </w:r>
      <w:r w:rsidR="001A16C0" w:rsidRPr="001A16C0">
        <w:rPr>
          <w:noProof/>
          <w:color w:val="000000" w:themeColor="text1"/>
        </w:rPr>
        <w:t>(Olmedo et al. 2018)</w:t>
      </w:r>
      <w:r w:rsidR="001A16C0">
        <w:rPr>
          <w:color w:val="000000" w:themeColor="text1"/>
        </w:rPr>
        <w:fldChar w:fldCharType="end"/>
      </w:r>
      <w:r w:rsidRPr="000A7365">
        <w:rPr>
          <w:color w:val="000000" w:themeColor="text1"/>
        </w:rPr>
        <w:t>. Community livelihood project managers in DRC reported that, while community engagement in the project was encouraging, pressures on wildlife from external hunters (militias with high-calibre weaponry) due to high demand for wildlife products meant that the impacts of the project were minimal (</w:t>
      </w:r>
      <w:r w:rsidR="00837F97" w:rsidRPr="000A7365">
        <w:rPr>
          <w:color w:val="000000" w:themeColor="text1"/>
          <w:highlight w:val="yellow"/>
        </w:rPr>
        <w:fldChar w:fldCharType="begin"/>
      </w:r>
      <w:r w:rsidR="00837F97" w:rsidRPr="000A7365">
        <w:rPr>
          <w:color w:val="000000" w:themeColor="text1"/>
        </w:rPr>
        <w:instrText xml:space="preserve"> REF _Ref519874444 \h </w:instrText>
      </w:r>
      <w:r w:rsidR="00837F97" w:rsidRPr="000A7365">
        <w:rPr>
          <w:color w:val="000000" w:themeColor="text1"/>
          <w:highlight w:val="yellow"/>
        </w:rPr>
      </w:r>
      <w:r w:rsidR="00837F97" w:rsidRPr="000A7365">
        <w:rPr>
          <w:color w:val="000000" w:themeColor="text1"/>
          <w:highlight w:val="yellow"/>
        </w:rPr>
        <w:fldChar w:fldCharType="separate"/>
      </w:r>
      <w:r w:rsidR="007034F1">
        <w:t xml:space="preserve">Box </w:t>
      </w:r>
      <w:r w:rsidR="007034F1">
        <w:rPr>
          <w:noProof/>
        </w:rPr>
        <w:t>9</w:t>
      </w:r>
      <w:r w:rsidR="00837F97" w:rsidRPr="000A7365">
        <w:rPr>
          <w:color w:val="000000" w:themeColor="text1"/>
          <w:highlight w:val="yellow"/>
        </w:rPr>
        <w:fldChar w:fldCharType="end"/>
      </w:r>
      <w:r w:rsidRPr="000A7365">
        <w:rPr>
          <w:color w:val="000000" w:themeColor="text1"/>
        </w:rPr>
        <w:t xml:space="preserve">). Without strategies to reduce wild meat demand in urban areas, and the ability to exclude external hunters from their lands, rural communities will have high incentives to supply growing demand, and face pressure from external commercial hunters, which is a precarious baseline for community-based management approaches. Similarly, enforcement approaches applied without parallel projects tackling the drivers of wild meat use (such as local protein and income needs) could have significant negative impacts on </w:t>
      </w:r>
      <w:r w:rsidR="00D85930" w:rsidRPr="000A7365">
        <w:rPr>
          <w:color w:val="000000" w:themeColor="text1"/>
        </w:rPr>
        <w:t>livelihoods and</w:t>
      </w:r>
      <w:r w:rsidRPr="000A7365">
        <w:rPr>
          <w:color w:val="000000" w:themeColor="text1"/>
        </w:rPr>
        <w:t xml:space="preserve"> are less likely to succeed.</w:t>
      </w:r>
    </w:p>
    <w:p w14:paraId="092CBF2D" w14:textId="77777777" w:rsidR="008B7903" w:rsidRPr="000A7365" w:rsidRDefault="008B7903" w:rsidP="00DF57F3">
      <w:pPr>
        <w:pStyle w:val="Heading2"/>
      </w:pPr>
      <w:bookmarkStart w:id="313" w:name="_Toc517693766"/>
      <w:bookmarkStart w:id="314" w:name="_Toc519156112"/>
      <w:bookmarkStart w:id="315" w:name="_Toc529390384"/>
      <w:r w:rsidRPr="000A7365">
        <w:t>Applying a Theory of Change</w:t>
      </w:r>
      <w:bookmarkEnd w:id="313"/>
      <w:bookmarkEnd w:id="314"/>
      <w:bookmarkEnd w:id="315"/>
    </w:p>
    <w:p w14:paraId="14AEE6BC" w14:textId="4A475580" w:rsidR="008B7903" w:rsidRPr="0070404D" w:rsidRDefault="008B7903" w:rsidP="00C258BC">
      <w:pPr>
        <w:jc w:val="both"/>
        <w:rPr>
          <w:color w:val="000000" w:themeColor="text1"/>
        </w:rPr>
      </w:pPr>
      <w:r w:rsidRPr="000A7365">
        <w:rPr>
          <w:color w:val="000000" w:themeColor="text1"/>
        </w:rPr>
        <w:t xml:space="preserve">A recommended, and simple, approach for designing conservation interventions is to use a </w:t>
      </w:r>
      <w:r w:rsidR="00BF033D" w:rsidRPr="000A7365">
        <w:rPr>
          <w:color w:val="000000" w:themeColor="text1"/>
        </w:rPr>
        <w:t>ToC</w:t>
      </w:r>
      <w:r w:rsidRPr="000A7365">
        <w:rPr>
          <w:color w:val="000000" w:themeColor="text1"/>
        </w:rPr>
        <w:t xml:space="preserve"> </w:t>
      </w:r>
      <w:r w:rsidRPr="00CB3EE6">
        <w:rPr>
          <w:color w:val="000000" w:themeColor="text1"/>
        </w:rPr>
        <w:t xml:space="preserve">model. </w:t>
      </w:r>
      <w:r w:rsidR="00CB3EE6" w:rsidRPr="000A7365">
        <w:rPr>
          <w:color w:val="000000" w:themeColor="text1"/>
        </w:rPr>
        <w:t>ToC</w:t>
      </w:r>
      <w:r w:rsidRPr="00CB3EE6">
        <w:rPr>
          <w:color w:val="000000" w:themeColor="text1"/>
        </w:rPr>
        <w:t xml:space="preserve"> can be described simply as: ‘</w:t>
      </w:r>
      <w:r w:rsidRPr="00CB3EE6">
        <w:rPr>
          <w:i/>
          <w:color w:val="000000" w:themeColor="text1"/>
        </w:rPr>
        <w:t>The description of a sequence of events that is expected to lead to a particular</w:t>
      </w:r>
      <w:r w:rsidRPr="000A7365">
        <w:rPr>
          <w:i/>
          <w:color w:val="000000" w:themeColor="text1"/>
        </w:rPr>
        <w:t xml:space="preserve"> desired outcome</w:t>
      </w:r>
      <w:r w:rsidRPr="000A7365">
        <w:rPr>
          <w:color w:val="000000" w:themeColor="text1"/>
        </w:rPr>
        <w:t xml:space="preserve">’ </w:t>
      </w:r>
      <w:r w:rsidR="00F80C4C">
        <w:rPr>
          <w:color w:val="000000" w:themeColor="text1"/>
        </w:rPr>
        <w:fldChar w:fldCharType="begin" w:fldLock="1"/>
      </w:r>
      <w:r w:rsidR="00F80C4C">
        <w:rPr>
          <w:color w:val="000000" w:themeColor="text1"/>
        </w:rPr>
        <w:instrText>ADDIN CSL_CITATION {"citationItems":[{"id":"ITEM-1","itemData":{"author":[{"dropping-particle":"","family":"Davies","given":"R.","non-dropping-particle":"","parse-names":false,"suffix":""}],"id":"ITEM-1","issued":{"date-parts":[["2012"]]},"title":"Blog post on the criteria for assessing the evaluability of a theory of change. http://mandenews.blogspot.co.uk/2012/04/criteria-for- assessing-evaluablity-of.html","type":"article"},"uris":["http://www.mendeley.com/documents/?uuid=68ec1744-7369-4f9f-8142-b1bc86512e2d"]}],"mendeley":{"formattedCitation":"(Davies 2012)","plainTextFormattedCitation":"(Davies 2012)","previouslyFormattedCitation":"(Davies 2012)"},"properties":{"noteIndex":0},"schema":"https://github.com/citation-style-language/schema/raw/master/csl-citation.json"}</w:instrText>
      </w:r>
      <w:r w:rsidR="00F80C4C">
        <w:rPr>
          <w:color w:val="000000" w:themeColor="text1"/>
        </w:rPr>
        <w:fldChar w:fldCharType="separate"/>
      </w:r>
      <w:r w:rsidR="00F80C4C" w:rsidRPr="00F80C4C">
        <w:rPr>
          <w:noProof/>
          <w:color w:val="000000" w:themeColor="text1"/>
        </w:rPr>
        <w:t>(Davies 2012)</w:t>
      </w:r>
      <w:r w:rsidR="00F80C4C">
        <w:rPr>
          <w:color w:val="000000" w:themeColor="text1"/>
        </w:rPr>
        <w:fldChar w:fldCharType="end"/>
      </w:r>
      <w:r w:rsidRPr="000A7365">
        <w:rPr>
          <w:color w:val="000000" w:themeColor="text1"/>
        </w:rPr>
        <w:t>. In the context of wild meat interventions, it describes the process by which project designers believe that the intervention (the input) will result in populations of hunted species reaching/</w:t>
      </w:r>
      <w:r w:rsidRPr="0070404D">
        <w:rPr>
          <w:color w:val="000000" w:themeColor="text1"/>
        </w:rPr>
        <w:t xml:space="preserve">staying at a certain level (the desired outcome). A </w:t>
      </w:r>
      <w:r w:rsidR="00E3097F" w:rsidRPr="0070404D">
        <w:rPr>
          <w:color w:val="000000" w:themeColor="text1"/>
        </w:rPr>
        <w:t xml:space="preserve">ToC </w:t>
      </w:r>
      <w:r w:rsidRPr="0070404D">
        <w:rPr>
          <w:color w:val="000000" w:themeColor="text1"/>
        </w:rPr>
        <w:t xml:space="preserve">for a hypothetical alternative livelihoods project is provided </w:t>
      </w:r>
      <w:r w:rsidR="00837F97">
        <w:rPr>
          <w:color w:val="000000" w:themeColor="text1"/>
        </w:rPr>
        <w:t xml:space="preserve">in </w:t>
      </w:r>
      <w:r w:rsidR="00837F97">
        <w:rPr>
          <w:color w:val="000000" w:themeColor="text1"/>
        </w:rPr>
        <w:fldChar w:fldCharType="begin"/>
      </w:r>
      <w:r w:rsidR="00837F97">
        <w:rPr>
          <w:color w:val="000000" w:themeColor="text1"/>
        </w:rPr>
        <w:instrText xml:space="preserve"> REF _Ref519874881 \h </w:instrText>
      </w:r>
      <w:r w:rsidR="00837F97">
        <w:rPr>
          <w:color w:val="000000" w:themeColor="text1"/>
        </w:rPr>
      </w:r>
      <w:r w:rsidR="00837F97">
        <w:rPr>
          <w:color w:val="000000" w:themeColor="text1"/>
        </w:rPr>
        <w:fldChar w:fldCharType="separate"/>
      </w:r>
      <w:r w:rsidR="007034F1">
        <w:t xml:space="preserve">Box </w:t>
      </w:r>
      <w:r w:rsidR="007034F1">
        <w:rPr>
          <w:noProof/>
        </w:rPr>
        <w:t>11</w:t>
      </w:r>
      <w:r w:rsidR="00837F97">
        <w:rPr>
          <w:color w:val="000000" w:themeColor="text1"/>
        </w:rPr>
        <w:fldChar w:fldCharType="end"/>
      </w:r>
      <w:r w:rsidR="00872413">
        <w:rPr>
          <w:color w:val="000000" w:themeColor="text1"/>
        </w:rPr>
        <w:t xml:space="preserve"> and </w:t>
      </w:r>
      <w:r w:rsidR="00872413">
        <w:rPr>
          <w:color w:val="000000" w:themeColor="text1"/>
        </w:rPr>
        <w:fldChar w:fldCharType="begin"/>
      </w:r>
      <w:r w:rsidR="00872413">
        <w:rPr>
          <w:color w:val="000000" w:themeColor="text1"/>
        </w:rPr>
        <w:instrText xml:space="preserve"> REF _Ref528834804 \h </w:instrText>
      </w:r>
      <w:r w:rsidR="00872413">
        <w:rPr>
          <w:color w:val="000000" w:themeColor="text1"/>
        </w:rPr>
      </w:r>
      <w:r w:rsidR="00872413">
        <w:rPr>
          <w:color w:val="000000" w:themeColor="text1"/>
        </w:rPr>
        <w:fldChar w:fldCharType="separate"/>
      </w:r>
      <w:r w:rsidR="007034F1">
        <w:t xml:space="preserve">Box </w:t>
      </w:r>
      <w:r w:rsidR="007034F1">
        <w:rPr>
          <w:noProof/>
        </w:rPr>
        <w:t>12</w:t>
      </w:r>
      <w:r w:rsidR="00872413">
        <w:rPr>
          <w:color w:val="000000" w:themeColor="text1"/>
        </w:rPr>
        <w:fldChar w:fldCharType="end"/>
      </w:r>
      <w:r w:rsidRPr="0070404D">
        <w:rPr>
          <w:color w:val="000000" w:themeColor="text1"/>
        </w:rPr>
        <w:t xml:space="preserve">. By describing the ToC of an intervention, managers can identify the assumptions that are being made at each stage of the project, identify where there might be flawed assumptions, or a lack of data, and design an appropriate data collection, monitoring or evaluation system.  </w:t>
      </w:r>
    </w:p>
    <w:p w14:paraId="14D6756B" w14:textId="77777777" w:rsidR="008B7903" w:rsidRPr="004904D8" w:rsidRDefault="008B7903" w:rsidP="00C258BC">
      <w:pPr>
        <w:jc w:val="both"/>
        <w:rPr>
          <w:color w:val="000000" w:themeColor="text1"/>
        </w:rPr>
      </w:pPr>
      <w:r w:rsidRPr="006C56F2">
        <w:rPr>
          <w:noProof/>
          <w:color w:val="000000" w:themeColor="text1"/>
          <w:lang w:val="en-US"/>
        </w:rPr>
        <w:lastRenderedPageBreak/>
        <mc:AlternateContent>
          <mc:Choice Requires="wps">
            <w:drawing>
              <wp:inline distT="0" distB="0" distL="0" distR="0" wp14:anchorId="0DF1C063" wp14:editId="0E6E48EB">
                <wp:extent cx="5750560" cy="4138930"/>
                <wp:effectExtent l="0" t="0" r="19050" b="24130"/>
                <wp:docPr id="2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735" cy="4023995"/>
                        </a:xfrm>
                        <a:prstGeom prst="rect">
                          <a:avLst/>
                        </a:prstGeom>
                        <a:solidFill>
                          <a:schemeClr val="bg1">
                            <a:lumMod val="85000"/>
                          </a:schemeClr>
                        </a:solidFill>
                        <a:ln w="22225">
                          <a:solidFill>
                            <a:schemeClr val="tx1">
                              <a:lumMod val="100000"/>
                              <a:lumOff val="0"/>
                            </a:schemeClr>
                          </a:solidFill>
                          <a:miter lim="800000"/>
                          <a:headEnd/>
                          <a:tailEnd/>
                        </a:ln>
                        <a:extLst/>
                      </wps:spPr>
                      <wps:txbx>
                        <w:txbxContent>
                          <w:p w14:paraId="189C55AD" w14:textId="164BAD82" w:rsidR="00B82BFD" w:rsidRPr="00803DEE" w:rsidRDefault="00B82BFD" w:rsidP="00837F97">
                            <w:pPr>
                              <w:pStyle w:val="Caption"/>
                              <w:rPr>
                                <w:b w:val="0"/>
                                <w:sz w:val="22"/>
                              </w:rPr>
                            </w:pPr>
                            <w:bookmarkStart w:id="316" w:name="_Ref519874881"/>
                            <w:bookmarkStart w:id="317" w:name="_Ref519874874"/>
                            <w:bookmarkStart w:id="318" w:name="_Hlk529354025"/>
                            <w:r>
                              <w:t xml:space="preserve">Box </w:t>
                            </w:r>
                            <w:r>
                              <w:fldChar w:fldCharType="begin"/>
                            </w:r>
                            <w:r>
                              <w:instrText xml:space="preserve"> SEQ Box \* ARABIC </w:instrText>
                            </w:r>
                            <w:r>
                              <w:fldChar w:fldCharType="separate"/>
                            </w:r>
                            <w:r>
                              <w:rPr>
                                <w:noProof/>
                              </w:rPr>
                              <w:t>11</w:t>
                            </w:r>
                            <w:r>
                              <w:fldChar w:fldCharType="end"/>
                            </w:r>
                            <w:bookmarkEnd w:id="316"/>
                            <w:r w:rsidRPr="00803DEE">
                              <w:rPr>
                                <w:b w:val="0"/>
                                <w:sz w:val="22"/>
                              </w:rPr>
                              <w:t xml:space="preserve">: </w:t>
                            </w:r>
                            <w:r w:rsidRPr="00837F97">
                              <w:rPr>
                                <w:sz w:val="22"/>
                              </w:rPr>
                              <w:t>Using a Theory of Change approach in Project design (1)</w:t>
                            </w:r>
                            <w:bookmarkEnd w:id="317"/>
                          </w:p>
                          <w:bookmarkEnd w:id="318"/>
                          <w:p w14:paraId="408F9B19" w14:textId="17000692" w:rsidR="00B82BFD" w:rsidRPr="00803DEE" w:rsidRDefault="00B82BFD" w:rsidP="008B7903">
                            <w:pPr>
                              <w:rPr>
                                <w:sz w:val="22"/>
                              </w:rPr>
                            </w:pPr>
                            <w:r w:rsidRPr="00DD7745">
                              <w:rPr>
                                <w:b/>
                                <w:sz w:val="22"/>
                              </w:rPr>
                              <w:t>Hypothetical Theory of Change for an alternative livelihood project (</w:t>
                            </w:r>
                            <w:r w:rsidRPr="00DD7745">
                              <w:rPr>
                                <w:sz w:val="22"/>
                              </w:rPr>
                              <w:t>Adapted from Wicander and Coad, 2015</w:t>
                            </w:r>
                            <w:r w:rsidRPr="00DD7745">
                              <w:rPr>
                                <w:b/>
                                <w:sz w:val="22"/>
                              </w:rPr>
                              <w:t>)</w:t>
                            </w:r>
                            <w:r w:rsidRPr="00DD7745">
                              <w:rPr>
                                <w:sz w:val="22"/>
                              </w:rPr>
                              <w:t xml:space="preserve">: The figure below illustrates an simple example of the use of </w:t>
                            </w:r>
                            <w:r w:rsidRPr="00DD7745" w:rsidDel="00DD34E0">
                              <w:rPr>
                                <w:sz w:val="22"/>
                              </w:rPr>
                              <w:t xml:space="preserve">the </w:t>
                            </w:r>
                            <w:r w:rsidRPr="00DD7745">
                              <w:rPr>
                                <w:sz w:val="22"/>
                              </w:rPr>
                              <w:t>a ToC for a hypothetical alternative livelihoods project which aims to increase the husbandry of goats in a rural village, to reduce pressure on wildlife. The ToC for the project is that by providing</w:t>
                            </w:r>
                            <w:r w:rsidRPr="00803DEE">
                              <w:rPr>
                                <w:sz w:val="22"/>
                              </w:rPr>
                              <w:t xml:space="preserve"> goats to local hunters, income and protein provided by goat rearing will replace that of hunting, and hunters occupied with goat rearing will no longer have time to go hunting. </w:t>
                            </w:r>
                          </w:p>
                          <w:p w14:paraId="603DF256" w14:textId="77777777" w:rsidR="00B82BFD" w:rsidRPr="00803DEE" w:rsidRDefault="00B82BFD" w:rsidP="008B7903">
                            <w:pPr>
                              <w:rPr>
                                <w:sz w:val="22"/>
                              </w:rPr>
                            </w:pPr>
                            <w:r w:rsidRPr="00803DEE">
                              <w:rPr>
                                <w:sz w:val="22"/>
                              </w:rPr>
                              <w:t xml:space="preserve">At each stage along the cause-and-effect assumption chain, assumptions are made by both project managers and participants. For instance, in this case, one project manager assumption is that the primary hunters will spend more time in the village tending to their goats – an alternative possibility, however, might be that these hunters </w:t>
                            </w:r>
                            <w:r>
                              <w:rPr>
                                <w:sz w:val="22"/>
                              </w:rPr>
                              <w:t>leave the goats with other family members</w:t>
                            </w:r>
                            <w:r w:rsidRPr="00803DEE">
                              <w:rPr>
                                <w:sz w:val="22"/>
                              </w:rPr>
                              <w:t xml:space="preserve"> and continue to hunt, in which case the project would not achieve its desired outcome.</w:t>
                            </w:r>
                            <w:r>
                              <w:rPr>
                                <w:sz w:val="22"/>
                              </w:rPr>
                              <w:t xml:space="preserve"> Without effective project monitoring and evaluation at each stage of the chain, project managers will not be able to tell whether their assumptions held. </w:t>
                            </w:r>
                            <w:r w:rsidRPr="00803DEE">
                              <w:rPr>
                                <w:sz w:val="22"/>
                              </w:rPr>
                              <w:t xml:space="preserve"> </w:t>
                            </w:r>
                          </w:p>
                          <w:p w14:paraId="4386A86E" w14:textId="77777777" w:rsidR="00B82BFD" w:rsidRPr="00803DEE" w:rsidRDefault="00B82BFD" w:rsidP="008B7903">
                            <w:pPr>
                              <w:rPr>
                                <w:sz w:val="22"/>
                              </w:rPr>
                            </w:pPr>
                            <w:r w:rsidRPr="00803DEE">
                              <w:rPr>
                                <w:noProof/>
                                <w:sz w:val="22"/>
                                <w:lang w:val="en-US"/>
                              </w:rPr>
                              <w:drawing>
                                <wp:inline distT="0" distB="0" distL="0" distR="0" wp14:anchorId="1686AF66" wp14:editId="48038AA9">
                                  <wp:extent cx="5730875" cy="1584325"/>
                                  <wp:effectExtent l="0" t="0" r="9525" b="0"/>
                                  <wp:docPr id="5" name="Picture 5" descr="../../../Dropbox/Screenshots/Screenshot%202017-07-05%2010.5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pbox/Screenshots/Screenshot%202017-07-05%2010.56.26.pn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730875" cy="1584325"/>
                                          </a:xfrm>
                                          <a:prstGeom prst="rect">
                                            <a:avLst/>
                                          </a:prstGeom>
                                          <a:noFill/>
                                          <a:ln>
                                            <a:noFill/>
                                          </a:ln>
                                        </pic:spPr>
                                      </pic:pic>
                                    </a:graphicData>
                                  </a:graphic>
                                </wp:inline>
                              </w:drawing>
                            </w:r>
                          </w:p>
                          <w:p w14:paraId="1FF85FFA" w14:textId="77777777" w:rsidR="00B82BFD" w:rsidRPr="00803DEE" w:rsidRDefault="00B82BFD" w:rsidP="008B7903">
                            <w:pPr>
                              <w:rPr>
                                <w:sz w:val="22"/>
                              </w:rPr>
                            </w:pPr>
                          </w:p>
                        </w:txbxContent>
                      </wps:txbx>
                      <wps:bodyPr rot="0" vert="horz" wrap="none" lIns="91440" tIns="45720" rIns="91440" bIns="45720" anchor="t" anchorCtr="0" upright="1">
                        <a:spAutoFit/>
                      </wps:bodyPr>
                    </wps:wsp>
                  </a:graphicData>
                </a:graphic>
              </wp:inline>
            </w:drawing>
          </mc:Choice>
          <mc:Fallback>
            <w:pict>
              <v:shape w14:anchorId="0DF1C063" id="Text Box 6" o:spid="_x0000_s1036" type="#_x0000_t202" style="width:452.8pt;height:325.9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" fillcolor="#d8d8d8 [2732]" strokecolor="black [3213]" strokeweight="1.75pt">
                <v:textbox style="mso-fit-shape-to-text:t">
                  <w:txbxContent>
                    <w:p w14:paraId="189C55AD" w14:textId="164BAD82" w:rsidR="00B82BFD" w:rsidRPr="00803DEE" w:rsidRDefault="00B82BFD" w:rsidP="00837F97">
                      <w:pPr>
                        <w:pStyle w:val="Caption"/>
                        <w:rPr>
                          <w:b w:val="0"/>
                          <w:sz w:val="22"/>
                        </w:rPr>
                      </w:pPr>
                      <w:bookmarkStart w:id="319" w:name="_Ref519874881"/>
                      <w:bookmarkStart w:id="320" w:name="_Ref519874874"/>
                      <w:bookmarkStart w:id="321" w:name="_Hlk529354025"/>
                      <w:r>
                        <w:t xml:space="preserve">Box </w:t>
                      </w:r>
                      <w:r>
                        <w:fldChar w:fldCharType="begin"/>
                      </w:r>
                      <w:r>
                        <w:instrText xml:space="preserve"> SEQ Box \* ARABIC </w:instrText>
                      </w:r>
                      <w:r>
                        <w:fldChar w:fldCharType="separate"/>
                      </w:r>
                      <w:r>
                        <w:rPr>
                          <w:noProof/>
                        </w:rPr>
                        <w:t>11</w:t>
                      </w:r>
                      <w:r>
                        <w:fldChar w:fldCharType="end"/>
                      </w:r>
                      <w:bookmarkEnd w:id="319"/>
                      <w:r w:rsidRPr="00803DEE">
                        <w:rPr>
                          <w:b w:val="0"/>
                          <w:sz w:val="22"/>
                        </w:rPr>
                        <w:t xml:space="preserve">: </w:t>
                      </w:r>
                      <w:r w:rsidRPr="00837F97">
                        <w:rPr>
                          <w:sz w:val="22"/>
                        </w:rPr>
                        <w:t>Using a Theory of Change approach in Project design (1)</w:t>
                      </w:r>
                      <w:bookmarkEnd w:id="320"/>
                    </w:p>
                    <w:bookmarkEnd w:id="321"/>
                    <w:p w14:paraId="408F9B19" w14:textId="17000692" w:rsidR="00B82BFD" w:rsidRPr="00803DEE" w:rsidRDefault="00B82BFD" w:rsidP="008B7903">
                      <w:pPr>
                        <w:rPr>
                          <w:sz w:val="22"/>
                        </w:rPr>
                      </w:pPr>
                      <w:r w:rsidRPr="00DD7745">
                        <w:rPr>
                          <w:b/>
                          <w:sz w:val="22"/>
                        </w:rPr>
                        <w:t>Hypothetical Theory of Change for an alternative livelihood project (</w:t>
                      </w:r>
                      <w:r w:rsidRPr="00DD7745">
                        <w:rPr>
                          <w:sz w:val="22"/>
                        </w:rPr>
                        <w:t>Adapted from Wicander and Coad, 2015</w:t>
                      </w:r>
                      <w:r w:rsidRPr="00DD7745">
                        <w:rPr>
                          <w:b/>
                          <w:sz w:val="22"/>
                        </w:rPr>
                        <w:t>)</w:t>
                      </w:r>
                      <w:r w:rsidRPr="00DD7745">
                        <w:rPr>
                          <w:sz w:val="22"/>
                        </w:rPr>
                        <w:t xml:space="preserve">: The figure below illustrates an simple example of the use of </w:t>
                      </w:r>
                      <w:r w:rsidRPr="00DD7745" w:rsidDel="00DD34E0">
                        <w:rPr>
                          <w:sz w:val="22"/>
                        </w:rPr>
                        <w:t xml:space="preserve">the </w:t>
                      </w:r>
                      <w:r w:rsidRPr="00DD7745">
                        <w:rPr>
                          <w:sz w:val="22"/>
                        </w:rPr>
                        <w:t>a ToC for a hypothetical alternative livelihoods project which aims to increase the husbandry of goats in a rural village, to reduce pressure on wildlife. The ToC for the project is that by providing</w:t>
                      </w:r>
                      <w:r w:rsidRPr="00803DEE">
                        <w:rPr>
                          <w:sz w:val="22"/>
                        </w:rPr>
                        <w:t xml:space="preserve"> goats to local hunters, income and protein provided by goat rearing will replace that of hunting, and hunters occupied with goat rearing will no longer have time to go hunting. </w:t>
                      </w:r>
                    </w:p>
                    <w:p w14:paraId="603DF256" w14:textId="77777777" w:rsidR="00B82BFD" w:rsidRPr="00803DEE" w:rsidRDefault="00B82BFD" w:rsidP="008B7903">
                      <w:pPr>
                        <w:rPr>
                          <w:sz w:val="22"/>
                        </w:rPr>
                      </w:pPr>
                      <w:r w:rsidRPr="00803DEE">
                        <w:rPr>
                          <w:sz w:val="22"/>
                        </w:rPr>
                        <w:t xml:space="preserve">At each stage along the cause-and-effect assumption chain, assumptions are made by both project managers and participants. For instance, in this case, one project manager assumption is that the primary hunters will spend more time in the village tending to their goats – an alternative possibility, however, might be that these hunters </w:t>
                      </w:r>
                      <w:r>
                        <w:rPr>
                          <w:sz w:val="22"/>
                        </w:rPr>
                        <w:t>leave the goats with other family members</w:t>
                      </w:r>
                      <w:r w:rsidRPr="00803DEE">
                        <w:rPr>
                          <w:sz w:val="22"/>
                        </w:rPr>
                        <w:t xml:space="preserve"> and continue to hunt, in which case the project would not achieve its desired outcome.</w:t>
                      </w:r>
                      <w:r>
                        <w:rPr>
                          <w:sz w:val="22"/>
                        </w:rPr>
                        <w:t xml:space="preserve"> Without effective project monitoring and evaluation at each stage of the chain, project managers will not be able to tell whether their assumptions held. </w:t>
                      </w:r>
                      <w:r w:rsidRPr="00803DEE">
                        <w:rPr>
                          <w:sz w:val="22"/>
                        </w:rPr>
                        <w:t xml:space="preserve"> </w:t>
                      </w:r>
                    </w:p>
                    <w:p w14:paraId="4386A86E" w14:textId="77777777" w:rsidR="00B82BFD" w:rsidRPr="00803DEE" w:rsidRDefault="00B82BFD" w:rsidP="008B7903">
                      <w:pPr>
                        <w:rPr>
                          <w:sz w:val="22"/>
                        </w:rPr>
                      </w:pPr>
                      <w:r w:rsidRPr="00803DEE">
                        <w:rPr>
                          <w:noProof/>
                          <w:sz w:val="22"/>
                          <w:lang w:val="en-US"/>
                        </w:rPr>
                        <w:drawing>
                          <wp:inline distT="0" distB="0" distL="0" distR="0" wp14:anchorId="1686AF66" wp14:editId="48038AA9">
                            <wp:extent cx="5730875" cy="1584325"/>
                            <wp:effectExtent l="0" t="0" r="9525" b="0"/>
                            <wp:docPr id="5" name="Picture 5" descr="../../../Dropbox/Screenshots/Screenshot%202017-07-05%2010.5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pbox/Screenshots/Screenshot%202017-07-05%2010.56.26.pn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730875" cy="1584325"/>
                                    </a:xfrm>
                                    <a:prstGeom prst="rect">
                                      <a:avLst/>
                                    </a:prstGeom>
                                    <a:noFill/>
                                    <a:ln>
                                      <a:noFill/>
                                    </a:ln>
                                  </pic:spPr>
                                </pic:pic>
                              </a:graphicData>
                            </a:graphic>
                          </wp:inline>
                        </w:drawing>
                      </w:r>
                    </w:p>
                    <w:p w14:paraId="1FF85FFA" w14:textId="77777777" w:rsidR="00B82BFD" w:rsidRPr="00803DEE" w:rsidRDefault="00B82BFD" w:rsidP="008B7903">
                      <w:pPr>
                        <w:rPr>
                          <w:sz w:val="22"/>
                        </w:rPr>
                      </w:pPr>
                    </w:p>
                  </w:txbxContent>
                </v:textbox>
                <w10:anchorlock/>
              </v:shape>
            </w:pict>
          </mc:Fallback>
        </mc:AlternateContent>
      </w:r>
    </w:p>
    <w:p w14:paraId="1836043A" w14:textId="0D78CA29" w:rsidR="007078FA" w:rsidRDefault="007078FA" w:rsidP="007078FA">
      <w:pPr>
        <w:rPr>
          <w:b/>
        </w:rPr>
      </w:pPr>
      <w:r>
        <w:t>References for Box 11:</w:t>
      </w:r>
      <w:r w:rsidRPr="007078FA">
        <w:rPr>
          <w:b/>
        </w:rPr>
        <w:t xml:space="preserve"> </w:t>
      </w:r>
      <w:r>
        <w:rPr>
          <w:b/>
        </w:rPr>
        <w:fldChar w:fldCharType="begin" w:fldLock="1"/>
      </w:r>
      <w:r w:rsidR="00566AAF">
        <w:rPr>
          <w:b/>
        </w:rPr>
        <w:instrText>ADDIN CSL_CITATION {"citationItems":[{"id":"ITEM-1","itemData":{"ISBN":"9782831717036","author":[{"dropping-particle":"","family":"Wicander","given":"S","non-dropping-particle":"","parse-names":false,"suffix":""},{"dropping-particle":"","family":"Coad","given":"L","non-dropping-particle":"","parse-names":false,"suffix":""}],"id":"ITEM-1","issued":{"date-parts":[["2015"]]},"publisher-place":"University of Oxford, Oxford, UK, and IUCN, Gland, Switzerland","title":"Learning our Lessons. A review of alternative livelihood projects in Central Africa","type":"book"},"uris":["http://www.mendeley.com/documents/?uuid=db689e0c-f6fe-47d3-9cfd-84380720b447"]}],"mendeley":{"formattedCitation":"(Wicander &amp; Coad 2015)","plainTextFormattedCitation":"(Wicander &amp; Coad 2015)","previouslyFormattedCitation":"(Wicander &amp; Coad 2015)"},"properties":{"noteIndex":0},"schema":"https://github.com/citation-style-language/schema/raw/master/csl-citation.json"}</w:instrText>
      </w:r>
      <w:r>
        <w:rPr>
          <w:b/>
        </w:rPr>
        <w:fldChar w:fldCharType="separate"/>
      </w:r>
      <w:r w:rsidRPr="00B12A3E">
        <w:rPr>
          <w:noProof/>
        </w:rPr>
        <w:t>(Wicander &amp; Coad 2015)</w:t>
      </w:r>
      <w:r>
        <w:rPr>
          <w:b/>
        </w:rPr>
        <w:fldChar w:fldCharType="end"/>
      </w:r>
    </w:p>
    <w:p w14:paraId="414D0AC2" w14:textId="2383E31D" w:rsidR="007078FA" w:rsidRDefault="007078FA" w:rsidP="007078FA"/>
    <w:p w14:paraId="4F87FC18" w14:textId="77777777" w:rsidR="007078FA" w:rsidRDefault="007078FA" w:rsidP="007078FA">
      <w:pPr>
        <w:rPr>
          <w:lang w:val="en-US"/>
        </w:rPr>
      </w:pPr>
    </w:p>
    <w:p w14:paraId="36041C2F" w14:textId="43A29702" w:rsidR="007078FA" w:rsidRPr="007078FA" w:rsidRDefault="007078FA" w:rsidP="007078FA">
      <w:pPr>
        <w:rPr>
          <w:lang w:val="en-US"/>
        </w:rPr>
        <w:sectPr w:rsidR="007078FA" w:rsidRPr="007078FA">
          <w:pgSz w:w="11906" w:h="16838"/>
          <w:pgMar w:top="1440" w:right="1440" w:bottom="1440" w:left="1440" w:header="708" w:footer="708" w:gutter="0"/>
          <w:cols w:space="708"/>
          <w:docGrid w:linePitch="360"/>
        </w:sectPr>
      </w:pPr>
    </w:p>
    <w:p w14:paraId="56BA0527" w14:textId="77777777" w:rsidR="008B7903" w:rsidRPr="004904D8" w:rsidRDefault="008B7903" w:rsidP="00C258BC">
      <w:pPr>
        <w:jc w:val="both"/>
        <w:rPr>
          <w:color w:val="000000" w:themeColor="text1"/>
        </w:rPr>
      </w:pPr>
      <w:r w:rsidRPr="006C56F2">
        <w:rPr>
          <w:noProof/>
          <w:color w:val="000000" w:themeColor="text1"/>
          <w:lang w:val="en-US"/>
        </w:rPr>
        <w:lastRenderedPageBreak/>
        <mc:AlternateContent>
          <mc:Choice Requires="wps">
            <w:drawing>
              <wp:inline distT="0" distB="0" distL="0" distR="0" wp14:anchorId="37F026A1" wp14:editId="1306BE5D">
                <wp:extent cx="8623935" cy="5501640"/>
                <wp:effectExtent l="0" t="0" r="37465" b="35560"/>
                <wp:docPr id="3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3935" cy="5501640"/>
                        </a:xfrm>
                        <a:prstGeom prst="rect">
                          <a:avLst/>
                        </a:prstGeom>
                        <a:solidFill>
                          <a:schemeClr val="bg1">
                            <a:lumMod val="85000"/>
                          </a:schemeClr>
                        </a:solidFill>
                        <a:ln w="22225">
                          <a:solidFill>
                            <a:schemeClr val="tx1">
                              <a:lumMod val="100000"/>
                              <a:lumOff val="0"/>
                            </a:schemeClr>
                          </a:solidFill>
                          <a:miter lim="800000"/>
                          <a:headEnd/>
                          <a:tailEnd/>
                        </a:ln>
                        <a:extLst/>
                      </wps:spPr>
                      <wps:txbx>
                        <w:txbxContent>
                          <w:p w14:paraId="4AEB4E7C" w14:textId="6E66F97F" w:rsidR="00B82BFD" w:rsidRPr="00803DEE" w:rsidRDefault="00B82BFD" w:rsidP="00872413">
                            <w:pPr>
                              <w:pStyle w:val="Caption"/>
                              <w:rPr>
                                <w:b w:val="0"/>
                                <w:sz w:val="22"/>
                              </w:rPr>
                            </w:pPr>
                            <w:bookmarkStart w:id="322" w:name="_Ref528834804"/>
                            <w:bookmarkStart w:id="323" w:name="_Hlk529354085"/>
                            <w:r>
                              <w:t xml:space="preserve">Box </w:t>
                            </w:r>
                            <w:r>
                              <w:fldChar w:fldCharType="begin"/>
                            </w:r>
                            <w:r>
                              <w:instrText xml:space="preserve"> SEQ Box \* ARABIC </w:instrText>
                            </w:r>
                            <w:r>
                              <w:fldChar w:fldCharType="separate"/>
                            </w:r>
                            <w:r>
                              <w:rPr>
                                <w:noProof/>
                              </w:rPr>
                              <w:t>12</w:t>
                            </w:r>
                            <w:r>
                              <w:fldChar w:fldCharType="end"/>
                            </w:r>
                            <w:bookmarkEnd w:id="322"/>
                            <w:r>
                              <w:t xml:space="preserve">: </w:t>
                            </w:r>
                            <w:r w:rsidRPr="00803DEE">
                              <w:rPr>
                                <w:sz w:val="22"/>
                              </w:rPr>
                              <w:t xml:space="preserve"> </w:t>
                            </w:r>
                            <w:r>
                              <w:rPr>
                                <w:sz w:val="22"/>
                              </w:rPr>
                              <w:t>Using a Theory of Change approach in Project design (2)</w:t>
                            </w:r>
                          </w:p>
                          <w:bookmarkEnd w:id="323"/>
                          <w:p w14:paraId="402EC3C3" w14:textId="77777777" w:rsidR="00B82BFD" w:rsidRDefault="00B82BFD" w:rsidP="008B7903">
                            <w:pPr>
                              <w:ind w:right="659"/>
                              <w:rPr>
                                <w:sz w:val="22"/>
                              </w:rPr>
                            </w:pPr>
                            <w:r w:rsidRPr="001B1DB6">
                              <w:rPr>
                                <w:noProof/>
                                <w:sz w:val="22"/>
                                <w:lang w:val="en-US"/>
                              </w:rPr>
                              <w:drawing>
                                <wp:inline distT="0" distB="0" distL="0" distR="0" wp14:anchorId="68147018" wp14:editId="731D3F2D">
                                  <wp:extent cx="8419465" cy="3265805"/>
                                  <wp:effectExtent l="0" t="0" r="0" b="1079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8419465" cy="3265805"/>
                                          </a:xfrm>
                                          <a:prstGeom prst="rect">
                                            <a:avLst/>
                                          </a:prstGeom>
                                        </pic:spPr>
                                      </pic:pic>
                                    </a:graphicData>
                                  </a:graphic>
                                </wp:inline>
                              </w:drawing>
                            </w:r>
                          </w:p>
                          <w:p w14:paraId="3A862577" w14:textId="3794D7EB" w:rsidR="00B82BFD" w:rsidRPr="00636339" w:rsidRDefault="00B82BFD" w:rsidP="00636339">
                            <w:pPr>
                              <w:ind w:left="360" w:right="659"/>
                              <w:rPr>
                                <w:b/>
                                <w:bCs/>
                                <w:sz w:val="22"/>
                              </w:rPr>
                            </w:pPr>
                            <w:r w:rsidRPr="00636339">
                              <w:rPr>
                                <w:b/>
                                <w:bCs/>
                                <w:sz w:val="22"/>
                              </w:rPr>
                              <w:t xml:space="preserve">Results chain illustrating the theory of change for a direct payments model for wildlife-based ecotourism </w:t>
                            </w:r>
                            <w:r>
                              <w:rPr>
                                <w:b/>
                                <w:bCs/>
                                <w:sz w:val="22"/>
                              </w:rPr>
                              <w:t>in Lao PDR</w:t>
                            </w:r>
                            <w:r w:rsidRPr="00636339">
                              <w:rPr>
                                <w:b/>
                                <w:bCs/>
                                <w:sz w:val="22"/>
                              </w:rPr>
                              <w:t>.</w:t>
                            </w:r>
                          </w:p>
                          <w:p w14:paraId="47582996" w14:textId="41ED335F" w:rsidR="00B82BFD" w:rsidRPr="00636339" w:rsidRDefault="00B82BFD" w:rsidP="00636339">
                            <w:pPr>
                              <w:ind w:left="360" w:right="659"/>
                              <w:rPr>
                                <w:sz w:val="22"/>
                              </w:rPr>
                            </w:pPr>
                            <w:bookmarkStart w:id="324" w:name="article1.body1.sec2.sec1.fig1.caption1.p"/>
                            <w:bookmarkEnd w:id="324"/>
                            <w:r w:rsidRPr="00636339">
                              <w:rPr>
                                <w:sz w:val="22"/>
                              </w:rPr>
                              <w:t>The assumptions of the model are that increased income from ecotourism will lead to a reduction in illegal hunting and trade that will contribute to increased sightings of wildlife and an increase in tourism livelihoods, thus creating a positive, synergistic loop for wildlife protection. (Created in Miradi 4.4.0</w:t>
                            </w:r>
                            <w:r w:rsidRPr="00DD7745">
                              <w:rPr>
                                <w:sz w:val="22"/>
                              </w:rPr>
                              <w:t>). Reproduced from Eshoo et al. (2018).</w:t>
                            </w:r>
                          </w:p>
                          <w:p w14:paraId="1C4033CA" w14:textId="77777777" w:rsidR="00B82BFD" w:rsidRPr="00636339" w:rsidRDefault="003D3A1B" w:rsidP="00636339">
                            <w:pPr>
                              <w:ind w:left="360" w:right="659"/>
                              <w:rPr>
                                <w:sz w:val="22"/>
                              </w:rPr>
                            </w:pPr>
                            <w:hyperlink r:id="rId159" w:history="1">
                              <w:r w:rsidR="00B82BFD" w:rsidRPr="00636339">
                                <w:rPr>
                                  <w:rStyle w:val="Hyperlink"/>
                                  <w:sz w:val="22"/>
                                </w:rPr>
                                <w:t>https://doi.org/10.1371/journal.pone.0186133.g002</w:t>
                              </w:r>
                            </w:hyperlink>
                          </w:p>
                          <w:p w14:paraId="588B038F" w14:textId="77777777" w:rsidR="00B82BFD" w:rsidRPr="00803DEE" w:rsidRDefault="00B82BFD" w:rsidP="008B7903">
                            <w:pPr>
                              <w:ind w:left="360" w:right="659"/>
                              <w:rPr>
                                <w:sz w:val="22"/>
                              </w:rPr>
                            </w:pPr>
                          </w:p>
                        </w:txbxContent>
                      </wps:txbx>
                      <wps:bodyPr rot="0" vert="horz" wrap="square" lIns="91440" tIns="45720" rIns="91440" bIns="45720" anchor="t" anchorCtr="0" upright="1">
                        <a:noAutofit/>
                      </wps:bodyPr>
                    </wps:wsp>
                  </a:graphicData>
                </a:graphic>
              </wp:inline>
            </w:drawing>
          </mc:Choice>
          <mc:Fallback>
            <w:pict>
              <v:shape w14:anchorId="37F026A1" id="_x0000_s1037" type="#_x0000_t202" style="width:679.05pt;height:43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" fillcolor="#d8d8d8 [2732]" strokecolor="black [3213]" strokeweight="1.75pt">
                <v:textbox>
                  <w:txbxContent>
                    <w:p w14:paraId="4AEB4E7C" w14:textId="6E66F97F" w:rsidR="00B82BFD" w:rsidRPr="00803DEE" w:rsidRDefault="00B82BFD" w:rsidP="00872413">
                      <w:pPr>
                        <w:pStyle w:val="Caption"/>
                        <w:rPr>
                          <w:b w:val="0"/>
                          <w:sz w:val="22"/>
                        </w:rPr>
                      </w:pPr>
                      <w:bookmarkStart w:id="325" w:name="_Ref528834804"/>
                      <w:bookmarkStart w:id="326" w:name="_Hlk529354085"/>
                      <w:r>
                        <w:t xml:space="preserve">Box </w:t>
                      </w:r>
                      <w:r>
                        <w:fldChar w:fldCharType="begin"/>
                      </w:r>
                      <w:r>
                        <w:instrText xml:space="preserve"> SEQ Box \* ARABIC </w:instrText>
                      </w:r>
                      <w:r>
                        <w:fldChar w:fldCharType="separate"/>
                      </w:r>
                      <w:r>
                        <w:rPr>
                          <w:noProof/>
                        </w:rPr>
                        <w:t>12</w:t>
                      </w:r>
                      <w:r>
                        <w:fldChar w:fldCharType="end"/>
                      </w:r>
                      <w:bookmarkEnd w:id="325"/>
                      <w:r>
                        <w:t xml:space="preserve">: </w:t>
                      </w:r>
                      <w:r w:rsidRPr="00803DEE">
                        <w:rPr>
                          <w:sz w:val="22"/>
                        </w:rPr>
                        <w:t xml:space="preserve"> </w:t>
                      </w:r>
                      <w:r>
                        <w:rPr>
                          <w:sz w:val="22"/>
                        </w:rPr>
                        <w:t>Using a Theory of Change approach in Project design (2)</w:t>
                      </w:r>
                    </w:p>
                    <w:bookmarkEnd w:id="326"/>
                    <w:p w14:paraId="402EC3C3" w14:textId="77777777" w:rsidR="00B82BFD" w:rsidRDefault="00B82BFD" w:rsidP="008B7903">
                      <w:pPr>
                        <w:ind w:right="659"/>
                        <w:rPr>
                          <w:sz w:val="22"/>
                        </w:rPr>
                      </w:pPr>
                      <w:r w:rsidRPr="001B1DB6">
                        <w:rPr>
                          <w:noProof/>
                          <w:sz w:val="22"/>
                          <w:lang w:val="en-US"/>
                        </w:rPr>
                        <w:drawing>
                          <wp:inline distT="0" distB="0" distL="0" distR="0" wp14:anchorId="68147018" wp14:editId="731D3F2D">
                            <wp:extent cx="8419465" cy="3265805"/>
                            <wp:effectExtent l="0" t="0" r="0" b="1079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8419465" cy="3265805"/>
                                    </a:xfrm>
                                    <a:prstGeom prst="rect">
                                      <a:avLst/>
                                    </a:prstGeom>
                                  </pic:spPr>
                                </pic:pic>
                              </a:graphicData>
                            </a:graphic>
                          </wp:inline>
                        </w:drawing>
                      </w:r>
                    </w:p>
                    <w:p w14:paraId="3A862577" w14:textId="3794D7EB" w:rsidR="00B82BFD" w:rsidRPr="00636339" w:rsidRDefault="00B82BFD" w:rsidP="00636339">
                      <w:pPr>
                        <w:ind w:left="360" w:right="659"/>
                        <w:rPr>
                          <w:b/>
                          <w:bCs/>
                          <w:sz w:val="22"/>
                        </w:rPr>
                      </w:pPr>
                      <w:r w:rsidRPr="00636339">
                        <w:rPr>
                          <w:b/>
                          <w:bCs/>
                          <w:sz w:val="22"/>
                        </w:rPr>
                        <w:t xml:space="preserve">Results chain illustrating the theory of change for a direct payments model for wildlife-based ecotourism </w:t>
                      </w:r>
                      <w:r>
                        <w:rPr>
                          <w:b/>
                          <w:bCs/>
                          <w:sz w:val="22"/>
                        </w:rPr>
                        <w:t>in Lao PDR</w:t>
                      </w:r>
                      <w:r w:rsidRPr="00636339">
                        <w:rPr>
                          <w:b/>
                          <w:bCs/>
                          <w:sz w:val="22"/>
                        </w:rPr>
                        <w:t>.</w:t>
                      </w:r>
                    </w:p>
                    <w:p w14:paraId="47582996" w14:textId="41ED335F" w:rsidR="00B82BFD" w:rsidRPr="00636339" w:rsidRDefault="00B82BFD" w:rsidP="00636339">
                      <w:pPr>
                        <w:ind w:left="360" w:right="659"/>
                        <w:rPr>
                          <w:sz w:val="22"/>
                        </w:rPr>
                      </w:pPr>
                      <w:bookmarkStart w:id="327" w:name="article1.body1.sec2.sec1.fig1.caption1.p"/>
                      <w:bookmarkEnd w:id="327"/>
                      <w:r w:rsidRPr="00636339">
                        <w:rPr>
                          <w:sz w:val="22"/>
                        </w:rPr>
                        <w:t>The assumptions of the model are that increased income from ecotourism will lead to a reduction in illegal hunting and trade that will contribute to increased sightings of wildlife and an increase in tourism livelihoods, thus creating a positive, synergistic loop for wildlife protection. (Created in Miradi 4.4.0</w:t>
                      </w:r>
                      <w:r w:rsidRPr="00DD7745">
                        <w:rPr>
                          <w:sz w:val="22"/>
                        </w:rPr>
                        <w:t>). Reproduced from Eshoo et al. (2018).</w:t>
                      </w:r>
                    </w:p>
                    <w:p w14:paraId="1C4033CA" w14:textId="77777777" w:rsidR="00B82BFD" w:rsidRPr="00636339" w:rsidRDefault="003D3A1B" w:rsidP="00636339">
                      <w:pPr>
                        <w:ind w:left="360" w:right="659"/>
                        <w:rPr>
                          <w:sz w:val="22"/>
                        </w:rPr>
                      </w:pPr>
                      <w:hyperlink r:id="rId160" w:history="1">
                        <w:r w:rsidR="00B82BFD" w:rsidRPr="00636339">
                          <w:rPr>
                            <w:rStyle w:val="Hyperlink"/>
                            <w:sz w:val="22"/>
                          </w:rPr>
                          <w:t>https://doi.org/10.1371/journal.pone.0186133.g002</w:t>
                        </w:r>
                      </w:hyperlink>
                    </w:p>
                    <w:p w14:paraId="588B038F" w14:textId="77777777" w:rsidR="00B82BFD" w:rsidRPr="00803DEE" w:rsidRDefault="00B82BFD" w:rsidP="008B7903">
                      <w:pPr>
                        <w:ind w:left="360" w:right="659"/>
                        <w:rPr>
                          <w:sz w:val="22"/>
                        </w:rPr>
                      </w:pPr>
                    </w:p>
                  </w:txbxContent>
                </v:textbox>
                <w10:anchorlock/>
              </v:shape>
            </w:pict>
          </mc:Fallback>
        </mc:AlternateContent>
      </w:r>
    </w:p>
    <w:p w14:paraId="39647DFD" w14:textId="660AC37F" w:rsidR="007078FA" w:rsidRPr="0070404D" w:rsidRDefault="007078FA" w:rsidP="00C258BC">
      <w:pPr>
        <w:jc w:val="both"/>
        <w:rPr>
          <w:color w:val="000000" w:themeColor="text1"/>
        </w:rPr>
        <w:sectPr w:rsidR="007078FA" w:rsidRPr="0070404D" w:rsidSect="001B1DB6">
          <w:pgSz w:w="16838" w:h="11906" w:orient="landscape"/>
          <w:pgMar w:top="1440" w:right="1440" w:bottom="1440" w:left="1440" w:header="708" w:footer="708" w:gutter="0"/>
          <w:cols w:space="708"/>
          <w:docGrid w:linePitch="360"/>
        </w:sectPr>
      </w:pPr>
    </w:p>
    <w:p w14:paraId="6911D279" w14:textId="77777777" w:rsidR="007078FA" w:rsidRDefault="007078FA" w:rsidP="007078FA">
      <w:pPr>
        <w:rPr>
          <w:b/>
        </w:rPr>
      </w:pPr>
      <w:r>
        <w:rPr>
          <w:color w:val="000000" w:themeColor="text1"/>
        </w:rPr>
        <w:lastRenderedPageBreak/>
        <w:t xml:space="preserve">References for Box 12: </w:t>
      </w:r>
      <w:r>
        <w:rPr>
          <w:b/>
        </w:rPr>
        <w:fldChar w:fldCharType="begin" w:fldLock="1"/>
      </w:r>
      <w:r>
        <w:rPr>
          <w:b/>
        </w:rPr>
        <w:instrText>ADDIN CSL_CITATION {"citationItems":[{"id":"ITEM-1","itemData":{"ISBN":"1111111111","author":[{"dropping-particle":"","family":"Eshoo","given":"Paul Frederick","non-dropping-particle":"","parse-names":false,"suffix":""},{"dropping-particle":"","family":"Johnson","given":"Arlyne","non-dropping-particle":"","parse-names":false,"suffix":""},{"dropping-particle":"","family":"Duangdala","given":"Sivilay","non-dropping-particle":"","parse-names":false,"suffix":""},{"dropping-particle":"","family":"Hansel","given":"Troy","non-dropping-particle":"","parse-names":false,"suffix":""}],"container-title":"PloS one","id":"ITEM-1","issue":"2","issued":{"date-parts":[["2018"]]},"title":"Design, monitoring and evaluation of a direct payments approach for an ecotourism strategy to reduce illegal hunting and trade of wildlife in Lao PDR","type":"article-journal","volume":"13"},"uris":["http://www.mendeley.com/documents/?uuid=42e745fb-8b29-4d88-bbd2-5f8f9533895b"]}],"mendeley":{"formattedCitation":"(Eshoo et al. 2018)","plainTextFormattedCitation":"(Eshoo et al. 2018)","previouslyFormattedCitation":"(Eshoo et al. 2018)"},"properties":{"noteIndex":0},"schema":"https://github.com/citation-style-language/schema/raw/master/csl-citation.json"}</w:instrText>
      </w:r>
      <w:r>
        <w:rPr>
          <w:b/>
        </w:rPr>
        <w:fldChar w:fldCharType="separate"/>
      </w:r>
      <w:r w:rsidRPr="00B12A3E">
        <w:rPr>
          <w:noProof/>
        </w:rPr>
        <w:t>(Eshoo et al. 2018)</w:t>
      </w:r>
      <w:r>
        <w:rPr>
          <w:b/>
        </w:rPr>
        <w:fldChar w:fldCharType="end"/>
      </w:r>
    </w:p>
    <w:p w14:paraId="5F421E10" w14:textId="057B5FAB" w:rsidR="008B7903" w:rsidRPr="0070404D" w:rsidRDefault="008B7903" w:rsidP="00C258BC">
      <w:pPr>
        <w:jc w:val="both"/>
        <w:rPr>
          <w:color w:val="000000" w:themeColor="text1"/>
        </w:rPr>
      </w:pPr>
    </w:p>
    <w:p w14:paraId="06882CC6" w14:textId="77777777" w:rsidR="008B7903" w:rsidRPr="0070404D" w:rsidRDefault="008B7903" w:rsidP="00DF57F3">
      <w:pPr>
        <w:pStyle w:val="Heading2"/>
      </w:pPr>
      <w:bookmarkStart w:id="328" w:name="_Toc519156113"/>
      <w:bookmarkStart w:id="329" w:name="_Toc529390385"/>
      <w:r w:rsidRPr="0070404D">
        <w:t>Monitoring and Evaluation</w:t>
      </w:r>
      <w:bookmarkEnd w:id="328"/>
      <w:bookmarkEnd w:id="329"/>
    </w:p>
    <w:p w14:paraId="33B95BF3" w14:textId="51B6E299" w:rsidR="007A23B8" w:rsidRPr="000A7365" w:rsidRDefault="00BF033D" w:rsidP="00C258BC">
      <w:pPr>
        <w:jc w:val="both"/>
        <w:rPr>
          <w:color w:val="000000" w:themeColor="text1"/>
        </w:rPr>
      </w:pPr>
      <w:r>
        <w:rPr>
          <w:color w:val="000000" w:themeColor="text1"/>
        </w:rPr>
        <w:t>Setting up a Monitoring and E</w:t>
      </w:r>
      <w:r w:rsidR="008B7903" w:rsidRPr="0070404D">
        <w:rPr>
          <w:color w:val="000000" w:themeColor="text1"/>
        </w:rPr>
        <w:t>valuation</w:t>
      </w:r>
      <w:r w:rsidR="001969F5">
        <w:rPr>
          <w:color w:val="000000" w:themeColor="text1"/>
        </w:rPr>
        <w:t xml:space="preserve"> (M&amp;E)</w:t>
      </w:r>
      <w:r w:rsidR="008B7903" w:rsidRPr="0070404D">
        <w:rPr>
          <w:color w:val="000000" w:themeColor="text1"/>
        </w:rPr>
        <w:t xml:space="preserve"> system for an intervention is crucial for </w:t>
      </w:r>
      <w:r w:rsidR="008B7903" w:rsidRPr="000A7365">
        <w:rPr>
          <w:color w:val="000000" w:themeColor="text1"/>
        </w:rPr>
        <w:t>s</w:t>
      </w:r>
      <w:r w:rsidR="00BC1092" w:rsidRPr="000A7365">
        <w:rPr>
          <w:color w:val="000000" w:themeColor="text1"/>
        </w:rPr>
        <w:t>uccessful adaptive management. It enables</w:t>
      </w:r>
      <w:r w:rsidR="008B7903" w:rsidRPr="000A7365">
        <w:rPr>
          <w:color w:val="000000" w:themeColor="text1"/>
        </w:rPr>
        <w:t xml:space="preserve"> managers to track whether the assumptions made by their </w:t>
      </w:r>
      <w:r w:rsidRPr="000A7365">
        <w:rPr>
          <w:color w:val="000000" w:themeColor="text1"/>
        </w:rPr>
        <w:t>ToC</w:t>
      </w:r>
      <w:r w:rsidR="008B7903" w:rsidRPr="000A7365">
        <w:rPr>
          <w:color w:val="000000" w:themeColor="text1"/>
        </w:rPr>
        <w:t xml:space="preserve"> model, and their objectives, are being met</w:t>
      </w:r>
      <w:r w:rsidR="00BC1092" w:rsidRPr="000A7365">
        <w:rPr>
          <w:color w:val="000000" w:themeColor="text1"/>
        </w:rPr>
        <w:t xml:space="preserve">, and </w:t>
      </w:r>
      <w:r w:rsidR="007A23B8" w:rsidRPr="000A7365">
        <w:rPr>
          <w:color w:val="000000" w:themeColor="text1"/>
        </w:rPr>
        <w:t>then</w:t>
      </w:r>
      <w:r w:rsidR="00BC1092" w:rsidRPr="000A7365">
        <w:rPr>
          <w:color w:val="000000" w:themeColor="text1"/>
        </w:rPr>
        <w:t xml:space="preserve"> to</w:t>
      </w:r>
      <w:r w:rsidR="007A23B8" w:rsidRPr="000A7365">
        <w:rPr>
          <w:color w:val="000000" w:themeColor="text1"/>
        </w:rPr>
        <w:t xml:space="preserve"> manage adaptively, adjusting their project as changing circumstances require it</w:t>
      </w:r>
      <w:r w:rsidR="008B7903" w:rsidRPr="000A7365">
        <w:rPr>
          <w:color w:val="000000" w:themeColor="text1"/>
        </w:rPr>
        <w:t xml:space="preserve">. </w:t>
      </w:r>
    </w:p>
    <w:p w14:paraId="32EA90B9" w14:textId="7CF8E990" w:rsidR="00837F97" w:rsidRPr="000A7365" w:rsidRDefault="008B7903" w:rsidP="00C258BC">
      <w:pPr>
        <w:jc w:val="both"/>
        <w:rPr>
          <w:color w:val="000000" w:themeColor="text1"/>
        </w:rPr>
      </w:pPr>
      <w:r w:rsidRPr="000A7365">
        <w:rPr>
          <w:color w:val="000000" w:themeColor="text1"/>
        </w:rPr>
        <w:t>M&amp;E need not be costly and complicated, and there is now a range of developed participatory methodologies for monitoring social, economic and environmental project outcomes</w:t>
      </w:r>
      <w:r w:rsidR="00BE264C" w:rsidRPr="000A7365">
        <w:rPr>
          <w:color w:val="000000" w:themeColor="text1"/>
        </w:rPr>
        <w:t xml:space="preserve"> (</w:t>
      </w:r>
      <w:r w:rsidR="00BE264C" w:rsidRPr="000A7365">
        <w:rPr>
          <w:color w:val="000000" w:themeColor="text1"/>
        </w:rPr>
        <w:fldChar w:fldCharType="begin"/>
      </w:r>
      <w:r w:rsidR="00BE264C" w:rsidRPr="000A7365">
        <w:rPr>
          <w:color w:val="000000" w:themeColor="text1"/>
        </w:rPr>
        <w:instrText xml:space="preserve"> REF _Ref519875328 \h </w:instrText>
      </w:r>
      <w:r w:rsidR="00BE264C" w:rsidRPr="000A7365">
        <w:rPr>
          <w:color w:val="000000" w:themeColor="text1"/>
        </w:rPr>
      </w:r>
      <w:r w:rsidR="00BE264C" w:rsidRPr="000A7365">
        <w:rPr>
          <w:color w:val="000000" w:themeColor="text1"/>
        </w:rPr>
        <w:fldChar w:fldCharType="separate"/>
      </w:r>
      <w:r w:rsidR="007034F1" w:rsidRPr="004C4CD8">
        <w:rPr>
          <w:sz w:val="22"/>
          <w:szCs w:val="22"/>
        </w:rPr>
        <w:t xml:space="preserve">Box </w:t>
      </w:r>
      <w:r w:rsidR="007034F1">
        <w:rPr>
          <w:noProof/>
          <w:sz w:val="22"/>
          <w:szCs w:val="22"/>
        </w:rPr>
        <w:t>14</w:t>
      </w:r>
      <w:r w:rsidR="00BE264C" w:rsidRPr="000A7365">
        <w:rPr>
          <w:color w:val="000000" w:themeColor="text1"/>
        </w:rPr>
        <w:fldChar w:fldCharType="end"/>
      </w:r>
      <w:r w:rsidR="00BE264C" w:rsidRPr="000A7365">
        <w:rPr>
          <w:color w:val="000000" w:themeColor="text1"/>
        </w:rPr>
        <w:t>)</w:t>
      </w:r>
      <w:r w:rsidRPr="000A7365">
        <w:rPr>
          <w:color w:val="000000" w:themeColor="text1"/>
        </w:rPr>
        <w:t xml:space="preserve">. Despite this, there has been a widespread lack of monitoring of the outcomes of conservation interventions. While a range of interventions aimed at increasing hunting sustainability have been trialled and applied worldwide, there is little current information on which interventions have had any success, and what elements of project design have significant impacts on project success </w:t>
      </w:r>
      <w:r w:rsidR="00F80C4C">
        <w:rPr>
          <w:color w:val="000000" w:themeColor="text1"/>
        </w:rPr>
        <w:fldChar w:fldCharType="begin" w:fldLock="1"/>
      </w:r>
      <w:r w:rsidR="00566AAF">
        <w:rPr>
          <w:color w:val="000000" w:themeColor="text1"/>
        </w:rPr>
        <w:instrText>ADDIN CSL_CITATION {"citationItems":[{"id":"ITEM-1","itemData":{"DOI":"10.1111/j.1523-1739.2005.00594.x","ISBN":"1523-1739","ISSN":"08888892","PMID":"20526235","author":[{"dropping-particle":"","family":"Stem","given":"Caroline","non-dropping-particle":"","parse-names":false,"suffix":""},{"dropping-particle":"","family":"Margoluis","given":"Richard","non-dropping-particle":"","parse-names":false,"suffix":""},{"dropping-particle":"","family":"Salafsky","given":"Nick","non-dropping-particle":"","parse-names":false,"suffix":""},{"dropping-particle":"","family":"Brown","given":"Marcia","non-dropping-particle":"","parse-names":false,"suffix":""}],"container-title":"Conservation Biology","id":"ITEM-1","issue":"2","issued":{"date-parts":[["2005"]]},"page":"295-309","title":"Monitoring and evaluation in conservation: a review of trends and approaches","type":"article-journal","volume":"19"},"uris":["http://www.mendeley.com/documents/?uuid=21c116bd-4a82-4ef3-a993-3c0be5a7c00c"]},{"id":"ITEM-2","itemData":{"ISBN":"9782831717036","author":[{"dropping-particle":"","family":"Wicander","given":"S","non-dropping-particle":"","parse-names":false,"suffix":""},{"dropping-particle":"","family":"Coad","given":"L","non-dropping-particle":"","parse-names":false,"suffix":""}],"id":"ITEM-2","issued":{"date-parts":[["2015"]]},"publisher-place":"University of Oxford, Oxford, UK, and IUCN, Gland, Switzerland","title":"Learning our Lessons. A review of alternative livelihood projects in Central Africa","type":"book"},"uris":["http://www.mendeley.com/documents/?uuid=db689e0c-f6fe-47d3-9cfd-84380720b447"]}],"mendeley":{"formattedCitation":"(Stem et al. 2005; Wicander &amp; Coad 2015)","plainTextFormattedCitation":"(Stem et al. 2005; Wicander &amp; Coad 2015)","previouslyFormattedCitation":"(Stem et al. 2005; Wicander &amp; Coad 2015)"},"properties":{"noteIndex":0},"schema":"https://github.com/citation-style-language/schema/raw/master/csl-citation.json"}</w:instrText>
      </w:r>
      <w:r w:rsidR="00F80C4C">
        <w:rPr>
          <w:color w:val="000000" w:themeColor="text1"/>
        </w:rPr>
        <w:fldChar w:fldCharType="separate"/>
      </w:r>
      <w:r w:rsidR="00F80C4C" w:rsidRPr="00F80C4C">
        <w:rPr>
          <w:noProof/>
          <w:color w:val="000000" w:themeColor="text1"/>
        </w:rPr>
        <w:t>(Stem et al. 2005; Wicander &amp; Coad 2015)</w:t>
      </w:r>
      <w:r w:rsidR="00F80C4C">
        <w:rPr>
          <w:color w:val="000000" w:themeColor="text1"/>
        </w:rPr>
        <w:fldChar w:fldCharType="end"/>
      </w:r>
      <w:r w:rsidRPr="000A7365">
        <w:rPr>
          <w:color w:val="000000" w:themeColor="text1"/>
        </w:rPr>
        <w:t xml:space="preserve">. </w:t>
      </w:r>
      <w:r w:rsidR="00D85930" w:rsidRPr="000A7365">
        <w:rPr>
          <w:color w:val="000000" w:themeColor="text1"/>
        </w:rPr>
        <w:t>Increasing the number of projects which systematically monitor project outcomes and impacts is crucial if the conservation community of donors, governments, scientists, practitioners and local people are to build an evidence base of ‘what works and what does not’ in different context and apply findings to the design of new interventions.</w:t>
      </w:r>
    </w:p>
    <w:p w14:paraId="4140B39C" w14:textId="77777777" w:rsidR="008B7903" w:rsidRPr="004904D8" w:rsidRDefault="008B7903" w:rsidP="00C258BC">
      <w:pPr>
        <w:jc w:val="both"/>
        <w:rPr>
          <w:color w:val="000000" w:themeColor="text1"/>
        </w:rPr>
      </w:pPr>
      <w:r w:rsidRPr="006C56F2">
        <w:rPr>
          <w:noProof/>
          <w:color w:val="000000" w:themeColor="text1"/>
          <w:lang w:val="en-US"/>
        </w:rPr>
        <mc:AlternateContent>
          <mc:Choice Requires="wps">
            <w:drawing>
              <wp:inline distT="0" distB="0" distL="0" distR="0" wp14:anchorId="04C1C164" wp14:editId="1824D75F">
                <wp:extent cx="5731510" cy="4072788"/>
                <wp:effectExtent l="0" t="0" r="38100" b="26670"/>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4072788"/>
                        </a:xfrm>
                        <a:prstGeom prst="rect">
                          <a:avLst/>
                        </a:prstGeom>
                        <a:solidFill>
                          <a:schemeClr val="bg1">
                            <a:lumMod val="85000"/>
                          </a:schemeClr>
                        </a:solidFill>
                        <a:ln w="22225">
                          <a:solidFill>
                            <a:schemeClr val="tx1">
                              <a:lumMod val="100000"/>
                              <a:lumOff val="0"/>
                            </a:schemeClr>
                          </a:solidFill>
                          <a:miter lim="800000"/>
                          <a:headEnd/>
                          <a:tailEnd/>
                        </a:ln>
                        <a:extLst/>
                      </wps:spPr>
                      <wps:txbx>
                        <w:txbxContent>
                          <w:p w14:paraId="440DA838" w14:textId="517B8128" w:rsidR="00B82BFD" w:rsidRPr="00803DEE" w:rsidRDefault="00B82BFD" w:rsidP="00837F97">
                            <w:pPr>
                              <w:pStyle w:val="Caption"/>
                            </w:pPr>
                            <w:bookmarkStart w:id="330" w:name="_Ref519874924"/>
                            <w:r>
                              <w:t xml:space="preserve">Box </w:t>
                            </w:r>
                            <w:r>
                              <w:fldChar w:fldCharType="begin"/>
                            </w:r>
                            <w:r>
                              <w:instrText xml:space="preserve"> SEQ Box \* ARABIC </w:instrText>
                            </w:r>
                            <w:r>
                              <w:fldChar w:fldCharType="separate"/>
                            </w:r>
                            <w:r>
                              <w:rPr>
                                <w:noProof/>
                              </w:rPr>
                              <w:t>13</w:t>
                            </w:r>
                            <w:r>
                              <w:fldChar w:fldCharType="end"/>
                            </w:r>
                            <w:bookmarkEnd w:id="330"/>
                            <w:r w:rsidRPr="00803DEE">
                              <w:t xml:space="preserve">: </w:t>
                            </w:r>
                            <w:r w:rsidRPr="00837F97">
                              <w:t>Designing behaviour change interventions in DRC: identifying key drivers of wild meat consumption.</w:t>
                            </w:r>
                            <w:r w:rsidRPr="00803DEE">
                              <w:t xml:space="preserve"> </w:t>
                            </w:r>
                          </w:p>
                          <w:p w14:paraId="5AFB4462" w14:textId="10ECCB5C" w:rsidR="00B82BFD" w:rsidRPr="00803DEE" w:rsidRDefault="00B82BFD" w:rsidP="008B7903">
                            <w:r w:rsidRPr="000A7365">
                              <w:rPr>
                                <w:color w:val="000000" w:themeColor="text1"/>
                              </w:rPr>
                              <w:t xml:space="preserve">WCS and </w:t>
                            </w:r>
                            <w:r w:rsidRPr="00803DEE">
                              <w:t xml:space="preserve">its partners are currently conducting a two-year project to identify the key drivers behind urban wild meat consumption in Pointe Noire, Republic of Congo. The goal is to reduce the hunting threat to wildlife populations around nearby protected areas by developing an approach that raises societal awareness, builds constituencies and support, and uses a mass media behaviour change campaign to reduce the level of wild meat consumption. To achieve this, the project is utilizing a conceptual framework that examines and seeks to change three inter-related, dynamic components of the wild meat market: the supply side, the demand side, and the regulatory context. </w:t>
                            </w:r>
                          </w:p>
                          <w:p w14:paraId="39666D67" w14:textId="359327A2" w:rsidR="00B82BFD" w:rsidRPr="00803DEE" w:rsidRDefault="00B82BFD" w:rsidP="008B7903">
                            <w:r w:rsidRPr="00803DEE">
                              <w:t xml:space="preserve">The lessons learned from the Pointe Noire project will then be rolled out to larger cities, including Brazzaville, the capital of Republic of Congo, and Kinshasa, in the neighbouring Democratic Republic of the Congo, and other urban centres across Central Africa. Initial research has found a </w:t>
                            </w:r>
                            <w:r>
                              <w:t>significant</w:t>
                            </w:r>
                            <w:r w:rsidRPr="00803DEE">
                              <w:t xml:space="preserve"> trade in wild meat within city markets, and indicates that wild meat is a prized commodity regularly eaten across the social classes in Pointe Noire. It is perceived as fresh, organic, natural, tasty and healthy, and is especially popular with residents who trace their origins to forested regions where wild meat is a traditional protein source. For many it is perceived as a luxury good, and a status symbol. These results, and additional research and analyses, will be used to design and develop the behaviour change campaign.</w:t>
                            </w:r>
                          </w:p>
                        </w:txbxContent>
                      </wps:txbx>
                      <wps:bodyPr rot="0" vert="horz" wrap="none" lIns="91440" tIns="45720" rIns="91440" bIns="45720" anchor="t" anchorCtr="0" upright="1">
                        <a:spAutoFit/>
                      </wps:bodyPr>
                    </wps:wsp>
                  </a:graphicData>
                </a:graphic>
              </wp:inline>
            </w:drawing>
          </mc:Choice>
          <mc:Fallback>
            <w:pict>
              <v:shape w14:anchorId="04C1C164" id="Text Box 18" o:spid="_x0000_s1038" type="#_x0000_t202" style="width:451.3pt;height:320.7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" fillcolor="#d8d8d8 [2732]" strokecolor="black [3213]" strokeweight="1.75pt">
                <v:textbox style="mso-fit-shape-to-text:t">
                  <w:txbxContent>
                    <w:p w14:paraId="440DA838" w14:textId="517B8128" w:rsidR="00B82BFD" w:rsidRPr="00803DEE" w:rsidRDefault="00B82BFD" w:rsidP="00837F97">
                      <w:pPr>
                        <w:pStyle w:val="Caption"/>
                      </w:pPr>
                      <w:bookmarkStart w:id="331" w:name="_Ref519874924"/>
                      <w:r>
                        <w:t xml:space="preserve">Box </w:t>
                      </w:r>
                      <w:r>
                        <w:fldChar w:fldCharType="begin"/>
                      </w:r>
                      <w:r>
                        <w:instrText xml:space="preserve"> SEQ Box \* ARABIC </w:instrText>
                      </w:r>
                      <w:r>
                        <w:fldChar w:fldCharType="separate"/>
                      </w:r>
                      <w:r>
                        <w:rPr>
                          <w:noProof/>
                        </w:rPr>
                        <w:t>13</w:t>
                      </w:r>
                      <w:r>
                        <w:fldChar w:fldCharType="end"/>
                      </w:r>
                      <w:bookmarkEnd w:id="331"/>
                      <w:r w:rsidRPr="00803DEE">
                        <w:t xml:space="preserve">: </w:t>
                      </w:r>
                      <w:r w:rsidRPr="00837F97">
                        <w:t>Designing behaviour change interventions in DRC: identifying key drivers of wild meat consumption.</w:t>
                      </w:r>
                      <w:r w:rsidRPr="00803DEE">
                        <w:t xml:space="preserve"> </w:t>
                      </w:r>
                    </w:p>
                    <w:p w14:paraId="5AFB4462" w14:textId="10ECCB5C" w:rsidR="00B82BFD" w:rsidRPr="00803DEE" w:rsidRDefault="00B82BFD" w:rsidP="008B7903">
                      <w:r w:rsidRPr="000A7365">
                        <w:rPr>
                          <w:color w:val="000000" w:themeColor="text1"/>
                        </w:rPr>
                        <w:t xml:space="preserve">WCS and </w:t>
                      </w:r>
                      <w:r w:rsidRPr="00803DEE">
                        <w:t xml:space="preserve">its partners are currently conducting a two-year project to identify the key drivers behind urban wild meat consumption in Pointe Noire, Republic of Congo. The goal is to reduce the hunting threat to wildlife populations around nearby protected areas by developing an approach that raises societal awareness, builds constituencies and support, and uses a mass media behaviour change campaign to reduce the level of wild meat consumption. To achieve this, the project is utilizing a conceptual framework that examines and seeks to change three inter-related, dynamic components of the wild meat market: the supply side, the demand side, and the regulatory context. </w:t>
                      </w:r>
                    </w:p>
                    <w:p w14:paraId="39666D67" w14:textId="359327A2" w:rsidR="00B82BFD" w:rsidRPr="00803DEE" w:rsidRDefault="00B82BFD" w:rsidP="008B7903">
                      <w:r w:rsidRPr="00803DEE">
                        <w:t xml:space="preserve">The lessons learned from the Pointe Noire project will then be rolled out to larger cities, including Brazzaville, the capital of Republic of Congo, and Kinshasa, in the neighbouring Democratic Republic of the Congo, and other urban centres across Central Africa. Initial research has found a </w:t>
                      </w:r>
                      <w:r>
                        <w:t>significant</w:t>
                      </w:r>
                      <w:r w:rsidRPr="00803DEE">
                        <w:t xml:space="preserve"> trade in wild meat within city markets, and indicates that wild meat is a prized commodity regularly eaten across the social classes in Pointe Noire. It is perceived as fresh, organic, natural, tasty and healthy, and is especially popular with residents who trace their origins to forested regions where wild meat is a traditional protein source. For many it is perceived as a luxury good, and a status symbol. These results, and additional research and analyses, will be used to design and develop the behaviour change campaign.</w:t>
                      </w:r>
                    </w:p>
                  </w:txbxContent>
                </v:textbox>
                <w10:anchorlock/>
              </v:shape>
            </w:pict>
          </mc:Fallback>
        </mc:AlternateContent>
      </w:r>
    </w:p>
    <w:p w14:paraId="62B12917" w14:textId="1DC49C10" w:rsidR="008B7903" w:rsidRPr="007078FA" w:rsidRDefault="007078FA" w:rsidP="00C258BC">
      <w:pPr>
        <w:jc w:val="both"/>
        <w:rPr>
          <w:color w:val="000000" w:themeColor="text1"/>
        </w:rPr>
      </w:pPr>
      <w:r w:rsidRPr="007078FA">
        <w:rPr>
          <w:color w:val="000000" w:themeColor="text1"/>
        </w:rPr>
        <w:t>References for Box 13: None</w:t>
      </w:r>
    </w:p>
    <w:p w14:paraId="3E2CB43A" w14:textId="76128C82" w:rsidR="008B7903" w:rsidRPr="0070404D" w:rsidRDefault="00923635" w:rsidP="00C258BC">
      <w:pPr>
        <w:jc w:val="both"/>
        <w:rPr>
          <w:b/>
          <w:color w:val="000000" w:themeColor="text1"/>
        </w:rPr>
        <w:sectPr w:rsidR="008B7903" w:rsidRPr="0070404D">
          <w:pgSz w:w="11906" w:h="16838"/>
          <w:pgMar w:top="1440" w:right="1440" w:bottom="1440" w:left="1440" w:header="708" w:footer="708" w:gutter="0"/>
          <w:cols w:space="708"/>
          <w:docGrid w:linePitch="360"/>
        </w:sectPr>
      </w:pPr>
      <w:bookmarkStart w:id="332" w:name="_Toc491942958"/>
      <w:bookmarkStart w:id="333" w:name="_Toc491961673"/>
      <w:bookmarkStart w:id="334" w:name="_Toc491961711"/>
      <w:bookmarkStart w:id="335" w:name="_Toc491965064"/>
      <w:r w:rsidRPr="006C56F2">
        <w:rPr>
          <w:noProof/>
          <w:color w:val="000000" w:themeColor="text1"/>
          <w:lang w:val="en-US"/>
        </w:rPr>
        <w:lastRenderedPageBreak/>
        <mc:AlternateContent>
          <mc:Choice Requires="wps">
            <w:drawing>
              <wp:inline distT="0" distB="0" distL="0" distR="0" wp14:anchorId="40A5606C" wp14:editId="68408AFE">
                <wp:extent cx="5727700" cy="9664860"/>
                <wp:effectExtent l="12700" t="12700" r="12700" b="12700"/>
                <wp:docPr id="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9664860"/>
                        </a:xfrm>
                        <a:prstGeom prst="rect">
                          <a:avLst/>
                        </a:prstGeom>
                        <a:solidFill>
                          <a:schemeClr val="bg1">
                            <a:lumMod val="85000"/>
                          </a:schemeClr>
                        </a:solidFill>
                        <a:ln w="22225">
                          <a:solidFill>
                            <a:schemeClr val="tx1">
                              <a:lumMod val="100000"/>
                              <a:lumOff val="0"/>
                            </a:schemeClr>
                          </a:solidFill>
                          <a:miter lim="800000"/>
                          <a:headEnd/>
                          <a:tailEnd/>
                        </a:ln>
                        <a:extLst/>
                      </wps:spPr>
                      <wps:txbx>
                        <w:txbxContent>
                          <w:p w14:paraId="4CF02310" w14:textId="673609C5" w:rsidR="00B82BFD" w:rsidRPr="004C4CD8" w:rsidRDefault="00B82BFD" w:rsidP="00923635">
                            <w:pPr>
                              <w:pStyle w:val="Caption"/>
                              <w:rPr>
                                <w:sz w:val="22"/>
                                <w:szCs w:val="22"/>
                              </w:rPr>
                            </w:pPr>
                            <w:bookmarkStart w:id="336" w:name="_Ref519875328"/>
                            <w:r w:rsidRPr="004C4CD8">
                              <w:rPr>
                                <w:sz w:val="22"/>
                                <w:szCs w:val="22"/>
                              </w:rPr>
                              <w:t xml:space="preserve">Box </w:t>
                            </w:r>
                            <w:r w:rsidRPr="004C4CD8">
                              <w:rPr>
                                <w:sz w:val="22"/>
                                <w:szCs w:val="22"/>
                              </w:rPr>
                              <w:fldChar w:fldCharType="begin"/>
                            </w:r>
                            <w:r w:rsidRPr="004C4CD8">
                              <w:rPr>
                                <w:sz w:val="22"/>
                                <w:szCs w:val="22"/>
                              </w:rPr>
                              <w:instrText xml:space="preserve"> SEQ Box \* ARABIC </w:instrText>
                            </w:r>
                            <w:r w:rsidRPr="004C4CD8">
                              <w:rPr>
                                <w:sz w:val="22"/>
                                <w:szCs w:val="22"/>
                              </w:rPr>
                              <w:fldChar w:fldCharType="separate"/>
                            </w:r>
                            <w:r>
                              <w:rPr>
                                <w:noProof/>
                                <w:sz w:val="22"/>
                                <w:szCs w:val="22"/>
                              </w:rPr>
                              <w:t>14</w:t>
                            </w:r>
                            <w:r w:rsidRPr="004C4CD8">
                              <w:rPr>
                                <w:sz w:val="22"/>
                                <w:szCs w:val="22"/>
                              </w:rPr>
                              <w:fldChar w:fldCharType="end"/>
                            </w:r>
                            <w:bookmarkEnd w:id="336"/>
                            <w:r w:rsidRPr="004C4CD8">
                              <w:rPr>
                                <w:sz w:val="22"/>
                                <w:szCs w:val="22"/>
                              </w:rPr>
                              <w:t xml:space="preserve">: </w:t>
                            </w:r>
                            <w:r>
                              <w:rPr>
                                <w:sz w:val="22"/>
                                <w:szCs w:val="22"/>
                              </w:rPr>
                              <w:t xml:space="preserve">Examples of </w:t>
                            </w:r>
                            <w:r w:rsidRPr="004C4CD8" w:rsidDel="00AE1363">
                              <w:rPr>
                                <w:sz w:val="22"/>
                                <w:szCs w:val="22"/>
                              </w:rPr>
                              <w:t>M</w:t>
                            </w:r>
                            <w:r w:rsidRPr="004C4CD8">
                              <w:rPr>
                                <w:sz w:val="22"/>
                                <w:szCs w:val="22"/>
                              </w:rPr>
                              <w:t xml:space="preserve">onitoring and </w:t>
                            </w:r>
                            <w:r w:rsidRPr="004C4CD8" w:rsidDel="00AE1363">
                              <w:rPr>
                                <w:sz w:val="22"/>
                                <w:szCs w:val="22"/>
                              </w:rPr>
                              <w:t xml:space="preserve">Evaluation </w:t>
                            </w:r>
                            <w:r w:rsidRPr="004C4CD8">
                              <w:rPr>
                                <w:sz w:val="22"/>
                                <w:szCs w:val="22"/>
                              </w:rPr>
                              <w:t>systems</w:t>
                            </w:r>
                          </w:p>
                          <w:p w14:paraId="337E0710" w14:textId="4BDC8766" w:rsidR="00B82BFD" w:rsidRDefault="00B82BFD" w:rsidP="00923635">
                            <w:pPr>
                              <w:rPr>
                                <w:sz w:val="22"/>
                                <w:szCs w:val="22"/>
                              </w:rPr>
                            </w:pPr>
                            <w:r w:rsidRPr="004C4CD8">
                              <w:rPr>
                                <w:b/>
                                <w:sz w:val="22"/>
                                <w:szCs w:val="22"/>
                              </w:rPr>
                              <w:t>Monitoring and Evaluation in Namibian Conservancies</w:t>
                            </w:r>
                            <w:r w:rsidRPr="004C4CD8">
                              <w:rPr>
                                <w:sz w:val="22"/>
                                <w:szCs w:val="22"/>
                              </w:rPr>
                              <w:t xml:space="preserve"> (</w:t>
                            </w:r>
                            <w:r w:rsidRPr="008A129A">
                              <w:rPr>
                                <w:sz w:val="22"/>
                                <w:szCs w:val="22"/>
                              </w:rPr>
                              <w:t>adapted from Stuart-Hill et al, 2005):</w:t>
                            </w:r>
                            <w:r w:rsidRPr="004C4CD8">
                              <w:rPr>
                                <w:sz w:val="22"/>
                                <w:szCs w:val="22"/>
                              </w:rPr>
                              <w:t xml:space="preserve"> </w:t>
                            </w:r>
                          </w:p>
                          <w:p w14:paraId="04E1BA05" w14:textId="4A04A092" w:rsidR="00B82BFD" w:rsidRDefault="00B82BFD" w:rsidP="00923635">
                            <w:pPr>
                              <w:rPr>
                                <w:sz w:val="22"/>
                                <w:szCs w:val="22"/>
                              </w:rPr>
                            </w:pPr>
                            <w:r w:rsidRPr="00A843D9">
                              <w:rPr>
                                <w:sz w:val="22"/>
                                <w:szCs w:val="22"/>
                              </w:rPr>
                              <w:t>Namibia's Community Based Natural Resource Management program is a joint venture between government, national non-governmental organisations and rural communities. A component of the program involves communities in monitoring various aspects of their conservancy, ranging from wildlife numbers, through economic returns, to patrolling records and infringements of the rules. A main feature of community monitoring is the Event Book System</w:t>
                            </w:r>
                            <w:r>
                              <w:rPr>
                                <w:sz w:val="22"/>
                                <w:szCs w:val="22"/>
                              </w:rPr>
                              <w:t xml:space="preserve">. </w:t>
                            </w:r>
                            <w:r w:rsidRPr="004C4CD8">
                              <w:rPr>
                                <w:sz w:val="22"/>
                                <w:szCs w:val="22"/>
                              </w:rPr>
                              <w:t xml:space="preserve">The Event Book system is designed around meeting the information needs of the local community. It makes provision for the need to monitor events that occur stochastically (e.g. fire, illegal hunting, problem animal incidents, wildlife mortalities, etc.) but also for more systematic monitoring activities (e.g. wildlife censuses). The Event Book itself is an A5 ring file maintained by a community ranger. The file contains a set of yellow cards, one card for each monitoring theme or topic, e.g. there is a card for illegal hunting, one for human-wildlife conflict, one for rainfall, and so on. As events occur, rangers select the appropriate card and record the event. Community rangers record the location of incidents onto maps and calculate monthly totals or averages and present these on charts. At the end of each year there is an annual audit of the system, attended by external stakeholders, including government, donors, NGOs and neighbours. </w:t>
                            </w:r>
                          </w:p>
                          <w:p w14:paraId="62AA170C" w14:textId="77777777" w:rsidR="00B82BFD" w:rsidRDefault="00B82BFD" w:rsidP="00923635">
                            <w:pPr>
                              <w:rPr>
                                <w:sz w:val="22"/>
                                <w:szCs w:val="22"/>
                              </w:rPr>
                            </w:pPr>
                            <w:r w:rsidRPr="004C4CD8">
                              <w:rPr>
                                <w:sz w:val="22"/>
                                <w:szCs w:val="22"/>
                              </w:rPr>
                              <w:t>This differs from the conventional way of monitoring in that: (i) the community decides on what they want to monitor (although conservancies are legally obliged to report on levels of wildlife utilisation so this is automatically included), (ii) external technicians only provide support upon request from the conservancy and facilitate the design process; and (iii) all data collection and analysis is undertaken locally by conservancy members. The system is based on the principals of adaptive management, and aims to constantly review the monitoring results and if the objectives of the conservancy are not being achieved take required actions to address the situation. It has been adopted by more than 30 communal conservancies in Namibia, and is now also being piloted in six national parks.</w:t>
                            </w:r>
                            <w:r w:rsidRPr="004C4CD8">
                              <w:rPr>
                                <w:rFonts w:hint="eastAsia"/>
                                <w:sz w:val="22"/>
                                <w:szCs w:val="22"/>
                              </w:rPr>
                              <w:t> </w:t>
                            </w:r>
                          </w:p>
                          <w:p w14:paraId="32432145" w14:textId="351429FF" w:rsidR="00B82BFD" w:rsidRPr="008A129A" w:rsidRDefault="00B82BFD" w:rsidP="00923635">
                            <w:pPr>
                              <w:rPr>
                                <w:sz w:val="22"/>
                                <w:szCs w:val="22"/>
                              </w:rPr>
                            </w:pPr>
                            <w:r w:rsidRPr="004C4CD8">
                              <w:rPr>
                                <w:sz w:val="22"/>
                                <w:szCs w:val="22"/>
                              </w:rPr>
                              <w:t xml:space="preserve">The </w:t>
                            </w:r>
                            <w:hyperlink r:id="rId161" w:history="1">
                              <w:r w:rsidRPr="008A129A">
                                <w:rPr>
                                  <w:sz w:val="22"/>
                                  <w:szCs w:val="22"/>
                                </w:rPr>
                                <w:t>Event Book training manual</w:t>
                              </w:r>
                            </w:hyperlink>
                            <w:r w:rsidRPr="008A129A">
                              <w:rPr>
                                <w:sz w:val="22"/>
                                <w:szCs w:val="22"/>
                              </w:rPr>
                              <w:t xml:space="preserve"> is available </w:t>
                            </w:r>
                            <w:r w:rsidRPr="008A129A">
                              <w:rPr>
                                <w:color w:val="000000" w:themeColor="text1"/>
                                <w:sz w:val="22"/>
                                <w:szCs w:val="22"/>
                              </w:rPr>
                              <w:t>through the Namibian Association of CBRM Support Organisations (NASCO). Further examples of community</w:t>
                            </w:r>
                            <w:r w:rsidRPr="008A129A">
                              <w:rPr>
                                <w:sz w:val="22"/>
                                <w:szCs w:val="22"/>
                              </w:rPr>
                              <w:t xml:space="preserve">-based M&amp;E systems from Brazil are provided by </w:t>
                            </w:r>
                            <w:r w:rsidRPr="008A129A">
                              <w:rPr>
                                <w:sz w:val="22"/>
                                <w:szCs w:val="22"/>
                              </w:rPr>
                              <w:fldChar w:fldCharType="begin"/>
                            </w:r>
                            <w:r w:rsidRPr="008A129A">
                              <w:rPr>
                                <w:sz w:val="22"/>
                                <w:szCs w:val="22"/>
                              </w:rPr>
                              <w:instrText>HYPERLINK "https://consecol.org/vol17/iss4/art22/"</w:instrText>
                            </w:r>
                            <w:r w:rsidRPr="008A129A">
                              <w:rPr>
                                <w:sz w:val="22"/>
                                <w:szCs w:val="22"/>
                              </w:rPr>
                              <w:fldChar w:fldCharType="separate"/>
                            </w:r>
                            <w:r w:rsidRPr="008A129A">
                              <w:rPr>
                                <w:sz w:val="22"/>
                                <w:szCs w:val="22"/>
                              </w:rPr>
                              <w:t>Constantino et al. (2012)</w:t>
                            </w:r>
                          </w:p>
                          <w:p w14:paraId="54601BD9" w14:textId="6F07AE79" w:rsidR="00B82BFD" w:rsidRDefault="00B82BFD" w:rsidP="00923635">
                            <w:pPr>
                              <w:rPr>
                                <w:b/>
                                <w:sz w:val="22"/>
                                <w:szCs w:val="22"/>
                              </w:rPr>
                            </w:pPr>
                            <w:r w:rsidRPr="008A129A">
                              <w:rPr>
                                <w:sz w:val="22"/>
                                <w:szCs w:val="22"/>
                              </w:rPr>
                              <w:fldChar w:fldCharType="end"/>
                            </w:r>
                            <w:r w:rsidRPr="004C4CD8">
                              <w:rPr>
                                <w:b/>
                                <w:sz w:val="22"/>
                                <w:szCs w:val="22"/>
                              </w:rPr>
                              <w:t>Monitoring and Evaluatio</w:t>
                            </w:r>
                            <w:r>
                              <w:rPr>
                                <w:b/>
                                <w:sz w:val="22"/>
                                <w:szCs w:val="22"/>
                              </w:rPr>
                              <w:t>n of wildlife law enforcement: T</w:t>
                            </w:r>
                            <w:r w:rsidRPr="004C4CD8">
                              <w:rPr>
                                <w:b/>
                                <w:sz w:val="22"/>
                                <w:szCs w:val="22"/>
                              </w:rPr>
                              <w:t xml:space="preserve">he </w:t>
                            </w:r>
                            <w:hyperlink r:id="rId162" w:history="1">
                              <w:r w:rsidRPr="004C4CD8">
                                <w:rPr>
                                  <w:b/>
                                  <w:sz w:val="22"/>
                                  <w:szCs w:val="22"/>
                                </w:rPr>
                                <w:t>Spatial Monitoring and Reporting Tool</w:t>
                              </w:r>
                            </w:hyperlink>
                            <w:r w:rsidRPr="004C4CD8">
                              <w:rPr>
                                <w:b/>
                                <w:sz w:val="22"/>
                                <w:szCs w:val="22"/>
                              </w:rPr>
                              <w:t xml:space="preserve"> (SMART): </w:t>
                            </w:r>
                          </w:p>
                          <w:p w14:paraId="06192E20" w14:textId="40291138" w:rsidR="00B82BFD" w:rsidRPr="008A129A" w:rsidRDefault="00B82BFD" w:rsidP="00923635">
                            <w:pPr>
                              <w:rPr>
                                <w:b/>
                                <w:sz w:val="22"/>
                                <w:szCs w:val="22"/>
                              </w:rPr>
                            </w:pPr>
                            <w:r w:rsidRPr="004C4CD8">
                              <w:rPr>
                                <w:sz w:val="22"/>
                                <w:szCs w:val="22"/>
                              </w:rPr>
                              <w:t>The</w:t>
                            </w:r>
                            <w:r w:rsidRPr="00987D4F">
                              <w:rPr>
                                <w:color w:val="000000" w:themeColor="text1"/>
                              </w:rPr>
                              <w:t xml:space="preserve"> </w:t>
                            </w:r>
                            <w:r w:rsidRPr="00D52BC7">
                              <w:rPr>
                                <w:color w:val="000000" w:themeColor="text1"/>
                              </w:rPr>
                              <w:t>Spatial Monitoring and Reporting Tool</w:t>
                            </w:r>
                            <w:r w:rsidRPr="004C4CD8">
                              <w:rPr>
                                <w:sz w:val="22"/>
                                <w:szCs w:val="22"/>
                              </w:rPr>
                              <w:t xml:space="preserve"> </w:t>
                            </w:r>
                            <w:r>
                              <w:rPr>
                                <w:sz w:val="22"/>
                                <w:szCs w:val="22"/>
                              </w:rPr>
                              <w:t>(</w:t>
                            </w:r>
                            <w:r w:rsidRPr="004C4CD8">
                              <w:rPr>
                                <w:sz w:val="22"/>
                                <w:szCs w:val="22"/>
                              </w:rPr>
                              <w:t>SMART</w:t>
                            </w:r>
                            <w:r>
                              <w:rPr>
                                <w:sz w:val="22"/>
                                <w:szCs w:val="22"/>
                              </w:rPr>
                              <w:t>)</w:t>
                            </w:r>
                            <w:r w:rsidRPr="004C4CD8">
                              <w:rPr>
                                <w:sz w:val="22"/>
                                <w:szCs w:val="22"/>
                              </w:rPr>
                              <w:t xml:space="preserve"> system is used for the adaptive management of wildlife law enforcement patrolling, and is currently used in 338 sites in South America, Africa and Asia, including both National Parks and community protected areas. SMART is a combination of software and training materials that allows rangers to easily record (using a mobile data gathering platform) the location, and details of wildlife hunting events (i.e. carcasses, traps, gun cartridges, hunting camps or arrests). On download, data can then be easily mapped and analysed using simple automated tools, and then used to evaluate the level of threats, efficacy of patrol organisation and routes, and adapt patrols accordingly. A recent example includes the use of SMART by the community fisheries in </w:t>
                            </w:r>
                            <w:hyperlink r:id="rId163" w:history="1">
                              <w:r w:rsidRPr="004C4CD8">
                                <w:rPr>
                                  <w:sz w:val="22"/>
                                  <w:szCs w:val="22"/>
                                </w:rPr>
                                <w:t>The Koh Rong Archipelago, Cambodia</w:t>
                              </w:r>
                            </w:hyperlink>
                            <w:r w:rsidRPr="004C4CD8">
                              <w:rPr>
                                <w:sz w:val="22"/>
                                <w:szCs w:val="22"/>
                              </w:rPr>
                              <w:t>. Community rangers conduct the patrols and collect</w:t>
                            </w:r>
                            <w:r>
                              <w:rPr>
                                <w:sz w:val="22"/>
                                <w:szCs w:val="22"/>
                              </w:rPr>
                              <w:t xml:space="preserve"> </w:t>
                            </w:r>
                            <w:r w:rsidRPr="008A129A">
                              <w:rPr>
                                <w:sz w:val="22"/>
                                <w:szCs w:val="22"/>
                              </w:rPr>
                              <w:t>and record patrol data using the SMART system. Data is then analysed to identify hotspots of illegal activity and patrol activity patterns.</w:t>
                            </w:r>
                          </w:p>
                          <w:p w14:paraId="0F0B3062" w14:textId="77777777" w:rsidR="00B82BFD" w:rsidRPr="008A129A" w:rsidRDefault="00B82BFD" w:rsidP="00923635">
                            <w:pPr>
                              <w:rPr>
                                <w:b/>
                                <w:sz w:val="22"/>
                                <w:szCs w:val="22"/>
                              </w:rPr>
                            </w:pPr>
                            <w:r w:rsidRPr="008A129A">
                              <w:rPr>
                                <w:b/>
                                <w:sz w:val="22"/>
                                <w:szCs w:val="22"/>
                              </w:rPr>
                              <w:t>Handbooks and toolkits for the design of simple monitoring and evaluation systems:</w:t>
                            </w:r>
                          </w:p>
                          <w:p w14:paraId="3B4BE044" w14:textId="77777777" w:rsidR="00B82BFD" w:rsidRPr="008A129A" w:rsidRDefault="003D3A1B" w:rsidP="006740B0">
                            <w:pPr>
                              <w:pStyle w:val="ListParagraph"/>
                              <w:numPr>
                                <w:ilvl w:val="0"/>
                                <w:numId w:val="36"/>
                              </w:numPr>
                              <w:rPr>
                                <w:sz w:val="22"/>
                                <w:szCs w:val="22"/>
                              </w:rPr>
                            </w:pPr>
                            <w:hyperlink r:id="rId164" w:history="1">
                              <w:r w:rsidR="00B82BFD" w:rsidRPr="008A129A">
                                <w:rPr>
                                  <w:rStyle w:val="Hyperlink"/>
                                  <w:sz w:val="22"/>
                                  <w:szCs w:val="22"/>
                                </w:rPr>
                                <w:t>Guidelines for Monitoring and Evaluation for Biodiversity Projects</w:t>
                              </w:r>
                            </w:hyperlink>
                            <w:r w:rsidR="00B82BFD" w:rsidRPr="008A129A">
                              <w:rPr>
                                <w:sz w:val="22"/>
                                <w:szCs w:val="22"/>
                              </w:rPr>
                              <w:t xml:space="preserve"> (Word Bank, 1998) </w:t>
                            </w:r>
                          </w:p>
                          <w:p w14:paraId="68E7612D" w14:textId="77777777" w:rsidR="00B82BFD" w:rsidRPr="008A129A" w:rsidRDefault="003D3A1B" w:rsidP="006740B0">
                            <w:pPr>
                              <w:pStyle w:val="ListParagraph"/>
                              <w:numPr>
                                <w:ilvl w:val="0"/>
                                <w:numId w:val="36"/>
                              </w:numPr>
                              <w:rPr>
                                <w:sz w:val="22"/>
                                <w:szCs w:val="22"/>
                              </w:rPr>
                            </w:pPr>
                            <w:hyperlink r:id="rId165" w:history="1">
                              <w:r w:rsidR="00B82BFD" w:rsidRPr="008A129A">
                                <w:rPr>
                                  <w:rStyle w:val="Hyperlink"/>
                                  <w:sz w:val="22"/>
                                  <w:szCs w:val="22"/>
                                </w:rPr>
                                <w:t>Measuring conservation impact</w:t>
                              </w:r>
                            </w:hyperlink>
                            <w:r w:rsidR="00B82BFD" w:rsidRPr="008A129A">
                              <w:rPr>
                                <w:sz w:val="22"/>
                                <w:szCs w:val="22"/>
                              </w:rPr>
                              <w:t xml:space="preserve"> (Saterson et al. 1996)</w:t>
                            </w:r>
                          </w:p>
                          <w:p w14:paraId="0F87D856" w14:textId="77777777" w:rsidR="00B82BFD" w:rsidRPr="008A129A" w:rsidRDefault="003D3A1B" w:rsidP="006740B0">
                            <w:pPr>
                              <w:pStyle w:val="ListParagraph"/>
                              <w:numPr>
                                <w:ilvl w:val="0"/>
                                <w:numId w:val="36"/>
                              </w:numPr>
                              <w:rPr>
                                <w:sz w:val="22"/>
                                <w:szCs w:val="22"/>
                              </w:rPr>
                            </w:pPr>
                            <w:hyperlink r:id="rId166" w:history="1">
                              <w:r w:rsidR="00B82BFD" w:rsidRPr="008A129A">
                                <w:rPr>
                                  <w:rStyle w:val="Hyperlink"/>
                                  <w:sz w:val="22"/>
                                  <w:szCs w:val="22"/>
                                </w:rPr>
                                <w:t>Guiding principles for evaluating the impacts of conservation interventions on human well-being</w:t>
                              </w:r>
                            </w:hyperlink>
                            <w:r w:rsidR="00B82BFD" w:rsidRPr="008A129A">
                              <w:rPr>
                                <w:sz w:val="22"/>
                                <w:szCs w:val="22"/>
                              </w:rPr>
                              <w:t xml:space="preserve">. (Woodhouse et al. 2015) </w:t>
                            </w:r>
                          </w:p>
                          <w:p w14:paraId="69831EAD" w14:textId="77777777" w:rsidR="00B82BFD" w:rsidRPr="008A129A" w:rsidRDefault="003D3A1B" w:rsidP="006740B0">
                            <w:pPr>
                              <w:pStyle w:val="ListParagraph"/>
                              <w:numPr>
                                <w:ilvl w:val="0"/>
                                <w:numId w:val="36"/>
                              </w:numPr>
                              <w:rPr>
                                <w:sz w:val="22"/>
                                <w:szCs w:val="22"/>
                              </w:rPr>
                            </w:pPr>
                            <w:hyperlink r:id="rId167" w:history="1">
                              <w:r w:rsidR="00B82BFD" w:rsidRPr="008A129A">
                                <w:rPr>
                                  <w:rStyle w:val="Hyperlink"/>
                                  <w:sz w:val="22"/>
                                  <w:szCs w:val="22"/>
                                </w:rPr>
                                <w:t>Social assessment of conservation initiatives</w:t>
                              </w:r>
                            </w:hyperlink>
                            <w:r w:rsidR="00B82BFD" w:rsidRPr="008A129A">
                              <w:rPr>
                                <w:sz w:val="22"/>
                                <w:szCs w:val="22"/>
                              </w:rPr>
                              <w:t>: A review of rapid methodologies (Schreckenberg et al., 2010)</w:t>
                            </w:r>
                          </w:p>
                          <w:p w14:paraId="663CBEF8" w14:textId="77777777" w:rsidR="00B82BFD" w:rsidRPr="008A129A" w:rsidRDefault="003D3A1B" w:rsidP="006740B0">
                            <w:pPr>
                              <w:pStyle w:val="ListParagraph"/>
                              <w:numPr>
                                <w:ilvl w:val="0"/>
                                <w:numId w:val="36"/>
                              </w:numPr>
                              <w:rPr>
                                <w:sz w:val="22"/>
                                <w:szCs w:val="22"/>
                              </w:rPr>
                            </w:pPr>
                            <w:hyperlink r:id="rId168" w:history="1">
                              <w:r w:rsidR="00B82BFD" w:rsidRPr="008A129A">
                                <w:rPr>
                                  <w:rStyle w:val="Hyperlink"/>
                                  <w:sz w:val="22"/>
                                  <w:szCs w:val="22"/>
                                </w:rPr>
                                <w:t>PROFOR-IUCN Poverty-Forest Tool Kit</w:t>
                              </w:r>
                            </w:hyperlink>
                            <w:r w:rsidR="00B82BFD" w:rsidRPr="008A129A">
                              <w:rPr>
                                <w:sz w:val="22"/>
                                <w:szCs w:val="22"/>
                              </w:rPr>
                              <w:t xml:space="preserve"> (PROFOR and IUCN, 2010)</w:t>
                            </w:r>
                          </w:p>
                          <w:p w14:paraId="43770E0E" w14:textId="77777777" w:rsidR="00B82BFD" w:rsidRDefault="00B82BFD" w:rsidP="00923635">
                            <w:pPr>
                              <w:rPr>
                                <w:sz w:val="22"/>
                                <w:szCs w:val="22"/>
                              </w:rPr>
                            </w:pPr>
                          </w:p>
                          <w:p w14:paraId="49630062" w14:textId="77777777" w:rsidR="00B82BFD" w:rsidRPr="004C4CD8" w:rsidRDefault="00B82BFD" w:rsidP="00923635">
                            <w:pPr>
                              <w:rPr>
                                <w:sz w:val="22"/>
                                <w:szCs w:val="22"/>
                              </w:rPr>
                            </w:pPr>
                          </w:p>
                        </w:txbxContent>
                      </wps:txbx>
                      <wps:bodyPr rot="0" vert="horz" wrap="square" lIns="91440" tIns="45720" rIns="91440" bIns="45720" anchor="t" anchorCtr="0" upright="1">
                        <a:noAutofit/>
                      </wps:bodyPr>
                    </wps:wsp>
                  </a:graphicData>
                </a:graphic>
              </wp:inline>
            </w:drawing>
          </mc:Choice>
          <mc:Fallback>
            <w:pict>
              <v:shape w14:anchorId="40A5606C" id="Text Box 7" o:spid="_x0000_s1039" type="#_x0000_t202" style="width:451pt;height:7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" fillcolor="#d8d8d8 [2732]" strokecolor="black [3213]" strokeweight="1.75pt">
                <v:textbox>
                  <w:txbxContent>
                    <w:p w14:paraId="4CF02310" w14:textId="673609C5" w:rsidR="00B82BFD" w:rsidRPr="004C4CD8" w:rsidRDefault="00B82BFD" w:rsidP="00923635">
                      <w:pPr>
                        <w:pStyle w:val="Caption"/>
                        <w:rPr>
                          <w:sz w:val="22"/>
                          <w:szCs w:val="22"/>
                        </w:rPr>
                      </w:pPr>
                      <w:bookmarkStart w:id="337" w:name="_Ref519875328"/>
                      <w:r w:rsidRPr="004C4CD8">
                        <w:rPr>
                          <w:sz w:val="22"/>
                          <w:szCs w:val="22"/>
                        </w:rPr>
                        <w:t xml:space="preserve">Box </w:t>
                      </w:r>
                      <w:r w:rsidRPr="004C4CD8">
                        <w:rPr>
                          <w:sz w:val="22"/>
                          <w:szCs w:val="22"/>
                        </w:rPr>
                        <w:fldChar w:fldCharType="begin"/>
                      </w:r>
                      <w:r w:rsidRPr="004C4CD8">
                        <w:rPr>
                          <w:sz w:val="22"/>
                          <w:szCs w:val="22"/>
                        </w:rPr>
                        <w:instrText xml:space="preserve"> SEQ Box \* ARABIC </w:instrText>
                      </w:r>
                      <w:r w:rsidRPr="004C4CD8">
                        <w:rPr>
                          <w:sz w:val="22"/>
                          <w:szCs w:val="22"/>
                        </w:rPr>
                        <w:fldChar w:fldCharType="separate"/>
                      </w:r>
                      <w:r>
                        <w:rPr>
                          <w:noProof/>
                          <w:sz w:val="22"/>
                          <w:szCs w:val="22"/>
                        </w:rPr>
                        <w:t>14</w:t>
                      </w:r>
                      <w:r w:rsidRPr="004C4CD8">
                        <w:rPr>
                          <w:sz w:val="22"/>
                          <w:szCs w:val="22"/>
                        </w:rPr>
                        <w:fldChar w:fldCharType="end"/>
                      </w:r>
                      <w:bookmarkEnd w:id="337"/>
                      <w:r w:rsidRPr="004C4CD8">
                        <w:rPr>
                          <w:sz w:val="22"/>
                          <w:szCs w:val="22"/>
                        </w:rPr>
                        <w:t xml:space="preserve">: </w:t>
                      </w:r>
                      <w:r>
                        <w:rPr>
                          <w:sz w:val="22"/>
                          <w:szCs w:val="22"/>
                        </w:rPr>
                        <w:t xml:space="preserve">Examples of </w:t>
                      </w:r>
                      <w:r w:rsidRPr="004C4CD8" w:rsidDel="00AE1363">
                        <w:rPr>
                          <w:sz w:val="22"/>
                          <w:szCs w:val="22"/>
                        </w:rPr>
                        <w:t>M</w:t>
                      </w:r>
                      <w:r w:rsidRPr="004C4CD8">
                        <w:rPr>
                          <w:sz w:val="22"/>
                          <w:szCs w:val="22"/>
                        </w:rPr>
                        <w:t xml:space="preserve">onitoring and </w:t>
                      </w:r>
                      <w:r w:rsidRPr="004C4CD8" w:rsidDel="00AE1363">
                        <w:rPr>
                          <w:sz w:val="22"/>
                          <w:szCs w:val="22"/>
                        </w:rPr>
                        <w:t xml:space="preserve">Evaluation </w:t>
                      </w:r>
                      <w:r w:rsidRPr="004C4CD8">
                        <w:rPr>
                          <w:sz w:val="22"/>
                          <w:szCs w:val="22"/>
                        </w:rPr>
                        <w:t>systems</w:t>
                      </w:r>
                    </w:p>
                    <w:p w14:paraId="337E0710" w14:textId="4BDC8766" w:rsidR="00B82BFD" w:rsidRDefault="00B82BFD" w:rsidP="00923635">
                      <w:pPr>
                        <w:rPr>
                          <w:sz w:val="22"/>
                          <w:szCs w:val="22"/>
                        </w:rPr>
                      </w:pPr>
                      <w:r w:rsidRPr="004C4CD8">
                        <w:rPr>
                          <w:b/>
                          <w:sz w:val="22"/>
                          <w:szCs w:val="22"/>
                        </w:rPr>
                        <w:t>Monitoring and Evaluation in Namibian Conservancies</w:t>
                      </w:r>
                      <w:r w:rsidRPr="004C4CD8">
                        <w:rPr>
                          <w:sz w:val="22"/>
                          <w:szCs w:val="22"/>
                        </w:rPr>
                        <w:t xml:space="preserve"> (</w:t>
                      </w:r>
                      <w:r w:rsidRPr="008A129A">
                        <w:rPr>
                          <w:sz w:val="22"/>
                          <w:szCs w:val="22"/>
                        </w:rPr>
                        <w:t>adapted from Stuart-Hill et al, 2005):</w:t>
                      </w:r>
                      <w:r w:rsidRPr="004C4CD8">
                        <w:rPr>
                          <w:sz w:val="22"/>
                          <w:szCs w:val="22"/>
                        </w:rPr>
                        <w:t xml:space="preserve"> </w:t>
                      </w:r>
                    </w:p>
                    <w:p w14:paraId="04E1BA05" w14:textId="4A04A092" w:rsidR="00B82BFD" w:rsidRDefault="00B82BFD" w:rsidP="00923635">
                      <w:pPr>
                        <w:rPr>
                          <w:sz w:val="22"/>
                          <w:szCs w:val="22"/>
                        </w:rPr>
                      </w:pPr>
                      <w:r w:rsidRPr="00A843D9">
                        <w:rPr>
                          <w:sz w:val="22"/>
                          <w:szCs w:val="22"/>
                        </w:rPr>
                        <w:t>Namibia's Community Based Natural Resource Management program is a joint venture between government, national non-governmental organisations and rural communities. A component of the program involves communities in monitoring various aspects of their conservancy, ranging from wildlife numbers, through economic returns, to patrolling records and infringements of the rules. A main feature of community monitoring is the Event Book System</w:t>
                      </w:r>
                      <w:r>
                        <w:rPr>
                          <w:sz w:val="22"/>
                          <w:szCs w:val="22"/>
                        </w:rPr>
                        <w:t xml:space="preserve">. </w:t>
                      </w:r>
                      <w:r w:rsidRPr="004C4CD8">
                        <w:rPr>
                          <w:sz w:val="22"/>
                          <w:szCs w:val="22"/>
                        </w:rPr>
                        <w:t xml:space="preserve">The Event Book system is designed around meeting the information needs of the local community. It makes provision for the need to monitor events that occur stochastically (e.g. fire, illegal hunting, problem animal incidents, wildlife mortalities, etc.) but also for more systematic monitoring activities (e.g. wildlife censuses). The Event Book itself is an A5 ring file maintained by a community ranger. The file contains a set of yellow cards, one card for each monitoring theme or topic, e.g. there is a card for illegal hunting, one for human-wildlife conflict, one for rainfall, and so on. As events occur, rangers select the appropriate card and record the event. Community rangers record the location of incidents onto maps and calculate monthly totals or averages and present these on charts. At the end of each year there is an annual audit of the system, attended by external stakeholders, including government, donors, NGOs and neighbours. </w:t>
                      </w:r>
                    </w:p>
                    <w:p w14:paraId="62AA170C" w14:textId="77777777" w:rsidR="00B82BFD" w:rsidRDefault="00B82BFD" w:rsidP="00923635">
                      <w:pPr>
                        <w:rPr>
                          <w:sz w:val="22"/>
                          <w:szCs w:val="22"/>
                        </w:rPr>
                      </w:pPr>
                      <w:r w:rsidRPr="004C4CD8">
                        <w:rPr>
                          <w:sz w:val="22"/>
                          <w:szCs w:val="22"/>
                        </w:rPr>
                        <w:t>This differs from the conventional way of monitoring in that: (i) the community decides on what they want to monitor (although conservancies are legally obliged to report on levels of wildlife utilisation so this is automatically included), (ii) external technicians only provide support upon request from the conservancy and facilitate the design process; and (iii) all data collection and analysis is undertaken locally by conservancy members. The system is based on the principals of adaptive management, and aims to constantly review the monitoring results and if the objectives of the conservancy are not being achieved take required actions to address the situation. It has been adopted by more than 30 communal conservancies in Namibia, and is now also being piloted in six national parks.</w:t>
                      </w:r>
                      <w:r w:rsidRPr="004C4CD8">
                        <w:rPr>
                          <w:rFonts w:hint="eastAsia"/>
                          <w:sz w:val="22"/>
                          <w:szCs w:val="22"/>
                        </w:rPr>
                        <w:t> </w:t>
                      </w:r>
                    </w:p>
                    <w:p w14:paraId="32432145" w14:textId="351429FF" w:rsidR="00B82BFD" w:rsidRPr="008A129A" w:rsidRDefault="00B82BFD" w:rsidP="00923635">
                      <w:pPr>
                        <w:rPr>
                          <w:sz w:val="22"/>
                          <w:szCs w:val="22"/>
                        </w:rPr>
                      </w:pPr>
                      <w:r w:rsidRPr="004C4CD8">
                        <w:rPr>
                          <w:sz w:val="22"/>
                          <w:szCs w:val="22"/>
                        </w:rPr>
                        <w:t xml:space="preserve">The </w:t>
                      </w:r>
                      <w:hyperlink r:id="rId169" w:history="1">
                        <w:r w:rsidRPr="008A129A">
                          <w:rPr>
                            <w:sz w:val="22"/>
                            <w:szCs w:val="22"/>
                          </w:rPr>
                          <w:t>Event Book training manual</w:t>
                        </w:r>
                      </w:hyperlink>
                      <w:r w:rsidRPr="008A129A">
                        <w:rPr>
                          <w:sz w:val="22"/>
                          <w:szCs w:val="22"/>
                        </w:rPr>
                        <w:t xml:space="preserve"> is available </w:t>
                      </w:r>
                      <w:r w:rsidRPr="008A129A">
                        <w:rPr>
                          <w:color w:val="000000" w:themeColor="text1"/>
                          <w:sz w:val="22"/>
                          <w:szCs w:val="22"/>
                        </w:rPr>
                        <w:t>through the Namibian Association of CBRM Support Organisations (NASCO). Further examples of community</w:t>
                      </w:r>
                      <w:r w:rsidRPr="008A129A">
                        <w:rPr>
                          <w:sz w:val="22"/>
                          <w:szCs w:val="22"/>
                        </w:rPr>
                        <w:t xml:space="preserve">-based M&amp;E systems from Brazil are provided by </w:t>
                      </w:r>
                      <w:r w:rsidRPr="008A129A">
                        <w:rPr>
                          <w:sz w:val="22"/>
                          <w:szCs w:val="22"/>
                        </w:rPr>
                        <w:fldChar w:fldCharType="begin"/>
                      </w:r>
                      <w:r w:rsidRPr="008A129A">
                        <w:rPr>
                          <w:sz w:val="22"/>
                          <w:szCs w:val="22"/>
                        </w:rPr>
                        <w:instrText>HYPERLINK "https://consecol.org/vol17/iss4/art22/"</w:instrText>
                      </w:r>
                      <w:r w:rsidRPr="008A129A">
                        <w:rPr>
                          <w:sz w:val="22"/>
                          <w:szCs w:val="22"/>
                        </w:rPr>
                        <w:fldChar w:fldCharType="separate"/>
                      </w:r>
                      <w:r w:rsidRPr="008A129A">
                        <w:rPr>
                          <w:sz w:val="22"/>
                          <w:szCs w:val="22"/>
                        </w:rPr>
                        <w:t>Constantino et al. (2012)</w:t>
                      </w:r>
                    </w:p>
                    <w:p w14:paraId="54601BD9" w14:textId="6F07AE79" w:rsidR="00B82BFD" w:rsidRDefault="00B82BFD" w:rsidP="00923635">
                      <w:pPr>
                        <w:rPr>
                          <w:b/>
                          <w:sz w:val="22"/>
                          <w:szCs w:val="22"/>
                        </w:rPr>
                      </w:pPr>
                      <w:r w:rsidRPr="008A129A">
                        <w:rPr>
                          <w:sz w:val="22"/>
                          <w:szCs w:val="22"/>
                        </w:rPr>
                        <w:fldChar w:fldCharType="end"/>
                      </w:r>
                      <w:r w:rsidRPr="004C4CD8">
                        <w:rPr>
                          <w:b/>
                          <w:sz w:val="22"/>
                          <w:szCs w:val="22"/>
                        </w:rPr>
                        <w:t>Monitoring and Evaluatio</w:t>
                      </w:r>
                      <w:r>
                        <w:rPr>
                          <w:b/>
                          <w:sz w:val="22"/>
                          <w:szCs w:val="22"/>
                        </w:rPr>
                        <w:t>n of wildlife law enforcement: T</w:t>
                      </w:r>
                      <w:r w:rsidRPr="004C4CD8">
                        <w:rPr>
                          <w:b/>
                          <w:sz w:val="22"/>
                          <w:szCs w:val="22"/>
                        </w:rPr>
                        <w:t xml:space="preserve">he </w:t>
                      </w:r>
                      <w:hyperlink r:id="rId170" w:history="1">
                        <w:r w:rsidRPr="004C4CD8">
                          <w:rPr>
                            <w:b/>
                            <w:sz w:val="22"/>
                            <w:szCs w:val="22"/>
                          </w:rPr>
                          <w:t>Spatial Monitoring and Reporting Tool</w:t>
                        </w:r>
                      </w:hyperlink>
                      <w:r w:rsidRPr="004C4CD8">
                        <w:rPr>
                          <w:b/>
                          <w:sz w:val="22"/>
                          <w:szCs w:val="22"/>
                        </w:rPr>
                        <w:t xml:space="preserve"> (SMART): </w:t>
                      </w:r>
                    </w:p>
                    <w:p w14:paraId="06192E20" w14:textId="40291138" w:rsidR="00B82BFD" w:rsidRPr="008A129A" w:rsidRDefault="00B82BFD" w:rsidP="00923635">
                      <w:pPr>
                        <w:rPr>
                          <w:b/>
                          <w:sz w:val="22"/>
                          <w:szCs w:val="22"/>
                        </w:rPr>
                      </w:pPr>
                      <w:r w:rsidRPr="004C4CD8">
                        <w:rPr>
                          <w:sz w:val="22"/>
                          <w:szCs w:val="22"/>
                        </w:rPr>
                        <w:t>The</w:t>
                      </w:r>
                      <w:r w:rsidRPr="00987D4F">
                        <w:rPr>
                          <w:color w:val="000000" w:themeColor="text1"/>
                        </w:rPr>
                        <w:t xml:space="preserve"> </w:t>
                      </w:r>
                      <w:r w:rsidRPr="00D52BC7">
                        <w:rPr>
                          <w:color w:val="000000" w:themeColor="text1"/>
                        </w:rPr>
                        <w:t>Spatial Monitoring and Reporting Tool</w:t>
                      </w:r>
                      <w:r w:rsidRPr="004C4CD8">
                        <w:rPr>
                          <w:sz w:val="22"/>
                          <w:szCs w:val="22"/>
                        </w:rPr>
                        <w:t xml:space="preserve"> </w:t>
                      </w:r>
                      <w:r>
                        <w:rPr>
                          <w:sz w:val="22"/>
                          <w:szCs w:val="22"/>
                        </w:rPr>
                        <w:t>(</w:t>
                      </w:r>
                      <w:r w:rsidRPr="004C4CD8">
                        <w:rPr>
                          <w:sz w:val="22"/>
                          <w:szCs w:val="22"/>
                        </w:rPr>
                        <w:t>SMART</w:t>
                      </w:r>
                      <w:r>
                        <w:rPr>
                          <w:sz w:val="22"/>
                          <w:szCs w:val="22"/>
                        </w:rPr>
                        <w:t>)</w:t>
                      </w:r>
                      <w:r w:rsidRPr="004C4CD8">
                        <w:rPr>
                          <w:sz w:val="22"/>
                          <w:szCs w:val="22"/>
                        </w:rPr>
                        <w:t xml:space="preserve"> system is used for the adaptive management of wildlife law enforcement patrolling, and is currently used in 338 sites in South America, Africa and Asia, including both National Parks and community protected areas. SMART is a combination of software and training materials that allows rangers to easily record (using a mobile data gathering platform) the location, and details of wildlife hunting events (i.e. carcasses, traps, gun cartridges, hunting camps or arrests). On download, data can then be easily mapped and analysed using simple automated tools, and then used to evaluate the level of threats, efficacy of patrol organisation and routes, and adapt patrols accordingly. A recent example includes the use of SMART by the community fisheries in </w:t>
                      </w:r>
                      <w:hyperlink r:id="rId171" w:history="1">
                        <w:r w:rsidRPr="004C4CD8">
                          <w:rPr>
                            <w:sz w:val="22"/>
                            <w:szCs w:val="22"/>
                          </w:rPr>
                          <w:t>The Koh Rong Archipelago, Cambodia</w:t>
                        </w:r>
                      </w:hyperlink>
                      <w:r w:rsidRPr="004C4CD8">
                        <w:rPr>
                          <w:sz w:val="22"/>
                          <w:szCs w:val="22"/>
                        </w:rPr>
                        <w:t>. Community rangers conduct the patrols and collect</w:t>
                      </w:r>
                      <w:r>
                        <w:rPr>
                          <w:sz w:val="22"/>
                          <w:szCs w:val="22"/>
                        </w:rPr>
                        <w:t xml:space="preserve"> </w:t>
                      </w:r>
                      <w:r w:rsidRPr="008A129A">
                        <w:rPr>
                          <w:sz w:val="22"/>
                          <w:szCs w:val="22"/>
                        </w:rPr>
                        <w:t>and record patrol data using the SMART system. Data is then analysed to identify hotspots of illegal activity and patrol activity patterns.</w:t>
                      </w:r>
                    </w:p>
                    <w:p w14:paraId="0F0B3062" w14:textId="77777777" w:rsidR="00B82BFD" w:rsidRPr="008A129A" w:rsidRDefault="00B82BFD" w:rsidP="00923635">
                      <w:pPr>
                        <w:rPr>
                          <w:b/>
                          <w:sz w:val="22"/>
                          <w:szCs w:val="22"/>
                        </w:rPr>
                      </w:pPr>
                      <w:r w:rsidRPr="008A129A">
                        <w:rPr>
                          <w:b/>
                          <w:sz w:val="22"/>
                          <w:szCs w:val="22"/>
                        </w:rPr>
                        <w:t>Handbooks and toolkits for the design of simple monitoring and evaluation systems:</w:t>
                      </w:r>
                    </w:p>
                    <w:p w14:paraId="3B4BE044" w14:textId="77777777" w:rsidR="00B82BFD" w:rsidRPr="008A129A" w:rsidRDefault="003D3A1B" w:rsidP="006740B0">
                      <w:pPr>
                        <w:pStyle w:val="ListParagraph"/>
                        <w:numPr>
                          <w:ilvl w:val="0"/>
                          <w:numId w:val="36"/>
                        </w:numPr>
                        <w:rPr>
                          <w:sz w:val="22"/>
                          <w:szCs w:val="22"/>
                        </w:rPr>
                      </w:pPr>
                      <w:hyperlink r:id="rId172" w:history="1">
                        <w:r w:rsidR="00B82BFD" w:rsidRPr="008A129A">
                          <w:rPr>
                            <w:rStyle w:val="Hyperlink"/>
                            <w:sz w:val="22"/>
                            <w:szCs w:val="22"/>
                          </w:rPr>
                          <w:t>Guidelines for Monitoring and Evaluation for Biodiversity Projects</w:t>
                        </w:r>
                      </w:hyperlink>
                      <w:r w:rsidR="00B82BFD" w:rsidRPr="008A129A">
                        <w:rPr>
                          <w:sz w:val="22"/>
                          <w:szCs w:val="22"/>
                        </w:rPr>
                        <w:t xml:space="preserve"> (Word Bank, 1998) </w:t>
                      </w:r>
                    </w:p>
                    <w:p w14:paraId="68E7612D" w14:textId="77777777" w:rsidR="00B82BFD" w:rsidRPr="008A129A" w:rsidRDefault="003D3A1B" w:rsidP="006740B0">
                      <w:pPr>
                        <w:pStyle w:val="ListParagraph"/>
                        <w:numPr>
                          <w:ilvl w:val="0"/>
                          <w:numId w:val="36"/>
                        </w:numPr>
                        <w:rPr>
                          <w:sz w:val="22"/>
                          <w:szCs w:val="22"/>
                        </w:rPr>
                      </w:pPr>
                      <w:hyperlink r:id="rId173" w:history="1">
                        <w:r w:rsidR="00B82BFD" w:rsidRPr="008A129A">
                          <w:rPr>
                            <w:rStyle w:val="Hyperlink"/>
                            <w:sz w:val="22"/>
                            <w:szCs w:val="22"/>
                          </w:rPr>
                          <w:t>Measuring conservation impact</w:t>
                        </w:r>
                      </w:hyperlink>
                      <w:r w:rsidR="00B82BFD" w:rsidRPr="008A129A">
                        <w:rPr>
                          <w:sz w:val="22"/>
                          <w:szCs w:val="22"/>
                        </w:rPr>
                        <w:t xml:space="preserve"> (Saterson et al. 1996)</w:t>
                      </w:r>
                    </w:p>
                    <w:p w14:paraId="0F87D856" w14:textId="77777777" w:rsidR="00B82BFD" w:rsidRPr="008A129A" w:rsidRDefault="003D3A1B" w:rsidP="006740B0">
                      <w:pPr>
                        <w:pStyle w:val="ListParagraph"/>
                        <w:numPr>
                          <w:ilvl w:val="0"/>
                          <w:numId w:val="36"/>
                        </w:numPr>
                        <w:rPr>
                          <w:sz w:val="22"/>
                          <w:szCs w:val="22"/>
                        </w:rPr>
                      </w:pPr>
                      <w:hyperlink r:id="rId174" w:history="1">
                        <w:r w:rsidR="00B82BFD" w:rsidRPr="008A129A">
                          <w:rPr>
                            <w:rStyle w:val="Hyperlink"/>
                            <w:sz w:val="22"/>
                            <w:szCs w:val="22"/>
                          </w:rPr>
                          <w:t>Guiding principles for evaluating the impacts of conservation interventions on human well-being</w:t>
                        </w:r>
                      </w:hyperlink>
                      <w:r w:rsidR="00B82BFD" w:rsidRPr="008A129A">
                        <w:rPr>
                          <w:sz w:val="22"/>
                          <w:szCs w:val="22"/>
                        </w:rPr>
                        <w:t xml:space="preserve">. (Woodhouse et al. 2015) </w:t>
                      </w:r>
                    </w:p>
                    <w:p w14:paraId="69831EAD" w14:textId="77777777" w:rsidR="00B82BFD" w:rsidRPr="008A129A" w:rsidRDefault="003D3A1B" w:rsidP="006740B0">
                      <w:pPr>
                        <w:pStyle w:val="ListParagraph"/>
                        <w:numPr>
                          <w:ilvl w:val="0"/>
                          <w:numId w:val="36"/>
                        </w:numPr>
                        <w:rPr>
                          <w:sz w:val="22"/>
                          <w:szCs w:val="22"/>
                        </w:rPr>
                      </w:pPr>
                      <w:hyperlink r:id="rId175" w:history="1">
                        <w:r w:rsidR="00B82BFD" w:rsidRPr="008A129A">
                          <w:rPr>
                            <w:rStyle w:val="Hyperlink"/>
                            <w:sz w:val="22"/>
                            <w:szCs w:val="22"/>
                          </w:rPr>
                          <w:t>Social assessment of conservation initiatives</w:t>
                        </w:r>
                      </w:hyperlink>
                      <w:r w:rsidR="00B82BFD" w:rsidRPr="008A129A">
                        <w:rPr>
                          <w:sz w:val="22"/>
                          <w:szCs w:val="22"/>
                        </w:rPr>
                        <w:t>: A review of rapid methodologies (Schreckenberg et al., 2010)</w:t>
                      </w:r>
                    </w:p>
                    <w:p w14:paraId="663CBEF8" w14:textId="77777777" w:rsidR="00B82BFD" w:rsidRPr="008A129A" w:rsidRDefault="003D3A1B" w:rsidP="006740B0">
                      <w:pPr>
                        <w:pStyle w:val="ListParagraph"/>
                        <w:numPr>
                          <w:ilvl w:val="0"/>
                          <w:numId w:val="36"/>
                        </w:numPr>
                        <w:rPr>
                          <w:sz w:val="22"/>
                          <w:szCs w:val="22"/>
                        </w:rPr>
                      </w:pPr>
                      <w:hyperlink r:id="rId176" w:history="1">
                        <w:r w:rsidR="00B82BFD" w:rsidRPr="008A129A">
                          <w:rPr>
                            <w:rStyle w:val="Hyperlink"/>
                            <w:sz w:val="22"/>
                            <w:szCs w:val="22"/>
                          </w:rPr>
                          <w:t>PROFOR-IUCN Poverty-Forest Tool Kit</w:t>
                        </w:r>
                      </w:hyperlink>
                      <w:r w:rsidR="00B82BFD" w:rsidRPr="008A129A">
                        <w:rPr>
                          <w:sz w:val="22"/>
                          <w:szCs w:val="22"/>
                        </w:rPr>
                        <w:t xml:space="preserve"> (PROFOR and IUCN, 2010)</w:t>
                      </w:r>
                    </w:p>
                    <w:p w14:paraId="43770E0E" w14:textId="77777777" w:rsidR="00B82BFD" w:rsidRDefault="00B82BFD" w:rsidP="00923635">
                      <w:pPr>
                        <w:rPr>
                          <w:sz w:val="22"/>
                          <w:szCs w:val="22"/>
                        </w:rPr>
                      </w:pPr>
                    </w:p>
                    <w:p w14:paraId="49630062" w14:textId="77777777" w:rsidR="00B82BFD" w:rsidRPr="004C4CD8" w:rsidRDefault="00B82BFD" w:rsidP="00923635">
                      <w:pPr>
                        <w:rPr>
                          <w:sz w:val="22"/>
                          <w:szCs w:val="22"/>
                        </w:rPr>
                      </w:pPr>
                    </w:p>
                  </w:txbxContent>
                </v:textbox>
                <w10:anchorlock/>
              </v:shape>
            </w:pict>
          </mc:Fallback>
        </mc:AlternateContent>
      </w:r>
    </w:p>
    <w:bookmarkEnd w:id="332"/>
    <w:bookmarkEnd w:id="333"/>
    <w:bookmarkEnd w:id="334"/>
    <w:bookmarkEnd w:id="335"/>
    <w:p w14:paraId="6368BE99" w14:textId="03006FBD" w:rsidR="007078FA" w:rsidRPr="00B12A3E" w:rsidRDefault="007078FA" w:rsidP="007078FA">
      <w:r>
        <w:lastRenderedPageBreak/>
        <w:t xml:space="preserve">References for Box 14: </w:t>
      </w:r>
      <w:r>
        <w:fldChar w:fldCharType="begin" w:fldLock="1"/>
      </w:r>
      <w:r>
        <w:instrText>ADDIN CSL_CITATION {"citationItems":[{"id":"ITEM-1","itemData":{"DOI":"10.1007/s10531-005-8391-0","ISBN":"0960-3115","ISSN":"09603115","abstract":"Namibia's Community Based Natural Resource Management program is a joint venture between government, national non-governmental organisations and rural communities. A com-ponent of the program involves communities in monitoring various aspects of their conservancy, ranging from wildlife numbers, through economic returns, to patrolling records and infringements of the rules. A main feature of community monitoring is the Event Book System, which differs from conventional monitoring in that the community dictates what needs to be monitored, and scientists only facilitate the design process and conservancy members undertake all data analysis. The system has been adopted with good results by more than 30 communal conservancies in Namibia, covering almost seven million ha, and is now also being piloted in six national parks. Continued emphasis is needed on enhancing community interpretation and use of data for active adaptive management, particularly where conservancy leaders are transient due to the democratic nature of local orga-nizations. Moreover, because the system is driven by local priorities, it does not cover all aspects of a comprehensive biodiversity monitoring programme. Where society deems other biodiversity values worth monitoring, conservancies must either be willingly persuaded to act on this, or external systems must be established to cater for these needs. If a community already has a monitoring system of its own, a win–win solution might be for the community to be sub-contracted to undertake these 'external modules' on behalf of national agencies.","author":[{"dropping-particle":"","family":"Stuart-Hill","given":"Greg","non-dropping-particle":"","parse-names":false,"suffix":""},{"dropping-particle":"","family":"Diggle","given":"Richard","non-dropping-particle":"","parse-names":false,"suffix":""},{"dropping-particle":"","family":"Munali","given":"Bevan","non-dropping-particle":"","parse-names":false,"suffix":""},{"dropping-particle":"","family":"Tagg","given":"Jo","non-dropping-particle":"","parse-names":false,"suffix":""},{"dropping-particle":"","family":"Ward","given":"David","non-dropping-particle":"","parse-names":false,"suffix":""}],"container-title":"Biodiversity and Conservation","id":"ITEM-1","issue":"11","issued":{"date-parts":[["2005"]]},"page":"2611-2631","title":"The event book system: A community-based natural resource monitoring system from Namibia","type":"article-journal","volume":"14"},"uris":["http://www.mendeley.com/documents/?uuid=e5de4829-fcb4-4f29-94bc-9c6a19d66311"]},{"id":"ITEM-2","itemData":{"DOI":"10.5751/ES-05164-170422","ISSN":"1708-3087","abstract":"Acre; Amaz{ô}nas; Caprivi; community participation; decentralization; indigenous people; protected area; wildlife management","author":[{"dropping-particle":"","family":"Constantino","given":"P A L","non-dropping-particle":"","parse-names":false,"suffix":""},{"dropping-particle":"","family":"Carlos","given":"H S A","non-dropping-particle":"","parse-names":false,"suffix":""},{"dropping-particle":"","family":"Ramalho","given":"E E","non-dropping-particle":"","parse-names":false,"suffix":""},{"dropping-particle":"","family":"Rostant","given":"L","non-dropping-particle":"","parse-names":false,"suffix":""},{"dropping-particle":"","family":"Marinelli","given":"C E","non-dropping-particle":"","parse-names":false,"suffix":""},{"dropping-particle":"","family":"Teles","given":"D","non-dropping-particle":"","parse-names":false,"suffix":""},{"dropping-particle":"","family":"Fonseca-Junior","given":"S F","non-dropping-particle":"","parse-names":false,"suffix":""},{"dropping-particle":"","family":"Fernandes","given":"R B","non-dropping-particle":"","parse-names":false,"suffix":""},{"dropping-particle":"","family":"Valsecchi","given":"","non-dropping-particle":"","parse-names":false,"suffix":""}],"container-title":"Ecology and Society","id":"ITEM-2","issue":"4","issued":{"date-parts":[["2012"]]},"page":"22","title":"Changing contexts, changing strategies empowering local people through community-based resource monitoring: a comparison between Brazil and Namibia","type":"article-journal","volume":"17"},"uris":["http://www.mendeley.com/documents/?uuid=c75c0b1c-a05b-44cd-b088-3e6561a0cca6"]},{"id":"ITEM-3","itemData":{"ISBN":"1887531327","author":[{"dropping-particle":"","family":"Saterson","given":"K","non-dropping-particle":"","parse-names":false,"suffix":""},{"dropping-particle":"","family":"Margoluis","given":"R","non-dropping-particle":"","parse-names":false,"suffix":""},{"dropping-particle":"","family":"Salafsky","given":"N","non-dropping-particle":"","parse-names":false,"suffix":""}],"id":"ITEM-3","issued":{"date-parts":[["1999"]]},"publisher-place":"Biodiversity Support Program, Washington DC, USA","title":"Measuring conservation impact: an interdisciplinary approach to project monitoring and evaluation","type":"report"},"uris":["http://www.mendeley.com/documents/?uuid=3b08776c-7d46-452e-a82a-9ac1a9011d52"]},{"id":"ITEM-4","itemData":{"author":[{"dropping-particle":"","family":"Woodhouse","given":"Emily","non-dropping-particle":"","parse-names":false,"suffix":""},{"dropping-particle":"","family":"Homewood","given":"Katherine M","non-dropping-particle":"","parse-names":false,"suffix":""},{"dropping-particle":"","family":"Beauchamp","given":"Emilie","non-dropping-particle":"","parse-names":false,"suffix":""},{"dropping-particle":"","family":"Clements","given":"Tom","non-dropping-particle":"","parse-names":false,"suffix":""},{"dropping-particle":"","family":"Mccabe","given":"J Terrence","non-dropping-particle":"","parse-names":false,"suffix":""},{"dropping-particle":"","family":"Wilkie","given":"David","non-dropping-particle":"","parse-names":false,"suffix":""},{"dropping-particle":"","family":"Woodhouse","given":"Emily","non-dropping-particle":"","parse-names":false,"suffix":""}],"container-title":"Philosophical Transactions of the Royal Society B: Biological Sciences","id":"ITEM-4","issued":{"date-parts":[["2015"]]},"page":"20150103","title":"Guiding principles for evaluating the impacts of conservation interventions on human well-being","type":"article-journal","volume":"370"},"uris":["http://www.mendeley.com/documents/?uuid=22279d36-964a-452c-87fb-a94cc2f97954"]},{"id":"ITEM-5","itemData":{"DOI":"10.1017/S0030605310001183","ISBN":"9781843697695","ISSN":"00306053","abstract":"Areas of land and sea are increasingly being marked out for protection in response to various demands: to tackle biodiversity loss, to prevent deforestation as a climate change mitigation strategy, and to restore declining fisheries. Amongst those promoting biodiversity conservation, the impacts of protected areas on resident or neighbouring communities have generated much debate, and this debate is raging further as new protection schemes emerge, such as REDD. Despite widely voiced concerns about some of the negative implications of protected areas, and growing pressures to ensure that they fulfil social as well as ecological objectives, no standard methods exist to assess social impacts. This report aims to provide some. Some 30 tools and methods for assessing social impacts in protected areas and elsewhere are reviewed in this report, with a view to understanding how different researchers have tackled the various challenges associated with impact assessment. This experience is used to inform a framework for a standardised process that can guide the design of locally appropriate assessment methodologies. Such a standard process would facilitate robust, objective comparisons between sites as well as assisting in the task of addressing genuine concerns and enhancing potential benefits. This report is one output of the Social Assessment of Protected Areas (SAPA) initiative.","author":[{"dropping-particle":"","family":"Schreckenberg","given":"Kate","non-dropping-particle":"","parse-names":false,"suffix":""},{"dropping-particle":"","family":"Camargo","given":"Izabel","non-dropping-particle":"","parse-names":false,"suffix":""},{"dropping-particle":"","family":"Withnall","given":"Katahdin","non-dropping-particle":"","parse-names":false,"suffix":""},{"dropping-particle":"","family":"Corrigan","given":"Colleen","non-dropping-particle":"","parse-names":false,"suffix":""},{"dropping-particle":"","family":"Franks","given":"Phil","non-dropping-particle":"","parse-names":false,"suffix":""},{"dropping-particle":"","family":"Roe","given":"Dilys","non-dropping-particle":"","parse-names":false,"suffix":""},{"dropping-particle":"","family":"Scherl","given":"Lea M","non-dropping-particle":"","parse-names":false,"suffix":""},{"dropping-particle":"","family":"Richardson","given":"Vanessa","non-dropping-particle":"","parse-names":false,"suffix":""}],"id":"ITEM-5","issued":{"date-parts":[["2010"]]},"number-of-pages":"139","publisher-place":"IIED, London, UK","title":"Social assessment of conservation initiatives: a review of rapid methodologies. Natural Resources Issues No. 22","type":"report"},"uris":["http://www.mendeley.com/documents/?uuid=2baad5c6-4ae1-44d2-8523-437afbb120ee"]},{"id":"ITEM-6","itemData":{"DOI":"10.17151/luaz.2015.40.16","author":[{"dropping-particle":"","family":"PROFOR","given":"","non-dropping-particle":"","parse-names":false,"suffix":""},{"dropping-particle":"","family":"IUCN","given":"","non-dropping-particle":"","parse-names":false,"suffix":""}],"id":"ITEM-6","issued":{"date-parts":[["2010"]]},"number-of-pages":"50","title":"Poverty-Forests Linkages Toolkit: overview and national level engagement","type":"report"},"uris":["http://www.mendeley.com/documents/?uuid=4de1d0fa-c1cb-4a59-a814-3a9afd3681a2"]}],"mendeley":{"formattedCitation":"(Saterson et al. 1999; Stuart-Hill et al. 2005; PROFOR &amp; IUCN 2010; Schreckenberg et al. 2010; Constantino et al. 2012; Woodhouse et al. 2015)","plainTextFormattedCitation":"(Saterson et al. 1999; Stuart-Hill et al. 2005; PROFOR &amp; IUCN 2010; Schreckenberg et al. 2010; Constantino et al. 2012; Woodhouse et al. 2015)","previouslyFormattedCitation":"(Saterson et al. 1999; Stuart-Hill et al. 2005; PROFOR &amp; IUCN 2010; Schreckenberg et al. 2010; Constantino et al. 2012; Woodhouse et al. 2015)"},"properties":{"noteIndex":0},"schema":"https://github.com/citation-style-language/schema/raw/master/csl-citation.json"}</w:instrText>
      </w:r>
      <w:r>
        <w:fldChar w:fldCharType="separate"/>
      </w:r>
      <w:r w:rsidRPr="00B12A3E">
        <w:rPr>
          <w:noProof/>
        </w:rPr>
        <w:t>(Saterson et al. 1999; Stuart-Hill et al. 2005; PROFOR &amp; IUCN 2010; Schreckenberg et al. 2010; Constantino et al. 2012; Woodhouse et al. 2015)</w:t>
      </w:r>
      <w:r>
        <w:fldChar w:fldCharType="end"/>
      </w:r>
    </w:p>
    <w:p w14:paraId="26A4BABB" w14:textId="6DA1633B" w:rsidR="008B7903" w:rsidRDefault="008B7903" w:rsidP="007078FA"/>
    <w:p w14:paraId="3FFB4A36" w14:textId="32EEC41A" w:rsidR="00CD659F" w:rsidRDefault="00C03F8F" w:rsidP="00DF57F3">
      <w:pPr>
        <w:pStyle w:val="Heading1"/>
      </w:pPr>
      <w:bookmarkStart w:id="338" w:name="_Toc529390386"/>
      <w:r w:rsidRPr="00785A38">
        <w:t>CONCLUSIONS</w:t>
      </w:r>
      <w:bookmarkEnd w:id="301"/>
      <w:bookmarkEnd w:id="302"/>
      <w:bookmarkEnd w:id="338"/>
      <w:r w:rsidR="006D01B0">
        <w:t xml:space="preserve"> </w:t>
      </w:r>
    </w:p>
    <w:p w14:paraId="20528AA3" w14:textId="29778D1D" w:rsidR="004D42A7" w:rsidRDefault="004D42A7" w:rsidP="00C258BC">
      <w:pPr>
        <w:jc w:val="both"/>
        <w:rPr>
          <w:lang w:val="en-US"/>
        </w:rPr>
      </w:pPr>
      <w:r>
        <w:rPr>
          <w:lang w:val="en-US"/>
        </w:rPr>
        <w:t xml:space="preserve">The last thirty years of wild meat research across the tropics and subtropics has provided us with a wealth of information on </w:t>
      </w:r>
      <w:r w:rsidR="00D3493B">
        <w:rPr>
          <w:lang w:val="en-US"/>
        </w:rPr>
        <w:t xml:space="preserve">species used, </w:t>
      </w:r>
      <w:r>
        <w:rPr>
          <w:lang w:val="en-US"/>
        </w:rPr>
        <w:t xml:space="preserve">volumes </w:t>
      </w:r>
      <w:r w:rsidR="00D3493B">
        <w:rPr>
          <w:lang w:val="en-US"/>
        </w:rPr>
        <w:t>hunted and traded</w:t>
      </w:r>
      <w:r>
        <w:rPr>
          <w:lang w:val="en-US"/>
        </w:rPr>
        <w:t xml:space="preserve"> and drivers</w:t>
      </w:r>
      <w:r w:rsidR="00D3493B">
        <w:rPr>
          <w:lang w:val="en-US"/>
        </w:rPr>
        <w:t xml:space="preserve"> of use</w:t>
      </w:r>
      <w:r>
        <w:rPr>
          <w:lang w:val="en-US"/>
        </w:rPr>
        <w:t xml:space="preserve">, confirming the importance of wild meat for local rural communities, and the impacts of unsustainable hunting on local livelihoods and ecosystems. While there are regional differences, most studies suggest that </w:t>
      </w:r>
      <w:r w:rsidR="00D3493B">
        <w:rPr>
          <w:lang w:val="en-US"/>
        </w:rPr>
        <w:t xml:space="preserve">the most </w:t>
      </w:r>
      <w:r>
        <w:rPr>
          <w:lang w:val="en-US"/>
        </w:rPr>
        <w:t>unsustainable hunting is driven by</w:t>
      </w:r>
      <w:r w:rsidR="00FA0C1B">
        <w:rPr>
          <w:lang w:val="en-US"/>
        </w:rPr>
        <w:t xml:space="preserve"> </w:t>
      </w:r>
      <w:r>
        <w:rPr>
          <w:lang w:val="en-US"/>
        </w:rPr>
        <w:t xml:space="preserve">the demand for wild meat in </w:t>
      </w:r>
      <w:r w:rsidR="00FA0C1B">
        <w:rPr>
          <w:lang w:val="en-US"/>
        </w:rPr>
        <w:t>fast-</w:t>
      </w:r>
      <w:r>
        <w:rPr>
          <w:lang w:val="en-US"/>
        </w:rPr>
        <w:t xml:space="preserve">growing urban </w:t>
      </w:r>
      <w:r w:rsidR="00A479D2">
        <w:rPr>
          <w:lang w:val="en-US"/>
        </w:rPr>
        <w:t>centers</w:t>
      </w:r>
      <w:r w:rsidR="00C17CBE">
        <w:rPr>
          <w:lang w:val="en-US"/>
        </w:rPr>
        <w:t>. Supply to these growing markets is</w:t>
      </w:r>
      <w:r>
        <w:rPr>
          <w:lang w:val="en-US"/>
        </w:rPr>
        <w:t xml:space="preserve"> aided by ad</w:t>
      </w:r>
      <w:r w:rsidR="00FA0C1B">
        <w:rPr>
          <w:lang w:val="en-US"/>
        </w:rPr>
        <w:t>vances in hunting technologies,</w:t>
      </w:r>
      <w:r w:rsidR="00C17CBE">
        <w:rPr>
          <w:lang w:val="en-US"/>
        </w:rPr>
        <w:t xml:space="preserve"> as well as</w:t>
      </w:r>
      <w:r w:rsidR="00FA0C1B">
        <w:rPr>
          <w:lang w:val="en-US"/>
        </w:rPr>
        <w:t xml:space="preserve"> i</w:t>
      </w:r>
      <w:r>
        <w:rPr>
          <w:lang w:val="en-US"/>
        </w:rPr>
        <w:t xml:space="preserve">ncreased access to once-remote habitat by commercial hunters and </w:t>
      </w:r>
      <w:r w:rsidR="00D3493B">
        <w:rPr>
          <w:lang w:val="en-US"/>
        </w:rPr>
        <w:t>improved transport and market</w:t>
      </w:r>
      <w:r>
        <w:rPr>
          <w:lang w:val="en-US"/>
        </w:rPr>
        <w:t xml:space="preserve"> access</w:t>
      </w:r>
      <w:r w:rsidR="00C17CBE">
        <w:rPr>
          <w:lang w:val="en-US"/>
        </w:rPr>
        <w:t xml:space="preserve">, </w:t>
      </w:r>
      <w:r w:rsidR="00D3493B">
        <w:rPr>
          <w:lang w:val="en-US"/>
        </w:rPr>
        <w:t>associated with</w:t>
      </w:r>
      <w:r>
        <w:rPr>
          <w:lang w:val="en-US"/>
        </w:rPr>
        <w:t xml:space="preserve"> the proliferation of extractive industries (such as timber, oil and mining) and agricultural plantations (such as soy and oil palm). The uncontrolled wild meat trade, in tandem with the continuing loss of intact habitat, threatens wildlife in all tropical and subtropical regions in Latin America, Africa and Asia. </w:t>
      </w:r>
      <w:r w:rsidR="0024104E">
        <w:rPr>
          <w:lang w:val="en-US"/>
        </w:rPr>
        <w:t>S</w:t>
      </w:r>
      <w:r>
        <w:rPr>
          <w:lang w:val="en-US"/>
        </w:rPr>
        <w:t xml:space="preserve">erious impacts </w:t>
      </w:r>
      <w:r w:rsidR="0024104E">
        <w:rPr>
          <w:lang w:val="en-US"/>
        </w:rPr>
        <w:t xml:space="preserve">are being recorded </w:t>
      </w:r>
      <w:r>
        <w:rPr>
          <w:lang w:val="en-US"/>
        </w:rPr>
        <w:t>on species, ecological systems, and rural food security and livelihoods.</w:t>
      </w:r>
    </w:p>
    <w:p w14:paraId="199D5FB1" w14:textId="446D7AE0" w:rsidR="004D42A7" w:rsidRDefault="004D42A7" w:rsidP="00C258BC">
      <w:pPr>
        <w:jc w:val="both"/>
        <w:rPr>
          <w:lang w:val="en-US"/>
        </w:rPr>
      </w:pPr>
      <w:r>
        <w:rPr>
          <w:lang w:val="en-US"/>
        </w:rPr>
        <w:t xml:space="preserve">A number of wild meat management strategies have been employed and proposed. Though some of these have been successful, many more have failed. We identify a number of reasons for this lack of progress, of which arguably the most important is the lack of an enabling environment at the national level. Hunting regulations in many countries are open to interpretation, make it difficult for local communities to </w:t>
      </w:r>
      <w:r w:rsidR="0024104E">
        <w:rPr>
          <w:lang w:val="en-US"/>
        </w:rPr>
        <w:t xml:space="preserve">sustainably </w:t>
      </w:r>
      <w:r>
        <w:rPr>
          <w:lang w:val="en-US"/>
        </w:rPr>
        <w:t>hunt and trade wild meat legally, and are challenging to implement and enforce</w:t>
      </w:r>
      <w:r w:rsidR="0024104E">
        <w:rPr>
          <w:lang w:val="en-US"/>
        </w:rPr>
        <w:t xml:space="preserve"> because they do not relate well to the local context</w:t>
      </w:r>
      <w:r w:rsidR="007A3DFF">
        <w:rPr>
          <w:lang w:val="en-US"/>
        </w:rPr>
        <w:t xml:space="preserve"> and needs</w:t>
      </w:r>
      <w:r>
        <w:rPr>
          <w:lang w:val="en-US"/>
        </w:rPr>
        <w:t>. In addition, and especially in Africa, a lack of devolution of land tenure and land management to indigenous and local communities has prevented and disenfranchised many peoples from managing their hunting and expelling external commercial hunt</w:t>
      </w:r>
      <w:r w:rsidR="00A843D9">
        <w:rPr>
          <w:lang w:val="en-US"/>
        </w:rPr>
        <w:t xml:space="preserve">ers from their hunting grounds. </w:t>
      </w:r>
      <w:r>
        <w:rPr>
          <w:lang w:val="en-US"/>
        </w:rPr>
        <w:t>Thus, in this context, interventions that</w:t>
      </w:r>
      <w:r w:rsidR="00FA0C1B">
        <w:rPr>
          <w:lang w:val="en-US"/>
        </w:rPr>
        <w:t xml:space="preserve"> aim to</w:t>
      </w:r>
      <w:r>
        <w:rPr>
          <w:lang w:val="en-US"/>
        </w:rPr>
        <w:t xml:space="preserve"> </w:t>
      </w:r>
      <w:r w:rsidR="00FA0C1B">
        <w:rPr>
          <w:lang w:val="en-US"/>
        </w:rPr>
        <w:t>work with</w:t>
      </w:r>
      <w:r>
        <w:rPr>
          <w:lang w:val="en-US"/>
        </w:rPr>
        <w:t xml:space="preserve"> local communities to manage hunting start at a disadvantage. A key first step towards the creation of a sustainable wild meat sector in many countries is the critical evaluation and revision of national hunting laws and land tenure and governance systems, in collaboration with a range of stakeholders, including local community representatives, with sustainable management, rather than solely wildlife conservation, as a goal. </w:t>
      </w:r>
    </w:p>
    <w:p w14:paraId="456CBFEC" w14:textId="331E0358" w:rsidR="004D42A7" w:rsidRDefault="004D42A7" w:rsidP="00C258BC">
      <w:pPr>
        <w:jc w:val="both"/>
        <w:rPr>
          <w:lang w:val="en-US"/>
        </w:rPr>
      </w:pPr>
      <w:r>
        <w:rPr>
          <w:lang w:val="en-US"/>
        </w:rPr>
        <w:t>In addition, and more widely, a shift in how wild meat is perceived as a national resource is overdue. Wild meat hunting has often been discussed in terms of species conservation, and as a result national legislation and policy concerning wild meat has often only been addressed by sectors responsible for wildlife. However, as we show in this review, wild meat is a cross-sectoral issue, that involves the economy, health, infrastructure, agriculture</w:t>
      </w:r>
      <w:r w:rsidRPr="009102F3">
        <w:rPr>
          <w:lang w:val="en-US"/>
        </w:rPr>
        <w:t xml:space="preserve"> </w:t>
      </w:r>
      <w:r>
        <w:rPr>
          <w:lang w:val="en-US"/>
        </w:rPr>
        <w:t>and others, and therefore needs to be incorporated into national resource- and land-use planning. National governments are less likely to do this if the national wild meat use and trade remains unquantified</w:t>
      </w:r>
      <w:r w:rsidR="0024104E">
        <w:rPr>
          <w:lang w:val="en-US"/>
        </w:rPr>
        <w:t xml:space="preserve"> and largely illegal</w:t>
      </w:r>
      <w:r>
        <w:rPr>
          <w:lang w:val="en-US"/>
        </w:rPr>
        <w:t xml:space="preserve">, and so the creation of regional and national-level monitoring frameworks and wild meat datasets are needed to quantify the value of wildmeat, and the impacts of its unsustainable use. </w:t>
      </w:r>
    </w:p>
    <w:p w14:paraId="780BAA88" w14:textId="0F073FE2" w:rsidR="004D42A7" w:rsidRDefault="00AE1363" w:rsidP="00C258BC">
      <w:pPr>
        <w:jc w:val="both"/>
        <w:rPr>
          <w:lang w:val="en-US"/>
        </w:rPr>
      </w:pPr>
      <w:r>
        <w:rPr>
          <w:lang w:val="en-US"/>
        </w:rPr>
        <w:t>While i</w:t>
      </w:r>
      <w:r w:rsidR="004D42A7">
        <w:rPr>
          <w:lang w:val="en-US"/>
        </w:rPr>
        <w:t xml:space="preserve">nternational agreements such as CITES, CBD and others demonstrate that political will exists to support sustainable wild meat management, these </w:t>
      </w:r>
      <w:r w:rsidR="005A74A4">
        <w:rPr>
          <w:lang w:val="en-US"/>
        </w:rPr>
        <w:t>global</w:t>
      </w:r>
      <w:r w:rsidR="004D42A7">
        <w:rPr>
          <w:lang w:val="en-US"/>
        </w:rPr>
        <w:t xml:space="preserve"> </w:t>
      </w:r>
      <w:r w:rsidR="00936388">
        <w:rPr>
          <w:lang w:val="en-US"/>
        </w:rPr>
        <w:t xml:space="preserve">frameworks </w:t>
      </w:r>
      <w:r w:rsidR="004D42A7">
        <w:rPr>
          <w:lang w:val="en-US"/>
        </w:rPr>
        <w:t>are often not translated into nati</w:t>
      </w:r>
      <w:r w:rsidR="00FA0C1B">
        <w:rPr>
          <w:lang w:val="en-US"/>
        </w:rPr>
        <w:t xml:space="preserve">onal strategies and guidelines. </w:t>
      </w:r>
      <w:r w:rsidR="004D42A7">
        <w:rPr>
          <w:lang w:val="en-US"/>
        </w:rPr>
        <w:t xml:space="preserve">This may be in part due to the lack of </w:t>
      </w:r>
      <w:r w:rsidR="004D42A7">
        <w:rPr>
          <w:lang w:val="en-US"/>
        </w:rPr>
        <w:lastRenderedPageBreak/>
        <w:t>translation of international agreements and resolutions into nationally-applicable actions and guidelines</w:t>
      </w:r>
      <w:r w:rsidR="001B01E4">
        <w:rPr>
          <w:lang w:val="en-US"/>
        </w:rPr>
        <w:t>.</w:t>
      </w:r>
      <w:r w:rsidR="004D42A7">
        <w:rPr>
          <w:lang w:val="en-US"/>
        </w:rPr>
        <w:t xml:space="preserve"> In some cases</w:t>
      </w:r>
      <w:r w:rsidR="001B01E4">
        <w:rPr>
          <w:lang w:val="en-US"/>
        </w:rPr>
        <w:t>,</w:t>
      </w:r>
      <w:r w:rsidR="004D42A7">
        <w:rPr>
          <w:lang w:val="en-US"/>
        </w:rPr>
        <w:t xml:space="preserve"> it may also be due to a lack of national political will, which is more likely where wild meat use is not recognized and formalised. </w:t>
      </w:r>
      <w:r w:rsidR="0024104E">
        <w:rPr>
          <w:lang w:val="en-US"/>
        </w:rPr>
        <w:t>W</w:t>
      </w:r>
      <w:r w:rsidR="004D42A7">
        <w:rPr>
          <w:lang w:val="en-US"/>
        </w:rPr>
        <w:t xml:space="preserve">e would </w:t>
      </w:r>
      <w:r w:rsidR="0024104E">
        <w:rPr>
          <w:lang w:val="en-US"/>
        </w:rPr>
        <w:t xml:space="preserve">encourage </w:t>
      </w:r>
      <w:r w:rsidR="004D42A7">
        <w:rPr>
          <w:lang w:val="en-US"/>
        </w:rPr>
        <w:t>the CBD</w:t>
      </w:r>
      <w:r w:rsidR="00FA0C1B">
        <w:rPr>
          <w:lang w:val="en-US"/>
        </w:rPr>
        <w:t xml:space="preserve"> an</w:t>
      </w:r>
      <w:r w:rsidR="007A3DFF">
        <w:rPr>
          <w:lang w:val="en-US"/>
        </w:rPr>
        <w:t>d</w:t>
      </w:r>
      <w:r w:rsidR="00FA0C1B">
        <w:rPr>
          <w:lang w:val="en-US"/>
        </w:rPr>
        <w:t xml:space="preserve"> others</w:t>
      </w:r>
      <w:r w:rsidR="004D42A7">
        <w:rPr>
          <w:lang w:val="en-US"/>
        </w:rPr>
        <w:t xml:space="preserve"> </w:t>
      </w:r>
      <w:r w:rsidR="0024104E">
        <w:rPr>
          <w:lang w:val="en-US"/>
        </w:rPr>
        <w:t xml:space="preserve">to find mechanisms to support Parties in detailing National Action Plans for the </w:t>
      </w:r>
      <w:r w:rsidR="004D42A7">
        <w:rPr>
          <w:lang w:val="en-US"/>
        </w:rPr>
        <w:t xml:space="preserve">sustainable use of wildmeat. </w:t>
      </w:r>
      <w:r w:rsidR="0024104E">
        <w:rPr>
          <w:lang w:val="en-US"/>
        </w:rPr>
        <w:t>S</w:t>
      </w:r>
      <w:r w:rsidR="004D42A7">
        <w:rPr>
          <w:lang w:val="en-US"/>
        </w:rPr>
        <w:t>upport should be given to national governments that may lack adequate capacity, in terms of national infrastructure, adequate budgets and trained staff, to apply and</w:t>
      </w:r>
      <w:r w:rsidR="001B01E4">
        <w:rPr>
          <w:lang w:val="en-US"/>
        </w:rPr>
        <w:t xml:space="preserve"> enforce national legislation. </w:t>
      </w:r>
      <w:r w:rsidR="004D42A7">
        <w:rPr>
          <w:lang w:val="en-US"/>
        </w:rPr>
        <w:t>This is especially needed where the structures required for regulation</w:t>
      </w:r>
      <w:r w:rsidR="00B80A0C">
        <w:rPr>
          <w:lang w:val="en-US"/>
        </w:rPr>
        <w:t>,</w:t>
      </w:r>
      <w:r w:rsidR="004D42A7">
        <w:rPr>
          <w:lang w:val="en-US"/>
        </w:rPr>
        <w:t xml:space="preserve"> and potentially taxation</w:t>
      </w:r>
      <w:r w:rsidR="00B80A0C">
        <w:rPr>
          <w:lang w:val="en-US"/>
        </w:rPr>
        <w:t>,</w:t>
      </w:r>
      <w:r w:rsidR="004D42A7">
        <w:rPr>
          <w:lang w:val="en-US"/>
        </w:rPr>
        <w:t xml:space="preserve"> of wild meat </w:t>
      </w:r>
      <w:r w:rsidR="00B80A0C">
        <w:rPr>
          <w:lang w:val="en-US"/>
        </w:rPr>
        <w:t xml:space="preserve">trade </w:t>
      </w:r>
      <w:r w:rsidR="00BC1092">
        <w:rPr>
          <w:lang w:val="en-US"/>
        </w:rPr>
        <w:t>are</w:t>
      </w:r>
      <w:r w:rsidR="004D42A7">
        <w:rPr>
          <w:lang w:val="en-US"/>
        </w:rPr>
        <w:t xml:space="preserve"> concerned. </w:t>
      </w:r>
    </w:p>
    <w:p w14:paraId="729A0F86" w14:textId="534063D8" w:rsidR="004D42A7" w:rsidRDefault="004D42A7" w:rsidP="00C258BC">
      <w:pPr>
        <w:jc w:val="both"/>
        <w:rPr>
          <w:lang w:val="en-US"/>
        </w:rPr>
      </w:pPr>
      <w:r>
        <w:rPr>
          <w:lang w:val="en-US"/>
        </w:rPr>
        <w:t xml:space="preserve">Where an appropriate enabling environment exists, wild meat management interventions have a much greater chance for success. </w:t>
      </w:r>
      <w:r w:rsidRPr="000A7365">
        <w:rPr>
          <w:color w:val="000000" w:themeColor="text1"/>
          <w:lang w:val="en-US"/>
        </w:rPr>
        <w:t xml:space="preserve">To be successful, interventions </w:t>
      </w:r>
      <w:r w:rsidR="00C17CBE" w:rsidRPr="000A7365">
        <w:rPr>
          <w:color w:val="000000" w:themeColor="text1"/>
          <w:lang w:val="en-US"/>
        </w:rPr>
        <w:t>should apply</w:t>
      </w:r>
      <w:r w:rsidRPr="000A7365">
        <w:rPr>
          <w:color w:val="000000" w:themeColor="text1"/>
          <w:lang w:val="en-US"/>
        </w:rPr>
        <w:t xml:space="preserve"> best-practice guidelines developed from decades of </w:t>
      </w:r>
      <w:r w:rsidR="00193C61" w:rsidRPr="000A7365">
        <w:rPr>
          <w:color w:val="000000" w:themeColor="text1"/>
        </w:rPr>
        <w:t>Integrated Conservation and Development Projects</w:t>
      </w:r>
      <w:r w:rsidR="00193C61" w:rsidRPr="000A7365">
        <w:rPr>
          <w:color w:val="000000" w:themeColor="text1"/>
          <w:lang w:val="en-US"/>
        </w:rPr>
        <w:t xml:space="preserve"> (</w:t>
      </w:r>
      <w:r w:rsidRPr="000A7365">
        <w:rPr>
          <w:color w:val="000000" w:themeColor="text1"/>
          <w:lang w:val="en-US"/>
        </w:rPr>
        <w:t>ICDP</w:t>
      </w:r>
      <w:r w:rsidR="00193C61" w:rsidRPr="000A7365">
        <w:rPr>
          <w:color w:val="000000" w:themeColor="text1"/>
          <w:lang w:val="en-US"/>
        </w:rPr>
        <w:t>s)</w:t>
      </w:r>
      <w:r w:rsidRPr="000A7365">
        <w:rPr>
          <w:color w:val="000000" w:themeColor="text1"/>
          <w:lang w:val="en-US"/>
        </w:rPr>
        <w:t xml:space="preserve">. This means shifting away from small-scale, isolated interventions with short-term funding, to designing interconnected interventions over a broader area, targeting both the management of rural supply and reduction of urban demand, and with long-term project sustainability in mind. In particular, interventions </w:t>
      </w:r>
      <w:r>
        <w:rPr>
          <w:lang w:val="en-US"/>
        </w:rPr>
        <w:t xml:space="preserve">must be built in </w:t>
      </w:r>
      <w:r w:rsidR="00B80A0C">
        <w:rPr>
          <w:lang w:val="en-US"/>
        </w:rPr>
        <w:t xml:space="preserve">true </w:t>
      </w:r>
      <w:r>
        <w:rPr>
          <w:lang w:val="en-US"/>
        </w:rPr>
        <w:t xml:space="preserve">collaboration with local </w:t>
      </w:r>
      <w:r w:rsidR="00A479D2">
        <w:rPr>
          <w:lang w:val="en-US"/>
        </w:rPr>
        <w:t>communities and</w:t>
      </w:r>
      <w:r>
        <w:rPr>
          <w:lang w:val="en-US"/>
        </w:rPr>
        <w:t xml:space="preserve"> based on a clear understanding of the use and users of wild meat and surrounding socio-political environment. Interventions can then be based on a clear theory of change. Furthermore, if we are to understand ‘what works’ in terms of wild meat management, it is crucial that interventions begin to monitor and evaluate their outcomes, and this is also a key part of adaptive management. Yet, to date, the number of interventions with adequate M&amp;E frameworks in place is drastically low. International funders </w:t>
      </w:r>
      <w:r w:rsidR="0024104E">
        <w:rPr>
          <w:lang w:val="en-US"/>
        </w:rPr>
        <w:t>and governments</w:t>
      </w:r>
      <w:r>
        <w:rPr>
          <w:lang w:val="en-US"/>
        </w:rPr>
        <w:t xml:space="preserve"> have a key role to play </w:t>
      </w:r>
      <w:r w:rsidR="00A479D2">
        <w:rPr>
          <w:lang w:val="en-US"/>
        </w:rPr>
        <w:t>here and</w:t>
      </w:r>
      <w:r>
        <w:rPr>
          <w:lang w:val="en-US"/>
        </w:rPr>
        <w:t xml:space="preserve"> should both ensure that funding streams are long-term enough for projects to build self-sufficiency for long-term sustainability, but also that the development of a ToC and M&amp;E frameworks is a condition of </w:t>
      </w:r>
      <w:r w:rsidR="0024104E">
        <w:rPr>
          <w:lang w:val="en-US"/>
        </w:rPr>
        <w:t xml:space="preserve">approval and </w:t>
      </w:r>
      <w:r w:rsidR="00A479D2">
        <w:rPr>
          <w:lang w:val="en-US"/>
        </w:rPr>
        <w:t>funding and</w:t>
      </w:r>
      <w:r>
        <w:rPr>
          <w:lang w:val="en-US"/>
        </w:rPr>
        <w:t xml:space="preserve"> represents a minimum percentage of each project budget. </w:t>
      </w:r>
    </w:p>
    <w:p w14:paraId="1B528C15" w14:textId="237CBA66" w:rsidR="004D42A7" w:rsidRDefault="004D42A7" w:rsidP="00C258BC">
      <w:pPr>
        <w:jc w:val="both"/>
        <w:rPr>
          <w:lang w:val="en-US"/>
        </w:rPr>
      </w:pPr>
      <w:r>
        <w:rPr>
          <w:lang w:val="en-US"/>
        </w:rPr>
        <w:t xml:space="preserve">While research into wild meat has provided essential data on the users and uses, as well as on the drivers of unsustainable harvests, a shift in research focus is required. There must be a move from description of current use to one that enables and supports effective policy and practice. Researchers should collaborate with governments, communities, NGOs and industry who are working to find sustainable wildmeat management </w:t>
      </w:r>
      <w:r w:rsidR="00A479D2">
        <w:rPr>
          <w:lang w:val="en-US"/>
        </w:rPr>
        <w:t>solutions and</w:t>
      </w:r>
      <w:r>
        <w:rPr>
          <w:lang w:val="en-US"/>
        </w:rPr>
        <w:t xml:space="preserve"> focus on the research that is needed to improve management practices. Essential data and research areas include (among others): </w:t>
      </w:r>
    </w:p>
    <w:p w14:paraId="48D4B39B" w14:textId="77777777" w:rsidR="004D42A7" w:rsidRDefault="004D42A7" w:rsidP="00C258BC">
      <w:pPr>
        <w:pStyle w:val="ListParagraph"/>
        <w:numPr>
          <w:ilvl w:val="0"/>
          <w:numId w:val="3"/>
        </w:numPr>
        <w:jc w:val="both"/>
        <w:rPr>
          <w:lang w:val="en-US"/>
        </w:rPr>
      </w:pPr>
      <w:r>
        <w:rPr>
          <w:lang w:val="en-US"/>
        </w:rPr>
        <w:t xml:space="preserve">Collection of </w:t>
      </w:r>
      <w:r w:rsidRPr="00555860">
        <w:rPr>
          <w:lang w:val="en-US"/>
        </w:rPr>
        <w:t xml:space="preserve">ecological data for wildmeat species, needed to </w:t>
      </w:r>
      <w:r>
        <w:rPr>
          <w:lang w:val="en-US"/>
        </w:rPr>
        <w:t>parameterize models of sustainable yields</w:t>
      </w:r>
      <w:r w:rsidRPr="00555860">
        <w:rPr>
          <w:lang w:val="en-US"/>
        </w:rPr>
        <w:t xml:space="preserve">; </w:t>
      </w:r>
    </w:p>
    <w:p w14:paraId="17306843" w14:textId="18BE405C" w:rsidR="004D42A7" w:rsidRPr="00B80A0C" w:rsidRDefault="004D42A7" w:rsidP="00C258BC">
      <w:pPr>
        <w:pStyle w:val="ListParagraph"/>
        <w:numPr>
          <w:ilvl w:val="0"/>
          <w:numId w:val="3"/>
        </w:numPr>
        <w:jc w:val="both"/>
        <w:rPr>
          <w:lang w:val="en-US"/>
        </w:rPr>
      </w:pPr>
      <w:r>
        <w:rPr>
          <w:lang w:val="en-US"/>
        </w:rPr>
        <w:t>Field t</w:t>
      </w:r>
      <w:r w:rsidRPr="00555860">
        <w:rPr>
          <w:lang w:val="en-US"/>
        </w:rPr>
        <w:t>esting different models for estimating/settin</w:t>
      </w:r>
      <w:r w:rsidR="00B80A0C">
        <w:rPr>
          <w:lang w:val="en-US"/>
        </w:rPr>
        <w:t>g sustainable harvesting quotas, including i</w:t>
      </w:r>
      <w:r w:rsidRPr="00B80A0C">
        <w:rPr>
          <w:lang w:val="en-US"/>
        </w:rPr>
        <w:t>nvestigation of the use of hunting zones, and source-sink dynamics of hunted species</w:t>
      </w:r>
      <w:r w:rsidR="0024104E">
        <w:rPr>
          <w:lang w:val="en-US"/>
        </w:rPr>
        <w:t>, over a suitable period of time, likely to be at least 5 years</w:t>
      </w:r>
      <w:r w:rsidRPr="00B80A0C">
        <w:rPr>
          <w:lang w:val="en-US"/>
        </w:rPr>
        <w:t>;</w:t>
      </w:r>
    </w:p>
    <w:p w14:paraId="371C9913" w14:textId="77777777" w:rsidR="004D42A7" w:rsidRDefault="004D42A7" w:rsidP="00C258BC">
      <w:pPr>
        <w:pStyle w:val="ListParagraph"/>
        <w:numPr>
          <w:ilvl w:val="0"/>
          <w:numId w:val="3"/>
        </w:numPr>
        <w:jc w:val="both"/>
        <w:rPr>
          <w:lang w:val="en-US"/>
        </w:rPr>
      </w:pPr>
      <w:r>
        <w:rPr>
          <w:lang w:val="en-US"/>
        </w:rPr>
        <w:t>T</w:t>
      </w:r>
      <w:r w:rsidRPr="00555860">
        <w:rPr>
          <w:lang w:val="en-US"/>
        </w:rPr>
        <w:t xml:space="preserve">he response of urban consumers to changes in the price and availability of wildmeat and its substitutes; </w:t>
      </w:r>
    </w:p>
    <w:p w14:paraId="5F29335C" w14:textId="77777777" w:rsidR="004D42A7" w:rsidRDefault="004D42A7" w:rsidP="00C258BC">
      <w:pPr>
        <w:pStyle w:val="ListParagraph"/>
        <w:numPr>
          <w:ilvl w:val="0"/>
          <w:numId w:val="3"/>
        </w:numPr>
        <w:jc w:val="both"/>
        <w:rPr>
          <w:lang w:val="en-US"/>
        </w:rPr>
      </w:pPr>
      <w:r>
        <w:rPr>
          <w:lang w:val="en-US"/>
        </w:rPr>
        <w:t>T</w:t>
      </w:r>
      <w:r w:rsidRPr="00555860">
        <w:rPr>
          <w:lang w:val="en-US"/>
        </w:rPr>
        <w:t>he impacts of behavioral change campaigns and</w:t>
      </w:r>
      <w:r>
        <w:rPr>
          <w:lang w:val="en-US"/>
        </w:rPr>
        <w:t>:</w:t>
      </w:r>
    </w:p>
    <w:p w14:paraId="4AA438DF" w14:textId="77777777" w:rsidR="004D42A7" w:rsidRDefault="004D42A7" w:rsidP="00C258BC">
      <w:pPr>
        <w:pStyle w:val="ListParagraph"/>
        <w:numPr>
          <w:ilvl w:val="0"/>
          <w:numId w:val="3"/>
        </w:numPr>
        <w:jc w:val="both"/>
        <w:rPr>
          <w:lang w:val="en-US"/>
        </w:rPr>
      </w:pPr>
      <w:r>
        <w:rPr>
          <w:lang w:val="en-US"/>
        </w:rPr>
        <w:t>A</w:t>
      </w:r>
      <w:r w:rsidRPr="00555860">
        <w:rPr>
          <w:lang w:val="en-US"/>
        </w:rPr>
        <w:t xml:space="preserve">nalyses of the </w:t>
      </w:r>
      <w:r>
        <w:rPr>
          <w:lang w:val="en-US"/>
        </w:rPr>
        <w:t xml:space="preserve">potential </w:t>
      </w:r>
      <w:r w:rsidRPr="00555860">
        <w:rPr>
          <w:lang w:val="en-US"/>
        </w:rPr>
        <w:t xml:space="preserve">costs, </w:t>
      </w:r>
      <w:r>
        <w:rPr>
          <w:lang w:val="en-US"/>
        </w:rPr>
        <w:t>requirements</w:t>
      </w:r>
      <w:r w:rsidRPr="00555860">
        <w:rPr>
          <w:lang w:val="en-US"/>
        </w:rPr>
        <w:t xml:space="preserve"> and impacts of </w:t>
      </w:r>
      <w:r>
        <w:rPr>
          <w:lang w:val="en-US"/>
        </w:rPr>
        <w:t xml:space="preserve">systems of </w:t>
      </w:r>
      <w:r w:rsidRPr="00555860">
        <w:rPr>
          <w:lang w:val="en-US"/>
        </w:rPr>
        <w:t xml:space="preserve">taxation and </w:t>
      </w:r>
      <w:r>
        <w:rPr>
          <w:lang w:val="en-US"/>
        </w:rPr>
        <w:t>regulation</w:t>
      </w:r>
      <w:r w:rsidRPr="00555860">
        <w:rPr>
          <w:lang w:val="en-US"/>
        </w:rPr>
        <w:t xml:space="preserve"> of trade in resilient species.</w:t>
      </w:r>
    </w:p>
    <w:p w14:paraId="7CE99230" w14:textId="0341ABE6" w:rsidR="00F501C2" w:rsidRDefault="004D42A7" w:rsidP="00C258BC">
      <w:pPr>
        <w:jc w:val="both"/>
        <w:rPr>
          <w:lang w:val="en-US"/>
        </w:rPr>
      </w:pPr>
      <w:r>
        <w:rPr>
          <w:lang w:val="en-US"/>
        </w:rPr>
        <w:t xml:space="preserve">Although the sustainable management of the </w:t>
      </w:r>
      <w:r w:rsidR="00F501C2">
        <w:rPr>
          <w:lang w:val="en-US"/>
        </w:rPr>
        <w:t xml:space="preserve">multi-species hunt of the tropical </w:t>
      </w:r>
      <w:r>
        <w:rPr>
          <w:lang w:val="en-US"/>
        </w:rPr>
        <w:t xml:space="preserve">wild meat sector is challenging and complex, many of the examples given in this document suggest that, with the right enabling environment and political will, multi-sectoral, well-designed and participatory approaches </w:t>
      </w:r>
      <w:r w:rsidR="00F501C2">
        <w:rPr>
          <w:lang w:val="en-US"/>
        </w:rPr>
        <w:t>could</w:t>
      </w:r>
      <w:r>
        <w:rPr>
          <w:lang w:val="en-US"/>
        </w:rPr>
        <w:t xml:space="preserve"> effectively manage wildmeat supply and reduce demand</w:t>
      </w:r>
      <w:r w:rsidR="00F501C2">
        <w:rPr>
          <w:lang w:val="en-US"/>
        </w:rPr>
        <w:t xml:space="preserve"> to sustainable levels for some tropical species in some places</w:t>
      </w:r>
      <w:r>
        <w:rPr>
          <w:lang w:val="en-US"/>
        </w:rPr>
        <w:t xml:space="preserve">. </w:t>
      </w:r>
    </w:p>
    <w:p w14:paraId="35D4D852" w14:textId="1B2FDD46" w:rsidR="00F501C2" w:rsidRDefault="004D42A7" w:rsidP="00C258BC">
      <w:pPr>
        <w:jc w:val="both"/>
        <w:rPr>
          <w:lang w:val="en-US"/>
        </w:rPr>
      </w:pPr>
      <w:r>
        <w:rPr>
          <w:lang w:val="en-US"/>
        </w:rPr>
        <w:lastRenderedPageBreak/>
        <w:t xml:space="preserve">However, </w:t>
      </w:r>
      <w:r w:rsidR="00F501C2">
        <w:rPr>
          <w:lang w:val="en-US"/>
        </w:rPr>
        <w:t>this is highly unlikely to be a panacea ensuring food security for all the communities currently hunting</w:t>
      </w:r>
      <w:r>
        <w:rPr>
          <w:lang w:val="en-US"/>
        </w:rPr>
        <w:t xml:space="preserve"> wildlife </w:t>
      </w:r>
      <w:r w:rsidR="00F501C2">
        <w:rPr>
          <w:lang w:val="en-US"/>
        </w:rPr>
        <w:t>for food. Population growth, declining space for wildlife, historical over</w:t>
      </w:r>
      <w:r w:rsidR="008F29B9">
        <w:rPr>
          <w:lang w:val="en-US"/>
        </w:rPr>
        <w:t>-</w:t>
      </w:r>
      <w:r w:rsidR="00F501C2">
        <w:rPr>
          <w:lang w:val="en-US"/>
        </w:rPr>
        <w:t xml:space="preserve">exploitation </w:t>
      </w:r>
      <w:r>
        <w:rPr>
          <w:lang w:val="en-US"/>
        </w:rPr>
        <w:t xml:space="preserve">and </w:t>
      </w:r>
      <w:r w:rsidR="00F501C2">
        <w:rPr>
          <w:lang w:val="en-US"/>
        </w:rPr>
        <w:t xml:space="preserve">the lucrative trade for luxury use all act to diminish the likelihood of widespread sustainable offtakes. </w:t>
      </w:r>
      <w:r w:rsidR="004654BD">
        <w:rPr>
          <w:lang w:val="en-US"/>
        </w:rPr>
        <w:t xml:space="preserve">It is essential that governments and development agencies recognize the urgent need to </w:t>
      </w:r>
      <w:r w:rsidR="00DB1F5C">
        <w:rPr>
          <w:lang w:val="en-US"/>
        </w:rPr>
        <w:t xml:space="preserve">develop viable alternative food supplies for newly urbanized areas without reliance on wildlife. </w:t>
      </w:r>
    </w:p>
    <w:p w14:paraId="7F6ED165" w14:textId="2DB24A57" w:rsidR="00F501C2" w:rsidRDefault="00F501C2" w:rsidP="00C258BC">
      <w:pPr>
        <w:jc w:val="both"/>
        <w:rPr>
          <w:lang w:val="en-US"/>
        </w:rPr>
      </w:pPr>
      <w:r>
        <w:rPr>
          <w:lang w:val="en-US"/>
        </w:rPr>
        <w:t xml:space="preserve">For those </w:t>
      </w:r>
      <w:r w:rsidR="004D42A7">
        <w:rPr>
          <w:lang w:val="en-US"/>
        </w:rPr>
        <w:t>people</w:t>
      </w:r>
      <w:r>
        <w:rPr>
          <w:lang w:val="en-US"/>
        </w:rPr>
        <w:t xml:space="preserve">, families, communities and nations seriously engaged in creating paradigms for sustainable management of </w:t>
      </w:r>
      <w:r w:rsidR="004468F9">
        <w:rPr>
          <w:lang w:val="en-US"/>
        </w:rPr>
        <w:t xml:space="preserve">tropical </w:t>
      </w:r>
      <w:r>
        <w:rPr>
          <w:lang w:val="en-US"/>
        </w:rPr>
        <w:t xml:space="preserve">wildlife in modern times, there is hope. However, the pathway to long-term </w:t>
      </w:r>
      <w:r w:rsidR="004468F9">
        <w:rPr>
          <w:lang w:val="en-US"/>
        </w:rPr>
        <w:t xml:space="preserve">sustainable hunting practices and </w:t>
      </w:r>
      <w:r>
        <w:rPr>
          <w:lang w:val="en-US"/>
        </w:rPr>
        <w:t xml:space="preserve">the legal frameworks that will support and perpetuate </w:t>
      </w:r>
      <w:r w:rsidR="004468F9">
        <w:rPr>
          <w:lang w:val="en-US"/>
        </w:rPr>
        <w:t>them</w:t>
      </w:r>
      <w:r>
        <w:rPr>
          <w:lang w:val="en-US"/>
        </w:rPr>
        <w:t xml:space="preserve">, is going to be highly challenging. </w:t>
      </w:r>
    </w:p>
    <w:p w14:paraId="74FC60DF" w14:textId="77777777" w:rsidR="00BF7DDE" w:rsidRDefault="00BF7DDE" w:rsidP="00C258BC">
      <w:pPr>
        <w:jc w:val="both"/>
        <w:rPr>
          <w:lang w:val="en-US"/>
        </w:rPr>
      </w:pPr>
    </w:p>
    <w:p w14:paraId="111D351D" w14:textId="77777777" w:rsidR="00BF7DDE" w:rsidRDefault="00BF7DDE" w:rsidP="00C258BC">
      <w:pPr>
        <w:jc w:val="both"/>
        <w:rPr>
          <w:lang w:val="en-US"/>
        </w:rPr>
      </w:pPr>
    </w:p>
    <w:p w14:paraId="288B54CE" w14:textId="77777777" w:rsidR="00BF7DDE" w:rsidRDefault="00BF7DDE" w:rsidP="00C258BC">
      <w:pPr>
        <w:jc w:val="both"/>
        <w:rPr>
          <w:lang w:val="en-US"/>
        </w:rPr>
      </w:pPr>
    </w:p>
    <w:p w14:paraId="04413051" w14:textId="77777777" w:rsidR="00BF7DDE" w:rsidRDefault="00BF7DDE" w:rsidP="00C258BC">
      <w:pPr>
        <w:jc w:val="both"/>
        <w:rPr>
          <w:lang w:val="en-US"/>
        </w:rPr>
      </w:pPr>
    </w:p>
    <w:p w14:paraId="53E73FDB" w14:textId="77777777" w:rsidR="00BF7DDE" w:rsidRDefault="00BF7DDE" w:rsidP="00C258BC">
      <w:pPr>
        <w:jc w:val="both"/>
        <w:rPr>
          <w:lang w:val="en-US"/>
        </w:rPr>
      </w:pPr>
    </w:p>
    <w:p w14:paraId="6989A9BF" w14:textId="77777777" w:rsidR="00BF7DDE" w:rsidRDefault="00BF7DDE" w:rsidP="00C258BC">
      <w:pPr>
        <w:jc w:val="both"/>
        <w:rPr>
          <w:lang w:val="en-US"/>
        </w:rPr>
      </w:pPr>
    </w:p>
    <w:p w14:paraId="6141E185" w14:textId="77777777" w:rsidR="00BF7DDE" w:rsidRDefault="00BF7DDE" w:rsidP="00C258BC">
      <w:pPr>
        <w:jc w:val="both"/>
        <w:rPr>
          <w:lang w:val="en-US"/>
        </w:rPr>
      </w:pPr>
    </w:p>
    <w:p w14:paraId="3775A30D" w14:textId="77777777" w:rsidR="00BF7DDE" w:rsidRDefault="00BF7DDE" w:rsidP="00C258BC">
      <w:pPr>
        <w:jc w:val="both"/>
        <w:rPr>
          <w:lang w:val="en-US"/>
        </w:rPr>
      </w:pPr>
    </w:p>
    <w:p w14:paraId="36FD0D9A" w14:textId="77777777" w:rsidR="00BF7DDE" w:rsidRDefault="00BF7DDE" w:rsidP="00C258BC">
      <w:pPr>
        <w:jc w:val="both"/>
        <w:rPr>
          <w:lang w:val="en-US"/>
        </w:rPr>
      </w:pPr>
    </w:p>
    <w:p w14:paraId="24FFABA8" w14:textId="77777777" w:rsidR="00BF7DDE" w:rsidRDefault="00BF7DDE" w:rsidP="00C258BC">
      <w:pPr>
        <w:jc w:val="both"/>
        <w:rPr>
          <w:lang w:val="en-US"/>
        </w:rPr>
      </w:pPr>
    </w:p>
    <w:p w14:paraId="7F691648" w14:textId="77777777" w:rsidR="00BF7DDE" w:rsidRDefault="00BF7DDE" w:rsidP="00C258BC">
      <w:pPr>
        <w:jc w:val="both"/>
        <w:rPr>
          <w:lang w:val="en-US"/>
        </w:rPr>
      </w:pPr>
    </w:p>
    <w:p w14:paraId="7D88C894" w14:textId="77777777" w:rsidR="00BF7DDE" w:rsidRDefault="00BF7DDE" w:rsidP="00C258BC">
      <w:pPr>
        <w:jc w:val="both"/>
        <w:rPr>
          <w:lang w:val="en-US"/>
        </w:rPr>
      </w:pPr>
    </w:p>
    <w:p w14:paraId="0383E2DC" w14:textId="77777777" w:rsidR="00BF7DDE" w:rsidRDefault="00BF7DDE" w:rsidP="00C258BC">
      <w:pPr>
        <w:jc w:val="both"/>
        <w:rPr>
          <w:lang w:val="en-US"/>
        </w:rPr>
      </w:pPr>
    </w:p>
    <w:p w14:paraId="75A2C698" w14:textId="77777777" w:rsidR="00BF7DDE" w:rsidRDefault="00BF7DDE" w:rsidP="00C258BC">
      <w:pPr>
        <w:jc w:val="both"/>
        <w:rPr>
          <w:lang w:val="en-US"/>
        </w:rPr>
      </w:pPr>
    </w:p>
    <w:p w14:paraId="00A9A9A9" w14:textId="77777777" w:rsidR="00BF7DDE" w:rsidRDefault="00BF7DDE" w:rsidP="00C258BC">
      <w:pPr>
        <w:jc w:val="both"/>
        <w:rPr>
          <w:lang w:val="en-US"/>
        </w:rPr>
      </w:pPr>
    </w:p>
    <w:p w14:paraId="07DE765D" w14:textId="77777777" w:rsidR="00BF7DDE" w:rsidRDefault="00BF7DDE" w:rsidP="00C258BC">
      <w:pPr>
        <w:jc w:val="both"/>
        <w:rPr>
          <w:lang w:val="en-US"/>
        </w:rPr>
      </w:pPr>
    </w:p>
    <w:p w14:paraId="7C6F8993" w14:textId="77777777" w:rsidR="00BF7DDE" w:rsidRDefault="00BF7DDE" w:rsidP="00C258BC">
      <w:pPr>
        <w:jc w:val="both"/>
        <w:rPr>
          <w:lang w:val="en-US"/>
        </w:rPr>
      </w:pPr>
    </w:p>
    <w:p w14:paraId="5DFDD628" w14:textId="77777777" w:rsidR="00BF7DDE" w:rsidRDefault="00BF7DDE" w:rsidP="00C258BC">
      <w:pPr>
        <w:jc w:val="both"/>
        <w:rPr>
          <w:lang w:val="en-US"/>
        </w:rPr>
      </w:pPr>
    </w:p>
    <w:p w14:paraId="6E0DA79A" w14:textId="77777777" w:rsidR="00BF7DDE" w:rsidRDefault="00BF7DDE" w:rsidP="00C258BC">
      <w:pPr>
        <w:jc w:val="both"/>
        <w:rPr>
          <w:lang w:val="en-US"/>
        </w:rPr>
      </w:pPr>
    </w:p>
    <w:p w14:paraId="1CE3AE71" w14:textId="77777777" w:rsidR="00BF7DDE" w:rsidRDefault="00BF7DDE" w:rsidP="00C258BC">
      <w:pPr>
        <w:jc w:val="both"/>
        <w:rPr>
          <w:lang w:val="en-US"/>
        </w:rPr>
      </w:pPr>
    </w:p>
    <w:p w14:paraId="08466AA2" w14:textId="77777777" w:rsidR="00B510D0" w:rsidRDefault="00B510D0" w:rsidP="00962540">
      <w:pPr>
        <w:pStyle w:val="CommentText"/>
        <w:sectPr w:rsidR="00B510D0" w:rsidSect="006740B0">
          <w:pgSz w:w="11906" w:h="16838"/>
          <w:pgMar w:top="1440" w:right="1440" w:bottom="1440" w:left="1440" w:header="708" w:footer="708" w:gutter="0"/>
          <w:cols w:space="708"/>
          <w:docGrid w:linePitch="360"/>
        </w:sectPr>
      </w:pPr>
    </w:p>
    <w:p w14:paraId="7F126ADD" w14:textId="334C1174" w:rsidR="00962540" w:rsidRDefault="00962540" w:rsidP="00962540">
      <w:pPr>
        <w:pStyle w:val="CommentText"/>
      </w:pPr>
    </w:p>
    <w:p w14:paraId="6FAD43F9" w14:textId="1E3BF609" w:rsidR="00B510D0" w:rsidRDefault="00B510D0" w:rsidP="00DF57F3">
      <w:pPr>
        <w:pStyle w:val="Heading1"/>
      </w:pPr>
      <w:bookmarkStart w:id="339" w:name="_Toc529390387"/>
      <w:r>
        <w:t>APPENDICES</w:t>
      </w:r>
      <w:bookmarkEnd w:id="339"/>
    </w:p>
    <w:p w14:paraId="104B53BC" w14:textId="77777777" w:rsidR="00B510D0" w:rsidRDefault="00B510D0" w:rsidP="00B510D0">
      <w:pPr>
        <w:spacing w:before="240"/>
        <w:rPr>
          <w:color w:val="000000" w:themeColor="text1"/>
          <w:sz w:val="20"/>
          <w:szCs w:val="20"/>
        </w:rPr>
      </w:pPr>
    </w:p>
    <w:p w14:paraId="604BF74C" w14:textId="77777777" w:rsidR="00496039" w:rsidRPr="0011764A" w:rsidRDefault="00496039" w:rsidP="00496039">
      <w:pPr>
        <w:spacing w:before="240"/>
        <w:rPr>
          <w:color w:val="000000"/>
        </w:rPr>
      </w:pPr>
      <w:r w:rsidRPr="0011764A">
        <w:rPr>
          <w:color w:val="000000"/>
        </w:rPr>
        <w:t xml:space="preserve">Table S1: Evidence for correlations between household wealth/income and wild meat consumption. </w:t>
      </w:r>
    </w:p>
    <w:tbl>
      <w:tblPr>
        <w:tblW w:w="14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1276"/>
        <w:gridCol w:w="2259"/>
        <w:gridCol w:w="2749"/>
        <w:gridCol w:w="3539"/>
        <w:gridCol w:w="2912"/>
      </w:tblGrid>
      <w:tr w:rsidR="00496039" w:rsidRPr="0011764A" w14:paraId="356D0535" w14:textId="77777777" w:rsidTr="00B2630D">
        <w:trPr>
          <w:trHeight w:val="449"/>
        </w:trPr>
        <w:tc>
          <w:tcPr>
            <w:tcW w:w="1292" w:type="dxa"/>
            <w:shd w:val="clear" w:color="auto" w:fill="BFBFBF"/>
          </w:tcPr>
          <w:p w14:paraId="5D5AFD2B" w14:textId="77777777" w:rsidR="00496039" w:rsidRPr="0011764A" w:rsidRDefault="00496039" w:rsidP="00B2630D">
            <w:pPr>
              <w:spacing w:before="240" w:after="0"/>
              <w:rPr>
                <w:b/>
                <w:color w:val="000000"/>
              </w:rPr>
            </w:pPr>
            <w:r w:rsidRPr="0011764A">
              <w:rPr>
                <w:b/>
                <w:color w:val="000000"/>
              </w:rPr>
              <w:t>Publication</w:t>
            </w:r>
          </w:p>
        </w:tc>
        <w:tc>
          <w:tcPr>
            <w:tcW w:w="1188" w:type="dxa"/>
            <w:shd w:val="clear" w:color="auto" w:fill="BFBFBF"/>
          </w:tcPr>
          <w:p w14:paraId="06AF3D4E" w14:textId="77777777" w:rsidR="00496039" w:rsidRPr="0011764A" w:rsidRDefault="00496039" w:rsidP="00B2630D">
            <w:pPr>
              <w:spacing w:before="240" w:after="0"/>
              <w:rPr>
                <w:b/>
                <w:color w:val="000000"/>
              </w:rPr>
            </w:pPr>
            <w:r w:rsidRPr="0011764A">
              <w:rPr>
                <w:b/>
                <w:color w:val="000000"/>
              </w:rPr>
              <w:t>Country</w:t>
            </w:r>
          </w:p>
        </w:tc>
        <w:tc>
          <w:tcPr>
            <w:tcW w:w="2294" w:type="dxa"/>
            <w:shd w:val="clear" w:color="auto" w:fill="BFBFBF"/>
          </w:tcPr>
          <w:p w14:paraId="0BCF9548" w14:textId="77777777" w:rsidR="00496039" w:rsidRPr="0011764A" w:rsidRDefault="00496039" w:rsidP="00B2630D">
            <w:pPr>
              <w:spacing w:before="240" w:after="0"/>
              <w:rPr>
                <w:b/>
                <w:color w:val="000000"/>
              </w:rPr>
            </w:pPr>
            <w:r w:rsidRPr="0011764A">
              <w:rPr>
                <w:b/>
                <w:color w:val="000000"/>
              </w:rPr>
              <w:t>Method</w:t>
            </w:r>
          </w:p>
        </w:tc>
        <w:tc>
          <w:tcPr>
            <w:tcW w:w="2769" w:type="dxa"/>
            <w:shd w:val="clear" w:color="auto" w:fill="BFBFBF"/>
          </w:tcPr>
          <w:p w14:paraId="359EAA9F" w14:textId="77777777" w:rsidR="00496039" w:rsidRPr="0011764A" w:rsidRDefault="00496039" w:rsidP="00B2630D">
            <w:pPr>
              <w:spacing w:before="240" w:after="0"/>
              <w:rPr>
                <w:b/>
                <w:color w:val="000000"/>
              </w:rPr>
            </w:pPr>
            <w:r w:rsidRPr="0011764A">
              <w:rPr>
                <w:b/>
                <w:color w:val="000000"/>
              </w:rPr>
              <w:t>Amount wild meat consumed (kg/day)</w:t>
            </w:r>
          </w:p>
        </w:tc>
        <w:tc>
          <w:tcPr>
            <w:tcW w:w="3618" w:type="dxa"/>
            <w:shd w:val="clear" w:color="auto" w:fill="BFBFBF"/>
          </w:tcPr>
          <w:p w14:paraId="230469D5" w14:textId="77777777" w:rsidR="00496039" w:rsidRPr="0011764A" w:rsidRDefault="00496039" w:rsidP="00B2630D">
            <w:pPr>
              <w:spacing w:before="240" w:after="0"/>
              <w:rPr>
                <w:b/>
                <w:color w:val="000000"/>
              </w:rPr>
            </w:pPr>
            <w:r w:rsidRPr="0011764A">
              <w:rPr>
                <w:b/>
                <w:color w:val="000000"/>
              </w:rPr>
              <w:t>Correlation of wild meat consumption with consumer wealth/income</w:t>
            </w:r>
          </w:p>
        </w:tc>
        <w:tc>
          <w:tcPr>
            <w:tcW w:w="2964" w:type="dxa"/>
            <w:shd w:val="clear" w:color="auto" w:fill="BFBFBF"/>
          </w:tcPr>
          <w:p w14:paraId="7B5CE292" w14:textId="77777777" w:rsidR="00496039" w:rsidRPr="0011764A" w:rsidRDefault="00496039" w:rsidP="00B2630D">
            <w:pPr>
              <w:spacing w:before="240" w:after="0"/>
              <w:rPr>
                <w:b/>
                <w:color w:val="000000"/>
              </w:rPr>
            </w:pPr>
            <w:r w:rsidRPr="0011764A">
              <w:rPr>
                <w:b/>
                <w:color w:val="000000"/>
              </w:rPr>
              <w:t>Income elasticities of demand* in terms of the impact of a 1% increase in wealth/income</w:t>
            </w:r>
          </w:p>
        </w:tc>
      </w:tr>
      <w:tr w:rsidR="00496039" w:rsidRPr="0011764A" w14:paraId="1BE80F91" w14:textId="77777777" w:rsidTr="00B2630D">
        <w:tc>
          <w:tcPr>
            <w:tcW w:w="1292" w:type="dxa"/>
          </w:tcPr>
          <w:p w14:paraId="326D99FF" w14:textId="1DF27362" w:rsidR="00496039" w:rsidRPr="0011764A" w:rsidRDefault="00496039" w:rsidP="00B2630D">
            <w:pPr>
              <w:spacing w:before="240" w:after="0"/>
              <w:rPr>
                <w:color w:val="000000"/>
              </w:rPr>
            </w:pPr>
            <w:r w:rsidRPr="005439C4">
              <w:rPr>
                <w:color w:val="000000"/>
              </w:rPr>
              <w:fldChar w:fldCharType="begin" w:fldLock="1"/>
            </w:r>
            <w:r>
              <w:rPr>
                <w:color w:val="000000"/>
              </w:rPr>
              <w:instrText>ADDIN CSL_CITATION {"citationItems":[{"id":"ITEM-1","itemData":{"DOI":"10.1073/pnas.1011526108","ISBN":"0027-8424","ISSN":"0027-8424","PMID":"21873180","abstract":"The harvest of wildlife for human consumption is valued at several billion dollars annually and provides an essential source of meat for hundreds of millions of rural people living in poverty. This harvest is also considered among the greatest threats to biodiversity throughout Africa, Asia, and Latin America. Economic development is often proposed as an essential first step to win-win solutions for poverty alleviation and biodiversity conservation by breaking rural reliance on wildlife. However, increases in wealth may accelerate consumption and extend the scale and efficiency of wildlife harvest. Our ability to assess the likelihood of these two contrasting outcomes and to design approaches that simultaneously consider poverty and biodiversity loss is impeded by a weak understanding of the direction and shape of their interaction. Here, we present results of economic and wildlife use surveys conducted in 2,000 households from 96 settlements in Ghana, Cameroon, Tanzania, and Madagascar. We examine the individual and interactive roles of wealth, relative food prices, market access, and opportunity costs of time spent hunting on household rates of wildlife consumption. Despite great differences in biogeographic, social, and economic aspects of our study sites, we found a consistent relationship between wealth and wildlife consumption. Wealthier households consume more bushmeat in settlements nearer urban areas, but the opposite pattern is observed in more isolated settlements. Wildlife hunting and consumption increase when alternative livelihoods collapse, but this safety net is an option only for those people living near harvestable wildlife.","author":[{"dropping-particle":"","family":"Brashares","given":"J. S.","non-dropping-particle":"","parse-names":false,"suffix":""},{"dropping-particle":"","family":"Golden","given":"C. D.","non-dropping-particle":"","parse-names":false,"suffix":""},{"dropping-particle":"","family":"Weinbaum","given":"K. Z.","non-dropping-particle":"","parse-names":false,"suffix":""},{"dropping-particle":"","family":"Barrett","given":"C. B.","non-dropping-particle":"","parse-names":false,"suffix":""},{"dropping-particle":"V.","family":"Okello","given":"G.","non-dropping-particle":"","parse-names":false,"suffix":""}],"container-title":"Proceedings of the National Academy of Sciences","id":"ITEM-1","issue":"34","issued":{"date-parts":[["2011"]]},"page":"13931-13936","title":"Economic and geographic drivers of wildlife consumption in rural Africa","type":"article-journal","volume":"108"},"uris":["http://www.mendeley.com/documents/?uuid=2d00a9b8-0caf-499f-9ac8-9b05c2b95651"]}],"mendeley":{"formattedCitation":"(Brashares et al. 2011)","manualFormatting":"Brashares et al. 2011","plainTextFormattedCitation":"(Brashares et al. 2011)","previouslyFormattedCitation":"(Brashares et al. 2011)"},"properties":{"noteIndex":0},"schema":"https://github.com/citation-style-language/schema/raw/master/csl-citation.json"}</w:instrText>
            </w:r>
            <w:r w:rsidRPr="005439C4">
              <w:rPr>
                <w:color w:val="000000"/>
              </w:rPr>
              <w:fldChar w:fldCharType="separate"/>
            </w:r>
            <w:r w:rsidRPr="005439C4">
              <w:rPr>
                <w:noProof/>
                <w:color w:val="000000"/>
              </w:rPr>
              <w:t>Brashares et al. 2011</w:t>
            </w:r>
            <w:r w:rsidRPr="005439C4">
              <w:rPr>
                <w:color w:val="000000"/>
              </w:rPr>
              <w:fldChar w:fldCharType="end"/>
            </w:r>
          </w:p>
        </w:tc>
        <w:tc>
          <w:tcPr>
            <w:tcW w:w="1188" w:type="dxa"/>
          </w:tcPr>
          <w:p w14:paraId="31B99A03" w14:textId="77777777" w:rsidR="00496039" w:rsidRPr="0011764A" w:rsidRDefault="00496039" w:rsidP="00B2630D">
            <w:pPr>
              <w:spacing w:before="240" w:after="0"/>
              <w:rPr>
                <w:color w:val="000000"/>
              </w:rPr>
            </w:pPr>
            <w:r w:rsidRPr="0011764A">
              <w:rPr>
                <w:color w:val="000000"/>
              </w:rPr>
              <w:t>Ghana, Cameroon, Tanzania, Kenya</w:t>
            </w:r>
          </w:p>
        </w:tc>
        <w:tc>
          <w:tcPr>
            <w:tcW w:w="2294" w:type="dxa"/>
          </w:tcPr>
          <w:p w14:paraId="38563EC8" w14:textId="77777777" w:rsidR="00496039" w:rsidRPr="0011764A" w:rsidRDefault="00496039" w:rsidP="00B2630D">
            <w:pPr>
              <w:widowControl w:val="0"/>
              <w:autoSpaceDE w:val="0"/>
              <w:autoSpaceDN w:val="0"/>
              <w:adjustRightInd w:val="0"/>
              <w:spacing w:before="240" w:line="260" w:lineRule="atLeast"/>
              <w:rPr>
                <w:color w:val="000000"/>
              </w:rPr>
            </w:pPr>
            <w:r w:rsidRPr="0011764A">
              <w:rPr>
                <w:color w:val="000000"/>
              </w:rPr>
              <w:t xml:space="preserve">Meta-analyses of 2,000 household consumption surveys from 96 settlements in Ghana, Cameroon, Tanzania, and Madagascar </w:t>
            </w:r>
          </w:p>
          <w:p w14:paraId="5FB34264" w14:textId="77777777" w:rsidR="00496039" w:rsidRPr="0011764A" w:rsidRDefault="00496039" w:rsidP="00B2630D">
            <w:pPr>
              <w:spacing w:before="240" w:after="0"/>
              <w:rPr>
                <w:color w:val="000000"/>
              </w:rPr>
            </w:pPr>
          </w:p>
        </w:tc>
        <w:tc>
          <w:tcPr>
            <w:tcW w:w="2769" w:type="dxa"/>
          </w:tcPr>
          <w:p w14:paraId="7B06D7F5" w14:textId="77777777" w:rsidR="00496039" w:rsidRPr="0011764A" w:rsidRDefault="00496039" w:rsidP="00B2630D">
            <w:pPr>
              <w:spacing w:before="240" w:after="0"/>
              <w:rPr>
                <w:color w:val="000000"/>
              </w:rPr>
            </w:pPr>
            <w:r w:rsidRPr="0011764A">
              <w:rPr>
                <w:color w:val="000000"/>
              </w:rPr>
              <w:t>No information</w:t>
            </w:r>
          </w:p>
        </w:tc>
        <w:tc>
          <w:tcPr>
            <w:tcW w:w="3618" w:type="dxa"/>
          </w:tcPr>
          <w:p w14:paraId="5097C5D8" w14:textId="77777777" w:rsidR="00496039" w:rsidRPr="0011764A" w:rsidRDefault="00496039" w:rsidP="00B2630D">
            <w:pPr>
              <w:spacing w:before="240" w:after="0"/>
              <w:rPr>
                <w:color w:val="000000"/>
              </w:rPr>
            </w:pPr>
            <w:r w:rsidRPr="0011764A">
              <w:rPr>
                <w:color w:val="000000"/>
              </w:rPr>
              <w:t xml:space="preserve">For the 500 most rural households, wild meat consumption decreased with household wealth. For the 500 most urban households, wild meat consumption increased with household wealth. </w:t>
            </w:r>
          </w:p>
          <w:p w14:paraId="698DC26A" w14:textId="77777777" w:rsidR="00496039" w:rsidRPr="0011764A" w:rsidRDefault="00496039" w:rsidP="00B2630D">
            <w:pPr>
              <w:spacing w:before="240" w:after="0"/>
              <w:rPr>
                <w:i/>
                <w:color w:val="000000"/>
              </w:rPr>
            </w:pPr>
            <w:r w:rsidRPr="0011764A">
              <w:rPr>
                <w:i/>
                <w:color w:val="000000"/>
              </w:rPr>
              <w:t>Note that the 500 most rural households were not in the same settlement, and authors suggest that the decrease in consumption with wealth is due to increasing distance from wildlife populations and decreases in the price of alternatives.</w:t>
            </w:r>
          </w:p>
        </w:tc>
        <w:tc>
          <w:tcPr>
            <w:tcW w:w="2964" w:type="dxa"/>
          </w:tcPr>
          <w:p w14:paraId="7E683944" w14:textId="77777777" w:rsidR="00496039" w:rsidRPr="0011764A" w:rsidRDefault="00496039" w:rsidP="00B2630D">
            <w:pPr>
              <w:spacing w:before="240" w:after="0"/>
              <w:rPr>
                <w:color w:val="000000"/>
              </w:rPr>
            </w:pPr>
            <w:r w:rsidRPr="0011764A">
              <w:rPr>
                <w:color w:val="000000"/>
              </w:rPr>
              <w:t xml:space="preserve">500 most rural households: -0.71% </w:t>
            </w:r>
          </w:p>
          <w:p w14:paraId="7F69E0F5" w14:textId="77777777" w:rsidR="00496039" w:rsidRPr="0011764A" w:rsidRDefault="00496039" w:rsidP="00B2630D">
            <w:pPr>
              <w:spacing w:before="240" w:after="0"/>
              <w:rPr>
                <w:color w:val="000000"/>
              </w:rPr>
            </w:pPr>
            <w:r w:rsidRPr="0011764A">
              <w:rPr>
                <w:color w:val="000000"/>
              </w:rPr>
              <w:t xml:space="preserve">500 most urban households: +0.56% </w:t>
            </w:r>
          </w:p>
        </w:tc>
      </w:tr>
      <w:tr w:rsidR="00496039" w:rsidRPr="0011764A" w14:paraId="67C2F39B" w14:textId="77777777" w:rsidTr="00B2630D">
        <w:trPr>
          <w:trHeight w:val="2258"/>
        </w:trPr>
        <w:tc>
          <w:tcPr>
            <w:tcW w:w="1292" w:type="dxa"/>
          </w:tcPr>
          <w:p w14:paraId="30A9EB31" w14:textId="50F58316" w:rsidR="00496039" w:rsidRPr="0011764A" w:rsidRDefault="00496039" w:rsidP="00B2630D">
            <w:pPr>
              <w:spacing w:before="240" w:after="0"/>
              <w:rPr>
                <w:color w:val="000000"/>
              </w:rPr>
            </w:pPr>
            <w:r w:rsidRPr="005439C4">
              <w:rPr>
                <w:color w:val="000000"/>
              </w:rPr>
              <w:lastRenderedPageBreak/>
              <w:fldChar w:fldCharType="begin" w:fldLock="1"/>
            </w:r>
            <w:r w:rsidR="00C51889">
              <w:rPr>
                <w:color w:val="000000"/>
              </w:rPr>
              <w:instrText>ADDIN CSL_CITATION {"citationItems":[{"id":"ITEM-1","itemData":{"abstract":"In this thesis I examine the role that the hunting, sale and consumption of bushmeat – wildlife hunted for food – plays in people’s livelihoods in Central Africa. This issue is central to current debates about how conservation and development can be reconciled in tropical forests, itself part of a wide debate about sustainable development. Three questions lie at the core of this debate: 1) Is urban consumption of bushmeat a key driver of exploitation of wildlife? 2) Why do contemporary Africans consume bushmeat? 3) How important is the consumption and sale of bushmeat for rural communities? I address these using quantitative and qualitative data collected in Gabon between October 2000 and September 2002. Using data from quantitative market and consumption surveys I show that in Gabon aggregate consumption of bushmeat is evenly divided between rural and urban areas. Urban consumption is concentrated in smaller towns in the interior of the country rather than in the large capital city. Most bushmeat consumed in urban areas does not pass through formal markets but more protected species are sold in formal markets. In rural areas of Gabon, people consume bushmeat because it is by far the cheapest available animal protein. Bushmeat is widely regarded as a desirable ‘organic’ meat that is preferable to lowquality imported frozen meat. It is therefore consumed even in urban areas where it is expensive compared to alternatives. However, bushmeat consumption is price sensitive and people consume less as it becomes more expensive. Using seven villages as a case study, I show that bushmeat is important to both household consumption and household income but is more important to income. It is also more important in poorer, more remote villages than in wealthier villages with easy market access. At any given site, from bushmeat is highly skewed; households that have both the male labour and financial capital to pursue both hunting and trapping simultaneously obtain most of the benefits from bushmeat. This thesis contributes to the wider debate about the role of forest resources in contribution to both development and conservation by illustrating the necessity for such debates to be based on empirical data collected at multiple scales of analysis.","author":[{"dropping-particle":"","family":"Starkey","given":"Malcolm","non-dropping-particle":"","parse-names":false,"suffix":""}],"id":"ITEM-1","issued":{"date-parts":[["2004"]]},"number-of-pages":"305","publisher":"PhD Thesis, University of Cambridge, UK","title":"Commerce and subsistence: the hunting, sale and consumption of bushmeat in Gabon","type":"book"},"uris":["http://www.mendeley.com/documents/?uuid=50e0e0eb-b3af-46eb-9916-3f5c20e90a00"]}],"mendeley":{"formattedCitation":"(Starkey 2004)","manualFormatting":"Starkey 2004","plainTextFormattedCitation":"(Starkey 2004)","previouslyFormattedCitation":"(Starkey 2004)"},"properties":{"noteIndex":0},"schema":"https://github.com/citation-style-language/schema/raw/master/csl-citation.json"}</w:instrText>
            </w:r>
            <w:r w:rsidRPr="005439C4">
              <w:rPr>
                <w:color w:val="000000"/>
              </w:rPr>
              <w:fldChar w:fldCharType="separate"/>
            </w:r>
            <w:r w:rsidRPr="005439C4">
              <w:rPr>
                <w:noProof/>
                <w:color w:val="000000"/>
              </w:rPr>
              <w:t>Starkey 2004</w:t>
            </w:r>
            <w:r w:rsidRPr="005439C4">
              <w:rPr>
                <w:color w:val="000000"/>
              </w:rPr>
              <w:fldChar w:fldCharType="end"/>
            </w:r>
          </w:p>
        </w:tc>
        <w:tc>
          <w:tcPr>
            <w:tcW w:w="1188" w:type="dxa"/>
          </w:tcPr>
          <w:p w14:paraId="01B09584" w14:textId="77777777" w:rsidR="00496039" w:rsidRPr="0011764A" w:rsidRDefault="00496039" w:rsidP="00B2630D">
            <w:pPr>
              <w:spacing w:before="240" w:after="0"/>
              <w:rPr>
                <w:color w:val="000000"/>
              </w:rPr>
            </w:pPr>
            <w:r w:rsidRPr="0011764A">
              <w:rPr>
                <w:color w:val="000000"/>
              </w:rPr>
              <w:t>Gabon</w:t>
            </w:r>
          </w:p>
        </w:tc>
        <w:tc>
          <w:tcPr>
            <w:tcW w:w="2294" w:type="dxa"/>
          </w:tcPr>
          <w:p w14:paraId="6E648CD7" w14:textId="77777777" w:rsidR="00496039" w:rsidRPr="0011764A" w:rsidRDefault="00496039" w:rsidP="00B2630D">
            <w:pPr>
              <w:spacing w:before="240" w:after="0"/>
              <w:rPr>
                <w:color w:val="000000"/>
              </w:rPr>
            </w:pPr>
            <w:r w:rsidRPr="0011764A">
              <w:rPr>
                <w:color w:val="000000"/>
              </w:rPr>
              <w:t>Household consumption for 92 households in 6 villages in the Ogouee-Lolo Province</w:t>
            </w:r>
          </w:p>
        </w:tc>
        <w:tc>
          <w:tcPr>
            <w:tcW w:w="2769" w:type="dxa"/>
          </w:tcPr>
          <w:p w14:paraId="227C1489" w14:textId="77777777" w:rsidR="00496039" w:rsidRPr="0011764A" w:rsidRDefault="00496039" w:rsidP="00B2630D">
            <w:pPr>
              <w:spacing w:before="240" w:after="0"/>
              <w:rPr>
                <w:color w:val="000000"/>
              </w:rPr>
            </w:pPr>
            <w:r w:rsidRPr="0011764A">
              <w:rPr>
                <w:color w:val="000000"/>
              </w:rPr>
              <w:t>Difficult access villages: 0.225 kg/AME/day</w:t>
            </w:r>
          </w:p>
          <w:p w14:paraId="0D2CA310" w14:textId="77777777" w:rsidR="00496039" w:rsidRPr="0011764A" w:rsidRDefault="00496039" w:rsidP="00B2630D">
            <w:pPr>
              <w:spacing w:before="240" w:after="0"/>
              <w:rPr>
                <w:color w:val="000000"/>
              </w:rPr>
            </w:pPr>
            <w:r w:rsidRPr="0011764A">
              <w:rPr>
                <w:color w:val="000000"/>
              </w:rPr>
              <w:t>Medium access: 0.16 kg/AME/day</w:t>
            </w:r>
          </w:p>
          <w:p w14:paraId="047867BF" w14:textId="77777777" w:rsidR="00496039" w:rsidRPr="0011764A" w:rsidRDefault="00496039" w:rsidP="00B2630D">
            <w:pPr>
              <w:spacing w:before="240" w:after="0"/>
              <w:rPr>
                <w:color w:val="000000"/>
              </w:rPr>
            </w:pPr>
            <w:r w:rsidRPr="0011764A">
              <w:rPr>
                <w:color w:val="000000"/>
              </w:rPr>
              <w:t>Easy access: 0.075 kg/AME/day</w:t>
            </w:r>
          </w:p>
        </w:tc>
        <w:tc>
          <w:tcPr>
            <w:tcW w:w="3618" w:type="dxa"/>
          </w:tcPr>
          <w:p w14:paraId="1A30B014" w14:textId="77777777" w:rsidR="00496039" w:rsidRPr="0011764A" w:rsidRDefault="00496039" w:rsidP="00B2630D">
            <w:pPr>
              <w:spacing w:before="240" w:after="0"/>
              <w:rPr>
                <w:color w:val="000000"/>
              </w:rPr>
            </w:pPr>
            <w:r w:rsidRPr="0011764A">
              <w:rPr>
                <w:color w:val="000000"/>
              </w:rPr>
              <w:t>Within settlements (i.e. controlling for the effect of market access on consumption), wealthier households consume more wild meat than poor households.</w:t>
            </w:r>
          </w:p>
        </w:tc>
        <w:tc>
          <w:tcPr>
            <w:tcW w:w="2964" w:type="dxa"/>
          </w:tcPr>
          <w:p w14:paraId="58DFB0C0" w14:textId="77777777" w:rsidR="00496039" w:rsidRPr="0011764A" w:rsidRDefault="00496039" w:rsidP="00B2630D">
            <w:pPr>
              <w:widowControl w:val="0"/>
              <w:tabs>
                <w:tab w:val="left" w:pos="220"/>
                <w:tab w:val="left" w:pos="720"/>
              </w:tabs>
              <w:autoSpaceDE w:val="0"/>
              <w:autoSpaceDN w:val="0"/>
              <w:adjustRightInd w:val="0"/>
              <w:spacing w:before="240"/>
              <w:rPr>
                <w:color w:val="000000"/>
              </w:rPr>
            </w:pPr>
            <w:r w:rsidRPr="0011764A">
              <w:rPr>
                <w:color w:val="000000"/>
              </w:rPr>
              <w:t xml:space="preserve">Controlling for settlement ID: +0.26% </w:t>
            </w:r>
          </w:p>
          <w:p w14:paraId="188CAC84" w14:textId="77777777" w:rsidR="00496039" w:rsidRPr="0011764A" w:rsidRDefault="00496039" w:rsidP="00B2630D">
            <w:pPr>
              <w:spacing w:before="240" w:after="0"/>
              <w:rPr>
                <w:color w:val="000000"/>
              </w:rPr>
            </w:pPr>
          </w:p>
        </w:tc>
      </w:tr>
      <w:tr w:rsidR="00496039" w:rsidRPr="0011764A" w14:paraId="272192DF" w14:textId="77777777" w:rsidTr="00B2630D">
        <w:trPr>
          <w:trHeight w:val="2258"/>
        </w:trPr>
        <w:tc>
          <w:tcPr>
            <w:tcW w:w="1292" w:type="dxa"/>
          </w:tcPr>
          <w:p w14:paraId="3D086F3B" w14:textId="77777777" w:rsidR="00496039" w:rsidRPr="0011764A" w:rsidRDefault="00496039" w:rsidP="00B2630D">
            <w:pPr>
              <w:spacing w:before="240" w:after="0"/>
              <w:rPr>
                <w:color w:val="000000"/>
              </w:rPr>
            </w:pPr>
            <w:r w:rsidRPr="005439C4">
              <w:rPr>
                <w:color w:val="000000"/>
              </w:rPr>
              <w:fldChar w:fldCharType="begin" w:fldLock="1"/>
            </w:r>
            <w:r w:rsidRPr="005439C4">
              <w:rPr>
                <w:color w:val="000000"/>
              </w:rPr>
              <w:instrText>ADDIN CSL_CITATION {"citationItems":[{"id":"ITEM-1","itemData":{"DOI":"10.1111/j.1523-1739.2005.00372.x","ISBN":"0888-8892","ISSN":"08888892","abstract":"Unsustainable hunting of wildlife for food is often a more immediate and significant threat to the conservation of biological diversity in tropical forests than deforestation. Why people eat wildlife is debated. Some may eat bushmeat because they can afford it; othersmay eat it because it is familiar, traditional, confers prestige, tastes good, or adds variety. We completed a survey of 1208 rural and urban households in Gabon, Africa, in 2002–2003 to estimate the effect of wealth and prices on the consumption of wildlife and other sources of animal protein. Consumption of bushmeat, fish, chicken, and livestock increased with increasing household wealth, and as the price of these commodities rose, consumption declined. Although the prices of substitutes for bushmeat did not significantly, in statistical terms, influence bushmeat consumption, as the price of wildlife increased and its consumption fell, the consumption of fish rose, indicating that fish and bushmeat were dietary substitutes. Our results suggest that policy makers can use economic levers such as taxation or supply reduction through better law enforcement to change demand for wildlife. These measures will help to regulate unsustainable exploitation and reduce the risk of irreversible loss of large-bodied and slow-reproducing wildlife species. If policy makers focus solely on reducing the unsustainable consumption of wildlife, they may see adverse impacts on the exploitation of fish. Furthermore, policy makers must ensure that raising household wealth through development assistance does not result in undesirable impacts on the conservation status of wildlife and fish.","author":[{"dropping-particle":"","family":"Wilkie","given":"David S.","non-dropping-particle":"","parse-names":false,"suffix":""},{"dropping-particle":"","family":"Starkey","given":"Malcolm","non-dropping-particle":"","parse-names":false,"suffix":""},{"dropping-particle":"","family":"Abernethy","given":"Kate","non-dropping-particle":"","parse-names":false,"suffix":""},{"dropping-particle":"","family":"Effa","given":"Ernestine Nstame","non-dropping-particle":"","parse-names":false,"suffix":""},{"dropping-particle":"","family":"Telfer","given":"Paul","non-dropping-particle":"","parse-names":false,"suffix":""},{"dropping-particle":"","family":"Godoy","given":"Ricardo","non-dropping-particle":"","parse-names":false,"suffix":""}],"container-title":"Conservation Biology","id":"ITEM-1","issue":"1","issued":{"date-parts":[["2005"]]},"page":"268-274","title":"Role of prices and wealth in consumer demand for bushmeat in Gabon, Central Africa","type":"article-journal","volume":"19"},"uris":["http://www.mendeley.com/documents/?uuid=f47a699c-8e33-4ebf-812d-391d540a3466"]}],"mendeley":{"formattedCitation":"(Wilkie et al. 2005)","manualFormatting":"Wilkie et al. 2005","plainTextFormattedCitation":"(Wilkie et al. 2005)","previouslyFormattedCitation":"(Wilkie et al. 2005)"},"properties":{"noteIndex":0},"schema":"https://github.com/citation-style-language/schema/raw/master/csl-citation.json"}</w:instrText>
            </w:r>
            <w:r w:rsidRPr="005439C4">
              <w:rPr>
                <w:color w:val="000000"/>
              </w:rPr>
              <w:fldChar w:fldCharType="separate"/>
            </w:r>
            <w:r w:rsidRPr="005439C4">
              <w:rPr>
                <w:noProof/>
                <w:color w:val="000000"/>
              </w:rPr>
              <w:t>Wilkie et al. 2005</w:t>
            </w:r>
            <w:r w:rsidRPr="005439C4">
              <w:rPr>
                <w:color w:val="000000"/>
              </w:rPr>
              <w:fldChar w:fldCharType="end"/>
            </w:r>
          </w:p>
        </w:tc>
        <w:tc>
          <w:tcPr>
            <w:tcW w:w="1188" w:type="dxa"/>
          </w:tcPr>
          <w:p w14:paraId="079FEFD2" w14:textId="77777777" w:rsidR="00496039" w:rsidRPr="0011764A" w:rsidRDefault="00496039" w:rsidP="00B2630D">
            <w:pPr>
              <w:spacing w:before="240" w:after="0"/>
              <w:rPr>
                <w:color w:val="000000"/>
              </w:rPr>
            </w:pPr>
            <w:r w:rsidRPr="0011764A">
              <w:rPr>
                <w:color w:val="000000"/>
              </w:rPr>
              <w:t>Gabon</w:t>
            </w:r>
          </w:p>
        </w:tc>
        <w:tc>
          <w:tcPr>
            <w:tcW w:w="2294" w:type="dxa"/>
          </w:tcPr>
          <w:p w14:paraId="1DC00669" w14:textId="77777777" w:rsidR="00496039" w:rsidRPr="0011764A" w:rsidRDefault="00496039" w:rsidP="00B2630D">
            <w:pPr>
              <w:spacing w:before="240" w:after="0"/>
              <w:rPr>
                <w:color w:val="000000"/>
              </w:rPr>
            </w:pPr>
            <w:r w:rsidRPr="0011764A">
              <w:rPr>
                <w:color w:val="000000"/>
              </w:rPr>
              <w:t>Household consumption for 1208 households for 6 settlements across a rural – urban continuum.</w:t>
            </w:r>
          </w:p>
        </w:tc>
        <w:tc>
          <w:tcPr>
            <w:tcW w:w="2769" w:type="dxa"/>
          </w:tcPr>
          <w:p w14:paraId="6AC2A9AE" w14:textId="77777777" w:rsidR="00496039" w:rsidRPr="0011764A" w:rsidRDefault="00496039" w:rsidP="00B2630D">
            <w:pPr>
              <w:spacing w:before="240" w:after="0"/>
              <w:rPr>
                <w:color w:val="000000"/>
              </w:rPr>
            </w:pPr>
            <w:r w:rsidRPr="0011764A">
              <w:rPr>
                <w:color w:val="000000"/>
              </w:rPr>
              <w:t>Capital city: 0.02 kg/AME/day</w:t>
            </w:r>
          </w:p>
          <w:p w14:paraId="48F4799D" w14:textId="77777777" w:rsidR="00496039" w:rsidRPr="0011764A" w:rsidRDefault="00496039" w:rsidP="00B2630D">
            <w:pPr>
              <w:spacing w:before="240" w:after="0"/>
              <w:rPr>
                <w:color w:val="000000"/>
              </w:rPr>
            </w:pPr>
            <w:r w:rsidRPr="0011764A">
              <w:rPr>
                <w:color w:val="000000"/>
              </w:rPr>
              <w:t>Towns: 0.07 – 0.12 kg/AME/day</w:t>
            </w:r>
          </w:p>
          <w:p w14:paraId="65EA4A1C" w14:textId="77777777" w:rsidR="00496039" w:rsidRPr="0011764A" w:rsidRDefault="00496039" w:rsidP="00B2630D">
            <w:pPr>
              <w:spacing w:before="240" w:after="0"/>
              <w:rPr>
                <w:color w:val="000000"/>
              </w:rPr>
            </w:pPr>
            <w:r w:rsidRPr="0011764A">
              <w:rPr>
                <w:color w:val="000000"/>
              </w:rPr>
              <w:t>Inland Villages: 0.26 kg/AME/day</w:t>
            </w:r>
          </w:p>
          <w:p w14:paraId="6829F859" w14:textId="77777777" w:rsidR="00496039" w:rsidRPr="0011764A" w:rsidRDefault="00496039" w:rsidP="00B2630D">
            <w:pPr>
              <w:spacing w:before="240" w:after="0"/>
              <w:rPr>
                <w:color w:val="000000"/>
              </w:rPr>
            </w:pPr>
            <w:r w:rsidRPr="0011764A">
              <w:rPr>
                <w:color w:val="000000"/>
              </w:rPr>
              <w:t>Coastal Villages: 0.07 kg/AME/day</w:t>
            </w:r>
          </w:p>
        </w:tc>
        <w:tc>
          <w:tcPr>
            <w:tcW w:w="3618" w:type="dxa"/>
          </w:tcPr>
          <w:p w14:paraId="2D2968EB" w14:textId="77777777" w:rsidR="00496039" w:rsidRPr="0011764A" w:rsidRDefault="00496039" w:rsidP="00B2630D">
            <w:pPr>
              <w:spacing w:before="240" w:after="0"/>
              <w:rPr>
                <w:color w:val="000000"/>
              </w:rPr>
            </w:pPr>
            <w:r w:rsidRPr="0011764A">
              <w:rPr>
                <w:color w:val="000000"/>
              </w:rPr>
              <w:t>Inland rural (poorer) communities consume ten times more wild meat than urban (richer) communities.</w:t>
            </w:r>
          </w:p>
          <w:p w14:paraId="28AAB924" w14:textId="77777777" w:rsidR="00496039" w:rsidRPr="0011764A" w:rsidRDefault="00496039" w:rsidP="00B2630D">
            <w:pPr>
              <w:widowControl w:val="0"/>
              <w:autoSpaceDE w:val="0"/>
              <w:autoSpaceDN w:val="0"/>
              <w:adjustRightInd w:val="0"/>
              <w:spacing w:before="240"/>
              <w:rPr>
                <w:color w:val="000000"/>
              </w:rPr>
            </w:pPr>
            <w:r w:rsidRPr="0011764A">
              <w:rPr>
                <w:color w:val="000000"/>
              </w:rPr>
              <w:t xml:space="preserve">Wealthier households consumed more animal protein than poorer households in the same location. </w:t>
            </w:r>
          </w:p>
          <w:p w14:paraId="388D75A4" w14:textId="77777777" w:rsidR="00496039" w:rsidRPr="0011764A" w:rsidRDefault="00496039" w:rsidP="00B2630D">
            <w:pPr>
              <w:spacing w:before="240" w:after="0"/>
              <w:rPr>
                <w:color w:val="000000"/>
              </w:rPr>
            </w:pPr>
          </w:p>
        </w:tc>
        <w:tc>
          <w:tcPr>
            <w:tcW w:w="2964" w:type="dxa"/>
          </w:tcPr>
          <w:p w14:paraId="25E6ED12" w14:textId="77777777" w:rsidR="00496039" w:rsidRPr="0011764A" w:rsidRDefault="00496039" w:rsidP="00B2630D">
            <w:pPr>
              <w:widowControl w:val="0"/>
              <w:tabs>
                <w:tab w:val="left" w:pos="220"/>
                <w:tab w:val="left" w:pos="720"/>
              </w:tabs>
              <w:autoSpaceDE w:val="0"/>
              <w:autoSpaceDN w:val="0"/>
              <w:adjustRightInd w:val="0"/>
              <w:spacing w:before="240"/>
              <w:rPr>
                <w:color w:val="000000"/>
              </w:rPr>
            </w:pPr>
            <w:r w:rsidRPr="0011764A">
              <w:rPr>
                <w:color w:val="000000"/>
              </w:rPr>
              <w:t xml:space="preserve">Controlling for settlement ID, +0.17% </w:t>
            </w:r>
          </w:p>
        </w:tc>
      </w:tr>
      <w:tr w:rsidR="00496039" w:rsidRPr="0011764A" w14:paraId="29DAA61C" w14:textId="77777777" w:rsidTr="00B2630D">
        <w:trPr>
          <w:trHeight w:val="1475"/>
        </w:trPr>
        <w:tc>
          <w:tcPr>
            <w:tcW w:w="1292" w:type="dxa"/>
          </w:tcPr>
          <w:p w14:paraId="4E0C4BDA" w14:textId="77777777" w:rsidR="00496039" w:rsidRPr="0011764A" w:rsidRDefault="00496039" w:rsidP="00B2630D">
            <w:pPr>
              <w:spacing w:before="240" w:after="0"/>
              <w:rPr>
                <w:color w:val="000000"/>
              </w:rPr>
            </w:pPr>
            <w:r w:rsidRPr="005439C4">
              <w:rPr>
                <w:color w:val="000000"/>
              </w:rPr>
              <w:fldChar w:fldCharType="begin" w:fldLock="1"/>
            </w:r>
            <w:r w:rsidRPr="005439C4">
              <w:rPr>
                <w:color w:val="000000"/>
              </w:rPr>
              <w:instrText>ADDIN CSL_CITATION {"citationItems":[{"id":"ITEM-1","itemData":{"DOI":"10.1016/j.biocon.2005.05.012","ISBN":"0006-3207","ISSN":"00063207","abstract":"Understanding the factors driving demand for wild meat and its substitutes is crucial for predicting the effects of changing socio-economic conditions on consumption, and managing supplies sustainably. However urban demand for wild meat remains relatively understudied, particularly in West/Central Africa. We use interviews with consumers in households, markets and restaurants and a market survey to examine patterns of consumption of bushmeat, domestic meat and fish in Bata, Equatorial Guinea, a country currently undergoing a period of strong economic and population growth. Consumers make a much clearer distinction between fresh and frozen foods than between bushmeat, domestic meat and fish. Fresh foods are greatly preferred over frozen but are more expensive and less consumed. Consumption of all fresh foods increases with income. Controlling for income, native Equatoguineans consume more bushmeat than other nationalities, while of the two dominant Equatoguinean tribes, the continental Fang consume more bushmeat than the coastal Ndowe. Our findings indicate that increasing wealth of a growing urban population will greatly increase future demand for all fresh foods, including bushmeat. There is no evidence of a luxury bushmeat market based on rare species, thus controlled demand for bushmeat could be met from common, highly productive species that are relatively robust to exploitation. Improving the supply of under-developed commodities, particularly domestic livestock, could also offset demand for bushmeat. © 2005 Elsevier Ltd. All rights reserved.","author":[{"dropping-particle":"","family":"East","given":"Tamsyn","non-dropping-particle":"","parse-names":false,"suffix":""},{"dropping-particle":"","family":"Kümpel","given":"Noëlle F.","non-dropping-particle":"","parse-names":false,"suffix":""},{"dropping-particle":"","family":"Milner-Gulland","given":"E. J.","non-dropping-particle":"","parse-names":false,"suffix":""},{"dropping-particle":"","family":"Rowcliffe","given":"J. Marcus","non-dropping-particle":"","parse-names":false,"suffix":""}],"container-title":"Biological Conservation","id":"ITEM-1","issue":"2","issued":{"date-parts":[["2005"]]},"page":"206-215","title":"Determinants of urban bushmeat consumption in Río Muni, Equatorial Guinea","type":"article-journal","volume":"126"},"uris":["http://www.mendeley.com/documents/?uuid=142512e6-5d75-4d80-8ce8-665d18733f07"]}],"mendeley":{"formattedCitation":"(East et al. 2005)","manualFormatting":"East et al. 2005","plainTextFormattedCitation":"(East et al. 2005)","previouslyFormattedCitation":"(East et al. 2005)"},"properties":{"noteIndex":0},"schema":"https://github.com/citation-style-language/schema/raw/master/csl-citation.json"}</w:instrText>
            </w:r>
            <w:r w:rsidRPr="005439C4">
              <w:rPr>
                <w:color w:val="000000"/>
              </w:rPr>
              <w:fldChar w:fldCharType="separate"/>
            </w:r>
            <w:r w:rsidRPr="005439C4">
              <w:rPr>
                <w:noProof/>
                <w:color w:val="000000"/>
              </w:rPr>
              <w:t>East et al. 2005</w:t>
            </w:r>
            <w:r w:rsidRPr="005439C4">
              <w:rPr>
                <w:color w:val="000000"/>
              </w:rPr>
              <w:fldChar w:fldCharType="end"/>
            </w:r>
          </w:p>
        </w:tc>
        <w:tc>
          <w:tcPr>
            <w:tcW w:w="1188" w:type="dxa"/>
          </w:tcPr>
          <w:p w14:paraId="48C6D80A" w14:textId="77777777" w:rsidR="00496039" w:rsidRPr="0011764A" w:rsidRDefault="00496039" w:rsidP="00B2630D">
            <w:pPr>
              <w:spacing w:before="240" w:after="0"/>
              <w:rPr>
                <w:color w:val="000000"/>
              </w:rPr>
            </w:pPr>
            <w:r w:rsidRPr="0011764A">
              <w:rPr>
                <w:color w:val="000000"/>
              </w:rPr>
              <w:t>Equatorial Guinea</w:t>
            </w:r>
          </w:p>
        </w:tc>
        <w:tc>
          <w:tcPr>
            <w:tcW w:w="2294" w:type="dxa"/>
          </w:tcPr>
          <w:p w14:paraId="0F5ADC6A" w14:textId="77777777" w:rsidR="00496039" w:rsidRPr="0011764A" w:rsidRDefault="00496039" w:rsidP="00B2630D">
            <w:pPr>
              <w:spacing w:before="240" w:after="0"/>
              <w:rPr>
                <w:color w:val="000000"/>
              </w:rPr>
            </w:pPr>
            <w:r w:rsidRPr="0011764A">
              <w:rPr>
                <w:color w:val="000000"/>
              </w:rPr>
              <w:t>Household frequency of consumption for 100 households in Bata (urban)</w:t>
            </w:r>
          </w:p>
        </w:tc>
        <w:tc>
          <w:tcPr>
            <w:tcW w:w="2769" w:type="dxa"/>
          </w:tcPr>
          <w:p w14:paraId="2BC68DC0"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Only frequency of consumption recorded, not kg</w:t>
            </w:r>
          </w:p>
        </w:tc>
        <w:tc>
          <w:tcPr>
            <w:tcW w:w="3618" w:type="dxa"/>
          </w:tcPr>
          <w:p w14:paraId="7B38BDE9"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Households generally eat cheaper, frozen foods. Very low consumption of wild meat, which increased with household incomes.</w:t>
            </w:r>
          </w:p>
        </w:tc>
        <w:tc>
          <w:tcPr>
            <w:tcW w:w="2964" w:type="dxa"/>
          </w:tcPr>
          <w:p w14:paraId="4ADA9891"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+ 0.26 </w:t>
            </w:r>
          </w:p>
          <w:p w14:paraId="3F1BD582" w14:textId="77777777" w:rsidR="00496039" w:rsidRPr="0011764A" w:rsidRDefault="00496039" w:rsidP="00B2630D">
            <w:pPr>
              <w:widowControl w:val="0"/>
              <w:autoSpaceDE w:val="0"/>
              <w:autoSpaceDN w:val="0"/>
              <w:adjustRightInd w:val="0"/>
              <w:spacing w:after="0"/>
              <w:contextualSpacing/>
              <w:rPr>
                <w:rFonts w:cs="Garamond"/>
                <w:color w:val="000000"/>
              </w:rPr>
            </w:pPr>
          </w:p>
        </w:tc>
      </w:tr>
      <w:tr w:rsidR="00496039" w:rsidRPr="0011764A" w14:paraId="14857B2F" w14:textId="77777777" w:rsidTr="00B2630D">
        <w:trPr>
          <w:trHeight w:val="1475"/>
        </w:trPr>
        <w:tc>
          <w:tcPr>
            <w:tcW w:w="1292" w:type="dxa"/>
          </w:tcPr>
          <w:p w14:paraId="44233765" w14:textId="47108D28" w:rsidR="00496039" w:rsidRPr="0011764A" w:rsidRDefault="00496039" w:rsidP="00B2630D">
            <w:pPr>
              <w:spacing w:before="240" w:after="0"/>
              <w:rPr>
                <w:color w:val="000000"/>
              </w:rPr>
            </w:pPr>
            <w:r w:rsidRPr="005439C4">
              <w:rPr>
                <w:color w:val="000000"/>
              </w:rPr>
              <w:fldChar w:fldCharType="begin" w:fldLock="1"/>
            </w:r>
            <w:r w:rsidR="00B2630D">
              <w:rPr>
                <w:color w:val="000000"/>
              </w:rPr>
              <w:instrText>ADDIN CSL_CITATION {"citationItems":[{"id":"ITEM-1","itemData":{"abstract":"Bushmeat hunting is thought to be becoming increasingly unsustainable in west and central Africa, but true assessment of sustainability, and consequently appropriate management, is constrained by poor understanding of cause and effect. This cross-disciplinary study considers the complex and dynamic interactions between market, hunter and prey along an entire bushmeat chain in continental Equatorial Guinea, thus enabling evaluation of the sustainability of the system under different policy scenarios. Fieldwork was undertaken over a period of 18 months from 2002-2004. Market surveys and consumer interviews in Bata, the regional capital, were used to evaluate the determinants of urban bushmeat consumption: people preferred fresh meat and fish, including bushmeat, but tended to consume cheaper frozen foods more often. Bushmeat consumption increased with income. 1607 household and 72 hunter interviews were conducted in the village of Sendje, gateway to the forested Monte Alén National Park and major source of bushmeat to Bata. Men hunt for income because there are few other livelihood options. A village offtake survey estimated over 10,000 animals hunted per year (90% by trapping), hunted using a long-term rotation of camps up to 30 km from the village. Hunter behaviour, prey choice and animal encounter rates were recorded during 77 trapper and 48 gun-hunter follows. Trapping is currently preferred to gunhunting due to lower costs and relatively high returns. However, as the availability and affordability of guns and cartridges increases, and trapping success decreases, hunters are switching to shooting arboreal prey. Population densities of key primate prey species were estimated in two sites with differing gun-hunting histories, using 408 km of line transects. Whereas some of the guenon monkey species were still numerous in the heavily hunted village site, the absence of Colobus satanus suggests they are more vulnerable to hunting pressure. Extremely high densities of Colobus satanus were found inside the park, suggesting it should be an urgent conservation priority. The current oil boom in Equatorial Guinea is increasing urban wealth and subsequent demand for bushmeat. In the absence of alternative foods and rural livelihoods, and proper enforcement of protected areas, people will continue to hunt for the commercial bushmeat trade until many vulnerable species become at least locally extinct.","author":[{"dropping-particle":"","family":"Kümpel","given":"Noëlle Francesca","non-dropping-particle":"","parse-names":false,"suffix":""}],"id":"ITEM-1","issued":{"date-parts":[["2006"]]},"number-of-pages":"247","publisher":"PhD Thesis, Imperial College London, UK","publisher-place":"PhD Thesis, Imperial College London, UK","title":"Incentives for sustainable hunting of bushmeat in Río Muni, Equatorial Guinea","type":"book"},"uris":["http://www.mendeley.com/documents/?uuid=788befdd-0bff-48ba-8bc7-4515dc3b1e67"]}],"mendeley":{"formattedCitation":"(Kümpel 2006)","manualFormatting":"Kümpel 2006","plainTextFormattedCitation":"(Kümpel 2006)","previouslyFormattedCitation":"(Kümpel 2006)"},"properties":{"noteIndex":0},"schema":"https://github.com/citation-style-language/schema/raw/master/csl-citation.json"}</w:instrText>
            </w:r>
            <w:r w:rsidRPr="005439C4">
              <w:rPr>
                <w:color w:val="000000"/>
              </w:rPr>
              <w:fldChar w:fldCharType="separate"/>
            </w:r>
            <w:r w:rsidRPr="005439C4">
              <w:rPr>
                <w:noProof/>
                <w:color w:val="000000"/>
              </w:rPr>
              <w:t>Kümpel 2006</w:t>
            </w:r>
            <w:r w:rsidRPr="005439C4">
              <w:rPr>
                <w:color w:val="000000"/>
              </w:rPr>
              <w:fldChar w:fldCharType="end"/>
            </w:r>
          </w:p>
        </w:tc>
        <w:tc>
          <w:tcPr>
            <w:tcW w:w="1188" w:type="dxa"/>
          </w:tcPr>
          <w:p w14:paraId="1610F283" w14:textId="77777777" w:rsidR="00496039" w:rsidRPr="0011764A" w:rsidRDefault="00496039" w:rsidP="00B2630D">
            <w:pPr>
              <w:spacing w:before="240" w:after="0"/>
              <w:rPr>
                <w:color w:val="000000"/>
              </w:rPr>
            </w:pPr>
            <w:r w:rsidRPr="0011764A">
              <w:rPr>
                <w:color w:val="000000"/>
              </w:rPr>
              <w:t>Equatorial Guinea</w:t>
            </w:r>
          </w:p>
        </w:tc>
        <w:tc>
          <w:tcPr>
            <w:tcW w:w="2294" w:type="dxa"/>
          </w:tcPr>
          <w:p w14:paraId="233456BF" w14:textId="77777777" w:rsidR="00496039" w:rsidRPr="0011764A" w:rsidRDefault="00496039" w:rsidP="00B2630D">
            <w:pPr>
              <w:spacing w:before="240" w:after="0"/>
              <w:rPr>
                <w:color w:val="000000"/>
              </w:rPr>
            </w:pPr>
            <w:r w:rsidRPr="0011764A">
              <w:rPr>
                <w:color w:val="000000"/>
              </w:rPr>
              <w:t>Frequency of consumption for 41 households in in Sendje village</w:t>
            </w:r>
          </w:p>
        </w:tc>
        <w:tc>
          <w:tcPr>
            <w:tcW w:w="2769" w:type="dxa"/>
          </w:tcPr>
          <w:p w14:paraId="29F097FB" w14:textId="77777777" w:rsidR="00496039" w:rsidRPr="0011764A" w:rsidRDefault="00496039" w:rsidP="00B2630D">
            <w:pPr>
              <w:spacing w:before="240" w:after="0"/>
              <w:rPr>
                <w:color w:val="000000"/>
              </w:rPr>
            </w:pPr>
            <w:r w:rsidRPr="0011764A">
              <w:rPr>
                <w:color w:val="000000"/>
              </w:rPr>
              <w:t>Only frequency of consumption recorded, not kg</w:t>
            </w:r>
          </w:p>
        </w:tc>
        <w:tc>
          <w:tcPr>
            <w:tcW w:w="3618" w:type="dxa"/>
          </w:tcPr>
          <w:p w14:paraId="0E0353AD" w14:textId="77777777" w:rsidR="00496039" w:rsidRPr="0011764A" w:rsidRDefault="00496039" w:rsidP="00B2630D">
            <w:pPr>
              <w:spacing w:before="240" w:after="0"/>
              <w:rPr>
                <w:color w:val="000000"/>
              </w:rPr>
            </w:pPr>
            <w:r w:rsidRPr="0011764A">
              <w:rPr>
                <w:color w:val="000000"/>
              </w:rPr>
              <w:t>No effect of wealth on wild meat consumption in total, but amount of wild meat purchased by a household increased with household incomes</w:t>
            </w:r>
          </w:p>
        </w:tc>
        <w:tc>
          <w:tcPr>
            <w:tcW w:w="2964" w:type="dxa"/>
          </w:tcPr>
          <w:p w14:paraId="30ADBF02" w14:textId="77777777" w:rsidR="00496039" w:rsidRPr="0011764A" w:rsidRDefault="00496039" w:rsidP="00B2630D">
            <w:pPr>
              <w:spacing w:before="240" w:after="0"/>
              <w:rPr>
                <w:color w:val="000000"/>
              </w:rPr>
            </w:pPr>
            <w:r w:rsidRPr="0011764A">
              <w:rPr>
                <w:color w:val="000000"/>
              </w:rPr>
              <w:t xml:space="preserve">+0.48% </w:t>
            </w:r>
          </w:p>
        </w:tc>
      </w:tr>
      <w:tr w:rsidR="00496039" w:rsidRPr="0011764A" w14:paraId="1ED8274E" w14:textId="77777777" w:rsidTr="00B2630D">
        <w:trPr>
          <w:trHeight w:val="1124"/>
        </w:trPr>
        <w:tc>
          <w:tcPr>
            <w:tcW w:w="1292" w:type="dxa"/>
          </w:tcPr>
          <w:p w14:paraId="5FD36A2D" w14:textId="511E4586" w:rsidR="00496039" w:rsidRPr="0011764A" w:rsidRDefault="00496039" w:rsidP="00B2630D">
            <w:pPr>
              <w:spacing w:before="240" w:after="0"/>
              <w:rPr>
                <w:color w:val="000000"/>
              </w:rPr>
            </w:pPr>
            <w:r w:rsidRPr="005439C4">
              <w:rPr>
                <w:color w:val="000000"/>
              </w:rPr>
              <w:lastRenderedPageBreak/>
              <w:fldChar w:fldCharType="begin" w:fldLock="1"/>
            </w:r>
            <w:r w:rsidR="001D376A">
              <w:rPr>
                <w:color w:val="000000"/>
              </w:rPr>
              <w:instrText>ADDIN CSL_CITATION {"citationItems":[{"id":"ITEM-1","itemData":{"abstract":"It is often stated that wildlife is extremely important to poor rural households, particularly in tropical forest regions, and many have proposed that rural populations depend on wildife. There is evidence that the harvest of forest products such as bushmeat is highly unsustainable, and so there is a need to assess this dependence on forest resources in order to evaluate the potential impacts to people following a reduction in forest offtake whether due to declining wildlife populations or to management. There is clear evidence that the use of forest products, including bushmeat, wild fish and forest plants, is widespread, but the more ambiguous term dependence is harder to demonstrate. I show that two rural villages in continental Equatorial Guinea consume, produce and earn significant amounts from wildlife resources, particularly bushmeat. I show that the consumption of wild foods, particularly plants, increases during the lean season, implying that wild plants reduce vulnerability to food shortages in times of stress, and are therefore important for food security. Production and income from wildlife is highest for poorer, food insecure households, and this represents a significantly higher proportion of their income than for the rest of the population, suggesting that these vulnerable households with few livelihood options rely on wildlife for regular income. The less accessible village is more food insecure and has fewer income sources, and is also more reliant on forest resources, particularly bushmeat for income. Finally, I give evidence to demonstrate that monitoring sales of wildlife products in urban markets is a useful way to assess changes in offtakes. However, these markets may represent only a small fraction of the total harvest, and may underrepresent vulnerable taxa such as primates that have a relatively low price for their size. The data suggest that bushmeat harvest in continental Equatorial Guinea is likely to be unsustainable. This study has used a number of different approaches to explore dependence on wildlife in rural Equatorial Guinea, and I conclude that poorer families in the more remote village are indeed dependent on a range of wildlife resources, both for income and consumption. This must be taken into account in any policy responses to unsustainable harvests.","author":[{"dropping-particle":"","family":"Allebone-Webb","given":"Sophie M","non-dropping-particle":"","parse-names":false,"suffix":""}],"id":"ITEM-1","issued":{"date-parts":[["2009"]]},"publisher":"PhD Thesis, Imperial College London, UK.","title":"Evaluating dependence on wildlife products in rural Equatorial Guinea","type":"book"},"uris":["http://www.mendeley.com/documents/?uuid=ababf090-2775-41e4-9128-8980ae7ff6db"]}],"mendeley":{"formattedCitation":"(Allebone-Webb 2009)","manualFormatting":"Allebone-Webb 2009","plainTextFormattedCitation":"(Allebone-Webb 2009)","previouslyFormattedCitation":"(Allebone-Webb 2009b)"},"properties":{"noteIndex":0},"schema":"https://github.com/citation-style-language/schema/raw/master/csl-citation.json"}</w:instrText>
            </w:r>
            <w:r w:rsidRPr="005439C4">
              <w:rPr>
                <w:color w:val="000000"/>
              </w:rPr>
              <w:fldChar w:fldCharType="separate"/>
            </w:r>
            <w:r w:rsidRPr="005439C4">
              <w:rPr>
                <w:noProof/>
                <w:color w:val="000000"/>
              </w:rPr>
              <w:t>Allebone-Webb 2009</w:t>
            </w:r>
            <w:r w:rsidRPr="005439C4">
              <w:rPr>
                <w:color w:val="000000"/>
              </w:rPr>
              <w:fldChar w:fldCharType="end"/>
            </w:r>
          </w:p>
        </w:tc>
        <w:tc>
          <w:tcPr>
            <w:tcW w:w="1188" w:type="dxa"/>
          </w:tcPr>
          <w:p w14:paraId="4C9D31B7" w14:textId="77777777" w:rsidR="00496039" w:rsidRPr="0011764A" w:rsidRDefault="00496039" w:rsidP="00B2630D">
            <w:pPr>
              <w:spacing w:before="240" w:after="0"/>
              <w:rPr>
                <w:color w:val="000000"/>
              </w:rPr>
            </w:pPr>
            <w:r w:rsidRPr="0011764A">
              <w:rPr>
                <w:color w:val="000000"/>
              </w:rPr>
              <w:t>Equatorial Guinea</w:t>
            </w:r>
          </w:p>
        </w:tc>
        <w:tc>
          <w:tcPr>
            <w:tcW w:w="2294" w:type="dxa"/>
          </w:tcPr>
          <w:p w14:paraId="45890C80" w14:textId="77777777" w:rsidR="00496039" w:rsidRPr="0011764A" w:rsidRDefault="00496039" w:rsidP="00B2630D">
            <w:pPr>
              <w:spacing w:before="240" w:after="0"/>
              <w:rPr>
                <w:color w:val="000000"/>
              </w:rPr>
            </w:pPr>
            <w:r w:rsidRPr="0011764A">
              <w:rPr>
                <w:color w:val="000000"/>
              </w:rPr>
              <w:t>Household consumption in 2 rural villages, Beayop, and Teguete (the more remote of the two)</w:t>
            </w:r>
          </w:p>
        </w:tc>
        <w:tc>
          <w:tcPr>
            <w:tcW w:w="2769" w:type="dxa"/>
          </w:tcPr>
          <w:p w14:paraId="35B16E3B" w14:textId="77777777" w:rsidR="00496039" w:rsidRPr="0011764A" w:rsidRDefault="00496039" w:rsidP="00B2630D">
            <w:pPr>
              <w:spacing w:before="240" w:after="0"/>
              <w:rPr>
                <w:color w:val="000000"/>
              </w:rPr>
            </w:pPr>
            <w:r w:rsidRPr="0011764A">
              <w:rPr>
                <w:color w:val="000000"/>
              </w:rPr>
              <w:t>Beayop: 0.012 kg/AME/day</w:t>
            </w:r>
          </w:p>
          <w:p w14:paraId="72DE9E34" w14:textId="77777777" w:rsidR="00496039" w:rsidRPr="0011764A" w:rsidRDefault="00496039" w:rsidP="00B2630D">
            <w:pPr>
              <w:spacing w:before="240" w:after="0"/>
              <w:rPr>
                <w:color w:val="000000"/>
              </w:rPr>
            </w:pPr>
            <w:r w:rsidRPr="0011764A">
              <w:rPr>
                <w:color w:val="000000"/>
              </w:rPr>
              <w:t>Teguete: 0.025 kg/AME/day</w:t>
            </w:r>
          </w:p>
        </w:tc>
        <w:tc>
          <w:tcPr>
            <w:tcW w:w="3618" w:type="dxa"/>
          </w:tcPr>
          <w:p w14:paraId="616829C0" w14:textId="77777777" w:rsidR="00496039" w:rsidRPr="0011764A" w:rsidRDefault="00496039" w:rsidP="00B2630D">
            <w:pPr>
              <w:spacing w:before="240" w:after="0"/>
              <w:rPr>
                <w:color w:val="000000"/>
              </w:rPr>
            </w:pPr>
            <w:r w:rsidRPr="0011764A">
              <w:rPr>
                <w:color w:val="000000"/>
              </w:rPr>
              <w:t xml:space="preserve">Inconclusive - increased protein consumption by wealthier households is due to higher quantities of meat and fish consumption in general, but that this does not particularly consist of wild meat. </w:t>
            </w:r>
          </w:p>
        </w:tc>
        <w:tc>
          <w:tcPr>
            <w:tcW w:w="2964" w:type="dxa"/>
          </w:tcPr>
          <w:p w14:paraId="74168423" w14:textId="77777777" w:rsidR="00496039" w:rsidRPr="0011764A" w:rsidRDefault="00496039" w:rsidP="00B2630D">
            <w:pPr>
              <w:spacing w:before="240" w:after="0"/>
              <w:rPr>
                <w:color w:val="000000"/>
              </w:rPr>
            </w:pPr>
            <w:r w:rsidRPr="0011764A">
              <w:rPr>
                <w:color w:val="000000"/>
              </w:rPr>
              <w:t>inconclusive</w:t>
            </w:r>
          </w:p>
        </w:tc>
      </w:tr>
      <w:tr w:rsidR="00496039" w:rsidRPr="0011764A" w14:paraId="0FB7EE36" w14:textId="77777777" w:rsidTr="00B2630D">
        <w:trPr>
          <w:trHeight w:val="1025"/>
        </w:trPr>
        <w:tc>
          <w:tcPr>
            <w:tcW w:w="1292" w:type="dxa"/>
          </w:tcPr>
          <w:p w14:paraId="6568A716" w14:textId="77777777" w:rsidR="00496039" w:rsidRPr="0011764A" w:rsidRDefault="00496039" w:rsidP="00B2630D">
            <w:pPr>
              <w:spacing w:before="240" w:after="0"/>
              <w:rPr>
                <w:color w:val="000000"/>
              </w:rPr>
            </w:pPr>
            <w:r w:rsidRPr="005439C4">
              <w:rPr>
                <w:color w:val="000000"/>
              </w:rPr>
              <w:fldChar w:fldCharType="begin" w:fldLock="1"/>
            </w:r>
            <w:r w:rsidRPr="005439C4">
              <w:rPr>
                <w:color w:val="000000"/>
              </w:rPr>
              <w:instrText>ADDIN CSL_CITATION {"citationItems":[{"id":"ITEM-1","itemData":{"DOI":"10.1111/j.1469-1795.2009.00289.x","ISBN":"1367-9430","ISSN":"13679430","abstract":"Abstract Bushmeat consumption is affected by household wealth. However, how household wealth impacts bushmeat eaten in different environmental and social settings (i.e. whether urban, rural, coastal or forest) is poorly understood. In this study, we sampled households in six contrasting localities in Rio Muni, Equatorial Guinea, in coastal (Bata, Cogo), central (Niefang, Evinayong) and eastern parts of the territory (Ebebiyin, Nsork). On average, 32.3 g of bushmeat per adult male equivalent per day were consumed, though this varied widely between sites and most households ate no bushmeat on the survey day. Fish was the most frequently recorded source of protein and in a coastal site, Cogo, significantly more fish was consumed than in the other localities. Overall, average protein consumption was correlated with household wealth, but the strength of this effect varied among sites. At the site where average wealth was highest (Bata, the most urban site), bushmeat was more expensive, and wealthier households ate more of it. Elsewhere bushmeat consumption was not associated with wealth, and the cost of bushmeat was a higher proportion of household wealth. In Bata, wealthier households reported consumption of more than one meat type (most frequently bushmeat and either domestic meat or fish), and diversity of dietary items also increased with wealth. In all sites, wealthier households ate less fish. We demonstrate distinct differences in relationships between urban versus rural areas, and between coastal versus inland sites. We therefore caution that general patterns of wealth–wild meat consumption must be evaluated taking account the circumstances of wild meat consumers.","author":[{"dropping-particle":"","family":"Fa","given":"J. E.","non-dropping-particle":"","parse-names":false,"suffix":""},{"dropping-particle":"","family":"Albrechtsen","given":"L.","non-dropping-particle":"","parse-names":false,"suffix":""},{"dropping-particle":"","family":"Johnson","given":"P. J.","non-dropping-particle":"","parse-names":false,"suffix":""},{"dropping-particle":"","family":"Macdonald","given":"D. W.","non-dropping-particle":"","parse-names":false,"suffix":""}],"container-title":"Animal Conservation","id":"ITEM-1","issue":"6","issued":{"date-parts":[["2009"]]},"page":"599-610","title":"Linkages between household wealth, bushmeat and other animal protein consumption are not invariant: Evidence from Rio Muni, Equatorial Guinea","type":"article-journal","volume":"12"},"uris":["http://www.mendeley.com/documents/?uuid=a45c9a48-02a0-449c-a7ef-a6c36044bfa5"]}],"mendeley":{"formattedCitation":"(Fa et al. 2009)","manualFormatting":"Fa et al. 2009","plainTextFormattedCitation":"(Fa et al. 2009)","previouslyFormattedCitation":"(Fa et al. 2009)"},"properties":{"noteIndex":0},"schema":"https://github.com/citation-style-language/schema/raw/master/csl-citation.json"}</w:instrText>
            </w:r>
            <w:r w:rsidRPr="005439C4">
              <w:rPr>
                <w:color w:val="000000"/>
              </w:rPr>
              <w:fldChar w:fldCharType="separate"/>
            </w:r>
            <w:r w:rsidRPr="005439C4">
              <w:rPr>
                <w:noProof/>
                <w:color w:val="000000"/>
              </w:rPr>
              <w:t>Fa et al. 2009</w:t>
            </w:r>
            <w:r w:rsidRPr="005439C4">
              <w:rPr>
                <w:color w:val="000000"/>
              </w:rPr>
              <w:fldChar w:fldCharType="end"/>
            </w:r>
          </w:p>
        </w:tc>
        <w:tc>
          <w:tcPr>
            <w:tcW w:w="1188" w:type="dxa"/>
          </w:tcPr>
          <w:p w14:paraId="7ADEE954" w14:textId="77777777" w:rsidR="00496039" w:rsidRPr="0011764A" w:rsidRDefault="00496039" w:rsidP="00B2630D">
            <w:pPr>
              <w:spacing w:before="240" w:after="0"/>
              <w:rPr>
                <w:color w:val="000000"/>
              </w:rPr>
            </w:pPr>
            <w:r w:rsidRPr="0011764A">
              <w:rPr>
                <w:color w:val="000000"/>
              </w:rPr>
              <w:t>Equatorial Guinea</w:t>
            </w:r>
          </w:p>
        </w:tc>
        <w:tc>
          <w:tcPr>
            <w:tcW w:w="2294" w:type="dxa"/>
          </w:tcPr>
          <w:p w14:paraId="54AA42C3" w14:textId="77777777" w:rsidR="00496039" w:rsidRPr="0011764A" w:rsidRDefault="00496039" w:rsidP="00B2630D">
            <w:pPr>
              <w:spacing w:before="100" w:beforeAutospacing="1" w:after="100" w:afterAutospacing="1"/>
              <w:rPr>
                <w:color w:val="000000"/>
              </w:rPr>
            </w:pPr>
            <w:r w:rsidRPr="0011764A">
              <w:rPr>
                <w:color w:val="000000"/>
              </w:rPr>
              <w:t>Household consumption for 569 households in six localities across the country</w:t>
            </w:r>
          </w:p>
        </w:tc>
        <w:tc>
          <w:tcPr>
            <w:tcW w:w="2769" w:type="dxa"/>
          </w:tcPr>
          <w:p w14:paraId="22D00770" w14:textId="77777777" w:rsidR="00496039" w:rsidRPr="0011764A" w:rsidRDefault="00496039" w:rsidP="00B2630D">
            <w:pPr>
              <w:spacing w:before="240" w:after="0"/>
              <w:rPr>
                <w:color w:val="000000"/>
              </w:rPr>
            </w:pPr>
            <w:r w:rsidRPr="0011764A">
              <w:rPr>
                <w:color w:val="000000"/>
              </w:rPr>
              <w:t>Overall: 0.032kg/AME/day</w:t>
            </w:r>
          </w:p>
          <w:p w14:paraId="21BA09F0" w14:textId="77777777" w:rsidR="00496039" w:rsidRPr="0011764A" w:rsidRDefault="00496039" w:rsidP="00B2630D">
            <w:pPr>
              <w:spacing w:before="240" w:after="0"/>
              <w:rPr>
                <w:color w:val="000000"/>
              </w:rPr>
            </w:pPr>
            <w:r w:rsidRPr="0011764A">
              <w:rPr>
                <w:color w:val="000000"/>
              </w:rPr>
              <w:t xml:space="preserve"> </w:t>
            </w:r>
          </w:p>
        </w:tc>
        <w:tc>
          <w:tcPr>
            <w:tcW w:w="3618" w:type="dxa"/>
          </w:tcPr>
          <w:p w14:paraId="791C0324" w14:textId="77777777" w:rsidR="00496039" w:rsidRPr="0011764A" w:rsidRDefault="00496039" w:rsidP="00B2630D">
            <w:pPr>
              <w:spacing w:before="240" w:after="0"/>
              <w:rPr>
                <w:color w:val="000000"/>
              </w:rPr>
            </w:pPr>
            <w:r w:rsidRPr="0011764A">
              <w:rPr>
                <w:color w:val="000000"/>
              </w:rPr>
              <w:t>Consumption of wild meat increase with wealth in the City (Bata) but not in any other settlement</w:t>
            </w:r>
          </w:p>
        </w:tc>
        <w:tc>
          <w:tcPr>
            <w:tcW w:w="2964" w:type="dxa"/>
          </w:tcPr>
          <w:p w14:paraId="42B17CCE"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Bata: </w:t>
            </w:r>
          </w:p>
          <w:p w14:paraId="2E0DC713"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The likelihood of recording wild meat consumption increased by 8.4% for each extra USD of wealth </w:t>
            </w:r>
          </w:p>
          <w:p w14:paraId="619AEE61" w14:textId="77777777" w:rsidR="00496039" w:rsidRPr="0011764A" w:rsidRDefault="00496039" w:rsidP="00B2630D">
            <w:pPr>
              <w:spacing w:before="240" w:after="0"/>
              <w:rPr>
                <w:color w:val="000000"/>
              </w:rPr>
            </w:pPr>
          </w:p>
        </w:tc>
      </w:tr>
      <w:tr w:rsidR="00496039" w:rsidRPr="0011764A" w14:paraId="209282B7" w14:textId="77777777" w:rsidTr="00B2630D">
        <w:trPr>
          <w:trHeight w:val="2528"/>
        </w:trPr>
        <w:tc>
          <w:tcPr>
            <w:tcW w:w="1292" w:type="dxa"/>
          </w:tcPr>
          <w:p w14:paraId="1E3A4178" w14:textId="77777777" w:rsidR="00496039" w:rsidRPr="0011764A" w:rsidRDefault="00496039" w:rsidP="00B2630D">
            <w:pPr>
              <w:spacing w:before="240" w:after="0"/>
              <w:rPr>
                <w:color w:val="000000"/>
              </w:rPr>
            </w:pPr>
            <w:r w:rsidRPr="005439C4">
              <w:rPr>
                <w:color w:val="000000"/>
              </w:rPr>
              <w:fldChar w:fldCharType="begin" w:fldLock="1"/>
            </w:r>
            <w:r w:rsidRPr="005439C4">
              <w:rPr>
                <w:color w:val="000000"/>
              </w:rPr>
              <w:instrText xml:space="preserve">ADDIN CSL_CITATION {"citationItems":[{"id":"ITEM-1","itemData":{"DOI":"10.1046/j.1523-1739.2001.015003761.x","ISBN":"1523-1739","ISSN":"08888892","abstract":"Consumption of bushmeat is an important component of household economies in most tropical forested regions of the world and is resulting in unsustainable levels of hunting, even in relatively isolated regions. We conducted standardized surveys of household consumption, income, wealth, and education level among Amerindian societies in Central and South America. Results suggest 1) demand for bushmeat may follow an inverted </w:instrText>
            </w:r>
            <w:r w:rsidRPr="005439C4">
              <w:rPr>
                <w:rFonts w:ascii="Cambria Math" w:hAnsi="Cambria Math" w:cs="Cambria Math"/>
                <w:color w:val="000000"/>
              </w:rPr>
              <w:instrText>∪</w:instrText>
            </w:r>
            <w:r w:rsidRPr="005439C4">
              <w:rPr>
                <w:color w:val="000000"/>
              </w:rPr>
              <w:instrText xml:space="preserve"> pattern with income, 2) consumers, particularly the most well-off, reduce their consumption of bushmeat as the price increases; and 3) a small decrease in the price of meat from domesticated animals is likely to lead to a large decrease in the consumption of fish but not of bushmeat. Policy makers may be able to reduce demand for bushmeat by raising the price of bushmeat, by increasing the direct and opportunity costs of hunting, and by raising household income. El consumo de carne silvestre es un componente importante de las economías caseras en la mayoría de las regiones tropicales boscosas del mundo y está resultando en niveles insostenibles de caza, aún en regiones relativamente aisladas. Llevamos a cabo prospecciones estandarizadas de consumo familiar, riqueza y niveles de educación entre sociedades Amerindias en América del Sur y Central. Los resultados sugieren que 1) la demanda de carne silvestre podría seguir un patrón de </w:instrText>
            </w:r>
            <w:r w:rsidRPr="005439C4">
              <w:rPr>
                <w:rFonts w:ascii="Cambria Math" w:hAnsi="Cambria Math" w:cs="Cambria Math"/>
                <w:color w:val="000000"/>
              </w:rPr>
              <w:instrText>∪</w:instrText>
            </w:r>
            <w:r w:rsidRPr="005439C4">
              <w:rPr>
                <w:color w:val="000000"/>
              </w:rPr>
              <w:instrText xml:space="preserve"> invertido con los ingresos; 2) los consumidores, particularmente la mayoría de los persistentes, reducen el consumo de carne silvestre en tanto que el precio aumenta; y 3) una disminución pequeña en el precio de carne de animales domesticados es posible que conduzca a una disminución grande en el consumo de peces, pero no de carne de animales silvestres. Los políticos deberían de reducir la demanda de carne silvestre incrementando su precio, incrementando los costos directos y de oportunidad de la caza e incrementando los ingresos familiares.","author":[{"dropping-particle":"","family":"Wilkie","given":"David S","non-dropping-particle":"","parse-names":false,"suffix":""},{"dropping-particle":"","family":"Godoy","given":"Ricardo A","non-dropping-particle":"","parse-names":false,"suffix":""}],"container-title":"Conservation Biology","id":"ITEM-1","issue":"3","issued":{"date-parts":[["2001"]]},"page":"761-769","title":"Income and price elasticities of bushmeat demand in lowland Amerindian societies","type":"article-journal","volume":"15"},"uris":["http://www.mendeley.com/documents/?uuid=fa5ce2ce-a933-4960-8192-f981bc4505c4"]}],"mendeley":{"formattedCitation":"(Wilkie &amp; Godoy 2001)","manualFormatting":"Wilkie &amp; Godoy 2001","plainTextFormattedCitation":"(Wilkie &amp; Godoy 2001)","previouslyFormattedCitation":"(Wilkie &amp; Godoy 2001)"},"properties":{"noteIndex":0},"schema":"https://github.com/citation-style-language/schema/raw/master/csl-citation.json"}</w:instrText>
            </w:r>
            <w:r w:rsidRPr="005439C4">
              <w:rPr>
                <w:color w:val="000000"/>
              </w:rPr>
              <w:fldChar w:fldCharType="separate"/>
            </w:r>
            <w:r w:rsidRPr="005439C4">
              <w:rPr>
                <w:noProof/>
                <w:color w:val="000000"/>
              </w:rPr>
              <w:t>Wilkie &amp; Godoy 2001</w:t>
            </w:r>
            <w:r w:rsidRPr="005439C4">
              <w:rPr>
                <w:color w:val="000000"/>
              </w:rPr>
              <w:fldChar w:fldCharType="end"/>
            </w:r>
          </w:p>
        </w:tc>
        <w:tc>
          <w:tcPr>
            <w:tcW w:w="1188" w:type="dxa"/>
          </w:tcPr>
          <w:p w14:paraId="3BEE66BF" w14:textId="77777777" w:rsidR="00496039" w:rsidRPr="0011764A" w:rsidRDefault="00496039" w:rsidP="00B2630D">
            <w:pPr>
              <w:spacing w:before="240" w:after="0"/>
              <w:rPr>
                <w:color w:val="000000"/>
              </w:rPr>
            </w:pPr>
            <w:r w:rsidRPr="0011764A">
              <w:rPr>
                <w:color w:val="000000"/>
              </w:rPr>
              <w:t>Bolivia and Honduras</w:t>
            </w:r>
          </w:p>
        </w:tc>
        <w:tc>
          <w:tcPr>
            <w:tcW w:w="2294" w:type="dxa"/>
          </w:tcPr>
          <w:p w14:paraId="43E8722C" w14:textId="77777777" w:rsidR="00496039" w:rsidRPr="0011764A" w:rsidRDefault="00496039" w:rsidP="00B2630D">
            <w:pPr>
              <w:spacing w:before="240" w:after="0"/>
              <w:rPr>
                <w:color w:val="000000"/>
              </w:rPr>
            </w:pPr>
            <w:r w:rsidRPr="0011764A">
              <w:rPr>
                <w:color w:val="000000"/>
              </w:rPr>
              <w:t xml:space="preserve">Household consumption for 443 rural households in Bolivia, and 32 rural households in Honduras. </w:t>
            </w:r>
          </w:p>
        </w:tc>
        <w:tc>
          <w:tcPr>
            <w:tcW w:w="2769" w:type="dxa"/>
          </w:tcPr>
          <w:p w14:paraId="4770D215"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Weekly consumption per person of wild meat and fish from the sample averaged 1.52 kg of wild meat (0.217kg/person/day)</w:t>
            </w:r>
          </w:p>
          <w:p w14:paraId="4E385023" w14:textId="77777777" w:rsidR="00496039" w:rsidRPr="0011764A" w:rsidRDefault="00496039" w:rsidP="00B2630D">
            <w:pPr>
              <w:spacing w:before="240" w:after="0"/>
              <w:rPr>
                <w:color w:val="000000"/>
              </w:rPr>
            </w:pPr>
          </w:p>
        </w:tc>
        <w:tc>
          <w:tcPr>
            <w:tcW w:w="3618" w:type="dxa"/>
          </w:tcPr>
          <w:p w14:paraId="616726C1" w14:textId="77777777" w:rsidR="00496039" w:rsidRPr="0011764A" w:rsidRDefault="00496039" w:rsidP="00B2630D">
            <w:pPr>
              <w:widowControl w:val="0"/>
              <w:autoSpaceDE w:val="0"/>
              <w:autoSpaceDN w:val="0"/>
              <w:adjustRightInd w:val="0"/>
              <w:spacing w:before="240"/>
              <w:rPr>
                <w:color w:val="000000"/>
              </w:rPr>
            </w:pPr>
            <w:r w:rsidRPr="0011764A">
              <w:rPr>
                <w:color w:val="000000"/>
              </w:rPr>
              <w:t>Wild meat was a necessity (consumption increasing with income) in the pooled sample and in the bottom half of the income distribution, but it was an inferior good (consumption decreasing with income) in the top half of the income distribution for both Bolivia and Honduras respectively.</w:t>
            </w:r>
          </w:p>
        </w:tc>
        <w:tc>
          <w:tcPr>
            <w:tcW w:w="2964" w:type="dxa"/>
          </w:tcPr>
          <w:p w14:paraId="4D46A45C" w14:textId="77777777" w:rsidR="00496039" w:rsidRPr="0011764A" w:rsidRDefault="00496039" w:rsidP="00B2630D">
            <w:pPr>
              <w:widowControl w:val="0"/>
              <w:autoSpaceDE w:val="0"/>
              <w:autoSpaceDN w:val="0"/>
              <w:adjustRightInd w:val="0"/>
              <w:spacing w:before="240"/>
              <w:rPr>
                <w:color w:val="000000"/>
              </w:rPr>
            </w:pPr>
            <w:r w:rsidRPr="0011764A">
              <w:rPr>
                <w:color w:val="000000"/>
              </w:rPr>
              <w:t>Income elasticities for Bolivia and Honduras respectively:</w:t>
            </w:r>
          </w:p>
          <w:p w14:paraId="2A1C4CFE" w14:textId="77777777" w:rsidR="00496039" w:rsidRPr="0011764A" w:rsidRDefault="00496039" w:rsidP="00B2630D">
            <w:pPr>
              <w:widowControl w:val="0"/>
              <w:autoSpaceDE w:val="0"/>
              <w:autoSpaceDN w:val="0"/>
              <w:adjustRightInd w:val="0"/>
              <w:spacing w:before="240"/>
              <w:rPr>
                <w:color w:val="000000"/>
              </w:rPr>
            </w:pPr>
            <w:r w:rsidRPr="0011764A">
              <w:rPr>
                <w:color w:val="000000"/>
              </w:rPr>
              <w:t>Pooled sample: +0.19 and +0.56</w:t>
            </w:r>
          </w:p>
          <w:p w14:paraId="1AC27183" w14:textId="77777777" w:rsidR="00496039" w:rsidRPr="0011764A" w:rsidRDefault="00496039" w:rsidP="00B2630D">
            <w:pPr>
              <w:widowControl w:val="0"/>
              <w:autoSpaceDE w:val="0"/>
              <w:autoSpaceDN w:val="0"/>
              <w:adjustRightInd w:val="0"/>
              <w:spacing w:before="240"/>
              <w:rPr>
                <w:color w:val="000000"/>
              </w:rPr>
            </w:pPr>
            <w:r w:rsidRPr="0011764A">
              <w:rPr>
                <w:color w:val="000000"/>
              </w:rPr>
              <w:t>Bottom half of the income distribution: +0.50 and +0.04</w:t>
            </w:r>
          </w:p>
          <w:p w14:paraId="30895BC6" w14:textId="77777777" w:rsidR="00496039" w:rsidRPr="0011764A" w:rsidRDefault="00496039" w:rsidP="00B2630D">
            <w:pPr>
              <w:widowControl w:val="0"/>
              <w:autoSpaceDE w:val="0"/>
              <w:autoSpaceDN w:val="0"/>
              <w:adjustRightInd w:val="0"/>
              <w:spacing w:before="240"/>
              <w:rPr>
                <w:color w:val="000000"/>
              </w:rPr>
            </w:pPr>
            <w:r w:rsidRPr="0011764A">
              <w:rPr>
                <w:color w:val="000000"/>
              </w:rPr>
              <w:t>Top half of the income distribution:  -0.6 and -0.14</w:t>
            </w:r>
          </w:p>
        </w:tc>
      </w:tr>
      <w:tr w:rsidR="00496039" w:rsidRPr="0011764A" w14:paraId="3BC9370B" w14:textId="77777777" w:rsidTr="00B2630D">
        <w:trPr>
          <w:trHeight w:val="908"/>
        </w:trPr>
        <w:tc>
          <w:tcPr>
            <w:tcW w:w="1292" w:type="dxa"/>
          </w:tcPr>
          <w:p w14:paraId="2FAD5A68" w14:textId="77777777" w:rsidR="00496039" w:rsidRPr="0011764A" w:rsidRDefault="00496039" w:rsidP="00B2630D">
            <w:pPr>
              <w:widowControl w:val="0"/>
              <w:autoSpaceDE w:val="0"/>
              <w:autoSpaceDN w:val="0"/>
              <w:adjustRightInd w:val="0"/>
              <w:spacing w:after="0"/>
              <w:contextualSpacing/>
              <w:rPr>
                <w:rFonts w:cs="Garamond"/>
                <w:color w:val="000000"/>
              </w:rPr>
            </w:pPr>
            <w:r w:rsidRPr="005439C4">
              <w:rPr>
                <w:rFonts w:cs="Garamond"/>
                <w:color w:val="000000"/>
              </w:rPr>
              <w:fldChar w:fldCharType="begin" w:fldLock="1"/>
            </w:r>
            <w:r w:rsidRPr="005439C4">
              <w:rPr>
                <w:rFonts w:cs="Garamond"/>
                <w:color w:val="000000"/>
              </w:rPr>
              <w:instrText>ADDIN CSL_CITATION {"citationItems":[{"id":"ITEM-1","itemData":{"DOI":"10.1017/S003060530200073X","ISBN":"0030-6053","ISSN":"0030-6053","PMID":"1117","abstract":"Wildlife (bushmeat or game) is the primary source of protein for most poor households in tropical forests, and its consumption is resulting in unsustainable hunting of large animals, even in isolated regions. As a result, loss of fauna is often a more immediate and significant threat to the conservation of biological diversity in tropical forests than is deforestation. Although the potential effects of the extirpation from tropical forests of large, seed predating and seed dispersing wild animals is poorly understood, it is likely that there will be irrevocable changes in the structure and function of these ecosystems. We carried out a survey of 510 households of Tsimane' Amerindians in the rainforest of Bolivia to investigate how the prices of game and meat from domesticated animals affect the consumption of game. The results indicated that the price of fish and meat from livestock is positively correlated with consumption of wildlife, suggesting that policy makers may be able to reduce the unsustainable hunting of wildlife for food by reducing the price of fish and the price of meat from domesticated animals relative to that of wildlife. Increasing the production of livestock without causing environmental degradation will require long-term public investment in agricultural research and extension, and substitution of fish for game meat in the absence of sustainable management regimes will result in over-exploitation of riverine and lacustrine fish stocks.","author":[{"dropping-particle":"","family":"Apaza","given":"Lilian","non-dropping-particle":"","parse-names":false,"suffix":""},{"dropping-particle":"","family":"Wilkie","given":"David","non-dropping-particle":"","parse-names":false,"suffix":""},{"dropping-particle":"","family":"Byron","given":"Elizabeth","non-dropping-particle":"","parse-names":false,"suffix":""},{"dropping-particle":"","family":"Huanca","given":"Tomás","non-dropping-particle":"","parse-names":false,"suffix":""},{"dropping-particle":"","family":"Leonard","given":"William","non-dropping-particle":"","parse-names":false,"suffix":""},{"dropping-particle":"","family":"Pérez","given":"Eddy","non-dropping-particle":"","parse-names":false,"suffix":""},{"dropping-particle":"","family":"Reyes-García","given":"Victoria","non-dropping-particle":"","parse-names":false,"suffix":""},{"dropping-particle":"","family":"Vadez","given":"Vincent","non-dropping-particle":"","parse-names":false,"suffix":""},{"dropping-particle":"","family":"Godoy","given":"Ricardo","non-dropping-particle":"","parse-names":false,"suffix":""}],"container-title":"Oryx","id":"ITEM-1","issue":"04","issued":{"date-parts":[["2002"]]},"page":"382-388","title":"Meat prices influence the consumption of wildlife by the Tsimane' Amerindians of Bolivia","type":"article-journal","volume":"36"},"uris":["http://www.mendeley.com/documents/?uuid=0a3e3ee3-4379-40d2-af6b-e922f78bcfe2"]}],"mendeley":{"formattedCitation":"(Apaza et al. 2002)","manualFormatting":"Apaza et al. 2002","plainTextFormattedCitation":"(Apaza et al. 2002)","previouslyFormattedCitation":"(Apaza et al. 2002)"},"properties":{"noteIndex":0},"schema":"https://github.com/citation-style-language/schema/raw/master/csl-citation.json"}</w:instrText>
            </w:r>
            <w:r w:rsidRPr="005439C4">
              <w:rPr>
                <w:rFonts w:cs="Garamond"/>
                <w:color w:val="000000"/>
              </w:rPr>
              <w:fldChar w:fldCharType="separate"/>
            </w:r>
            <w:r w:rsidRPr="005439C4">
              <w:rPr>
                <w:rFonts w:cs="Garamond"/>
                <w:noProof/>
                <w:color w:val="000000"/>
              </w:rPr>
              <w:t>Apaza et al. 2002</w:t>
            </w:r>
            <w:r w:rsidRPr="005439C4">
              <w:rPr>
                <w:rFonts w:cs="Garamond"/>
                <w:color w:val="000000"/>
              </w:rPr>
              <w:fldChar w:fldCharType="end"/>
            </w:r>
          </w:p>
        </w:tc>
        <w:tc>
          <w:tcPr>
            <w:tcW w:w="1188" w:type="dxa"/>
          </w:tcPr>
          <w:p w14:paraId="28721CE7"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Bolivia</w:t>
            </w:r>
          </w:p>
        </w:tc>
        <w:tc>
          <w:tcPr>
            <w:tcW w:w="2294" w:type="dxa"/>
          </w:tcPr>
          <w:p w14:paraId="3CCB8A95"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Household consumption for 510 households in 59 </w:t>
            </w:r>
            <w:r w:rsidRPr="0011764A">
              <w:rPr>
                <w:rFonts w:cs="Garamond"/>
                <w:color w:val="000000"/>
              </w:rPr>
              <w:lastRenderedPageBreak/>
              <w:t xml:space="preserve">rural Tsimane’ villages </w:t>
            </w:r>
          </w:p>
          <w:p w14:paraId="6790469A" w14:textId="77777777" w:rsidR="00496039" w:rsidRPr="0011764A" w:rsidRDefault="00496039" w:rsidP="00B2630D">
            <w:pPr>
              <w:widowControl w:val="0"/>
              <w:autoSpaceDE w:val="0"/>
              <w:autoSpaceDN w:val="0"/>
              <w:adjustRightInd w:val="0"/>
              <w:spacing w:after="0"/>
              <w:contextualSpacing/>
              <w:rPr>
                <w:rFonts w:cs="Garamond"/>
                <w:color w:val="000000"/>
              </w:rPr>
            </w:pPr>
          </w:p>
        </w:tc>
        <w:tc>
          <w:tcPr>
            <w:tcW w:w="2769" w:type="dxa"/>
          </w:tcPr>
          <w:p w14:paraId="24F15EEF"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lastRenderedPageBreak/>
              <w:t>0.475kg/AME/day</w:t>
            </w:r>
          </w:p>
        </w:tc>
        <w:tc>
          <w:tcPr>
            <w:tcW w:w="3618" w:type="dxa"/>
          </w:tcPr>
          <w:p w14:paraId="5AD3BA42"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Neither household income nor wealth was correlated with wild meat consumption. Household </w:t>
            </w:r>
            <w:r w:rsidRPr="0011764A">
              <w:rPr>
                <w:rFonts w:cs="Garamond"/>
                <w:color w:val="000000"/>
              </w:rPr>
              <w:lastRenderedPageBreak/>
              <w:t>income was positively correlated with livestock meat consumption</w:t>
            </w:r>
          </w:p>
        </w:tc>
        <w:tc>
          <w:tcPr>
            <w:tcW w:w="2964" w:type="dxa"/>
          </w:tcPr>
          <w:p w14:paraId="079D621A"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lastRenderedPageBreak/>
              <w:t xml:space="preserve">No correlation of wild meat consumption with household wealth or </w:t>
            </w:r>
            <w:r w:rsidRPr="0011764A">
              <w:rPr>
                <w:rFonts w:cs="Garamond"/>
                <w:color w:val="000000"/>
              </w:rPr>
              <w:lastRenderedPageBreak/>
              <w:t>income</w:t>
            </w:r>
          </w:p>
        </w:tc>
      </w:tr>
      <w:tr w:rsidR="00496039" w:rsidRPr="0011764A" w14:paraId="0439CEAC" w14:textId="77777777" w:rsidTr="00B2630D">
        <w:tc>
          <w:tcPr>
            <w:tcW w:w="1292" w:type="dxa"/>
          </w:tcPr>
          <w:p w14:paraId="3151724B" w14:textId="77777777" w:rsidR="00496039" w:rsidRPr="0011764A" w:rsidRDefault="00496039" w:rsidP="00B2630D">
            <w:pPr>
              <w:widowControl w:val="0"/>
              <w:autoSpaceDE w:val="0"/>
              <w:autoSpaceDN w:val="0"/>
              <w:adjustRightInd w:val="0"/>
              <w:spacing w:after="0"/>
              <w:contextualSpacing/>
              <w:rPr>
                <w:rFonts w:cs="Garamond"/>
                <w:color w:val="000000"/>
              </w:rPr>
            </w:pPr>
            <w:r w:rsidRPr="005439C4">
              <w:rPr>
                <w:rFonts w:cs="Garamond"/>
                <w:color w:val="000000"/>
              </w:rPr>
              <w:lastRenderedPageBreak/>
              <w:fldChar w:fldCharType="begin" w:fldLock="1"/>
            </w:r>
            <w:r>
              <w:rPr>
                <w:rFonts w:cs="Garamond"/>
                <w:color w:val="000000"/>
              </w:rPr>
              <w:instrText>ADDIN CSL_CITATION {"citationItems":[{"id":"ITEM-1","itemData":{"DOI":"10.1111/j.1469-1795.2009.00330.x","ISBN":"1367-9430","ISSN":"13679430","abstract":"Over the last decades, native Amazonians have put increasing pressure on animal wildlife owing to growth in demand. Across societies, household monetary income and wealth shape food consumption; hence, so it is natural to ask what effect might these variables have on the demand for wildlife consumption among native Amazonians, particularly as they gain a stronger foothold in the market economy and increasing de jure stewardship over their territories. Prior estimates of the effects of household monetary income and household wealth on wildlife consumption among native Amazonians have relied on cross-sectional data and produced unclear results. The goal of this research was to improve the precision of previous estimates by drawing on a larger sample and on longitudinal data. The analysis draws on a dataset composed of five consecutive annual surveys (2002–2006, inclusive) from 324 households in a native Amazonian society of foragers and farmers in Bolivia (Tsimane'). Multiple regression analysis is used to estimate the association between wildlife consumption and monetary income and wealth. Wildlife consumption bore a positive association with the level of household wealth and no significant association with household monetary income. Among Tsimane', the main internal threat to wildlife conservation in the short run will likely arise from increases in wealth, probably from the enhanced capacity that selected physical assets (e.g. guns) have in the capture of animal wildlife.","author":[{"dropping-particle":"","family":"Godoy","given":"R.","non-dropping-particle":"","parse-names":false,"suffix":""},{"dropping-particle":"","family":"Undurraga","given":"E. A.","non-dropping-particle":"","parse-names":false,"suffix":""},{"dropping-particle":"","family":"Wilkie","given":"D.","non-dropping-particle":"","parse-names":false,"suffix":""},{"dropping-particle":"","family":"Reyes-Garc??a","given":"V.","non-dropping-particle":"","parse-names":false,"suffix":""},{"dropping-particle":"","family":"Huanca","given":"T.","non-dropping-particle":"","parse-names":false,"suffix":""},{"dropping-particle":"","family":"Leonard","given":"W. R.","non-dropping-particle":"","parse-names":false,"suffix":""},{"dropping-particle":"","family":"McDade","given":"T.","non-dropping-particle":"","parse-names":false,"suffix":""},{"dropping-particle":"","family":"Tanner","given":"S.","non-dropping-particle":"","parse-names":false,"suffix":""},{"dropping-particle":"","family":"Vadez","given":"V.","non-dropping-particle":"","parse-names":false,"suffix":""}],"container-title":"Animal Conservation","id":"ITEM-1","issue":"3","issued":{"date-parts":[["2010"]]},"page":"265-274","title":"The effect of wealth and real income on wildlife consumption among native Amazonians in Bolivia: estimates of annual trends with longitudinal household data (2002-2006)","type":"article-journal","volume":"13"},"uris":["http://www.mendeley.com/documents/?uuid=3c399487-e5c0-4e2a-ba53-0886526b4469"]}],"mendeley":{"formattedCitation":"(Godoy et al. 2010)","manualFormatting":"Godoy et al. 2010","plainTextFormattedCitation":"(Godoy et al. 2010)","previouslyFormattedCitation":"(Godoy et al. 2010)"},"properties":{"noteIndex":0},"schema":"https://github.com/citation-style-language/schema/raw/master/csl-citation.json"}</w:instrText>
            </w:r>
            <w:r w:rsidRPr="005439C4">
              <w:rPr>
                <w:rFonts w:cs="Garamond"/>
                <w:color w:val="000000"/>
              </w:rPr>
              <w:fldChar w:fldCharType="separate"/>
            </w:r>
            <w:r w:rsidRPr="005439C4">
              <w:rPr>
                <w:rFonts w:cs="Garamond"/>
                <w:noProof/>
                <w:color w:val="000000"/>
              </w:rPr>
              <w:t>Godoy et al. 2010</w:t>
            </w:r>
            <w:r w:rsidRPr="005439C4">
              <w:rPr>
                <w:rFonts w:cs="Garamond"/>
                <w:color w:val="000000"/>
              </w:rPr>
              <w:fldChar w:fldCharType="end"/>
            </w:r>
          </w:p>
        </w:tc>
        <w:tc>
          <w:tcPr>
            <w:tcW w:w="1188" w:type="dxa"/>
          </w:tcPr>
          <w:p w14:paraId="1C9A8429"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Bolivia</w:t>
            </w:r>
          </w:p>
          <w:p w14:paraId="6ECCD55C" w14:textId="77777777" w:rsidR="00496039" w:rsidRPr="0011764A" w:rsidRDefault="00496039" w:rsidP="00B2630D">
            <w:pPr>
              <w:widowControl w:val="0"/>
              <w:autoSpaceDE w:val="0"/>
              <w:autoSpaceDN w:val="0"/>
              <w:adjustRightInd w:val="0"/>
              <w:spacing w:after="0"/>
              <w:contextualSpacing/>
              <w:rPr>
                <w:rFonts w:cs="Garamond"/>
                <w:color w:val="000000"/>
              </w:rPr>
            </w:pPr>
          </w:p>
        </w:tc>
        <w:tc>
          <w:tcPr>
            <w:tcW w:w="2294" w:type="dxa"/>
          </w:tcPr>
          <w:p w14:paraId="43221AAA"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Five consecutive annual surveys (2002–2006, inclusive) from 324 households in 13 rural villages</w:t>
            </w:r>
          </w:p>
        </w:tc>
        <w:tc>
          <w:tcPr>
            <w:tcW w:w="2769" w:type="dxa"/>
          </w:tcPr>
          <w:p w14:paraId="0E65C97F"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Not given</w:t>
            </w:r>
          </w:p>
        </w:tc>
        <w:tc>
          <w:tcPr>
            <w:tcW w:w="3618" w:type="dxa"/>
          </w:tcPr>
          <w:p w14:paraId="71EFC987"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Household wealth was strongly correlated with wild meat consumption, but household income was not. Authors suggest that their measure of wealth includes rifles, guns, canoes and fishing nets, and thus higher levels of wealth might imply improved access to foraging technologies </w:t>
            </w:r>
          </w:p>
          <w:p w14:paraId="17132952" w14:textId="77777777" w:rsidR="00496039" w:rsidRPr="0011764A" w:rsidRDefault="00496039" w:rsidP="00B2630D">
            <w:pPr>
              <w:widowControl w:val="0"/>
              <w:autoSpaceDE w:val="0"/>
              <w:autoSpaceDN w:val="0"/>
              <w:adjustRightInd w:val="0"/>
              <w:spacing w:after="0"/>
              <w:contextualSpacing/>
              <w:rPr>
                <w:rFonts w:cs="Garamond"/>
                <w:color w:val="000000"/>
              </w:rPr>
            </w:pPr>
          </w:p>
        </w:tc>
        <w:tc>
          <w:tcPr>
            <w:tcW w:w="2964" w:type="dxa"/>
          </w:tcPr>
          <w:p w14:paraId="5524EA35"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+0.527</w:t>
            </w:r>
          </w:p>
        </w:tc>
      </w:tr>
    </w:tbl>
    <w:p w14:paraId="38BA40AD" w14:textId="77777777" w:rsidR="00496039" w:rsidRDefault="00496039" w:rsidP="00496039">
      <w:pPr>
        <w:spacing w:before="240"/>
        <w:rPr>
          <w:b/>
          <w:color w:val="000000"/>
        </w:rPr>
      </w:pPr>
      <w:r w:rsidRPr="0011764A">
        <w:rPr>
          <w:b/>
          <w:color w:val="000000"/>
        </w:rPr>
        <w:t>*Generally what was measured was the R</w:t>
      </w:r>
      <w:r w:rsidRPr="0011764A">
        <w:rPr>
          <w:b/>
          <w:color w:val="000000"/>
          <w:vertAlign w:val="superscript"/>
        </w:rPr>
        <w:t>2</w:t>
      </w:r>
      <w:r w:rsidRPr="0011764A">
        <w:rPr>
          <w:b/>
          <w:color w:val="000000"/>
        </w:rPr>
        <w:t xml:space="preserve"> of the linear correlation between wild meat consumption and income.</w:t>
      </w:r>
    </w:p>
    <w:p w14:paraId="5C4FFC6C" w14:textId="77777777" w:rsidR="00496039" w:rsidRPr="0011764A" w:rsidRDefault="00496039" w:rsidP="00496039">
      <w:pPr>
        <w:spacing w:before="240"/>
        <w:rPr>
          <w:b/>
          <w:color w:val="000000"/>
        </w:rPr>
      </w:pPr>
    </w:p>
    <w:p w14:paraId="03939155" w14:textId="77777777" w:rsidR="00496039" w:rsidRPr="0011764A" w:rsidRDefault="00496039" w:rsidP="00496039">
      <w:pPr>
        <w:spacing w:before="240"/>
        <w:rPr>
          <w:color w:val="000000"/>
        </w:rPr>
      </w:pPr>
      <w:r w:rsidRPr="0011764A">
        <w:rPr>
          <w:color w:val="000000"/>
        </w:rPr>
        <w:t xml:space="preserve">Table S2:  Evidence for own-price and cross-price elasticity of wild meat consumption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1447"/>
        <w:gridCol w:w="2516"/>
        <w:gridCol w:w="2383"/>
        <w:gridCol w:w="4241"/>
        <w:gridCol w:w="1865"/>
      </w:tblGrid>
      <w:tr w:rsidR="00496039" w:rsidRPr="0011764A" w14:paraId="1B7C7ED0" w14:textId="77777777" w:rsidTr="00B2630D">
        <w:trPr>
          <w:trHeight w:val="584"/>
        </w:trPr>
        <w:tc>
          <w:tcPr>
            <w:tcW w:w="1499" w:type="dxa"/>
            <w:shd w:val="clear" w:color="auto" w:fill="BFBFBF"/>
          </w:tcPr>
          <w:p w14:paraId="4F3B120A" w14:textId="77777777" w:rsidR="00496039" w:rsidRPr="0011764A" w:rsidRDefault="00496039" w:rsidP="00B2630D">
            <w:pPr>
              <w:widowControl w:val="0"/>
              <w:autoSpaceDE w:val="0"/>
              <w:autoSpaceDN w:val="0"/>
              <w:adjustRightInd w:val="0"/>
              <w:spacing w:after="0"/>
              <w:contextualSpacing/>
              <w:rPr>
                <w:rFonts w:cs="Garamond"/>
                <w:b/>
                <w:color w:val="000000"/>
              </w:rPr>
            </w:pPr>
            <w:r w:rsidRPr="0011764A">
              <w:rPr>
                <w:rFonts w:cs="Garamond"/>
                <w:b/>
                <w:color w:val="000000"/>
              </w:rPr>
              <w:t>Publication</w:t>
            </w:r>
          </w:p>
        </w:tc>
        <w:tc>
          <w:tcPr>
            <w:tcW w:w="1450" w:type="dxa"/>
            <w:shd w:val="clear" w:color="auto" w:fill="BFBFBF"/>
          </w:tcPr>
          <w:p w14:paraId="282FF143" w14:textId="77777777" w:rsidR="00496039" w:rsidRPr="0011764A" w:rsidRDefault="00496039" w:rsidP="00B2630D">
            <w:pPr>
              <w:widowControl w:val="0"/>
              <w:autoSpaceDE w:val="0"/>
              <w:autoSpaceDN w:val="0"/>
              <w:adjustRightInd w:val="0"/>
              <w:spacing w:after="0"/>
              <w:contextualSpacing/>
              <w:rPr>
                <w:rFonts w:cs="Garamond"/>
                <w:b/>
                <w:color w:val="000000"/>
              </w:rPr>
            </w:pPr>
            <w:r w:rsidRPr="0011764A">
              <w:rPr>
                <w:rFonts w:cs="Garamond"/>
                <w:b/>
                <w:color w:val="000000"/>
              </w:rPr>
              <w:t>Country</w:t>
            </w:r>
          </w:p>
        </w:tc>
        <w:tc>
          <w:tcPr>
            <w:tcW w:w="2537" w:type="dxa"/>
            <w:shd w:val="clear" w:color="auto" w:fill="BFBFBF"/>
          </w:tcPr>
          <w:p w14:paraId="524752D5" w14:textId="77777777" w:rsidR="00496039" w:rsidRPr="0011764A" w:rsidRDefault="00496039" w:rsidP="00B2630D">
            <w:pPr>
              <w:widowControl w:val="0"/>
              <w:autoSpaceDE w:val="0"/>
              <w:autoSpaceDN w:val="0"/>
              <w:adjustRightInd w:val="0"/>
              <w:spacing w:after="0"/>
              <w:contextualSpacing/>
              <w:rPr>
                <w:rFonts w:cs="Garamond"/>
                <w:b/>
                <w:color w:val="000000"/>
              </w:rPr>
            </w:pPr>
            <w:r w:rsidRPr="0011764A">
              <w:rPr>
                <w:rFonts w:cs="Garamond"/>
                <w:b/>
                <w:color w:val="000000"/>
              </w:rPr>
              <w:t>Method</w:t>
            </w:r>
          </w:p>
        </w:tc>
        <w:tc>
          <w:tcPr>
            <w:tcW w:w="2298" w:type="dxa"/>
            <w:shd w:val="clear" w:color="auto" w:fill="BFBFBF"/>
          </w:tcPr>
          <w:p w14:paraId="154197C3" w14:textId="77777777" w:rsidR="00496039" w:rsidRPr="0011764A" w:rsidRDefault="00496039" w:rsidP="00B2630D">
            <w:pPr>
              <w:widowControl w:val="0"/>
              <w:autoSpaceDE w:val="0"/>
              <w:autoSpaceDN w:val="0"/>
              <w:adjustRightInd w:val="0"/>
              <w:spacing w:after="0"/>
              <w:contextualSpacing/>
              <w:rPr>
                <w:rFonts w:cs="Garamond"/>
                <w:b/>
                <w:color w:val="000000"/>
              </w:rPr>
            </w:pPr>
            <w:r w:rsidRPr="0011764A">
              <w:rPr>
                <w:rFonts w:cs="Garamond"/>
                <w:b/>
                <w:color w:val="000000"/>
              </w:rPr>
              <w:t>Amount wild meat and/or alternative consumed</w:t>
            </w:r>
          </w:p>
        </w:tc>
        <w:tc>
          <w:tcPr>
            <w:tcW w:w="4294" w:type="dxa"/>
            <w:shd w:val="clear" w:color="auto" w:fill="BFBFBF"/>
          </w:tcPr>
          <w:p w14:paraId="1067DA47" w14:textId="77777777" w:rsidR="00496039" w:rsidRPr="0011764A" w:rsidRDefault="00496039" w:rsidP="00B2630D">
            <w:pPr>
              <w:widowControl w:val="0"/>
              <w:autoSpaceDE w:val="0"/>
              <w:autoSpaceDN w:val="0"/>
              <w:adjustRightInd w:val="0"/>
              <w:spacing w:after="0"/>
              <w:contextualSpacing/>
              <w:rPr>
                <w:rFonts w:cs="Garamond"/>
                <w:b/>
                <w:color w:val="000000"/>
              </w:rPr>
            </w:pPr>
            <w:r w:rsidRPr="0011764A">
              <w:rPr>
                <w:rFonts w:cs="Garamond"/>
                <w:b/>
                <w:color w:val="000000"/>
              </w:rPr>
              <w:t>Factors influencing wild meat consumption.</w:t>
            </w:r>
          </w:p>
        </w:tc>
        <w:tc>
          <w:tcPr>
            <w:tcW w:w="1872" w:type="dxa"/>
            <w:shd w:val="clear" w:color="auto" w:fill="BFBFBF"/>
          </w:tcPr>
          <w:p w14:paraId="7B2D7F60" w14:textId="77777777" w:rsidR="00496039" w:rsidRPr="0011764A" w:rsidRDefault="00496039" w:rsidP="00B2630D">
            <w:pPr>
              <w:widowControl w:val="0"/>
              <w:autoSpaceDE w:val="0"/>
              <w:autoSpaceDN w:val="0"/>
              <w:adjustRightInd w:val="0"/>
              <w:spacing w:after="0"/>
              <w:contextualSpacing/>
              <w:rPr>
                <w:rFonts w:cs="Garamond"/>
                <w:b/>
                <w:color w:val="000000"/>
              </w:rPr>
            </w:pPr>
            <w:r w:rsidRPr="0011764A">
              <w:rPr>
                <w:rFonts w:cs="Garamond"/>
                <w:b/>
                <w:color w:val="000000"/>
              </w:rPr>
              <w:t>Price elasticities of demand</w:t>
            </w:r>
          </w:p>
        </w:tc>
      </w:tr>
      <w:tr w:rsidR="00496039" w:rsidRPr="0011764A" w14:paraId="513C1A1A" w14:textId="77777777" w:rsidTr="00B2630D">
        <w:trPr>
          <w:trHeight w:val="1655"/>
        </w:trPr>
        <w:tc>
          <w:tcPr>
            <w:tcW w:w="1499" w:type="dxa"/>
          </w:tcPr>
          <w:p w14:paraId="1219ABA3" w14:textId="77777777" w:rsidR="00496039" w:rsidRPr="0011764A" w:rsidRDefault="00496039" w:rsidP="00B2630D">
            <w:pPr>
              <w:widowControl w:val="0"/>
              <w:autoSpaceDE w:val="0"/>
              <w:autoSpaceDN w:val="0"/>
              <w:adjustRightInd w:val="0"/>
              <w:spacing w:after="0"/>
              <w:contextualSpacing/>
              <w:rPr>
                <w:rFonts w:cs="Garamond"/>
                <w:color w:val="000000"/>
              </w:rPr>
            </w:pPr>
            <w:r>
              <w:rPr>
                <w:rFonts w:cs="Garamond"/>
                <w:color w:val="000000"/>
              </w:rPr>
              <w:fldChar w:fldCharType="begin" w:fldLock="1"/>
            </w:r>
            <w:r>
              <w:rPr>
                <w:rFonts w:cs="Garamond"/>
                <w:color w:val="000000"/>
              </w:rPr>
              <w:instrText>ADDIN CSL_CITATION {"citationItems":[{"id":"ITEM-1","itemData":{"DOI":"10.1111/j.1523-1739.2005.00372.x","ISBN":"0888-8892","ISSN":"08888892","abstract":"Unsustainable hunting of wildlife for food is often a more immediate and significant threat to the conservation of biological diversity in tropical forests than deforestation. Why people eat wildlife is debated. Some may eat bushmeat because they can afford it; othersmay eat it because it is familiar, traditional, confers prestige, tastes good, or adds variety. We completed a survey of 1208 rural and urban households in Gabon, Africa, in 2002–2003 to estimate the effect of wealth and prices on the consumption of wildlife and other sources of animal protein. Consumption of bushmeat, fish, chicken, and livestock increased with increasing household wealth, and as the price of these commodities rose, consumption declined. Although the prices of substitutes for bushmeat did not significantly, in statistical terms, influence bushmeat consumption, as the price of wildlife increased and its consumption fell, the consumption of fish rose, indicating that fish and bushmeat were dietary substitutes. Our results suggest that policy makers can use economic levers such as taxation or supply reduction through better law enforcement to change demand for wildlife. These measures will help to regulate unsustainable exploitation and reduce the risk of irreversible loss of large-bodied and slow-reproducing wildlife species. If policy makers focus solely on reducing the unsustainable consumption of wildlife, they may see adverse impacts on the exploitation of fish. Furthermore, policy makers must ensure that raising household wealth through development assistance does not result in undesirable impacts on the conservation status of wildlife and fish.","author":[{"dropping-particle":"","family":"Wilkie","given":"David S.","non-dropping-particle":"","parse-names":false,"suffix":""},{"dropping-particle":"","family":"Starkey","given":"Malcolm","non-dropping-particle":"","parse-names":false,"suffix":""},{"dropping-particle":"","family":"Abernethy","given":"Kate","non-dropping-particle":"","parse-names":false,"suffix":""},{"dropping-particle":"","family":"Effa","given":"Ernestine Nstame","non-dropping-particle":"","parse-names":false,"suffix":""},{"dropping-particle":"","family":"Telfer","given":"Paul","non-dropping-particle":"","parse-names":false,"suffix":""},{"dropping-particle":"","family":"Godoy","given":"Ricardo","non-dropping-particle":"","parse-names":false,"suffix":""}],"container-title":"Conservation Biology","id":"ITEM-1","issue":"1","issued":{"date-parts":[["2005"]]},"page":"268-274","title":"Role of prices and wealth in consumer demand for bushmeat in Gabon, Central Africa","type":"article-journal","volume":"19"},"uris":["http://www.mendeley.com/documents/?uuid=f47a699c-8e33-4ebf-812d-391d540a3466"]}],"mendeley":{"formattedCitation":"(Wilkie et al. 2005)","manualFormatting":"Wilkie et al. 2005","plainTextFormattedCitation":"(Wilkie et al. 2005)","previouslyFormattedCitation":"(Wilkie et al. 2005)"},"properties":{"noteIndex":0},"schema":"https://github.com/citation-style-language/schema/raw/master/csl-citation.json"}</w:instrText>
            </w:r>
            <w:r>
              <w:rPr>
                <w:rFonts w:cs="Garamond"/>
                <w:color w:val="000000"/>
              </w:rPr>
              <w:fldChar w:fldCharType="separate"/>
            </w:r>
            <w:r w:rsidRPr="005439C4">
              <w:rPr>
                <w:rFonts w:cs="Garamond"/>
                <w:noProof/>
                <w:color w:val="000000"/>
              </w:rPr>
              <w:t>Wilkie et al. 2005</w:t>
            </w:r>
            <w:r>
              <w:rPr>
                <w:rFonts w:cs="Garamond"/>
                <w:color w:val="000000"/>
              </w:rPr>
              <w:fldChar w:fldCharType="end"/>
            </w:r>
          </w:p>
        </w:tc>
        <w:tc>
          <w:tcPr>
            <w:tcW w:w="1450" w:type="dxa"/>
          </w:tcPr>
          <w:p w14:paraId="7DDA36EC"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Gabon</w:t>
            </w:r>
          </w:p>
        </w:tc>
        <w:tc>
          <w:tcPr>
            <w:tcW w:w="2537" w:type="dxa"/>
          </w:tcPr>
          <w:p w14:paraId="3779EA1B"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Household consumption for 1208 households for 6 settlements across a rural – urban continuum.</w:t>
            </w:r>
          </w:p>
        </w:tc>
        <w:tc>
          <w:tcPr>
            <w:tcW w:w="2298" w:type="dxa"/>
          </w:tcPr>
          <w:p w14:paraId="5B16D6B6" w14:textId="77777777" w:rsidR="00496039" w:rsidRPr="0011764A" w:rsidRDefault="00496039" w:rsidP="00B2630D">
            <w:pPr>
              <w:spacing w:before="240" w:after="0"/>
              <w:rPr>
                <w:color w:val="000000"/>
              </w:rPr>
            </w:pPr>
            <w:r w:rsidRPr="0011764A">
              <w:rPr>
                <w:color w:val="000000"/>
              </w:rPr>
              <w:t>Capital city: 0.02 kg/AME/day</w:t>
            </w:r>
          </w:p>
          <w:p w14:paraId="1637FA35" w14:textId="77777777" w:rsidR="00496039" w:rsidRPr="0011764A" w:rsidRDefault="00496039" w:rsidP="00B2630D">
            <w:pPr>
              <w:spacing w:before="240" w:after="0"/>
              <w:rPr>
                <w:color w:val="000000"/>
              </w:rPr>
            </w:pPr>
            <w:r w:rsidRPr="0011764A">
              <w:rPr>
                <w:color w:val="000000"/>
              </w:rPr>
              <w:t>Towns: 0.07 – 0.12 kg/AME/day</w:t>
            </w:r>
          </w:p>
          <w:p w14:paraId="7C8680EB" w14:textId="77777777" w:rsidR="00496039" w:rsidRPr="0011764A" w:rsidRDefault="00496039" w:rsidP="00B2630D">
            <w:pPr>
              <w:spacing w:before="240" w:after="0"/>
              <w:rPr>
                <w:color w:val="000000"/>
              </w:rPr>
            </w:pPr>
            <w:r w:rsidRPr="0011764A">
              <w:rPr>
                <w:color w:val="000000"/>
              </w:rPr>
              <w:t>Inland Villages: 0.26 kg/AME/day</w:t>
            </w:r>
          </w:p>
          <w:p w14:paraId="4F0CA404"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lastRenderedPageBreak/>
              <w:t>Coastal Villages: 0.07 kg/AME/day</w:t>
            </w:r>
          </w:p>
        </w:tc>
        <w:tc>
          <w:tcPr>
            <w:tcW w:w="4294" w:type="dxa"/>
          </w:tcPr>
          <w:p w14:paraId="32FD15FB"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lastRenderedPageBreak/>
              <w:t xml:space="preserve">An increase in the price of wild meat was significantly correlated with a decrease in wild meat consumption and an increase in fish consumption. Wild meat consumption was not significantly correlated with the price of fish, chicken or livestock. Broad scale trends across different settlement types probably </w:t>
            </w:r>
            <w:r w:rsidRPr="0011764A">
              <w:rPr>
                <w:rFonts w:cs="Garamond"/>
                <w:color w:val="000000"/>
              </w:rPr>
              <w:lastRenderedPageBreak/>
              <w:t>cloaking local variation.</w:t>
            </w:r>
          </w:p>
        </w:tc>
        <w:tc>
          <w:tcPr>
            <w:tcW w:w="1872" w:type="dxa"/>
          </w:tcPr>
          <w:p w14:paraId="32410092"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lastRenderedPageBreak/>
              <w:t>Own price elasticity of wild meat: -0.63</w:t>
            </w:r>
          </w:p>
          <w:p w14:paraId="02BFB856"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Cross price: </w:t>
            </w:r>
          </w:p>
          <w:p w14:paraId="100F5FCF"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1% increase in wild meat price results in =0.38% increase </w:t>
            </w:r>
            <w:r w:rsidRPr="0011764A">
              <w:rPr>
                <w:rFonts w:cs="Garamond"/>
                <w:color w:val="000000"/>
              </w:rPr>
              <w:lastRenderedPageBreak/>
              <w:t xml:space="preserve">in fish consumption. </w:t>
            </w:r>
          </w:p>
          <w:p w14:paraId="38DB5441" w14:textId="77777777" w:rsidR="00496039" w:rsidRPr="0011764A" w:rsidRDefault="00496039" w:rsidP="00B2630D">
            <w:pPr>
              <w:widowControl w:val="0"/>
              <w:autoSpaceDE w:val="0"/>
              <w:autoSpaceDN w:val="0"/>
              <w:adjustRightInd w:val="0"/>
              <w:spacing w:after="0"/>
              <w:contextualSpacing/>
              <w:rPr>
                <w:rFonts w:cs="Garamond"/>
                <w:color w:val="000000"/>
              </w:rPr>
            </w:pPr>
          </w:p>
        </w:tc>
      </w:tr>
      <w:tr w:rsidR="00496039" w:rsidRPr="0011764A" w14:paraId="3116BFE1" w14:textId="77777777" w:rsidTr="00B2630D">
        <w:trPr>
          <w:trHeight w:val="2285"/>
        </w:trPr>
        <w:tc>
          <w:tcPr>
            <w:tcW w:w="1499" w:type="dxa"/>
          </w:tcPr>
          <w:p w14:paraId="09C24525" w14:textId="77777777" w:rsidR="00496039" w:rsidRPr="0011764A" w:rsidRDefault="00496039" w:rsidP="00B2630D">
            <w:pPr>
              <w:widowControl w:val="0"/>
              <w:autoSpaceDE w:val="0"/>
              <w:autoSpaceDN w:val="0"/>
              <w:adjustRightInd w:val="0"/>
              <w:spacing w:after="0"/>
              <w:contextualSpacing/>
              <w:rPr>
                <w:rFonts w:cs="Garamond"/>
                <w:color w:val="000000"/>
              </w:rPr>
            </w:pPr>
            <w:r>
              <w:rPr>
                <w:rFonts w:cs="Garamond"/>
                <w:color w:val="000000"/>
              </w:rPr>
              <w:lastRenderedPageBreak/>
              <w:fldChar w:fldCharType="begin" w:fldLock="1"/>
            </w:r>
            <w:r>
              <w:rPr>
                <w:rFonts w:cs="Garamond"/>
                <w:color w:val="000000"/>
              </w:rPr>
              <w:instrText xml:space="preserve">ADDIN CSL_CITATION {"citationItems":[{"id":"ITEM-1","itemData":{"DOI":"10.1046/j.1523-1739.2001.015003761.x","ISBN":"1523-1739","ISSN":"08888892","abstract":"Consumption of bushmeat is an important component of household economies in most tropical forested regions of the world and is resulting in unsustainable levels of hunting, even in relatively isolated regions. We conducted standardized surveys of household consumption, income, wealth, and education level among Amerindian societies in Central and South America. Results suggest 1) demand for bushmeat may follow an inverted </w:instrText>
            </w:r>
            <w:r>
              <w:rPr>
                <w:rFonts w:ascii="Cambria Math" w:hAnsi="Cambria Math" w:cs="Cambria Math"/>
                <w:color w:val="000000"/>
              </w:rPr>
              <w:instrText>∪</w:instrText>
            </w:r>
            <w:r>
              <w:rPr>
                <w:rFonts w:cs="Garamond"/>
                <w:color w:val="000000"/>
              </w:rPr>
              <w:instrText xml:space="preserve"> pattern with income, 2) consumers, particularly the most well-off, reduce their consumption of bushmeat as the price increases; and 3) a small decrease in the price of meat from domesticated animals is likely to lead to a large decrease in the consumption of fish but not of bushmeat. Policy makers may be able to reduce demand for bushmeat by raising the price of bushmeat, by increasing the direct and opportunity costs of hunting, and by raising household income. El consumo de carne silvestre es un componente importante de las economías caseras en la mayoría de las regiones tropicales boscosas del mundo y está resultando en niveles insostenibles de caza, aún en regiones relativamente aisladas. Llevamos a cabo prospecciones estandarizadas de consumo familiar, riqueza y niveles de educación entre sociedades Amerindias en América del Sur y Central. Los resultados sugieren que 1) la demanda de carne silvestre podría seguir un patrón de </w:instrText>
            </w:r>
            <w:r>
              <w:rPr>
                <w:rFonts w:ascii="Cambria Math" w:hAnsi="Cambria Math" w:cs="Cambria Math"/>
                <w:color w:val="000000"/>
              </w:rPr>
              <w:instrText>∪</w:instrText>
            </w:r>
            <w:r>
              <w:rPr>
                <w:rFonts w:cs="Garamond"/>
                <w:color w:val="000000"/>
              </w:rPr>
              <w:instrText xml:space="preserve"> invertido con los ingresos; 2) los consumidores, particularmente la mayoría de los persistentes, reducen el consumo de carne silvestre en tanto que el precio aumenta; y 3) una disminución pequeña en el precio de carne de animales domesticados es posible que conduzca a una disminución grande en el consumo de peces, pero no de carne de animales silvestres. Los políticos deberían de reducir la demanda de carne silvestre incrementando su precio, incrementando los costos directos y de oportunidad de la caza e incrementando los ingresos familiares.","author":[{"dropping-particle":"","family":"Wilkie","given":"David S","non-dropping-particle":"","parse-names":false,"suffix":""},{"dropping-particle":"","family":"Godoy","given":"Ricardo A","non-dropping-particle":"","parse-names":false,"suffix":""}],"container-title":"Conservation Biology","id":"ITEM-1","issue":"3","issued":{"date-parts":[["2001"]]},"page":"761-769","title":"Income and price elasticities of bushmeat demand in lowland Amerindian societies","type":"article-journal","volume":"15"},"uris":["http://www.mendeley.com/documents/?uuid=fa5ce2ce-a933-4960-8192-f981bc4505c4"]}],"mendeley":{"formattedCitation":"(Wilkie &amp; Godoy 2001)","manualFormatting":"Wilkie &amp; Godoy 2001","plainTextFormattedCitation":"(Wilkie &amp; Godoy 2001)","previouslyFormattedCitation":"(Wilkie &amp; Godoy 2001)"},"properties":{"noteIndex":0},"schema":"https://github.com/citation-style-language/schema/raw/master/csl-citation.json"}</w:instrText>
            </w:r>
            <w:r>
              <w:rPr>
                <w:rFonts w:cs="Garamond"/>
                <w:color w:val="000000"/>
              </w:rPr>
              <w:fldChar w:fldCharType="separate"/>
            </w:r>
            <w:r w:rsidRPr="005439C4">
              <w:rPr>
                <w:rFonts w:cs="Garamond"/>
                <w:noProof/>
                <w:color w:val="000000"/>
              </w:rPr>
              <w:t>Wilkie &amp; Godoy 2001</w:t>
            </w:r>
            <w:r>
              <w:rPr>
                <w:rFonts w:cs="Garamond"/>
                <w:color w:val="000000"/>
              </w:rPr>
              <w:fldChar w:fldCharType="end"/>
            </w:r>
          </w:p>
        </w:tc>
        <w:tc>
          <w:tcPr>
            <w:tcW w:w="1450" w:type="dxa"/>
          </w:tcPr>
          <w:p w14:paraId="7CE34CEB"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Bolivia and Honduras</w:t>
            </w:r>
          </w:p>
        </w:tc>
        <w:tc>
          <w:tcPr>
            <w:tcW w:w="2537" w:type="dxa"/>
          </w:tcPr>
          <w:p w14:paraId="370AC138"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Household consumption for 443 rural households in Bolivia, and 32 rural households in Honduras.</w:t>
            </w:r>
          </w:p>
        </w:tc>
        <w:tc>
          <w:tcPr>
            <w:tcW w:w="2298" w:type="dxa"/>
          </w:tcPr>
          <w:p w14:paraId="32A33FE9"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Weekly consumption per person of bush- meat and fish from the sample averaged 1.52 kg of bush- meat (0.217kg/person/day)</w:t>
            </w:r>
          </w:p>
          <w:p w14:paraId="3BD79AD2" w14:textId="77777777" w:rsidR="00496039" w:rsidRPr="0011764A" w:rsidRDefault="00496039" w:rsidP="00B2630D">
            <w:pPr>
              <w:widowControl w:val="0"/>
              <w:autoSpaceDE w:val="0"/>
              <w:autoSpaceDN w:val="0"/>
              <w:adjustRightInd w:val="0"/>
              <w:spacing w:after="0"/>
              <w:contextualSpacing/>
              <w:rPr>
                <w:rFonts w:cs="Garamond"/>
                <w:color w:val="000000"/>
              </w:rPr>
            </w:pPr>
          </w:p>
        </w:tc>
        <w:tc>
          <w:tcPr>
            <w:tcW w:w="4294" w:type="dxa"/>
          </w:tcPr>
          <w:p w14:paraId="595B4793"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High own-price elasticity of wild meat, especially at the top-end of the income distribution. Wild meat consumption did not respond to changes in the price of domesticated animals. </w:t>
            </w:r>
          </w:p>
        </w:tc>
        <w:tc>
          <w:tcPr>
            <w:tcW w:w="1872" w:type="dxa"/>
          </w:tcPr>
          <w:p w14:paraId="1DD5B1B7"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Own price elasticity (top half of income distribution): -5.85 </w:t>
            </w:r>
          </w:p>
          <w:p w14:paraId="2A0F6EC2" w14:textId="77777777" w:rsidR="00496039" w:rsidRPr="0011764A" w:rsidRDefault="00496039" w:rsidP="00B2630D">
            <w:pPr>
              <w:widowControl w:val="0"/>
              <w:autoSpaceDE w:val="0"/>
              <w:autoSpaceDN w:val="0"/>
              <w:adjustRightInd w:val="0"/>
              <w:spacing w:after="0"/>
              <w:contextualSpacing/>
              <w:rPr>
                <w:rFonts w:cs="Garamond"/>
                <w:color w:val="000000"/>
              </w:rPr>
            </w:pPr>
          </w:p>
          <w:p w14:paraId="2D18C193"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Bottom half of income distribution: -2.17 </w:t>
            </w:r>
          </w:p>
          <w:p w14:paraId="29C6E79D" w14:textId="77777777" w:rsidR="00496039" w:rsidRPr="0011764A" w:rsidRDefault="00496039" w:rsidP="00B2630D">
            <w:pPr>
              <w:widowControl w:val="0"/>
              <w:autoSpaceDE w:val="0"/>
              <w:autoSpaceDN w:val="0"/>
              <w:adjustRightInd w:val="0"/>
              <w:spacing w:after="0"/>
              <w:contextualSpacing/>
              <w:rPr>
                <w:rFonts w:cs="Garamond"/>
                <w:color w:val="000000"/>
              </w:rPr>
            </w:pPr>
          </w:p>
          <w:p w14:paraId="4EB04940" w14:textId="77777777" w:rsidR="00496039" w:rsidRPr="0011764A" w:rsidRDefault="00496039" w:rsidP="00B2630D">
            <w:pPr>
              <w:widowControl w:val="0"/>
              <w:autoSpaceDE w:val="0"/>
              <w:autoSpaceDN w:val="0"/>
              <w:adjustRightInd w:val="0"/>
              <w:spacing w:after="0"/>
              <w:contextualSpacing/>
              <w:rPr>
                <w:rFonts w:cs="Garamond"/>
                <w:color w:val="000000"/>
              </w:rPr>
            </w:pPr>
          </w:p>
          <w:p w14:paraId="5BF70692" w14:textId="77777777" w:rsidR="00496039" w:rsidRPr="0011764A" w:rsidRDefault="00496039" w:rsidP="00B2630D">
            <w:pPr>
              <w:widowControl w:val="0"/>
              <w:autoSpaceDE w:val="0"/>
              <w:autoSpaceDN w:val="0"/>
              <w:adjustRightInd w:val="0"/>
              <w:spacing w:after="0"/>
              <w:contextualSpacing/>
              <w:rPr>
                <w:rFonts w:cs="Garamond"/>
                <w:color w:val="000000"/>
              </w:rPr>
            </w:pPr>
          </w:p>
          <w:p w14:paraId="2EC40594" w14:textId="77777777" w:rsidR="00496039" w:rsidRPr="0011764A" w:rsidRDefault="00496039" w:rsidP="00B2630D">
            <w:pPr>
              <w:widowControl w:val="0"/>
              <w:autoSpaceDE w:val="0"/>
              <w:autoSpaceDN w:val="0"/>
              <w:adjustRightInd w:val="0"/>
              <w:spacing w:after="0"/>
              <w:contextualSpacing/>
              <w:rPr>
                <w:rFonts w:cs="Garamond"/>
                <w:color w:val="000000"/>
              </w:rPr>
            </w:pPr>
          </w:p>
        </w:tc>
      </w:tr>
      <w:tr w:rsidR="00496039" w:rsidRPr="0011764A" w14:paraId="4B0B79B2" w14:textId="77777777" w:rsidTr="00B2630D">
        <w:trPr>
          <w:trHeight w:val="161"/>
        </w:trPr>
        <w:tc>
          <w:tcPr>
            <w:tcW w:w="1499" w:type="dxa"/>
          </w:tcPr>
          <w:p w14:paraId="50CBEEA8" w14:textId="77777777" w:rsidR="00496039" w:rsidRPr="0011764A" w:rsidRDefault="00496039" w:rsidP="00B2630D">
            <w:pPr>
              <w:widowControl w:val="0"/>
              <w:autoSpaceDE w:val="0"/>
              <w:autoSpaceDN w:val="0"/>
              <w:adjustRightInd w:val="0"/>
              <w:spacing w:after="0"/>
              <w:contextualSpacing/>
              <w:rPr>
                <w:rFonts w:cs="Garamond"/>
                <w:color w:val="000000"/>
              </w:rPr>
            </w:pPr>
            <w:r>
              <w:rPr>
                <w:rFonts w:cs="Garamond"/>
                <w:color w:val="000000"/>
              </w:rPr>
              <w:fldChar w:fldCharType="begin" w:fldLock="1"/>
            </w:r>
            <w:r>
              <w:rPr>
                <w:rFonts w:cs="Garamond"/>
                <w:color w:val="000000"/>
              </w:rPr>
              <w:instrText>ADDIN CSL_CITATION {"citationItems":[{"id":"ITEM-1","itemData":{"DOI":"10.1017/S003060530200073X","ISBN":"0030-6053","ISSN":"0030-6053","PMID":"1117","abstract":"Wildlife (bushmeat or game) is the primary source of protein for most poor households in tropical forests, and its consumption is resulting in unsustainable hunting of large animals, even in isolated regions. As a result, loss of fauna is often a more immediate and significant threat to the conservation of biological diversity in tropical forests than is deforestation. Although the potential effects of the extirpation from tropical forests of large, seed predating and seed dispersing wild animals is poorly understood, it is likely that there will be irrevocable changes in the structure and function of these ecosystems. We carried out a survey of 510 households of Tsimane' Amerindians in the rainforest of Bolivia to investigate how the prices of game and meat from domesticated animals affect the consumption of game. The results indicated that the price of fish and meat from livestock is positively correlated with consumption of wildlife, suggesting that policy makers may be able to reduce the unsustainable hunting of wildlife for food by reducing the price of fish and the price of meat from domesticated animals relative to that of wildlife. Increasing the production of livestock without causing environmental degradation will require long-term public investment in agricultural research and extension, and substitution of fish for game meat in the absence of sustainable management regimes will result in over-exploitation of riverine and lacustrine fish stocks.","author":[{"dropping-particle":"","family":"Apaza","given":"Lilian","non-dropping-particle":"","parse-names":false,"suffix":""},{"dropping-particle":"","family":"Wilkie","given":"David","non-dropping-particle":"","parse-names":false,"suffix":""},{"dropping-particle":"","family":"Byron","given":"Elizabeth","non-dropping-particle":"","parse-names":false,"suffix":""},{"dropping-particle":"","family":"Huanca","given":"Tomás","non-dropping-particle":"","parse-names":false,"suffix":""},{"dropping-particle":"","family":"Leonard","given":"William","non-dropping-particle":"","parse-names":false,"suffix":""},{"dropping-particle":"","family":"Pérez","given":"Eddy","non-dropping-particle":"","parse-names":false,"suffix":""},{"dropping-particle":"","family":"Reyes-García","given":"Victoria","non-dropping-particle":"","parse-names":false,"suffix":""},{"dropping-particle":"","family":"Vadez","given":"Vincent","non-dropping-particle":"","parse-names":false,"suffix":""},{"dropping-particle":"","family":"Godoy","given":"Ricardo","non-dropping-particle":"","parse-names":false,"suffix":""}],"container-title":"Oryx","id":"ITEM-1","issue":"04","issued":{"date-parts":[["2002"]]},"page":"382-388","title":"Meat prices influence the consumption of wildlife by the Tsimane' Amerindians of Bolivia","type":"article-journal","volume":"36"},"uris":["http://www.mendeley.com/documents/?uuid=0a3e3ee3-4379-40d2-af6b-e922f78bcfe2"]}],"mendeley":{"formattedCitation":"(Apaza et al. 2002)","manualFormatting":"Apaza et al. 2002","plainTextFormattedCitation":"(Apaza et al. 2002)","previouslyFormattedCitation":"(Apaza et al. 2002)"},"properties":{"noteIndex":0},"schema":"https://github.com/citation-style-language/schema/raw/master/csl-citation.json"}</w:instrText>
            </w:r>
            <w:r>
              <w:rPr>
                <w:rFonts w:cs="Garamond"/>
                <w:color w:val="000000"/>
              </w:rPr>
              <w:fldChar w:fldCharType="separate"/>
            </w:r>
            <w:r w:rsidRPr="005439C4">
              <w:rPr>
                <w:rFonts w:cs="Garamond"/>
                <w:noProof/>
                <w:color w:val="000000"/>
              </w:rPr>
              <w:t>Apaza et al. 2002</w:t>
            </w:r>
            <w:r>
              <w:rPr>
                <w:rFonts w:cs="Garamond"/>
                <w:color w:val="000000"/>
              </w:rPr>
              <w:fldChar w:fldCharType="end"/>
            </w:r>
          </w:p>
        </w:tc>
        <w:tc>
          <w:tcPr>
            <w:tcW w:w="1450" w:type="dxa"/>
          </w:tcPr>
          <w:p w14:paraId="3A8F8DA8"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Bolivia</w:t>
            </w:r>
          </w:p>
        </w:tc>
        <w:tc>
          <w:tcPr>
            <w:tcW w:w="2537" w:type="dxa"/>
          </w:tcPr>
          <w:p w14:paraId="303A2BB7"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Household consumption for 510 households in 59 rural Tsimane’ villages </w:t>
            </w:r>
          </w:p>
          <w:p w14:paraId="42ABE279" w14:textId="77777777" w:rsidR="00496039" w:rsidRPr="0011764A" w:rsidRDefault="00496039" w:rsidP="00B2630D">
            <w:pPr>
              <w:widowControl w:val="0"/>
              <w:autoSpaceDE w:val="0"/>
              <w:autoSpaceDN w:val="0"/>
              <w:adjustRightInd w:val="0"/>
              <w:spacing w:after="0"/>
              <w:contextualSpacing/>
              <w:rPr>
                <w:rFonts w:cs="Garamond"/>
                <w:color w:val="000000"/>
              </w:rPr>
            </w:pPr>
          </w:p>
        </w:tc>
        <w:tc>
          <w:tcPr>
            <w:tcW w:w="2298" w:type="dxa"/>
          </w:tcPr>
          <w:p w14:paraId="571C1160"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0.475kg/AME/day</w:t>
            </w:r>
          </w:p>
        </w:tc>
        <w:tc>
          <w:tcPr>
            <w:tcW w:w="4294" w:type="dxa"/>
          </w:tcPr>
          <w:p w14:paraId="6AD36C69"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A doubling in the price of wild meat reduces its consumption by 114% </w:t>
            </w:r>
          </w:p>
          <w:p w14:paraId="4BF2DE7F"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A doubling in the price of beef increases consumption of wild meat by 744%. A doubling in the price of fish increases consumption of wild meat by 146%. </w:t>
            </w:r>
          </w:p>
          <w:p w14:paraId="3F4E8CC6" w14:textId="77777777" w:rsidR="00496039" w:rsidRPr="0011764A" w:rsidRDefault="00496039" w:rsidP="00B2630D">
            <w:pPr>
              <w:widowControl w:val="0"/>
              <w:autoSpaceDE w:val="0"/>
              <w:autoSpaceDN w:val="0"/>
              <w:adjustRightInd w:val="0"/>
              <w:spacing w:after="0"/>
              <w:contextualSpacing/>
              <w:rPr>
                <w:rFonts w:cs="Garamond"/>
                <w:color w:val="000000"/>
              </w:rPr>
            </w:pPr>
          </w:p>
        </w:tc>
        <w:tc>
          <w:tcPr>
            <w:tcW w:w="1872" w:type="dxa"/>
          </w:tcPr>
          <w:p w14:paraId="437B4B37"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Own-price: -0.114</w:t>
            </w:r>
          </w:p>
          <w:p w14:paraId="6C015B2A"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Cross-price: </w:t>
            </w:r>
          </w:p>
          <w:p w14:paraId="0B134077"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Beef: +0.744</w:t>
            </w:r>
          </w:p>
          <w:p w14:paraId="7C9CBF69"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Fish: +0.146</w:t>
            </w:r>
          </w:p>
          <w:p w14:paraId="24682977" w14:textId="77777777" w:rsidR="00496039" w:rsidRPr="0011764A" w:rsidRDefault="00496039" w:rsidP="00B2630D">
            <w:pPr>
              <w:widowControl w:val="0"/>
              <w:autoSpaceDE w:val="0"/>
              <w:autoSpaceDN w:val="0"/>
              <w:adjustRightInd w:val="0"/>
              <w:spacing w:after="0"/>
              <w:contextualSpacing/>
              <w:rPr>
                <w:rFonts w:cs="Garamond"/>
                <w:color w:val="000000"/>
              </w:rPr>
            </w:pPr>
          </w:p>
        </w:tc>
      </w:tr>
      <w:tr w:rsidR="00496039" w:rsidRPr="0011764A" w14:paraId="693F9A2A" w14:textId="77777777" w:rsidTr="00B2630D">
        <w:trPr>
          <w:trHeight w:val="1070"/>
        </w:trPr>
        <w:tc>
          <w:tcPr>
            <w:tcW w:w="1499" w:type="dxa"/>
          </w:tcPr>
          <w:p w14:paraId="124875BD" w14:textId="75DCA9A6" w:rsidR="00496039" w:rsidRPr="0011764A" w:rsidRDefault="00496039" w:rsidP="00B2630D">
            <w:pPr>
              <w:widowControl w:val="0"/>
              <w:autoSpaceDE w:val="0"/>
              <w:autoSpaceDN w:val="0"/>
              <w:adjustRightInd w:val="0"/>
              <w:spacing w:after="0"/>
              <w:contextualSpacing/>
              <w:rPr>
                <w:rFonts w:cs="Garamond"/>
                <w:color w:val="000000"/>
              </w:rPr>
            </w:pPr>
            <w:r>
              <w:rPr>
                <w:rFonts w:cs="Garamond"/>
                <w:color w:val="000000"/>
              </w:rPr>
              <w:fldChar w:fldCharType="begin" w:fldLock="1"/>
            </w:r>
            <w:r>
              <w:rPr>
                <w:rFonts w:cs="Garamond"/>
                <w:color w:val="000000"/>
              </w:rPr>
              <w:instrText>ADDIN CSL_CITATION {"citationItems":[{"id":"ITEM-1","itemData":{"DOI":"10.1073/pnas.1011526108","ISBN":"0027-8424","ISSN":"0027-8424","PMID":"21873180","abstract":"The harvest of wildlife for human consumption is valued at several billion dollars annually and provides an essential source of meat for hundreds of millions of rural people living in poverty. This harvest is also considered among the greatest threats to biodiversity throughout Africa, Asia, and Latin America. Economic development is often proposed as an essential first step to win-win solutions for poverty alleviation and biodiversity conservation by breaking rural reliance on wildlife. However, increases in wealth may accelerate consumption and extend the scale and efficiency of wildlife harvest. Our ability to assess the likelihood of these two contrasting outcomes and to design approaches that simultaneously consider poverty and biodiversity loss is impeded by a weak understanding of the direction and shape of their interaction. Here, we present results of economic and wildlife use surveys conducted in 2,000 households from 96 settlements in Ghana, Cameroon, Tanzania, and Madagascar. We examine the individual and interactive roles of wealth, relative food prices, market access, and opportunity costs of time spent hunting on household rates of wildlife consumption. Despite great differences in biogeographic, social, and economic aspects of our study sites, we found a consistent relationship between wealth and wildlife consumption. Wealthier households consume more bushmeat in settlements nearer urban areas, but the opposite pattern is observed in more isolated settlements. Wildlife hunting and consumption increase when alternative livelihoods collapse, but this safety net is an option only for those people living near harvestable wildlife.","author":[{"dropping-particle":"","family":"Brashares","given":"J. S.","non-dropping-particle":"","parse-names":false,"suffix":""},{"dropping-particle":"","family":"Golden","given":"C. D.","non-dropping-particle":"","parse-names":false,"suffix":""},{"dropping-particle":"","family":"Weinbaum","given":"K. Z.","non-dropping-particle":"","parse-names":false,"suffix":""},{"dropping-particle":"","family":"Barrett","given":"C. B.","non-dropping-particle":"","parse-names":false,"suffix":""},{"dropping-particle":"V.","family":"Okello","given":"G.","non-dropping-particle":"","parse-names":false,"suffix":""}],"container-title":"Proceedings of the National Academy of Sciences","id":"ITEM-1","issue":"34","issued":{"date-parts":[["2011"]]},"page":"13931-13936","title":"Economic and geographic drivers of wildlife consumption in rural Africa","type":"article-journal","volume":"108"},"uris":["http://www.mendeley.com/documents/?uuid=2d00a9b8-0caf-499f-9ac8-9b05c2b95651"]}],"mendeley":{"formattedCitation":"(Brashares et al. 2011)","manualFormatting":"Brashares et al. 2011","plainTextFormattedCitation":"(Brashares et al. 2011)","previouslyFormattedCitation":"(Brashares et al. 2011)"},"properties":{"noteIndex":0},"schema":"https://github.com/citation-style-language/schema/raw/master/csl-citation.json"}</w:instrText>
            </w:r>
            <w:r>
              <w:rPr>
                <w:rFonts w:cs="Garamond"/>
                <w:color w:val="000000"/>
              </w:rPr>
              <w:fldChar w:fldCharType="separate"/>
            </w:r>
            <w:r w:rsidRPr="005439C4">
              <w:rPr>
                <w:rFonts w:cs="Garamond"/>
                <w:noProof/>
                <w:color w:val="000000"/>
              </w:rPr>
              <w:t>Brashares et al. 2011</w:t>
            </w:r>
            <w:r>
              <w:rPr>
                <w:rFonts w:cs="Garamond"/>
                <w:color w:val="000000"/>
              </w:rPr>
              <w:fldChar w:fldCharType="end"/>
            </w:r>
          </w:p>
        </w:tc>
        <w:tc>
          <w:tcPr>
            <w:tcW w:w="1450" w:type="dxa"/>
          </w:tcPr>
          <w:p w14:paraId="00D97F7F"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Ghana, Cameroon, Tanzania, Kenya</w:t>
            </w:r>
          </w:p>
        </w:tc>
        <w:tc>
          <w:tcPr>
            <w:tcW w:w="2537" w:type="dxa"/>
          </w:tcPr>
          <w:p w14:paraId="32FCE894"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Meta-analyses of 2,000 household consumption surveys from 96 settlements in Ghana, Cameroon, Tanzania, </w:t>
            </w:r>
            <w:r w:rsidRPr="0011764A">
              <w:rPr>
                <w:rFonts w:cs="Garamond"/>
                <w:color w:val="000000"/>
              </w:rPr>
              <w:lastRenderedPageBreak/>
              <w:t xml:space="preserve">and Madagascar </w:t>
            </w:r>
          </w:p>
        </w:tc>
        <w:tc>
          <w:tcPr>
            <w:tcW w:w="2298" w:type="dxa"/>
          </w:tcPr>
          <w:p w14:paraId="2B734D82"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lastRenderedPageBreak/>
              <w:t>No information</w:t>
            </w:r>
          </w:p>
        </w:tc>
        <w:tc>
          <w:tcPr>
            <w:tcW w:w="4294" w:type="dxa"/>
          </w:tcPr>
          <w:p w14:paraId="01714E1B"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Relative wild meat price is negatively correlated with wild meat consumption. </w:t>
            </w:r>
          </w:p>
        </w:tc>
        <w:tc>
          <w:tcPr>
            <w:tcW w:w="1872" w:type="dxa"/>
          </w:tcPr>
          <w:p w14:paraId="72CE23C8" w14:textId="77777777" w:rsidR="00496039" w:rsidRPr="0011764A" w:rsidRDefault="00496039" w:rsidP="00B2630D">
            <w:pPr>
              <w:widowControl w:val="0"/>
              <w:autoSpaceDE w:val="0"/>
              <w:autoSpaceDN w:val="0"/>
              <w:adjustRightInd w:val="0"/>
              <w:spacing w:after="0"/>
              <w:contextualSpacing/>
              <w:rPr>
                <w:rFonts w:cs="Garamond"/>
                <w:color w:val="000000"/>
              </w:rPr>
            </w:pPr>
          </w:p>
        </w:tc>
      </w:tr>
      <w:tr w:rsidR="00496039" w:rsidRPr="0011764A" w14:paraId="0509EC3D" w14:textId="77777777" w:rsidTr="00B2630D">
        <w:trPr>
          <w:trHeight w:val="161"/>
        </w:trPr>
        <w:tc>
          <w:tcPr>
            <w:tcW w:w="1499" w:type="dxa"/>
          </w:tcPr>
          <w:p w14:paraId="480A3D9C" w14:textId="77777777" w:rsidR="00496039" w:rsidRPr="0011764A" w:rsidRDefault="00496039" w:rsidP="00B2630D">
            <w:pPr>
              <w:widowControl w:val="0"/>
              <w:autoSpaceDE w:val="0"/>
              <w:autoSpaceDN w:val="0"/>
              <w:adjustRightInd w:val="0"/>
              <w:spacing w:after="0"/>
              <w:contextualSpacing/>
              <w:rPr>
                <w:rFonts w:cs="Garamond"/>
                <w:color w:val="000000"/>
              </w:rPr>
            </w:pPr>
            <w:r>
              <w:rPr>
                <w:rFonts w:cs="Garamond"/>
                <w:color w:val="000000"/>
              </w:rPr>
              <w:fldChar w:fldCharType="begin" w:fldLock="1"/>
            </w:r>
            <w:r>
              <w:rPr>
                <w:rFonts w:cs="Garamond"/>
                <w:color w:val="000000"/>
              </w:rPr>
              <w:instrText>ADDIN CSL_CITATION {"citationItems":[{"id":"ITEM-1","itemData":{"DOI":"10.1016/j.ecolecon.2013.03.021","ISBN":"0921-8009","ISSN":"09218009","abstract":"The consumption of meat from wild animals (or bushmeat) occurs throughout Africa and highlights the conflict between two distinct development goals: food security and biodiversity conservation. Growing human populations throughout the greater Serengeti ecosystem rely heavily on bushmeat as a source of protein, which places pressure on migratory wildlife populations. This paper uses unique data from protein consumption surveys from 131 households over 34. months in a generalizable empirical framework to estimate price, cross-price, and expenditure elasticities of protein sources, and analyze the potential economic effects of policies to mitigate bushmeat hunting and consumption. Results suggest that: (1) directly increasing the price of bushmeat through enforcement or other policies to reduce supply will have the most direct and largest effect of bushmeat consumption; (2) increasing income increases bushmeat consumption as well as consumption of other meat sources; (3) if surrounding fisheries experience a negative shock, or collapse, this will lead to a dramatic increase in bushmeat consumption. Overall, these results strongly indicate that policies to reduce bushmeat hunting while maintaining food security must be considered in a broad and comprehensive framework. © 2013 Elsevier B.V.","author":[{"dropping-particle":"","family":"Rentsch","given":"Dennis","non-dropping-particle":"","parse-names":false,"suffix":""},{"dropping-particle":"","family":"Damon","given":"Amy","non-dropping-particle":"","parse-names":false,"suffix":""}],"container-title":"Ecological Economics","id":"ITEM-1","issued":{"date-parts":[["2013"]]},"page":"1-9","publisher":"Elsevier B.V.","title":"Prices, poaching, and protein alternatives: An analysis of bushmeat consumption around Serengeti National Park, Tanzania","type":"article-journal","volume":"91"},"uris":["http://www.mendeley.com/documents/?uuid=39ccb277-fa53-4140-99d9-5235ef103e35"]}],"mendeley":{"formattedCitation":"(Rentsch &amp; Damon 2013)","manualFormatting":"Rentsch &amp; Damon 2013","plainTextFormattedCitation":"(Rentsch &amp; Damon 2013)","previouslyFormattedCitation":"(Rentsch &amp; Damon 2013)"},"properties":{"noteIndex":0},"schema":"https://github.com/citation-style-language/schema/raw/master/csl-citation.json"}</w:instrText>
            </w:r>
            <w:r>
              <w:rPr>
                <w:rFonts w:cs="Garamond"/>
                <w:color w:val="000000"/>
              </w:rPr>
              <w:fldChar w:fldCharType="separate"/>
            </w:r>
            <w:r w:rsidRPr="005439C4">
              <w:rPr>
                <w:rFonts w:cs="Garamond"/>
                <w:noProof/>
                <w:color w:val="000000"/>
              </w:rPr>
              <w:t>Rentsch &amp; Damon 2013</w:t>
            </w:r>
            <w:r>
              <w:rPr>
                <w:rFonts w:cs="Garamond"/>
                <w:color w:val="000000"/>
              </w:rPr>
              <w:fldChar w:fldCharType="end"/>
            </w:r>
          </w:p>
        </w:tc>
        <w:tc>
          <w:tcPr>
            <w:tcW w:w="1450" w:type="dxa"/>
          </w:tcPr>
          <w:p w14:paraId="4BEA6948"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Tanzania</w:t>
            </w:r>
          </w:p>
        </w:tc>
        <w:tc>
          <w:tcPr>
            <w:tcW w:w="2537" w:type="dxa"/>
          </w:tcPr>
          <w:p w14:paraId="7AD5C04D"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31 households for 8 villages within Serengeti and Bunda districts in Mara region </w:t>
            </w:r>
          </w:p>
          <w:p w14:paraId="753F3F4F" w14:textId="77777777" w:rsidR="00496039" w:rsidRPr="0011764A" w:rsidRDefault="00496039" w:rsidP="00B2630D">
            <w:pPr>
              <w:widowControl w:val="0"/>
              <w:autoSpaceDE w:val="0"/>
              <w:autoSpaceDN w:val="0"/>
              <w:adjustRightInd w:val="0"/>
              <w:spacing w:after="0"/>
              <w:contextualSpacing/>
              <w:rPr>
                <w:rFonts w:cs="Garamond"/>
                <w:color w:val="000000"/>
              </w:rPr>
            </w:pPr>
          </w:p>
        </w:tc>
        <w:tc>
          <w:tcPr>
            <w:tcW w:w="2298" w:type="dxa"/>
          </w:tcPr>
          <w:p w14:paraId="166CA4ED"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2.7kg/household/week</w:t>
            </w:r>
          </w:p>
        </w:tc>
        <w:tc>
          <w:tcPr>
            <w:tcW w:w="4294" w:type="dxa"/>
          </w:tcPr>
          <w:p w14:paraId="60FFC8E0"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Wild meat consumption decreases with the price of wild meat, and decreases with the price of all the measured substitutes (beef, fish, dried fish). Analysis suggests that increasing the price of wild meat is the most effective way to decrease wild meat consumption. </w:t>
            </w:r>
          </w:p>
          <w:p w14:paraId="4FCA1CBB" w14:textId="77777777" w:rsidR="00496039" w:rsidRPr="0011764A" w:rsidRDefault="00496039" w:rsidP="00B2630D">
            <w:pPr>
              <w:widowControl w:val="0"/>
              <w:autoSpaceDE w:val="0"/>
              <w:autoSpaceDN w:val="0"/>
              <w:adjustRightInd w:val="0"/>
              <w:spacing w:after="0"/>
              <w:contextualSpacing/>
              <w:rPr>
                <w:rFonts w:cs="Garamond"/>
                <w:color w:val="000000"/>
              </w:rPr>
            </w:pPr>
          </w:p>
        </w:tc>
        <w:tc>
          <w:tcPr>
            <w:tcW w:w="1872" w:type="dxa"/>
          </w:tcPr>
          <w:p w14:paraId="17BD063B"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Own price: -1.122</w:t>
            </w:r>
          </w:p>
          <w:p w14:paraId="49A4C62C"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Cross-price:</w:t>
            </w:r>
          </w:p>
          <w:p w14:paraId="51535D6D"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Beef: +0.421</w:t>
            </w:r>
          </w:p>
          <w:p w14:paraId="0633F777"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Fish: +0.836</w:t>
            </w:r>
          </w:p>
          <w:p w14:paraId="12A9540B"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Dagaa (dried fish)+0.396</w:t>
            </w:r>
          </w:p>
        </w:tc>
      </w:tr>
      <w:tr w:rsidR="00496039" w:rsidRPr="0011764A" w14:paraId="4BFBC147" w14:textId="77777777" w:rsidTr="00B2630D">
        <w:trPr>
          <w:trHeight w:val="161"/>
        </w:trPr>
        <w:tc>
          <w:tcPr>
            <w:tcW w:w="1499" w:type="dxa"/>
          </w:tcPr>
          <w:p w14:paraId="68B88326" w14:textId="77777777" w:rsidR="00496039" w:rsidRPr="0011764A" w:rsidRDefault="00496039" w:rsidP="00B2630D">
            <w:pPr>
              <w:widowControl w:val="0"/>
              <w:autoSpaceDE w:val="0"/>
              <w:autoSpaceDN w:val="0"/>
              <w:adjustRightInd w:val="0"/>
              <w:spacing w:after="0"/>
              <w:contextualSpacing/>
              <w:rPr>
                <w:rFonts w:cs="Garamond"/>
                <w:color w:val="000000"/>
              </w:rPr>
            </w:pPr>
            <w:r>
              <w:rPr>
                <w:rFonts w:cs="Garamond"/>
                <w:color w:val="000000"/>
              </w:rPr>
              <w:fldChar w:fldCharType="begin" w:fldLock="1"/>
            </w:r>
            <w:r>
              <w:rPr>
                <w:rFonts w:cs="Garamond"/>
                <w:color w:val="000000"/>
              </w:rPr>
              <w:instrText>ADDIN CSL_CITATION {"citationItems":[{"id":"ITEM-1","itemData":{"DOI":"10.1111/acv.12184","ISBN":"1469-1795","ISSN":"14691795","abstract":"Illegal hunting for bushmeat is regarded as an important cause of biodiversity decline in Africa. We use a ‘stated preferences’ method to obtain information on determinants of demand for bushmeat and two other protein sources, fish and chicken, in villages around the Serengeti National Park, Tanzania. Our study focuses particularly on the impact of price changes, as anticipating and understanding the impact of price changes (whether caused by conservation interventions or market changes) on demand for bushmeat enables effective responses to be planned. We estimate the effects of changes in the price of bushmeat and in the prices of two substitute protein sources – fish and chicken – on household demand for bushmeat. Results suggest that increasing the availability of lower priced protein substitutes would reduce demand for bushmeat, and therefore, potentially pressure on wildlife populations. However, raising the price of bushmeat (e.g. as a result of reducing illegal hunting) would reduce household demand to a greater degree than equivalent decreases in the price of alternative protein sources. In both cases, elasticity of demand parameters are reported, which summarize the relative response to households to these alternative interventions. A 10% rise in bushmeat prices would reduce demand by around 6–7%, while a 10% fall in chicken or fish prices would reduce bushmeat demand by around 3–4%. The response to price changes varied between ethnic groups, and also according to household size (with the direction of the effect depending on whether the substitute was chicken or fish), but was not significantly affected by wealth or income.","author":[{"dropping-particle":"","family":"Moro","given":"M.","non-dropping-particle":"","parse-names":false,"suffix":""},{"dropping-particle":"","family":"Fischer","given":"A.","non-dropping-particle":"","parse-names":false,"suffix":""},{"dropping-particle":"","family":"Milner-Gulland","given":"E. J.","non-dropping-particle":"","parse-names":false,"suffix":""},{"dropping-particle":"","family":"Lowassa","given":"A.","non-dropping-particle":"","parse-names":false,"suffix":""},{"dropping-particle":"","family":"Naiman","given":"L. C.","non-dropping-particle":"","parse-names":false,"suffix":""},{"dropping-particle":"","family":"Hanley","given":"Nick","non-dropping-particle":"","parse-names":false,"suffix":""}],"container-title":"Animal Conservation","id":"ITEM-1","issue":"4","issued":{"date-parts":[["2015"]]},"page":"377-386","title":"A stated preference investigation of household demand for illegally hunted bushmeat in the Serengeti, Tanzania","type":"article-journal","volume":"18"},"uris":["http://www.mendeley.com/documents/?uuid=16484819-9439-4442-aa5f-b36b69adbd94"]}],"mendeley":{"formattedCitation":"(Moro et al. 2015)","manualFormatting":"Moro et al. 2015","plainTextFormattedCitation":"(Moro et al. 2015)","previouslyFormattedCitation":"(Moro et al. 2015)"},"properties":{"noteIndex":0},"schema":"https://github.com/citation-style-language/schema/raw/master/csl-citation.json"}</w:instrText>
            </w:r>
            <w:r>
              <w:rPr>
                <w:rFonts w:cs="Garamond"/>
                <w:color w:val="000000"/>
              </w:rPr>
              <w:fldChar w:fldCharType="separate"/>
            </w:r>
            <w:r w:rsidRPr="00015948">
              <w:rPr>
                <w:rFonts w:cs="Garamond"/>
                <w:noProof/>
                <w:color w:val="000000"/>
              </w:rPr>
              <w:t>Moro et al. 2015</w:t>
            </w:r>
            <w:r>
              <w:rPr>
                <w:rFonts w:cs="Garamond"/>
                <w:color w:val="000000"/>
              </w:rPr>
              <w:fldChar w:fldCharType="end"/>
            </w:r>
          </w:p>
        </w:tc>
        <w:tc>
          <w:tcPr>
            <w:tcW w:w="1450" w:type="dxa"/>
          </w:tcPr>
          <w:p w14:paraId="098C4258"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Tanzania</w:t>
            </w:r>
          </w:p>
        </w:tc>
        <w:tc>
          <w:tcPr>
            <w:tcW w:w="2537" w:type="dxa"/>
          </w:tcPr>
          <w:p w14:paraId="64D9CEE8"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Stated preference exercise for 96 households in 6 villages</w:t>
            </w:r>
          </w:p>
        </w:tc>
        <w:tc>
          <w:tcPr>
            <w:tcW w:w="2298" w:type="dxa"/>
          </w:tcPr>
          <w:p w14:paraId="12E3892E"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Not collected</w:t>
            </w:r>
          </w:p>
        </w:tc>
        <w:tc>
          <w:tcPr>
            <w:tcW w:w="4294" w:type="dxa"/>
          </w:tcPr>
          <w:p w14:paraId="3E125698"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The quantity of wild meat demanded was negatively associated with the price of wild meat, while it was positively associated with prices of fish or chicken. Given that households consume on average 2.7 kg of wild meat a week (Rentsch &amp; Damon, 2013), and there are around 52,600 households in the area, a 10% wild meat price increase would lead to a drop in weekly wild meat consumption in the area of about 10 tonnes.  </w:t>
            </w:r>
          </w:p>
          <w:p w14:paraId="6090D77D" w14:textId="77777777" w:rsidR="00496039" w:rsidRPr="0011764A" w:rsidRDefault="00496039" w:rsidP="00B2630D">
            <w:pPr>
              <w:widowControl w:val="0"/>
              <w:autoSpaceDE w:val="0"/>
              <w:autoSpaceDN w:val="0"/>
              <w:adjustRightInd w:val="0"/>
              <w:spacing w:after="0"/>
              <w:contextualSpacing/>
              <w:rPr>
                <w:rFonts w:cs="Garamond"/>
                <w:color w:val="000000"/>
              </w:rPr>
            </w:pPr>
          </w:p>
        </w:tc>
        <w:tc>
          <w:tcPr>
            <w:tcW w:w="1872" w:type="dxa"/>
          </w:tcPr>
          <w:p w14:paraId="2FA7C12F"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Own price: -0.66-0.69 </w:t>
            </w:r>
          </w:p>
          <w:p w14:paraId="51AAFBB2" w14:textId="77777777" w:rsidR="00496039" w:rsidRPr="0011764A" w:rsidRDefault="00496039" w:rsidP="00B2630D">
            <w:pPr>
              <w:widowControl w:val="0"/>
              <w:autoSpaceDE w:val="0"/>
              <w:autoSpaceDN w:val="0"/>
              <w:adjustRightInd w:val="0"/>
              <w:spacing w:after="0"/>
              <w:contextualSpacing/>
              <w:rPr>
                <w:rFonts w:cs="Garamond"/>
                <w:color w:val="000000"/>
              </w:rPr>
            </w:pPr>
          </w:p>
          <w:p w14:paraId="2786AA6A"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Cross-price:</w:t>
            </w:r>
          </w:p>
          <w:p w14:paraId="74447AAC"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Fish: +0.48-0.53 </w:t>
            </w:r>
          </w:p>
          <w:p w14:paraId="02231458"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Chicken: +0.32 </w:t>
            </w:r>
          </w:p>
          <w:p w14:paraId="16D03130" w14:textId="77777777" w:rsidR="00496039" w:rsidRPr="0011764A" w:rsidRDefault="00496039" w:rsidP="00B2630D">
            <w:pPr>
              <w:widowControl w:val="0"/>
              <w:autoSpaceDE w:val="0"/>
              <w:autoSpaceDN w:val="0"/>
              <w:adjustRightInd w:val="0"/>
              <w:spacing w:after="0"/>
              <w:contextualSpacing/>
              <w:rPr>
                <w:rFonts w:cs="Garamond"/>
                <w:color w:val="000000"/>
              </w:rPr>
            </w:pPr>
            <w:r w:rsidRPr="0011764A">
              <w:rPr>
                <w:rFonts w:cs="Garamond"/>
                <w:color w:val="000000"/>
              </w:rPr>
              <w:t xml:space="preserve"> </w:t>
            </w:r>
          </w:p>
        </w:tc>
      </w:tr>
    </w:tbl>
    <w:p w14:paraId="14328C2D" w14:textId="77777777" w:rsidR="00496039" w:rsidRDefault="00496039" w:rsidP="00496039"/>
    <w:p w14:paraId="7238437B" w14:textId="77777777" w:rsidR="00496039" w:rsidRDefault="00496039" w:rsidP="00496039"/>
    <w:p w14:paraId="7381BB2B" w14:textId="77777777" w:rsidR="00496039" w:rsidRDefault="00496039" w:rsidP="00496039"/>
    <w:p w14:paraId="52F659A1" w14:textId="77777777" w:rsidR="00496039" w:rsidRDefault="00496039" w:rsidP="00496039"/>
    <w:p w14:paraId="04F0628C" w14:textId="3AFCD384" w:rsidR="00496039" w:rsidRDefault="00496039" w:rsidP="00B510D0">
      <w:pPr>
        <w:spacing w:before="240"/>
        <w:rPr>
          <w:color w:val="000000" w:themeColor="text1"/>
          <w:sz w:val="20"/>
          <w:szCs w:val="20"/>
        </w:rPr>
        <w:sectPr w:rsidR="00496039" w:rsidSect="00B510D0">
          <w:pgSz w:w="16838" w:h="11906" w:orient="landscape"/>
          <w:pgMar w:top="1440" w:right="1440" w:bottom="1440" w:left="1440" w:header="708" w:footer="708" w:gutter="0"/>
          <w:cols w:space="708"/>
          <w:docGrid w:linePitch="360"/>
        </w:sectPr>
      </w:pPr>
    </w:p>
    <w:p w14:paraId="3A9169F4" w14:textId="10757403" w:rsidR="00B510D0" w:rsidRPr="00B510D0" w:rsidRDefault="00B510D0" w:rsidP="00B510D0">
      <w:pPr>
        <w:spacing w:before="240"/>
        <w:rPr>
          <w:color w:val="000000" w:themeColor="text1"/>
          <w:sz w:val="20"/>
          <w:szCs w:val="20"/>
        </w:rPr>
      </w:pPr>
    </w:p>
    <w:p w14:paraId="25E31FC8" w14:textId="0CF7EC96" w:rsidR="009A6ACD" w:rsidRPr="00C73CB9" w:rsidRDefault="00303311" w:rsidP="00DF57F3">
      <w:pPr>
        <w:pStyle w:val="Heading1"/>
      </w:pPr>
      <w:bookmarkStart w:id="340" w:name="_Toc529390388"/>
      <w:r w:rsidRPr="00C73CB9">
        <w:t>REFERENCES</w:t>
      </w:r>
      <w:bookmarkEnd w:id="340"/>
    </w:p>
    <w:p w14:paraId="65A7BFD9" w14:textId="13F42AA7" w:rsidR="001D376A" w:rsidRPr="001D376A" w:rsidRDefault="00C73CB9" w:rsidP="001D376A">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1D376A" w:rsidRPr="001D376A">
        <w:rPr>
          <w:noProof/>
        </w:rPr>
        <w:t xml:space="preserve">Abbott, B. &amp; van Kooten, G.C. (2011). Can domestication of wildlife lead to conservation? The economics of tiger farming in China. </w:t>
      </w:r>
      <w:r w:rsidR="001D376A" w:rsidRPr="001D376A">
        <w:rPr>
          <w:i/>
          <w:iCs/>
          <w:noProof/>
        </w:rPr>
        <w:t>Ecol. Econ.</w:t>
      </w:r>
      <w:r w:rsidR="001D376A" w:rsidRPr="001D376A">
        <w:rPr>
          <w:noProof/>
        </w:rPr>
        <w:t>, 70, 721–728.</w:t>
      </w:r>
    </w:p>
    <w:p w14:paraId="6F77DCC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Abernethy, K. a, Coad, L., Taylor, G., Lee, M.E. &amp; Maisels, F. (2013a). Extent and ecological consequences of hunting in Central African rainforests in the twenty-first century. </w:t>
      </w:r>
      <w:r w:rsidRPr="001D376A">
        <w:rPr>
          <w:i/>
          <w:iCs/>
          <w:noProof/>
        </w:rPr>
        <w:t>Philos. Trans. R. Soc. Lond. B. Biol. Sci.</w:t>
      </w:r>
      <w:r w:rsidRPr="001D376A">
        <w:rPr>
          <w:noProof/>
        </w:rPr>
        <w:t>, 368.</w:t>
      </w:r>
    </w:p>
    <w:p w14:paraId="645E465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Abernethy, K. &amp; Ndong Obiang, A.M. (2010). </w:t>
      </w:r>
      <w:r w:rsidRPr="001D376A">
        <w:rPr>
          <w:i/>
          <w:iCs/>
          <w:noProof/>
        </w:rPr>
        <w:t>Bushmeat in Gabon. Technical report to the Directeur Général des Eaux et Forêts, Président du Comité Interministériel de la Stratégie Nationale de Gestion de la Viande de Brousse.</w:t>
      </w:r>
      <w:r w:rsidRPr="001D376A">
        <w:rPr>
          <w:noProof/>
        </w:rPr>
        <w:t xml:space="preserve"> Ministère des Eaux et Forêts, Gabon.</w:t>
      </w:r>
    </w:p>
    <w:p w14:paraId="0FBD555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Abernethy, K.A., Coad, L., Taylor, G., Lee, M.E. &amp; Maisels, F. (2013b). Extent and ecological consequences of hunting in Central African rainforests in the twenty-first century. </w:t>
      </w:r>
      <w:r w:rsidRPr="001D376A">
        <w:rPr>
          <w:i/>
          <w:iCs/>
          <w:noProof/>
        </w:rPr>
        <w:t>Philos. Trans. R. Soc. Lond. B. Biol. Sci.</w:t>
      </w:r>
      <w:r w:rsidRPr="001D376A">
        <w:rPr>
          <w:noProof/>
        </w:rPr>
        <w:t>, 368, 20120303.</w:t>
      </w:r>
    </w:p>
    <w:p w14:paraId="6D7FCD5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Abrahams, M.I., Peres, C.A. &amp; Costa, H.C.M. (2017). Measuring local depletion of terrestrial game vertebrates by central-place hunters in rural Amazonia. </w:t>
      </w:r>
      <w:r w:rsidRPr="001D376A">
        <w:rPr>
          <w:i/>
          <w:iCs/>
          <w:noProof/>
        </w:rPr>
        <w:t>PLoS One</w:t>
      </w:r>
      <w:r w:rsidRPr="001D376A">
        <w:rPr>
          <w:noProof/>
        </w:rPr>
        <w:t>, 12, e0186653.</w:t>
      </w:r>
    </w:p>
    <w:p w14:paraId="5AF62BB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Abu-Basutu, K.N. (2013). </w:t>
      </w:r>
      <w:r w:rsidRPr="001D376A">
        <w:rPr>
          <w:i/>
          <w:iCs/>
          <w:noProof/>
        </w:rPr>
        <w:t>Relative contribution of wild foods to individual and household food security in the context of increasing vulnerability due to HIV/AIDS and climate variability</w:t>
      </w:r>
      <w:r w:rsidRPr="001D376A">
        <w:rPr>
          <w:noProof/>
        </w:rPr>
        <w:t>. MSc Thesis, Rhodes University, South Africa.</w:t>
      </w:r>
    </w:p>
    <w:p w14:paraId="30F72D7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Agrawal, A. (2014). Studying the commons, governing common-pool resource outcomes: some concluding thoughts. </w:t>
      </w:r>
      <w:r w:rsidRPr="001D376A">
        <w:rPr>
          <w:i/>
          <w:iCs/>
          <w:noProof/>
        </w:rPr>
        <w:t>Environ. Sci. Policy</w:t>
      </w:r>
      <w:r w:rsidRPr="001D376A">
        <w:rPr>
          <w:noProof/>
        </w:rPr>
        <w:t>, 174, 502–503.</w:t>
      </w:r>
    </w:p>
    <w:p w14:paraId="159749D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Ahrends, A., Burgess, N.D., Milledge, S.A.H., Bulling, M.T., Fisher, B., Smart, J.C.R., Clarke, G.P., Mhoro, B.E. &amp; Lewis, S.L. (2010). Predictable waves of sequential forest degradation and biodiversity loss spreading from an African city. </w:t>
      </w:r>
      <w:r w:rsidRPr="001D376A">
        <w:rPr>
          <w:i/>
          <w:iCs/>
          <w:noProof/>
        </w:rPr>
        <w:t>Proc. Natl. Acad. Sci.</w:t>
      </w:r>
      <w:r w:rsidRPr="001D376A">
        <w:rPr>
          <w:noProof/>
        </w:rPr>
        <w:t>, 107, 14556–14561.</w:t>
      </w:r>
    </w:p>
    <w:p w14:paraId="67F8149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Aiyadurai, A., Singh, N.J. &amp; Milner-Gulland, E.J. (2010). Wildlife hunting by indigenous tribes: a case study from Arunachal Pradesh, north-east India. </w:t>
      </w:r>
      <w:r w:rsidRPr="001D376A">
        <w:rPr>
          <w:i/>
          <w:iCs/>
          <w:noProof/>
        </w:rPr>
        <w:t>Oryx</w:t>
      </w:r>
      <w:r w:rsidRPr="001D376A">
        <w:rPr>
          <w:noProof/>
        </w:rPr>
        <w:t>, 44, 564–572.</w:t>
      </w:r>
    </w:p>
    <w:p w14:paraId="3339F49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Akinola, L., Etela, I. &amp; Emiero, S. (2015). Grasscutter (Thryonomys swinderianus) production in West Africa: prospects, challenges and role in disease transmission. </w:t>
      </w:r>
      <w:r w:rsidRPr="001D376A">
        <w:rPr>
          <w:i/>
          <w:iCs/>
          <w:noProof/>
        </w:rPr>
        <w:t>Am. J. Exp. Agric.</w:t>
      </w:r>
      <w:r w:rsidRPr="001D376A">
        <w:rPr>
          <w:noProof/>
        </w:rPr>
        <w:t>, 6, 196–207.</w:t>
      </w:r>
    </w:p>
    <w:p w14:paraId="516A012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Alders, R. &amp; Spradbrow, P.B. (2001a). </w:t>
      </w:r>
      <w:r w:rsidRPr="001D376A">
        <w:rPr>
          <w:i/>
          <w:iCs/>
          <w:noProof/>
        </w:rPr>
        <w:t>Controlling Newcastle disease in village chicken: a field manual</w:t>
      </w:r>
      <w:r w:rsidRPr="001D376A">
        <w:rPr>
          <w:noProof/>
        </w:rPr>
        <w:t>. Australian Centre for International Agricultural Research (ACIAR). Monograph No. 82, Lusaka, Zambia.</w:t>
      </w:r>
    </w:p>
    <w:p w14:paraId="6ABA1D8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Alders, R.G. (2014). Making Newcastle disease vaccines available at village level. </w:t>
      </w:r>
      <w:r w:rsidRPr="001D376A">
        <w:rPr>
          <w:i/>
          <w:iCs/>
          <w:noProof/>
        </w:rPr>
        <w:t>Vet. Rec.</w:t>
      </w:r>
      <w:r w:rsidRPr="001D376A">
        <w:rPr>
          <w:noProof/>
        </w:rPr>
        <w:t>, 174.</w:t>
      </w:r>
    </w:p>
    <w:p w14:paraId="010B123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Alders, R.G. (Robyn G.. &amp; Spradbrow, P.B. (2001b). </w:t>
      </w:r>
      <w:r w:rsidRPr="001D376A">
        <w:rPr>
          <w:i/>
          <w:iCs/>
          <w:noProof/>
        </w:rPr>
        <w:t>Controlling Newcastle disease in village chickens: a field manual</w:t>
      </w:r>
      <w:r w:rsidRPr="001D376A">
        <w:rPr>
          <w:noProof/>
        </w:rPr>
        <w:t>. Australian Centre for International Agricultural Research (ACIAR). Monograph No. 82, Lusaka, Zambia.</w:t>
      </w:r>
    </w:p>
    <w:p w14:paraId="20C6A9D7"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Alexander, J.S., McNamara, J., Rowcliffe, J.M., Oppong, J. &amp; Milner-Gulland, E.J. (2015). The role of bushmeat in a West African agricultural landscape. </w:t>
      </w:r>
      <w:r w:rsidRPr="001D376A">
        <w:rPr>
          <w:i/>
          <w:iCs/>
          <w:noProof/>
        </w:rPr>
        <w:t>Oryx</w:t>
      </w:r>
      <w:r w:rsidRPr="001D376A">
        <w:rPr>
          <w:noProof/>
        </w:rPr>
        <w:t>, 49, 643–651.</w:t>
      </w:r>
    </w:p>
    <w:p w14:paraId="006E592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Allebone-Webb, S.M. (2009). </w:t>
      </w:r>
      <w:r w:rsidRPr="001D376A">
        <w:rPr>
          <w:i/>
          <w:iCs/>
          <w:noProof/>
        </w:rPr>
        <w:t>Evaluating dependence on wildlife products in rural Equatorial Guinea</w:t>
      </w:r>
      <w:r w:rsidRPr="001D376A">
        <w:rPr>
          <w:noProof/>
        </w:rPr>
        <w:t>. PhD Thesis, Imperial College London, UK.</w:t>
      </w:r>
    </w:p>
    <w:p w14:paraId="245DF29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Alvard, M. (2000). The Potential for Sustainable Harvests by Traditional Wana Hunters in Morowali Nature Reserve, Central Sulawesi, Indonesia. </w:t>
      </w:r>
      <w:r w:rsidRPr="001D376A">
        <w:rPr>
          <w:i/>
          <w:iCs/>
          <w:noProof/>
        </w:rPr>
        <w:t>Hum. Organ.</w:t>
      </w:r>
      <w:r w:rsidRPr="001D376A">
        <w:rPr>
          <w:noProof/>
        </w:rPr>
        <w:t>, 59, 428–440.</w:t>
      </w:r>
    </w:p>
    <w:p w14:paraId="432F368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Alvard, M.S., Robinson, J.G., Redford, K.H. &amp; Kaplan, H. (1997). The sustainability of subsistence hunting in the Neotropics. </w:t>
      </w:r>
      <w:r w:rsidRPr="001D376A">
        <w:rPr>
          <w:i/>
          <w:iCs/>
          <w:noProof/>
        </w:rPr>
        <w:t>Conserv. Biol.</w:t>
      </w:r>
      <w:r w:rsidRPr="001D376A">
        <w:rPr>
          <w:noProof/>
        </w:rPr>
        <w:t>, 11, 977–982.</w:t>
      </w:r>
    </w:p>
    <w:p w14:paraId="054C7759"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Alves, R.R.N., Gonçalves, M.B.R. &amp; Vieira, W.L.S. (2012). Caça, uso e conservação de vertebrados no semiárido Brasileiro. </w:t>
      </w:r>
      <w:r w:rsidRPr="00814265">
        <w:rPr>
          <w:i/>
          <w:iCs/>
          <w:noProof/>
          <w:lang w:val="pt-BR"/>
        </w:rPr>
        <w:t>Trop. Conserv. Sci.</w:t>
      </w:r>
      <w:r w:rsidRPr="00814265">
        <w:rPr>
          <w:noProof/>
          <w:lang w:val="pt-BR"/>
        </w:rPr>
        <w:t>, 5, 394–416.</w:t>
      </w:r>
    </w:p>
    <w:p w14:paraId="618B46AE"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Alves, R.R.N., Mendonça, L.E.T., Confessor, M.V.A., Vieira, W.L.S. &amp; Lopez, L.C.S. (2009). </w:t>
      </w:r>
      <w:r w:rsidRPr="001D376A">
        <w:rPr>
          <w:noProof/>
        </w:rPr>
        <w:t xml:space="preserve">Hunting strategies used in the semi-arid region of northeastern Brazil. </w:t>
      </w:r>
      <w:r w:rsidRPr="001D376A">
        <w:rPr>
          <w:i/>
          <w:iCs/>
          <w:noProof/>
        </w:rPr>
        <w:t>J. Ethnobiol. Ethnomed.</w:t>
      </w:r>
      <w:r w:rsidRPr="001D376A">
        <w:rPr>
          <w:noProof/>
        </w:rPr>
        <w:t>, 5, 1–16.</w:t>
      </w:r>
    </w:p>
    <w:p w14:paraId="372367A4"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Alves, R.R.N. &amp; van Vliet, N. (2018). Wild Fauna on the menu. In: </w:t>
      </w:r>
      <w:r w:rsidRPr="001D376A">
        <w:rPr>
          <w:i/>
          <w:iCs/>
          <w:noProof/>
        </w:rPr>
        <w:t>Ethnozoology</w:t>
      </w:r>
      <w:r w:rsidRPr="001D376A">
        <w:rPr>
          <w:noProof/>
        </w:rPr>
        <w:t xml:space="preserve"> (eds. Alves, R.R.N. &amp; Albuquerque, U.P.). </w:t>
      </w:r>
      <w:r w:rsidRPr="00814265">
        <w:rPr>
          <w:noProof/>
          <w:lang w:val="pt-BR"/>
        </w:rPr>
        <w:t>Elsevier, Oxford, UK, pp. 167–194.</w:t>
      </w:r>
    </w:p>
    <w:p w14:paraId="644BBDAA" w14:textId="77777777" w:rsidR="001D376A" w:rsidRPr="00DF57F3" w:rsidRDefault="001D376A" w:rsidP="001D376A">
      <w:pPr>
        <w:widowControl w:val="0"/>
        <w:autoSpaceDE w:val="0"/>
        <w:autoSpaceDN w:val="0"/>
        <w:adjustRightInd w:val="0"/>
        <w:ind w:left="480" w:hanging="480"/>
        <w:rPr>
          <w:noProof/>
          <w:lang w:val="pt-BR"/>
        </w:rPr>
      </w:pPr>
      <w:r w:rsidRPr="00814265">
        <w:rPr>
          <w:noProof/>
          <w:lang w:val="pt-BR"/>
        </w:rPr>
        <w:t xml:space="preserve">Amaral, E.S.R. (2009). </w:t>
      </w:r>
      <w:r w:rsidRPr="00814265">
        <w:rPr>
          <w:i/>
          <w:iCs/>
          <w:noProof/>
          <w:lang w:val="pt-BR"/>
        </w:rPr>
        <w:t>O manejo comunitário de pirarucu (Arapaima gigas) como alternativa econômica para pescadores das RDSs Amanã e Mamirauá, Amazonas, Brasil. Dissertação (Mestrado em Gestão de Recursos Naturais e Desenvolvimento Local na Amazônia – Núcleo de Meio Ambiente</w:t>
      </w:r>
      <w:r w:rsidRPr="00814265">
        <w:rPr>
          <w:noProof/>
          <w:lang w:val="pt-BR"/>
        </w:rPr>
        <w:t xml:space="preserve">. </w:t>
      </w:r>
      <w:r w:rsidRPr="00DF57F3">
        <w:rPr>
          <w:noProof/>
          <w:lang w:val="pt-BR"/>
        </w:rPr>
        <w:t>Belém, Brazil.</w:t>
      </w:r>
    </w:p>
    <w:p w14:paraId="48B820B6" w14:textId="77777777" w:rsidR="001D376A" w:rsidRPr="00814265" w:rsidRDefault="001D376A" w:rsidP="001D376A">
      <w:pPr>
        <w:widowControl w:val="0"/>
        <w:autoSpaceDE w:val="0"/>
        <w:autoSpaceDN w:val="0"/>
        <w:adjustRightInd w:val="0"/>
        <w:ind w:left="480" w:hanging="480"/>
        <w:rPr>
          <w:noProof/>
          <w:lang w:val="pt-BR"/>
        </w:rPr>
      </w:pPr>
      <w:r w:rsidRPr="00DF57F3">
        <w:rPr>
          <w:noProof/>
          <w:lang w:val="pt-BR"/>
        </w:rPr>
        <w:t xml:space="preserve">Ambrose-Oji, B. (2003). </w:t>
      </w:r>
      <w:r w:rsidRPr="001D376A">
        <w:rPr>
          <w:noProof/>
        </w:rPr>
        <w:t xml:space="preserve">The contribution of NTFPs to the livelihoods of the “forest poor”: evidence from the tropical forest zone of south-west Cameroon. </w:t>
      </w:r>
      <w:r w:rsidRPr="00814265">
        <w:rPr>
          <w:i/>
          <w:iCs/>
          <w:noProof/>
          <w:lang w:val="pt-BR"/>
        </w:rPr>
        <w:t>Int. For. Rev.</w:t>
      </w:r>
      <w:r w:rsidRPr="00814265">
        <w:rPr>
          <w:noProof/>
          <w:lang w:val="pt-BR"/>
        </w:rPr>
        <w:t>, 5, 106–117.</w:t>
      </w:r>
    </w:p>
    <w:p w14:paraId="5ACBCCEB"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Anaya, F.C. &amp; Espírito-Santo, M.M. (2018). </w:t>
      </w:r>
      <w:r w:rsidRPr="001D376A">
        <w:rPr>
          <w:noProof/>
        </w:rPr>
        <w:t xml:space="preserve">Protected areas and territorial exclusion of traditional communities: analyzing the social impacts of environmental compensation strategies in Brazil. </w:t>
      </w:r>
      <w:r w:rsidRPr="001D376A">
        <w:rPr>
          <w:i/>
          <w:iCs/>
          <w:noProof/>
        </w:rPr>
        <w:t>Ecol. Soc.</w:t>
      </w:r>
      <w:r w:rsidRPr="001D376A">
        <w:rPr>
          <w:noProof/>
        </w:rPr>
        <w:t>, 23, 8.</w:t>
      </w:r>
    </w:p>
    <w:p w14:paraId="5781354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Anderson, J. &amp; Mehta, S. (2013). </w:t>
      </w:r>
      <w:r w:rsidRPr="001D376A">
        <w:rPr>
          <w:i/>
          <w:iCs/>
          <w:noProof/>
        </w:rPr>
        <w:t>A Global Assessment of Community Based Natural Resource Management : Addressing the Critical Challenges of the Rural Sector</w:t>
      </w:r>
      <w:r w:rsidRPr="001D376A">
        <w:rPr>
          <w:noProof/>
        </w:rPr>
        <w:t xml:space="preserve">. </w:t>
      </w:r>
      <w:r w:rsidRPr="001D376A">
        <w:rPr>
          <w:i/>
          <w:iCs/>
          <w:noProof/>
        </w:rPr>
        <w:t>Rep. Prep. by Int. Resour. Gr. United States Agency Int. Dev.</w:t>
      </w:r>
    </w:p>
    <w:p w14:paraId="12E6B453"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Andresen, E. &amp; Laurance, S.G.W. (2007). Possible indirect effects of mammal hunting on dung beetle assemblages in Panama. </w:t>
      </w:r>
      <w:r w:rsidRPr="00814265">
        <w:rPr>
          <w:i/>
          <w:iCs/>
          <w:noProof/>
          <w:lang w:val="pt-BR"/>
        </w:rPr>
        <w:t>Biotropica</w:t>
      </w:r>
      <w:r w:rsidRPr="00814265">
        <w:rPr>
          <w:noProof/>
          <w:lang w:val="pt-BR"/>
        </w:rPr>
        <w:t>, 39, 141–146.</w:t>
      </w:r>
    </w:p>
    <w:p w14:paraId="37A09677"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Angoue, C.-A. (1999). Une gestion du milieu selon les rapports historiques et économiques de l’homme à la terre dans la réserve de faune de la Lopé (Gabon). </w:t>
      </w:r>
      <w:r w:rsidRPr="00DF57F3">
        <w:rPr>
          <w:noProof/>
          <w:lang w:val="fr-FR"/>
        </w:rPr>
        <w:t xml:space="preserve">In: </w:t>
      </w:r>
      <w:r w:rsidRPr="00DF57F3">
        <w:rPr>
          <w:i/>
          <w:iCs/>
          <w:noProof/>
          <w:lang w:val="fr-FR"/>
        </w:rPr>
        <w:t>L’homme la Forêt Trop.</w:t>
      </w:r>
      <w:r w:rsidRPr="00DF57F3">
        <w:rPr>
          <w:noProof/>
          <w:lang w:val="fr-FR"/>
        </w:rPr>
        <w:t xml:space="preserve"> (eds. Bahuchet, S., Bley, D., Pagézy, H. &amp; Vernazza-Licht, N.). </w:t>
      </w:r>
      <w:r w:rsidRPr="001D376A">
        <w:rPr>
          <w:noProof/>
        </w:rPr>
        <w:t>pp. 477–485.</w:t>
      </w:r>
    </w:p>
    <w:p w14:paraId="26B9238E"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Antunes, A.P., Fewster, R.M., Venticinque, E.M., Peres, C.A., Levi, T., Rohe, F. &amp; Shepard, G.H. (2016). Empty forest or empty rivers? A century of commercial hunting in Amazonia. </w:t>
      </w:r>
      <w:r w:rsidRPr="00814265">
        <w:rPr>
          <w:i/>
          <w:iCs/>
          <w:noProof/>
          <w:lang w:val="pt-BR"/>
        </w:rPr>
        <w:t>Sci. Adv.</w:t>
      </w:r>
      <w:r w:rsidRPr="00814265">
        <w:rPr>
          <w:noProof/>
          <w:lang w:val="pt-BR"/>
        </w:rPr>
        <w:t>, 2, e1600936–e1600936.</w:t>
      </w:r>
    </w:p>
    <w:p w14:paraId="2795CDA3"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Apaza, L., Wilkie, D., Byron, E., Huanca, T., Leonard, W., Pérez, E., Reyes-García, V., Vadez, V. &amp; Godoy, R. (2002). </w:t>
      </w:r>
      <w:r w:rsidRPr="001D376A">
        <w:rPr>
          <w:noProof/>
        </w:rPr>
        <w:t xml:space="preserve">Meat prices influence the consumption of wildlife by the </w:t>
      </w:r>
      <w:r w:rsidRPr="001D376A">
        <w:rPr>
          <w:noProof/>
        </w:rPr>
        <w:lastRenderedPageBreak/>
        <w:t xml:space="preserve">Tsimane’ Amerindians of Bolivia. </w:t>
      </w:r>
      <w:r w:rsidRPr="001D376A">
        <w:rPr>
          <w:i/>
          <w:iCs/>
          <w:noProof/>
        </w:rPr>
        <w:t>Oryx</w:t>
      </w:r>
      <w:r w:rsidRPr="001D376A">
        <w:rPr>
          <w:noProof/>
        </w:rPr>
        <w:t>, 36, 382–388.</w:t>
      </w:r>
    </w:p>
    <w:p w14:paraId="38FEB1E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Apostolaki, P., Milner-Gulland, E.J., McAllister, M.K. &amp; Kirkwood, G.P. (2002). Modelling the effects of establishing a marine reserve for mobile fish species. </w:t>
      </w:r>
      <w:r w:rsidRPr="001D376A">
        <w:rPr>
          <w:i/>
          <w:iCs/>
          <w:noProof/>
        </w:rPr>
        <w:t>Can. J. Fish. Aquat. Sci.</w:t>
      </w:r>
      <w:r w:rsidRPr="001D376A">
        <w:rPr>
          <w:noProof/>
        </w:rPr>
        <w:t>, 59, 405–415.</w:t>
      </w:r>
    </w:p>
    <w:p w14:paraId="1DFB633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Asare, N., Onumah, J.M. &amp; Simpson, S.N.Y. (2013). Exploring the disclosure of intellectual capital in Ghana: evidence from listed companies. </w:t>
      </w:r>
      <w:r w:rsidRPr="001D376A">
        <w:rPr>
          <w:i/>
          <w:iCs/>
          <w:noProof/>
        </w:rPr>
        <w:t>J. Account. Mark.</w:t>
      </w:r>
      <w:r w:rsidRPr="001D376A">
        <w:rPr>
          <w:noProof/>
        </w:rPr>
        <w:t>, 2.</w:t>
      </w:r>
    </w:p>
    <w:p w14:paraId="5019808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Ashton, P. (2007). Asia’s tropics are the most intensively used: contrasting conservation strategies between South and East. </w:t>
      </w:r>
      <w:r w:rsidRPr="001D376A">
        <w:rPr>
          <w:i/>
          <w:iCs/>
          <w:noProof/>
        </w:rPr>
        <w:t>Curr. Sci.</w:t>
      </w:r>
      <w:r w:rsidRPr="001D376A">
        <w:rPr>
          <w:noProof/>
        </w:rPr>
        <w:t>, 93, 1538–1543.</w:t>
      </w:r>
    </w:p>
    <w:p w14:paraId="7D64B58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Aston, E.J., Mayor, P., Bowman, D.D., Mohammed, H.O., Liotta, J.L., Kwok, O. &amp; Dubey, J.P. (2014). Use of filter papers to determine seroprevalence of Toxoplasma gondii among hunted ungulates in remote Peruvian Amazon. </w:t>
      </w:r>
      <w:r w:rsidRPr="001D376A">
        <w:rPr>
          <w:i/>
          <w:iCs/>
          <w:noProof/>
        </w:rPr>
        <w:t>Int. J. Parasitol. Parasites Wildl.</w:t>
      </w:r>
      <w:r w:rsidRPr="001D376A">
        <w:rPr>
          <w:noProof/>
        </w:rPr>
        <w:t>, 3, 15–19.</w:t>
      </w:r>
    </w:p>
    <w:p w14:paraId="1B95BB6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Aunger, R. (1992). </w:t>
      </w:r>
      <w:r w:rsidRPr="001D376A">
        <w:rPr>
          <w:i/>
          <w:iCs/>
          <w:noProof/>
        </w:rPr>
        <w:t>An ethnography of variation: food avoidance among horticulturalists and foragers in the Ituri forest, Zaire</w:t>
      </w:r>
      <w:r w:rsidRPr="001D376A">
        <w:rPr>
          <w:noProof/>
        </w:rPr>
        <w:t>. PhD Thesis, University of California, Los Angeles, USA.</w:t>
      </w:r>
    </w:p>
    <w:p w14:paraId="5A42A4C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Avila, E., Vargas, J.M., Bonat, W.H., Dupain, J., Epanda, M.A., Luyten, I., Tedonzong, L., Peeters, M. &amp; Fa, J.E. (2017). Interpreting long-term trends in bushmeat harvest in southeast Cameroon. </w:t>
      </w:r>
      <w:r w:rsidRPr="001D376A">
        <w:rPr>
          <w:i/>
          <w:iCs/>
          <w:noProof/>
        </w:rPr>
        <w:t>Acta Oecologica</w:t>
      </w:r>
      <w:r w:rsidRPr="001D376A">
        <w:rPr>
          <w:noProof/>
        </w:rPr>
        <w:t>, 1–9.</w:t>
      </w:r>
    </w:p>
    <w:p w14:paraId="49B90C29"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Ayres, J.M.C., Fonseca, G.A.B., Rylands, A.B., Queiroz, H.L., Pinto, L.P., Masterson, D. &amp; Cavalcanti, R.B. (2004). </w:t>
      </w:r>
      <w:r w:rsidRPr="00814265">
        <w:rPr>
          <w:i/>
          <w:iCs/>
          <w:noProof/>
          <w:lang w:val="pt-BR"/>
        </w:rPr>
        <w:t>Os corredores ecológicos das florestas tropicais do Brasil.</w:t>
      </w:r>
      <w:r w:rsidRPr="00814265">
        <w:rPr>
          <w:noProof/>
          <w:lang w:val="pt-BR"/>
        </w:rPr>
        <w:t xml:space="preserve"> Sociedade Civil Mamiraurá, Belém, Brasil.</w:t>
      </w:r>
    </w:p>
    <w:p w14:paraId="5B1469DE"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Bagnol, B., Alders, R.G., Costa, R., Lauchande, C., Monteiro, J., Msami, H., Mgomezulu, R., Zandamela, A. &amp; Young, M. (2013a). </w:t>
      </w:r>
      <w:r w:rsidRPr="001D376A">
        <w:rPr>
          <w:noProof/>
        </w:rPr>
        <w:t xml:space="preserve">Contributing factors for successful vaccination campaigns against Newcastle disease. </w:t>
      </w:r>
      <w:r w:rsidRPr="001D376A">
        <w:rPr>
          <w:i/>
          <w:iCs/>
          <w:noProof/>
        </w:rPr>
        <w:t xml:space="preserve">Livest. </w:t>
      </w:r>
      <w:r w:rsidRPr="00814265">
        <w:rPr>
          <w:i/>
          <w:iCs/>
          <w:noProof/>
          <w:lang w:val="pt-BR"/>
        </w:rPr>
        <w:t>Res. Rural Dev.</w:t>
      </w:r>
      <w:r w:rsidRPr="00814265">
        <w:rPr>
          <w:noProof/>
          <w:lang w:val="pt-BR"/>
        </w:rPr>
        <w:t>, 25.</w:t>
      </w:r>
    </w:p>
    <w:p w14:paraId="392E55D8"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Bagnol, B., Alders, R.G., Costa, R., Lauchande, C., Monteiro, J., Msami, H., Mgomezulu, R., Zandamela, A. &amp; Young, M. (2013b). </w:t>
      </w:r>
      <w:r w:rsidRPr="001D376A">
        <w:rPr>
          <w:noProof/>
        </w:rPr>
        <w:t xml:space="preserve">Contributing factors for successful vaccination campaigns against Newcastle disease. </w:t>
      </w:r>
      <w:r w:rsidRPr="001D376A">
        <w:rPr>
          <w:i/>
          <w:iCs/>
          <w:noProof/>
        </w:rPr>
        <w:t>Livest. Res. Rural Dev.</w:t>
      </w:r>
      <w:r w:rsidRPr="001D376A">
        <w:rPr>
          <w:noProof/>
        </w:rPr>
        <w:t>, 25, 95.</w:t>
      </w:r>
    </w:p>
    <w:p w14:paraId="41A02466" w14:textId="77777777" w:rsidR="001D376A" w:rsidRPr="00DF57F3" w:rsidRDefault="001D376A" w:rsidP="001D376A">
      <w:pPr>
        <w:widowControl w:val="0"/>
        <w:autoSpaceDE w:val="0"/>
        <w:autoSpaceDN w:val="0"/>
        <w:adjustRightInd w:val="0"/>
        <w:ind w:left="480" w:hanging="480"/>
        <w:rPr>
          <w:noProof/>
          <w:lang w:val="fr-FR"/>
        </w:rPr>
      </w:pPr>
      <w:r w:rsidRPr="001D376A">
        <w:rPr>
          <w:noProof/>
        </w:rPr>
        <w:t xml:space="preserve">Bahuchet, S. &amp; de Garine, I. (1990). The art of trapping in the rain forest. In: </w:t>
      </w:r>
      <w:r w:rsidRPr="001D376A">
        <w:rPr>
          <w:i/>
          <w:iCs/>
          <w:noProof/>
        </w:rPr>
        <w:t>Food Nutr. African Rain For.</w:t>
      </w:r>
      <w:r w:rsidRPr="001D376A">
        <w:rPr>
          <w:noProof/>
        </w:rPr>
        <w:t xml:space="preserve"> (eds. Hladik, C.M., Bahuchet, S. &amp; de Garine, I.). </w:t>
      </w:r>
      <w:r w:rsidRPr="00DF57F3">
        <w:rPr>
          <w:noProof/>
          <w:lang w:val="fr-FR"/>
        </w:rPr>
        <w:t>UNESCO / MAB, Paris, France, pp. 24–25.</w:t>
      </w:r>
    </w:p>
    <w:p w14:paraId="37A12A3B" w14:textId="77777777" w:rsidR="001D376A" w:rsidRPr="00DF57F3" w:rsidRDefault="001D376A" w:rsidP="001D376A">
      <w:pPr>
        <w:widowControl w:val="0"/>
        <w:autoSpaceDE w:val="0"/>
        <w:autoSpaceDN w:val="0"/>
        <w:adjustRightInd w:val="0"/>
        <w:ind w:left="480" w:hanging="480"/>
        <w:rPr>
          <w:noProof/>
          <w:lang w:val="fr-FR"/>
        </w:rPr>
      </w:pPr>
      <w:r w:rsidRPr="00DF57F3">
        <w:rPr>
          <w:noProof/>
          <w:lang w:val="fr-FR"/>
        </w:rPr>
        <w:t xml:space="preserve">Bahuchet, S. &amp; de Maret, P. (2000). </w:t>
      </w:r>
      <w:r w:rsidRPr="00DF57F3">
        <w:rPr>
          <w:i/>
          <w:iCs/>
          <w:noProof/>
          <w:lang w:val="fr-FR"/>
        </w:rPr>
        <w:t>Programme Avenir des People des Forêts Tropicales (APFT)</w:t>
      </w:r>
      <w:r w:rsidRPr="00DF57F3">
        <w:rPr>
          <w:noProof/>
          <w:lang w:val="fr-FR"/>
        </w:rPr>
        <w:t>. Universite Libre de Bruxelles, Brussels, Belgium, Universite Libre de Bruxelles, Brussels, Belgium.</w:t>
      </w:r>
    </w:p>
    <w:p w14:paraId="3CDDF6B8"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Baía Júnior, P.C., Guimarães, D.A. &amp; Le Pendu, Y. (2010). </w:t>
      </w:r>
      <w:r w:rsidRPr="001D376A">
        <w:rPr>
          <w:noProof/>
        </w:rPr>
        <w:t xml:space="preserve">Non-legalized commerce in game meat in the Brazilian Amazon: a case study. </w:t>
      </w:r>
      <w:r w:rsidRPr="001D376A">
        <w:rPr>
          <w:i/>
          <w:iCs/>
          <w:noProof/>
        </w:rPr>
        <w:t>Rev. Biol. Trop.</w:t>
      </w:r>
      <w:r w:rsidRPr="001D376A">
        <w:rPr>
          <w:noProof/>
        </w:rPr>
        <w:t>, 58, 1079–1088.</w:t>
      </w:r>
    </w:p>
    <w:p w14:paraId="2A4ED02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Baker, G.B., Cunningham, R.B. &amp; Murray, W. (2004). Are red-footed boobies Sula sula at risk from harvesting by humans on Cocos (Keeling) Islands, Indian Ocean? </w:t>
      </w:r>
      <w:r w:rsidRPr="001D376A">
        <w:rPr>
          <w:i/>
          <w:iCs/>
          <w:noProof/>
        </w:rPr>
        <w:t>Biol. Conserv.</w:t>
      </w:r>
      <w:r w:rsidRPr="001D376A">
        <w:rPr>
          <w:noProof/>
        </w:rPr>
        <w:t>, 119, 271–278.</w:t>
      </w:r>
    </w:p>
    <w:p w14:paraId="2C9443CF"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Bakkegaard, R.K., Nielsen, M.R. &amp; Thorsen, B.J. (2017). Household determinants of bushmeat and eru (Gnetum africanum) harvesting for cash in the Democratic Republic of Congo. </w:t>
      </w:r>
      <w:r w:rsidRPr="001D376A">
        <w:rPr>
          <w:i/>
          <w:iCs/>
          <w:noProof/>
        </w:rPr>
        <w:t>Environ. Dev. Sustain.</w:t>
      </w:r>
      <w:r w:rsidRPr="001D376A">
        <w:rPr>
          <w:noProof/>
        </w:rPr>
        <w:t>, 19, 1425–1443.</w:t>
      </w:r>
    </w:p>
    <w:p w14:paraId="4EFA154B"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Balram, S., Dragićević, S. &amp; Meredith, T. (2004). A collaborative GIS method for integrating local and technical knowledge in establishing biodiversity conservation priorities. </w:t>
      </w:r>
      <w:r w:rsidRPr="00814265">
        <w:rPr>
          <w:i/>
          <w:iCs/>
          <w:noProof/>
          <w:lang w:val="pt-BR"/>
        </w:rPr>
        <w:t>Biodivers. Conserv.</w:t>
      </w:r>
      <w:r w:rsidRPr="00814265">
        <w:rPr>
          <w:noProof/>
          <w:lang w:val="pt-BR"/>
        </w:rPr>
        <w:t>, 13, 1195–1208.</w:t>
      </w:r>
    </w:p>
    <w:p w14:paraId="6B0FC7D1"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Barboza, R.R., Lopes, S.F., Souto, W.M.S., Fernandes-Ferreira, H. &amp; Alves, R.R.N. (2016). </w:t>
      </w:r>
      <w:r w:rsidRPr="001D376A">
        <w:rPr>
          <w:noProof/>
        </w:rPr>
        <w:t xml:space="preserve">The role of game mammals as bushmeat in the Caatinga, northeast Brazil. </w:t>
      </w:r>
      <w:r w:rsidRPr="00814265">
        <w:rPr>
          <w:i/>
          <w:iCs/>
          <w:noProof/>
          <w:lang w:val="pt-BR"/>
        </w:rPr>
        <w:t>Ecol. Soc.</w:t>
      </w:r>
      <w:r w:rsidRPr="00814265">
        <w:rPr>
          <w:noProof/>
          <w:lang w:val="pt-BR"/>
        </w:rPr>
        <w:t>, 21, 2.</w:t>
      </w:r>
    </w:p>
    <w:p w14:paraId="57719A81"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Barnes, J., Lange, G., Nhuleipo, O., Muteyauli, P., Katoma, P. &amp; Amupolo, H. (2009). </w:t>
      </w:r>
      <w:r w:rsidRPr="001D376A">
        <w:rPr>
          <w:i/>
          <w:iCs/>
          <w:noProof/>
        </w:rPr>
        <w:t>Preliminary valuation of the wildlife stocks in Namibia: wildlife asset accounts</w:t>
      </w:r>
      <w:r w:rsidRPr="001D376A">
        <w:rPr>
          <w:noProof/>
        </w:rPr>
        <w:t>. Ministry of Environment and Tourism, Windhoek, Namibia.</w:t>
      </w:r>
    </w:p>
    <w:p w14:paraId="3C41313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Barnes, M. (2013). </w:t>
      </w:r>
      <w:r w:rsidRPr="001D376A">
        <w:rPr>
          <w:i/>
          <w:iCs/>
          <w:noProof/>
        </w:rPr>
        <w:t>Protected area effectiveness: evaluation of biological outcomes in protected areas</w:t>
      </w:r>
      <w:r w:rsidRPr="001D376A">
        <w:rPr>
          <w:noProof/>
        </w:rPr>
        <w:t>. PhD Thesis, University of Queensland, Australia.</w:t>
      </w:r>
    </w:p>
    <w:p w14:paraId="2C08CE9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Barnett, R. (1997). </w:t>
      </w:r>
      <w:r w:rsidRPr="001D376A">
        <w:rPr>
          <w:i/>
          <w:iCs/>
          <w:noProof/>
        </w:rPr>
        <w:t>Food for Thought: the utilization of wild meat in Eastern and Southern Africa</w:t>
      </w:r>
      <w:r w:rsidRPr="001D376A">
        <w:rPr>
          <w:noProof/>
        </w:rPr>
        <w:t>. TRAFFIC East/Southern Africa, Nairobi, Kenya.</w:t>
      </w:r>
    </w:p>
    <w:p w14:paraId="68EB1E2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Barros, F.B., Pereira, H.M. &amp; Vicente, L. (2011). Use and knowledge of the razor-billed curassow Pauxi tuberosa (Spix, 1825) (Galliformes, Cracidae) by a riverine community of the oriental Amazonia, Brazil. </w:t>
      </w:r>
      <w:r w:rsidRPr="001D376A">
        <w:rPr>
          <w:i/>
          <w:iCs/>
          <w:noProof/>
        </w:rPr>
        <w:t>J. Ethnobiol. Ethnomed.</w:t>
      </w:r>
      <w:r w:rsidRPr="001D376A">
        <w:rPr>
          <w:noProof/>
        </w:rPr>
        <w:t>, 7, 11.</w:t>
      </w:r>
    </w:p>
    <w:p w14:paraId="1EF06BB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Bauer, H., Chapron, G., Nowell, K., Henschel, P., Funston, P., Hunter, L.T.B., Macdonald, D.W. &amp; Packer, C. (2015). Lion (Panthera leo) populations are declining rapidly across Africa, except in intensively managed areas. </w:t>
      </w:r>
      <w:r w:rsidRPr="001D376A">
        <w:rPr>
          <w:i/>
          <w:iCs/>
          <w:noProof/>
        </w:rPr>
        <w:t>Proc. Natl. Acad. Sci.</w:t>
      </w:r>
      <w:r w:rsidRPr="001D376A">
        <w:rPr>
          <w:noProof/>
        </w:rPr>
        <w:t>, 112, 14894–14899.</w:t>
      </w:r>
    </w:p>
    <w:p w14:paraId="086182D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Beck, H. (2005). Seed predation and dispersal by peccaries throughout the Neotropics and its consequences: a review and synthesis. In: </w:t>
      </w:r>
      <w:r w:rsidRPr="001D376A">
        <w:rPr>
          <w:i/>
          <w:iCs/>
          <w:noProof/>
        </w:rPr>
        <w:t>Seed Fate Predation, Dispersal, Seedl. Establ.</w:t>
      </w:r>
      <w:r w:rsidRPr="001D376A">
        <w:rPr>
          <w:noProof/>
        </w:rPr>
        <w:t xml:space="preserve"> (eds. Forget, P.M., Lambert, J.E., Hulme, P.E. &amp; Van der Waal, S.B.). CABI Publishing, Wallingford, UK, CABI Publishing, Wallingford, UK, pp. 77–115.</w:t>
      </w:r>
    </w:p>
    <w:p w14:paraId="1FE4EB1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Becker, G.S., Murphy, K.M. &amp; Grossman, M. (2004). </w:t>
      </w:r>
      <w:r w:rsidRPr="001D376A">
        <w:rPr>
          <w:i/>
          <w:iCs/>
          <w:noProof/>
        </w:rPr>
        <w:t>The Economic Theory of Illegal Goods</w:t>
      </w:r>
      <w:r w:rsidRPr="001D376A">
        <w:rPr>
          <w:noProof/>
        </w:rPr>
        <w:t>. National Bureau of Economic Research Working Paper Series 10876. http://www.nber.org/papers/w10976.</w:t>
      </w:r>
    </w:p>
    <w:p w14:paraId="2C1A9BC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Becker, M., McRobb, R., Watson, F., Droge, E., Kanyembo, B., Murdoch, J. &amp; Kakumbi, C. (2013). Evaluating wire-snare poaching trends and the impacts of by-catch on elephants and large carnivores. </w:t>
      </w:r>
      <w:r w:rsidRPr="001D376A">
        <w:rPr>
          <w:i/>
          <w:iCs/>
          <w:noProof/>
        </w:rPr>
        <w:t>Biol. Conserv.</w:t>
      </w:r>
      <w:r w:rsidRPr="001D376A">
        <w:rPr>
          <w:noProof/>
        </w:rPr>
        <w:t>, 158, 26–36.</w:t>
      </w:r>
    </w:p>
    <w:p w14:paraId="13D8034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Benítez-López, A., Alkemade, J.R.M., Schipper, A.M., Ingram, D.J., Verweij, P.A., Eikelboom, J. &amp; Huijbregts, M. (2017). The impact of hunting on tropical mammal and bird populations. </w:t>
      </w:r>
      <w:r w:rsidRPr="001D376A">
        <w:rPr>
          <w:i/>
          <w:iCs/>
          <w:noProof/>
        </w:rPr>
        <w:t>Science</w:t>
      </w:r>
      <w:r w:rsidRPr="001D376A">
        <w:rPr>
          <w:noProof/>
        </w:rPr>
        <w:t>, 356, 180–183.</w:t>
      </w:r>
    </w:p>
    <w:p w14:paraId="6101B12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Bennett, E.L. (2002). Is there a link between wild meat and food security? </w:t>
      </w:r>
      <w:r w:rsidRPr="001D376A">
        <w:rPr>
          <w:i/>
          <w:iCs/>
          <w:noProof/>
        </w:rPr>
        <w:t>Conserv. Biol.</w:t>
      </w:r>
      <w:r w:rsidRPr="001D376A">
        <w:rPr>
          <w:noProof/>
        </w:rPr>
        <w:t>, 16, 590–592.</w:t>
      </w:r>
    </w:p>
    <w:p w14:paraId="18F5E52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Bennett, E.L. (2008). Hunting, Wildlife Trade and Wildlife Consumption Patterns in Asia. In: </w:t>
      </w:r>
      <w:r w:rsidRPr="001D376A">
        <w:rPr>
          <w:i/>
          <w:iCs/>
          <w:noProof/>
        </w:rPr>
        <w:t>Bushmeat Livelihoods Wildl. Manag. Poverty Reduct.</w:t>
      </w:r>
      <w:r w:rsidRPr="001D376A">
        <w:rPr>
          <w:noProof/>
        </w:rPr>
        <w:t xml:space="preserve"> (eds. Davies, G. &amp; Brown, D.). </w:t>
      </w:r>
      <w:r w:rsidRPr="001D376A">
        <w:rPr>
          <w:noProof/>
        </w:rPr>
        <w:lastRenderedPageBreak/>
        <w:t>Blackwell, London, UK., pp. 241–249.</w:t>
      </w:r>
    </w:p>
    <w:p w14:paraId="2C650E0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Bennett, E.L., Blencowe, E., Brandon, K., Brown, D., Burn, R.W., Cowlishaw, G., Davies, G., Dublin, H., Fa, J.E., Milner-Gulland, E.J., Robinson, J.G., Rowcliffe, J.M., Underwood, F.M. &amp; Wilkie, D.S. (2007). Hunting for consensus: Reconciling bushmeat harvest, conservation, and development policy in West and Central Africa. </w:t>
      </w:r>
      <w:r w:rsidRPr="001D376A">
        <w:rPr>
          <w:i/>
          <w:iCs/>
          <w:noProof/>
        </w:rPr>
        <w:t>Conserv. Biol.</w:t>
      </w:r>
      <w:r w:rsidRPr="001D376A">
        <w:rPr>
          <w:noProof/>
        </w:rPr>
        <w:t>, 21, 884–887.</w:t>
      </w:r>
    </w:p>
    <w:p w14:paraId="3BD78B2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Bennett, E.L. &amp; Rao, M. (2002a). Wild meat consumption in Asian tropical forest countries: is this a glimpse of the future for Africa? In: </w:t>
      </w:r>
      <w:r w:rsidRPr="001D376A">
        <w:rPr>
          <w:i/>
          <w:iCs/>
          <w:noProof/>
        </w:rPr>
        <w:t>Links between Biodivers. Conserv. Livelihoods Food Secur. Sustain. use wild species meat</w:t>
      </w:r>
      <w:r w:rsidRPr="001D376A">
        <w:rPr>
          <w:noProof/>
        </w:rPr>
        <w:t xml:space="preserve"> (eds. Mainka, S.A. &amp; Trivedi, M.). Gland, Switzerland and Cambridge, UK, pp. 39–44.</w:t>
      </w:r>
    </w:p>
    <w:p w14:paraId="5702B0A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Bennett, E.L. &amp; Rao, M. (2002b). </w:t>
      </w:r>
      <w:r w:rsidRPr="001D376A">
        <w:rPr>
          <w:i/>
          <w:iCs/>
          <w:noProof/>
        </w:rPr>
        <w:t>Hunting and wildlife trade in tropical and sub-tropical Asia: identifying gaps and developing strategies. Report of a meeting held in Khao Yai National Park</w:t>
      </w:r>
      <w:r w:rsidRPr="001D376A">
        <w:rPr>
          <w:noProof/>
        </w:rPr>
        <w:t>. Wildlife Conservation Society, Bangkok, Thailand.</w:t>
      </w:r>
    </w:p>
    <w:p w14:paraId="1D410F0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Bennett, E.L. &amp; Robinson, J.G. (2000). </w:t>
      </w:r>
      <w:r w:rsidRPr="001D376A">
        <w:rPr>
          <w:i/>
          <w:iCs/>
          <w:noProof/>
        </w:rPr>
        <w:t>Hunting of wildlife in tropical forests: implications for biodiversity and forest peoples. Biodiversity Series, Impact Studies, Paper No. 76</w:t>
      </w:r>
      <w:r w:rsidRPr="001D376A">
        <w:rPr>
          <w:noProof/>
        </w:rPr>
        <w:t>. The World Bank, Washington DC, USA.</w:t>
      </w:r>
    </w:p>
    <w:p w14:paraId="63EA5722"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Bernault, F. (1996). </w:t>
      </w:r>
      <w:r w:rsidRPr="00DF57F3">
        <w:rPr>
          <w:i/>
          <w:iCs/>
          <w:noProof/>
          <w:lang w:val="fr-FR"/>
        </w:rPr>
        <w:t>Démocraties ambigües en Afrique Centrale: Congo-Brazzaville et Gabon, 1945-1965</w:t>
      </w:r>
      <w:r w:rsidRPr="00DF57F3">
        <w:rPr>
          <w:noProof/>
          <w:lang w:val="fr-FR"/>
        </w:rPr>
        <w:t xml:space="preserve">. </w:t>
      </w:r>
      <w:r w:rsidRPr="001D376A">
        <w:rPr>
          <w:noProof/>
        </w:rPr>
        <w:t>Karthala, Paris, France.</w:t>
      </w:r>
    </w:p>
    <w:p w14:paraId="301D9A2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Biggs, D., Couchamp, F., Martin, R. &amp; Possingham, H. (2013). Legal trade of Africa’s rhino horns. </w:t>
      </w:r>
      <w:r w:rsidRPr="001D376A">
        <w:rPr>
          <w:i/>
          <w:iCs/>
          <w:noProof/>
        </w:rPr>
        <w:t>Science</w:t>
      </w:r>
      <w:r w:rsidRPr="001D376A">
        <w:rPr>
          <w:noProof/>
        </w:rPr>
        <w:t>, 339, 1038–1039.</w:t>
      </w:r>
    </w:p>
    <w:p w14:paraId="7AAFAC19" w14:textId="77777777" w:rsidR="001D376A" w:rsidRPr="001D376A" w:rsidRDefault="001D376A" w:rsidP="001D376A">
      <w:pPr>
        <w:widowControl w:val="0"/>
        <w:autoSpaceDE w:val="0"/>
        <w:autoSpaceDN w:val="0"/>
        <w:adjustRightInd w:val="0"/>
        <w:ind w:left="480" w:hanging="480"/>
        <w:rPr>
          <w:noProof/>
        </w:rPr>
      </w:pPr>
      <w:r w:rsidRPr="001D376A">
        <w:rPr>
          <w:noProof/>
        </w:rPr>
        <w:t>El Bizri, H.R., Morcatty, T.Q., Lima, J.J.S. &amp; Valsecchi, J. (2015). The thrill of the chase: uncovering illegal sport hunting in Brazil through YouTube</w:t>
      </w:r>
      <w:r w:rsidRPr="001D376A">
        <w:rPr>
          <w:noProof/>
          <w:vertAlign w:val="superscript"/>
        </w:rPr>
        <w:t>TM</w:t>
      </w:r>
      <w:r w:rsidRPr="001D376A">
        <w:rPr>
          <w:noProof/>
        </w:rPr>
        <w:t xml:space="preserve"> posts. </w:t>
      </w:r>
      <w:r w:rsidRPr="001D376A">
        <w:rPr>
          <w:i/>
          <w:iCs/>
          <w:noProof/>
        </w:rPr>
        <w:t>Ecol. Soc.</w:t>
      </w:r>
      <w:r w:rsidRPr="001D376A">
        <w:rPr>
          <w:noProof/>
        </w:rPr>
        <w:t>, 20, 30.</w:t>
      </w:r>
    </w:p>
    <w:p w14:paraId="406A246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Blake, S., Deem, S.L., Mossimbo, E., Maisels, F. &amp; Walsh, P. (2009). Forest elephants: tree planters of the Congo. </w:t>
      </w:r>
      <w:r w:rsidRPr="001D376A">
        <w:rPr>
          <w:i/>
          <w:iCs/>
          <w:noProof/>
        </w:rPr>
        <w:t>Biotropica</w:t>
      </w:r>
      <w:r w:rsidRPr="001D376A">
        <w:rPr>
          <w:noProof/>
        </w:rPr>
        <w:t>, 41, 459–468.</w:t>
      </w:r>
    </w:p>
    <w:p w14:paraId="430478C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Boakye, M.K., Kotzé, A., Dalton, D.L. &amp; Jansen, R. (2016). Unravelling the pangolin bushmeat commodity chain and the extent of trade in Ghana. </w:t>
      </w:r>
      <w:r w:rsidRPr="001D376A">
        <w:rPr>
          <w:i/>
          <w:iCs/>
          <w:noProof/>
        </w:rPr>
        <w:t>Hum. Ecol.</w:t>
      </w:r>
      <w:r w:rsidRPr="001D376A">
        <w:rPr>
          <w:noProof/>
        </w:rPr>
        <w:t>, 44, 257–264.</w:t>
      </w:r>
    </w:p>
    <w:p w14:paraId="1D9A954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Bodmer, R. &amp; Lozano, E.P. (2001). Rural development and sustainable wildlife use in Peru. </w:t>
      </w:r>
      <w:r w:rsidRPr="001D376A">
        <w:rPr>
          <w:i/>
          <w:iCs/>
          <w:noProof/>
        </w:rPr>
        <w:t>Conserv. Biol.</w:t>
      </w:r>
      <w:r w:rsidRPr="001D376A">
        <w:rPr>
          <w:noProof/>
        </w:rPr>
        <w:t>, 15, 1163–1170.</w:t>
      </w:r>
    </w:p>
    <w:p w14:paraId="4E5DB1F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Bodmer, R.E. (1991). Strategies of seed dispersal and seed predation in Amazonian ungulates. </w:t>
      </w:r>
      <w:r w:rsidRPr="001D376A">
        <w:rPr>
          <w:i/>
          <w:iCs/>
          <w:noProof/>
        </w:rPr>
        <w:t>Biotropica</w:t>
      </w:r>
      <w:r w:rsidRPr="001D376A">
        <w:rPr>
          <w:noProof/>
        </w:rPr>
        <w:t>, 23, 255–261.</w:t>
      </w:r>
    </w:p>
    <w:p w14:paraId="7B811D2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Bodmer, R.E. (1994). Managing wildlife with local communities in the Peruvian Amazon: the case of the Reserva Comunal Tamshiyacu-Tahuayo. In: </w:t>
      </w:r>
      <w:r w:rsidRPr="001D376A">
        <w:rPr>
          <w:i/>
          <w:iCs/>
          <w:noProof/>
        </w:rPr>
        <w:t>Nat. Connect. Perspect. Community-Based Manag.</w:t>
      </w:r>
      <w:r w:rsidRPr="001D376A">
        <w:rPr>
          <w:noProof/>
        </w:rPr>
        <w:t xml:space="preserve"> (eds. Western, D., Wright, M. &amp; S, S.). Island Press, Washington DC, USA, pp. 113–134.</w:t>
      </w:r>
    </w:p>
    <w:p w14:paraId="23486BD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Bodmer, R.E., Fang, T.G. &amp; Ibanez, L.M. (1988). Ungulate management and conservation in the Peruvian Amazon. </w:t>
      </w:r>
      <w:r w:rsidRPr="001D376A">
        <w:rPr>
          <w:i/>
          <w:iCs/>
          <w:noProof/>
        </w:rPr>
        <w:t>Biol. Conserv.</w:t>
      </w:r>
      <w:r w:rsidRPr="001D376A">
        <w:rPr>
          <w:noProof/>
        </w:rPr>
        <w:t>, 45, 303–310.</w:t>
      </w:r>
    </w:p>
    <w:p w14:paraId="2C5EB92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Bodmer, R.E., Fang, T.G., Moya I, L. &amp; Gill, R. (1994). Managing wildlife to conserve amazonian forests: population biology and economic considerations of game hunting. </w:t>
      </w:r>
      <w:r w:rsidRPr="001D376A">
        <w:rPr>
          <w:i/>
          <w:iCs/>
          <w:noProof/>
        </w:rPr>
        <w:lastRenderedPageBreak/>
        <w:t>Biol. Conserv.</w:t>
      </w:r>
      <w:r w:rsidRPr="001D376A">
        <w:rPr>
          <w:noProof/>
        </w:rPr>
        <w:t>, 67, 29–35.</w:t>
      </w:r>
    </w:p>
    <w:p w14:paraId="48F1EC07"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Bonwitt, J., Kandeh, M., Dawson, M., Ansumana, R., Sahr, F., Kelly, A.H. &amp; Brown, H. (2017). Participation of women and children in hunting activities in Sierra Leone and implications for control of zoonotic infections. </w:t>
      </w:r>
      <w:r w:rsidRPr="00814265">
        <w:rPr>
          <w:i/>
          <w:iCs/>
          <w:noProof/>
          <w:lang w:val="pt-BR"/>
        </w:rPr>
        <w:t>PLoS Negl. Trop. Dis.</w:t>
      </w:r>
      <w:r w:rsidRPr="00814265">
        <w:rPr>
          <w:noProof/>
          <w:lang w:val="pt-BR"/>
        </w:rPr>
        <w:t>, 11, e0005699.</w:t>
      </w:r>
    </w:p>
    <w:p w14:paraId="03F8A0BD"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Bouché, P., Nzapa Mbeti Mange, R., Tankalet, F., Zowoya, F., Lejeune, P. &amp; Vermeulen, C. (2012). </w:t>
      </w:r>
      <w:r w:rsidRPr="001D376A">
        <w:rPr>
          <w:noProof/>
        </w:rPr>
        <w:t xml:space="preserve">Game over! Wildlife collapse in northern Central African Republic. </w:t>
      </w:r>
      <w:r w:rsidRPr="001D376A">
        <w:rPr>
          <w:i/>
          <w:iCs/>
          <w:noProof/>
        </w:rPr>
        <w:t>Environ. Monit. Assess.</w:t>
      </w:r>
      <w:r w:rsidRPr="001D376A">
        <w:rPr>
          <w:noProof/>
        </w:rPr>
        <w:t>, 184, 7001–7011.</w:t>
      </w:r>
    </w:p>
    <w:p w14:paraId="743B1E1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Bowen-Jones, E., Brown, D. &amp; Robinson, E. (2002). </w:t>
      </w:r>
      <w:r w:rsidRPr="001D376A">
        <w:rPr>
          <w:i/>
          <w:iCs/>
          <w:noProof/>
        </w:rPr>
        <w:t>Defra report: Assessment of the solution-orientated research needed to promote a more sustainable bushmeat trade in Central and West Africa [Online]. Available from: http://www.defra.gov.uk/wildlife- countryside/resprog/findings/bushmeat.pdf)</w:t>
      </w:r>
      <w:r w:rsidRPr="001D376A">
        <w:rPr>
          <w:noProof/>
        </w:rPr>
        <w:t>.</w:t>
      </w:r>
    </w:p>
    <w:p w14:paraId="1AFF4C3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Bowler, M., Anderson, M., Montes, D., Pérez, P. &amp; Mayor, P. (2014). Refining reproductive parameters for modelling sustainability and extinction in hunted primate populations in the Amazon. </w:t>
      </w:r>
      <w:r w:rsidRPr="001D376A">
        <w:rPr>
          <w:i/>
          <w:iCs/>
          <w:noProof/>
        </w:rPr>
        <w:t>PLoS One</w:t>
      </w:r>
      <w:r w:rsidRPr="001D376A">
        <w:rPr>
          <w:noProof/>
        </w:rPr>
        <w:t>, 9, e93625.</w:t>
      </w:r>
    </w:p>
    <w:p w14:paraId="4F1C132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Branch, T.A., Lobo, A.S. &amp; Purcell, S.W. (2013). Opportunistic exploitation: an overlooked pathway to extinction. </w:t>
      </w:r>
      <w:r w:rsidRPr="001D376A">
        <w:rPr>
          <w:i/>
          <w:iCs/>
          <w:noProof/>
        </w:rPr>
        <w:t>Trends Ecol. Evol.</w:t>
      </w:r>
      <w:r w:rsidRPr="001D376A">
        <w:rPr>
          <w:noProof/>
        </w:rPr>
        <w:t>, 28, 409–413.</w:t>
      </w:r>
    </w:p>
    <w:p w14:paraId="0316AC7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Brashares, B.J.S., Abrahms, B., Fiorella, K.J., Christopher, D., Hojnowski, C.E., Marsh, R. a, Mccauley, D.J., Nuñez, T. a, Seto, K. &amp; Withey, L. (2014). Wildife decline and social conflict. </w:t>
      </w:r>
      <w:r w:rsidRPr="001D376A">
        <w:rPr>
          <w:i/>
          <w:iCs/>
          <w:noProof/>
        </w:rPr>
        <w:t>Science</w:t>
      </w:r>
      <w:r w:rsidRPr="001D376A">
        <w:rPr>
          <w:noProof/>
        </w:rPr>
        <w:t>, 345, 376–378.</w:t>
      </w:r>
    </w:p>
    <w:p w14:paraId="17E2EBA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Brashares, J.S., Arcese, P., Sam, M.K., Coppolillo, P.B., Sinclair, A.R.E. &amp; Balmford, A. (2004). Bushmeat hunting, wildlife declines, and fish supply in West Africa. </w:t>
      </w:r>
      <w:r w:rsidRPr="001D376A">
        <w:rPr>
          <w:i/>
          <w:iCs/>
          <w:noProof/>
        </w:rPr>
        <w:t>Science</w:t>
      </w:r>
      <w:r w:rsidRPr="001D376A">
        <w:rPr>
          <w:noProof/>
        </w:rPr>
        <w:t>, 306, 1180–1183.</w:t>
      </w:r>
    </w:p>
    <w:p w14:paraId="7778509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Brashares, J.S., Golden, C.D., Weinbaum, K.Z., Barrett, C.B. &amp; Okello, G. V. (2011). Economic and geographic drivers of wildlife consumption in rural Africa. </w:t>
      </w:r>
      <w:r w:rsidRPr="001D376A">
        <w:rPr>
          <w:i/>
          <w:iCs/>
          <w:noProof/>
        </w:rPr>
        <w:t>Proc. Natl. Acad. Sci.</w:t>
      </w:r>
      <w:r w:rsidRPr="001D376A">
        <w:rPr>
          <w:noProof/>
        </w:rPr>
        <w:t>, 108, 13931–13936.</w:t>
      </w:r>
    </w:p>
    <w:p w14:paraId="5DB9CF8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Brodie, J.F., Giordano, A.J., Zipkin, E.F., Bernard, H., Mohd-Azlan, J. &amp; Ambu, L. (2015). Correlation and persistence of hunting and logging impacts on tropical rainforest mammals. </w:t>
      </w:r>
      <w:r w:rsidRPr="001D376A">
        <w:rPr>
          <w:i/>
          <w:iCs/>
          <w:noProof/>
        </w:rPr>
        <w:t>Conserv. Biol.</w:t>
      </w:r>
      <w:r w:rsidRPr="001D376A">
        <w:rPr>
          <w:noProof/>
        </w:rPr>
        <w:t>, 29, 110–121.</w:t>
      </w:r>
    </w:p>
    <w:p w14:paraId="3C5A8FD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Brodie, J.F., Helmy, O.E., Brockelman, W.Y. &amp; Maron, J.L. (2009). Bushmeat poaching reduces the seed dispersal and population growth rate of a mammal-dispersed tree. </w:t>
      </w:r>
      <w:r w:rsidRPr="001D376A">
        <w:rPr>
          <w:i/>
          <w:iCs/>
          <w:noProof/>
        </w:rPr>
        <w:t>Ecol. Appl.</w:t>
      </w:r>
      <w:r w:rsidRPr="001D376A">
        <w:rPr>
          <w:noProof/>
        </w:rPr>
        <w:t>, 19, 854–863.</w:t>
      </w:r>
    </w:p>
    <w:p w14:paraId="794DB86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Brook, S.M., Dudley, N., Mahood, S.P., Polet, G., Williams, A.C., Duckworth, J.W., Van Ngoc, T. &amp; Long, B. (2014). Lessons learned from the loss of a flagship: the extinction of the Javan rhinoceros Rhinoceros sondaicus annamiticus from Vietnam. </w:t>
      </w:r>
      <w:r w:rsidRPr="001D376A">
        <w:rPr>
          <w:i/>
          <w:iCs/>
          <w:noProof/>
        </w:rPr>
        <w:t>Biol. Conserv.</w:t>
      </w:r>
      <w:r w:rsidRPr="001D376A">
        <w:rPr>
          <w:noProof/>
        </w:rPr>
        <w:t>, 174, 21–29.</w:t>
      </w:r>
    </w:p>
    <w:p w14:paraId="35A7F3D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Brooks, E.G.E., Roberton, S.I. &amp; Bell, D.J. (2010a). The conservation impact of commercial wildlife farming of porcupines in Vietnam. </w:t>
      </w:r>
      <w:r w:rsidRPr="001D376A">
        <w:rPr>
          <w:i/>
          <w:iCs/>
          <w:noProof/>
        </w:rPr>
        <w:t>Biol. Conserv.</w:t>
      </w:r>
      <w:r w:rsidRPr="001D376A">
        <w:rPr>
          <w:noProof/>
        </w:rPr>
        <w:t>, 143, 2808–2814.</w:t>
      </w:r>
    </w:p>
    <w:p w14:paraId="0742C11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Brooks, S.E., Allison, E.H., Gill, J.A. &amp; Reynolds, J.D. (2010b). Snake prices and crocodile appetites: aquatic wildlife supply and demand on Tonle Sap Lake, Cambodia. </w:t>
      </w:r>
      <w:r w:rsidRPr="001D376A">
        <w:rPr>
          <w:i/>
          <w:iCs/>
          <w:noProof/>
        </w:rPr>
        <w:t xml:space="preserve">Biol. </w:t>
      </w:r>
      <w:r w:rsidRPr="001D376A">
        <w:rPr>
          <w:i/>
          <w:iCs/>
          <w:noProof/>
        </w:rPr>
        <w:lastRenderedPageBreak/>
        <w:t>Conserv.</w:t>
      </w:r>
      <w:r w:rsidRPr="001D376A">
        <w:rPr>
          <w:noProof/>
        </w:rPr>
        <w:t>, 143, 2127–2135.</w:t>
      </w:r>
    </w:p>
    <w:p w14:paraId="26F699D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Brown, D. (2006). Let them eat cake? Some skepticle thoughts on conservation strategies in the bushmeat range states. In: </w:t>
      </w:r>
      <w:r w:rsidRPr="001D376A">
        <w:rPr>
          <w:i/>
          <w:iCs/>
          <w:noProof/>
        </w:rPr>
        <w:t>State wild A Glob. Portrait Wildlife, Wildlands, Ocean.</w:t>
      </w:r>
      <w:r w:rsidRPr="001D376A">
        <w:rPr>
          <w:noProof/>
        </w:rPr>
        <w:t xml:space="preserve"> (ed. Guynup, S.). Island Press, Washington DC, USA, pp. 149–152.</w:t>
      </w:r>
    </w:p>
    <w:p w14:paraId="5D7800E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Bulte, E.H. &amp; Damania, R. (2005). An economic assessment of wildlife farming and conservation. </w:t>
      </w:r>
      <w:r w:rsidRPr="001D376A">
        <w:rPr>
          <w:i/>
          <w:iCs/>
          <w:noProof/>
        </w:rPr>
        <w:t>Conserv. Biol.</w:t>
      </w:r>
      <w:r w:rsidRPr="001D376A">
        <w:rPr>
          <w:noProof/>
        </w:rPr>
        <w:t>, 19, 1222–1233.</w:t>
      </w:r>
    </w:p>
    <w:p w14:paraId="5FC7822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Caldecott, J.O. &amp; Miles, L. (2005). </w:t>
      </w:r>
      <w:r w:rsidRPr="001D376A">
        <w:rPr>
          <w:i/>
          <w:iCs/>
          <w:noProof/>
        </w:rPr>
        <w:t>World Atlas of Great Apes and their Conservation</w:t>
      </w:r>
      <w:r w:rsidRPr="001D376A">
        <w:rPr>
          <w:noProof/>
        </w:rPr>
        <w:t>. California University Press, California, USA, California University Press, California, USA.</w:t>
      </w:r>
    </w:p>
    <w:p w14:paraId="03D9AD2D"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Campos-Arceiz, A. &amp; Blake, S. (2011). </w:t>
      </w:r>
      <w:r w:rsidRPr="001D376A">
        <w:rPr>
          <w:noProof/>
        </w:rPr>
        <w:t xml:space="preserve">Megagardeners of the forest - the role of elephants in seed dispersal. </w:t>
      </w:r>
      <w:r w:rsidRPr="001D376A">
        <w:rPr>
          <w:i/>
          <w:iCs/>
          <w:noProof/>
        </w:rPr>
        <w:t>Acta Oecologica</w:t>
      </w:r>
      <w:r w:rsidRPr="001D376A">
        <w:rPr>
          <w:noProof/>
        </w:rPr>
        <w:t>, 37, 542–553.</w:t>
      </w:r>
    </w:p>
    <w:p w14:paraId="50D54CFF"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Campos-Silva, J.V. &amp; Peres, C.A. (2016). Community-based management induces rapid recovery of a high-value tropical freshwater fishery. </w:t>
      </w:r>
      <w:r w:rsidRPr="00814265">
        <w:rPr>
          <w:i/>
          <w:iCs/>
          <w:noProof/>
          <w:lang w:val="pt-BR"/>
        </w:rPr>
        <w:t>Sci. Rep.</w:t>
      </w:r>
      <w:r w:rsidRPr="00814265">
        <w:rPr>
          <w:noProof/>
          <w:lang w:val="pt-BR"/>
        </w:rPr>
        <w:t>, 6, 1–13.</w:t>
      </w:r>
    </w:p>
    <w:p w14:paraId="21F7AE93"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Campos-Silva, J.V., Peres, C.A., Antunes, A.P., Valsecchi, J. &amp; Pezzuti, J. (2017). </w:t>
      </w:r>
      <w:r w:rsidRPr="001D376A">
        <w:rPr>
          <w:noProof/>
        </w:rPr>
        <w:t xml:space="preserve">Community-based population recovery of overexploited Amazonian wildlife. </w:t>
      </w:r>
      <w:r w:rsidRPr="001D376A">
        <w:rPr>
          <w:i/>
          <w:iCs/>
          <w:noProof/>
        </w:rPr>
        <w:t>Perspect. Ecol. Conserv.</w:t>
      </w:r>
      <w:r w:rsidRPr="001D376A">
        <w:rPr>
          <w:noProof/>
        </w:rPr>
        <w:t>, 15, 266–270.</w:t>
      </w:r>
    </w:p>
    <w:p w14:paraId="35F1125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Canale, G.R., Peres, C.A., Guidorizzi, C.E., Gatto, C.A.F. &amp; Kierulff, M.C.M. (2012). Pervasive defaunation of forest remnants in a tropical biodiversity hotspot. </w:t>
      </w:r>
      <w:r w:rsidRPr="001D376A">
        <w:rPr>
          <w:i/>
          <w:iCs/>
          <w:noProof/>
        </w:rPr>
        <w:t>PLoS One</w:t>
      </w:r>
      <w:r w:rsidRPr="001D376A">
        <w:rPr>
          <w:noProof/>
        </w:rPr>
        <w:t>, 7, e41671.</w:t>
      </w:r>
    </w:p>
    <w:p w14:paraId="7C5A9F9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Cantlay, J.C., Ingram, D.J. &amp; Meredith, A.L. (2017). A review of zoonotic infection risks associated with the wild meat trade in Malaysia. </w:t>
      </w:r>
      <w:r w:rsidRPr="001D376A">
        <w:rPr>
          <w:i/>
          <w:iCs/>
          <w:noProof/>
        </w:rPr>
        <w:t>Ecohealth</w:t>
      </w:r>
      <w:r w:rsidRPr="001D376A">
        <w:rPr>
          <w:noProof/>
        </w:rPr>
        <w:t>, 14, 361–388.</w:t>
      </w:r>
    </w:p>
    <w:p w14:paraId="3BA9AFA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Carlson, K., Wright, J. &amp; Dönges, H. (2015). In the line of fire: elephant and rhino poaching in Africa. In: </w:t>
      </w:r>
      <w:r w:rsidRPr="001D376A">
        <w:rPr>
          <w:i/>
          <w:iCs/>
          <w:noProof/>
        </w:rPr>
        <w:t>Small Arms Surv. 2015</w:t>
      </w:r>
      <w:r w:rsidRPr="001D376A">
        <w:rPr>
          <w:noProof/>
        </w:rPr>
        <w:t>. Cambridge University Press, Cambridge, UK, pp. 6–35.</w:t>
      </w:r>
    </w:p>
    <w:p w14:paraId="77C4C2A1"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Carpaneto, G.M., Fusari, A. &amp; Okongo, H. (2007). </w:t>
      </w:r>
      <w:r w:rsidRPr="001D376A">
        <w:rPr>
          <w:noProof/>
        </w:rPr>
        <w:t xml:space="preserve">Subsistence hunting and exploitation of mammals in the Haut-Ogooué province , south-eastern Gabon. </w:t>
      </w:r>
      <w:r w:rsidRPr="001D376A">
        <w:rPr>
          <w:i/>
          <w:iCs/>
          <w:noProof/>
        </w:rPr>
        <w:t>J. Anthropol. Sci.</w:t>
      </w:r>
      <w:r w:rsidRPr="001D376A">
        <w:rPr>
          <w:noProof/>
        </w:rPr>
        <w:t>, 85, 183–193.</w:t>
      </w:r>
    </w:p>
    <w:p w14:paraId="526B8B54"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Castello, L., Viana, J.P., Watkins, G., Pinedo-Vasquez, M. &amp; Luzadis, V.A. (2009). Lessons from Integrating Fishers of Arapaima in Small-Scale Fisheries Management at the Mamirauá Reserve, Amazon. </w:t>
      </w:r>
      <w:r w:rsidRPr="00814265">
        <w:rPr>
          <w:i/>
          <w:iCs/>
          <w:noProof/>
          <w:lang w:val="pt-BR"/>
        </w:rPr>
        <w:t>Environ. Manage.</w:t>
      </w:r>
      <w:r w:rsidRPr="00814265">
        <w:rPr>
          <w:noProof/>
          <w:lang w:val="pt-BR"/>
        </w:rPr>
        <w:t>, 43, 197–209.</w:t>
      </w:r>
    </w:p>
    <w:p w14:paraId="02CD04A3"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Castroviejo, J. (1995). </w:t>
      </w:r>
      <w:r w:rsidRPr="00814265">
        <w:rPr>
          <w:i/>
          <w:iCs/>
          <w:noProof/>
          <w:lang w:val="pt-BR"/>
        </w:rPr>
        <w:t>Estudio sobre la zonificación y uso multiple de las Areas Protegidas de la Isla de Bioco.</w:t>
      </w:r>
      <w:r w:rsidRPr="00814265">
        <w:rPr>
          <w:noProof/>
          <w:lang w:val="pt-BR"/>
        </w:rPr>
        <w:t xml:space="preserve"> Amigos de Doñana, Seville, Spain.</w:t>
      </w:r>
    </w:p>
    <w:p w14:paraId="0E37A301"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Caulkins, J.P. &amp; Reuter, P. (2006). </w:t>
      </w:r>
      <w:r w:rsidRPr="001D376A">
        <w:rPr>
          <w:noProof/>
        </w:rPr>
        <w:t xml:space="preserve">Illicit drug markets and economic irregularities. </w:t>
      </w:r>
      <w:r w:rsidRPr="001D376A">
        <w:rPr>
          <w:i/>
          <w:iCs/>
          <w:noProof/>
        </w:rPr>
        <w:t>Socio-Economic Plan. Sci.</w:t>
      </w:r>
      <w:r w:rsidRPr="001D376A">
        <w:rPr>
          <w:noProof/>
        </w:rPr>
        <w:t>, 40, 1–14.</w:t>
      </w:r>
    </w:p>
    <w:p w14:paraId="0775234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Cawthorn, D.-M. &amp; Hoffman, L.C. (2015). The bushmeat and food security nexus: a global account of the contributions, conundrums and ethical collisions. </w:t>
      </w:r>
      <w:r w:rsidRPr="001D376A">
        <w:rPr>
          <w:i/>
          <w:iCs/>
          <w:noProof/>
        </w:rPr>
        <w:t>Food Res. Int.</w:t>
      </w:r>
      <w:r w:rsidRPr="001D376A">
        <w:rPr>
          <w:noProof/>
        </w:rPr>
        <w:t>, 76, 906–925.</w:t>
      </w:r>
    </w:p>
    <w:p w14:paraId="33D710F8"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CBD. (1992). </w:t>
      </w:r>
      <w:r w:rsidRPr="001D376A">
        <w:rPr>
          <w:i/>
          <w:iCs/>
          <w:noProof/>
        </w:rPr>
        <w:t>Convention on Biological Diveristy, Article 2</w:t>
      </w:r>
      <w:r w:rsidRPr="001D376A">
        <w:rPr>
          <w:noProof/>
        </w:rPr>
        <w:t>.</w:t>
      </w:r>
    </w:p>
    <w:p w14:paraId="5CB2BA1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CBD. (2012). </w:t>
      </w:r>
      <w:r w:rsidRPr="001D376A">
        <w:rPr>
          <w:i/>
          <w:iCs/>
          <w:noProof/>
        </w:rPr>
        <w:t>Decision adopted by the conference of the Parties to the Convention on Biological Diversity at its Eleventh Meeting (XI/25)</w:t>
      </w:r>
      <w:r w:rsidRPr="001D376A">
        <w:rPr>
          <w:noProof/>
        </w:rPr>
        <w:t>. Hyderabad, India.</w:t>
      </w:r>
    </w:p>
    <w:p w14:paraId="4F99961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CBD. (2016). </w:t>
      </w:r>
      <w:r w:rsidRPr="001D376A">
        <w:rPr>
          <w:i/>
          <w:iCs/>
          <w:noProof/>
        </w:rPr>
        <w:t>UNEP/CBD/COP/DEC/XIII/8</w:t>
      </w:r>
      <w:r w:rsidRPr="001D376A">
        <w:rPr>
          <w:noProof/>
        </w:rPr>
        <w:t>.</w:t>
      </w:r>
    </w:p>
    <w:p w14:paraId="5220B23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CBD. (2017a). </w:t>
      </w:r>
      <w:r w:rsidRPr="001D376A">
        <w:rPr>
          <w:i/>
          <w:iCs/>
          <w:noProof/>
        </w:rPr>
        <w:t>CBD/SBSTTA/21/INF/3</w:t>
      </w:r>
      <w:r w:rsidRPr="001D376A">
        <w:rPr>
          <w:noProof/>
        </w:rPr>
        <w:t>.</w:t>
      </w:r>
    </w:p>
    <w:p w14:paraId="4B63015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CBD. (2017b). </w:t>
      </w:r>
      <w:r w:rsidRPr="001D376A">
        <w:rPr>
          <w:i/>
          <w:iCs/>
          <w:noProof/>
        </w:rPr>
        <w:t>CBD/SBSTTA/REC/XXI/2</w:t>
      </w:r>
      <w:r w:rsidRPr="001D376A">
        <w:rPr>
          <w:noProof/>
        </w:rPr>
        <w:t>.</w:t>
      </w:r>
    </w:p>
    <w:p w14:paraId="30363F8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CBD. (2018). Sustainable Wildlife Management [WWW Document]. </w:t>
      </w:r>
      <w:r w:rsidRPr="001D376A">
        <w:rPr>
          <w:i/>
          <w:iCs/>
          <w:noProof/>
        </w:rPr>
        <w:t>https://www.cbd.int/sustainable/swm.shtml</w:t>
      </w:r>
      <w:r w:rsidRPr="001D376A">
        <w:rPr>
          <w:noProof/>
        </w:rPr>
        <w:t>.</w:t>
      </w:r>
    </w:p>
    <w:p w14:paraId="2C2F828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Ceballos, G., Ehrlich, P.R. &amp; Dirzo, R. (2017). Biological annihilation via the ongoing sixth mass extinction signaled by vertebrate population losses and declines. </w:t>
      </w:r>
      <w:r w:rsidRPr="001D376A">
        <w:rPr>
          <w:i/>
          <w:iCs/>
          <w:noProof/>
        </w:rPr>
        <w:t>Proc. Natl. Acad. Sci.</w:t>
      </w:r>
      <w:r w:rsidRPr="001D376A">
        <w:rPr>
          <w:noProof/>
        </w:rPr>
        <w:t>, E6089–E6096.</w:t>
      </w:r>
    </w:p>
    <w:p w14:paraId="35AFF54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Ceppi, S.L. &amp; Nielsen, M.R. (2014). A comparative study on bushmeat consumption patterns in ten tribes in Tanzania. </w:t>
      </w:r>
      <w:r w:rsidRPr="001D376A">
        <w:rPr>
          <w:i/>
          <w:iCs/>
          <w:noProof/>
        </w:rPr>
        <w:t>Trop. Conserv. Sci.</w:t>
      </w:r>
      <w:r w:rsidRPr="001D376A">
        <w:rPr>
          <w:noProof/>
        </w:rPr>
        <w:t>, 7, 272–287.</w:t>
      </w:r>
    </w:p>
    <w:p w14:paraId="3A62468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Chaber, A.L., Allebone-Webb, S., Lignereux, Y., Cunningham, A.A. &amp; Marcus Rowcliffe, J. (2010). The scale of illegal meat importation from Africa to Europe via Paris. </w:t>
      </w:r>
      <w:r w:rsidRPr="001D376A">
        <w:rPr>
          <w:i/>
          <w:iCs/>
          <w:noProof/>
        </w:rPr>
        <w:t>Conserv. Lett.</w:t>
      </w:r>
      <w:r w:rsidRPr="001D376A">
        <w:rPr>
          <w:noProof/>
        </w:rPr>
        <w:t>, 3, 317–321.</w:t>
      </w:r>
    </w:p>
    <w:p w14:paraId="6739057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Challender, D.W.S., Harrop, S.R. &amp; MacMillan, D.C. (2015). Towards informed and multi-faceted wildlife trade interventions. </w:t>
      </w:r>
      <w:r w:rsidRPr="001D376A">
        <w:rPr>
          <w:i/>
          <w:iCs/>
          <w:noProof/>
        </w:rPr>
        <w:t>Glob. Ecol. Conserv.</w:t>
      </w:r>
      <w:r w:rsidRPr="001D376A">
        <w:rPr>
          <w:noProof/>
        </w:rPr>
        <w:t>, 3, 129–148.</w:t>
      </w:r>
    </w:p>
    <w:p w14:paraId="1194285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Challender, D.W.S. &amp; Hywood, L. (2012). African pangolins under increased pressure from poaching and intercontinental trade. </w:t>
      </w:r>
      <w:r w:rsidRPr="001D376A">
        <w:rPr>
          <w:i/>
          <w:iCs/>
          <w:noProof/>
        </w:rPr>
        <w:t>TRAFFIC Bull.</w:t>
      </w:r>
      <w:r w:rsidRPr="001D376A">
        <w:rPr>
          <w:noProof/>
        </w:rPr>
        <w:t>, 24, 53–55.</w:t>
      </w:r>
    </w:p>
    <w:p w14:paraId="7BDD21B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Challender, D.W.S. &amp; MacMillan, D.C. (2014). Poaching is more than an enforcement problem. </w:t>
      </w:r>
      <w:r w:rsidRPr="001D376A">
        <w:rPr>
          <w:i/>
          <w:iCs/>
          <w:noProof/>
        </w:rPr>
        <w:t>Conserv. Lett.</w:t>
      </w:r>
      <w:r w:rsidRPr="001D376A">
        <w:rPr>
          <w:noProof/>
        </w:rPr>
        <w:t>, 7, 484–494.</w:t>
      </w:r>
    </w:p>
    <w:p w14:paraId="6D646B6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Chapman, C.A. &amp; Peres, C.A. (2001). Primate conservation in the new millennium: the role of scientists. </w:t>
      </w:r>
      <w:r w:rsidRPr="001D376A">
        <w:rPr>
          <w:i/>
          <w:iCs/>
          <w:noProof/>
        </w:rPr>
        <w:t>Evol. Anthropol.</w:t>
      </w:r>
      <w:r w:rsidRPr="001D376A">
        <w:rPr>
          <w:noProof/>
        </w:rPr>
        <w:t>, 33, 16–33.</w:t>
      </w:r>
    </w:p>
    <w:p w14:paraId="407A737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Chapman, G.E., Ristovski-Slijepcevic, S. &amp; Beagan, B.L. (2011). Meanings of food, eating an health in Punjabi families living in Vancouver, Canada. </w:t>
      </w:r>
      <w:r w:rsidRPr="001D376A">
        <w:rPr>
          <w:i/>
          <w:iCs/>
          <w:noProof/>
        </w:rPr>
        <w:t>Health Educ. J.</w:t>
      </w:r>
      <w:r w:rsidRPr="001D376A">
        <w:rPr>
          <w:noProof/>
        </w:rPr>
        <w:t>, 70, 102–112.</w:t>
      </w:r>
    </w:p>
    <w:p w14:paraId="34AB821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Chauvenet, A.L.M., Gill, R.M.A., Smith, G.C., Ward, A.I. &amp; Massei, G. (2017). Quantifying the bias in density estimated from distance sampling and camera trapping of unmarked individuals. </w:t>
      </w:r>
      <w:r w:rsidRPr="001D376A">
        <w:rPr>
          <w:i/>
          <w:iCs/>
          <w:noProof/>
        </w:rPr>
        <w:t>Ecol. Modell.</w:t>
      </w:r>
      <w:r w:rsidRPr="001D376A">
        <w:rPr>
          <w:noProof/>
        </w:rPr>
        <w:t>, 350, 79–86.</w:t>
      </w:r>
    </w:p>
    <w:p w14:paraId="32AB074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Chaves, W.A., Wilkie, D.S., Monroe, M.C. &amp; Sieving, K.E. (2017). Market access and wild meat consumption in the central Amazon, Brazil. </w:t>
      </w:r>
      <w:r w:rsidRPr="001D376A">
        <w:rPr>
          <w:i/>
          <w:iCs/>
          <w:noProof/>
        </w:rPr>
        <w:t>Biol. Conserv.</w:t>
      </w:r>
      <w:r w:rsidRPr="001D376A">
        <w:rPr>
          <w:noProof/>
        </w:rPr>
        <w:t>, 212, 240–248.</w:t>
      </w:r>
    </w:p>
    <w:p w14:paraId="6643BF0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Christy, P. (2006). </w:t>
      </w:r>
      <w:r w:rsidRPr="001D376A">
        <w:rPr>
          <w:i/>
          <w:iCs/>
          <w:noProof/>
        </w:rPr>
        <w:t>Legal Review of Hunting Laws in Gabon.</w:t>
      </w:r>
      <w:r w:rsidRPr="001D376A">
        <w:rPr>
          <w:noProof/>
        </w:rPr>
        <w:t xml:space="preserve"> Libreville, Gabon.</w:t>
      </w:r>
    </w:p>
    <w:p w14:paraId="500385B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Claggett, P.R. (1998). </w:t>
      </w:r>
      <w:r w:rsidRPr="001D376A">
        <w:rPr>
          <w:i/>
          <w:iCs/>
          <w:noProof/>
        </w:rPr>
        <w:t xml:space="preserve">The spatial extent and composition of wildlife harvests among three villages in the Peruvian Amazon. Prepared for delivery at the 1998 meeting of the Latin </w:t>
      </w:r>
      <w:r w:rsidRPr="001D376A">
        <w:rPr>
          <w:i/>
          <w:iCs/>
          <w:noProof/>
        </w:rPr>
        <w:lastRenderedPageBreak/>
        <w:t>American Studies Association</w:t>
      </w:r>
      <w:r w:rsidRPr="001D376A">
        <w:rPr>
          <w:noProof/>
        </w:rPr>
        <w:t>. Chicago, Illinois, USA.</w:t>
      </w:r>
    </w:p>
    <w:p w14:paraId="322EB7F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Clark, C.J., Poulsen, J.R., Malonga, R. &amp; Elkan, P.W. (2009). Logging concessions can extend the conservation estate for Central African tropical forests. </w:t>
      </w:r>
      <w:r w:rsidRPr="001D376A">
        <w:rPr>
          <w:i/>
          <w:iCs/>
          <w:noProof/>
        </w:rPr>
        <w:t>Conserv. Biol.</w:t>
      </w:r>
      <w:r w:rsidRPr="001D376A">
        <w:rPr>
          <w:noProof/>
        </w:rPr>
        <w:t>, 23, 1281–1293.</w:t>
      </w:r>
    </w:p>
    <w:p w14:paraId="4553844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Clements, G.R., Lynam, A.J., Gaveau, D., Yap, W.L., Lhota, S., Goosem, M., Laurance, S. &amp; Laurance, W.F. (2014). Where and how are roads endangering mammals in Southeast Asia’s forests. </w:t>
      </w:r>
      <w:r w:rsidRPr="001D376A">
        <w:rPr>
          <w:i/>
          <w:iCs/>
          <w:noProof/>
        </w:rPr>
        <w:t>PLoS One</w:t>
      </w:r>
      <w:r w:rsidRPr="001D376A">
        <w:rPr>
          <w:noProof/>
        </w:rPr>
        <w:t>, 9, e115376.</w:t>
      </w:r>
    </w:p>
    <w:p w14:paraId="3007391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Clements, T. &amp; Milner-Gulland, E.J. (2015). Impact of payments for environmental services and protected areas on local livelihoods and forest conservation in northern Cambodia. </w:t>
      </w:r>
      <w:r w:rsidRPr="001D376A">
        <w:rPr>
          <w:i/>
          <w:iCs/>
          <w:noProof/>
        </w:rPr>
        <w:t>Conserv. Biol.</w:t>
      </w:r>
      <w:r w:rsidRPr="001D376A">
        <w:rPr>
          <w:noProof/>
        </w:rPr>
        <w:t>, 29, 78–87.</w:t>
      </w:r>
    </w:p>
    <w:p w14:paraId="20260D4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Coad, L. (2007). </w:t>
      </w:r>
      <w:r w:rsidRPr="001D376A">
        <w:rPr>
          <w:i/>
          <w:iCs/>
          <w:noProof/>
        </w:rPr>
        <w:t>Bushmeat hunting in Gabon: socio-economics and hunter behaviour</w:t>
      </w:r>
      <w:r w:rsidRPr="001D376A">
        <w:rPr>
          <w:noProof/>
        </w:rPr>
        <w:t>. PhD Thesis, University of Cambridge, UK.</w:t>
      </w:r>
    </w:p>
    <w:p w14:paraId="6ED7780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Coad, L., Abernethy, K.A., Balmford, A., Manica, A., Airey, L. &amp; Milner-Gulland, E.J. (2010). Distribution and use of income from bushmeat in a rural village, Central Gabon. </w:t>
      </w:r>
      <w:r w:rsidRPr="001D376A">
        <w:rPr>
          <w:i/>
          <w:iCs/>
          <w:noProof/>
        </w:rPr>
        <w:t>Conserv. Biol.</w:t>
      </w:r>
      <w:r w:rsidRPr="001D376A">
        <w:rPr>
          <w:noProof/>
        </w:rPr>
        <w:t>, 24, 1510–1518.</w:t>
      </w:r>
    </w:p>
    <w:p w14:paraId="5B23FF8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Coad, L., Schleicher, J., Milner-Gulland, E.J., Marthews, T.R., Starkey, M., Manica, A., Balmford, A., Mbombe, W., Diop Bineni, T.R. &amp; Abernethy, K.A. (2013). Social and ecological change over a decade in a village hunting system, Central Gabon. </w:t>
      </w:r>
      <w:r w:rsidRPr="001D376A">
        <w:rPr>
          <w:i/>
          <w:iCs/>
          <w:noProof/>
        </w:rPr>
        <w:t>Conserv. Biol.</w:t>
      </w:r>
      <w:r w:rsidRPr="001D376A">
        <w:rPr>
          <w:noProof/>
        </w:rPr>
        <w:t>, 27, 270–280.</w:t>
      </w:r>
    </w:p>
    <w:p w14:paraId="0F0EC26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Coad, L., Watson, J.E.M., Geldmann, J., Burgess, N.D., Leverington, F., Hockings, M., Knights, K. &amp; DiMarco, M. (n.d.). Widespread shortfalls in protected area resourcing significantly undermine efforts to conserve biodiversity. </w:t>
      </w:r>
      <w:r w:rsidRPr="001D376A">
        <w:rPr>
          <w:i/>
          <w:iCs/>
          <w:noProof/>
        </w:rPr>
        <w:t>Front. Ecol. Evol.</w:t>
      </w:r>
    </w:p>
    <w:p w14:paraId="444398A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Cole, L.C. (1954). The population consequences of life history phenomena. </w:t>
      </w:r>
      <w:r w:rsidRPr="001D376A">
        <w:rPr>
          <w:i/>
          <w:iCs/>
          <w:noProof/>
        </w:rPr>
        <w:t>Q. Rev. Biol.</w:t>
      </w:r>
      <w:r w:rsidRPr="001D376A">
        <w:rPr>
          <w:noProof/>
        </w:rPr>
        <w:t>, 29, 103–137.</w:t>
      </w:r>
    </w:p>
    <w:p w14:paraId="7044B00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Combreau, O., Launay, F. &amp; Lawrence, M. (2001). An assessment of annual mortality rates in adult-sized migrant houbara bustards (Chlamydotis [undulata] macqueenii). </w:t>
      </w:r>
      <w:r w:rsidRPr="001D376A">
        <w:rPr>
          <w:i/>
          <w:iCs/>
          <w:noProof/>
        </w:rPr>
        <w:t>Anim. Conserv.</w:t>
      </w:r>
      <w:r w:rsidRPr="001D376A">
        <w:rPr>
          <w:noProof/>
        </w:rPr>
        <w:t>, 4, 133–141.</w:t>
      </w:r>
    </w:p>
    <w:p w14:paraId="16213F6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Conrad, K. (2012). Trade bans: a perfect storm for poaching? </w:t>
      </w:r>
      <w:r w:rsidRPr="001D376A">
        <w:rPr>
          <w:i/>
          <w:iCs/>
          <w:noProof/>
        </w:rPr>
        <w:t>Trop. Conserv. Sci.</w:t>
      </w:r>
      <w:r w:rsidRPr="001D376A">
        <w:rPr>
          <w:noProof/>
        </w:rPr>
        <w:t>, 5, 245–254.</w:t>
      </w:r>
    </w:p>
    <w:p w14:paraId="148A23D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Conservation International Guayana &amp; IDB-Multilateral Investment. (2015). </w:t>
      </w:r>
      <w:r w:rsidRPr="001D376A">
        <w:rPr>
          <w:i/>
          <w:iCs/>
          <w:noProof/>
        </w:rPr>
        <w:t>The state of food &amp; agriculture in the Rupununi, Guyana</w:t>
      </w:r>
      <w:r w:rsidRPr="001D376A">
        <w:rPr>
          <w:noProof/>
        </w:rPr>
        <w:t>. Conservation International Guyana &amp; IDB-Multilateral Investment Fund, Food and Agriculture Organization of the United Nations (FAO), Rome, Italy.</w:t>
      </w:r>
    </w:p>
    <w:p w14:paraId="128EC023"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Constantino, P. de A.L. (2016). </w:t>
      </w:r>
      <w:r w:rsidRPr="001D376A">
        <w:rPr>
          <w:noProof/>
        </w:rPr>
        <w:t xml:space="preserve">Deforestation and hunting effects on wildlife across Amazonian indigenous lands. </w:t>
      </w:r>
      <w:r w:rsidRPr="001D376A">
        <w:rPr>
          <w:i/>
          <w:iCs/>
          <w:noProof/>
        </w:rPr>
        <w:t>Ecol. Soc.</w:t>
      </w:r>
      <w:r w:rsidRPr="001D376A">
        <w:rPr>
          <w:noProof/>
        </w:rPr>
        <w:t>, 21, 3.</w:t>
      </w:r>
    </w:p>
    <w:p w14:paraId="096DB2F2"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Constantino, P.A.L. (2015). Dynamics of hunting territories and prey distribution in Amazonian indigenous lands. </w:t>
      </w:r>
      <w:r w:rsidRPr="00814265">
        <w:rPr>
          <w:i/>
          <w:iCs/>
          <w:noProof/>
          <w:lang w:val="pt-BR"/>
        </w:rPr>
        <w:t>Appl. Geogr.</w:t>
      </w:r>
      <w:r w:rsidRPr="00814265">
        <w:rPr>
          <w:noProof/>
          <w:lang w:val="pt-BR"/>
        </w:rPr>
        <w:t>, 56, 222–231.</w:t>
      </w:r>
    </w:p>
    <w:p w14:paraId="5076922E"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Constantino, P.A.L., Carlos, H.S.A., Ramalho, E.E., Rostant, L., Marinelli, C.E., Teles, D., </w:t>
      </w:r>
      <w:r w:rsidRPr="00814265">
        <w:rPr>
          <w:noProof/>
          <w:lang w:val="pt-BR"/>
        </w:rPr>
        <w:lastRenderedPageBreak/>
        <w:t xml:space="preserve">Fonseca-Junior, S.F., Fernandes, R.B. &amp; Valsecchi. </w:t>
      </w:r>
      <w:r w:rsidRPr="001D376A">
        <w:rPr>
          <w:noProof/>
        </w:rPr>
        <w:t xml:space="preserve">(2012). Changing contexts, changing strategies empowering local people through community-based resource monitoring: a comparison between Brazil and Namibia. </w:t>
      </w:r>
      <w:r w:rsidRPr="001D376A">
        <w:rPr>
          <w:i/>
          <w:iCs/>
          <w:noProof/>
        </w:rPr>
        <w:t>Ecol. Soc.</w:t>
      </w:r>
      <w:r w:rsidRPr="001D376A">
        <w:rPr>
          <w:noProof/>
        </w:rPr>
        <w:t>, 17, 22.</w:t>
      </w:r>
    </w:p>
    <w:p w14:paraId="6FD2C54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Coomes, O.T., Barham, B.L. &amp; Takasaki, Y. (2004). Targeting conservation-development initiatives in tropical forests: insights from analyses of rain forest use and economic reliance among Amazonian peasants. </w:t>
      </w:r>
      <w:r w:rsidRPr="001D376A">
        <w:rPr>
          <w:i/>
          <w:iCs/>
          <w:noProof/>
        </w:rPr>
        <w:t>Ecol. Econ.</w:t>
      </w:r>
      <w:r w:rsidRPr="001D376A">
        <w:rPr>
          <w:noProof/>
        </w:rPr>
        <w:t>, 51, 47–64.</w:t>
      </w:r>
    </w:p>
    <w:p w14:paraId="03E6209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Cooney, R. &amp; Jepson, P. (2006). The international wild bird trade: What’s wrong with blanket bans? </w:t>
      </w:r>
      <w:r w:rsidRPr="001D376A">
        <w:rPr>
          <w:i/>
          <w:iCs/>
          <w:noProof/>
        </w:rPr>
        <w:t>Oryx</w:t>
      </w:r>
      <w:r w:rsidRPr="001D376A">
        <w:rPr>
          <w:noProof/>
        </w:rPr>
        <w:t>, 40, 18–23.</w:t>
      </w:r>
    </w:p>
    <w:p w14:paraId="2E7CE98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Cooney, R., Roe, D., Dublin, H. &amp; Booker, F. (2018). </w:t>
      </w:r>
      <w:r w:rsidRPr="001D376A">
        <w:rPr>
          <w:i/>
          <w:iCs/>
          <w:noProof/>
        </w:rPr>
        <w:t>Wild life, wild livelihoods: involving communities in sustainable wildlife management and combating illegal wildlife trade</w:t>
      </w:r>
      <w:r w:rsidRPr="001D376A">
        <w:rPr>
          <w:noProof/>
        </w:rPr>
        <w:t>. United Nations Environment Programme, Nairobi, Kenya.</w:t>
      </w:r>
    </w:p>
    <w:p w14:paraId="0918452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Cooney, R., Roe, D., Dublin, H., Phelps, J., Wilkie, D., Keane, A., Travers, H., Skinner, D., Challender, D.W.S., Allan, J.R. &amp; Biggs, D. (2017). From poachers to protectors: engaging local communities in solutions to illegal wildlife trade. </w:t>
      </w:r>
      <w:r w:rsidRPr="001D376A">
        <w:rPr>
          <w:i/>
          <w:iCs/>
          <w:noProof/>
        </w:rPr>
        <w:t>Conserv. Lett.</w:t>
      </w:r>
      <w:r w:rsidRPr="001D376A">
        <w:rPr>
          <w:noProof/>
        </w:rPr>
        <w:t>, 10, 367–374.</w:t>
      </w:r>
    </w:p>
    <w:p w14:paraId="0322945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Cooney, R., Roe, D., Melisch, R., Dublin, H. &amp; Dinsi, S. (2016). </w:t>
      </w:r>
      <w:r w:rsidRPr="001D376A">
        <w:rPr>
          <w:i/>
          <w:iCs/>
          <w:noProof/>
        </w:rPr>
        <w:t>Workshop Proceedings: Beyond Enforcement: Involving Indigenous Peoples and Local Communities in Combating Illegal Wildlife Trade. Regional Workshop for West and Central Africa. Published by IUCN SULi.</w:t>
      </w:r>
    </w:p>
    <w:p w14:paraId="60A24C0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Cooper, J.E. (1995). Wildlife species for sustainable food production. </w:t>
      </w:r>
      <w:r w:rsidRPr="001D376A">
        <w:rPr>
          <w:i/>
          <w:iCs/>
          <w:noProof/>
        </w:rPr>
        <w:t>Biodivers. Conserv.</w:t>
      </w:r>
      <w:r w:rsidRPr="001D376A">
        <w:rPr>
          <w:noProof/>
        </w:rPr>
        <w:t>, 4, 215–219.</w:t>
      </w:r>
    </w:p>
    <w:p w14:paraId="4D4CD5F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Corbett, J. (2009). </w:t>
      </w:r>
      <w:r w:rsidRPr="001D376A">
        <w:rPr>
          <w:i/>
          <w:iCs/>
          <w:noProof/>
        </w:rPr>
        <w:t>Good practices in participatory mapping: a review prepared for the International Fund for Agricultural Development (IFAD)</w:t>
      </w:r>
      <w:r w:rsidRPr="001D376A">
        <w:rPr>
          <w:noProof/>
        </w:rPr>
        <w:t>. IFAD, Rome, Italy.</w:t>
      </w:r>
    </w:p>
    <w:p w14:paraId="17B9082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Cordell, J. (1993). Boundaries and bloodlines: tenure of indigenous homelands and protected areas. In: </w:t>
      </w:r>
      <w:r w:rsidRPr="001D376A">
        <w:rPr>
          <w:i/>
          <w:iCs/>
          <w:noProof/>
        </w:rPr>
        <w:t>Law Mother Prot. Indig. Peoples Prot. Areas.</w:t>
      </w:r>
      <w:r w:rsidRPr="001D376A">
        <w:rPr>
          <w:noProof/>
        </w:rPr>
        <w:t xml:space="preserve"> (ed. Kemf, E.). Sierra Book Clubs, San Fransisco, California, USA, pp. 61–68.</w:t>
      </w:r>
    </w:p>
    <w:p w14:paraId="307B569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Corlett, R.T. (2007). The impact of hunting on the mammalian fauna of tropical Asian forests. </w:t>
      </w:r>
      <w:r w:rsidRPr="001D376A">
        <w:rPr>
          <w:i/>
          <w:iCs/>
          <w:noProof/>
        </w:rPr>
        <w:t>Biotropica</w:t>
      </w:r>
      <w:r w:rsidRPr="001D376A">
        <w:rPr>
          <w:noProof/>
        </w:rPr>
        <w:t>, 39, 292–303.</w:t>
      </w:r>
    </w:p>
    <w:p w14:paraId="06B62AE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Cormier, L. (2006). A preliminary review of Neotropical primates in the subsistence and symbolism of indigenous lowland South American peoples. </w:t>
      </w:r>
      <w:r w:rsidRPr="001D376A">
        <w:rPr>
          <w:i/>
          <w:iCs/>
          <w:noProof/>
        </w:rPr>
        <w:t>Ecol. Envir. Anthr.</w:t>
      </w:r>
      <w:r w:rsidRPr="001D376A">
        <w:rPr>
          <w:noProof/>
        </w:rPr>
        <w:t>, 2, 14–32.</w:t>
      </w:r>
    </w:p>
    <w:p w14:paraId="1598113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Cowlishaw, G., Mendelson, S. &amp; Rowcliffe, J.M. (2004). The bushmeat commodity chain: patterns of trade and sustainability in a mature urban market in West Africa. </w:t>
      </w:r>
      <w:r w:rsidRPr="001D376A">
        <w:rPr>
          <w:i/>
          <w:iCs/>
          <w:noProof/>
        </w:rPr>
        <w:t>Wildl. Policy</w:t>
      </w:r>
      <w:r w:rsidRPr="001D376A">
        <w:rPr>
          <w:noProof/>
        </w:rPr>
        <w:t>, 7, 1–4.</w:t>
      </w:r>
    </w:p>
    <w:p w14:paraId="05DA5C0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Cowlishaw, G., Mendelson, S. &amp; Rowcliffe, J.M. (2005). Evidence for post-depletion sustainability in a mature bushmeat market. </w:t>
      </w:r>
      <w:r w:rsidRPr="001D376A">
        <w:rPr>
          <w:i/>
          <w:iCs/>
          <w:noProof/>
        </w:rPr>
        <w:t>J. Appl. Ecol.</w:t>
      </w:r>
      <w:r w:rsidRPr="001D376A">
        <w:rPr>
          <w:noProof/>
        </w:rPr>
        <w:t>, 42, 460–468.</w:t>
      </w:r>
    </w:p>
    <w:p w14:paraId="25085C1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Cronin, D.T., Woloszynek, S., Morra, W.A., Honarvar, S., Linder, J.M., Gonder, M.K., O’Connor, M.P. &amp; Hearn, G.W. (2015). Long-term urban market dynamics reveal increased bushmeat carcass volume despite economic growth and proactive </w:t>
      </w:r>
      <w:r w:rsidRPr="001D376A">
        <w:rPr>
          <w:noProof/>
        </w:rPr>
        <w:lastRenderedPageBreak/>
        <w:t xml:space="preserve">environmental legislation on Bioko Island, Equatorial Guinea. </w:t>
      </w:r>
      <w:r w:rsidRPr="001D376A">
        <w:rPr>
          <w:i/>
          <w:iCs/>
          <w:noProof/>
        </w:rPr>
        <w:t>PLoS One</w:t>
      </w:r>
      <w:r w:rsidRPr="001D376A">
        <w:rPr>
          <w:noProof/>
        </w:rPr>
        <w:t>, 10, e0134464.</w:t>
      </w:r>
    </w:p>
    <w:p w14:paraId="4CC1D45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Cullen Jr., L., Bodmer, R.E. &amp; Valladares Pádua, C. (2000). Effects of hunting in habitat fragments of the Atlantic forests, Brazil. </w:t>
      </w:r>
      <w:r w:rsidRPr="001D376A">
        <w:rPr>
          <w:i/>
          <w:iCs/>
          <w:noProof/>
        </w:rPr>
        <w:t>Biol. Conserv.</w:t>
      </w:r>
      <w:r w:rsidRPr="001D376A">
        <w:rPr>
          <w:noProof/>
        </w:rPr>
        <w:t>, 95, 49–56.</w:t>
      </w:r>
    </w:p>
    <w:p w14:paraId="42FCF73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D L A Piper. (2015). </w:t>
      </w:r>
      <w:r w:rsidRPr="001D376A">
        <w:rPr>
          <w:i/>
          <w:iCs/>
          <w:noProof/>
        </w:rPr>
        <w:t>Empty Threat: Does the Law Combat Illegal Wildlife Trade? A Review of Legislative and Judicial Approaches in Fifteen Jurisdictions.</w:t>
      </w:r>
      <w:r w:rsidRPr="001D376A">
        <w:rPr>
          <w:noProof/>
        </w:rPr>
        <w:t xml:space="preserve"> DLA Piper.</w:t>
      </w:r>
    </w:p>
    <w:p w14:paraId="7DA49D0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Darimont, C.T., Fox, C.H., Bryan, H.M. &amp; Reimchen, T.E. (2015). The unique ecology of human predators. </w:t>
      </w:r>
      <w:r w:rsidRPr="001D376A">
        <w:rPr>
          <w:i/>
          <w:iCs/>
          <w:noProof/>
        </w:rPr>
        <w:t>Science</w:t>
      </w:r>
      <w:r w:rsidRPr="001D376A">
        <w:rPr>
          <w:noProof/>
        </w:rPr>
        <w:t>, 349, 858–861.</w:t>
      </w:r>
    </w:p>
    <w:p w14:paraId="2F28B0D1" w14:textId="77777777" w:rsidR="001D376A" w:rsidRPr="001D376A" w:rsidRDefault="001D376A" w:rsidP="001D376A">
      <w:pPr>
        <w:widowControl w:val="0"/>
        <w:autoSpaceDE w:val="0"/>
        <w:autoSpaceDN w:val="0"/>
        <w:adjustRightInd w:val="0"/>
        <w:ind w:left="480" w:hanging="480"/>
        <w:rPr>
          <w:noProof/>
        </w:rPr>
      </w:pPr>
      <w:r w:rsidRPr="001D376A">
        <w:rPr>
          <w:noProof/>
        </w:rPr>
        <w:t>Davies, R. (2012). Blog post on the criteria for assessing the evaluability of a theory of change. http://mandenews.blogspot.co.uk/2012/04/criteria-for- assessing-evaluablity-of.html.</w:t>
      </w:r>
    </w:p>
    <w:p w14:paraId="47142043" w14:textId="77777777" w:rsidR="001D376A" w:rsidRPr="00DF57F3" w:rsidRDefault="001D376A" w:rsidP="001D376A">
      <w:pPr>
        <w:widowControl w:val="0"/>
        <w:autoSpaceDE w:val="0"/>
        <w:autoSpaceDN w:val="0"/>
        <w:adjustRightInd w:val="0"/>
        <w:ind w:left="480" w:hanging="480"/>
        <w:rPr>
          <w:noProof/>
          <w:lang w:val="fr-FR"/>
        </w:rPr>
      </w:pPr>
      <w:r w:rsidRPr="00DF57F3">
        <w:rPr>
          <w:noProof/>
          <w:lang w:val="fr-FR"/>
        </w:rPr>
        <w:t xml:space="preserve">Delvingt, W. (1997). </w:t>
      </w:r>
      <w:r w:rsidRPr="00DF57F3">
        <w:rPr>
          <w:i/>
          <w:iCs/>
          <w:noProof/>
          <w:lang w:val="fr-FR"/>
        </w:rPr>
        <w:t>La chasse villageoise synthèse régionale des études réalisées durant la première phase du programme ECOFAC au Cameroun, au Congo et en République Centrafricaine</w:t>
      </w:r>
      <w:r w:rsidRPr="00DF57F3">
        <w:rPr>
          <w:noProof/>
          <w:lang w:val="fr-FR"/>
        </w:rPr>
        <w:t>. ECOFAC/AGRECO-CTFT, Brussels, Belgium.</w:t>
      </w:r>
    </w:p>
    <w:p w14:paraId="6A26781D" w14:textId="77777777" w:rsidR="001D376A" w:rsidRPr="00814265" w:rsidRDefault="001D376A" w:rsidP="001D376A">
      <w:pPr>
        <w:widowControl w:val="0"/>
        <w:autoSpaceDE w:val="0"/>
        <w:autoSpaceDN w:val="0"/>
        <w:adjustRightInd w:val="0"/>
        <w:ind w:left="480" w:hanging="480"/>
        <w:rPr>
          <w:noProof/>
          <w:lang w:val="pt-BR"/>
        </w:rPr>
      </w:pPr>
      <w:r w:rsidRPr="00DF57F3">
        <w:rPr>
          <w:noProof/>
          <w:lang w:val="fr-FR"/>
        </w:rPr>
        <w:t xml:space="preserve">Delvingt, W., Dethier, M., Auzel, P. &amp; Jeanmart, P. (2001). La chasse villageoise Badjoué, gestion coutumière durable ou pillage de la ressource gibier. In: </w:t>
      </w:r>
      <w:r w:rsidRPr="00DF57F3">
        <w:rPr>
          <w:i/>
          <w:iCs/>
          <w:noProof/>
          <w:lang w:val="fr-FR"/>
        </w:rPr>
        <w:t xml:space="preserve">La Forêt des Hommes Terroirs Villageois en Forêt Trop. </w:t>
      </w:r>
      <w:r w:rsidRPr="00814265">
        <w:rPr>
          <w:i/>
          <w:iCs/>
          <w:noProof/>
          <w:lang w:val="pt-BR"/>
        </w:rPr>
        <w:t>Africaine</w:t>
      </w:r>
      <w:r w:rsidRPr="00814265">
        <w:rPr>
          <w:noProof/>
          <w:lang w:val="pt-BR"/>
        </w:rPr>
        <w:t xml:space="preserve"> (ed. Delvingt, W.). Les Presses Agronomiques de Gembloux, Gembloux, Belgium, pp. 65–92.</w:t>
      </w:r>
    </w:p>
    <w:p w14:paraId="60DADF3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Dessie, T. &amp; Getachew, F. (2016). </w:t>
      </w:r>
      <w:r w:rsidRPr="001D376A">
        <w:rPr>
          <w:i/>
          <w:iCs/>
          <w:noProof/>
        </w:rPr>
        <w:t>The Kuroiler Breed. Factsheet 2</w:t>
      </w:r>
      <w:r w:rsidRPr="001D376A">
        <w:rPr>
          <w:noProof/>
        </w:rPr>
        <w:t>. ILRI, Nairobi, Kenya.</w:t>
      </w:r>
    </w:p>
    <w:p w14:paraId="47B1B298" w14:textId="77777777" w:rsidR="001D376A" w:rsidRPr="00DF57F3" w:rsidRDefault="001D376A" w:rsidP="001D376A">
      <w:pPr>
        <w:widowControl w:val="0"/>
        <w:autoSpaceDE w:val="0"/>
        <w:autoSpaceDN w:val="0"/>
        <w:adjustRightInd w:val="0"/>
        <w:ind w:left="480" w:hanging="480"/>
        <w:rPr>
          <w:noProof/>
          <w:lang w:val="fr-FR"/>
        </w:rPr>
      </w:pPr>
      <w:r w:rsidRPr="001D376A">
        <w:rPr>
          <w:noProof/>
        </w:rPr>
        <w:t xml:space="preserve">Dirzo, R., Young, H.S., Galetti, M., Ceballos, G., Isaac, N.J.B. &amp; Collen, B. (2014). </w:t>
      </w:r>
      <w:r w:rsidRPr="00DF57F3">
        <w:rPr>
          <w:noProof/>
          <w:lang w:val="fr-FR"/>
        </w:rPr>
        <w:t xml:space="preserve">Defaunation in the Anthropocene. </w:t>
      </w:r>
      <w:r w:rsidRPr="00DF57F3">
        <w:rPr>
          <w:i/>
          <w:iCs/>
          <w:noProof/>
          <w:lang w:val="fr-FR"/>
        </w:rPr>
        <w:t>Science</w:t>
      </w:r>
      <w:r w:rsidRPr="00DF57F3">
        <w:rPr>
          <w:noProof/>
          <w:lang w:val="fr-FR"/>
        </w:rPr>
        <w:t>, 345, 401–406.</w:t>
      </w:r>
    </w:p>
    <w:p w14:paraId="071D4FDB" w14:textId="77777777" w:rsidR="001D376A" w:rsidRPr="00DF57F3" w:rsidRDefault="001D376A" w:rsidP="001D376A">
      <w:pPr>
        <w:widowControl w:val="0"/>
        <w:autoSpaceDE w:val="0"/>
        <w:autoSpaceDN w:val="0"/>
        <w:adjustRightInd w:val="0"/>
        <w:ind w:left="480" w:hanging="480"/>
        <w:rPr>
          <w:noProof/>
          <w:lang w:val="fr-FR"/>
        </w:rPr>
      </w:pPr>
      <w:r w:rsidRPr="00DF57F3">
        <w:rPr>
          <w:noProof/>
          <w:lang w:val="fr-FR"/>
        </w:rPr>
        <w:t xml:space="preserve">Dounias, E. (1999). Le câble pris au piège de la conservation. Technologie du piégeage et production cynégétique chez les Mvae du sud Cameroun forestier. In: </w:t>
      </w:r>
      <w:r w:rsidRPr="00DF57F3">
        <w:rPr>
          <w:i/>
          <w:iCs/>
          <w:noProof/>
          <w:lang w:val="fr-FR"/>
        </w:rPr>
        <w:t>L’homme la Forêt Trop.</w:t>
      </w:r>
      <w:r w:rsidRPr="00DF57F3">
        <w:rPr>
          <w:noProof/>
          <w:lang w:val="fr-FR"/>
        </w:rPr>
        <w:t xml:space="preserve"> Travaux Société Ecologie Humaine, Paris.</w:t>
      </w:r>
    </w:p>
    <w:p w14:paraId="0A8D47D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Dounias, E. &amp; Froment, A. (2011). From foraging to farming among present-day forest hunter-gatherers: consequences on diet and health. </w:t>
      </w:r>
      <w:r w:rsidRPr="001D376A">
        <w:rPr>
          <w:i/>
          <w:iCs/>
          <w:noProof/>
        </w:rPr>
        <w:t>Int. For. Rev.</w:t>
      </w:r>
      <w:r w:rsidRPr="001D376A">
        <w:rPr>
          <w:noProof/>
        </w:rPr>
        <w:t>, 13, 294–304.</w:t>
      </w:r>
    </w:p>
    <w:p w14:paraId="690A07A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Draulans, D. &amp; Krunkelsven, E. Van. (2002). The impact of war on forest areas in the Democratic Republic of Congo. </w:t>
      </w:r>
      <w:r w:rsidRPr="001D376A">
        <w:rPr>
          <w:i/>
          <w:iCs/>
          <w:noProof/>
        </w:rPr>
        <w:t>Oryx</w:t>
      </w:r>
      <w:r w:rsidRPr="001D376A">
        <w:rPr>
          <w:noProof/>
        </w:rPr>
        <w:t>, 36, 35–40.</w:t>
      </w:r>
    </w:p>
    <w:p w14:paraId="40D477D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Drury, R. (2009). Reducing urban demand for wild animals in Vietnam: examining the potential of wildlife farming as a conservation tool. </w:t>
      </w:r>
      <w:r w:rsidRPr="001D376A">
        <w:rPr>
          <w:i/>
          <w:iCs/>
          <w:noProof/>
        </w:rPr>
        <w:t>Conserv. Lett.</w:t>
      </w:r>
      <w:r w:rsidRPr="001D376A">
        <w:rPr>
          <w:noProof/>
        </w:rPr>
        <w:t>, 2, 263–270.</w:t>
      </w:r>
    </w:p>
    <w:p w14:paraId="3207769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Drury, R. (2011). Hungry for success: urban consumer demand for wild animal products in Vietnam. </w:t>
      </w:r>
      <w:r w:rsidRPr="001D376A">
        <w:rPr>
          <w:i/>
          <w:iCs/>
          <w:noProof/>
        </w:rPr>
        <w:t>Conserv. Soc.</w:t>
      </w:r>
      <w:r w:rsidRPr="001D376A">
        <w:rPr>
          <w:noProof/>
        </w:rPr>
        <w:t>, 9, 247.</w:t>
      </w:r>
    </w:p>
    <w:p w14:paraId="635C2FE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Duda, R., Gallois, S. &amp; Reyes-Garcia, V. (2017). Hunting techniques, wildlife offtake and market integration. A perspective from individual variations among the Baka (Cameroon). </w:t>
      </w:r>
      <w:r w:rsidRPr="001D376A">
        <w:rPr>
          <w:i/>
          <w:iCs/>
          <w:noProof/>
        </w:rPr>
        <w:t>Afr. Study Monogr.</w:t>
      </w:r>
      <w:r w:rsidRPr="001D376A">
        <w:rPr>
          <w:noProof/>
        </w:rPr>
        <w:t>, 38, 97–118.</w:t>
      </w:r>
    </w:p>
    <w:p w14:paraId="62A6969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Dupain, J., Bwebwe, F., Elliott, J., Sebunya, K., Williams, D. &amp; Nackoney, J. (2008). Case study 2 - The role of alternative livelihoods in conservation: lessons learned from the Maringa-Lopori-Wamba Landscape. In: </w:t>
      </w:r>
      <w:r w:rsidRPr="001D376A">
        <w:rPr>
          <w:i/>
          <w:iCs/>
          <w:noProof/>
        </w:rPr>
        <w:t xml:space="preserve">Landscape-Scale Conserv. Congo Basin </w:t>
      </w:r>
      <w:r w:rsidRPr="001D376A">
        <w:rPr>
          <w:i/>
          <w:iCs/>
          <w:noProof/>
        </w:rPr>
        <w:lastRenderedPageBreak/>
        <w:t>Lessons Learn. from Cent. Africa Reg. Progr. Environ.</w:t>
      </w:r>
      <w:r w:rsidRPr="001D376A">
        <w:rPr>
          <w:noProof/>
        </w:rPr>
        <w:t xml:space="preserve"> (eds. Tanggen, D., Angu, K. &amp; Tchamou, N.). pp. 193–202.</w:t>
      </w:r>
    </w:p>
    <w:p w14:paraId="2BEC31B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Dutton, A.J., Hepburn, C. &amp; Macdonald, D.W. (2011). A stated preference investigation into the chinese demand for farmed vs. wild bear bile. </w:t>
      </w:r>
      <w:r w:rsidRPr="001D376A">
        <w:rPr>
          <w:i/>
          <w:iCs/>
          <w:noProof/>
        </w:rPr>
        <w:t>PLoS One</w:t>
      </w:r>
      <w:r w:rsidRPr="001D376A">
        <w:rPr>
          <w:noProof/>
        </w:rPr>
        <w:t>, 6.</w:t>
      </w:r>
    </w:p>
    <w:p w14:paraId="1F3C13E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East, T., Kümpel, N.F., Milner-Gulland, E.J. &amp; Rowcliffe, J.M. (2005). Determinants of urban bushmeat consumption in Río Muni, Equatorial Guinea. </w:t>
      </w:r>
      <w:r w:rsidRPr="001D376A">
        <w:rPr>
          <w:i/>
          <w:iCs/>
          <w:noProof/>
        </w:rPr>
        <w:t>Biol. Conserv.</w:t>
      </w:r>
      <w:r w:rsidRPr="001D376A">
        <w:rPr>
          <w:noProof/>
        </w:rPr>
        <w:t>, 126, 206–215.</w:t>
      </w:r>
    </w:p>
    <w:p w14:paraId="5ED5016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Edderai, D. &amp; Dame, M. (2006). A census of the commercial bushmeat market in Yaound??, Cameroon. </w:t>
      </w:r>
      <w:r w:rsidRPr="001D376A">
        <w:rPr>
          <w:i/>
          <w:iCs/>
          <w:noProof/>
        </w:rPr>
        <w:t>Oryx</w:t>
      </w:r>
      <w:r w:rsidRPr="001D376A">
        <w:rPr>
          <w:noProof/>
        </w:rPr>
        <w:t>, 40, 472–475.</w:t>
      </w:r>
    </w:p>
    <w:p w14:paraId="2CA4916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Elliott, J., Grahn, R., Sriskanthan, G. &amp; Arnold, C. (2002). </w:t>
      </w:r>
      <w:r w:rsidRPr="001D376A">
        <w:rPr>
          <w:i/>
          <w:iCs/>
          <w:noProof/>
        </w:rPr>
        <w:t>Wildlife and poverty study</w:t>
      </w:r>
      <w:r w:rsidRPr="001D376A">
        <w:rPr>
          <w:noProof/>
        </w:rPr>
        <w:t>. DFID Rural Livelihoods Department, London, UK.</w:t>
      </w:r>
    </w:p>
    <w:p w14:paraId="406A2DD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Elmqvist, T., Zipperer, W. &amp; Güneralp, B. (2016). Urbanization, habitat loss, biodiversity decline: Solution pathways to break the cycle. In: </w:t>
      </w:r>
      <w:r w:rsidRPr="001D376A">
        <w:rPr>
          <w:i/>
          <w:iCs/>
          <w:noProof/>
        </w:rPr>
        <w:t>Routledge Handb. Urban. Glob. Environ. Chang.</w:t>
      </w:r>
      <w:r w:rsidRPr="001D376A">
        <w:rPr>
          <w:noProof/>
        </w:rPr>
        <w:t xml:space="preserve"> (eds. Seto, K.C., Solecki, W.D. &amp; Griffith, C.A.). Routledge, Oxford, UK., pp. 139–151.</w:t>
      </w:r>
    </w:p>
    <w:p w14:paraId="446CCD9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Engel, S., Pagiola, S. &amp; Wunder, S. (2008). Designing payments for environmental services in theory and practice: an overview of the issues. </w:t>
      </w:r>
      <w:r w:rsidRPr="001D376A">
        <w:rPr>
          <w:i/>
          <w:iCs/>
          <w:noProof/>
        </w:rPr>
        <w:t>Ecol. Econ.</w:t>
      </w:r>
      <w:r w:rsidRPr="001D376A">
        <w:rPr>
          <w:noProof/>
        </w:rPr>
        <w:t>, 65, 663–674.</w:t>
      </w:r>
    </w:p>
    <w:p w14:paraId="1D18272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Eshoo, P.F., Johnson, A., Duangdala, S. &amp; Hansel, T. (2018). Design, monitoring and evaluation of a direct payments approach for an ecotourism strategy to reduce illegal hunting and trade of wildlife in Lao PDR. </w:t>
      </w:r>
      <w:r w:rsidRPr="001D376A">
        <w:rPr>
          <w:i/>
          <w:iCs/>
          <w:noProof/>
        </w:rPr>
        <w:t>PLoS One</w:t>
      </w:r>
      <w:r w:rsidRPr="001D376A">
        <w:rPr>
          <w:noProof/>
        </w:rPr>
        <w:t>, 13.</w:t>
      </w:r>
    </w:p>
    <w:p w14:paraId="42A38C7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ESPA. (2017). </w:t>
      </w:r>
      <w:r w:rsidRPr="001D376A">
        <w:rPr>
          <w:i/>
          <w:iCs/>
          <w:noProof/>
        </w:rPr>
        <w:t>Realising the promise of Tanzania’s Wildlife Management Areas. Policy and Practice Briefing, Nov. 2017</w:t>
      </w:r>
      <w:r w:rsidRPr="001D376A">
        <w:rPr>
          <w:noProof/>
        </w:rPr>
        <w:t>. Ecosystem Services for Poverty Alleviation (ESPA), London, UK.</w:t>
      </w:r>
    </w:p>
    <w:p w14:paraId="1751788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Espinosa, M.C. (2008). What has globalization to do with wildlife use in the remote amazon? exploring the links between macroeconomic changes, markets and community entitlements. </w:t>
      </w:r>
      <w:r w:rsidRPr="001D376A">
        <w:rPr>
          <w:i/>
          <w:iCs/>
          <w:noProof/>
        </w:rPr>
        <w:t>J. Dev. Soc.</w:t>
      </w:r>
      <w:r w:rsidRPr="001D376A">
        <w:rPr>
          <w:noProof/>
        </w:rPr>
        <w:t>, 24, 489–521.</w:t>
      </w:r>
    </w:p>
    <w:p w14:paraId="2B89496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 J.E. (2000). Hunted animals in Bioko Island, West Africa: Sustainability and future. In: </w:t>
      </w:r>
      <w:r w:rsidRPr="001D376A">
        <w:rPr>
          <w:i/>
          <w:iCs/>
          <w:noProof/>
        </w:rPr>
        <w:t>Hunt. Sustain. Trop. For.</w:t>
      </w:r>
      <w:r w:rsidRPr="001D376A">
        <w:rPr>
          <w:noProof/>
        </w:rPr>
        <w:t xml:space="preserve"> (eds. Robinson, J.G. &amp; Bennett, E.L.). Columbia University Press, New York, USA, pp. 168–198.</w:t>
      </w:r>
    </w:p>
    <w:p w14:paraId="4CD0D78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 J.E., Albrechtsen, L., Johnson, P.J. &amp; Macdonald, D.W. (2009). Linkages between household wealth, bushmeat and other animal protein consumption are not invariant: Evidence from Rio Muni, Equatorial Guinea. </w:t>
      </w:r>
      <w:r w:rsidRPr="001D376A">
        <w:rPr>
          <w:i/>
          <w:iCs/>
          <w:noProof/>
        </w:rPr>
        <w:t>Anim. Conserv.</w:t>
      </w:r>
      <w:r w:rsidRPr="001D376A">
        <w:rPr>
          <w:noProof/>
        </w:rPr>
        <w:t>, 12, 599–610.</w:t>
      </w:r>
    </w:p>
    <w:p w14:paraId="02E8D58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 J.E. &amp; Brown, D. (2009). Impacts of hunting on mammals in African tropical moist forests: a review and synthesis. </w:t>
      </w:r>
      <w:r w:rsidRPr="001D376A">
        <w:rPr>
          <w:i/>
          <w:iCs/>
          <w:noProof/>
        </w:rPr>
        <w:t>Mamm. Rev.</w:t>
      </w:r>
      <w:r w:rsidRPr="001D376A">
        <w:rPr>
          <w:noProof/>
        </w:rPr>
        <w:t>, 39, 231–264.</w:t>
      </w:r>
    </w:p>
    <w:p w14:paraId="39541EBE"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Fa, J.E., Currie, D. &amp; Meeuwig, J. (2003). Bushmeat and food security in the Congo Basin: linkages between wildlife and people’s future. </w:t>
      </w:r>
      <w:r w:rsidRPr="00814265">
        <w:rPr>
          <w:i/>
          <w:iCs/>
          <w:noProof/>
          <w:lang w:val="pt-BR"/>
        </w:rPr>
        <w:t>Environ. Conserv.</w:t>
      </w:r>
      <w:r w:rsidRPr="00814265">
        <w:rPr>
          <w:noProof/>
          <w:lang w:val="pt-BR"/>
        </w:rPr>
        <w:t>, 30, 71–78.</w:t>
      </w:r>
    </w:p>
    <w:p w14:paraId="6B2C272E"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Fa, J.E., Juste, J., Perez del Val, J. &amp; Castroviejo, J. (1995). </w:t>
      </w:r>
      <w:r w:rsidRPr="001D376A">
        <w:rPr>
          <w:noProof/>
        </w:rPr>
        <w:t xml:space="preserve">Impact of market hunting on mammal species in Equatorial Guinea. </w:t>
      </w:r>
      <w:r w:rsidRPr="001D376A">
        <w:rPr>
          <w:i/>
          <w:iCs/>
          <w:noProof/>
        </w:rPr>
        <w:t>Conserv. Biol.</w:t>
      </w:r>
      <w:r w:rsidRPr="001D376A">
        <w:rPr>
          <w:noProof/>
        </w:rPr>
        <w:t>, 9, 1107–1115.</w:t>
      </w:r>
    </w:p>
    <w:p w14:paraId="17E7FD7C"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Fa, J.E., Olivero, J., Farfán, M.A., Lewis, J., Yasuoka, H., Noss, A., Hattori, S., Hirai, M., Kamgaing, T.O.W., Carpaneto, G.M., Germi, F., Marquez, A.L., Duarte, J., Duda, R., Gallois, S., Riddell, M. &amp; Nasi, R. (2016a). Differences between Pygmy and non-Pygmy hunting in Congo Basin forests. </w:t>
      </w:r>
      <w:r w:rsidRPr="001D376A">
        <w:rPr>
          <w:i/>
          <w:iCs/>
          <w:noProof/>
        </w:rPr>
        <w:t>PLoS One</w:t>
      </w:r>
      <w:r w:rsidRPr="001D376A">
        <w:rPr>
          <w:noProof/>
        </w:rPr>
        <w:t>, 11, e0161703.</w:t>
      </w:r>
    </w:p>
    <w:p w14:paraId="39F4359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 J.E., Olivero, J., Real, R., Farfán, M.A., Márquez, A.L., Vargas, J.M., Ziegler, S., Wegmann, M., Brown, D., Margetts, B. &amp; Nasi, R. (2015). Disentangling the relative effects of bushmeat availability on human nutrition in Central Africa. </w:t>
      </w:r>
      <w:r w:rsidRPr="001D376A">
        <w:rPr>
          <w:i/>
          <w:iCs/>
          <w:noProof/>
        </w:rPr>
        <w:t>Sci. Rep.</w:t>
      </w:r>
      <w:r w:rsidRPr="001D376A">
        <w:rPr>
          <w:noProof/>
        </w:rPr>
        <w:t>, 5.</w:t>
      </w:r>
    </w:p>
    <w:p w14:paraId="68B7EC5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 J.E. &amp; Peres, C.A. (2001). Game vertebrate extraction in African and Neotropical forests: an intercontinental comparison. In: </w:t>
      </w:r>
      <w:r w:rsidRPr="001D376A">
        <w:rPr>
          <w:i/>
          <w:iCs/>
          <w:noProof/>
        </w:rPr>
        <w:t>Conserv. Exploit. Species.</w:t>
      </w:r>
      <w:r w:rsidRPr="001D376A">
        <w:rPr>
          <w:noProof/>
        </w:rPr>
        <w:t xml:space="preserve"> (eds. Reynolds, J.D., Mace, G.M., Robinson, J.G. &amp; Redford, K.H.). Cambridge University Press, Cambridge, UK, pp. 203–241.</w:t>
      </w:r>
    </w:p>
    <w:p w14:paraId="72F3B32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 J.E., Peres, C.A. &amp; Meeuwig, J. (2002). Bushmeat exploitation in tropical forests: an intercontinental comparison. </w:t>
      </w:r>
      <w:r w:rsidRPr="001D376A">
        <w:rPr>
          <w:i/>
          <w:iCs/>
          <w:noProof/>
        </w:rPr>
        <w:t>Conserv. Biol.</w:t>
      </w:r>
      <w:r w:rsidRPr="001D376A">
        <w:rPr>
          <w:noProof/>
        </w:rPr>
        <w:t>, 16, 232–237.</w:t>
      </w:r>
    </w:p>
    <w:p w14:paraId="0A2DCE2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 J.E., Ryan, S.F. &amp; Bell, D.J. (2005). Hunting vulnerability, ecological characteristics and harvest rates of bushmeat species in afrotropical forests. </w:t>
      </w:r>
      <w:r w:rsidRPr="001D376A">
        <w:rPr>
          <w:i/>
          <w:iCs/>
          <w:noProof/>
        </w:rPr>
        <w:t>Biol. Conserv.</w:t>
      </w:r>
      <w:r w:rsidRPr="001D376A">
        <w:rPr>
          <w:noProof/>
        </w:rPr>
        <w:t>, 121, 167–176.</w:t>
      </w:r>
    </w:p>
    <w:p w14:paraId="1A4B152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 J.E., Seymour, S., Dupain, J., Amin, R., Albrechtsen, L. &amp; Macdonald, D. (2006). Getting to grips with the magnitude of exploitation: bushmeat in the Cross–Sanaga rivers region, Nigeria and Cameroon. </w:t>
      </w:r>
      <w:r w:rsidRPr="001D376A">
        <w:rPr>
          <w:i/>
          <w:iCs/>
          <w:noProof/>
        </w:rPr>
        <w:t>Biol. Conserv.</w:t>
      </w:r>
      <w:r w:rsidRPr="001D376A">
        <w:rPr>
          <w:noProof/>
        </w:rPr>
        <w:t>, 129, 497–510.</w:t>
      </w:r>
    </w:p>
    <w:p w14:paraId="4D7812B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 J.E., Van Vliet, N. &amp; Nasi, R. (2016b). Chapter 20: Bushmeat, food security, and conservation in African rainforests. In: </w:t>
      </w:r>
      <w:r w:rsidRPr="001D376A">
        <w:rPr>
          <w:i/>
          <w:iCs/>
          <w:noProof/>
        </w:rPr>
        <w:t>Trop. Conserv. Perspect. Local Glob. Priorities</w:t>
      </w:r>
      <w:r w:rsidRPr="001D376A">
        <w:rPr>
          <w:noProof/>
        </w:rPr>
        <w:t xml:space="preserve"> (eds. Aguirre, A.A. &amp; Sukumar, R.). Oxford University, Oxford, UK.</w:t>
      </w:r>
    </w:p>
    <w:p w14:paraId="12741A7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 J.E. &amp; Yuste, J.E.G. (2001). Commercial bushmeat hunting in the Monte Mitra forests, Equatorial Guinea: extent and impact. </w:t>
      </w:r>
      <w:r w:rsidRPr="001D376A">
        <w:rPr>
          <w:i/>
          <w:iCs/>
          <w:noProof/>
        </w:rPr>
        <w:t>Anim. Biodivers. Conserv.</w:t>
      </w:r>
      <w:r w:rsidRPr="001D376A">
        <w:rPr>
          <w:noProof/>
        </w:rPr>
        <w:t>, 24, 31–52.</w:t>
      </w:r>
    </w:p>
    <w:p w14:paraId="0B27B1A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Falk, H., Dürr, S., Hauser, R., Wood, K., Tenger, B., Lörtscher, M. &amp; Schüpbach-Regula, G. (2016). Illegal import of bushmeat and other meat products into Switzerland on commercial passenger flights. </w:t>
      </w:r>
      <w:r w:rsidRPr="001D376A">
        <w:rPr>
          <w:i/>
          <w:iCs/>
          <w:noProof/>
        </w:rPr>
        <w:t>Rev. Sci. Tech. Off. Int. Epizoot</w:t>
      </w:r>
      <w:r w:rsidRPr="001D376A">
        <w:rPr>
          <w:noProof/>
        </w:rPr>
        <w:t>, 32, 727–739.</w:t>
      </w:r>
    </w:p>
    <w:p w14:paraId="0CD7218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FAO/CIG. (2002). </w:t>
      </w:r>
      <w:r w:rsidRPr="001D376A">
        <w:rPr>
          <w:i/>
          <w:iCs/>
          <w:noProof/>
        </w:rPr>
        <w:t>Assessment of bushmeat trade during the annual closed season on hunting in Ghana (1st August–1st December 2001)</w:t>
      </w:r>
      <w:r w:rsidRPr="001D376A">
        <w:rPr>
          <w:noProof/>
        </w:rPr>
        <w:t>. Conservation International, Accra, Ghana.</w:t>
      </w:r>
    </w:p>
    <w:p w14:paraId="342DBA9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FAO. (2014). </w:t>
      </w:r>
      <w:r w:rsidRPr="001D376A">
        <w:rPr>
          <w:i/>
          <w:iCs/>
          <w:noProof/>
        </w:rPr>
        <w:t>Wildlife farming in Viet Nam: southern Viet Nam’s wildlife farm survey report in a glance.</w:t>
      </w:r>
      <w:r w:rsidRPr="001D376A">
        <w:rPr>
          <w:noProof/>
        </w:rPr>
        <w:t xml:space="preserve"> Food and Agriculture Organization of the United Nations (FAO), Rome, Italy.</w:t>
      </w:r>
    </w:p>
    <w:p w14:paraId="595C137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FAO. (2015). </w:t>
      </w:r>
      <w:r w:rsidRPr="001D376A">
        <w:rPr>
          <w:i/>
          <w:iCs/>
          <w:noProof/>
        </w:rPr>
        <w:t>Environmental and social management: guidelines</w:t>
      </w:r>
      <w:r w:rsidRPr="001D376A">
        <w:rPr>
          <w:noProof/>
        </w:rPr>
        <w:t>. Food and Agriculture Organization of the United Nations (FAO), Rome, Italy.</w:t>
      </w:r>
    </w:p>
    <w:p w14:paraId="3C628EB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FAO. (2017). </w:t>
      </w:r>
      <w:r w:rsidRPr="001D376A">
        <w:rPr>
          <w:i/>
          <w:iCs/>
          <w:noProof/>
        </w:rPr>
        <w:t>The State of Food and Agriculture: Leveraging Food Systems for Inclusive Rural Transformation</w:t>
      </w:r>
      <w:r w:rsidRPr="001D376A">
        <w:rPr>
          <w:noProof/>
        </w:rPr>
        <w:t>. Food and Agriculture Organization of the United Nations (FAO), Rome, Italy.</w:t>
      </w:r>
    </w:p>
    <w:p w14:paraId="2C0928C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FAO, IFAD &amp; WFP. (2015). </w:t>
      </w:r>
      <w:r w:rsidRPr="001D376A">
        <w:rPr>
          <w:i/>
          <w:iCs/>
          <w:noProof/>
        </w:rPr>
        <w:t>The state of food insecurity in the world 2015. Meeting the 2015 international hunger targets: taking stock of uneven progress</w:t>
      </w:r>
      <w:r w:rsidRPr="001D376A">
        <w:rPr>
          <w:noProof/>
        </w:rPr>
        <w:t>. Food and Agriculture Organization of the United Nations (FAO), Rome, Italy.</w:t>
      </w:r>
    </w:p>
    <w:p w14:paraId="766EBD53" w14:textId="77777777" w:rsidR="001D376A" w:rsidRPr="001D376A" w:rsidRDefault="001D376A" w:rsidP="001D376A">
      <w:pPr>
        <w:widowControl w:val="0"/>
        <w:autoSpaceDE w:val="0"/>
        <w:autoSpaceDN w:val="0"/>
        <w:adjustRightInd w:val="0"/>
        <w:ind w:left="480" w:hanging="480"/>
        <w:rPr>
          <w:noProof/>
        </w:rPr>
      </w:pPr>
      <w:r w:rsidRPr="00814265">
        <w:rPr>
          <w:noProof/>
          <w:lang w:val="pt-BR"/>
        </w:rPr>
        <w:lastRenderedPageBreak/>
        <w:t xml:space="preserve">Fernandes-Ferreira, H., Mendonça, S.V., Albano, C., Ferreira, F.S. &amp; Alves, R.R.N. (2012). </w:t>
      </w:r>
      <w:r w:rsidRPr="001D376A">
        <w:rPr>
          <w:noProof/>
        </w:rPr>
        <w:t xml:space="preserve">Hunting, use and conservation of birds in Northeast Brazil. </w:t>
      </w:r>
      <w:r w:rsidRPr="001D376A">
        <w:rPr>
          <w:i/>
          <w:iCs/>
          <w:noProof/>
        </w:rPr>
        <w:t>Biodivers. Conserv.</w:t>
      </w:r>
      <w:r w:rsidRPr="001D376A">
        <w:rPr>
          <w:noProof/>
        </w:rPr>
        <w:t>, 21, 221–244.</w:t>
      </w:r>
    </w:p>
    <w:p w14:paraId="1162013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Ferraro, P.J. &amp; Kiss, A. (2002). Direct payments to conserve biodiversity. </w:t>
      </w:r>
      <w:r w:rsidRPr="001D376A">
        <w:rPr>
          <w:i/>
          <w:iCs/>
          <w:noProof/>
        </w:rPr>
        <w:t>Science</w:t>
      </w:r>
      <w:r w:rsidRPr="001D376A">
        <w:rPr>
          <w:noProof/>
        </w:rPr>
        <w:t>, 298, 1718–1719.</w:t>
      </w:r>
    </w:p>
    <w:p w14:paraId="77D5F37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Ferraro, P.J. &amp; Pattanayak, S.K. (2006). Money for nothing? A call for empirical evaluation of biodiversity conservation investments. </w:t>
      </w:r>
      <w:r w:rsidRPr="001D376A">
        <w:rPr>
          <w:i/>
          <w:iCs/>
          <w:noProof/>
        </w:rPr>
        <w:t>PLoS Biol.</w:t>
      </w:r>
      <w:r w:rsidRPr="001D376A">
        <w:rPr>
          <w:noProof/>
        </w:rPr>
        <w:t>, 4, 482–488.</w:t>
      </w:r>
    </w:p>
    <w:p w14:paraId="65E9536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Fien, J., Scott, W. &amp; Tilbury, D. (2001). Education and Conservation: Lessons from an evaluation. </w:t>
      </w:r>
      <w:r w:rsidRPr="001D376A">
        <w:rPr>
          <w:i/>
          <w:iCs/>
          <w:noProof/>
        </w:rPr>
        <w:t>Environ. Educ. Res.</w:t>
      </w:r>
      <w:r w:rsidRPr="001D376A">
        <w:rPr>
          <w:noProof/>
        </w:rPr>
        <w:t>, 7, 379–395.</w:t>
      </w:r>
    </w:p>
    <w:p w14:paraId="43315AF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Fimbel, C., Curran, B. &amp; Usongo, L. (2000). Enhancing the sustainability of duiker hunting through community participation and controlled access in the Lobéké Region of South-eastern Cameroon. In: </w:t>
      </w:r>
      <w:r w:rsidRPr="001D376A">
        <w:rPr>
          <w:i/>
          <w:iCs/>
          <w:noProof/>
        </w:rPr>
        <w:t>Hunt. Sustain. Trop. For.</w:t>
      </w:r>
      <w:r w:rsidRPr="001D376A">
        <w:rPr>
          <w:noProof/>
        </w:rPr>
        <w:t xml:space="preserve"> (eds. Robinson, J.G. &amp; Bennett, E.L.). Columbia University Press, New York, USA, pp. 356–374.</w:t>
      </w:r>
    </w:p>
    <w:p w14:paraId="577C0A60" w14:textId="77777777" w:rsidR="001D376A" w:rsidRPr="00DF57F3" w:rsidRDefault="001D376A" w:rsidP="001D376A">
      <w:pPr>
        <w:widowControl w:val="0"/>
        <w:autoSpaceDE w:val="0"/>
        <w:autoSpaceDN w:val="0"/>
        <w:adjustRightInd w:val="0"/>
        <w:ind w:left="480" w:hanging="480"/>
        <w:rPr>
          <w:noProof/>
          <w:lang w:val="fr-FR"/>
        </w:rPr>
      </w:pPr>
      <w:r w:rsidRPr="001D376A">
        <w:rPr>
          <w:noProof/>
        </w:rPr>
        <w:t xml:space="preserve">Findlay, M. (2001). Community participation, and the integration within legal formalism in the South Pacific. </w:t>
      </w:r>
      <w:r w:rsidRPr="00DF57F3">
        <w:rPr>
          <w:i/>
          <w:iCs/>
          <w:noProof/>
          <w:lang w:val="fr-FR"/>
        </w:rPr>
        <w:t>Rev. Int. Droit Pénal</w:t>
      </w:r>
      <w:r w:rsidRPr="00DF57F3">
        <w:rPr>
          <w:noProof/>
          <w:lang w:val="fr-FR"/>
        </w:rPr>
        <w:t>, 72.</w:t>
      </w:r>
    </w:p>
    <w:p w14:paraId="4CA6F1BF"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Finer, M., Jenkins, C.N., Pimm, S.L., Keane, B. &amp; Ross, C. (2008). </w:t>
      </w:r>
      <w:r w:rsidRPr="001D376A">
        <w:rPr>
          <w:noProof/>
        </w:rPr>
        <w:t xml:space="preserve">Oil and gas projects in the Western Amazon: threats to wilderness, biodiversity, and indigenous peoples. </w:t>
      </w:r>
      <w:r w:rsidRPr="001D376A">
        <w:rPr>
          <w:i/>
          <w:iCs/>
          <w:noProof/>
        </w:rPr>
        <w:t>PLoS One</w:t>
      </w:r>
      <w:r w:rsidRPr="001D376A">
        <w:rPr>
          <w:noProof/>
        </w:rPr>
        <w:t>, 3, e2932.</w:t>
      </w:r>
    </w:p>
    <w:p w14:paraId="3B95034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Fisher, J.B., Sikka, M., Sitch, S., Ciais, P., Poulter, B., Galbraith, D., Lee, J.E., Huntingford, C., Viovy, N., Zeng, N., Ahlström, A., Lomas, M.R., Levy, P.E., Frankenberg, C., Saatchi, S. &amp; Malhi, Y. (2013). African tropical rainforest net carbon dioxide fluxes in the twentieth century. </w:t>
      </w:r>
      <w:r w:rsidRPr="001D376A">
        <w:rPr>
          <w:i/>
          <w:iCs/>
          <w:noProof/>
        </w:rPr>
        <w:t>Philos. Trans. R. Soc. Lond. B. Biol. Sci.</w:t>
      </w:r>
      <w:r w:rsidRPr="001D376A">
        <w:rPr>
          <w:noProof/>
        </w:rPr>
        <w:t>, 368, 20120376.</w:t>
      </w:r>
    </w:p>
    <w:p w14:paraId="5EAC95C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FitzGibbon, C.D., Mogaka, H. &amp; Fanshawe, J.H. (2000). Threatened mammals, subsistence harvesting and high human population densities: a recipe for disaster? In: </w:t>
      </w:r>
      <w:r w:rsidRPr="001D376A">
        <w:rPr>
          <w:i/>
          <w:iCs/>
          <w:noProof/>
        </w:rPr>
        <w:t>Hunt. Sustain. Trop. For.</w:t>
      </w:r>
      <w:r w:rsidRPr="001D376A">
        <w:rPr>
          <w:noProof/>
        </w:rPr>
        <w:t xml:space="preserve"> (eds. Robinson, J.G. &amp; Bennett, E.L.). Columbia University Press, New York, USA, pp. 154–167.</w:t>
      </w:r>
    </w:p>
    <w:p w14:paraId="1DFB20A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Foerster, S., Wilkie, D.S., Morelli, G.A., Demmer, J., Starkey, M., Telfer, P., Steil, M. &amp; Lewbel, A. (2012). Correlates of bushmeat hunting among remote rural households in Gabon, Central Africa. </w:t>
      </w:r>
      <w:r w:rsidRPr="001D376A">
        <w:rPr>
          <w:i/>
          <w:iCs/>
          <w:noProof/>
        </w:rPr>
        <w:t>Conserv. Biol.</w:t>
      </w:r>
      <w:r w:rsidRPr="001D376A">
        <w:rPr>
          <w:noProof/>
        </w:rPr>
        <w:t>, 26, 335–344.</w:t>
      </w:r>
    </w:p>
    <w:p w14:paraId="462172D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Foster, R.J., Harmsen, B.J., Macdonald, D.W., Collins, J., Urbina, Y., Garcia, R. &amp; Doncaster, C.P. (2016). Wild meat: a shared resource amongst people and predators. </w:t>
      </w:r>
      <w:r w:rsidRPr="001D376A">
        <w:rPr>
          <w:i/>
          <w:iCs/>
          <w:noProof/>
        </w:rPr>
        <w:t>Oryx</w:t>
      </w:r>
      <w:r w:rsidRPr="001D376A">
        <w:rPr>
          <w:noProof/>
        </w:rPr>
        <w:t>, 50, 63–75.</w:t>
      </w:r>
    </w:p>
    <w:p w14:paraId="0C3EEAA9"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Di Franco, A., Thiriet, P., Carlo, G. Di, Dimitriadis, C., Francour, P., Gutiérrez, N.L., Grissac, A.J. De, Koutsoubas, D., Milazzo, M., Otero, M., Piante, C. &amp; Plass-johnson, J. (2016). </w:t>
      </w:r>
      <w:r w:rsidRPr="001D376A">
        <w:rPr>
          <w:noProof/>
        </w:rPr>
        <w:t xml:space="preserve">Five key attributes can increase marine protected areas performance for small-scale fisheries management. </w:t>
      </w:r>
      <w:r w:rsidRPr="001D376A">
        <w:rPr>
          <w:i/>
          <w:iCs/>
          <w:noProof/>
        </w:rPr>
        <w:t>Nature</w:t>
      </w:r>
      <w:r w:rsidRPr="001D376A">
        <w:rPr>
          <w:noProof/>
        </w:rPr>
        <w:t>, 6, 38135.</w:t>
      </w:r>
    </w:p>
    <w:p w14:paraId="64BD1F59" w14:textId="77777777" w:rsidR="001D376A" w:rsidRPr="001D376A" w:rsidRDefault="001D376A" w:rsidP="001D376A">
      <w:pPr>
        <w:widowControl w:val="0"/>
        <w:autoSpaceDE w:val="0"/>
        <w:autoSpaceDN w:val="0"/>
        <w:adjustRightInd w:val="0"/>
        <w:ind w:left="480" w:hanging="480"/>
        <w:rPr>
          <w:noProof/>
        </w:rPr>
      </w:pPr>
      <w:r w:rsidRPr="001D376A">
        <w:rPr>
          <w:noProof/>
        </w:rPr>
        <w:t>FundAmazonia. (2017). Peccary Pelt Certifcation [WWW Document]. URL http://www.fundamazonia.org/peccary-pelt-certification.htmlhttp://www.fundamazonia.org/peccary-pelt-certification.html</w:t>
      </w:r>
    </w:p>
    <w:p w14:paraId="46687DE3"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Gaines, S.D., Lester, S.E., Grorud-Colvert, K., Costello, C. &amp; Pollnac, R. (2010). Evolving science of marine reserves: new developments and emerging research frontiers. </w:t>
      </w:r>
      <w:r w:rsidRPr="001D376A">
        <w:rPr>
          <w:i/>
          <w:iCs/>
          <w:noProof/>
        </w:rPr>
        <w:t>Proc. Natl. Acad. Sci.</w:t>
      </w:r>
      <w:r w:rsidRPr="001D376A">
        <w:rPr>
          <w:noProof/>
        </w:rPr>
        <w:t>, 107, 18251–18255.</w:t>
      </w:r>
    </w:p>
    <w:p w14:paraId="31B23E2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Gama, S.L. &amp; Sequiera, A. (2004). Captive breeding programmes as an alternative for wildlife conservation in Brazil. In: </w:t>
      </w:r>
      <w:r w:rsidRPr="001D376A">
        <w:rPr>
          <w:i/>
          <w:iCs/>
          <w:noProof/>
        </w:rPr>
        <w:t>People Nat. Wildl. Conserv. South Cent. Am.</w:t>
      </w:r>
      <w:r w:rsidRPr="001D376A">
        <w:rPr>
          <w:noProof/>
        </w:rPr>
        <w:t xml:space="preserve"> (eds. Silvius, K., Bodmer, R. &amp; Fragoso, J.). Columbia University Press, New York, USA, pp. 171–190.</w:t>
      </w:r>
    </w:p>
    <w:p w14:paraId="1E079CC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Gandiwa, E. (2011). Preliminary assessment of illegal hunting by communities adjacent to the northern Gonarezhou National Park, Zimbabwe. </w:t>
      </w:r>
      <w:r w:rsidRPr="001D376A">
        <w:rPr>
          <w:i/>
          <w:iCs/>
          <w:noProof/>
        </w:rPr>
        <w:t>Trop. Conserv. Sci.</w:t>
      </w:r>
      <w:r w:rsidRPr="001D376A">
        <w:rPr>
          <w:noProof/>
        </w:rPr>
        <w:t>, 4, 445–467.</w:t>
      </w:r>
    </w:p>
    <w:p w14:paraId="2516A87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Gao, Y. &amp; Clark, S.G. (2014). Elephant ivory trade in China: trends and drivers. </w:t>
      </w:r>
      <w:r w:rsidRPr="001D376A">
        <w:rPr>
          <w:i/>
          <w:iCs/>
          <w:noProof/>
        </w:rPr>
        <w:t>Biol. Conserv.</w:t>
      </w:r>
      <w:r w:rsidRPr="001D376A">
        <w:rPr>
          <w:noProof/>
        </w:rPr>
        <w:t>, 180, 23–30.</w:t>
      </w:r>
    </w:p>
    <w:p w14:paraId="7149576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Garcia, G.W., Young, G.G., Amour, K.M., James, D., Lallo, C.H.O., Mollineau, W., Roopchand, A., Ganessingh, N., Spencer, M., Propser, M.A., Rooplal, R., Nathai-Gyan, N., Steil, A., Xande, A., Bemelmans, A., Filho, S.G.N., Guimaraes, D., Galves, H. &amp; Aparicio, P.M. (2005). </w:t>
      </w:r>
      <w:r w:rsidRPr="001D376A">
        <w:rPr>
          <w:i/>
          <w:iCs/>
          <w:noProof/>
        </w:rPr>
        <w:t>The collared peccary / javelina / sajino / poco do monte / wild hog / pakira / patira / taitetu / catete / catto / quenk [Tayassu tajacu, T. peccary] booklet and producers’ manual</w:t>
      </w:r>
      <w:r w:rsidRPr="001D376A">
        <w:rPr>
          <w:noProof/>
        </w:rPr>
        <w:t>. The University of the West Indies, St Augustine, Trinidad and Tobago, West Indies, St Augustine, Trinidad and Tobago, West Indies.</w:t>
      </w:r>
    </w:p>
    <w:p w14:paraId="25AA445D"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Gardner, C.J. &amp; Davies, Z.G. (2014). </w:t>
      </w:r>
      <w:r w:rsidRPr="001D376A">
        <w:rPr>
          <w:noProof/>
        </w:rPr>
        <w:t xml:space="preserve">Rural bushmeat consumption within multiple-use protected areas: qualitative evidence from southwest Madagascar. </w:t>
      </w:r>
      <w:r w:rsidRPr="001D376A">
        <w:rPr>
          <w:i/>
          <w:iCs/>
          <w:noProof/>
        </w:rPr>
        <w:t>Hum. Ecol.</w:t>
      </w:r>
      <w:r w:rsidRPr="001D376A">
        <w:rPr>
          <w:noProof/>
        </w:rPr>
        <w:t>, 42, 21–34.</w:t>
      </w:r>
    </w:p>
    <w:p w14:paraId="100D5DB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Gell, F.R. &amp; Roberts, C.M. (2003). Benefits beyond boundaries: the fishery effects of marine reserves. </w:t>
      </w:r>
      <w:r w:rsidRPr="001D376A">
        <w:rPr>
          <w:i/>
          <w:iCs/>
          <w:noProof/>
        </w:rPr>
        <w:t>Trends Ecol. Evol.</w:t>
      </w:r>
      <w:r w:rsidRPr="001D376A">
        <w:rPr>
          <w:noProof/>
        </w:rPr>
        <w:t>, 18, 448–455.</w:t>
      </w:r>
    </w:p>
    <w:p w14:paraId="6BD0ABE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Gill, D.A., Mascia, M.B., Ahmadia, G.N., Glew, L., Lester, S.E., Barnes, M., Craigie, I., Gates, R.D., Guannel, G., Mumby, P.J., Thomas, H. &amp; Whitmee, S. (2017). Capacity shortfalls hinder the performance of marine protected areas globally. </w:t>
      </w:r>
      <w:r w:rsidRPr="001D376A">
        <w:rPr>
          <w:i/>
          <w:iCs/>
          <w:noProof/>
        </w:rPr>
        <w:t>Nature</w:t>
      </w:r>
      <w:r w:rsidRPr="001D376A">
        <w:rPr>
          <w:noProof/>
        </w:rPr>
        <w:t>, 543, 665–669.</w:t>
      </w:r>
    </w:p>
    <w:p w14:paraId="3F5F1A1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Gill, D.J.C., Fa, J.E., Rowcliffe, J.M. &amp; Kümpel, N.F. (2012). Drivers of change in hunter offtake and hunting strategies in Sendje, Equatorial Guinea. </w:t>
      </w:r>
      <w:r w:rsidRPr="001D376A">
        <w:rPr>
          <w:i/>
          <w:iCs/>
          <w:noProof/>
        </w:rPr>
        <w:t>Conserv. Biol.</w:t>
      </w:r>
      <w:r w:rsidRPr="001D376A">
        <w:rPr>
          <w:noProof/>
        </w:rPr>
        <w:t>, 26, 1052–60.</w:t>
      </w:r>
    </w:p>
    <w:p w14:paraId="3E78396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Godoy, R., Overman, H., Demmer, J., Apaza, L., Byron, E., Wilkie, D., Cubas, A., Mcsweeney, K. &amp; Brokaw, N. (2002). Local financial benefits of rain forests: comparative evidence from Amerindian societies in Bolivia and Honduras. </w:t>
      </w:r>
      <w:r w:rsidRPr="001D376A">
        <w:rPr>
          <w:i/>
          <w:iCs/>
          <w:noProof/>
        </w:rPr>
        <w:t>Ecol. Econ.</w:t>
      </w:r>
      <w:r w:rsidRPr="001D376A">
        <w:rPr>
          <w:noProof/>
        </w:rPr>
        <w:t>, 40, 397–409.</w:t>
      </w:r>
    </w:p>
    <w:p w14:paraId="253FBB0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Godoy, R., Undurraga, E.A., Wilkie, D., Reyes-Garc??a, V., Huanca, T., Leonard, W.R., McDade, T., Tanner, S. &amp; Vadez, V. (2010). The effect of wealth and real income on wildlife consumption among native Amazonians in Bolivia: estimates of annual trends with longitudinal household data (2002-2006). </w:t>
      </w:r>
      <w:r w:rsidRPr="001D376A">
        <w:rPr>
          <w:i/>
          <w:iCs/>
          <w:noProof/>
        </w:rPr>
        <w:t>Anim. Conserv.</w:t>
      </w:r>
      <w:r w:rsidRPr="001D376A">
        <w:rPr>
          <w:noProof/>
        </w:rPr>
        <w:t>, 13, 265–274.</w:t>
      </w:r>
    </w:p>
    <w:p w14:paraId="18F5D5E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Golden, C.D., Bonds, M.H., Brashares, J.S., Rasolofoniaina, B.J.R. &amp; Kremen, C. (2014). Economic valuation of subsistence harvest of wildlife in Madagascar. </w:t>
      </w:r>
      <w:r w:rsidRPr="001D376A">
        <w:rPr>
          <w:i/>
          <w:iCs/>
          <w:noProof/>
        </w:rPr>
        <w:t>Conserv. Biol.</w:t>
      </w:r>
      <w:r w:rsidRPr="001D376A">
        <w:rPr>
          <w:noProof/>
        </w:rPr>
        <w:t>, 28, 234–243.</w:t>
      </w:r>
    </w:p>
    <w:p w14:paraId="2A1ADB47"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Golden, C.D. &amp; Comaroff, J. (2015). Effects of social change on wildlife consumption taboos in northeastern Madagascar. </w:t>
      </w:r>
      <w:r w:rsidRPr="001D376A">
        <w:rPr>
          <w:i/>
          <w:iCs/>
          <w:noProof/>
        </w:rPr>
        <w:t>Ecol. Soc.</w:t>
      </w:r>
      <w:r w:rsidRPr="001D376A">
        <w:rPr>
          <w:noProof/>
        </w:rPr>
        <w:t>, 20, 41.</w:t>
      </w:r>
    </w:p>
    <w:p w14:paraId="635AF1A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Golden, C.D., Fernald, L.C.H., Brashares, J.S., Rasolofoniaina, B.J.R. &amp; Kremen, C. (2011). Benefits of wildlife consumption to child nutrition in a biodiversity hotspot. </w:t>
      </w:r>
      <w:r w:rsidRPr="001D376A">
        <w:rPr>
          <w:i/>
          <w:iCs/>
          <w:noProof/>
        </w:rPr>
        <w:t>Proc. Natl. Acad. Sci.</w:t>
      </w:r>
      <w:r w:rsidRPr="001D376A">
        <w:rPr>
          <w:noProof/>
        </w:rPr>
        <w:t>, 108, 19653–19656.</w:t>
      </w:r>
    </w:p>
    <w:p w14:paraId="32F5A31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Goodman, M.J., Griffin, P.B., Estioko-Griffin, A.A. &amp; Grove, J.S. (1985). The compatibility of hunting and mothering among the agta hunter-gatherers of the Philippines. </w:t>
      </w:r>
      <w:r w:rsidRPr="001D376A">
        <w:rPr>
          <w:i/>
          <w:iCs/>
          <w:noProof/>
        </w:rPr>
        <w:t>Sex Roles</w:t>
      </w:r>
      <w:r w:rsidRPr="001D376A">
        <w:rPr>
          <w:noProof/>
        </w:rPr>
        <w:t>, 12, 1199–1209.</w:t>
      </w:r>
    </w:p>
    <w:p w14:paraId="147E296F"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Governments. (2015). </w:t>
      </w:r>
      <w:r w:rsidRPr="001D376A">
        <w:rPr>
          <w:i/>
          <w:iCs/>
          <w:noProof/>
        </w:rPr>
        <w:t>Kasane Conference on the Illegal Wildlife Trade: Statement</w:t>
      </w:r>
      <w:r w:rsidRPr="001D376A">
        <w:rPr>
          <w:noProof/>
        </w:rPr>
        <w:t xml:space="preserve">. </w:t>
      </w:r>
      <w:r w:rsidRPr="00814265">
        <w:rPr>
          <w:noProof/>
          <w:lang w:val="pt-BR"/>
        </w:rPr>
        <w:t>Kasane, Botswana.</w:t>
      </w:r>
    </w:p>
    <w:p w14:paraId="470841C5"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Grande-Vega, M., Farfán, M.Á., Ondo, A. &amp; Fa, J.E. (2015). </w:t>
      </w:r>
      <w:r w:rsidRPr="001D376A">
        <w:rPr>
          <w:noProof/>
        </w:rPr>
        <w:t xml:space="preserve">Decline in hunter offtake of blue duikers in Bioko Island, Equatorial Guinea. </w:t>
      </w:r>
      <w:r w:rsidRPr="00814265">
        <w:rPr>
          <w:i/>
          <w:iCs/>
          <w:noProof/>
          <w:lang w:val="pt-BR"/>
        </w:rPr>
        <w:t>Afr. J. Ecol.</w:t>
      </w:r>
      <w:r w:rsidRPr="00814265">
        <w:rPr>
          <w:noProof/>
          <w:lang w:val="pt-BR"/>
        </w:rPr>
        <w:t>, 54, 49–58.</w:t>
      </w:r>
    </w:p>
    <w:p w14:paraId="22CFF01F"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Grande Vega, M., Carpinetti, B., Duarte, J. &amp; Fa, J.E. (2013). </w:t>
      </w:r>
      <w:r w:rsidRPr="001D376A">
        <w:rPr>
          <w:noProof/>
        </w:rPr>
        <w:t xml:space="preserve">Contrasts in livelihoods and protein intake between commercial and subsistence bushmeat hunters in two villages on Bioko Island, Equatorial Guinea. </w:t>
      </w:r>
      <w:r w:rsidRPr="001D376A">
        <w:rPr>
          <w:i/>
          <w:iCs/>
          <w:noProof/>
        </w:rPr>
        <w:t>Conserv. Biol.</w:t>
      </w:r>
      <w:r w:rsidRPr="001D376A">
        <w:rPr>
          <w:noProof/>
        </w:rPr>
        <w:t>, 27, 576–587.</w:t>
      </w:r>
    </w:p>
    <w:p w14:paraId="1E3B88A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Gray, C.L., Bozigar, M. &amp; Bilsborrow, R.E. (2015). Declining use of wild resources by indigenous peoples of the Ecuadorian Amazon. </w:t>
      </w:r>
      <w:r w:rsidRPr="001D376A">
        <w:rPr>
          <w:i/>
          <w:iCs/>
          <w:noProof/>
        </w:rPr>
        <w:t>Biol. Conserv.</w:t>
      </w:r>
      <w:r w:rsidRPr="001D376A">
        <w:rPr>
          <w:noProof/>
        </w:rPr>
        <w:t>, 182, 270–277.</w:t>
      </w:r>
    </w:p>
    <w:p w14:paraId="6CF6AC7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Gray, T.N.E., Hughes, A.C., Laurance, W.F., Long, B., Lynam, A.J., O’Kelly, H., Ripple, W.J., Seng, T., Scotson, L. &amp; Wilkinson, N.M. (2018). The wildlife snaring crisis: an insidious and pervasive threat to biodiversity in Southeast Asia. </w:t>
      </w:r>
      <w:r w:rsidRPr="001D376A">
        <w:rPr>
          <w:i/>
          <w:iCs/>
          <w:noProof/>
        </w:rPr>
        <w:t>Biodivers. Conserv.</w:t>
      </w:r>
      <w:r w:rsidRPr="001D376A">
        <w:rPr>
          <w:noProof/>
        </w:rPr>
        <w:t>, 27, 1031–1037.</w:t>
      </w:r>
    </w:p>
    <w:p w14:paraId="4E43086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Gray, T.N.E., Lynam, A.J., Seng, T., Laurance, W.F., Long, B., Scotson, L. &amp; Ripple, W.J. (2017). Wildlife-snaring crisis in Asian forests. </w:t>
      </w:r>
      <w:r w:rsidRPr="001D376A">
        <w:rPr>
          <w:i/>
          <w:iCs/>
          <w:noProof/>
        </w:rPr>
        <w:t>Science</w:t>
      </w:r>
      <w:r w:rsidRPr="001D376A">
        <w:rPr>
          <w:noProof/>
        </w:rPr>
        <w:t>, 355, 255–256.</w:t>
      </w:r>
    </w:p>
    <w:p w14:paraId="7CA53F1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Griser-Johns, A. &amp; Thomson, J. (2005). Going going gone: the illegal trade in wildlife in East and Southeast Asia. environment and social development East Asia and Pacific region discussion paper. </w:t>
      </w:r>
      <w:r w:rsidRPr="001D376A">
        <w:rPr>
          <w:i/>
          <w:iCs/>
          <w:noProof/>
        </w:rPr>
        <w:t>Environ. Soc. Dev. Dep. Publ.</w:t>
      </w:r>
      <w:r w:rsidRPr="001D376A">
        <w:rPr>
          <w:noProof/>
        </w:rPr>
        <w:t>, 1–32.</w:t>
      </w:r>
    </w:p>
    <w:p w14:paraId="6A7224A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Groves, C. &amp; Game, E.T. (2016). </w:t>
      </w:r>
      <w:r w:rsidRPr="001D376A">
        <w:rPr>
          <w:i/>
          <w:iCs/>
          <w:noProof/>
        </w:rPr>
        <w:t>Conservation planning: informed decisions for a healthier planet</w:t>
      </w:r>
      <w:r w:rsidRPr="001D376A">
        <w:rPr>
          <w:noProof/>
        </w:rPr>
        <w:t>. Roberts Publishers.</w:t>
      </w:r>
    </w:p>
    <w:p w14:paraId="37F4153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Hames, R. (1980). </w:t>
      </w:r>
      <w:r w:rsidRPr="001D376A">
        <w:rPr>
          <w:i/>
          <w:iCs/>
          <w:noProof/>
        </w:rPr>
        <w:t>Studies in hunting and fishing in the Neotropics. Working Papers on the South American Indians, no. 2</w:t>
      </w:r>
      <w:r w:rsidRPr="001D376A">
        <w:rPr>
          <w:noProof/>
        </w:rPr>
        <w:t>. Bennington College, Vermont, USA.</w:t>
      </w:r>
    </w:p>
    <w:p w14:paraId="29DEF24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Hanazaki, N., Alves, R.R.N. &amp; Begossi, A. (2009). Hunting and use of terrestrial fauna used by Caiçaras from the Atlantic Forest coast (Brazil). </w:t>
      </w:r>
      <w:r w:rsidRPr="001D376A">
        <w:rPr>
          <w:i/>
          <w:iCs/>
          <w:noProof/>
        </w:rPr>
        <w:t>J. Ethnobiol. Ethnomed.</w:t>
      </w:r>
      <w:r w:rsidRPr="001D376A">
        <w:rPr>
          <w:noProof/>
        </w:rPr>
        <w:t>, 5.</w:t>
      </w:r>
    </w:p>
    <w:p w14:paraId="6901DEC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Hardin, G. (1968). The tragedy of the commons. </w:t>
      </w:r>
      <w:r w:rsidRPr="001D376A">
        <w:rPr>
          <w:i/>
          <w:iCs/>
          <w:noProof/>
        </w:rPr>
        <w:t>Science</w:t>
      </w:r>
      <w:r w:rsidRPr="001D376A">
        <w:rPr>
          <w:noProof/>
        </w:rPr>
        <w:t>, 162, 1243–1248.</w:t>
      </w:r>
    </w:p>
    <w:p w14:paraId="07CBF5E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Hardouin, J. (1995). Minilivestock: from gathering to controlled production. </w:t>
      </w:r>
      <w:r w:rsidRPr="001D376A">
        <w:rPr>
          <w:i/>
          <w:iCs/>
          <w:noProof/>
        </w:rPr>
        <w:t>Biodivers. Conserv.</w:t>
      </w:r>
      <w:r w:rsidRPr="001D376A">
        <w:rPr>
          <w:noProof/>
        </w:rPr>
        <w:t>, 4, 220–232.</w:t>
      </w:r>
    </w:p>
    <w:p w14:paraId="36A5333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Harrison, R.D. (2011). Emptying the forest: hunting and the extirpation of wildlife from tropical nature reserves. </w:t>
      </w:r>
      <w:r w:rsidRPr="001D376A">
        <w:rPr>
          <w:i/>
          <w:iCs/>
          <w:noProof/>
        </w:rPr>
        <w:t>Bioscience</w:t>
      </w:r>
      <w:r w:rsidRPr="001D376A">
        <w:rPr>
          <w:noProof/>
        </w:rPr>
        <w:t>, 61, 919–924.</w:t>
      </w:r>
    </w:p>
    <w:p w14:paraId="7AAAF429"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Harrison, R.D., Sreekar, R., Brodie, J.F., Brook, S., Luskin, M., O’Kelly, H., Rao, M., Scheffers, B. &amp; Velho, N. (2016). Impacts of hunting on tropical forests in Southeast Asia. </w:t>
      </w:r>
      <w:r w:rsidRPr="001D376A">
        <w:rPr>
          <w:i/>
          <w:iCs/>
          <w:noProof/>
        </w:rPr>
        <w:t>Conserv. Biol.</w:t>
      </w:r>
      <w:r w:rsidRPr="001D376A">
        <w:rPr>
          <w:noProof/>
        </w:rPr>
        <w:t>, 30, 972–981.</w:t>
      </w:r>
    </w:p>
    <w:p w14:paraId="0B65BCA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Hart, J.A. (2000). Impact and sustainability of indigenous hunting in the Ituri forest, Congo-Zaire: a comparison of unhunted and hunted duiker populations. In: </w:t>
      </w:r>
      <w:r w:rsidRPr="001D376A">
        <w:rPr>
          <w:i/>
          <w:iCs/>
          <w:noProof/>
        </w:rPr>
        <w:t>Hunt. Sustain. Trop. For.</w:t>
      </w:r>
      <w:r w:rsidRPr="001D376A">
        <w:rPr>
          <w:noProof/>
        </w:rPr>
        <w:t xml:space="preserve"> (eds. Bennett, E.L. &amp; Robinson, J.G.). Columbia University Press, New York, USA, pp. 106–153.</w:t>
      </w:r>
    </w:p>
    <w:p w14:paraId="59036B4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Hatton, J., Couto, M. &amp; Oglethorpe, J. (2001). </w:t>
      </w:r>
      <w:r w:rsidRPr="001D376A">
        <w:rPr>
          <w:i/>
          <w:iCs/>
          <w:noProof/>
        </w:rPr>
        <w:t>Biodiversity and war: A case study of Mozambique</w:t>
      </w:r>
      <w:r w:rsidRPr="001D376A">
        <w:rPr>
          <w:noProof/>
        </w:rPr>
        <w:t>. WWF Biodiversity Support Program, Washington DC, USA.</w:t>
      </w:r>
    </w:p>
    <w:p w14:paraId="73381C8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Haurez, B., Petre, C.-A., Brostaux, Y., Tagg, N., Vermeulen, C. &amp; Doucet, J.-L. (2016). </w:t>
      </w:r>
      <w:r w:rsidRPr="001D376A">
        <w:rPr>
          <w:i/>
          <w:iCs/>
          <w:noProof/>
        </w:rPr>
        <w:t>Western lowland gorilla an logging companies A winning duo? Association for Tropical Biology and Conservation congress, 19-24/06/2016, Montpellier</w:t>
      </w:r>
      <w:r w:rsidRPr="001D376A">
        <w:rPr>
          <w:noProof/>
        </w:rPr>
        <w:t>.</w:t>
      </w:r>
    </w:p>
    <w:p w14:paraId="4AAB1952"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Haurez, B., Petre, C.-A. &amp; Doucet, J.-L. (2013). </w:t>
      </w:r>
      <w:r w:rsidRPr="001D376A">
        <w:rPr>
          <w:noProof/>
        </w:rPr>
        <w:t xml:space="preserve">Impacts of logging and hunting on western lowland gorilla (Gorilla gorilla gorilla) populations and consequences for forest regeneration. A review. </w:t>
      </w:r>
      <w:r w:rsidRPr="001D376A">
        <w:rPr>
          <w:i/>
          <w:iCs/>
          <w:noProof/>
        </w:rPr>
        <w:t>Biotechnol. Agron. Société Environ.</w:t>
      </w:r>
      <w:r w:rsidRPr="001D376A">
        <w:rPr>
          <w:noProof/>
        </w:rPr>
        <w:t>, 17, 364–372.</w:t>
      </w:r>
    </w:p>
    <w:p w14:paraId="20F7342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Heinrich Böll Foundation. (2014). </w:t>
      </w:r>
      <w:r w:rsidRPr="001D376A">
        <w:rPr>
          <w:i/>
          <w:iCs/>
          <w:noProof/>
        </w:rPr>
        <w:t>Meat Atlas: Facts and Figures about the Animals We Aat</w:t>
      </w:r>
      <w:r w:rsidRPr="001D376A">
        <w:rPr>
          <w:noProof/>
        </w:rPr>
        <w:t>. Heinrich Böll Foundation, Berlin, Germany, and Friends of the Earth Europe, Brussels, Belgium.</w:t>
      </w:r>
    </w:p>
    <w:p w14:paraId="4697D1E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Hens, L. (2006). Indigenous knowledge and biodiversity conservation and management in Ghana. </w:t>
      </w:r>
      <w:r w:rsidRPr="001D376A">
        <w:rPr>
          <w:i/>
          <w:iCs/>
          <w:noProof/>
        </w:rPr>
        <w:t>J. Hum. Ecol.</w:t>
      </w:r>
      <w:r w:rsidRPr="001D376A">
        <w:rPr>
          <w:noProof/>
        </w:rPr>
        <w:t>, 20, 21–30.</w:t>
      </w:r>
    </w:p>
    <w:p w14:paraId="495D0ED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Henschel, P., Hunter, L.T.B., Coad, L., Abernethy, K.A. &amp; Mühlenberg, M. (2011). Leopard prey choice in the Congo Basin rainforest suggests exploitative competition with human bushmeat hunters. </w:t>
      </w:r>
      <w:r w:rsidRPr="001D376A">
        <w:rPr>
          <w:i/>
          <w:iCs/>
          <w:noProof/>
        </w:rPr>
        <w:t>J. Zool.</w:t>
      </w:r>
      <w:r w:rsidRPr="001D376A">
        <w:rPr>
          <w:noProof/>
        </w:rPr>
        <w:t>, 285, 11–20.</w:t>
      </w:r>
    </w:p>
    <w:p w14:paraId="120F529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Hewlett, B.S. (2005). </w:t>
      </w:r>
      <w:r w:rsidRPr="001D376A">
        <w:rPr>
          <w:i/>
          <w:iCs/>
          <w:noProof/>
        </w:rPr>
        <w:t>Hunter-gatherer Childhoods. Evolutionary, Developmental, and Cultural Perspectives</w:t>
      </w:r>
      <w:r w:rsidRPr="001D376A">
        <w:rPr>
          <w:noProof/>
        </w:rPr>
        <w:t>. 1st edn. Routledge, New York, USA.</w:t>
      </w:r>
    </w:p>
    <w:p w14:paraId="70DFD6F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Hilaluddin, Kaul, R. &amp; Ghose, D. (2005). Conservation implications of wild animal biomass extractions in Northeast India. </w:t>
      </w:r>
      <w:r w:rsidRPr="001D376A">
        <w:rPr>
          <w:i/>
          <w:iCs/>
          <w:noProof/>
        </w:rPr>
        <w:t>Anim. Biodivers. Conserv.</w:t>
      </w:r>
      <w:r w:rsidRPr="001D376A">
        <w:rPr>
          <w:noProof/>
        </w:rPr>
        <w:t>, 28, 169–179.</w:t>
      </w:r>
    </w:p>
    <w:p w14:paraId="5647EFA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Hill, K., McMillan, G. &amp; Fariña, R. (2003). Hunting-related changes in game encounter rates from 1994 to 2001 in the Mbaracayu Reserve, Paraguay. </w:t>
      </w:r>
      <w:r w:rsidRPr="001D376A">
        <w:rPr>
          <w:i/>
          <w:iCs/>
          <w:noProof/>
        </w:rPr>
        <w:t>Conserv. Biol.</w:t>
      </w:r>
      <w:r w:rsidRPr="001D376A">
        <w:rPr>
          <w:noProof/>
        </w:rPr>
        <w:t>, 17, 1312–1323.</w:t>
      </w:r>
    </w:p>
    <w:p w14:paraId="20C256D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Hill, K. &amp; Padwe, J. (2000). Sustainability of ache hunting in the Mbaracayu Reserve, Paraguay. In: </w:t>
      </w:r>
      <w:r w:rsidRPr="001D376A">
        <w:rPr>
          <w:i/>
          <w:iCs/>
          <w:noProof/>
        </w:rPr>
        <w:t>Hunt. Sustain. Trop. For.</w:t>
      </w:r>
      <w:r w:rsidRPr="001D376A">
        <w:rPr>
          <w:noProof/>
        </w:rPr>
        <w:t xml:space="preserve"> (eds. Robinson, J.G. &amp; Bennett, E.L.). Columbia University Press, New York, USA, pp. 79–105.</w:t>
      </w:r>
    </w:p>
    <w:p w14:paraId="5A8AB9F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Hofer, H., Campbell, K.L.I., East, M.. &amp; Huish, S.A. (1996). The impact of game meat hunting on target and non-target species in the Serengeti. In: </w:t>
      </w:r>
      <w:r w:rsidRPr="001D376A">
        <w:rPr>
          <w:i/>
          <w:iCs/>
          <w:noProof/>
        </w:rPr>
        <w:t>Exploit. Mammal Popul.</w:t>
      </w:r>
      <w:r w:rsidRPr="001D376A">
        <w:rPr>
          <w:noProof/>
        </w:rPr>
        <w:t xml:space="preserve"> (eds. Taylor, V.J. &amp; Dunstone, N.). Springer, Dordrecht, Netherlands, pp. 117–146.</w:t>
      </w:r>
    </w:p>
    <w:p w14:paraId="170D319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Hoffman, L.C. &amp; Cawthorn, D.-M. (2012). What is the role and contribution of meat from wildlife in providing high quality protein for consumption? </w:t>
      </w:r>
      <w:r w:rsidRPr="001D376A">
        <w:rPr>
          <w:i/>
          <w:iCs/>
          <w:noProof/>
        </w:rPr>
        <w:t>Anim. Front.</w:t>
      </w:r>
      <w:r w:rsidRPr="001D376A">
        <w:rPr>
          <w:noProof/>
        </w:rPr>
        <w:t>, 2, 40–53.</w:t>
      </w:r>
    </w:p>
    <w:p w14:paraId="7034472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Holden, E., Linnerud, K., Banister, D., Schwanitz, V.J. &amp; Wierling, A. (2017). </w:t>
      </w:r>
      <w:r w:rsidRPr="001D376A">
        <w:rPr>
          <w:i/>
          <w:iCs/>
          <w:noProof/>
        </w:rPr>
        <w:t xml:space="preserve">The </w:t>
      </w:r>
      <w:r w:rsidRPr="001D376A">
        <w:rPr>
          <w:i/>
          <w:iCs/>
          <w:noProof/>
        </w:rPr>
        <w:lastRenderedPageBreak/>
        <w:t>imperatives of sustainable development: needs, justics, limits</w:t>
      </w:r>
      <w:r w:rsidRPr="001D376A">
        <w:rPr>
          <w:noProof/>
        </w:rPr>
        <w:t>. Routledge, London, UK, Routledge, London, UK.</w:t>
      </w:r>
    </w:p>
    <w:p w14:paraId="209B2A3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Holden, P., Hudson, U., Jensen, A. &amp; Mathias, E. (2014). </w:t>
      </w:r>
      <w:r w:rsidRPr="001D376A">
        <w:rPr>
          <w:i/>
          <w:iCs/>
          <w:noProof/>
        </w:rPr>
        <w:t>MEAT ATLAS - Facts and figures about the animals we eat</w:t>
      </w:r>
      <w:r w:rsidRPr="001D376A">
        <w:rPr>
          <w:noProof/>
        </w:rPr>
        <w:t>. Berlin, Germany.</w:t>
      </w:r>
    </w:p>
    <w:p w14:paraId="7BB05C7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Holmes, G. (2007). Protection, politics and protest: understanding resistance to conservation. </w:t>
      </w:r>
      <w:r w:rsidRPr="001D376A">
        <w:rPr>
          <w:i/>
          <w:iCs/>
          <w:noProof/>
        </w:rPr>
        <w:t>Conserv. Soc.</w:t>
      </w:r>
      <w:r w:rsidRPr="001D376A">
        <w:rPr>
          <w:noProof/>
        </w:rPr>
        <w:t>, 5, 184–201.</w:t>
      </w:r>
    </w:p>
    <w:p w14:paraId="37D8608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Holmes, G., Smith, T.A. &amp; Ward, C. (2018). Fantastic beasts and why to conserve them: Animals, magic and biodiversity conservation. </w:t>
      </w:r>
      <w:r w:rsidRPr="001D376A">
        <w:rPr>
          <w:i/>
          <w:iCs/>
          <w:noProof/>
        </w:rPr>
        <w:t>Oryx</w:t>
      </w:r>
      <w:r w:rsidRPr="001D376A">
        <w:rPr>
          <w:noProof/>
        </w:rPr>
        <w:t>, 52, 231–239.</w:t>
      </w:r>
    </w:p>
    <w:p w14:paraId="02FBFB7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Huertas Castillo, B. (2004). </w:t>
      </w:r>
      <w:r w:rsidRPr="001D376A">
        <w:rPr>
          <w:i/>
          <w:iCs/>
          <w:noProof/>
        </w:rPr>
        <w:t>Indigenous peoples in isolation in the Peruvian Amazon: their struggle for survival and freedom. Document No. 100</w:t>
      </w:r>
      <w:r w:rsidRPr="001D376A">
        <w:rPr>
          <w:noProof/>
        </w:rPr>
        <w:t>. IWGIA, Copenhagen, Denmark.</w:t>
      </w:r>
    </w:p>
    <w:p w14:paraId="17EB486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Hughes, A.C. (2017). Understanding the drivers of Southeast Asian biodiversity loss. </w:t>
      </w:r>
      <w:r w:rsidRPr="001D376A">
        <w:rPr>
          <w:i/>
          <w:iCs/>
          <w:noProof/>
        </w:rPr>
        <w:t>Ecosphere</w:t>
      </w:r>
      <w:r w:rsidRPr="001D376A">
        <w:rPr>
          <w:noProof/>
        </w:rPr>
        <w:t>, 8, e01624.</w:t>
      </w:r>
    </w:p>
    <w:p w14:paraId="384512B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 Huis, A., Itterbeek, J. V, Klunder, H.C., Mertens, E., Halloran, A., Muir, G. &amp; Vanthomme, P. (2013). </w:t>
      </w:r>
      <w:r w:rsidRPr="001D376A">
        <w:rPr>
          <w:i/>
          <w:iCs/>
          <w:noProof/>
        </w:rPr>
        <w:t>Edible insects: future prospects for food and feed security</w:t>
      </w:r>
      <w:r w:rsidRPr="001D376A">
        <w:rPr>
          <w:noProof/>
        </w:rPr>
        <w:t>. Food and Agriculture Organization of the United Nations (FAO), Rome, Italy.</w:t>
      </w:r>
    </w:p>
    <w:p w14:paraId="4CEB3CD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Ichikawa, M., Hattori, S. &amp; Yasuoka, H. (2016). Bushmeat crisis, forestry reforms and contemporary hunting among Central African Forest Hunters. In: </w:t>
      </w:r>
      <w:r w:rsidRPr="001D376A">
        <w:rPr>
          <w:i/>
          <w:iCs/>
          <w:noProof/>
        </w:rPr>
        <w:t>Hunter-Gatherers a Chang. World</w:t>
      </w:r>
      <w:r w:rsidRPr="001D376A">
        <w:rPr>
          <w:noProof/>
        </w:rPr>
        <w:t xml:space="preserve"> (eds. Reyes-García, V. &amp; Pyhälä, A.). Springer, pp. 59–75.</w:t>
      </w:r>
    </w:p>
    <w:p w14:paraId="778AA9F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IIED. (1994). </w:t>
      </w:r>
      <w:r w:rsidRPr="001D376A">
        <w:rPr>
          <w:i/>
          <w:iCs/>
          <w:noProof/>
        </w:rPr>
        <w:t>Whose Eden? An overview of community approaches to wildlife management. A report to Overseas Development Administration of the British Government</w:t>
      </w:r>
      <w:r w:rsidRPr="001D376A">
        <w:rPr>
          <w:noProof/>
        </w:rPr>
        <w:t>. International Institute for Environment and Development, London, UK.</w:t>
      </w:r>
    </w:p>
    <w:p w14:paraId="1DA79E6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IIED &amp; CTA. (2006). </w:t>
      </w:r>
      <w:r w:rsidRPr="001D376A">
        <w:rPr>
          <w:i/>
          <w:iCs/>
          <w:noProof/>
        </w:rPr>
        <w:t>Mapping for Change: practice, technologies and communication. PLA 54.</w:t>
      </w:r>
      <w:r w:rsidRPr="001D376A">
        <w:rPr>
          <w:noProof/>
        </w:rPr>
        <w:t xml:space="preserve"> IIED and CTA, London,.</w:t>
      </w:r>
    </w:p>
    <w:p w14:paraId="4275CE3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Ingram, D.J. (2018). </w:t>
      </w:r>
      <w:r w:rsidRPr="001D376A">
        <w:rPr>
          <w:i/>
          <w:iCs/>
          <w:noProof/>
        </w:rPr>
        <w:t>Quantifying the exploitation of terrestrial wildlife in Africa</w:t>
      </w:r>
      <w:r w:rsidRPr="001D376A">
        <w:rPr>
          <w:noProof/>
        </w:rPr>
        <w:t>. PhD Thesis, University of Sussex, UK.</w:t>
      </w:r>
    </w:p>
    <w:p w14:paraId="3C75995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Ingram, D.J., Coad, L., Abernethy, K.A., Maisels, F., Stokes, E.J., Bobo, K.S., Breuer, T., Gandiwa, E., Ghiurghi, A., Greengrass, E., Holmern, T., Kamgaing, T.O.W., Obiang, A.N., Poulsen, J.R., Schleicher, J., Nielsen, M.R., Solly, H., Vath, C.L. &amp; Waltert, M. (2018). Assessing Africa-wide pangolin exploitation by scaling local data. </w:t>
      </w:r>
      <w:r w:rsidRPr="001D376A">
        <w:rPr>
          <w:i/>
          <w:iCs/>
          <w:noProof/>
        </w:rPr>
        <w:t>Conserv. Lett.</w:t>
      </w:r>
      <w:r w:rsidRPr="001D376A">
        <w:rPr>
          <w:noProof/>
        </w:rPr>
        <w:t>, 11, e12389.</w:t>
      </w:r>
    </w:p>
    <w:p w14:paraId="06881AF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Isaac, N.J.B. &amp; Cowlishaw, G. (2004). How species respond to multiple extinction threats. </w:t>
      </w:r>
      <w:r w:rsidRPr="001D376A">
        <w:rPr>
          <w:i/>
          <w:iCs/>
          <w:noProof/>
        </w:rPr>
        <w:t>Proc. R. Soc. B Biol. Sci.</w:t>
      </w:r>
      <w:r w:rsidRPr="001D376A">
        <w:rPr>
          <w:noProof/>
        </w:rPr>
        <w:t>, 271, 1135–1141.</w:t>
      </w:r>
    </w:p>
    <w:p w14:paraId="2E7E207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Ismail, R. (2014). Southeast Asian urbanisation and the challenge to sustainability: implications for the environment and health. </w:t>
      </w:r>
      <w:r w:rsidRPr="001D376A">
        <w:rPr>
          <w:i/>
          <w:iCs/>
          <w:noProof/>
        </w:rPr>
        <w:t>Environ. Policy Law</w:t>
      </w:r>
      <w:r w:rsidRPr="001D376A">
        <w:rPr>
          <w:noProof/>
        </w:rPr>
        <w:t>, 44.</w:t>
      </w:r>
    </w:p>
    <w:p w14:paraId="37B110D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IUCN. (2017). </w:t>
      </w:r>
      <w:r w:rsidRPr="001D376A">
        <w:rPr>
          <w:i/>
          <w:iCs/>
          <w:noProof/>
        </w:rPr>
        <w:t xml:space="preserve">The IUCN Red List of Threatened Species. </w:t>
      </w:r>
      <w:r w:rsidRPr="00DF57F3">
        <w:rPr>
          <w:i/>
          <w:iCs/>
          <w:noProof/>
          <w:lang w:val="fr-FR"/>
        </w:rPr>
        <w:t>Version 2017.</w:t>
      </w:r>
      <w:r w:rsidRPr="00DF57F3">
        <w:rPr>
          <w:noProof/>
          <w:lang w:val="fr-FR"/>
        </w:rPr>
        <w:t xml:space="preserve"> &lt;http://www.iucnredlist.org&gt;. </w:t>
      </w:r>
      <w:r w:rsidRPr="001D376A">
        <w:rPr>
          <w:noProof/>
        </w:rPr>
        <w:t>Downloaded October 2017.</w:t>
      </w:r>
    </w:p>
    <w:p w14:paraId="1EDFA8C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IUCN SULi. (2017). </w:t>
      </w:r>
      <w:r w:rsidRPr="001D376A">
        <w:rPr>
          <w:i/>
          <w:iCs/>
          <w:noProof/>
        </w:rPr>
        <w:t xml:space="preserve">Engaging Communities in Combating Illegal Wildlife Trade: Lessons </w:t>
      </w:r>
      <w:r w:rsidRPr="001D376A">
        <w:rPr>
          <w:i/>
          <w:iCs/>
          <w:noProof/>
        </w:rPr>
        <w:lastRenderedPageBreak/>
        <w:t>from Southeast Asia</w:t>
      </w:r>
      <w:r w:rsidRPr="001D376A">
        <w:rPr>
          <w:noProof/>
        </w:rPr>
        <w:t>. Hanoi, Vietnam.</w:t>
      </w:r>
    </w:p>
    <w:p w14:paraId="055A9544" w14:textId="77777777" w:rsidR="001D376A" w:rsidRPr="001D376A" w:rsidRDefault="001D376A" w:rsidP="001D376A">
      <w:pPr>
        <w:widowControl w:val="0"/>
        <w:autoSpaceDE w:val="0"/>
        <w:autoSpaceDN w:val="0"/>
        <w:adjustRightInd w:val="0"/>
        <w:ind w:left="480" w:hanging="480"/>
        <w:rPr>
          <w:noProof/>
        </w:rPr>
      </w:pPr>
      <w:r w:rsidRPr="001D376A">
        <w:rPr>
          <w:noProof/>
        </w:rPr>
        <w:t>IUCN World Conservation Congress. (2000). Resolution 2.64, 2–4.</w:t>
      </w:r>
    </w:p>
    <w:p w14:paraId="7F1D034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Iwamura, T., Lambin, E.F., Silvius, K.M., Luzar, J.B. &amp; Fragoso, J.M.V. (2016). Socio-environmental sustainability of indigenous lands: simulating coupled human-natural systems in the Amazon. </w:t>
      </w:r>
      <w:r w:rsidRPr="001D376A">
        <w:rPr>
          <w:i/>
          <w:iCs/>
          <w:noProof/>
        </w:rPr>
        <w:t>Front. Ecol. Environ.</w:t>
      </w:r>
      <w:r w:rsidRPr="001D376A">
        <w:rPr>
          <w:noProof/>
        </w:rPr>
        <w:t>, 14, 77–83.</w:t>
      </w:r>
    </w:p>
    <w:p w14:paraId="1714AA9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Jambiya, J., Milledge, S. &amp; Mtango, N. (2007). </w:t>
      </w:r>
      <w:r w:rsidRPr="001D376A">
        <w:rPr>
          <w:i/>
          <w:iCs/>
          <w:noProof/>
        </w:rPr>
        <w:t>Night time spinach: conservation and livelihood implications of wild meat use in refugee situations in north-western Tanzania</w:t>
      </w:r>
      <w:r w:rsidRPr="001D376A">
        <w:rPr>
          <w:noProof/>
        </w:rPr>
        <w:t>. TRAFFIC East-southern Africa, Dar Es Salaam, Tanzania.</w:t>
      </w:r>
    </w:p>
    <w:p w14:paraId="0EE23CC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Jenkins, R.K.B., Keane, A., Rakotoarivelo, A.R., Rakotomboavonjy, V., Randrianandrianina, F.H., Razafimanahaka, H.J., Ralaiarimalala, S.R. &amp; Jones, J.P.G. (2011). Analysis of patterns of bushmeat consumption reveals extensive exploitation of protected species in eastern madagascar. </w:t>
      </w:r>
      <w:r w:rsidRPr="001D376A">
        <w:rPr>
          <w:i/>
          <w:iCs/>
          <w:noProof/>
        </w:rPr>
        <w:t>PLoS One</w:t>
      </w:r>
      <w:r w:rsidRPr="001D376A">
        <w:rPr>
          <w:noProof/>
        </w:rPr>
        <w:t>, 6, e27570.</w:t>
      </w:r>
    </w:p>
    <w:p w14:paraId="1843504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Jerozolimski, A. &amp; Peres, C.A. (2003). Bringing home the biggest bacon: a cross-site analysis of the structure of hunter-kill profiles in Neotropical forests. </w:t>
      </w:r>
      <w:r w:rsidRPr="001D376A">
        <w:rPr>
          <w:i/>
          <w:iCs/>
          <w:noProof/>
        </w:rPr>
        <w:t>Biol. Conserv.</w:t>
      </w:r>
      <w:r w:rsidRPr="001D376A">
        <w:rPr>
          <w:noProof/>
        </w:rPr>
        <w:t>, 111, 415–425.</w:t>
      </w:r>
    </w:p>
    <w:p w14:paraId="696C6CE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Johnson, A., Singh, S., Dongdala, M. &amp; Vongsa, O. (2003). </w:t>
      </w:r>
      <w:r w:rsidRPr="001D376A">
        <w:rPr>
          <w:i/>
          <w:iCs/>
          <w:noProof/>
        </w:rPr>
        <w:t>Wildlife hunting and use in the Nam Ha National Protected Area: Implications for rural livelihoods and biodiversity conservation. December 2003.</w:t>
      </w:r>
      <w:r w:rsidRPr="001D376A">
        <w:rPr>
          <w:noProof/>
        </w:rPr>
        <w:t xml:space="preserve"> Vientiane.</w:t>
      </w:r>
    </w:p>
    <w:p w14:paraId="7F9B502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Jones, B. &amp; Murphree, M. (2001). The evolution of policy on community conservation in Namibia and Zimbabwe. In: </w:t>
      </w:r>
      <w:r w:rsidRPr="001D376A">
        <w:rPr>
          <w:i/>
          <w:iCs/>
          <w:noProof/>
        </w:rPr>
        <w:t>African Wildl. African Livelihoods promise Perform. community Conserv.</w:t>
      </w:r>
      <w:r w:rsidRPr="001D376A">
        <w:rPr>
          <w:noProof/>
        </w:rPr>
        <w:t xml:space="preserve"> James Currey, Oxford.</w:t>
      </w:r>
    </w:p>
    <w:p w14:paraId="045DFD4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Jones, C.B. &amp; Young, J. (2004). Hunting restraint by Creoles at the community baboon sanctuary, Belize: a preliminary survey. </w:t>
      </w:r>
      <w:r w:rsidRPr="001D376A">
        <w:rPr>
          <w:i/>
          <w:iCs/>
          <w:noProof/>
        </w:rPr>
        <w:t>J. Appl. Anim. Welf. Sci.</w:t>
      </w:r>
      <w:r w:rsidRPr="001D376A">
        <w:rPr>
          <w:noProof/>
        </w:rPr>
        <w:t>, 7, 127–141.</w:t>
      </w:r>
    </w:p>
    <w:p w14:paraId="24C92C1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Jones, J.P.G., Andriamarovololona, M.M. &amp; Hockley, N. (2008a). The importance of taboos and social norms to conservation in Madagascar. </w:t>
      </w:r>
      <w:r w:rsidRPr="001D376A">
        <w:rPr>
          <w:i/>
          <w:iCs/>
          <w:noProof/>
        </w:rPr>
        <w:t>Conserv. Biol.</w:t>
      </w:r>
      <w:r w:rsidRPr="001D376A">
        <w:rPr>
          <w:noProof/>
        </w:rPr>
        <w:t>, 22, 976–986.</w:t>
      </w:r>
    </w:p>
    <w:p w14:paraId="54AD056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Jones, K.E., Patel, N.G., Levy, M.A., Storeygard, A., Balk, D., Gittleman, J.L., Daszak, P., Park, R. &amp; Trust, W. (2008b). Global trends in emerging infectious diseases. </w:t>
      </w:r>
      <w:r w:rsidRPr="001D376A">
        <w:rPr>
          <w:i/>
          <w:iCs/>
          <w:noProof/>
        </w:rPr>
        <w:t>Nature</w:t>
      </w:r>
      <w:r w:rsidRPr="001D376A">
        <w:rPr>
          <w:noProof/>
        </w:rPr>
        <w:t>, 451, 990–993.</w:t>
      </w:r>
    </w:p>
    <w:p w14:paraId="0CB64B12" w14:textId="77777777" w:rsidR="001D376A" w:rsidRPr="00DF57F3" w:rsidRDefault="001D376A" w:rsidP="001D376A">
      <w:pPr>
        <w:widowControl w:val="0"/>
        <w:autoSpaceDE w:val="0"/>
        <w:autoSpaceDN w:val="0"/>
        <w:adjustRightInd w:val="0"/>
        <w:ind w:left="480" w:hanging="480"/>
        <w:rPr>
          <w:noProof/>
          <w:lang w:val="fr-FR"/>
        </w:rPr>
      </w:pPr>
      <w:r w:rsidRPr="001D376A">
        <w:rPr>
          <w:noProof/>
        </w:rPr>
        <w:t xml:space="preserve">Jori, F., Edderai, D. &amp; Houden, P. (2005). </w:t>
      </w:r>
      <w:r w:rsidRPr="001D376A">
        <w:rPr>
          <w:i/>
          <w:iCs/>
          <w:noProof/>
        </w:rPr>
        <w:t>The potential of rodents for minilivestock in Africa</w:t>
      </w:r>
      <w:r w:rsidRPr="001D376A">
        <w:rPr>
          <w:noProof/>
        </w:rPr>
        <w:t xml:space="preserve">. </w:t>
      </w:r>
      <w:r w:rsidRPr="00DF57F3">
        <w:rPr>
          <w:noProof/>
          <w:lang w:val="fr-FR"/>
        </w:rPr>
        <w:t>Programme ECONAP, CIRAD EMVT Campus International de Baillarguet, Montpellier 34398, Cedex 5, France.</w:t>
      </w:r>
    </w:p>
    <w:p w14:paraId="486A998D"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Jori, F., Mensah, G.A. &amp; Adjanohoun, E. (1995). </w:t>
      </w:r>
      <w:r w:rsidRPr="001D376A">
        <w:rPr>
          <w:noProof/>
        </w:rPr>
        <w:t xml:space="preserve">Grasscutter production: an example of rational exploitation of wildlife. </w:t>
      </w:r>
      <w:r w:rsidRPr="001D376A">
        <w:rPr>
          <w:i/>
          <w:iCs/>
          <w:noProof/>
        </w:rPr>
        <w:t>Biodivers. Conserv.</w:t>
      </w:r>
      <w:r w:rsidRPr="001D376A">
        <w:rPr>
          <w:noProof/>
        </w:rPr>
        <w:t>, 4, 257–265.</w:t>
      </w:r>
    </w:p>
    <w:p w14:paraId="3C918FE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Juffe-Bignoli, D., Burgess, N.D., Bingham, H., Belle, E.M.S., de Lima, M.G., Deguignet, M., Bertzky, B., Milam,  a N., Martinez-Lopez, J., Lewis, E., Eassom, A., Wicander, S., Geldmann, J., van Soesbergen, A., Arnell,  a P., O’Connor, B., Park, S., Shi, Y.N., Danks, F.S., MacSharry, B. &amp; Kingston, N. (2014). </w:t>
      </w:r>
      <w:r w:rsidRPr="001D376A">
        <w:rPr>
          <w:i/>
          <w:iCs/>
          <w:noProof/>
        </w:rPr>
        <w:t>Protected Planet Report 2014</w:t>
      </w:r>
      <w:r w:rsidRPr="001D376A">
        <w:rPr>
          <w:noProof/>
        </w:rPr>
        <w:t xml:space="preserve">. </w:t>
      </w:r>
      <w:r w:rsidRPr="001D376A">
        <w:rPr>
          <w:i/>
          <w:iCs/>
          <w:noProof/>
        </w:rPr>
        <w:t>Prot. Planet Rep.</w:t>
      </w:r>
    </w:p>
    <w:p w14:paraId="374AC7BE"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Kamins, A.O., Rowcliffe, J.M., Ntiamoa-Baidu, Y., Cunningham, A.A., Wood, J.L.N. &amp; Restif, O. (2015). Characteristics and Risk Perceptions of Ghanaians Potentially Exposed to Bat-Borne Zoonoses through Bushmeat. </w:t>
      </w:r>
      <w:r w:rsidRPr="001D376A">
        <w:rPr>
          <w:i/>
          <w:iCs/>
          <w:noProof/>
        </w:rPr>
        <w:t>Ecohealth</w:t>
      </w:r>
      <w:r w:rsidRPr="001D376A">
        <w:rPr>
          <w:noProof/>
        </w:rPr>
        <w:t>, 12, 104–120.</w:t>
      </w:r>
    </w:p>
    <w:p w14:paraId="4ADDA5A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Kanagavel, A., Parvathy, S., Nameer, P.O. &amp; Raghavan, R. (2016). Conservation implications of wildlife utilization by indigenous communities in the southern Western Ghats of India. </w:t>
      </w:r>
      <w:r w:rsidRPr="001D376A">
        <w:rPr>
          <w:i/>
          <w:iCs/>
          <w:noProof/>
        </w:rPr>
        <w:t>J. Asia-Pacific Biodivers.</w:t>
      </w:r>
      <w:r w:rsidRPr="001D376A">
        <w:rPr>
          <w:noProof/>
        </w:rPr>
        <w:t>, 9, 271–279.</w:t>
      </w:r>
    </w:p>
    <w:p w14:paraId="3428EB8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Karanth, K.K., Nichols, J.D., Ullas Karanth, K., Hines, J.E. &amp; Christensen, N.L. (2010). The shrinking ark: patterns of large mammal extinctions in India. </w:t>
      </w:r>
      <w:r w:rsidRPr="001D376A">
        <w:rPr>
          <w:i/>
          <w:iCs/>
          <w:noProof/>
        </w:rPr>
        <w:t>Proc. R. Soc. B Biol. Sci.</w:t>
      </w:r>
      <w:r w:rsidRPr="001D376A">
        <w:rPr>
          <w:noProof/>
        </w:rPr>
        <w:t>, 277, 1971–1979.</w:t>
      </w:r>
    </w:p>
    <w:p w14:paraId="20DFAD0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Karsenty, A. (2016). </w:t>
      </w:r>
      <w:r w:rsidRPr="001D376A">
        <w:rPr>
          <w:i/>
          <w:iCs/>
          <w:noProof/>
        </w:rPr>
        <w:t>The contemporary forest concessions in West and Central Africa: chronicle of a foretold decline? Forestry Policy and Institutions Working Paper</w:t>
      </w:r>
      <w:r w:rsidRPr="001D376A">
        <w:rPr>
          <w:noProof/>
        </w:rPr>
        <w:t>. Forestry Policy and Institutions Working Paper.</w:t>
      </w:r>
    </w:p>
    <w:p w14:paraId="3FFD8E0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Kasane Conference on Illegal Wildlife Trade. (2015). </w:t>
      </w:r>
      <w:r w:rsidRPr="001D376A">
        <w:rPr>
          <w:i/>
          <w:iCs/>
          <w:noProof/>
        </w:rPr>
        <w:t>London Declaration on the Illegal Wildlife Trade: Review of Progress</w:t>
      </w:r>
      <w:r w:rsidRPr="001D376A">
        <w:rPr>
          <w:noProof/>
        </w:rPr>
        <w:t>. Kasane, Botswana.</w:t>
      </w:r>
    </w:p>
    <w:p w14:paraId="7D3D997F"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Kaschula, S.A. (2008). Wild foods and household food security responses to AIDS: evidence from South Africa. </w:t>
      </w:r>
      <w:r w:rsidRPr="00814265">
        <w:rPr>
          <w:i/>
          <w:iCs/>
          <w:noProof/>
          <w:lang w:val="pt-BR"/>
        </w:rPr>
        <w:t>Popul. Environ.</w:t>
      </w:r>
      <w:r w:rsidRPr="00814265">
        <w:rPr>
          <w:noProof/>
          <w:lang w:val="pt-BR"/>
        </w:rPr>
        <w:t>, 29, 162–185.</w:t>
      </w:r>
    </w:p>
    <w:p w14:paraId="3F3694DF"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Kauano, É.E., Silva, J.M.C. &amp; Michalski, F. (2017). </w:t>
      </w:r>
      <w:r w:rsidRPr="001D376A">
        <w:rPr>
          <w:noProof/>
        </w:rPr>
        <w:t xml:space="preserve">Illegal use of natural resources in federal protected areas of the Brazilian Amazon. </w:t>
      </w:r>
      <w:r w:rsidRPr="001D376A">
        <w:rPr>
          <w:i/>
          <w:iCs/>
          <w:noProof/>
        </w:rPr>
        <w:t>PeerJ</w:t>
      </w:r>
      <w:r w:rsidRPr="001D376A">
        <w:rPr>
          <w:noProof/>
        </w:rPr>
        <w:t>, 5, e3902.</w:t>
      </w:r>
    </w:p>
    <w:p w14:paraId="2BFA130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Kawanishi, K., Rayan, D.M., Gumal, M.T. &amp; Shepherd, C.R. (2014). Extinction process of the sambar in Peninsular Malaysia. </w:t>
      </w:r>
      <w:r w:rsidRPr="001D376A">
        <w:rPr>
          <w:i/>
          <w:iCs/>
          <w:noProof/>
        </w:rPr>
        <w:t>Deer Spec. Gr. Newsl. No. 26</w:t>
      </w:r>
      <w:r w:rsidRPr="001D376A">
        <w:rPr>
          <w:noProof/>
        </w:rPr>
        <w:t>.</w:t>
      </w:r>
    </w:p>
    <w:p w14:paraId="33B9534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Keane, A., Jones, J.P.G. &amp; Milner-Gulland, E.J. (2011). Encounter data in resource management and ecology: pitfalls and possibilities. </w:t>
      </w:r>
      <w:r w:rsidRPr="001D376A">
        <w:rPr>
          <w:i/>
          <w:iCs/>
          <w:noProof/>
        </w:rPr>
        <w:t>J. Appl. Ecol.</w:t>
      </w:r>
      <w:r w:rsidRPr="001D376A">
        <w:rPr>
          <w:noProof/>
        </w:rPr>
        <w:t>, 48, 1164–1173.</w:t>
      </w:r>
    </w:p>
    <w:p w14:paraId="67BCB32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Keith, D.A., Martin, T.G., McDonald-Madden, E. &amp; Walters, C. (2011). Uncertainty and adaptive management for biodiversity conservation. </w:t>
      </w:r>
      <w:r w:rsidRPr="001D376A">
        <w:rPr>
          <w:i/>
          <w:iCs/>
          <w:noProof/>
        </w:rPr>
        <w:t>Biol. Conserv.</w:t>
      </w:r>
      <w:r w:rsidRPr="001D376A">
        <w:rPr>
          <w:noProof/>
        </w:rPr>
        <w:t>, 144, 1175–1178.</w:t>
      </w:r>
    </w:p>
    <w:p w14:paraId="4D32536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Kideghesho, J.R. (2009). The potentials of traditional African cultural practices in mitigating overexploitation of wildlife species and habitat loss: experience of Tanzania. </w:t>
      </w:r>
      <w:r w:rsidRPr="001D376A">
        <w:rPr>
          <w:i/>
          <w:iCs/>
          <w:noProof/>
        </w:rPr>
        <w:t>Int. J. Biodivers. Sci. Manag.</w:t>
      </w:r>
      <w:r w:rsidRPr="001D376A">
        <w:rPr>
          <w:noProof/>
        </w:rPr>
        <w:t>, 5, 83–94.</w:t>
      </w:r>
    </w:p>
    <w:p w14:paraId="1EB7A8D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King, F.S., Burgess, A., Quinn, V.J. &amp; Osei, A.K. (2015). </w:t>
      </w:r>
      <w:r w:rsidRPr="001D376A">
        <w:rPr>
          <w:i/>
          <w:iCs/>
          <w:noProof/>
        </w:rPr>
        <w:t>Nutrition for developing countries</w:t>
      </w:r>
      <w:r w:rsidRPr="001D376A">
        <w:rPr>
          <w:noProof/>
        </w:rPr>
        <w:t>. Oxford University Press, Oxford, UK, Oxford University Press, Oxford, UK.</w:t>
      </w:r>
    </w:p>
    <w:p w14:paraId="06D5CA1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Kingdom of Cambodia. (2003). </w:t>
      </w:r>
      <w:r w:rsidRPr="001D376A">
        <w:rPr>
          <w:i/>
          <w:iCs/>
          <w:noProof/>
        </w:rPr>
        <w:t>Law on Forestry</w:t>
      </w:r>
      <w:r w:rsidRPr="001D376A">
        <w:rPr>
          <w:noProof/>
        </w:rPr>
        <w:t>. Cambodia.</w:t>
      </w:r>
    </w:p>
    <w:p w14:paraId="52B71A8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Kleinschroth, F., Healey, J.R., Gourlet-Fleury, S., Mortier, F. &amp; Stoica, R.S. (2017). Effects of logging on roadless space in intact forest landscapes of the Congo Basin. </w:t>
      </w:r>
      <w:r w:rsidRPr="001D376A">
        <w:rPr>
          <w:i/>
          <w:iCs/>
          <w:noProof/>
        </w:rPr>
        <w:t>Conserv. Biol.</w:t>
      </w:r>
      <w:r w:rsidRPr="001D376A">
        <w:rPr>
          <w:noProof/>
        </w:rPr>
        <w:t>, 31, 469–480.</w:t>
      </w:r>
    </w:p>
    <w:p w14:paraId="55820AD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Knight, A.T., Cowling, R.M. &amp; Campbell, B.M. (2006). An operational model for implementing conservation action. </w:t>
      </w:r>
      <w:r w:rsidRPr="001D376A">
        <w:rPr>
          <w:i/>
          <w:iCs/>
          <w:noProof/>
        </w:rPr>
        <w:t>Conserv. Biol.</w:t>
      </w:r>
      <w:r w:rsidRPr="001D376A">
        <w:rPr>
          <w:noProof/>
        </w:rPr>
        <w:t>, 20, 408–419.</w:t>
      </w:r>
    </w:p>
    <w:p w14:paraId="78E65A0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Knueppel, D., Coppolillo, D.P., Msago, A.O., Msoffe, P., Mutekanga, D. &amp; Cardona, C. (2009). </w:t>
      </w:r>
      <w:r w:rsidRPr="001D376A">
        <w:rPr>
          <w:i/>
          <w:iCs/>
          <w:noProof/>
        </w:rPr>
        <w:t xml:space="preserve">Improving Poultry Production for Sustainability in the Ruaha Landscape, </w:t>
      </w:r>
      <w:r w:rsidRPr="001D376A">
        <w:rPr>
          <w:i/>
          <w:iCs/>
          <w:noProof/>
        </w:rPr>
        <w:lastRenderedPageBreak/>
        <w:t>Tanzania</w:t>
      </w:r>
      <w:r w:rsidRPr="001D376A">
        <w:rPr>
          <w:noProof/>
        </w:rPr>
        <w:t xml:space="preserve">. </w:t>
      </w:r>
      <w:r w:rsidRPr="001D376A">
        <w:rPr>
          <w:i/>
          <w:iCs/>
          <w:noProof/>
        </w:rPr>
        <w:t>TRANSLINKS Case Study</w:t>
      </w:r>
      <w:r w:rsidRPr="001D376A">
        <w:rPr>
          <w:noProof/>
        </w:rPr>
        <w:t>.</w:t>
      </w:r>
    </w:p>
    <w:p w14:paraId="3818B7C7" w14:textId="77777777" w:rsidR="001D376A" w:rsidRPr="00DF57F3" w:rsidRDefault="001D376A" w:rsidP="001D376A">
      <w:pPr>
        <w:widowControl w:val="0"/>
        <w:autoSpaceDE w:val="0"/>
        <w:autoSpaceDN w:val="0"/>
        <w:adjustRightInd w:val="0"/>
        <w:ind w:left="480" w:hanging="480"/>
        <w:rPr>
          <w:noProof/>
          <w:lang w:val="fr-FR"/>
        </w:rPr>
      </w:pPr>
      <w:r w:rsidRPr="001D376A">
        <w:rPr>
          <w:noProof/>
        </w:rPr>
        <w:t xml:space="preserve">Koh, L.P. &amp; Sodhi, N.S. (2010). Conserving Southeast Asia’s imperiled biodiversity: scientific, management, and policy challenges. </w:t>
      </w:r>
      <w:r w:rsidRPr="00DF57F3">
        <w:rPr>
          <w:i/>
          <w:iCs/>
          <w:noProof/>
          <w:lang w:val="fr-FR"/>
        </w:rPr>
        <w:t>Biodivers. Conserv.</w:t>
      </w:r>
      <w:r w:rsidRPr="00DF57F3">
        <w:rPr>
          <w:noProof/>
          <w:lang w:val="fr-FR"/>
        </w:rPr>
        <w:t>, 19, 913–917.</w:t>
      </w:r>
    </w:p>
    <w:p w14:paraId="274F233D"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Koppert, G.J.A., Dounias, E., Froment, A. &amp; Pasquet, P. (1993). </w:t>
      </w:r>
      <w:r w:rsidRPr="001D376A">
        <w:rPr>
          <w:noProof/>
        </w:rPr>
        <w:t xml:space="preserve">Food consumption in three forest populations of the southern coastal area of Cameroon: Yassa - Mvae -Bakola. In: </w:t>
      </w:r>
      <w:r w:rsidRPr="001D376A">
        <w:rPr>
          <w:i/>
          <w:iCs/>
          <w:noProof/>
        </w:rPr>
        <w:t>Trop. For. People Food. Biocultural Interact. Appl. to Dev. Man Biosph. Ser. 13</w:t>
      </w:r>
      <w:r w:rsidRPr="001D376A">
        <w:rPr>
          <w:noProof/>
        </w:rPr>
        <w:t xml:space="preserve"> (eds. Hladik, C.M., Hladik, A., Linares, O.., Pagezy, H., Semple, A. &amp; Hadley, M.). UNESCO et Carnforth: The Parthenon Publishing Group, Paris, Franch, pp. 295–310.</w:t>
      </w:r>
    </w:p>
    <w:p w14:paraId="22079BC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Koster, J.M. (2008). Hunting with dogs in Nicaragua: an optimal foraging approach. </w:t>
      </w:r>
      <w:r w:rsidRPr="001D376A">
        <w:rPr>
          <w:i/>
          <w:iCs/>
          <w:noProof/>
        </w:rPr>
        <w:t>Curr. Anthropol.</w:t>
      </w:r>
      <w:r w:rsidRPr="001D376A">
        <w:rPr>
          <w:noProof/>
        </w:rPr>
        <w:t>, 49, 935–944.</w:t>
      </w:r>
    </w:p>
    <w:p w14:paraId="18EEDE4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Kramer, D.B., Urquhart, G. &amp; Schmitt, K. (2009). Globalization and the connection of remote communities: a review of household effects and their biodiversity implications. </w:t>
      </w:r>
      <w:r w:rsidRPr="001D376A">
        <w:rPr>
          <w:i/>
          <w:iCs/>
          <w:noProof/>
        </w:rPr>
        <w:t>Ecol. Econ.</w:t>
      </w:r>
      <w:r w:rsidRPr="001D376A">
        <w:rPr>
          <w:noProof/>
        </w:rPr>
        <w:t>, 68, 2897–2909.</w:t>
      </w:r>
    </w:p>
    <w:p w14:paraId="1ED144B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Krech, S. (2000). </w:t>
      </w:r>
      <w:r w:rsidRPr="001D376A">
        <w:rPr>
          <w:i/>
          <w:iCs/>
          <w:noProof/>
        </w:rPr>
        <w:t>The ecological Indian: myth and history</w:t>
      </w:r>
      <w:r w:rsidRPr="001D376A">
        <w:rPr>
          <w:noProof/>
        </w:rPr>
        <w:t>. Norton, New York, USA.</w:t>
      </w:r>
    </w:p>
    <w:p w14:paraId="5D46304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Kümpel, N.F. (2006). </w:t>
      </w:r>
      <w:r w:rsidRPr="001D376A">
        <w:rPr>
          <w:i/>
          <w:iCs/>
          <w:noProof/>
        </w:rPr>
        <w:t>Incentives for sustainable hunting of bushmeat in Río Muni, Equatorial Guinea</w:t>
      </w:r>
      <w:r w:rsidRPr="001D376A">
        <w:rPr>
          <w:noProof/>
        </w:rPr>
        <w:t>. PhD Thesis, Imperial College London, UK, PhD Thesis, Imperial College London, UK.</w:t>
      </w:r>
    </w:p>
    <w:p w14:paraId="68B6905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Kümpel, N.F., East, T., Keylock, N., Rowcliffe, J.M., Cowlishaw, G. &amp; Milner‐Gulland, E.J. (2007). Determinants of bushmeat consumption and trade in continental Equatorial Guinea: an urban–rural comparison. In: </w:t>
      </w:r>
      <w:r w:rsidRPr="001D376A">
        <w:rPr>
          <w:i/>
          <w:iCs/>
          <w:noProof/>
        </w:rPr>
        <w:t>Bushmeat Livelihoods Wildl. Manag. Poverty Reduct.</w:t>
      </w:r>
      <w:r w:rsidRPr="001D376A">
        <w:rPr>
          <w:noProof/>
        </w:rPr>
        <w:t xml:space="preserve"> (eds. Davies, G. &amp; Brown, D.). Blackwell Publishers, Oxford, UK, pp. 74–91.</w:t>
      </w:r>
    </w:p>
    <w:p w14:paraId="3ECC728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Kümpel, N.F., Milner-Gulland, E.J., Cowlishaw, G. &amp; Rowcliffe, J.M. (2010). Assessing sustainability at multiple scales in a rotational bushmeat hunting system. </w:t>
      </w:r>
      <w:r w:rsidRPr="001D376A">
        <w:rPr>
          <w:i/>
          <w:iCs/>
          <w:noProof/>
        </w:rPr>
        <w:t>Conserv. Biol.</w:t>
      </w:r>
      <w:r w:rsidRPr="001D376A">
        <w:rPr>
          <w:noProof/>
        </w:rPr>
        <w:t>, 24, 861–871.</w:t>
      </w:r>
    </w:p>
    <w:p w14:paraId="4452C13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Kümpel, N.F., Milner-Gulland, E.J., Rowcliffe, J.M. &amp; Cowlishaw, G. (2008). Impact of gun-hunting on diurnal primates in continental Equatorial Guinea. </w:t>
      </w:r>
      <w:r w:rsidRPr="001D376A">
        <w:rPr>
          <w:i/>
          <w:iCs/>
          <w:noProof/>
        </w:rPr>
        <w:t>Int. J. Primatol.</w:t>
      </w:r>
      <w:r w:rsidRPr="001D376A">
        <w:rPr>
          <w:noProof/>
        </w:rPr>
        <w:t>, 29, 1065–1082.</w:t>
      </w:r>
    </w:p>
    <w:p w14:paraId="35CA635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Kurten, E.L., Wright, S.J., Carson, W.P. &amp; Palmer, T.M. (2015). Hunting alters seedling functional trait composition in a Neotropical forest. </w:t>
      </w:r>
      <w:r w:rsidRPr="001D376A">
        <w:rPr>
          <w:i/>
          <w:iCs/>
          <w:noProof/>
        </w:rPr>
        <w:t>Ecology</w:t>
      </w:r>
      <w:r w:rsidRPr="001D376A">
        <w:rPr>
          <w:noProof/>
        </w:rPr>
        <w:t>, 96, 1923–1932.</w:t>
      </w:r>
    </w:p>
    <w:p w14:paraId="3051178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Kusrini, M.D. &amp; Alford, R.A. (2006). Indonesia’s exports of frogs’ legs. </w:t>
      </w:r>
      <w:r w:rsidRPr="001D376A">
        <w:rPr>
          <w:i/>
          <w:iCs/>
          <w:noProof/>
        </w:rPr>
        <w:t>Traffic</w:t>
      </w:r>
      <w:r w:rsidRPr="001D376A">
        <w:rPr>
          <w:noProof/>
        </w:rPr>
        <w:t>, 21, 13–24.</w:t>
      </w:r>
    </w:p>
    <w:p w14:paraId="3201897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Lahm, S. (2001). Hunting and wildlife in Northeastern Gabon. Why conservation should extend beyond protected areas. In: </w:t>
      </w:r>
      <w:r w:rsidRPr="001D376A">
        <w:rPr>
          <w:i/>
          <w:iCs/>
          <w:noProof/>
        </w:rPr>
        <w:t>African Rain For. Ecol. Conserv. An Interdiscip. Perspect.</w:t>
      </w:r>
      <w:r w:rsidRPr="001D376A">
        <w:rPr>
          <w:noProof/>
        </w:rPr>
        <w:t xml:space="preserve"> (eds. Weber, W., White, L.T.J. &amp; Vedder, A.). Yale University Press, New Haven, USA, pp. 344–354.</w:t>
      </w:r>
    </w:p>
    <w:p w14:paraId="00035CC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Lamarque, F.A. (1995). The French co‐operation’s strategy in the field of African wildlife. In: </w:t>
      </w:r>
      <w:r w:rsidRPr="001D376A">
        <w:rPr>
          <w:i/>
          <w:iCs/>
          <w:noProof/>
        </w:rPr>
        <w:t>Integr. People Wildl. a Sustain. Futur.</w:t>
      </w:r>
      <w:r w:rsidRPr="001D376A">
        <w:rPr>
          <w:noProof/>
        </w:rPr>
        <w:t xml:space="preserve"> (eds. Bissonette, A. &amp; Krausman, P.R.). Wildlife Society, Bethseda, Maryland, UK, pp. 267–270.</w:t>
      </w:r>
    </w:p>
    <w:p w14:paraId="1C0AB06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Larivière, S., Jolicoeur, H. &amp; Crête, M. (2000). Status and conservation of the gray wolf </w:t>
      </w:r>
      <w:r w:rsidRPr="001D376A">
        <w:rPr>
          <w:noProof/>
        </w:rPr>
        <w:lastRenderedPageBreak/>
        <w:t xml:space="preserve">(Canis lupus) in wildlife reserves of Quebec. </w:t>
      </w:r>
      <w:r w:rsidRPr="001D376A">
        <w:rPr>
          <w:i/>
          <w:iCs/>
          <w:noProof/>
        </w:rPr>
        <w:t>Biol. Conserv.</w:t>
      </w:r>
      <w:r w:rsidRPr="001D376A">
        <w:rPr>
          <w:noProof/>
        </w:rPr>
        <w:t>, 94, 143–151.</w:t>
      </w:r>
    </w:p>
    <w:p w14:paraId="611F550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Larson, A.M. &amp; Soto, F. (2008). Decentralization of natural resource governance regimes. </w:t>
      </w:r>
      <w:r w:rsidRPr="001D376A">
        <w:rPr>
          <w:i/>
          <w:iCs/>
          <w:noProof/>
        </w:rPr>
        <w:t>Annu. Rev. Environ. Resour.</w:t>
      </w:r>
      <w:r w:rsidRPr="001D376A">
        <w:rPr>
          <w:noProof/>
        </w:rPr>
        <w:t>, 33, 213–239.</w:t>
      </w:r>
    </w:p>
    <w:p w14:paraId="0A0D2EB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Laurance, W.F. (2012). Averting biodiversity collapse in tropical forest protected areas. </w:t>
      </w:r>
      <w:r w:rsidRPr="001D376A">
        <w:rPr>
          <w:i/>
          <w:iCs/>
          <w:noProof/>
        </w:rPr>
        <w:t>Nature</w:t>
      </w:r>
      <w:r w:rsidRPr="001D376A">
        <w:rPr>
          <w:noProof/>
        </w:rPr>
        <w:t>, 489, 290–294.</w:t>
      </w:r>
    </w:p>
    <w:p w14:paraId="36C603B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Laurance, W.F., Croes, B.M., Tchignoumba, L., Lahm, S.A., Alonso, A., Lee, M.E., Campbell, P. &amp; Ondzeano, C. (2006). Impacts of roads and hunting on Central African rainforest mammals. </w:t>
      </w:r>
      <w:r w:rsidRPr="001D376A">
        <w:rPr>
          <w:i/>
          <w:iCs/>
          <w:noProof/>
        </w:rPr>
        <w:t>Conserv. Biol.</w:t>
      </w:r>
      <w:r w:rsidRPr="001D376A">
        <w:rPr>
          <w:noProof/>
        </w:rPr>
        <w:t>, 20, 1251–1261.</w:t>
      </w:r>
    </w:p>
    <w:p w14:paraId="658A3AA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Laurance, W.F., Sayer, J. &amp; Cassman, K.G. (2014). Agricultural expansion and its impacts on tropical nature. </w:t>
      </w:r>
      <w:r w:rsidRPr="001D376A">
        <w:rPr>
          <w:i/>
          <w:iCs/>
          <w:noProof/>
        </w:rPr>
        <w:t>Trends Ecol. Evol.</w:t>
      </w:r>
      <w:r w:rsidRPr="001D376A">
        <w:rPr>
          <w:noProof/>
        </w:rPr>
        <w:t>, 29, 107–116.</w:t>
      </w:r>
    </w:p>
    <w:p w14:paraId="02F9267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LeBreton, M., Prosser, A.T., Tamoufe, U., Sateren, W., Mpoudi-Ngole, E., Diffo, J.L.D., Burke, D.S. &amp; Wolfe, N.D. (2006). Patterns of bushmeat hunting and perceptions of disease risk among Central African communities. </w:t>
      </w:r>
      <w:r w:rsidRPr="001D376A">
        <w:rPr>
          <w:i/>
          <w:iCs/>
          <w:noProof/>
        </w:rPr>
        <w:t>Anim. Conserv.</w:t>
      </w:r>
      <w:r w:rsidRPr="001D376A">
        <w:rPr>
          <w:noProof/>
        </w:rPr>
        <w:t>, 9, 357–363.</w:t>
      </w:r>
    </w:p>
    <w:p w14:paraId="2B443D4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Lee, R.J. (2000). Impact of subsistence hunting in North Sulawesi, Indonesia and conservation options. In: </w:t>
      </w:r>
      <w:r w:rsidRPr="001D376A">
        <w:rPr>
          <w:i/>
          <w:iCs/>
          <w:noProof/>
        </w:rPr>
        <w:t>Hunt. Sustain. Trop. For.</w:t>
      </w:r>
      <w:r w:rsidRPr="001D376A">
        <w:rPr>
          <w:noProof/>
        </w:rPr>
        <w:t xml:space="preserve"> (eds. Robinson, J.G. &amp; Bennett, E.L.). Columbia University Press, New York, USA, Columbia University Press, New York, USA, pp. 455–472.</w:t>
      </w:r>
    </w:p>
    <w:p w14:paraId="73EF952C"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Lee, T.M., Sigouin, A., Pinedo-Vasquez, M. &amp; Nasi, R. (2014). </w:t>
      </w:r>
      <w:r w:rsidRPr="001D376A">
        <w:rPr>
          <w:i/>
          <w:iCs/>
          <w:noProof/>
        </w:rPr>
        <w:t>The harvest of wildlife for bushmeat and traditional medicine in East, South and Southeast Asia: current knowledge base, challenges, opportunities and areas for future research. Occasional Paper 115.</w:t>
      </w:r>
      <w:r w:rsidRPr="001D376A">
        <w:rPr>
          <w:noProof/>
        </w:rPr>
        <w:t xml:space="preserve"> CIFOR, Bogor, Indonesia.</w:t>
      </w:r>
    </w:p>
    <w:p w14:paraId="493ABBA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León, P. &amp; Montiel, S. (2008). Wild meat use and traditional hunting practices in a rural Mayan community of the yucatan Peninsula, Mexico. </w:t>
      </w:r>
      <w:r w:rsidRPr="001D376A">
        <w:rPr>
          <w:i/>
          <w:iCs/>
          <w:noProof/>
        </w:rPr>
        <w:t>Hum. Ecol.</w:t>
      </w:r>
      <w:r w:rsidRPr="001D376A">
        <w:rPr>
          <w:noProof/>
        </w:rPr>
        <w:t>, 36, 249–257.</w:t>
      </w:r>
    </w:p>
    <w:p w14:paraId="6D3E13D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Lescuyer, G. &amp; Nasi, R. (2016). Financial and economic values of bushmeat in rural and urban livelihoods in Cameroon: Inputs to the development of public policy. </w:t>
      </w:r>
      <w:r w:rsidRPr="001D376A">
        <w:rPr>
          <w:i/>
          <w:iCs/>
          <w:noProof/>
        </w:rPr>
        <w:t>Int. For. Rev.</w:t>
      </w:r>
      <w:r w:rsidRPr="001D376A">
        <w:rPr>
          <w:noProof/>
        </w:rPr>
        <w:t>, 18, 93–107.</w:t>
      </w:r>
    </w:p>
    <w:p w14:paraId="018C09F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Leverington, F., Costa, K.L., Pavese, H., Lisle, A. &amp; Hockings, M. (2010). A global analysis of protected area management effectiveness. </w:t>
      </w:r>
      <w:r w:rsidRPr="001D376A">
        <w:rPr>
          <w:i/>
          <w:iCs/>
          <w:noProof/>
        </w:rPr>
        <w:t>Environ. Manage.</w:t>
      </w:r>
      <w:r w:rsidRPr="001D376A">
        <w:rPr>
          <w:noProof/>
        </w:rPr>
        <w:t>, 46, 685–698.</w:t>
      </w:r>
    </w:p>
    <w:p w14:paraId="7466B060"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Liang, W., Cai, Y. &amp; Yang, C.C. (2013). </w:t>
      </w:r>
      <w:r w:rsidRPr="001D376A">
        <w:rPr>
          <w:noProof/>
        </w:rPr>
        <w:t xml:space="preserve">Extreme levels of hunting of birds in a remote village of Hainan Island, China. </w:t>
      </w:r>
      <w:r w:rsidRPr="001D376A">
        <w:rPr>
          <w:i/>
          <w:iCs/>
          <w:noProof/>
        </w:rPr>
        <w:t>Bird Conserv. Int.</w:t>
      </w:r>
      <w:r w:rsidRPr="001D376A">
        <w:rPr>
          <w:noProof/>
        </w:rPr>
        <w:t>, 23, 45–52.</w:t>
      </w:r>
    </w:p>
    <w:p w14:paraId="228951C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Lima-Ayres, D. (1992). </w:t>
      </w:r>
      <w:r w:rsidRPr="001D376A">
        <w:rPr>
          <w:i/>
          <w:iCs/>
          <w:noProof/>
        </w:rPr>
        <w:t>The social category caboclo: history, social organization, identity and outsider’s local social classification of the rural population of an Amazonian region. PhD Thesis</w:t>
      </w:r>
      <w:r w:rsidRPr="001D376A">
        <w:rPr>
          <w:noProof/>
        </w:rPr>
        <w:t>.</w:t>
      </w:r>
    </w:p>
    <w:p w14:paraId="091425A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Lindsey, P., Balme, G., Becker, M., Begg, C., Bento, C., Bocchino, C., Dickman, A., Diggle, R., Eves, H., Henschel, P., Lewis, D., Marnewick, K., Matheus, J., McNutt, J.W., McRobb, R., Midlane, N., Milanzi, J., Morley, R., Murphree, M., Nyoni, P., Opyene, V., Phadima, J., Purchase, N., Rentsch, D., Roche, C., SHaw, J., van der Westhuizen, H., Van Vliet, N. &amp; Zisadza, P. (2012). </w:t>
      </w:r>
      <w:r w:rsidRPr="001D376A">
        <w:rPr>
          <w:i/>
          <w:iCs/>
          <w:noProof/>
        </w:rPr>
        <w:t>Illegal hunting and the bushmeat trade in savanna Africa: drivers, impacts and solutions to address the Problem</w:t>
      </w:r>
      <w:r w:rsidRPr="001D376A">
        <w:rPr>
          <w:noProof/>
        </w:rPr>
        <w:t xml:space="preserve">. Panthera/Zoological </w:t>
      </w:r>
      <w:r w:rsidRPr="001D376A">
        <w:rPr>
          <w:noProof/>
        </w:rPr>
        <w:lastRenderedPageBreak/>
        <w:t>Society of London/Wildlife Conservation Society report, New York, USA.</w:t>
      </w:r>
    </w:p>
    <w:p w14:paraId="64F62F8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Lindsey, P. &amp; Bento, C. (2012). </w:t>
      </w:r>
      <w:r w:rsidRPr="001D376A">
        <w:rPr>
          <w:i/>
          <w:iCs/>
          <w:noProof/>
        </w:rPr>
        <w:t>Illegal hunting and the bushmeat trade in Central Mozambique. a case-study from Coutada 9, Manica Province</w:t>
      </w:r>
      <w:r w:rsidRPr="001D376A">
        <w:rPr>
          <w:noProof/>
        </w:rPr>
        <w:t>. TRAFFIC East/Southern Africa, Harare, Zimbabwe.</w:t>
      </w:r>
    </w:p>
    <w:p w14:paraId="5389DAB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Lindsey, P.A., Balme, G., Becker, M., Begg, C., Bento, C., Bocchino, C., Dickman, A., Diggle, R.W., Eves, H., Henschel, P., Lewis, D., Marnewick, K., Mattheus, J., Weldon McNutt, J., McRobb, R., Midlane, N., Milanzi, J., Morley, R., Murphree, M., Opyene, V., Phadima, J., Purchase, G., Rentsch, D., Roche, C., Shaw, J., Westhuizen, H. van der, Vliet, N. Van &amp; Zisadza-Gandiwa, P. (2013a). The bushmeat trade in African savannas: Impacts, drivers, and possible solutions. </w:t>
      </w:r>
      <w:r w:rsidRPr="001D376A">
        <w:rPr>
          <w:i/>
          <w:iCs/>
          <w:noProof/>
        </w:rPr>
        <w:t>Biol. Conserv.</w:t>
      </w:r>
      <w:r w:rsidRPr="001D376A">
        <w:rPr>
          <w:noProof/>
        </w:rPr>
        <w:t>, 160, 80–96.</w:t>
      </w:r>
    </w:p>
    <w:p w14:paraId="6A981FF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Lindsey, P.A., Havemann, C.P., Lines, R.M., Price, A.E., Retief, T.A., Rhebergen, T., Van der Waal, C. &amp; Romañach, S.S. (2013b). Benefits of wildlife-based land uses on private lands in Namibia and limitations affecting their development. </w:t>
      </w:r>
      <w:r w:rsidRPr="001D376A">
        <w:rPr>
          <w:i/>
          <w:iCs/>
          <w:noProof/>
        </w:rPr>
        <w:t>Oryx</w:t>
      </w:r>
      <w:r w:rsidRPr="001D376A">
        <w:rPr>
          <w:noProof/>
        </w:rPr>
        <w:t>, 47, 41–53.</w:t>
      </w:r>
    </w:p>
    <w:p w14:paraId="690FABE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Lindsey, P.A., Romañach, S.S., Matema, S., Matema, C., Mupamhadzi, I. &amp; Muvengwi, J. (2011a). Dynamics and underlying causes of illegal bushmeat trade in Zimbabwe. </w:t>
      </w:r>
      <w:r w:rsidRPr="001D376A">
        <w:rPr>
          <w:i/>
          <w:iCs/>
          <w:noProof/>
        </w:rPr>
        <w:t>Oryx</w:t>
      </w:r>
      <w:r w:rsidRPr="001D376A">
        <w:rPr>
          <w:noProof/>
        </w:rPr>
        <w:t>, 45, 84–95.</w:t>
      </w:r>
    </w:p>
    <w:p w14:paraId="1943E22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Lindsey, P.A., Romañach, S.S., Tambling, C.J., Chartier, K. &amp; Groom, R. (2011b). Ecological and financial impacts of illegal bushmeat trade in Zimbabwe. </w:t>
      </w:r>
      <w:r w:rsidRPr="001D376A">
        <w:rPr>
          <w:i/>
          <w:iCs/>
          <w:noProof/>
        </w:rPr>
        <w:t>Oryx</w:t>
      </w:r>
      <w:r w:rsidRPr="001D376A">
        <w:rPr>
          <w:noProof/>
        </w:rPr>
        <w:t>, 45, 96–111.</w:t>
      </w:r>
    </w:p>
    <w:p w14:paraId="5C48462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Liu, Z., Jiang, Z., Fang, H., Li, C., Mi, A., Chen, J., Zhang, X., Cui, S., Chen, D., Ping, X., Li, F., Li, C., Tang, S., Luo, Z., Zeng, Y. &amp; Meng, Z. (2016). Perception, price and preference: consumption and protection of wild animals used in traditional medicine. </w:t>
      </w:r>
      <w:r w:rsidRPr="001D376A">
        <w:rPr>
          <w:i/>
          <w:iCs/>
          <w:noProof/>
        </w:rPr>
        <w:t>PLoS One</w:t>
      </w:r>
      <w:r w:rsidRPr="001D376A">
        <w:rPr>
          <w:noProof/>
        </w:rPr>
        <w:t>, 11, 1–19.</w:t>
      </w:r>
    </w:p>
    <w:p w14:paraId="5BB7A79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Lockwood, M., Davidson, J., Curtis, A., Stratford, E. &amp; Griffith, R. (2010). Governance principles for natural resource management. </w:t>
      </w:r>
      <w:r w:rsidRPr="001D376A">
        <w:rPr>
          <w:i/>
          <w:iCs/>
          <w:noProof/>
        </w:rPr>
        <w:t>Soc. Nat. Resour.</w:t>
      </w:r>
      <w:r w:rsidRPr="001D376A">
        <w:rPr>
          <w:noProof/>
        </w:rPr>
        <w:t>, 23, 986–1001.</w:t>
      </w:r>
    </w:p>
    <w:p w14:paraId="2FA56E3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Lofroth, E.C. &amp; Ott, P.K. (2007). Assessment of the sustainability of wolverine harvest in British Columbia, Canada. </w:t>
      </w:r>
      <w:r w:rsidRPr="001D376A">
        <w:rPr>
          <w:i/>
          <w:iCs/>
          <w:noProof/>
        </w:rPr>
        <w:t>J. Wildl. Manage.</w:t>
      </w:r>
      <w:r w:rsidRPr="001D376A">
        <w:rPr>
          <w:noProof/>
        </w:rPr>
        <w:t>, 71, 2193–2200.</w:t>
      </w:r>
    </w:p>
    <w:p w14:paraId="7882722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Lohe, N. (2014). Traditional knowledge system in hunting and trapping methods among the Nagas of northeast India. </w:t>
      </w:r>
      <w:r w:rsidRPr="001D376A">
        <w:rPr>
          <w:i/>
          <w:iCs/>
          <w:noProof/>
        </w:rPr>
        <w:t>Asian J. Multidiscip. Stud.</w:t>
      </w:r>
      <w:r w:rsidRPr="001D376A">
        <w:rPr>
          <w:noProof/>
        </w:rPr>
        <w:t>, 2, 184–189.</w:t>
      </w:r>
    </w:p>
    <w:p w14:paraId="3F61F5C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London Declaration on Illegal Wildlife Trade. (2014). </w:t>
      </w:r>
      <w:r w:rsidRPr="001D376A">
        <w:rPr>
          <w:i/>
          <w:iCs/>
          <w:noProof/>
        </w:rPr>
        <w:t>London Conference on Illegal Wildlife Trade, 12-13 February 2014: Declaration</w:t>
      </w:r>
      <w:r w:rsidRPr="001D376A">
        <w:rPr>
          <w:noProof/>
        </w:rPr>
        <w:t>. Accessed at: https://www.mofa.go.jp/mofaj/files/000027840.pdf.</w:t>
      </w:r>
    </w:p>
    <w:p w14:paraId="2C1F4C6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Lonergan, M. (2011). Potential biological removal and other currently used management rules for marine mammal populations: a comparison. </w:t>
      </w:r>
      <w:r w:rsidRPr="001D376A">
        <w:rPr>
          <w:i/>
          <w:iCs/>
          <w:noProof/>
        </w:rPr>
        <w:t>Mar. Policy</w:t>
      </w:r>
      <w:r w:rsidRPr="001D376A">
        <w:rPr>
          <w:noProof/>
        </w:rPr>
        <w:t>, 35, 584–589.</w:t>
      </w:r>
    </w:p>
    <w:p w14:paraId="47C3F01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Loucks, C., Mascia, M.B., Maxwell, A., Huy, K., Duong, K., Chea, N., Long, B., Cox, N. &amp; Seng, T. (2009). Wildlife decline in Cambodia, 1953 – 2005: exploring the legacy of armed conflict. </w:t>
      </w:r>
      <w:r w:rsidRPr="001D376A">
        <w:rPr>
          <w:i/>
          <w:iCs/>
          <w:noProof/>
        </w:rPr>
        <w:t>Conserv. Lett.</w:t>
      </w:r>
      <w:r w:rsidRPr="001D376A">
        <w:rPr>
          <w:noProof/>
        </w:rPr>
        <w:t>, 2, 82–92.</w:t>
      </w:r>
    </w:p>
    <w:p w14:paraId="42DDFA1F"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Luiselli, L., Hema, E.M., Segniagbeto, G.H., Ouattara, V., Eniang, E.A., Di Vittorio, M., Amadi, N., Parfait, G., Pacini, N., Akani, G.C., Sirima, D., Guenda, W., Fakae, B.B., </w:t>
      </w:r>
      <w:r w:rsidRPr="001D376A">
        <w:rPr>
          <w:noProof/>
        </w:rPr>
        <w:lastRenderedPageBreak/>
        <w:t xml:space="preserve">Dendi, D. &amp; Fa, J.E. (n.d.). Understanding the influence of non-wealth factors in determining bushmeat consumption: results from four West African countries. </w:t>
      </w:r>
      <w:r w:rsidRPr="00814265">
        <w:rPr>
          <w:i/>
          <w:iCs/>
          <w:noProof/>
          <w:lang w:val="pt-BR"/>
        </w:rPr>
        <w:t>Acta Oecologica</w:t>
      </w:r>
      <w:r w:rsidRPr="00814265">
        <w:rPr>
          <w:noProof/>
          <w:lang w:val="pt-BR"/>
        </w:rPr>
        <w:t>.</w:t>
      </w:r>
    </w:p>
    <w:p w14:paraId="58D13C58"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Luiselli, L., Petrozzi, F., Akani, G.C., Di Vittorio, M., Amadi, N., Ebere, N., Dendi, D., Amori, G. &amp; Eniang, E.A. (2017). </w:t>
      </w:r>
      <w:r w:rsidRPr="001D376A">
        <w:rPr>
          <w:noProof/>
        </w:rPr>
        <w:t xml:space="preserve">Rehashing bushmeat – interview campaigns reveal some controversial issues about the bushmeat trade dynamics in nigeria. </w:t>
      </w:r>
      <w:r w:rsidRPr="001D376A">
        <w:rPr>
          <w:i/>
          <w:iCs/>
          <w:noProof/>
        </w:rPr>
        <w:t>Rev. d’Ecologie</w:t>
      </w:r>
      <w:r w:rsidRPr="001D376A">
        <w:rPr>
          <w:noProof/>
        </w:rPr>
        <w:t>, 72, 3–18.</w:t>
      </w:r>
    </w:p>
    <w:p w14:paraId="6E04E7F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Luskin, M.S., Christina, E.D., Kelley, L.C. &amp; Potts, M.D. (2014). Modern hunting practices and wild meat trade in the oil palm plantation-dominated landscapes of Sumatra, Indonesia. </w:t>
      </w:r>
      <w:r w:rsidRPr="001D376A">
        <w:rPr>
          <w:i/>
          <w:iCs/>
          <w:noProof/>
        </w:rPr>
        <w:t>Hum. Ecol.</w:t>
      </w:r>
      <w:r w:rsidRPr="001D376A">
        <w:rPr>
          <w:noProof/>
        </w:rPr>
        <w:t>, 42, 35–45.</w:t>
      </w:r>
    </w:p>
    <w:p w14:paraId="4D42D89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Lyons, J.A. &amp; Natusch, D.J.D. (2011). Wildlife laundering through breeding farms: illegal harvest, population declines and a means of regulating the trade of green pythons (Morelia viridis) from Indonesia. </w:t>
      </w:r>
      <w:r w:rsidRPr="001D376A">
        <w:rPr>
          <w:i/>
          <w:iCs/>
          <w:noProof/>
        </w:rPr>
        <w:t>Biol. Conserv.</w:t>
      </w:r>
      <w:r w:rsidRPr="001D376A">
        <w:rPr>
          <w:noProof/>
        </w:rPr>
        <w:t>, 144, 3073–3081.</w:t>
      </w:r>
    </w:p>
    <w:p w14:paraId="187B58F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Machovina, B., Feeley, K.J. &amp; Ripple, W.J. (2015). Biodiversity conservation: The key is reducing meat consumption. </w:t>
      </w:r>
      <w:r w:rsidRPr="001D376A">
        <w:rPr>
          <w:i/>
          <w:iCs/>
          <w:noProof/>
        </w:rPr>
        <w:t>Sci. Total Environ.</w:t>
      </w:r>
      <w:r w:rsidRPr="001D376A">
        <w:rPr>
          <w:noProof/>
        </w:rPr>
        <w:t>, 536, 419–431.</w:t>
      </w:r>
    </w:p>
    <w:p w14:paraId="4F0FF1B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Madhusudan, M.D. &amp; Karanth, K.U. (2000). Hunting for an answer: Is local hunting com- patible with large mammal conservation in India? In: </w:t>
      </w:r>
      <w:r w:rsidRPr="001D376A">
        <w:rPr>
          <w:i/>
          <w:iCs/>
          <w:noProof/>
        </w:rPr>
        <w:t>Hunt. Sustain. Trop. For.</w:t>
      </w:r>
      <w:r w:rsidRPr="001D376A">
        <w:rPr>
          <w:noProof/>
        </w:rPr>
        <w:t xml:space="preserve"> (eds. Robinson, J.G. &amp; Bennett, E.L.). Columbia University Press, New York, USA, pp. 339–355.</w:t>
      </w:r>
    </w:p>
    <w:p w14:paraId="31B8BCFE"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Madhusudan, M.D. &amp; Karanth, K.U. (2002). Local hunting and the conservation of large mammals in India. </w:t>
      </w:r>
      <w:r w:rsidRPr="00814265">
        <w:rPr>
          <w:i/>
          <w:iCs/>
          <w:noProof/>
          <w:lang w:val="pt-BR"/>
        </w:rPr>
        <w:t>AMBIO A J. Hum. Environ.</w:t>
      </w:r>
      <w:r w:rsidRPr="00814265">
        <w:rPr>
          <w:noProof/>
          <w:lang w:val="pt-BR"/>
        </w:rPr>
        <w:t>, 31, 49–54.</w:t>
      </w:r>
    </w:p>
    <w:p w14:paraId="17372901" w14:textId="77777777" w:rsidR="001D376A" w:rsidRPr="00DF57F3" w:rsidRDefault="001D376A" w:rsidP="001D376A">
      <w:pPr>
        <w:widowControl w:val="0"/>
        <w:autoSpaceDE w:val="0"/>
        <w:autoSpaceDN w:val="0"/>
        <w:adjustRightInd w:val="0"/>
        <w:ind w:left="480" w:hanging="480"/>
        <w:rPr>
          <w:noProof/>
          <w:lang w:val="fr-FR"/>
        </w:rPr>
      </w:pPr>
      <w:r w:rsidRPr="00814265">
        <w:rPr>
          <w:noProof/>
          <w:lang w:val="pt-BR"/>
        </w:rPr>
        <w:t xml:space="preserve">Madzou, Y.C. &amp; Ebanega, M.O. (2006). </w:t>
      </w:r>
      <w:r w:rsidRPr="001D376A">
        <w:rPr>
          <w:noProof/>
        </w:rPr>
        <w:t xml:space="preserve">Wild game and its use in the tropical environment, Cameroon. </w:t>
      </w:r>
      <w:r w:rsidRPr="00DF57F3">
        <w:rPr>
          <w:i/>
          <w:iCs/>
          <w:noProof/>
          <w:lang w:val="fr-FR"/>
        </w:rPr>
        <w:t>Nat. Faune</w:t>
      </w:r>
      <w:r w:rsidRPr="00DF57F3">
        <w:rPr>
          <w:noProof/>
          <w:lang w:val="fr-FR"/>
        </w:rPr>
        <w:t>, 21, 18–33.</w:t>
      </w:r>
    </w:p>
    <w:p w14:paraId="3A2CBED7"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Mahmood, M.S., Siddique, F., Hussain, I., Ahmad, S.I. &amp; Rafique, A. (2014). </w:t>
      </w:r>
      <w:r w:rsidRPr="001D376A">
        <w:rPr>
          <w:noProof/>
        </w:rPr>
        <w:t xml:space="preserve">Thermostable vaccines for Newcastle disease: A review. </w:t>
      </w:r>
      <w:r w:rsidRPr="001D376A">
        <w:rPr>
          <w:i/>
          <w:iCs/>
          <w:noProof/>
        </w:rPr>
        <w:t>Worlds. Poult. Sci. J.</w:t>
      </w:r>
      <w:r w:rsidRPr="001D376A">
        <w:rPr>
          <w:noProof/>
        </w:rPr>
        <w:t>, 70, 829–838.</w:t>
      </w:r>
    </w:p>
    <w:p w14:paraId="61A20FC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Maisels, F., Keming, E., Kemei, M. &amp; Toh, C. (2001). Large mammal extinction and implications for montane forest conservation: a case study from the Kilum-Ijim Forest, North-West Province, Cameroon. </w:t>
      </w:r>
      <w:r w:rsidRPr="001D376A">
        <w:rPr>
          <w:i/>
          <w:iCs/>
          <w:noProof/>
        </w:rPr>
        <w:t>Oryx</w:t>
      </w:r>
      <w:r w:rsidRPr="001D376A">
        <w:rPr>
          <w:noProof/>
        </w:rPr>
        <w:t>, 35, 322–331.</w:t>
      </w:r>
    </w:p>
    <w:p w14:paraId="21441EA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Maisels, F., Strindberg, S., Blake, S., Wittemyer, G., Hart, J., Williamson, E. a, Aba’a, R., Abitsi, G., Ambahe, R.D., Amsini, F., Bakabana, P.C., Hicks, T.C., Bayogo, R.E., Bechem, M., Beyers, R.L., Bezangoye, A.N., Boundja, P., Bout, N., Akou, M.E., Bene, L.B., Fosso, B., Greengrass, E., Grossmann, F., Ikamba-Nkulu, C., Ilambu, O., Inogwabini, B.-I., Iyenguet, F., Kiminou, F., Kokangoye, M., Kujirakwinja, D., Latour, S., Liengola, I., Mackaya, Q., Madidi, J., Madzoke, B., Makoumbou, C., Malanda, G.-A., Malonga, R., Mbani, O., Mbendzo, V. a, Ambassa, E., Ekinde, A., Mihindou, Y., Morgan, B.J., Motsaba, P., Moukala, G., Mounguengui, A., Mowawa, B.S., Ndzai, C., Nixon, S., Nkumu, P., Nzolani, F., Pintea, L., Plumptre, A., Rainey, H., de Semboli, B.B., Serckx, A., Stokes, E., Turkalo, A., Vanleeuwe, H., Vosper, A. &amp; Warren, Y. (2013). Devastating decline of forest elephants in Central Africa. </w:t>
      </w:r>
      <w:r w:rsidRPr="001D376A">
        <w:rPr>
          <w:i/>
          <w:iCs/>
          <w:noProof/>
        </w:rPr>
        <w:t>PLoS One</w:t>
      </w:r>
      <w:r w:rsidRPr="001D376A">
        <w:rPr>
          <w:noProof/>
        </w:rPr>
        <w:t>, 8, e59469.</w:t>
      </w:r>
    </w:p>
    <w:p w14:paraId="4D59EDC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Mambeya, M.M., Baker, F., Momboua, B.R., Koumba Pambo, A.F., Hega, M., Okouyi Okouyi, V.J., Onanga, M., Challender, D.W.S., Ingram, D.J., Wang, H. &amp; Abernethy, K. </w:t>
      </w:r>
      <w:r w:rsidRPr="001D376A">
        <w:rPr>
          <w:noProof/>
        </w:rPr>
        <w:lastRenderedPageBreak/>
        <w:t xml:space="preserve">(2018). The emergence of a commercial trade in pangolins from Gabon. </w:t>
      </w:r>
      <w:r w:rsidRPr="001D376A">
        <w:rPr>
          <w:i/>
          <w:iCs/>
          <w:noProof/>
        </w:rPr>
        <w:t>Afr. J. Ecol.</w:t>
      </w:r>
      <w:r w:rsidRPr="001D376A">
        <w:rPr>
          <w:noProof/>
        </w:rPr>
        <w:t>, 56, 601–609.</w:t>
      </w:r>
    </w:p>
    <w:p w14:paraId="0E049D3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Maxwell, S.L., Fuller, R.A., Brooks, T.M. &amp; Watson, J.E.M. (2016). The ravages of guns, nets and bulldozers. </w:t>
      </w:r>
      <w:r w:rsidRPr="001D376A">
        <w:rPr>
          <w:i/>
          <w:iCs/>
          <w:noProof/>
        </w:rPr>
        <w:t>Nature</w:t>
      </w:r>
      <w:r w:rsidRPr="001D376A">
        <w:rPr>
          <w:noProof/>
        </w:rPr>
        <w:t>, 536, 143–145.</w:t>
      </w:r>
    </w:p>
    <w:p w14:paraId="6210860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Mayor, P., Baquedano, L.E., Sanchez, E., Aramburu, J., Gomez-Puerta, L.A., Mamani, V.J. &amp; Gavidia, C.M. (2015). Polycystic echinococcosis in pacas, amazon region, Peru. </w:t>
      </w:r>
      <w:r w:rsidRPr="001D376A">
        <w:rPr>
          <w:i/>
          <w:iCs/>
          <w:noProof/>
        </w:rPr>
        <w:t>Emerg. Infect. Dis.</w:t>
      </w:r>
      <w:r w:rsidRPr="001D376A">
        <w:rPr>
          <w:noProof/>
        </w:rPr>
        <w:t>, 21, 456–459.</w:t>
      </w:r>
    </w:p>
    <w:p w14:paraId="2EF35B3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Mayor, P., El Bizri, H., Bodmer, R.E. &amp; Bowler, M. (2017). Assessment of mammal reproduction for hunting sustainability through community-based sampling of species in the wild. </w:t>
      </w:r>
      <w:r w:rsidRPr="001D376A">
        <w:rPr>
          <w:i/>
          <w:iCs/>
          <w:noProof/>
        </w:rPr>
        <w:t>Conserv. Biol.</w:t>
      </w:r>
      <w:r w:rsidRPr="001D376A">
        <w:rPr>
          <w:noProof/>
        </w:rPr>
        <w:t>, 31, 912–923.</w:t>
      </w:r>
    </w:p>
    <w:p w14:paraId="49002E0B" w14:textId="77777777" w:rsidR="001D376A" w:rsidRPr="00DF57F3" w:rsidRDefault="001D376A" w:rsidP="001D376A">
      <w:pPr>
        <w:widowControl w:val="0"/>
        <w:autoSpaceDE w:val="0"/>
        <w:autoSpaceDN w:val="0"/>
        <w:adjustRightInd w:val="0"/>
        <w:ind w:left="480" w:hanging="480"/>
        <w:rPr>
          <w:noProof/>
          <w:lang w:val="fr-FR"/>
        </w:rPr>
      </w:pPr>
      <w:r w:rsidRPr="001D376A">
        <w:rPr>
          <w:noProof/>
        </w:rPr>
        <w:t xml:space="preserve">Mazor, T., Doropoulos, C., Schwarzmueller, F., Gladish, D.W., Kumaran, N., Merkel, K., Di Marco, M. &amp; Gagic, V. (2018). Global mismatch of policy and research on drivers of biodiversity loss. </w:t>
      </w:r>
      <w:r w:rsidRPr="00DF57F3">
        <w:rPr>
          <w:i/>
          <w:iCs/>
          <w:noProof/>
          <w:lang w:val="fr-FR"/>
        </w:rPr>
        <w:t>Nat. Ecol. Evol.</w:t>
      </w:r>
      <w:r w:rsidRPr="00DF57F3">
        <w:rPr>
          <w:noProof/>
          <w:lang w:val="fr-FR"/>
        </w:rPr>
        <w:t>, 1–4.</w:t>
      </w:r>
    </w:p>
    <w:p w14:paraId="26F331A4"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Mbikton, R. (2004). Les zones cynegentiques villageoises: Une experience de gestion participative des resources naturelles en Republique Centrafricane. </w:t>
      </w:r>
      <w:r w:rsidRPr="001D376A">
        <w:rPr>
          <w:i/>
          <w:iCs/>
          <w:noProof/>
        </w:rPr>
        <w:t>Game Wildl. Sci.</w:t>
      </w:r>
      <w:r w:rsidRPr="001D376A">
        <w:rPr>
          <w:noProof/>
        </w:rPr>
        <w:t>, 21, 219–225.</w:t>
      </w:r>
    </w:p>
    <w:p w14:paraId="5AC42BA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McConkey, K.R. &amp; Drake, D.R. (2006). Flying foxes cease to function as seed dispersers long before they become rare. </w:t>
      </w:r>
      <w:r w:rsidRPr="001D376A">
        <w:rPr>
          <w:i/>
          <w:iCs/>
          <w:noProof/>
        </w:rPr>
        <w:t>Ecology</w:t>
      </w:r>
      <w:r w:rsidRPr="001D376A">
        <w:rPr>
          <w:noProof/>
        </w:rPr>
        <w:t>, 87, 271–276.</w:t>
      </w:r>
    </w:p>
    <w:p w14:paraId="32CBA60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McCorquodale, S.M. (1997). Cultural contexts of recreational hunting and native subsistence and ceremonial hunting: their significance for wildlife management. </w:t>
      </w:r>
      <w:r w:rsidRPr="001D376A">
        <w:rPr>
          <w:i/>
          <w:iCs/>
          <w:noProof/>
        </w:rPr>
        <w:t>Wildl. Soc. Bull.</w:t>
      </w:r>
      <w:r w:rsidRPr="001D376A">
        <w:rPr>
          <w:noProof/>
        </w:rPr>
        <w:t>, 25, 568–573.</w:t>
      </w:r>
    </w:p>
    <w:p w14:paraId="49ACED6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McCullough, D.R. (1996). Spatially structured populations and harvest theory. </w:t>
      </w:r>
      <w:r w:rsidRPr="001D376A">
        <w:rPr>
          <w:i/>
          <w:iCs/>
          <w:noProof/>
        </w:rPr>
        <w:t>J. Wildl. Manage.</w:t>
      </w:r>
      <w:r w:rsidRPr="001D376A">
        <w:rPr>
          <w:noProof/>
        </w:rPr>
        <w:t>, 60, 1–9.</w:t>
      </w:r>
    </w:p>
    <w:p w14:paraId="0A1D3FC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McDermott, M., Mahanty, S. &amp; Schreckenberg, K. (2013). Examining equity: a multidimensional framework for assessing equity in payments for ecosystem services. </w:t>
      </w:r>
      <w:r w:rsidRPr="001D376A">
        <w:rPr>
          <w:i/>
          <w:iCs/>
          <w:noProof/>
        </w:rPr>
        <w:t>Environ. Sci. Policy</w:t>
      </w:r>
      <w:r w:rsidRPr="001D376A">
        <w:rPr>
          <w:noProof/>
        </w:rPr>
        <w:t>, 33, 416–427.</w:t>
      </w:r>
    </w:p>
    <w:p w14:paraId="1F23515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McElwee, P.D. (2008). Forest environmental income in Vietnam: household socioeconomic factors influencing forest use. </w:t>
      </w:r>
      <w:r w:rsidRPr="001D376A">
        <w:rPr>
          <w:i/>
          <w:iCs/>
          <w:noProof/>
        </w:rPr>
        <w:t>Environ. Conserv.</w:t>
      </w:r>
      <w:r w:rsidRPr="001D376A">
        <w:rPr>
          <w:noProof/>
        </w:rPr>
        <w:t>, 35, 147–159.</w:t>
      </w:r>
    </w:p>
    <w:p w14:paraId="28F5217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McGarry, D. (2008). </w:t>
      </w:r>
      <w:r w:rsidRPr="001D376A">
        <w:rPr>
          <w:i/>
          <w:iCs/>
          <w:noProof/>
        </w:rPr>
        <w:t>The impact of HIV/AIDS on rural children’s reliance on natural resources within the Eastern Cape, South Africa</w:t>
      </w:r>
      <w:r w:rsidRPr="001D376A">
        <w:rPr>
          <w:noProof/>
        </w:rPr>
        <w:t>. MSc Thesis, Rhodes University, South Africa, MSc Thesis, Rhodes University, South Africa.</w:t>
      </w:r>
    </w:p>
    <w:p w14:paraId="5F12CE4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McLeod, E., Szuster, B. &amp; Salm, R. (2009). Sasi and marine conservation in raja ampat, Indonesia. </w:t>
      </w:r>
      <w:r w:rsidRPr="001D376A">
        <w:rPr>
          <w:i/>
          <w:iCs/>
          <w:noProof/>
        </w:rPr>
        <w:t>Coast. Manag.</w:t>
      </w:r>
      <w:r w:rsidRPr="001D376A">
        <w:rPr>
          <w:noProof/>
        </w:rPr>
        <w:t>, 37, 656–676.</w:t>
      </w:r>
    </w:p>
    <w:p w14:paraId="6F7FEB5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Meijaard, E., Sheil, D., Nasi, R. &amp; Stanley, S.A. (2006). Wildlife conservation in Bornean timber consessions. </w:t>
      </w:r>
      <w:r w:rsidRPr="001D376A">
        <w:rPr>
          <w:i/>
          <w:iCs/>
          <w:noProof/>
        </w:rPr>
        <w:t>Ecol. Soc.</w:t>
      </w:r>
      <w:r w:rsidRPr="001D376A">
        <w:rPr>
          <w:noProof/>
        </w:rPr>
        <w:t>, 11, 47.</w:t>
      </w:r>
    </w:p>
    <w:p w14:paraId="1973F38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Mena, V.P., Stallings, J.R., Regalado, J.B. &amp; Cueva, R.L. (2000). The sustainability of current hunting practices by the Huaorani. In: </w:t>
      </w:r>
      <w:r w:rsidRPr="001D376A">
        <w:rPr>
          <w:i/>
          <w:iCs/>
          <w:noProof/>
        </w:rPr>
        <w:t>Hunt. Sustain. Trop. For.</w:t>
      </w:r>
      <w:r w:rsidRPr="001D376A">
        <w:rPr>
          <w:noProof/>
        </w:rPr>
        <w:t xml:space="preserve"> (eds. Robinson, J.G. &amp; Bennett, E.L.). Columbia University Press, New York, USA, pp. 57–78.</w:t>
      </w:r>
    </w:p>
    <w:p w14:paraId="1053096B"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De Merode, E. &amp; Cowlishaw, G. (2006). Species protection, the changing informal economy, and the politics of access to the bushmeat trade in the Democratic Republic of Congo. </w:t>
      </w:r>
      <w:r w:rsidRPr="001D376A">
        <w:rPr>
          <w:i/>
          <w:iCs/>
          <w:noProof/>
        </w:rPr>
        <w:t>Conserv. Biol.</w:t>
      </w:r>
      <w:r w:rsidRPr="001D376A">
        <w:rPr>
          <w:noProof/>
        </w:rPr>
        <w:t>, 20, 1262–1271.</w:t>
      </w:r>
    </w:p>
    <w:p w14:paraId="5C9D134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De Merode, E., Homewood, K. &amp; Cowlishaw, G. (2004). The value of bushmeat and other wild foods to rural households living in extreme poverty in Democratic Republic of Congo. </w:t>
      </w:r>
      <w:r w:rsidRPr="001D376A">
        <w:rPr>
          <w:i/>
          <w:iCs/>
          <w:noProof/>
        </w:rPr>
        <w:t>Biol. Conserv.</w:t>
      </w:r>
      <w:r w:rsidRPr="001D376A">
        <w:rPr>
          <w:noProof/>
        </w:rPr>
        <w:t>, 118, 573–581.</w:t>
      </w:r>
    </w:p>
    <w:p w14:paraId="10F8861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Mesquita, G.P. &amp; Barreto, L.N. (2015). Evaluation of mammals hunting in indigenous and rural localities in Eastern Brazilian Amazon. </w:t>
      </w:r>
      <w:r w:rsidRPr="001D376A">
        <w:rPr>
          <w:i/>
          <w:iCs/>
          <w:noProof/>
        </w:rPr>
        <w:t>Ethnobiol. Conserv.</w:t>
      </w:r>
      <w:r w:rsidRPr="001D376A">
        <w:rPr>
          <w:noProof/>
        </w:rPr>
        <w:t>, 4.</w:t>
      </w:r>
    </w:p>
    <w:p w14:paraId="293D2C9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Mfunda, I.M. &amp; Røskaft, E. (2010). Bushmeat hunting in Serengeti, Tanzania: an important economic activity to local people. </w:t>
      </w:r>
      <w:r w:rsidRPr="001D376A">
        <w:rPr>
          <w:i/>
          <w:iCs/>
          <w:noProof/>
        </w:rPr>
        <w:t>Int. J. Biodivers. Conserv.</w:t>
      </w:r>
      <w:r w:rsidRPr="001D376A">
        <w:rPr>
          <w:noProof/>
        </w:rPr>
        <w:t>, 2, 263–272.</w:t>
      </w:r>
    </w:p>
    <w:p w14:paraId="2AE5AAC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Miettinen, J., Shi, C. &amp; Liew, S.C. (2011). Deforestation rates in insular Southeast Asia between 2000 and 2010. </w:t>
      </w:r>
      <w:r w:rsidRPr="001D376A">
        <w:rPr>
          <w:i/>
          <w:iCs/>
          <w:noProof/>
        </w:rPr>
        <w:t>Glob. Chang. Biol.</w:t>
      </w:r>
      <w:r w:rsidRPr="001D376A">
        <w:rPr>
          <w:noProof/>
        </w:rPr>
        <w:t>, 17, 2261–2270.</w:t>
      </w:r>
    </w:p>
    <w:p w14:paraId="47D6488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Milder, J.C., Hart, A.K., Dobie, P., Minai, J. &amp; Zaleski, C. (2014). Integrated landscape initiatives for African agriculture, development, and conservation: a region-wide assessment. </w:t>
      </w:r>
      <w:r w:rsidRPr="001D376A">
        <w:rPr>
          <w:i/>
          <w:iCs/>
          <w:noProof/>
        </w:rPr>
        <w:t>World Dev.</w:t>
      </w:r>
      <w:r w:rsidRPr="001D376A">
        <w:rPr>
          <w:noProof/>
        </w:rPr>
        <w:t>, 54, 68–80.</w:t>
      </w:r>
    </w:p>
    <w:p w14:paraId="02AA070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Mills, L.S., Soulé, M.E. &amp; Doak, D.F. (1993). The keystone-species concept in ecology and conservation. </w:t>
      </w:r>
      <w:r w:rsidRPr="001D376A">
        <w:rPr>
          <w:i/>
          <w:iCs/>
          <w:noProof/>
        </w:rPr>
        <w:t>Bioscience</w:t>
      </w:r>
      <w:r w:rsidRPr="001D376A">
        <w:rPr>
          <w:noProof/>
        </w:rPr>
        <w:t>, 43, 219–224.</w:t>
      </w:r>
    </w:p>
    <w:p w14:paraId="4FDCDED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Milner-Gulland, E.J. &amp; Akçakaya, H.R. (2001). Sustainability indices for exploited populations. </w:t>
      </w:r>
      <w:r w:rsidRPr="001D376A">
        <w:rPr>
          <w:i/>
          <w:iCs/>
          <w:noProof/>
        </w:rPr>
        <w:t>TRENDS Ecol. Evol.</w:t>
      </w:r>
      <w:r w:rsidRPr="001D376A">
        <w:rPr>
          <w:noProof/>
        </w:rPr>
        <w:t>, 16, 686–692.</w:t>
      </w:r>
    </w:p>
    <w:p w14:paraId="675E315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Milner-Gulland, E.J., Bennett, E.L. &amp; &amp; the SCB 2002 Annual Meeting Wild Meat Group. (2003). Wild meat: the bigger picture. </w:t>
      </w:r>
      <w:r w:rsidRPr="001D376A">
        <w:rPr>
          <w:i/>
          <w:iCs/>
          <w:noProof/>
        </w:rPr>
        <w:t>TRENDS Ecol. Evol.</w:t>
      </w:r>
      <w:r w:rsidRPr="001D376A">
        <w:rPr>
          <w:noProof/>
        </w:rPr>
        <w:t>, 18, 351–357.</w:t>
      </w:r>
    </w:p>
    <w:p w14:paraId="23975615" w14:textId="77777777" w:rsidR="001D376A" w:rsidRPr="00DF57F3" w:rsidRDefault="001D376A" w:rsidP="001D376A">
      <w:pPr>
        <w:widowControl w:val="0"/>
        <w:autoSpaceDE w:val="0"/>
        <w:autoSpaceDN w:val="0"/>
        <w:adjustRightInd w:val="0"/>
        <w:ind w:left="480" w:hanging="480"/>
        <w:rPr>
          <w:noProof/>
          <w:lang w:val="fr-FR"/>
        </w:rPr>
      </w:pPr>
      <w:r w:rsidRPr="001D376A">
        <w:rPr>
          <w:noProof/>
        </w:rPr>
        <w:t xml:space="preserve">Miranda, C.L. &amp; Alencar, G.S. (2007). Aspects of hunting activity in Serra de Capivara National Park, in the state of Piaui, Brazil. </w:t>
      </w:r>
      <w:r w:rsidRPr="00DF57F3">
        <w:rPr>
          <w:i/>
          <w:iCs/>
          <w:noProof/>
          <w:lang w:val="fr-FR"/>
        </w:rPr>
        <w:t>Nat. Conserv.</w:t>
      </w:r>
      <w:r w:rsidRPr="00DF57F3">
        <w:rPr>
          <w:noProof/>
          <w:lang w:val="fr-FR"/>
        </w:rPr>
        <w:t>, 5, 115–121.</w:t>
      </w:r>
    </w:p>
    <w:p w14:paraId="7FCE330D"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Mockrin, M.H., Bennett, E.L. &amp; LaBruna, D.T. (2005). </w:t>
      </w:r>
      <w:r w:rsidRPr="001D376A">
        <w:rPr>
          <w:i/>
          <w:iCs/>
          <w:noProof/>
        </w:rPr>
        <w:t>Wildlife farming: a viable alternative to hunting in tropical forests? WCS Working Paper No. 23</w:t>
      </w:r>
      <w:r w:rsidRPr="001D376A">
        <w:rPr>
          <w:noProof/>
        </w:rPr>
        <w:t>. Wildlife Conservation Society, New York, USA.</w:t>
      </w:r>
    </w:p>
    <w:p w14:paraId="2489683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Mockrin, M.H. &amp; Redford, K.H. (2011). Potential for spatial management of hunted mammal populations in tropical forests. </w:t>
      </w:r>
      <w:r w:rsidRPr="001D376A">
        <w:rPr>
          <w:i/>
          <w:iCs/>
          <w:noProof/>
        </w:rPr>
        <w:t>Conserv. Lett.</w:t>
      </w:r>
      <w:r w:rsidRPr="001D376A">
        <w:rPr>
          <w:noProof/>
        </w:rPr>
        <w:t>, 4, 255–263.</w:t>
      </w:r>
    </w:p>
    <w:p w14:paraId="4670E95E"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Mohneke, M., Onadeko, A.B. &amp; Rödel, M.-O. (2009). Exploitation of frogs - a review with a focus on West Africa. </w:t>
      </w:r>
      <w:r w:rsidRPr="00814265">
        <w:rPr>
          <w:i/>
          <w:iCs/>
          <w:noProof/>
          <w:lang w:val="pt-BR"/>
        </w:rPr>
        <w:t>Salamandra</w:t>
      </w:r>
      <w:r w:rsidRPr="00814265">
        <w:rPr>
          <w:noProof/>
          <w:lang w:val="pt-BR"/>
        </w:rPr>
        <w:t>, 45, 193–202.</w:t>
      </w:r>
    </w:p>
    <w:p w14:paraId="74B582A1"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Morcatty, T.Q., Figueiredo, F., Valsecchi, J. &amp; Werneck, F.P. (n.d.). </w:t>
      </w:r>
      <w:r w:rsidRPr="001D376A">
        <w:rPr>
          <w:noProof/>
        </w:rPr>
        <w:t xml:space="preserve">Fourteen years of community-based monitoring of chelonian hunting and trade reveals sustainable use and population recovery of endangered freshwater turtles in Amazonia. </w:t>
      </w:r>
      <w:r w:rsidRPr="001D376A">
        <w:rPr>
          <w:i/>
          <w:iCs/>
          <w:noProof/>
        </w:rPr>
        <w:t>Conserv. Biol. Rev.</w:t>
      </w:r>
    </w:p>
    <w:p w14:paraId="72613F4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Morcatty, T.Q. &amp; Valsecchi, J. (2015). Social, biological, and environmental drivers of the hunting and trade of the endangered yellow-footed tortoise in the Amazon. </w:t>
      </w:r>
      <w:r w:rsidRPr="001D376A">
        <w:rPr>
          <w:i/>
          <w:iCs/>
          <w:noProof/>
        </w:rPr>
        <w:t>Ecol. Soc.</w:t>
      </w:r>
      <w:r w:rsidRPr="001D376A">
        <w:rPr>
          <w:noProof/>
        </w:rPr>
        <w:t>, 20, 3.</w:t>
      </w:r>
    </w:p>
    <w:p w14:paraId="17C4F96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Moro, M., Fischer, A., Milner-Gulland, E.J., Lowassa, A., Naiman, L.C. &amp; Hanley, N. </w:t>
      </w:r>
      <w:r w:rsidRPr="001D376A">
        <w:rPr>
          <w:noProof/>
        </w:rPr>
        <w:lastRenderedPageBreak/>
        <w:t xml:space="preserve">(2015). A stated preference investigation of household demand for illegally hunted bushmeat in the Serengeti, Tanzania. </w:t>
      </w:r>
      <w:r w:rsidRPr="001D376A">
        <w:rPr>
          <w:i/>
          <w:iCs/>
          <w:noProof/>
        </w:rPr>
        <w:t>Anim. Conserv.</w:t>
      </w:r>
      <w:r w:rsidRPr="001D376A">
        <w:rPr>
          <w:noProof/>
        </w:rPr>
        <w:t>, 18, 377–386.</w:t>
      </w:r>
    </w:p>
    <w:p w14:paraId="7A9FEAC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Morrison, J.C., Sechrest, W., Dinerstein, E., Wilcove, D.S. &amp; Lamoreux, J.F. (2007). Persistence of large mammal faunas as indicators of global human impacts. </w:t>
      </w:r>
      <w:r w:rsidRPr="001D376A">
        <w:rPr>
          <w:i/>
          <w:iCs/>
          <w:noProof/>
        </w:rPr>
        <w:t>J. Mammal.</w:t>
      </w:r>
      <w:r w:rsidRPr="001D376A">
        <w:rPr>
          <w:noProof/>
        </w:rPr>
        <w:t>, 88, 1363–1380.</w:t>
      </w:r>
    </w:p>
    <w:p w14:paraId="63FFE89B"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Muchaal, P.K. &amp; Ngandjui, G. (1999). Impact of village hunting on wildlife populations in the Western Dja Reserve, Cameroon. </w:t>
      </w:r>
      <w:r w:rsidRPr="00814265">
        <w:rPr>
          <w:i/>
          <w:iCs/>
          <w:noProof/>
          <w:lang w:val="pt-BR"/>
        </w:rPr>
        <w:t>Conserv. Biol.</w:t>
      </w:r>
      <w:r w:rsidRPr="00814265">
        <w:rPr>
          <w:noProof/>
          <w:lang w:val="pt-BR"/>
        </w:rPr>
        <w:t>, 13, 385–396.</w:t>
      </w:r>
    </w:p>
    <w:p w14:paraId="6B8B613E"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Muhlen, E.M. (2008). </w:t>
      </w:r>
      <w:r w:rsidRPr="00814265">
        <w:rPr>
          <w:i/>
          <w:iCs/>
          <w:noProof/>
          <w:lang w:val="pt-BR"/>
        </w:rPr>
        <w:t>Caracterização da atividade de caça de subsistência na região do lago Jarí e avaliação preliminar do status das populações de aves e mamíferos terrestres na Reserva de Desenvolvimento Sustentável Piagaçu Purus, AM, Brasil. Relatório de Pesquisa.</w:t>
      </w:r>
    </w:p>
    <w:p w14:paraId="5D1E66AE"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Nackoney, J., Molinario, G., Potapov, P., Turubanova, S., Hansen, M.C. &amp; Furuichi, T. (2014). </w:t>
      </w:r>
      <w:r w:rsidRPr="001D376A">
        <w:rPr>
          <w:noProof/>
        </w:rPr>
        <w:t xml:space="preserve">Impacts of civil conflict on primary forest habitat in northern Democratic Republic of the Congo, 1990 – 2010. </w:t>
      </w:r>
      <w:r w:rsidRPr="001D376A">
        <w:rPr>
          <w:i/>
          <w:iCs/>
          <w:noProof/>
        </w:rPr>
        <w:t>Biol. Conserv.</w:t>
      </w:r>
      <w:r w:rsidRPr="001D376A">
        <w:rPr>
          <w:noProof/>
        </w:rPr>
        <w:t>, 170, 321–328.</w:t>
      </w:r>
    </w:p>
    <w:p w14:paraId="7256156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Nadakavukaren, A. (2011). </w:t>
      </w:r>
      <w:r w:rsidRPr="001D376A">
        <w:rPr>
          <w:i/>
          <w:iCs/>
          <w:noProof/>
        </w:rPr>
        <w:t>Our global environment</w:t>
      </w:r>
      <w:r w:rsidRPr="001D376A">
        <w:rPr>
          <w:noProof/>
        </w:rPr>
        <w:t>. Waveland Press, Long Grove, Illinois, USA.</w:t>
      </w:r>
    </w:p>
    <w:p w14:paraId="6B80C5D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Naeem, S., Chapin III, F.S., Costanza, R., Ehrlich, P.R., Golley, F.B., Hooper, D.U., Lawton, J.H., O’Neill, R. V., Mooney, H.A., Sala, O.E., Symstad, A.J. &amp; Tilman, D. (1999). Biodiversity and ecosystem functioning: maintaining natural life support processes. </w:t>
      </w:r>
      <w:r w:rsidRPr="001D376A">
        <w:rPr>
          <w:i/>
          <w:iCs/>
          <w:noProof/>
        </w:rPr>
        <w:t>Issues Ecol.</w:t>
      </w:r>
      <w:r w:rsidRPr="001D376A">
        <w:rPr>
          <w:noProof/>
        </w:rPr>
        <w:t>, 4, 1–13.</w:t>
      </w:r>
    </w:p>
    <w:p w14:paraId="4633DCBE"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Naidoo, R., Weaver, L.C., De Longcamp, M. &amp; Du Plessis, P. (2011). </w:t>
      </w:r>
      <w:r w:rsidRPr="001D376A">
        <w:rPr>
          <w:noProof/>
        </w:rPr>
        <w:t xml:space="preserve">Namibia’s community-based natural resource management programme: an unrecognized payments for ecosystem services scheme. </w:t>
      </w:r>
      <w:r w:rsidRPr="001D376A">
        <w:rPr>
          <w:i/>
          <w:iCs/>
          <w:noProof/>
        </w:rPr>
        <w:t>Environ. Conserv.</w:t>
      </w:r>
      <w:r w:rsidRPr="001D376A">
        <w:rPr>
          <w:noProof/>
        </w:rPr>
        <w:t>, 38, 445–453.</w:t>
      </w:r>
    </w:p>
    <w:p w14:paraId="4EA8520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Nakashima, Y., Fukasawa, K. &amp; Samejima, H. (2018). Estimating animal density without individual recognition using information derivable exclusively from camera traps. </w:t>
      </w:r>
      <w:r w:rsidRPr="001D376A">
        <w:rPr>
          <w:i/>
          <w:iCs/>
          <w:noProof/>
        </w:rPr>
        <w:t>J. Appl. Ecol.</w:t>
      </w:r>
      <w:r w:rsidRPr="001D376A">
        <w:rPr>
          <w:noProof/>
        </w:rPr>
        <w:t>, 55, 735–744.</w:t>
      </w:r>
    </w:p>
    <w:p w14:paraId="2A6054D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Nardoto, G.B., Murrieta, R.S.S., Prates, L.E.G., Adams, C., Garavello, M.E.P.E., Schor, T., De Moraes, A., Rinaldi, F.D., Gragnani, J.G., Moura, E.A.F., Duarte-Neto, P.J. &amp; Martinelli, L.A. (2011). Frozen chicken for wild fish: nutritional transition in the Brazilian Amazon region determined by carbon and nitrogen stable isotope ratios in fingernails. </w:t>
      </w:r>
      <w:r w:rsidRPr="001D376A">
        <w:rPr>
          <w:i/>
          <w:iCs/>
          <w:noProof/>
        </w:rPr>
        <w:t>Am. J. Hum. Biol.</w:t>
      </w:r>
      <w:r w:rsidRPr="001D376A">
        <w:rPr>
          <w:noProof/>
        </w:rPr>
        <w:t>, 23, 642–650.</w:t>
      </w:r>
    </w:p>
    <w:p w14:paraId="4CA3F56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Nasi, R., Billand, A. &amp; Vanvliet, N. (2012). Managing for timber and biodiversity in the Congo Basin. </w:t>
      </w:r>
      <w:r w:rsidRPr="001D376A">
        <w:rPr>
          <w:i/>
          <w:iCs/>
          <w:noProof/>
        </w:rPr>
        <w:t>For. Ecol. Manage.</w:t>
      </w:r>
      <w:r w:rsidRPr="001D376A">
        <w:rPr>
          <w:noProof/>
        </w:rPr>
        <w:t>, 268, 103–111.</w:t>
      </w:r>
    </w:p>
    <w:p w14:paraId="490A51D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Nasi, R., Brown, D., Wilkie, D., Bennett, E., Tutin, C., Van Tol, G. &amp; Christophersen, T. (2008). </w:t>
      </w:r>
      <w:r w:rsidRPr="001D376A">
        <w:rPr>
          <w:i/>
          <w:iCs/>
          <w:noProof/>
        </w:rPr>
        <w:t>Conservation and use of wildlife-based resources: the bushmeat crisis. CBD Technical Series No. 33</w:t>
      </w:r>
      <w:r w:rsidRPr="001D376A">
        <w:rPr>
          <w:noProof/>
        </w:rPr>
        <w:t>. Secretariat of the Convention on Biological Diversity, Montreal, Canada, and Centre for International Forestry Research (CIFOR), Bogor, Indonesia.</w:t>
      </w:r>
    </w:p>
    <w:p w14:paraId="2BF1EA97"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Nasi, R., Christophersen, T. &amp; Belair, C. (2010). </w:t>
      </w:r>
      <w:r w:rsidRPr="001D376A">
        <w:rPr>
          <w:noProof/>
        </w:rPr>
        <w:t xml:space="preserve">Ending empty forests: management and sustainable use of wildlife in tropical production forests. </w:t>
      </w:r>
      <w:r w:rsidRPr="001D376A">
        <w:rPr>
          <w:i/>
          <w:iCs/>
          <w:noProof/>
        </w:rPr>
        <w:t>ITTO Trop. For. Updat.</w:t>
      </w:r>
      <w:r w:rsidRPr="001D376A">
        <w:rPr>
          <w:noProof/>
        </w:rPr>
        <w:t xml:space="preserve">, 20, </w:t>
      </w:r>
      <w:r w:rsidRPr="001D376A">
        <w:rPr>
          <w:noProof/>
        </w:rPr>
        <w:lastRenderedPageBreak/>
        <w:t>19–21.</w:t>
      </w:r>
    </w:p>
    <w:p w14:paraId="7AC15BA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Nasi, R. &amp; Fa, J.E. (2015). </w:t>
      </w:r>
      <w:r w:rsidRPr="001D376A">
        <w:rPr>
          <w:i/>
          <w:iCs/>
          <w:noProof/>
        </w:rPr>
        <w:t>The role of bushmeat in food security and nutrition. Paper presented in the XIV World Forestry Congress 7-11 September 2015</w:t>
      </w:r>
      <w:r w:rsidRPr="001D376A">
        <w:rPr>
          <w:noProof/>
        </w:rPr>
        <w:t>. Durban, South Africa.</w:t>
      </w:r>
    </w:p>
    <w:p w14:paraId="66E5E35E"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Nasi, R., Taber, A. &amp; van Vliet, N. (2011). </w:t>
      </w:r>
      <w:r w:rsidRPr="001D376A">
        <w:rPr>
          <w:noProof/>
        </w:rPr>
        <w:t xml:space="preserve">Empty forests, empty stomachs? Bushmeat and livelihoods in the Congo and Amazon Basins. </w:t>
      </w:r>
      <w:r w:rsidRPr="001D376A">
        <w:rPr>
          <w:i/>
          <w:iCs/>
          <w:noProof/>
        </w:rPr>
        <w:t>Int. For. Rev.</w:t>
      </w:r>
      <w:r w:rsidRPr="001D376A">
        <w:rPr>
          <w:noProof/>
        </w:rPr>
        <w:t>, 13, 355–368.</w:t>
      </w:r>
    </w:p>
    <w:p w14:paraId="1C5074E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Nellemann, C., Henriksen, R., Kreilhuber, A., Stewart, D., Kotsovou, M., Raxter, P., Mrema, E. &amp; Barrat, S. (2016). </w:t>
      </w:r>
      <w:r w:rsidRPr="001D376A">
        <w:rPr>
          <w:i/>
          <w:iCs/>
          <w:noProof/>
        </w:rPr>
        <w:t>The rise of environmental crime – a growing threat to natural resources peace, development and security. A UNEP- INTERPOL rapid response assessment</w:t>
      </w:r>
      <w:r w:rsidRPr="001D376A">
        <w:rPr>
          <w:noProof/>
        </w:rPr>
        <w:t>. United Nations Environment Programme and RHIPTO Rapid Response–Norwegian Center for Global Analyses.</w:t>
      </w:r>
    </w:p>
    <w:p w14:paraId="55A2718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Nelson, F. (2010). </w:t>
      </w:r>
      <w:r w:rsidRPr="001D376A">
        <w:rPr>
          <w:i/>
          <w:iCs/>
          <w:noProof/>
        </w:rPr>
        <w:t>Community rights, conservation and contested land: the politics of natural resource governance in Africa</w:t>
      </w:r>
      <w:r w:rsidRPr="001D376A">
        <w:rPr>
          <w:noProof/>
        </w:rPr>
        <w:t>. Earthscan, London, UK, and New York, USA.</w:t>
      </w:r>
    </w:p>
    <w:p w14:paraId="53EA222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Nelson, F. &amp; Agrawal, A. (2008). Patronage or participation? Community-based natural resource management reform in sub-Saharan Africa. </w:t>
      </w:r>
      <w:r w:rsidRPr="001D376A">
        <w:rPr>
          <w:i/>
          <w:iCs/>
          <w:noProof/>
        </w:rPr>
        <w:t>Dev. Chang.</w:t>
      </w:r>
      <w:r w:rsidRPr="001D376A">
        <w:rPr>
          <w:noProof/>
        </w:rPr>
        <w:t>, 39, 557–585.</w:t>
      </w:r>
    </w:p>
    <w:p w14:paraId="582E2C4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Newing, H. (2009). Unpicking “Community” in community conservation: Implications of changing settlement patterns and individial mobility for the Tamshiyacu Tahuayo Communal Reserve, Peru. In: </w:t>
      </w:r>
      <w:r w:rsidRPr="001D376A">
        <w:rPr>
          <w:i/>
          <w:iCs/>
          <w:noProof/>
        </w:rPr>
        <w:t>Mobil. Migr. Indig. Amaz. Contemp. Ethnoecological Perspect.</w:t>
      </w:r>
      <w:r w:rsidRPr="001D376A">
        <w:rPr>
          <w:noProof/>
        </w:rPr>
        <w:t xml:space="preserve"> (ed. Alexiades, M.). Berghahn Books, New York, USA, pp. 97–114.</w:t>
      </w:r>
    </w:p>
    <w:p w14:paraId="7E64A8E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Newing, H., Eagle, C.M., Puri, R.J. &amp; Watson, C.W. (2010). </w:t>
      </w:r>
      <w:r w:rsidRPr="001D376A">
        <w:rPr>
          <w:i/>
          <w:iCs/>
          <w:noProof/>
        </w:rPr>
        <w:t>Conducting research in conservation: Social science methods and practice</w:t>
      </w:r>
      <w:r w:rsidRPr="001D376A">
        <w:rPr>
          <w:noProof/>
        </w:rPr>
        <w:t>. Routledge, London, UK.</w:t>
      </w:r>
    </w:p>
    <w:p w14:paraId="76AFB5D2"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Ngoc, A.C. &amp; Wyatt, T. (2013). A green criminological exploration of illegal wildlife trade in Vietnam. </w:t>
      </w:r>
      <w:r w:rsidRPr="00814265">
        <w:rPr>
          <w:i/>
          <w:iCs/>
          <w:noProof/>
          <w:lang w:val="pt-BR"/>
        </w:rPr>
        <w:t>Asian Criminol.</w:t>
      </w:r>
      <w:r w:rsidRPr="00814265">
        <w:rPr>
          <w:noProof/>
          <w:lang w:val="pt-BR"/>
        </w:rPr>
        <w:t>, 8, 129–142.</w:t>
      </w:r>
    </w:p>
    <w:p w14:paraId="4DDF43AE"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Nguinguiri, J.C., Ampolo, A.N., Bivigou, A., Pambou, S. PacoBockandza, F. &amp; Ilama, L. (2016). </w:t>
      </w:r>
      <w:r w:rsidRPr="001D376A">
        <w:rPr>
          <w:noProof/>
        </w:rPr>
        <w:t xml:space="preserve">Shared areas within forest concessions in Central Africa: An opportunity for mainstreaming. </w:t>
      </w:r>
      <w:r w:rsidRPr="001D376A">
        <w:rPr>
          <w:i/>
          <w:iCs/>
          <w:noProof/>
        </w:rPr>
        <w:t>Nat. Faune</w:t>
      </w:r>
      <w:r w:rsidRPr="001D376A">
        <w:rPr>
          <w:noProof/>
        </w:rPr>
        <w:t>, 30, 27–29.</w:t>
      </w:r>
    </w:p>
    <w:p w14:paraId="093456F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Nielsen, M.R. &amp; Meilby, H. (2015). Hunting and trading bushmeat in the Kilombero Valley, Tanzania: motivations, cost-benefit ratios and meat prices. </w:t>
      </w:r>
      <w:r w:rsidRPr="001D376A">
        <w:rPr>
          <w:i/>
          <w:iCs/>
          <w:noProof/>
        </w:rPr>
        <w:t>Environ. Conserv.</w:t>
      </w:r>
      <w:r w:rsidRPr="001D376A">
        <w:rPr>
          <w:noProof/>
        </w:rPr>
        <w:t>, 42, 61–72.</w:t>
      </w:r>
    </w:p>
    <w:p w14:paraId="37F7D7C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Nielsen, M.R., Meilby, H., Smith-Hall, C., Pouliot, M. &amp; Treue, T. (2018). The Importance of Wild Meat in the Global South. </w:t>
      </w:r>
      <w:r w:rsidRPr="001D376A">
        <w:rPr>
          <w:i/>
          <w:iCs/>
          <w:noProof/>
        </w:rPr>
        <w:t>Ecol. Econ.</w:t>
      </w:r>
      <w:r w:rsidRPr="001D376A">
        <w:rPr>
          <w:noProof/>
        </w:rPr>
        <w:t>, 146, 696–705.</w:t>
      </w:r>
    </w:p>
    <w:p w14:paraId="3A1ED08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Nigenda, G. &amp; Gonzalez-Robledo., L.M. (2005). </w:t>
      </w:r>
      <w:r w:rsidRPr="001D376A">
        <w:rPr>
          <w:i/>
          <w:iCs/>
          <w:noProof/>
        </w:rPr>
        <w:t>Lessons offered by Latin American Cash transfer programs, Mexico’s Oppotunidades and Nicaragua’s SPN. Implications for African countries.</w:t>
      </w:r>
      <w:r w:rsidRPr="001D376A">
        <w:rPr>
          <w:noProof/>
        </w:rPr>
        <w:t xml:space="preserve"> UK Department for International Development’s (DFID’s) Health Systems Resource Centre (HSRC), London, UK.</w:t>
      </w:r>
    </w:p>
    <w:p w14:paraId="4B32AAF3"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Nijman, V. (2010). An overview of international wildlife trade from Southeast Asia. </w:t>
      </w:r>
      <w:r w:rsidRPr="00814265">
        <w:rPr>
          <w:i/>
          <w:iCs/>
          <w:noProof/>
          <w:lang w:val="pt-BR"/>
        </w:rPr>
        <w:t>Biodivers. Conserv.</w:t>
      </w:r>
      <w:r w:rsidRPr="00814265">
        <w:rPr>
          <w:noProof/>
          <w:lang w:val="pt-BR"/>
        </w:rPr>
        <w:t>, 19, 1101–1114.</w:t>
      </w:r>
    </w:p>
    <w:p w14:paraId="71D5194C"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Nogueira-Filho, S.L.G. &amp; Nogueira, S.S.C. (2004). </w:t>
      </w:r>
      <w:r w:rsidRPr="001D376A">
        <w:rPr>
          <w:noProof/>
        </w:rPr>
        <w:t xml:space="preserve">Captive breeding programs as an </w:t>
      </w:r>
      <w:r w:rsidRPr="001D376A">
        <w:rPr>
          <w:noProof/>
        </w:rPr>
        <w:lastRenderedPageBreak/>
        <w:t xml:space="preserve">alternative for wildlife conservation in Brazil. In: </w:t>
      </w:r>
      <w:r w:rsidRPr="001D376A">
        <w:rPr>
          <w:i/>
          <w:iCs/>
          <w:noProof/>
        </w:rPr>
        <w:t>People Nat. Wildl. Manag. Conserv. Lat. Am.</w:t>
      </w:r>
      <w:r w:rsidRPr="001D376A">
        <w:rPr>
          <w:noProof/>
        </w:rPr>
        <w:t xml:space="preserve"> (eds. Kirsten, S., Fragoso, J. &amp; Bodmer, R.). Columbia University Press, New York, pp. 171–190.</w:t>
      </w:r>
    </w:p>
    <w:p w14:paraId="17385D7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Nogueira, S.S.C. &amp; Nogueira-Filho, S.L.G. (2011). Wildlife farming: an alternative to unsustainable hunting and deforestation in Neotropical forests? </w:t>
      </w:r>
      <w:r w:rsidRPr="001D376A">
        <w:rPr>
          <w:i/>
          <w:iCs/>
          <w:noProof/>
        </w:rPr>
        <w:t>Biodivers. Conserv.</w:t>
      </w:r>
      <w:r w:rsidRPr="001D376A">
        <w:rPr>
          <w:noProof/>
        </w:rPr>
        <w:t>, 20, 1385–1397.</w:t>
      </w:r>
    </w:p>
    <w:p w14:paraId="6866649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Nooren, H. &amp; Claridge, G. (2001). </w:t>
      </w:r>
      <w:r w:rsidRPr="001D376A">
        <w:rPr>
          <w:i/>
          <w:iCs/>
          <w:noProof/>
        </w:rPr>
        <w:t>Wildlife trade in Laos: the end of the game</w:t>
      </w:r>
      <w:r w:rsidRPr="001D376A">
        <w:rPr>
          <w:noProof/>
        </w:rPr>
        <w:t>. IUCN-The World Conservation Union, Gland, Switzerland.</w:t>
      </w:r>
    </w:p>
    <w:p w14:paraId="3B2DBDD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Noss, A. (1995). </w:t>
      </w:r>
      <w:r w:rsidRPr="001D376A">
        <w:rPr>
          <w:i/>
          <w:iCs/>
          <w:noProof/>
        </w:rPr>
        <w:t>Duikers, cables, and nets: a cultural ecology of hunting in a Central African forest</w:t>
      </w:r>
      <w:r w:rsidRPr="001D376A">
        <w:rPr>
          <w:noProof/>
        </w:rPr>
        <w:t>. PhD Thesis, University of Florida, Gainesville, Florida, USA.</w:t>
      </w:r>
    </w:p>
    <w:p w14:paraId="64D8916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Noss, A.J. (1998). The impacts of cable snare hunting on wildlife populations in the forests of the Central African Republic. </w:t>
      </w:r>
      <w:r w:rsidRPr="001D376A">
        <w:rPr>
          <w:i/>
          <w:iCs/>
          <w:noProof/>
        </w:rPr>
        <w:t>Conserv. Biol.</w:t>
      </w:r>
      <w:r w:rsidRPr="001D376A">
        <w:rPr>
          <w:noProof/>
        </w:rPr>
        <w:t>, 12, 390–398.</w:t>
      </w:r>
    </w:p>
    <w:p w14:paraId="63502F3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Noss, A.J. (2000). Cable snares and nets in the Central African Republic. In: </w:t>
      </w:r>
      <w:r w:rsidRPr="001D376A">
        <w:rPr>
          <w:i/>
          <w:iCs/>
          <w:noProof/>
        </w:rPr>
        <w:t>Hunt. Sustain. Trop. For.</w:t>
      </w:r>
      <w:r w:rsidRPr="001D376A">
        <w:rPr>
          <w:noProof/>
        </w:rPr>
        <w:t xml:space="preserve"> (eds. Robinson, J.G. &amp; Bennett, E.L.). Columbia University Press, New York, USA, pp. 282–304.</w:t>
      </w:r>
    </w:p>
    <w:p w14:paraId="1630D77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Noss, A.J. &amp; Hewlett, B.S. (2001). The contexts of female hunting in Central Africa. </w:t>
      </w:r>
      <w:r w:rsidRPr="001D376A">
        <w:rPr>
          <w:i/>
          <w:iCs/>
          <w:noProof/>
        </w:rPr>
        <w:t>Am. Anthropol.</w:t>
      </w:r>
      <w:r w:rsidRPr="001D376A">
        <w:rPr>
          <w:noProof/>
        </w:rPr>
        <w:t>, 103, 1024–1040.</w:t>
      </w:r>
    </w:p>
    <w:p w14:paraId="6AC661F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Novaro, A.J., Redford, K.H. &amp; Bodmer, R.E. (2000). Effect of hunting in source-sink systems in the Neotropics. </w:t>
      </w:r>
      <w:r w:rsidRPr="001D376A">
        <w:rPr>
          <w:i/>
          <w:iCs/>
          <w:noProof/>
        </w:rPr>
        <w:t>Conserv. Biol.</w:t>
      </w:r>
      <w:r w:rsidRPr="001D376A">
        <w:rPr>
          <w:noProof/>
        </w:rPr>
        <w:t>, 14, 713–721.</w:t>
      </w:r>
    </w:p>
    <w:p w14:paraId="57AA39D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Ntiamoa-Baidu, Y. (1997). </w:t>
      </w:r>
      <w:r w:rsidRPr="001D376A">
        <w:rPr>
          <w:i/>
          <w:iCs/>
          <w:noProof/>
        </w:rPr>
        <w:t>Wildlife and food security in Africa. FAO Conservation Guide 33.</w:t>
      </w:r>
      <w:r w:rsidRPr="001D376A">
        <w:rPr>
          <w:noProof/>
        </w:rPr>
        <w:t xml:space="preserve"> Food and Agriculture Organization of the United Nations, Rome, Italy.</w:t>
      </w:r>
    </w:p>
    <w:p w14:paraId="3879F4F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Nuñez-Iturri, G. &amp; Howe, H.F. (2007). Bushmeat and the fate of trees with seeds dispersed by large primates in a lowland rain forest in western Amazonia. </w:t>
      </w:r>
      <w:r w:rsidRPr="001D376A">
        <w:rPr>
          <w:i/>
          <w:iCs/>
          <w:noProof/>
        </w:rPr>
        <w:t>Biotropica</w:t>
      </w:r>
      <w:r w:rsidRPr="001D376A">
        <w:rPr>
          <w:noProof/>
        </w:rPr>
        <w:t>, 39, 348–354.</w:t>
      </w:r>
    </w:p>
    <w:p w14:paraId="39B6F42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Nuno, A., Blumenthal, J.M., Austin, T.J., Bothwell, J., Ebanks-Petrie, G., Godley, B.J. &amp; Broderick, A.C. (2018). Understanding implications of consumer behavior for wildlife farming and sustainable wildlife trade. </w:t>
      </w:r>
      <w:r w:rsidRPr="001D376A">
        <w:rPr>
          <w:i/>
          <w:iCs/>
          <w:noProof/>
        </w:rPr>
        <w:t>Conserv. Biol.</w:t>
      </w:r>
      <w:r w:rsidRPr="001D376A">
        <w:rPr>
          <w:noProof/>
        </w:rPr>
        <w:t>, 32, 390–400.</w:t>
      </w:r>
    </w:p>
    <w:p w14:paraId="3AC263C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O’Brien, T.G. &amp; Kinnaird, M.F. (2000). Differential vulnerability of large birds and mam- mals to hunting in North Sulawesi, Indonesia and the outlook for the future. In: </w:t>
      </w:r>
      <w:r w:rsidRPr="001D376A">
        <w:rPr>
          <w:i/>
          <w:iCs/>
          <w:noProof/>
        </w:rPr>
        <w:t>Hunt. Sustain. Trop. For.</w:t>
      </w:r>
      <w:r w:rsidRPr="001D376A">
        <w:rPr>
          <w:noProof/>
        </w:rPr>
        <w:t xml:space="preserve"> (eds. Robinson, J.G. &amp; Bennett, E.L.). Columbia University Press, New York, USA, pp. 199–213.</w:t>
      </w:r>
    </w:p>
    <w:p w14:paraId="4E798AD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O’Kelly, H.J. (2013). </w:t>
      </w:r>
      <w:r w:rsidRPr="001D376A">
        <w:rPr>
          <w:i/>
          <w:iCs/>
          <w:noProof/>
        </w:rPr>
        <w:t>Monitoring conservation threats, interventions and impacts on wildlife in a Cambodian tropical forest</w:t>
      </w:r>
      <w:r w:rsidRPr="001D376A">
        <w:rPr>
          <w:noProof/>
        </w:rPr>
        <w:t>. PhD Thesis, Imperial College London, UK.</w:t>
      </w:r>
    </w:p>
    <w:p w14:paraId="27CFA4D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Oates, J.F., Abedi-Lartey, M., McGraw, W.S., Struhsaker, T.T. &amp; Whitesides, G.H. (2000). Extinction of a West African red colobus monkey. </w:t>
      </w:r>
      <w:r w:rsidRPr="001D376A">
        <w:rPr>
          <w:i/>
          <w:iCs/>
          <w:noProof/>
        </w:rPr>
        <w:t>Conserv. Biol.</w:t>
      </w:r>
      <w:r w:rsidRPr="001D376A">
        <w:rPr>
          <w:noProof/>
        </w:rPr>
        <w:t>, 14, 1526–1532.</w:t>
      </w:r>
    </w:p>
    <w:p w14:paraId="63F3539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Ogada, D.L. (2014). The power of poison: pesticide poisoning of Africa’s wildlife. </w:t>
      </w:r>
      <w:r w:rsidRPr="001D376A">
        <w:rPr>
          <w:i/>
          <w:iCs/>
          <w:noProof/>
        </w:rPr>
        <w:t>Ann. N. Y. Acad. Sci.</w:t>
      </w:r>
      <w:r w:rsidRPr="001D376A">
        <w:rPr>
          <w:noProof/>
        </w:rPr>
        <w:t>, 1322, 1–20.</w:t>
      </w:r>
    </w:p>
    <w:p w14:paraId="08DAF4B8"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Ohl-Schacherer, J., Shepard, G.H., Kaplan, H., Peres, C.A., Levi, T. &amp; Yu, D.W. (2007). The sustainability of subsistence hunting by Matsigenka native communities in Manu National Park, Peru. </w:t>
      </w:r>
      <w:r w:rsidRPr="001D376A">
        <w:rPr>
          <w:i/>
          <w:iCs/>
          <w:noProof/>
        </w:rPr>
        <w:t>Conserv. Biol.</w:t>
      </w:r>
      <w:r w:rsidRPr="001D376A">
        <w:rPr>
          <w:noProof/>
        </w:rPr>
        <w:t>, 21, 1174–1185.</w:t>
      </w:r>
    </w:p>
    <w:p w14:paraId="52EAEC0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Ojasti, J. (1991). Human exploitation of capybara. In: </w:t>
      </w:r>
      <w:r w:rsidRPr="001D376A">
        <w:rPr>
          <w:i/>
          <w:iCs/>
          <w:noProof/>
        </w:rPr>
        <w:t>Neotrop. Wildl. Use Conserv.</w:t>
      </w:r>
      <w:r w:rsidRPr="001D376A">
        <w:rPr>
          <w:noProof/>
        </w:rPr>
        <w:t xml:space="preserve"> (eds. Robinson, J.G. &amp; Redford, K.H.). University of Chicago Press, Chicago, USA, pp. 236–252.</w:t>
      </w:r>
    </w:p>
    <w:p w14:paraId="196E3A7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Ojasti, J. (1996). </w:t>
      </w:r>
      <w:r w:rsidRPr="001D376A">
        <w:rPr>
          <w:i/>
          <w:iCs/>
          <w:noProof/>
        </w:rPr>
        <w:t>Wildlife utilization in Latin America: current situation and prospects for sustainable management</w:t>
      </w:r>
      <w:r w:rsidRPr="001D376A">
        <w:rPr>
          <w:noProof/>
        </w:rPr>
        <w:t>. Food and Agriculture Organization of the United Nations (FAO), Rome, Italy.</w:t>
      </w:r>
    </w:p>
    <w:p w14:paraId="34C694B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Olmedo, A., Sharif, V. &amp; Milner-Gulland, E.J. (2018). Evaluating the design of behaviour change interventions: a case study of rhino horn in Vietnam. </w:t>
      </w:r>
      <w:r w:rsidRPr="001D376A">
        <w:rPr>
          <w:i/>
          <w:iCs/>
          <w:noProof/>
        </w:rPr>
        <w:t>Conserv. Lett.</w:t>
      </w:r>
      <w:r w:rsidRPr="001D376A">
        <w:rPr>
          <w:noProof/>
        </w:rPr>
        <w:t>, 11, e12365.</w:t>
      </w:r>
    </w:p>
    <w:p w14:paraId="414513D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Olson, M. (1965). </w:t>
      </w:r>
      <w:r w:rsidRPr="001D376A">
        <w:rPr>
          <w:i/>
          <w:iCs/>
          <w:noProof/>
        </w:rPr>
        <w:t>The logic of collective action</w:t>
      </w:r>
      <w:r w:rsidRPr="001D376A">
        <w:rPr>
          <w:noProof/>
        </w:rPr>
        <w:t>. Harvard University Press, Cambridge, MA, USA.</w:t>
      </w:r>
    </w:p>
    <w:p w14:paraId="1217F32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Olupot, W., Mcneilage, A.J. &amp; Plumptre, A.J. (2009). </w:t>
      </w:r>
      <w:r w:rsidRPr="001D376A">
        <w:rPr>
          <w:i/>
          <w:iCs/>
          <w:noProof/>
        </w:rPr>
        <w:t>An analysis of socioeconomics of bushmeat hunting at major hunting sites in uganda</w:t>
      </w:r>
      <w:r w:rsidRPr="001D376A">
        <w:rPr>
          <w:noProof/>
        </w:rPr>
        <w:t>. Working Paper 38, Wildlife Conservation Society (WCS), Kampala, Uganda.</w:t>
      </w:r>
    </w:p>
    <w:p w14:paraId="3BD71DC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Ordaz-Németh, I., Arandjelovic, M., Boesch, L., Gatiso, T., Grimes, T., Kuehl, H.S., Lormie, M., Stephens, C., Tweh, C. &amp; Junker, J. (2017). The socio-economic drivers of bushmeat consumption during the West African Ebola crisis. </w:t>
      </w:r>
      <w:r w:rsidRPr="001D376A">
        <w:rPr>
          <w:i/>
          <w:iCs/>
          <w:noProof/>
        </w:rPr>
        <w:t>PLoS Negl. Trop. Dis.</w:t>
      </w:r>
      <w:r w:rsidRPr="001D376A">
        <w:rPr>
          <w:noProof/>
        </w:rPr>
        <w:t>, 11, e0005450.</w:t>
      </w:r>
    </w:p>
    <w:p w14:paraId="469DCDC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Organ, J.F., Mahoney, S.P. &amp; Geist, V. (2010). Born in the hands of hunters: the North American model of wildlife conservation. </w:t>
      </w:r>
      <w:r w:rsidRPr="001D376A">
        <w:rPr>
          <w:i/>
          <w:iCs/>
          <w:noProof/>
        </w:rPr>
        <w:t>Willdlife Prof.</w:t>
      </w:r>
      <w:r w:rsidRPr="001D376A">
        <w:rPr>
          <w:noProof/>
        </w:rPr>
        <w:t>, 4, 22–27.</w:t>
      </w:r>
    </w:p>
    <w:p w14:paraId="2EED3D5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Ostrom, E. (1990). </w:t>
      </w:r>
      <w:r w:rsidRPr="001D376A">
        <w:rPr>
          <w:i/>
          <w:iCs/>
          <w:noProof/>
        </w:rPr>
        <w:t>Governing the Commons: The Evolution of Institutions for Collective Action</w:t>
      </w:r>
      <w:r w:rsidRPr="001D376A">
        <w:rPr>
          <w:noProof/>
        </w:rPr>
        <w:t>. Cambridge University Press, Cambridge.</w:t>
      </w:r>
    </w:p>
    <w:p w14:paraId="5E57F75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Ostrom, E. (2000). Collective action and the evolution of social norms. </w:t>
      </w:r>
      <w:r w:rsidRPr="001D376A">
        <w:rPr>
          <w:i/>
          <w:iCs/>
          <w:noProof/>
        </w:rPr>
        <w:t>J. Econ. Perspect.</w:t>
      </w:r>
      <w:r w:rsidRPr="001D376A">
        <w:rPr>
          <w:noProof/>
        </w:rPr>
        <w:t>, 14, 137–158.</w:t>
      </w:r>
    </w:p>
    <w:p w14:paraId="6FB8CDA6"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Ostrom, E. (2007). A diagnostic approach for going beyond panaceas. </w:t>
      </w:r>
      <w:r w:rsidRPr="00814265">
        <w:rPr>
          <w:i/>
          <w:iCs/>
          <w:noProof/>
          <w:lang w:val="pt-BR"/>
        </w:rPr>
        <w:t>Proc. Natl. Acad. Sci.</w:t>
      </w:r>
      <w:r w:rsidRPr="00814265">
        <w:rPr>
          <w:noProof/>
          <w:lang w:val="pt-BR"/>
        </w:rPr>
        <w:t>, 104, 15181–15187.</w:t>
      </w:r>
    </w:p>
    <w:p w14:paraId="1FB63B9D"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Padoch, C., Brondizio, E., Costa, S., Pinedo-Vasquez, M., Sears, R.R. &amp; Siqueira, A. (2008). </w:t>
      </w:r>
      <w:r w:rsidRPr="001D376A">
        <w:rPr>
          <w:noProof/>
        </w:rPr>
        <w:t xml:space="preserve">Urban forest and rural cities: multi-sited households, consumption patterns, and forest resources in Amazonia. </w:t>
      </w:r>
      <w:r w:rsidRPr="001D376A">
        <w:rPr>
          <w:i/>
          <w:iCs/>
          <w:noProof/>
        </w:rPr>
        <w:t>Ecol. Soc.</w:t>
      </w:r>
      <w:r w:rsidRPr="001D376A">
        <w:rPr>
          <w:noProof/>
        </w:rPr>
        <w:t>, 13, 2.</w:t>
      </w:r>
    </w:p>
    <w:p w14:paraId="2D19B58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Paine, R.T. (1966). Food web complexity and species diversity. </w:t>
      </w:r>
      <w:r w:rsidRPr="001D376A">
        <w:rPr>
          <w:i/>
          <w:iCs/>
          <w:noProof/>
        </w:rPr>
        <w:t>Am. Nat.</w:t>
      </w:r>
      <w:r w:rsidRPr="001D376A">
        <w:rPr>
          <w:noProof/>
        </w:rPr>
        <w:t>, 100, 65–75.</w:t>
      </w:r>
    </w:p>
    <w:p w14:paraId="4E54C39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Paine, R.T. (1969). A note on trophic complexity and community stability. </w:t>
      </w:r>
      <w:r w:rsidRPr="001D376A">
        <w:rPr>
          <w:i/>
          <w:iCs/>
          <w:noProof/>
        </w:rPr>
        <w:t>Am. Nat.</w:t>
      </w:r>
      <w:r w:rsidRPr="001D376A">
        <w:rPr>
          <w:noProof/>
        </w:rPr>
        <w:t>, 103, 91–93.</w:t>
      </w:r>
    </w:p>
    <w:p w14:paraId="24DF8A3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Pangau-Adam, M., Noske, R. &amp; Muehlenberg, M. (2012). Wildmeat or bushmeat? Subsistence hunting and commercial harvesting in Papua (West New Guinea), Indonesia. </w:t>
      </w:r>
      <w:r w:rsidRPr="001D376A">
        <w:rPr>
          <w:i/>
          <w:iCs/>
          <w:noProof/>
        </w:rPr>
        <w:t>Hum. Ecol.</w:t>
      </w:r>
      <w:r w:rsidRPr="001D376A">
        <w:rPr>
          <w:noProof/>
        </w:rPr>
        <w:t>, 40, 611–621.</w:t>
      </w:r>
    </w:p>
    <w:p w14:paraId="2EC7039A"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Parry, L., Barlow, J. &amp; Pereira, H. (2014). Wildlife harvest and consumption in Amazonia’s urbanized wilderness. </w:t>
      </w:r>
      <w:r w:rsidRPr="001D376A">
        <w:rPr>
          <w:i/>
          <w:iCs/>
          <w:noProof/>
        </w:rPr>
        <w:t>Conserv. Lett.</w:t>
      </w:r>
      <w:r w:rsidRPr="001D376A">
        <w:rPr>
          <w:noProof/>
        </w:rPr>
        <w:t>, 7, 565–574.</w:t>
      </w:r>
    </w:p>
    <w:p w14:paraId="23E202B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Parry, L., Barlow, J.O.S. &amp; Peres, C.A. (2009). Hunting for sustainability in tropical secondary forests. </w:t>
      </w:r>
      <w:r w:rsidRPr="001D376A">
        <w:rPr>
          <w:i/>
          <w:iCs/>
          <w:noProof/>
        </w:rPr>
        <w:t>Conserv. Biol.</w:t>
      </w:r>
      <w:r w:rsidRPr="001D376A">
        <w:rPr>
          <w:noProof/>
        </w:rPr>
        <w:t>, 23, 1270–1280.</w:t>
      </w:r>
    </w:p>
    <w:p w14:paraId="308DE85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Parry, L. &amp; Peres, C.A. (2015). Evaluating the use of local ecological knowledge to monitor hunted tropical- forest wildlife over large spatial scales. </w:t>
      </w:r>
      <w:r w:rsidRPr="001D376A">
        <w:rPr>
          <w:i/>
          <w:iCs/>
          <w:noProof/>
        </w:rPr>
        <w:t>Ecol. Soc.</w:t>
      </w:r>
      <w:r w:rsidRPr="001D376A">
        <w:rPr>
          <w:noProof/>
        </w:rPr>
        <w:t>, 20, 15.</w:t>
      </w:r>
    </w:p>
    <w:p w14:paraId="4F161EC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Pathak, N. (2009). </w:t>
      </w:r>
      <w:r w:rsidRPr="001D376A">
        <w:rPr>
          <w:i/>
          <w:iCs/>
          <w:noProof/>
        </w:rPr>
        <w:t>Community Conserved Areas in India: A Directory</w:t>
      </w:r>
      <w:r w:rsidRPr="001D376A">
        <w:rPr>
          <w:noProof/>
        </w:rPr>
        <w:t>. Kalpavriksh, Maharashtra, India.</w:t>
      </w:r>
    </w:p>
    <w:p w14:paraId="1EA695D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Peluso, D.M. &amp; Alexiades, M.N. (2005). Urban ethnogenesis begins at home: the making of self and place amidst Amazonia’s environmental economy. </w:t>
      </w:r>
      <w:r w:rsidRPr="001D376A">
        <w:rPr>
          <w:i/>
          <w:iCs/>
          <w:noProof/>
        </w:rPr>
        <w:t>Tradit. Dwellings Settlements Rev.</w:t>
      </w:r>
      <w:r w:rsidRPr="001D376A">
        <w:rPr>
          <w:noProof/>
        </w:rPr>
        <w:t>, 16, 1–10.</w:t>
      </w:r>
    </w:p>
    <w:p w14:paraId="77CF877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Pereira, J.P.R. &amp; Schiavetti, A. (2010). </w:t>
      </w:r>
      <w:r w:rsidRPr="00814265">
        <w:rPr>
          <w:noProof/>
          <w:lang w:val="pt-BR"/>
        </w:rPr>
        <w:t xml:space="preserve">Conhecimentos e usos da fauna cinegética pelos caçadores indígenas “Tupinambá de Olivença” (Bahia). </w:t>
      </w:r>
      <w:r w:rsidRPr="001D376A">
        <w:rPr>
          <w:i/>
          <w:iCs/>
          <w:noProof/>
        </w:rPr>
        <w:t>Biota Neotrop.</w:t>
      </w:r>
      <w:r w:rsidRPr="001D376A">
        <w:rPr>
          <w:noProof/>
        </w:rPr>
        <w:t>, 10, 175–183.</w:t>
      </w:r>
    </w:p>
    <w:p w14:paraId="6F8CADB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Peres, C.A. (2000a). Evaluating the impact and sustainability of subsistence hunting at multiple Amazonian forest sites. In: </w:t>
      </w:r>
      <w:r w:rsidRPr="001D376A">
        <w:rPr>
          <w:i/>
          <w:iCs/>
          <w:noProof/>
        </w:rPr>
        <w:t>Hunt. Sustain. Trop. For.</w:t>
      </w:r>
      <w:r w:rsidRPr="001D376A">
        <w:rPr>
          <w:noProof/>
        </w:rPr>
        <w:t xml:space="preserve"> (eds. Robinson, J.G. &amp; Bennett, E.L.). Columbia University Press, New York, USA, pp. 31–56.</w:t>
      </w:r>
    </w:p>
    <w:p w14:paraId="02F0CBB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Peres, C.A. (2000b). Effects of subsistence hunting on vertebrate community structure in Amazonian forests. </w:t>
      </w:r>
      <w:r w:rsidRPr="001D376A">
        <w:rPr>
          <w:i/>
          <w:iCs/>
          <w:noProof/>
        </w:rPr>
        <w:t>Conserv. Biol.</w:t>
      </w:r>
      <w:r w:rsidRPr="001D376A">
        <w:rPr>
          <w:noProof/>
        </w:rPr>
        <w:t>, 14, 240–253.</w:t>
      </w:r>
    </w:p>
    <w:p w14:paraId="6AC36ED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Peres, C.A. &amp; Dolman, P. (2000). Density compensation in neotropical primate communities: evidence from 56 hunted and nonhunted Amazonian forests of varying productivity. </w:t>
      </w:r>
      <w:r w:rsidRPr="001D376A">
        <w:rPr>
          <w:i/>
          <w:iCs/>
          <w:noProof/>
        </w:rPr>
        <w:t>Oecologia</w:t>
      </w:r>
      <w:r w:rsidRPr="001D376A">
        <w:rPr>
          <w:noProof/>
        </w:rPr>
        <w:t>, 122, 175–189.</w:t>
      </w:r>
    </w:p>
    <w:p w14:paraId="6680F02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Peres, C.A. &amp; Nascimento, H.S. (2006). Impact of game hunting by the Kayapo of south-eastern Amazonia: implications for wildlife conservation in tropical forest indigenous reserves. </w:t>
      </w:r>
      <w:r w:rsidRPr="001D376A">
        <w:rPr>
          <w:i/>
          <w:iCs/>
          <w:noProof/>
        </w:rPr>
        <w:t>Biodivers. Conserv.</w:t>
      </w:r>
      <w:r w:rsidRPr="001D376A">
        <w:rPr>
          <w:noProof/>
        </w:rPr>
        <w:t>, 15, 2627–2653.</w:t>
      </w:r>
    </w:p>
    <w:p w14:paraId="7B89C6C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Peres, C.A. &amp; Palacios, E. (2007). Basin‐wide effects of game harvest on vertebrate population densities in Amazonian forests: implications for animal‐mediated seed dispersal. </w:t>
      </w:r>
      <w:r w:rsidRPr="001D376A">
        <w:rPr>
          <w:i/>
          <w:iCs/>
          <w:noProof/>
        </w:rPr>
        <w:t>Biotropica</w:t>
      </w:r>
      <w:r w:rsidRPr="001D376A">
        <w:rPr>
          <w:noProof/>
        </w:rPr>
        <w:t>, 39, 304–315.</w:t>
      </w:r>
    </w:p>
    <w:p w14:paraId="6F9CC757"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Peres, C.A., Thaise, E., Schietti, J., Desmoulieres, S.J.M. &amp; Levi, T. (2016). Dispersal limitation induces long-term biomass collapse in overhunted Amazonian forests. </w:t>
      </w:r>
      <w:r w:rsidRPr="00814265">
        <w:rPr>
          <w:i/>
          <w:iCs/>
          <w:noProof/>
          <w:lang w:val="pt-BR"/>
        </w:rPr>
        <w:t>Proc. Natl. Acad. Sci. U. S. A.</w:t>
      </w:r>
      <w:r w:rsidRPr="00814265">
        <w:rPr>
          <w:noProof/>
          <w:lang w:val="pt-BR"/>
        </w:rPr>
        <w:t>, 113, 892–897.</w:t>
      </w:r>
    </w:p>
    <w:p w14:paraId="6C985435"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Petrozzi, F., Amori, G., Franco, D., Gaubert, P., Pacini, N., Eniang, E.A., Akani, G.C., Politano, E. &amp; Luiselli, L. (2016). </w:t>
      </w:r>
      <w:r w:rsidRPr="001D376A">
        <w:rPr>
          <w:noProof/>
        </w:rPr>
        <w:t xml:space="preserve">Ecology of the bushmeat trade in West and Central Africa. </w:t>
      </w:r>
      <w:r w:rsidRPr="00814265">
        <w:rPr>
          <w:i/>
          <w:iCs/>
          <w:noProof/>
          <w:lang w:val="pt-BR"/>
        </w:rPr>
        <w:t>Trop. Ecol.</w:t>
      </w:r>
      <w:r w:rsidRPr="00814265">
        <w:rPr>
          <w:noProof/>
          <w:lang w:val="pt-BR"/>
        </w:rPr>
        <w:t>, 57, 545–557.</w:t>
      </w:r>
    </w:p>
    <w:p w14:paraId="2AE35BFB"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Pezzuti, J.C.B., Lima, J.P., da Silva, D.F. &amp; Begossi, A. (2010). </w:t>
      </w:r>
      <w:r w:rsidRPr="001D376A">
        <w:rPr>
          <w:noProof/>
        </w:rPr>
        <w:t xml:space="preserve">Uses and taboos of turtles and tortoises along Rio Negro, Amazon Basin. </w:t>
      </w:r>
      <w:r w:rsidRPr="001D376A">
        <w:rPr>
          <w:i/>
          <w:iCs/>
          <w:noProof/>
        </w:rPr>
        <w:t>J. Ethnobiol.</w:t>
      </w:r>
      <w:r w:rsidRPr="001D376A">
        <w:rPr>
          <w:noProof/>
        </w:rPr>
        <w:t>, 30, 153–168.</w:t>
      </w:r>
    </w:p>
    <w:p w14:paraId="6F4C873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Phelps, J., Carrasco, L.R. &amp; Webb, E.L. (2014). A framework for assessing supply-side wildlife conservation. </w:t>
      </w:r>
      <w:r w:rsidRPr="001D376A">
        <w:rPr>
          <w:i/>
          <w:iCs/>
          <w:noProof/>
        </w:rPr>
        <w:t>Conserv. Biol.</w:t>
      </w:r>
      <w:r w:rsidRPr="001D376A">
        <w:rPr>
          <w:noProof/>
        </w:rPr>
        <w:t>, 28, 244–257.</w:t>
      </w:r>
    </w:p>
    <w:p w14:paraId="65EC63C8"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Pires, S.F. &amp; Moreto, W.D. (2011). Preventing Wildlife Crimes: Solutions That Can Overcome the “Tragedy of the Commons.” </w:t>
      </w:r>
      <w:r w:rsidRPr="001D376A">
        <w:rPr>
          <w:i/>
          <w:iCs/>
          <w:noProof/>
        </w:rPr>
        <w:t>Eur. J. Crim. Policy Res.</w:t>
      </w:r>
      <w:r w:rsidRPr="001D376A">
        <w:rPr>
          <w:noProof/>
        </w:rPr>
        <w:t>, 17, 101–123.</w:t>
      </w:r>
    </w:p>
    <w:p w14:paraId="38BCD3F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Plumptre, A.J., Nixon, S., Kujirakwinja, D.K., Vieilledent, G., Critchlow, R., Williamson, E.A., Nishuli, R., Kirkby, A.E. &amp; Hall, J.S. (2016). Catastrophic decline of world’s largest primate: 80% loss of grauer’s gorilla (Gorilla beringei graueri) population justifies critically endangered status. </w:t>
      </w:r>
      <w:r w:rsidRPr="001D376A">
        <w:rPr>
          <w:i/>
          <w:iCs/>
          <w:noProof/>
        </w:rPr>
        <w:t>PLoS One</w:t>
      </w:r>
      <w:r w:rsidRPr="001D376A">
        <w:rPr>
          <w:noProof/>
        </w:rPr>
        <w:t>, 11, 1–13.</w:t>
      </w:r>
    </w:p>
    <w:p w14:paraId="3F1D4CB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Potapov, P., Hansen, M.C., Laestadius, L., Turubanova, S., Yaroshenko, A., Thies, C., Smith, W., Zhuravleva, I., Komarova, A., Minnemeyer, S. &amp; Esipova, E. (2017). The last frontiers of wilderness: tracking loss of intact forest landscapes from 2000 to 2013. </w:t>
      </w:r>
      <w:r w:rsidRPr="001D376A">
        <w:rPr>
          <w:i/>
          <w:iCs/>
          <w:noProof/>
        </w:rPr>
        <w:t>Sci. Adv.</w:t>
      </w:r>
      <w:r w:rsidRPr="001D376A">
        <w:rPr>
          <w:noProof/>
        </w:rPr>
        <w:t>, 3, 1–14.</w:t>
      </w:r>
    </w:p>
    <w:p w14:paraId="62146D4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Poulsen, J.R., Clark, C.J. &amp; Bolker, B.M. (2011). Decoupling the effects of logging and hunting on an afrotropical animal community. </w:t>
      </w:r>
      <w:r w:rsidRPr="001D376A">
        <w:rPr>
          <w:i/>
          <w:iCs/>
          <w:noProof/>
        </w:rPr>
        <w:t>Ecol. Appl.</w:t>
      </w:r>
      <w:r w:rsidRPr="001D376A">
        <w:rPr>
          <w:noProof/>
        </w:rPr>
        <w:t>, 21, 1819–1836.</w:t>
      </w:r>
    </w:p>
    <w:p w14:paraId="44B13F7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Poulsen, J.R., Clark, C.J., Mavah, G. &amp; Elkan, P.W. (2009). Bushmeat supply and consumption in a tropical logging concession in northern Congo. </w:t>
      </w:r>
      <w:r w:rsidRPr="001D376A">
        <w:rPr>
          <w:i/>
          <w:iCs/>
          <w:noProof/>
        </w:rPr>
        <w:t>Conserv. Biol.</w:t>
      </w:r>
      <w:r w:rsidRPr="001D376A">
        <w:rPr>
          <w:noProof/>
        </w:rPr>
        <w:t>, 23, 1597–1608.</w:t>
      </w:r>
    </w:p>
    <w:p w14:paraId="5EDCB00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Poulsen, J.R., Clark, C.J. &amp; Palmer, T.M. (2013). Ecological erosion of an Afrotropical forest and potential consequences for tree recruitment and forest biomass. </w:t>
      </w:r>
      <w:r w:rsidRPr="001D376A">
        <w:rPr>
          <w:i/>
          <w:iCs/>
          <w:noProof/>
        </w:rPr>
        <w:t>Biol. Conserv.</w:t>
      </w:r>
      <w:r w:rsidRPr="001D376A">
        <w:rPr>
          <w:noProof/>
        </w:rPr>
        <w:t>, 163, 122–130.</w:t>
      </w:r>
    </w:p>
    <w:p w14:paraId="535A5A7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Prado, H.M., Forline, L.C. &amp; Kipnis, R. (2012). Hunting practices among the Awá-Guajá: towards a long-term analysis of sustainability in an Amazonian indigenous community. </w:t>
      </w:r>
      <w:r w:rsidRPr="001D376A">
        <w:rPr>
          <w:i/>
          <w:iCs/>
          <w:noProof/>
        </w:rPr>
        <w:t>Bol. Mus. Para. Emilio Goeldi Ciencias Humanas</w:t>
      </w:r>
      <w:r w:rsidRPr="001D376A">
        <w:rPr>
          <w:noProof/>
        </w:rPr>
        <w:t>, 7, 479–491.</w:t>
      </w:r>
    </w:p>
    <w:p w14:paraId="4C4DFB4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PROFOR &amp; IUCN. (2010). </w:t>
      </w:r>
      <w:r w:rsidRPr="001D376A">
        <w:rPr>
          <w:i/>
          <w:iCs/>
          <w:noProof/>
        </w:rPr>
        <w:t>Poverty-Forests Linkages Toolkit: overview and national level engagement</w:t>
      </w:r>
      <w:r w:rsidRPr="001D376A">
        <w:rPr>
          <w:noProof/>
        </w:rPr>
        <w:t>.</w:t>
      </w:r>
    </w:p>
    <w:p w14:paraId="66AD770E"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Pullin, A.S. &amp; Knight, T.M. (2001). Effectiveness in conservation practice: pointers from medicine and public health. </w:t>
      </w:r>
      <w:r w:rsidRPr="00814265">
        <w:rPr>
          <w:i/>
          <w:iCs/>
          <w:noProof/>
          <w:lang w:val="pt-BR"/>
        </w:rPr>
        <w:t>Conserv. Biol.</w:t>
      </w:r>
      <w:r w:rsidRPr="00814265">
        <w:rPr>
          <w:noProof/>
          <w:lang w:val="pt-BR"/>
        </w:rPr>
        <w:t>, 15, 50–54.</w:t>
      </w:r>
    </w:p>
    <w:p w14:paraId="27BD50FE"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Queiroz, H.L. &amp; Peralta, N. (2006). Reserva de Desenvolvimento Sustentável: Manejo Integrado de Recursos Naturais e Gestão Participativa. In: </w:t>
      </w:r>
      <w:r w:rsidRPr="00814265">
        <w:rPr>
          <w:i/>
          <w:iCs/>
          <w:noProof/>
          <w:lang w:val="pt-BR"/>
        </w:rPr>
        <w:t>Dimens. Humanas da Biodiversidade.</w:t>
      </w:r>
      <w:r w:rsidRPr="00814265">
        <w:rPr>
          <w:noProof/>
          <w:lang w:val="pt-BR"/>
        </w:rPr>
        <w:t xml:space="preserve"> (eds. Garay, I. &amp; Becker, B.K.).</w:t>
      </w:r>
    </w:p>
    <w:p w14:paraId="24D8F23F"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Queiroz, H.L. &amp; Peralta, N. (2010). </w:t>
      </w:r>
      <w:r w:rsidRPr="001D376A">
        <w:rPr>
          <w:noProof/>
        </w:rPr>
        <w:t xml:space="preserve">Protected Areas in the Amazonian Várzea and their Role in its Conservation: The Case of Mamirauá Sustainable Development Reserve (MSDR). In: </w:t>
      </w:r>
      <w:r w:rsidRPr="001D376A">
        <w:rPr>
          <w:i/>
          <w:iCs/>
          <w:noProof/>
        </w:rPr>
        <w:t>Amaz. Floodplain For. Ecol. Stud. (Analysis Synth. vol 210</w:t>
      </w:r>
      <w:r w:rsidRPr="001D376A">
        <w:rPr>
          <w:noProof/>
        </w:rPr>
        <w:t xml:space="preserve"> (eds. Junk, W., Piedade, M., Wittmann, F., Schöngart, J. &amp; Parolin, P.).</w:t>
      </w:r>
    </w:p>
    <w:p w14:paraId="31D229CA"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Quinn, T.J. &amp; Collie, J.S. (2005). </w:t>
      </w:r>
      <w:r w:rsidRPr="001D376A">
        <w:rPr>
          <w:noProof/>
        </w:rPr>
        <w:t xml:space="preserve">Sustainability in single-species population models. </w:t>
      </w:r>
      <w:r w:rsidRPr="001D376A">
        <w:rPr>
          <w:i/>
          <w:iCs/>
          <w:noProof/>
        </w:rPr>
        <w:t>Philos. Trans. R. Soc. B Biol. Sci.</w:t>
      </w:r>
      <w:r w:rsidRPr="001D376A">
        <w:rPr>
          <w:noProof/>
        </w:rPr>
        <w:t>, 360, 147–162.</w:t>
      </w:r>
    </w:p>
    <w:p w14:paraId="6699E81F"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Ráez-Luna, E.F. (1995). Hunting large primates and conservation of the Neotropical rain forests. </w:t>
      </w:r>
      <w:r w:rsidRPr="00814265">
        <w:rPr>
          <w:i/>
          <w:iCs/>
          <w:noProof/>
          <w:lang w:val="pt-BR"/>
        </w:rPr>
        <w:t>Oryx</w:t>
      </w:r>
      <w:r w:rsidRPr="00814265">
        <w:rPr>
          <w:noProof/>
          <w:lang w:val="pt-BR"/>
        </w:rPr>
        <w:t>, 29, 43–48.</w:t>
      </w:r>
    </w:p>
    <w:p w14:paraId="396AE0E0"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Raheem, D., Carrascosa, C., Oluwole, O.B., Nieuwland, M., Saraiva, A., Millán, R. &amp; Raposo, A. (2018). </w:t>
      </w:r>
      <w:r w:rsidRPr="001D376A">
        <w:rPr>
          <w:noProof/>
        </w:rPr>
        <w:t xml:space="preserve">Traditional consumption of and rearing edible insects in Africa, Asia and Europe. </w:t>
      </w:r>
      <w:r w:rsidRPr="001D376A">
        <w:rPr>
          <w:i/>
          <w:iCs/>
          <w:noProof/>
        </w:rPr>
        <w:t>Crit. Rev. Food Sci. Nutr.</w:t>
      </w:r>
      <w:r w:rsidRPr="001D376A">
        <w:rPr>
          <w:noProof/>
        </w:rPr>
        <w:t>, 8398, 1–20.</w:t>
      </w:r>
    </w:p>
    <w:p w14:paraId="5441D5A1"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Rainforest Alliance. (2017). </w:t>
      </w:r>
      <w:r w:rsidRPr="001D376A">
        <w:rPr>
          <w:i/>
          <w:iCs/>
          <w:noProof/>
        </w:rPr>
        <w:t>Guide for Free, Prior and Informed Consent (FPIC) processes</w:t>
      </w:r>
      <w:r w:rsidRPr="001D376A">
        <w:rPr>
          <w:noProof/>
        </w:rPr>
        <w:t>.</w:t>
      </w:r>
    </w:p>
    <w:p w14:paraId="7CAD5CAC" w14:textId="77777777" w:rsidR="001D376A" w:rsidRPr="001D376A" w:rsidRDefault="001D376A" w:rsidP="001D376A">
      <w:pPr>
        <w:widowControl w:val="0"/>
        <w:autoSpaceDE w:val="0"/>
        <w:autoSpaceDN w:val="0"/>
        <w:adjustRightInd w:val="0"/>
        <w:ind w:left="480" w:hanging="480"/>
        <w:rPr>
          <w:noProof/>
        </w:rPr>
      </w:pPr>
      <w:r w:rsidRPr="001D376A">
        <w:rPr>
          <w:noProof/>
        </w:rPr>
        <w:t>Rainforest Alliance. (2018). Mapping for Rights: putting community on the map (accessed on...) [WWW Document]. URL https://www.mappingforrights.org</w:t>
      </w:r>
    </w:p>
    <w:p w14:paraId="21C934DD" w14:textId="77777777" w:rsidR="001D376A" w:rsidRPr="001D376A" w:rsidRDefault="001D376A" w:rsidP="001D376A">
      <w:pPr>
        <w:widowControl w:val="0"/>
        <w:autoSpaceDE w:val="0"/>
        <w:autoSpaceDN w:val="0"/>
        <w:adjustRightInd w:val="0"/>
        <w:ind w:left="480" w:hanging="480"/>
        <w:rPr>
          <w:noProof/>
        </w:rPr>
      </w:pPr>
      <w:r w:rsidRPr="001D376A">
        <w:rPr>
          <w:noProof/>
        </w:rPr>
        <w:t>Rainforest Foundation UK. (2018). Mapping for Rights: Putting Rainforest Communities on the Map.</w:t>
      </w:r>
    </w:p>
    <w:p w14:paraId="3EFDB7D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Raksakantong, P., Meeso, N., Kubola, J. &amp; Siriamornpun, S. (2010). Fatty acids and proximate composition of eight Thai edible terricolous insects. </w:t>
      </w:r>
      <w:r w:rsidRPr="001D376A">
        <w:rPr>
          <w:i/>
          <w:iCs/>
          <w:noProof/>
        </w:rPr>
        <w:t>Food Res. Int.</w:t>
      </w:r>
      <w:r w:rsidRPr="001D376A">
        <w:rPr>
          <w:noProof/>
        </w:rPr>
        <w:t>, 43, 350–355.</w:t>
      </w:r>
    </w:p>
    <w:p w14:paraId="268347E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Ramos-Elorduy, J. (2009). Anthropo-entomophagy: Cultures, evolution and sustainability. </w:t>
      </w:r>
      <w:r w:rsidRPr="001D376A">
        <w:rPr>
          <w:i/>
          <w:iCs/>
          <w:noProof/>
        </w:rPr>
        <w:t>Entomol. Res.</w:t>
      </w:r>
      <w:r w:rsidRPr="001D376A">
        <w:rPr>
          <w:noProof/>
        </w:rPr>
        <w:t>, 39, 271–288.</w:t>
      </w:r>
    </w:p>
    <w:p w14:paraId="1569CEE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Randolph, S. &amp; Stiles, D. (2011). </w:t>
      </w:r>
      <w:r w:rsidRPr="001D376A">
        <w:rPr>
          <w:i/>
          <w:iCs/>
          <w:noProof/>
        </w:rPr>
        <w:t>Elephant Meat Trade in Central Africa Cameroon Case Study</w:t>
      </w:r>
      <w:r w:rsidRPr="001D376A">
        <w:rPr>
          <w:noProof/>
        </w:rPr>
        <w:t>. IUCN, Gland, Switzerland.</w:t>
      </w:r>
    </w:p>
    <w:p w14:paraId="1733E61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Rao, M., Htun, S., Zaw, T. &amp; Myint, T. (2010). Hunting, livelihoods and declining wildlife in the Hponkanrazi wildlife sanctuary, North Myanmar. </w:t>
      </w:r>
      <w:r w:rsidRPr="001D376A">
        <w:rPr>
          <w:i/>
          <w:iCs/>
          <w:noProof/>
        </w:rPr>
        <w:t>Environ. Manage.</w:t>
      </w:r>
      <w:r w:rsidRPr="001D376A">
        <w:rPr>
          <w:noProof/>
        </w:rPr>
        <w:t>, 46, 143–153.</w:t>
      </w:r>
    </w:p>
    <w:p w14:paraId="3D0EB63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Rao, M. &amp; McGowan, P.J.K. (2002). Wild-meat use, food security, livelihoods, and conservation. </w:t>
      </w:r>
      <w:r w:rsidRPr="001D376A">
        <w:rPr>
          <w:i/>
          <w:iCs/>
          <w:noProof/>
        </w:rPr>
        <w:t>Conserv. Biol.</w:t>
      </w:r>
      <w:r w:rsidRPr="001D376A">
        <w:rPr>
          <w:noProof/>
        </w:rPr>
        <w:t>, 16, 580–583.</w:t>
      </w:r>
    </w:p>
    <w:p w14:paraId="7871BFE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Raubenheimer, D. &amp; Rothman, J.M. (2013). Nutritional Ecology of Entomophagy in Humans and Other Primates. </w:t>
      </w:r>
      <w:r w:rsidRPr="001D376A">
        <w:rPr>
          <w:i/>
          <w:iCs/>
          <w:noProof/>
        </w:rPr>
        <w:t>Annu. Rev. Entomol.</w:t>
      </w:r>
      <w:r w:rsidRPr="001D376A">
        <w:rPr>
          <w:noProof/>
        </w:rPr>
        <w:t>, 58, 141–160.</w:t>
      </w:r>
    </w:p>
    <w:p w14:paraId="3EDC3C9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Redford, K. (1992). The empty forest. </w:t>
      </w:r>
      <w:r w:rsidRPr="001D376A">
        <w:rPr>
          <w:i/>
          <w:iCs/>
          <w:noProof/>
        </w:rPr>
        <w:t>Bioscience</w:t>
      </w:r>
      <w:r w:rsidRPr="001D376A">
        <w:rPr>
          <w:noProof/>
        </w:rPr>
        <w:t>, 42, 412–422.</w:t>
      </w:r>
    </w:p>
    <w:p w14:paraId="220E2D5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Redford, K.H. &amp; Feinsinger, P. (2001). The half-empty forest: sustainable use and the ecology of interactions. In: </w:t>
      </w:r>
      <w:r w:rsidRPr="001D376A">
        <w:rPr>
          <w:i/>
          <w:iCs/>
          <w:noProof/>
        </w:rPr>
        <w:t>Conserv. Exploit. Species</w:t>
      </w:r>
      <w:r w:rsidRPr="001D376A">
        <w:rPr>
          <w:noProof/>
        </w:rPr>
        <w:t xml:space="preserve"> (eds. Reynolds, J.D., Mace, G.M., Redford, K.H. &amp; Robinson, J.G.). Cambridge University Press, Cambridge, UK, pp. 370–399.</w:t>
      </w:r>
    </w:p>
    <w:p w14:paraId="14ED9E4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Redmond, I., Aldred, T., Jedamzik, K. &amp; Westwood, M. (2006). </w:t>
      </w:r>
      <w:r w:rsidRPr="001D376A">
        <w:rPr>
          <w:i/>
          <w:iCs/>
          <w:noProof/>
        </w:rPr>
        <w:t>Recipes for survival: controlling the bushmeat trade</w:t>
      </w:r>
      <w:r w:rsidRPr="001D376A">
        <w:rPr>
          <w:noProof/>
        </w:rPr>
        <w:t>. Ape Alliance and World Society for the Protection of Animals, London, UK.</w:t>
      </w:r>
    </w:p>
    <w:p w14:paraId="7ADDA417"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Reis, M. &amp; Souza, P.R. (2001). </w:t>
      </w:r>
      <w:r w:rsidRPr="00814265">
        <w:rPr>
          <w:i/>
          <w:iCs/>
          <w:noProof/>
          <w:lang w:val="pt-BR"/>
        </w:rPr>
        <w:t>Sistema de Fiscalização na Reserva de Desenvolvimento Sustentável Mamirauá. Relatório interno.</w:t>
      </w:r>
      <w:r w:rsidRPr="00814265">
        <w:rPr>
          <w:noProof/>
          <w:lang w:val="pt-BR"/>
        </w:rPr>
        <w:t xml:space="preserve"> Instituto de Desenvolvimento Sustentável Mamirauá Instituto de Desenvolvimento Sustentável Mamirauá, Tefe, Brasil.</w:t>
      </w:r>
    </w:p>
    <w:p w14:paraId="23ECFD32"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Renan de Andrade Melo, É., Gadelha, J.R., Silva, M. de N.D. da, Júnior, A.P. da S. &amp; Pontes, A.R.M. (2015). </w:t>
      </w:r>
      <w:r w:rsidRPr="001D376A">
        <w:rPr>
          <w:noProof/>
        </w:rPr>
        <w:t xml:space="preserve">Diversity, abundance and the impact of hunting on large mammals in two contrasting forest sites in northern amazon. </w:t>
      </w:r>
      <w:r w:rsidRPr="001D376A">
        <w:rPr>
          <w:i/>
          <w:iCs/>
          <w:noProof/>
        </w:rPr>
        <w:t>Wildlife Biol.</w:t>
      </w:r>
      <w:r w:rsidRPr="001D376A">
        <w:rPr>
          <w:noProof/>
        </w:rPr>
        <w:t>, 21, 234–245.</w:t>
      </w:r>
    </w:p>
    <w:p w14:paraId="55BA1DF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Rentsch, D. &amp; Damon, A. (2013). Prices, poaching, and protein alternatives: An analysis of bushmeat consumption around Serengeti National Park, Tanzania. </w:t>
      </w:r>
      <w:r w:rsidRPr="001D376A">
        <w:rPr>
          <w:i/>
          <w:iCs/>
          <w:noProof/>
        </w:rPr>
        <w:t>Ecol. Econ.</w:t>
      </w:r>
      <w:r w:rsidRPr="001D376A">
        <w:rPr>
          <w:noProof/>
        </w:rPr>
        <w:t>, 91, 1–9.</w:t>
      </w:r>
    </w:p>
    <w:p w14:paraId="601B518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Ribot, J.C. (1999). </w:t>
      </w:r>
      <w:r w:rsidRPr="001D376A">
        <w:rPr>
          <w:i/>
          <w:iCs/>
          <w:noProof/>
        </w:rPr>
        <w:t>Framework for environmental governance</w:t>
      </w:r>
      <w:r w:rsidRPr="001D376A">
        <w:rPr>
          <w:noProof/>
        </w:rPr>
        <w:t>. World Resources Institute, Washington, D.C.</w:t>
      </w:r>
    </w:p>
    <w:p w14:paraId="1314BED5"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Ribot, J.C. &amp; Larson, A.M. (2013). </w:t>
      </w:r>
      <w:r w:rsidRPr="001D376A">
        <w:rPr>
          <w:i/>
          <w:iCs/>
          <w:noProof/>
        </w:rPr>
        <w:t>Democratic decentralisation through a natural resource lens: cases from Africa, Asia and Latin America</w:t>
      </w:r>
      <w:r w:rsidRPr="001D376A">
        <w:rPr>
          <w:noProof/>
        </w:rPr>
        <w:t>. Routledge.</w:t>
      </w:r>
    </w:p>
    <w:p w14:paraId="1DE9A9BA" w14:textId="77777777" w:rsidR="001D376A" w:rsidRPr="001D376A" w:rsidRDefault="001D376A" w:rsidP="001D376A">
      <w:pPr>
        <w:widowControl w:val="0"/>
        <w:autoSpaceDE w:val="0"/>
        <w:autoSpaceDN w:val="0"/>
        <w:adjustRightInd w:val="0"/>
        <w:ind w:left="480" w:hanging="480"/>
        <w:rPr>
          <w:noProof/>
        </w:rPr>
      </w:pPr>
      <w:r w:rsidRPr="001D376A">
        <w:rPr>
          <w:noProof/>
        </w:rPr>
        <w:t>Rights and Resources Initiative. (2015). Who owns the Worlds land? A global baseline of formally recognized indigenous and community land rights, 56.</w:t>
      </w:r>
    </w:p>
    <w:p w14:paraId="28210ED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Ripple, W.J., Abernethy, K., Betts, M.G., Chapron, G., Dirzo, R., Galetti, M., Levi, T., Lindsey, P.A., Macdonald, D.W., Machovina, B., Newsome, T.M., Peres, C.A., Wallach, A.D., Wolf, C. &amp; Young, H. (2016). Bushmeat hunting and extinction risk to the world’s mammals. </w:t>
      </w:r>
      <w:r w:rsidRPr="001D376A">
        <w:rPr>
          <w:i/>
          <w:iCs/>
          <w:noProof/>
        </w:rPr>
        <w:t>R. Soc. Open Sci.</w:t>
      </w:r>
      <w:r w:rsidRPr="001D376A">
        <w:rPr>
          <w:noProof/>
        </w:rPr>
        <w:t>, 3, 160498.</w:t>
      </w:r>
    </w:p>
    <w:p w14:paraId="17428EB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Ripple, W.J., Estes, J. a, Beschta, R.L., Wilmers, C.C., Ritchie, E.G., Hebblewhite, M., Berger, J., Elmhagen, B., Letnic, M., Nelson, M.P., Schmitz, O.J., Smith, D.W., Wallach, A.D. &amp; Wirsing, A.J. (2014). Status and ecological effects of the world’s largest carnivores. </w:t>
      </w:r>
      <w:r w:rsidRPr="001D376A">
        <w:rPr>
          <w:i/>
          <w:iCs/>
          <w:noProof/>
        </w:rPr>
        <w:t>Science</w:t>
      </w:r>
      <w:r w:rsidRPr="001D376A">
        <w:rPr>
          <w:noProof/>
        </w:rPr>
        <w:t>, 343.</w:t>
      </w:r>
    </w:p>
    <w:p w14:paraId="6F69E90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Ripple, W.J., Newsome, T.M., Wolf, C., Dirzo, R., Everatt, K.T., Galetti, M., Hayward, M.W., Kerley, G.I.H., Levi, T., Lindsey, P.A., Macdonald, D.W., Malhi, Y., Painter, L.E., Sandom, C.J., Terborgh, J. &amp; Van Valkenburgh, B. (2015). Collapse of the world’s largest herbivores. </w:t>
      </w:r>
      <w:r w:rsidRPr="001D376A">
        <w:rPr>
          <w:i/>
          <w:iCs/>
          <w:noProof/>
        </w:rPr>
        <w:t>Sci. Adv.</w:t>
      </w:r>
      <w:r w:rsidRPr="001D376A">
        <w:rPr>
          <w:noProof/>
        </w:rPr>
        <w:t>, 1, e1400103.</w:t>
      </w:r>
    </w:p>
    <w:p w14:paraId="4D1EB17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Ripple, W.J., Wolf, C., Newsome, T.M., Hoffmann, M., Wirsing, A.J. &amp; McCauley, D.J. (2017). Extinction risk is most acute for the world’s largest and smallest vertebrates. </w:t>
      </w:r>
      <w:r w:rsidRPr="001D376A">
        <w:rPr>
          <w:i/>
          <w:iCs/>
          <w:noProof/>
        </w:rPr>
        <w:t>Proc. Natl. Acad. Sci.</w:t>
      </w:r>
      <w:r w:rsidRPr="001D376A">
        <w:rPr>
          <w:noProof/>
        </w:rPr>
        <w:t>, 1–6.</w:t>
      </w:r>
    </w:p>
    <w:p w14:paraId="2D8B64A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Rist, J., Milner-Gulland, E.J., Cowlishaw, G. &amp; Rowcliffe, M. (2010a). </w:t>
      </w:r>
      <w:r w:rsidRPr="00814265">
        <w:rPr>
          <w:noProof/>
          <w:lang w:val="pt-BR"/>
        </w:rPr>
        <w:t xml:space="preserve">Informaci??n sobre la captura por unidad de esfuerzo proporcionada por cazadores como una herramienta de monitoreo en un sistema de cosecha de carne silvestre. </w:t>
      </w:r>
      <w:r w:rsidRPr="001D376A">
        <w:rPr>
          <w:i/>
          <w:iCs/>
          <w:noProof/>
        </w:rPr>
        <w:t>Conserv. Biol.</w:t>
      </w:r>
      <w:r w:rsidRPr="001D376A">
        <w:rPr>
          <w:noProof/>
        </w:rPr>
        <w:t>, 24, 489–499.</w:t>
      </w:r>
    </w:p>
    <w:p w14:paraId="57A1DBA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Rist, L., Shaanker, R.U., Milner-Gulland, E.J. &amp; Ghazoul, J. (2010b). The use of traditional ecological knowledge in forest management: an example from india. </w:t>
      </w:r>
      <w:r w:rsidRPr="001D376A">
        <w:rPr>
          <w:i/>
          <w:iCs/>
          <w:noProof/>
        </w:rPr>
        <w:t>Ecol. Soc.</w:t>
      </w:r>
      <w:r w:rsidRPr="001D376A">
        <w:rPr>
          <w:noProof/>
        </w:rPr>
        <w:t>, 15, 3.</w:t>
      </w:r>
    </w:p>
    <w:p w14:paraId="7775305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Robards, M.D., Burns, J.J., Meek, C.L. &amp; Watson, A. (2009). Limitations of an optimum sustainable population or potential biological removal approach for conserving marine mammals: Pacific walrus case study. </w:t>
      </w:r>
      <w:r w:rsidRPr="001D376A">
        <w:rPr>
          <w:i/>
          <w:iCs/>
          <w:noProof/>
        </w:rPr>
        <w:t>J. Environ. Manage.</w:t>
      </w:r>
      <w:r w:rsidRPr="001D376A">
        <w:rPr>
          <w:noProof/>
        </w:rPr>
        <w:t>, 91, 57–66.</w:t>
      </w:r>
    </w:p>
    <w:p w14:paraId="65CD930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Robinson, E.J.Z., Kumar, A.M. &amp; Albers, H.J. (2010). Protecting developing countries’ forests: enforcement in theory and practice. </w:t>
      </w:r>
      <w:r w:rsidRPr="001D376A">
        <w:rPr>
          <w:i/>
          <w:iCs/>
          <w:noProof/>
        </w:rPr>
        <w:t>J. Nat. Resour. Policy Res.</w:t>
      </w:r>
      <w:r w:rsidRPr="001D376A">
        <w:rPr>
          <w:noProof/>
        </w:rPr>
        <w:t>, 2, 25–38.</w:t>
      </w:r>
    </w:p>
    <w:p w14:paraId="1A8DC68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Robinson, J.G. (2006). Biting the hand that feeds you: the consumption of nature and natural resources in the tropics. In: </w:t>
      </w:r>
      <w:r w:rsidRPr="001D376A">
        <w:rPr>
          <w:i/>
          <w:iCs/>
          <w:noProof/>
        </w:rPr>
        <w:t>State wild a Glob. portrait wildlife, wildlands, Ocean.</w:t>
      </w:r>
      <w:r w:rsidRPr="001D376A">
        <w:rPr>
          <w:noProof/>
        </w:rPr>
        <w:t xml:space="preserve"> (ed. Guynup, S.). Island Press, Washington DC, USA, pp. 153–156.</w:t>
      </w:r>
    </w:p>
    <w:p w14:paraId="4C05630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Robinson, J.G. &amp; Bennett, E.L. (2000). Carrying capacity limits to sustainable hunting in tropical forests. In: </w:t>
      </w:r>
      <w:r w:rsidRPr="001D376A">
        <w:rPr>
          <w:i/>
          <w:iCs/>
          <w:noProof/>
        </w:rPr>
        <w:t>Hunt. Sustain. Trop. For.</w:t>
      </w:r>
      <w:r w:rsidRPr="001D376A">
        <w:rPr>
          <w:noProof/>
        </w:rPr>
        <w:t xml:space="preserve"> (eds. Robinson, J.G. &amp; Bennett, E.L.). Columbia University Press, New York, USA, pp. 13–30.</w:t>
      </w:r>
    </w:p>
    <w:p w14:paraId="05B61DA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Robinson, J.G. &amp; Bennett, E.L. (2004). Having your wildlife and eating it too: an analysis of hunting sustainability across tropical ecosystems. </w:t>
      </w:r>
      <w:r w:rsidRPr="001D376A">
        <w:rPr>
          <w:i/>
          <w:iCs/>
          <w:noProof/>
        </w:rPr>
        <w:t>Anim. Conserv.</w:t>
      </w:r>
      <w:r w:rsidRPr="001D376A">
        <w:rPr>
          <w:noProof/>
        </w:rPr>
        <w:t>, 7, 397–408.</w:t>
      </w:r>
    </w:p>
    <w:p w14:paraId="369B618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Robinson, J.G. &amp; Bodmer, R.E. (1999). Towards Wildlife Management in Tropical Forests. </w:t>
      </w:r>
      <w:r w:rsidRPr="001D376A">
        <w:rPr>
          <w:i/>
          <w:iCs/>
          <w:noProof/>
        </w:rPr>
        <w:t>J. Wildl. Manage.</w:t>
      </w:r>
      <w:r w:rsidRPr="001D376A">
        <w:rPr>
          <w:noProof/>
        </w:rPr>
        <w:t>, 63, 1–13.</w:t>
      </w:r>
    </w:p>
    <w:p w14:paraId="01F99984"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Robinson, J.G. &amp; Redford, K.H. (1991). Sustainable harvest of neo-tropical mammals. In: </w:t>
      </w:r>
      <w:r w:rsidRPr="001D376A">
        <w:rPr>
          <w:i/>
          <w:iCs/>
          <w:noProof/>
        </w:rPr>
        <w:t>Neotrop. Wildl. use Conserv.</w:t>
      </w:r>
      <w:r w:rsidRPr="001D376A">
        <w:rPr>
          <w:noProof/>
        </w:rPr>
        <w:t xml:space="preserve"> (eds. Robinson, J.G. &amp; Redford, K.H.). Chicago University Press, Chicago, USA, pp. 415–429.</w:t>
      </w:r>
    </w:p>
    <w:p w14:paraId="5F83212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Roe, D., Nelson, F. &amp; Sandbrook, C. (2009). </w:t>
      </w:r>
      <w:r w:rsidRPr="001D376A">
        <w:rPr>
          <w:i/>
          <w:iCs/>
          <w:noProof/>
        </w:rPr>
        <w:t>Community management of natural resources in Africa: impacts, experiences and future directions</w:t>
      </w:r>
      <w:r w:rsidRPr="001D376A">
        <w:rPr>
          <w:noProof/>
        </w:rPr>
        <w:t>.</w:t>
      </w:r>
    </w:p>
    <w:p w14:paraId="449B20C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Rosales, R.M.P., Kallesoe, M.F., Gerrard, P., Muangchanh, P., Phomtavong, S. &amp; Khamsomphou, S. (2003). </w:t>
      </w:r>
      <w:r w:rsidRPr="001D376A">
        <w:rPr>
          <w:i/>
          <w:iCs/>
          <w:noProof/>
        </w:rPr>
        <w:t>The economic returns from conserving natural forests in Sekong, Lao PDR</w:t>
      </w:r>
      <w:r w:rsidRPr="001D376A">
        <w:rPr>
          <w:noProof/>
        </w:rPr>
        <w:t>. Lower Mekong Ecoregions Technical Paper Series 1.</w:t>
      </w:r>
    </w:p>
    <w:p w14:paraId="0E45FDD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Roulet, P. &amp; Binot, A. (2008). </w:t>
      </w:r>
      <w:r w:rsidRPr="00DF57F3">
        <w:rPr>
          <w:noProof/>
          <w:lang w:val="fr-FR"/>
        </w:rPr>
        <w:t xml:space="preserve">Politiques d’aménagement forestier et approches participatives en République Centrafricaine. In: </w:t>
      </w:r>
      <w:r w:rsidRPr="00DF57F3">
        <w:rPr>
          <w:i/>
          <w:iCs/>
          <w:noProof/>
          <w:lang w:val="fr-FR"/>
        </w:rPr>
        <w:t>Gouv. Environ. en Afrique Cent.  le modèle Particip. en Quest.</w:t>
      </w:r>
      <w:r w:rsidRPr="00DF57F3">
        <w:rPr>
          <w:noProof/>
          <w:lang w:val="fr-FR"/>
        </w:rPr>
        <w:t xml:space="preserve"> </w:t>
      </w:r>
      <w:r w:rsidRPr="001D376A">
        <w:rPr>
          <w:noProof/>
        </w:rPr>
        <w:t>(eds. Arnoldussen, D., Binot, A., Joiris, D., Trefon, T., Roulet, P. &amp; Assenmaker, P.). MRAC.</w:t>
      </w:r>
    </w:p>
    <w:p w14:paraId="2E28D34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Rowcliffe, J.M., Milner-Gulland, E.J. &amp; Cowlishaw, G. (2005). Do bushmeat consumers have other fish to fry? </w:t>
      </w:r>
      <w:r w:rsidRPr="001D376A">
        <w:rPr>
          <w:i/>
          <w:iCs/>
          <w:noProof/>
        </w:rPr>
        <w:t>Trends Ecol. Evol.</w:t>
      </w:r>
      <w:r w:rsidRPr="001D376A">
        <w:rPr>
          <w:noProof/>
        </w:rPr>
        <w:t>, 20, 274–276.</w:t>
      </w:r>
    </w:p>
    <w:p w14:paraId="6F3D923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Rushton, J., Viscarra, R., Viscarra, C., Basset, F., Baptista, R. &amp; Brown, D. (2005). </w:t>
      </w:r>
      <w:r w:rsidRPr="001D376A">
        <w:rPr>
          <w:i/>
          <w:iCs/>
          <w:noProof/>
        </w:rPr>
        <w:t>How important is bushmeat consumption in South America: now and in the future?</w:t>
      </w:r>
      <w:r w:rsidRPr="001D376A">
        <w:rPr>
          <w:noProof/>
        </w:rPr>
        <w:t xml:space="preserve"> </w:t>
      </w:r>
      <w:r w:rsidRPr="001D376A">
        <w:rPr>
          <w:i/>
          <w:iCs/>
          <w:noProof/>
        </w:rPr>
        <w:t>Odi Wildl. Policy Brief.</w:t>
      </w:r>
    </w:p>
    <w:p w14:paraId="281F693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Saadoun, A., Cabrera, M.C., Terevinto, A. &amp; del Puerto, M. (2014). Why not a piece of meat of rhea, nutria, yacare, or vicugna for dinner? </w:t>
      </w:r>
      <w:r w:rsidRPr="001D376A">
        <w:rPr>
          <w:i/>
          <w:iCs/>
          <w:noProof/>
        </w:rPr>
        <w:t>Anim. Front.</w:t>
      </w:r>
      <w:r w:rsidRPr="001D376A">
        <w:rPr>
          <w:noProof/>
        </w:rPr>
        <w:t>, 4, 25–32.</w:t>
      </w:r>
    </w:p>
    <w:p w14:paraId="5814ABB6"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Sandalj, M., Treydte, A.C. &amp; Ziegler, S. (2016). Is wild meat luxury? Quantifying wild meat demand and availability in Hue, Vietnam. </w:t>
      </w:r>
      <w:r w:rsidRPr="001D376A">
        <w:rPr>
          <w:i/>
          <w:iCs/>
          <w:noProof/>
        </w:rPr>
        <w:t xml:space="preserve">Biol. </w:t>
      </w:r>
      <w:r w:rsidRPr="00814265">
        <w:rPr>
          <w:i/>
          <w:iCs/>
          <w:noProof/>
          <w:lang w:val="pt-BR"/>
        </w:rPr>
        <w:t>Conserv.</w:t>
      </w:r>
      <w:r w:rsidRPr="00814265">
        <w:rPr>
          <w:noProof/>
          <w:lang w:val="pt-BR"/>
        </w:rPr>
        <w:t>, 194, 105–112.</w:t>
      </w:r>
    </w:p>
    <w:p w14:paraId="2C0C568F"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Santoretto, E., Henriot, C., Bassalang, M.-M. &amp; Nguiffo, S. (2017). </w:t>
      </w:r>
      <w:r w:rsidRPr="001D376A">
        <w:rPr>
          <w:i/>
          <w:iCs/>
          <w:noProof/>
        </w:rPr>
        <w:t>How existing legal frameworks shape forest conversion to agriculture. A study of the Congo Basin. FAO Legal Papers No. 102.</w:t>
      </w:r>
      <w:r w:rsidRPr="001D376A">
        <w:rPr>
          <w:noProof/>
        </w:rPr>
        <w:t xml:space="preserve"> Food and Agriculture Organization, Rome, Italy.</w:t>
      </w:r>
    </w:p>
    <w:p w14:paraId="706185EF"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Santos-Fita, D., Naranjo, E.J. &amp; Rangel-Salazar, J.L. (2012). </w:t>
      </w:r>
      <w:r w:rsidRPr="001D376A">
        <w:rPr>
          <w:noProof/>
        </w:rPr>
        <w:t xml:space="preserve">Wildlife uses and hunting patterns in rural communities of the Yucatan Peninsula, Mexico. </w:t>
      </w:r>
      <w:r w:rsidRPr="001D376A">
        <w:rPr>
          <w:i/>
          <w:iCs/>
          <w:noProof/>
        </w:rPr>
        <w:t>J. Ethnobiol. Ethnomed.</w:t>
      </w:r>
      <w:r w:rsidRPr="001D376A">
        <w:rPr>
          <w:noProof/>
        </w:rPr>
        <w:t>, 8, 1–17.</w:t>
      </w:r>
    </w:p>
    <w:p w14:paraId="685C27C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Sarti, F.M., Adams, C., Morsello, C., van Vliet, N., Schor, T., Yagüe, B. &amp; Tellez, L. (2015). Beyond protein intake: bushmeat as source of micronutrients in the Amazon. </w:t>
      </w:r>
      <w:r w:rsidRPr="001D376A">
        <w:rPr>
          <w:i/>
          <w:iCs/>
          <w:noProof/>
        </w:rPr>
        <w:t>Ecol. Soc.</w:t>
      </w:r>
      <w:r w:rsidRPr="001D376A">
        <w:rPr>
          <w:noProof/>
        </w:rPr>
        <w:t>, 20, 22.</w:t>
      </w:r>
    </w:p>
    <w:p w14:paraId="326F8E4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Sartoretto, E., Henriot, C., Bassaland, M.-M. &amp; Nguiffo, S. (2017). </w:t>
      </w:r>
      <w:r w:rsidRPr="001D376A">
        <w:rPr>
          <w:i/>
          <w:iCs/>
          <w:noProof/>
        </w:rPr>
        <w:t>How existing legal frameworks shape forest conversion to agriculture: a study of the Congo basin. FAO Legal Papers No. 102</w:t>
      </w:r>
      <w:r w:rsidRPr="001D376A">
        <w:rPr>
          <w:noProof/>
        </w:rPr>
        <w:t>. Food and Agriculture Organization, Rome, Italy.</w:t>
      </w:r>
    </w:p>
    <w:p w14:paraId="7CB148F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Saterson, K., Margoluis, R. &amp; Salafsky, N. (1999). </w:t>
      </w:r>
      <w:r w:rsidRPr="001D376A">
        <w:rPr>
          <w:i/>
          <w:iCs/>
          <w:noProof/>
        </w:rPr>
        <w:t>Measuring conservation impact: an interdisciplinary approach to project monitoring and evaluation</w:t>
      </w:r>
      <w:r w:rsidRPr="001D376A">
        <w:rPr>
          <w:noProof/>
        </w:rPr>
        <w:t>. Biodiversity Support Program, Washington DC, USA.</w:t>
      </w:r>
    </w:p>
    <w:p w14:paraId="38487D5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Sathyapalan, J. &amp; Reddy, M.G. (2010). </w:t>
      </w:r>
      <w:r w:rsidRPr="001D376A">
        <w:rPr>
          <w:i/>
          <w:iCs/>
          <w:noProof/>
        </w:rPr>
        <w:t>Recognition of forest rights and livelihoods of tribal communities. A study of Western Ghats region, Kerala State</w:t>
      </w:r>
      <w:r w:rsidRPr="001D376A">
        <w:rPr>
          <w:noProof/>
        </w:rPr>
        <w:t xml:space="preserve">. </w:t>
      </w:r>
      <w:r w:rsidRPr="001D376A">
        <w:rPr>
          <w:i/>
          <w:iCs/>
          <w:noProof/>
        </w:rPr>
        <w:t>Policy</w:t>
      </w:r>
      <w:r w:rsidRPr="001D376A">
        <w:rPr>
          <w:noProof/>
        </w:rPr>
        <w:t>. Centre for Economic and Social Studies, Hyderabad, India.</w:t>
      </w:r>
    </w:p>
    <w:p w14:paraId="4FFDAEE6"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Schipper, J., Chanson, J.S., Chiozza, F., Cox, N.A., Hoffmann, M., Katariya, V., Lamoreux, J., Rodrigues, A.S.L., Stuart, S.N., Temple, H.J., Baillie, J., Boitani, L., Jr, T.E.L., Mittermeier, R.A., Smith, A.T., Absolon, D., Aguiar, J.M., Amori, G., Bakkour, N., Baldi, R., Berridge, R.J., Bielby, J., Black, P.A., Blanc, J.J., Brooks, T.M., Burton, J.A., Butynski, T.M., Catullo, G., Garshelis, D.L., Gates, C., Gimenez-dixon, M., Gonzalez, S., Gonzalez-maya, J.F., Good, T.C., Hammerson, G., Hammond, P.S., Happold, D., Happold, M., Hare, J., Harris, R.B., Hawkins, C.E., Haywood, M., Heaney, L.R., Hedges, S., Helgen, K.M., Hilton-taylor, C., Hussain, S.A., Ishii, N., Jefferson, T.A., Jenkins, R.K.B., Johnston, C.H., Keith, M., Kingdon, J., Knox, D.H., Kovacs, K.M., Langhammer, P., Leus, K., Lewison, R., Lichtenstein, G., Lowry, L.F., Macavoy, Z., Medellín, R.A., Medici, P., Mills, G., Moehlman, P.D., Molur, S., Mora, A., Nowell, K., Oates, J.F., Olech, W., Oliver, W.R.L., Oprea, M., Patterson, B.D., Perrin, W.F., Polidoro, B.A., Pollock, C., Powel, A., Protas, Y., Racey, P., Ragle, J., Ramani, P., Rathbun, G., Reeves, R.R., Reilly, S.B., Iii, J.E.R., Rondinini, C., Rosell-ambal, R.G., Rulli, M., Rylands, A.B., Savini, S., Schank, C.J., Sechrest, W., Self-sullivan, C., Shoemaker, A., Sillero-zubiri, C., Silva, N. De, Smith, D.E., Taylor, B.L., Timmins, R., Tirira, D.G., Tognelli, M.F., Tsytsulina, K., Veiga, L.M., Vié, J., Williamson, E.A., Wyatt, S.A., Xie, Y. &amp; Young, B.E. (2008). The Status of the World ’ s Land Mammals: Diversity, Threats and Knowlegde, 322.</w:t>
      </w:r>
    </w:p>
    <w:p w14:paraId="522B9927"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Schor, T. &amp; Avelino, F.C.C. (2017). </w:t>
      </w:r>
      <w:r w:rsidRPr="001D376A">
        <w:rPr>
          <w:noProof/>
        </w:rPr>
        <w:t xml:space="preserve">Geography of food and the urban network in the tri-border Brazil-Peru-Colombia: the case of production and commercialization of poultry in the Amazon. </w:t>
      </w:r>
      <w:r w:rsidRPr="001D376A">
        <w:rPr>
          <w:i/>
          <w:iCs/>
          <w:noProof/>
        </w:rPr>
        <w:t>Cuad. Geogr. Rev. Colomb. Geogr.</w:t>
      </w:r>
      <w:r w:rsidRPr="001D376A">
        <w:rPr>
          <w:noProof/>
        </w:rPr>
        <w:t>, 26, 141–154.</w:t>
      </w:r>
    </w:p>
    <w:p w14:paraId="6D9F40B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Schreckenberg, K., Camargo, I., Withnall, K., Corrigan, C., Franks, P., Roe, D., Scherl, L.M. &amp; Richardson, V. (2010). </w:t>
      </w:r>
      <w:r w:rsidRPr="001D376A">
        <w:rPr>
          <w:i/>
          <w:iCs/>
          <w:noProof/>
        </w:rPr>
        <w:t>Social assessment of conservation initiatives: a review of rapid methodologies. Natural Resources Issues No. 22</w:t>
      </w:r>
      <w:r w:rsidRPr="001D376A">
        <w:rPr>
          <w:noProof/>
        </w:rPr>
        <w:t>. IIED, London, UK.</w:t>
      </w:r>
    </w:p>
    <w:p w14:paraId="1182744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Schulte-Herbrüggen, B., Cowlishaw, G., Homewood, K. &amp; Rowcliffe, J.M. (2013). The importance of bushmeat in the livelihoods of West African cash-crop farmers living in a faunally-depleted landscape. </w:t>
      </w:r>
      <w:r w:rsidRPr="001D376A">
        <w:rPr>
          <w:i/>
          <w:iCs/>
          <w:noProof/>
        </w:rPr>
        <w:t>PLoS One</w:t>
      </w:r>
      <w:r w:rsidRPr="001D376A">
        <w:rPr>
          <w:noProof/>
        </w:rPr>
        <w:t>, 8, e72807.</w:t>
      </w:r>
    </w:p>
    <w:p w14:paraId="54B308C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Schulte-Herbrüggen, B., Cowlishaw, G., Homewood, K. &amp; Rowcliffe, J.M. (2017). Rural protein insufficiency in a wildlifedepleted West African farm-forest landscape. </w:t>
      </w:r>
      <w:r w:rsidRPr="001D376A">
        <w:rPr>
          <w:i/>
          <w:iCs/>
          <w:noProof/>
        </w:rPr>
        <w:t>PLoS One</w:t>
      </w:r>
      <w:r w:rsidRPr="001D376A">
        <w:rPr>
          <w:noProof/>
        </w:rPr>
        <w:t>, 12, e0188109.</w:t>
      </w:r>
    </w:p>
    <w:p w14:paraId="73649D5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Schulze, K., Knights, K., Coad, L., Geldmann, J., Leverington, F., Eassom, A., Marr, M., Butchart, S.H.M., Hockings, M. &amp; Burgess, N.D. (2018). An assessment of threats to terrestrial protected areas. </w:t>
      </w:r>
      <w:r w:rsidRPr="001D376A">
        <w:rPr>
          <w:i/>
          <w:iCs/>
          <w:noProof/>
        </w:rPr>
        <w:t>Conserv. Lett.</w:t>
      </w:r>
    </w:p>
    <w:p w14:paraId="75F53E1D"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Secretariat of the Convention on Biological Diversity. (2017). </w:t>
      </w:r>
      <w:r w:rsidRPr="001D376A">
        <w:rPr>
          <w:i/>
          <w:iCs/>
          <w:noProof/>
        </w:rPr>
        <w:t>Cities and Biodversity Outlook. Action and Policy</w:t>
      </w:r>
      <w:r w:rsidRPr="001D376A">
        <w:rPr>
          <w:noProof/>
        </w:rPr>
        <w:t xml:space="preserve">. </w:t>
      </w:r>
      <w:r w:rsidRPr="00814265">
        <w:rPr>
          <w:noProof/>
          <w:lang w:val="pt-BR"/>
        </w:rPr>
        <w:t>Montreal, Camada.</w:t>
      </w:r>
    </w:p>
    <w:p w14:paraId="5C5CD632"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Señaris, J.C. &amp; Ferrer, A. (2012). Síntesis preliminar del uso de la fauna en la Guayana venezolana. In: </w:t>
      </w:r>
      <w:r w:rsidRPr="00814265">
        <w:rPr>
          <w:i/>
          <w:iCs/>
          <w:noProof/>
          <w:lang w:val="pt-BR"/>
        </w:rPr>
        <w:t>Carne monte y Consum. fauna Silv. en la Orinoquia y Amaz. (Colombia y Venez. Memorias del Taller Reg. Inirida, Guainia</w:t>
      </w:r>
      <w:r w:rsidRPr="00814265">
        <w:rPr>
          <w:noProof/>
          <w:lang w:val="pt-BR"/>
        </w:rPr>
        <w:t>. Instituto de Investigaciones de Recursos Biológicos Alexander von Humboldt, Universidad Nacional de Colombia, Sede Orinoquia, Instituto de Estudios de la Orinoquia y Corporación para el Desarrollo Sostenible del Norte y el Oriente Amazónico.</w:t>
      </w:r>
    </w:p>
    <w:p w14:paraId="7092192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Sergio, F., Caro, T., Brown, D., Clucas, B., Hunter, J., Ketchum, J., McHugh, K. &amp; Hiraldo, </w:t>
      </w:r>
      <w:r w:rsidRPr="001D376A">
        <w:rPr>
          <w:noProof/>
        </w:rPr>
        <w:lastRenderedPageBreak/>
        <w:t xml:space="preserve">F. (2008). Top predators as conservation tools: ecological rationale, assumptions, and efficacy. </w:t>
      </w:r>
      <w:r w:rsidRPr="001D376A">
        <w:rPr>
          <w:i/>
          <w:iCs/>
          <w:noProof/>
        </w:rPr>
        <w:t>Annu. Rev. Ecol. Evol. Syst.</w:t>
      </w:r>
      <w:r w:rsidRPr="001D376A">
        <w:rPr>
          <w:noProof/>
        </w:rPr>
        <w:t>, 39, 1–19.</w:t>
      </w:r>
    </w:p>
    <w:p w14:paraId="2FDBB09B" w14:textId="77777777" w:rsidR="001D376A" w:rsidRPr="00DF57F3" w:rsidRDefault="001D376A" w:rsidP="001D376A">
      <w:pPr>
        <w:widowControl w:val="0"/>
        <w:autoSpaceDE w:val="0"/>
        <w:autoSpaceDN w:val="0"/>
        <w:adjustRightInd w:val="0"/>
        <w:ind w:left="480" w:hanging="480"/>
        <w:rPr>
          <w:noProof/>
          <w:lang w:val="fr-FR"/>
        </w:rPr>
      </w:pPr>
      <w:r w:rsidRPr="001D376A">
        <w:rPr>
          <w:noProof/>
        </w:rPr>
        <w:t xml:space="preserve">Shackleton, C.M., Willis, T.J., Brown, K. &amp; Polunin, N.V.C. (2010). Reflecting on the next generation of models for community-based natural resources management. </w:t>
      </w:r>
      <w:r w:rsidRPr="00DF57F3">
        <w:rPr>
          <w:i/>
          <w:iCs/>
          <w:noProof/>
          <w:lang w:val="fr-FR"/>
        </w:rPr>
        <w:t>Environ. Conserv.</w:t>
      </w:r>
      <w:r w:rsidRPr="00DF57F3">
        <w:rPr>
          <w:noProof/>
          <w:lang w:val="fr-FR"/>
        </w:rPr>
        <w:t>, 37, 1–4.</w:t>
      </w:r>
    </w:p>
    <w:p w14:paraId="1A12F012"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Shaffer, C.A., Milstein, M.S., Yukuma, C., Marawanaru, E. &amp; Suse, P. (2017). </w:t>
      </w:r>
      <w:r w:rsidRPr="001D376A">
        <w:rPr>
          <w:noProof/>
        </w:rPr>
        <w:t xml:space="preserve">Sustainability and comanagement of subsistence hunting in an indigenous reserve in Guyana. </w:t>
      </w:r>
      <w:r w:rsidRPr="001D376A">
        <w:rPr>
          <w:i/>
          <w:iCs/>
          <w:noProof/>
        </w:rPr>
        <w:t>Conserv. Biol.</w:t>
      </w:r>
      <w:r w:rsidRPr="001D376A">
        <w:rPr>
          <w:noProof/>
        </w:rPr>
        <w:t>, 31, 1119–1131.</w:t>
      </w:r>
    </w:p>
    <w:p w14:paraId="63909A2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Shairp, R., Veríssimo, D., Fraser, I., Challender, D. &amp; MacMillan, D. (2016). Understanding urban demand for wild meat in Vietnam: implications for conservation actions. </w:t>
      </w:r>
      <w:r w:rsidRPr="001D376A">
        <w:rPr>
          <w:i/>
          <w:iCs/>
          <w:noProof/>
        </w:rPr>
        <w:t>PLoS One</w:t>
      </w:r>
      <w:r w:rsidRPr="001D376A">
        <w:rPr>
          <w:noProof/>
        </w:rPr>
        <w:t>, 11, e0134787.</w:t>
      </w:r>
    </w:p>
    <w:p w14:paraId="3D76020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Shambaugh, J., Oglethorpe, J., Ham, R. &amp; Tognetti, S. (2001). </w:t>
      </w:r>
      <w:r w:rsidRPr="001D376A">
        <w:rPr>
          <w:i/>
          <w:iCs/>
          <w:noProof/>
        </w:rPr>
        <w:t>The trampled grass. Mitigating the impacts of armed conflict on the environment</w:t>
      </w:r>
      <w:r w:rsidRPr="001D376A">
        <w:rPr>
          <w:noProof/>
        </w:rPr>
        <w:t>. Biodiversity Support Program, Washington DC, USA.</w:t>
      </w:r>
    </w:p>
    <w:p w14:paraId="73380A0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Sharma, R., Tiwari, K., Belmar, V.M., Kumar, S., Goyal, S.M., Amadi, V.A., Watson, N. &amp; Hariharan, H. (2016). Prevalence and antimicrobial resistance of Campylobacter species isolated from backyard chickens in Grenada, West Indies. </w:t>
      </w:r>
      <w:r w:rsidRPr="001D376A">
        <w:rPr>
          <w:i/>
          <w:iCs/>
          <w:noProof/>
        </w:rPr>
        <w:t>Br. Microbiol. Res. J.</w:t>
      </w:r>
      <w:r w:rsidRPr="001D376A">
        <w:rPr>
          <w:noProof/>
        </w:rPr>
        <w:t>, 11, 1–8.</w:t>
      </w:r>
    </w:p>
    <w:p w14:paraId="47E484D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Sheil, D. &amp; Wunder, S. (2002). The value of tropical forest to local communities: complications, caveats, and cautions. </w:t>
      </w:r>
      <w:r w:rsidRPr="001D376A">
        <w:rPr>
          <w:i/>
          <w:iCs/>
          <w:noProof/>
        </w:rPr>
        <w:t>Ecol. Soc.</w:t>
      </w:r>
      <w:r w:rsidRPr="001D376A">
        <w:rPr>
          <w:noProof/>
        </w:rPr>
        <w:t>, 6, 9.</w:t>
      </w:r>
    </w:p>
    <w:p w14:paraId="24C8A956" w14:textId="77777777" w:rsidR="001D376A" w:rsidRPr="001D376A" w:rsidRDefault="001D376A" w:rsidP="001D376A">
      <w:pPr>
        <w:widowControl w:val="0"/>
        <w:autoSpaceDE w:val="0"/>
        <w:autoSpaceDN w:val="0"/>
        <w:adjustRightInd w:val="0"/>
        <w:ind w:left="480" w:hanging="480"/>
        <w:rPr>
          <w:noProof/>
        </w:rPr>
      </w:pPr>
      <w:r w:rsidRPr="001D376A">
        <w:rPr>
          <w:noProof/>
        </w:rPr>
        <w:t>Shepherd, G. (2008). The Ecosystem Ecosystem Approach Approach Learning from Experience, x + 190.</w:t>
      </w:r>
    </w:p>
    <w:p w14:paraId="4115066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Shisanya, C.A. (2018). Natural resource management. In: </w:t>
      </w:r>
      <w:r w:rsidRPr="001D376A">
        <w:rPr>
          <w:i/>
          <w:iCs/>
          <w:noProof/>
        </w:rPr>
        <w:t>Rural Dev. Plan. Africa</w:t>
      </w:r>
      <w:r w:rsidRPr="001D376A">
        <w:rPr>
          <w:noProof/>
        </w:rPr>
        <w:t xml:space="preserve"> (ed. Khayesi, M.). Palgrave Macmillan Publishers, New York, USA, pp. 17–51.</w:t>
      </w:r>
    </w:p>
    <w:p w14:paraId="5EA4A105"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Sierra, R., Rodriguez, F. &amp; Losos, E. (1999). </w:t>
      </w:r>
      <w:r w:rsidRPr="001D376A">
        <w:rPr>
          <w:noProof/>
        </w:rPr>
        <w:t xml:space="preserve">Forest resource use change during early market integration in tropical rain forests: the Huaorani of upper Amazonia. </w:t>
      </w:r>
      <w:r w:rsidRPr="001D376A">
        <w:rPr>
          <w:i/>
          <w:iCs/>
          <w:noProof/>
        </w:rPr>
        <w:t>Ecol. Econ.</w:t>
      </w:r>
      <w:r w:rsidRPr="001D376A">
        <w:rPr>
          <w:noProof/>
        </w:rPr>
        <w:t>, 30, 107–119.</w:t>
      </w:r>
    </w:p>
    <w:p w14:paraId="6CC22EB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Sirén, A. (2012). Festival hunting by the Kichwa people in the Ecuadorian Amazon. </w:t>
      </w:r>
      <w:r w:rsidRPr="001D376A">
        <w:rPr>
          <w:i/>
          <w:iCs/>
          <w:noProof/>
        </w:rPr>
        <w:t>J. Ethnobiol.</w:t>
      </w:r>
      <w:r w:rsidRPr="001D376A">
        <w:rPr>
          <w:noProof/>
        </w:rPr>
        <w:t>, 32, 30–50.</w:t>
      </w:r>
    </w:p>
    <w:p w14:paraId="7086B33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Sirén, A. &amp; Machoa, J. (2008). Fish, wildlife, and human nutrition in tropical forests: a fat gap? </w:t>
      </w:r>
      <w:r w:rsidRPr="001D376A">
        <w:rPr>
          <w:i/>
          <w:iCs/>
          <w:noProof/>
        </w:rPr>
        <w:t>Interciencia</w:t>
      </w:r>
      <w:r w:rsidRPr="001D376A">
        <w:rPr>
          <w:noProof/>
        </w:rPr>
        <w:t>, 33, 186–193.</w:t>
      </w:r>
    </w:p>
    <w:p w14:paraId="7A9525C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Sirén, A.H., Hambäck, P. &amp; Machoa, J. (2004). Including spatial heterogeneity and animal dispersal when evaluating hunting: a model analysis and an empirical assessment in an Amazonian community. </w:t>
      </w:r>
      <w:r w:rsidRPr="001D376A">
        <w:rPr>
          <w:i/>
          <w:iCs/>
          <w:noProof/>
        </w:rPr>
        <w:t>Conserv. Biol.</w:t>
      </w:r>
      <w:r w:rsidRPr="001D376A">
        <w:rPr>
          <w:noProof/>
        </w:rPr>
        <w:t>, 18, 1315–1329.</w:t>
      </w:r>
    </w:p>
    <w:p w14:paraId="46D65DE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Slade, N.A., Gomulkiewicz, R. &amp; Alexander, H.M. (1998). Alternatives to Robinson and Redford’s method of assessing overharvest from incomplete demographic data. </w:t>
      </w:r>
      <w:r w:rsidRPr="001D376A">
        <w:rPr>
          <w:i/>
          <w:iCs/>
          <w:noProof/>
        </w:rPr>
        <w:t>Conserv. Biol.</w:t>
      </w:r>
      <w:r w:rsidRPr="001D376A">
        <w:rPr>
          <w:noProof/>
        </w:rPr>
        <w:t>, 12, 148–155.</w:t>
      </w:r>
    </w:p>
    <w:p w14:paraId="28DDBD2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Smil, B.Y.V. (2016). Harvesting the Biosphere. </w:t>
      </w:r>
      <w:r w:rsidRPr="001D376A">
        <w:rPr>
          <w:i/>
          <w:iCs/>
          <w:noProof/>
        </w:rPr>
        <w:t>World Financ. Rev.</w:t>
      </w:r>
      <w:r w:rsidRPr="001D376A">
        <w:rPr>
          <w:noProof/>
        </w:rPr>
        <w:t>, 46–49.</w:t>
      </w:r>
    </w:p>
    <w:p w14:paraId="5DADCD77"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Smith, D.A. (2003). Participatory mapping of community lands and hunting yields among the Bugle of Western Panama. </w:t>
      </w:r>
      <w:r w:rsidRPr="001D376A">
        <w:rPr>
          <w:i/>
          <w:iCs/>
          <w:noProof/>
        </w:rPr>
        <w:t>Hum. Organ.</w:t>
      </w:r>
      <w:r w:rsidRPr="001D376A">
        <w:rPr>
          <w:noProof/>
        </w:rPr>
        <w:t>, 62, 332–343.</w:t>
      </w:r>
    </w:p>
    <w:p w14:paraId="6FB041B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Smith, F.A., Doughty, C.E., Malhi, Y., Svenning, J.C. &amp; Terborgh, J. (2016). Megafauna in the Earth system. </w:t>
      </w:r>
      <w:r w:rsidRPr="001D376A">
        <w:rPr>
          <w:i/>
          <w:iCs/>
          <w:noProof/>
        </w:rPr>
        <w:t>Ecography (Cop.).</w:t>
      </w:r>
      <w:r w:rsidRPr="001D376A">
        <w:rPr>
          <w:noProof/>
        </w:rPr>
        <w:t>, 39, 99–108.</w:t>
      </w:r>
    </w:p>
    <w:p w14:paraId="57D51FF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Smith, K.M., Anthony, S.J., Switzer, W.M., Epstein, J.H., Seimon, T., Jia, H., Sanchez, M.D., Huynh, T.T., Galland, G.G., Shapiro, S.E., Sleeman, J.M., McAloose, D., Stuchin, M., Amato, G., Kolokotronis, S.O., Lipkin, W.I., Karesh, W.B., Daszak, P. &amp; Marano, N. (2012). Zoonotic viruses associated with illegally imported wildlife products. </w:t>
      </w:r>
      <w:r w:rsidRPr="001D376A">
        <w:rPr>
          <w:i/>
          <w:iCs/>
          <w:noProof/>
        </w:rPr>
        <w:t>PLoS One</w:t>
      </w:r>
      <w:r w:rsidRPr="001D376A">
        <w:rPr>
          <w:noProof/>
        </w:rPr>
        <w:t>, 7, e29505.</w:t>
      </w:r>
    </w:p>
    <w:p w14:paraId="2638C39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Smith, T., Earland, J., Bhatia, K., Peter, H. &amp; Singleton, N. (1993). Linear growth of children in papua new guinea in relation to dietary, environmental and genetic factors. </w:t>
      </w:r>
      <w:r w:rsidRPr="001D376A">
        <w:rPr>
          <w:i/>
          <w:iCs/>
          <w:noProof/>
        </w:rPr>
        <w:t>Ecol. Food Nutr.</w:t>
      </w:r>
      <w:r w:rsidRPr="001D376A">
        <w:rPr>
          <w:noProof/>
        </w:rPr>
        <w:t>, 31, 1–25.</w:t>
      </w:r>
    </w:p>
    <w:p w14:paraId="6AB5394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Smythe, N. (1991). Steps toward domesticating the paca (Agouti = Cuniculus paca) and prospects for the future. In: </w:t>
      </w:r>
      <w:r w:rsidRPr="001D376A">
        <w:rPr>
          <w:i/>
          <w:iCs/>
          <w:noProof/>
        </w:rPr>
        <w:t>Neotrop. Wildl. Use Conserv.</w:t>
      </w:r>
      <w:r w:rsidRPr="001D376A">
        <w:rPr>
          <w:noProof/>
        </w:rPr>
        <w:t xml:space="preserve"> (eds. Robinson, J.G. &amp; Redford, K.H.). University of Chicago Press, Chicago, USA, pp. 202–216.</w:t>
      </w:r>
    </w:p>
    <w:p w14:paraId="4563FB9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Sobral, M., Silvius, K.M., Overman, H., Oliveira, L.F.B., Raab, T.K. &amp; Fragoso, J.M.V. (2017). Mammal diversity influences the carbon cycle through trophic interactions in the Amazon. </w:t>
      </w:r>
      <w:r w:rsidRPr="001D376A">
        <w:rPr>
          <w:i/>
          <w:iCs/>
          <w:noProof/>
        </w:rPr>
        <w:t>Nat. Ecol. Evol.</w:t>
      </w:r>
      <w:r w:rsidRPr="001D376A">
        <w:rPr>
          <w:noProof/>
        </w:rPr>
        <w:t>, 1, 1670–1676.</w:t>
      </w:r>
    </w:p>
    <w:p w14:paraId="27B7A7A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Sodikoff, G.M. (2012). Totem and taboo reconsidered: endangered species and moral practice in Madagascar. In: </w:t>
      </w:r>
      <w:r w:rsidRPr="001D376A">
        <w:rPr>
          <w:i/>
          <w:iCs/>
          <w:noProof/>
        </w:rPr>
        <w:t>Anthropol. Extinction Essays Cult. Species Death</w:t>
      </w:r>
      <w:r w:rsidRPr="001D376A">
        <w:rPr>
          <w:noProof/>
        </w:rPr>
        <w:t xml:space="preserve"> (ed. Sodikoff, G.M.). The anthropology of extinction: Essays on culture and species death, pp. 67–88.</w:t>
      </w:r>
    </w:p>
    <w:p w14:paraId="4BA846D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Solly, H. (2004). Bushmeat hunters and secondary traders: making the distinction for livelihood improvement. </w:t>
      </w:r>
      <w:r w:rsidRPr="001D376A">
        <w:rPr>
          <w:i/>
          <w:iCs/>
          <w:noProof/>
        </w:rPr>
        <w:t>Wildl. Policy Brief. ODI</w:t>
      </w:r>
      <w:r w:rsidRPr="001D376A">
        <w:rPr>
          <w:noProof/>
        </w:rPr>
        <w:t>, 8.</w:t>
      </w:r>
    </w:p>
    <w:p w14:paraId="11B2089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Sommerville, M., Jones, J.P.G., Rahajaharison, M. &amp; Milner-Gulland, E.J. (2010). The role of fairness and benefit distribution in community-based Payment for Environmental Services interventions: A case study from Menabe, Madagascar. </w:t>
      </w:r>
      <w:r w:rsidRPr="001D376A">
        <w:rPr>
          <w:i/>
          <w:iCs/>
          <w:noProof/>
        </w:rPr>
        <w:t>Ecol. Econ.</w:t>
      </w:r>
      <w:r w:rsidRPr="001D376A">
        <w:rPr>
          <w:noProof/>
        </w:rPr>
        <w:t>, 69, 1262–1271.</w:t>
      </w:r>
    </w:p>
    <w:p w14:paraId="76002699"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Van Song, N. (2008). Wildlife trading in Vietnam. Situation, causes, and solutions. </w:t>
      </w:r>
      <w:r w:rsidRPr="00814265">
        <w:rPr>
          <w:i/>
          <w:iCs/>
          <w:noProof/>
          <w:lang w:val="pt-BR"/>
        </w:rPr>
        <w:t>J. Environ. Dev.</w:t>
      </w:r>
      <w:r w:rsidRPr="00814265">
        <w:rPr>
          <w:noProof/>
          <w:lang w:val="pt-BR"/>
        </w:rPr>
        <w:t>, 17, 145–165.</w:t>
      </w:r>
    </w:p>
    <w:p w14:paraId="7ED5C00D"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Sonnewend Brondízio, L. (2005). </w:t>
      </w:r>
      <w:r w:rsidRPr="00814265">
        <w:rPr>
          <w:i/>
          <w:iCs/>
          <w:noProof/>
          <w:lang w:val="pt-BR"/>
        </w:rPr>
        <w:t xml:space="preserve">Manual dos agentes ambientais colaboradores. </w:t>
      </w:r>
      <w:r w:rsidRPr="001D376A">
        <w:rPr>
          <w:i/>
          <w:iCs/>
          <w:noProof/>
        </w:rPr>
        <w:t>Luciana Sonnewend Brondízio, organizadora –</w:t>
      </w:r>
      <w:r w:rsidRPr="001D376A">
        <w:rPr>
          <w:noProof/>
        </w:rPr>
        <w:t>.</w:t>
      </w:r>
    </w:p>
    <w:p w14:paraId="6935B85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Sorrell, S. (2015). Reducing energy demand: A review of issues, challenges and approaches. </w:t>
      </w:r>
      <w:r w:rsidRPr="001D376A">
        <w:rPr>
          <w:i/>
          <w:iCs/>
          <w:noProof/>
        </w:rPr>
        <w:t>Renew. Sustain. Energy Rev.</w:t>
      </w:r>
      <w:r w:rsidRPr="001D376A">
        <w:rPr>
          <w:noProof/>
        </w:rPr>
        <w:t>, 47, 74–82.</w:t>
      </w:r>
    </w:p>
    <w:p w14:paraId="4CECF688" w14:textId="77777777" w:rsidR="001D376A" w:rsidRPr="00DF57F3" w:rsidRDefault="001D376A" w:rsidP="001D376A">
      <w:pPr>
        <w:widowControl w:val="0"/>
        <w:autoSpaceDE w:val="0"/>
        <w:autoSpaceDN w:val="0"/>
        <w:adjustRightInd w:val="0"/>
        <w:ind w:left="480" w:hanging="480"/>
        <w:rPr>
          <w:noProof/>
          <w:lang w:val="fr-FR"/>
        </w:rPr>
      </w:pPr>
      <w:r w:rsidRPr="001D376A">
        <w:rPr>
          <w:noProof/>
        </w:rPr>
        <w:t xml:space="preserve">Souto, W.M.S., Torres, M.A.R., Sousa, B.F.C.F., Lima, K.G.G.C., Vieira, L.T.S., Pereira, G.A., Guzzi, A., Silva, M.V. &amp; Pralon, B.G.N. (2017). Singing for cages: the use and trade of Passeriformes as wild pets in an economic center of the Amazon—NE Brazil route. </w:t>
      </w:r>
      <w:r w:rsidRPr="00DF57F3">
        <w:rPr>
          <w:i/>
          <w:iCs/>
          <w:noProof/>
          <w:lang w:val="fr-FR"/>
        </w:rPr>
        <w:t>Trop. Conserv. Sci.</w:t>
      </w:r>
      <w:r w:rsidRPr="00DF57F3">
        <w:rPr>
          <w:noProof/>
          <w:lang w:val="fr-FR"/>
        </w:rPr>
        <w:t>, 10.</w:t>
      </w:r>
    </w:p>
    <w:p w14:paraId="39BAA9F4"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Spira, C., Kirkby, A., Kujirakwinja, D. &amp; Plumptre, A.J. (2017). </w:t>
      </w:r>
      <w:r w:rsidRPr="001D376A">
        <w:rPr>
          <w:noProof/>
        </w:rPr>
        <w:t xml:space="preserve">The socio-economics of </w:t>
      </w:r>
      <w:r w:rsidRPr="001D376A">
        <w:rPr>
          <w:noProof/>
        </w:rPr>
        <w:lastRenderedPageBreak/>
        <w:t xml:space="preserve">artisanal mining and bushmeat hunting around protected areas: Kahuzi–Biega National Park and Itombwe Nature Reserve, eastern Democratic Republic of Congo. </w:t>
      </w:r>
      <w:r w:rsidRPr="001D376A">
        <w:rPr>
          <w:i/>
          <w:iCs/>
          <w:noProof/>
        </w:rPr>
        <w:t>Oryx</w:t>
      </w:r>
      <w:r w:rsidRPr="001D376A">
        <w:rPr>
          <w:noProof/>
        </w:rPr>
        <w:t>.</w:t>
      </w:r>
    </w:p>
    <w:p w14:paraId="4916DAB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Sreekar, R., Huang, G., Zhao, J., Pasion, B.O., Yasuda, M., Zhang, K., Peabotuwage, I., Wang, X., Quan, R., Slik, J.W.F., Corlett, R.T., Goodale, E. &amp; Harrison, R.D. (2015a). The use of species – area relationships to partition the effects of hunting and deforestation on bird extirpations in a fragmented landscape. </w:t>
      </w:r>
      <w:r w:rsidRPr="001D376A">
        <w:rPr>
          <w:i/>
          <w:iCs/>
          <w:noProof/>
        </w:rPr>
        <w:t>Divers. Distrib.</w:t>
      </w:r>
      <w:r w:rsidRPr="001D376A">
        <w:rPr>
          <w:noProof/>
        </w:rPr>
        <w:t>, 21, 441–450.</w:t>
      </w:r>
    </w:p>
    <w:p w14:paraId="0CD19FF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Sreekar, R., Zhang, K., Xu, J. &amp; Harrison, R.D. (2015b). Yet another empty forest: considering the conservation value of a recently established tropical nature reserve. </w:t>
      </w:r>
      <w:r w:rsidRPr="001D376A">
        <w:rPr>
          <w:i/>
          <w:iCs/>
          <w:noProof/>
        </w:rPr>
        <w:t>PLoS One</w:t>
      </w:r>
      <w:r w:rsidRPr="001D376A">
        <w:rPr>
          <w:noProof/>
        </w:rPr>
        <w:t>, 10, 1–18.</w:t>
      </w:r>
    </w:p>
    <w:p w14:paraId="60F24F0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Stafford, C.A., Preziosi, R.F. &amp; Sellers, W.I. (2017a). A pan-neotropical analysis of hunting preferences. </w:t>
      </w:r>
      <w:r w:rsidRPr="001D376A">
        <w:rPr>
          <w:i/>
          <w:iCs/>
          <w:noProof/>
        </w:rPr>
        <w:t>Biodivers. Conserv.</w:t>
      </w:r>
      <w:r w:rsidRPr="001D376A">
        <w:rPr>
          <w:noProof/>
        </w:rPr>
        <w:t>, 26, 1877–1897.</w:t>
      </w:r>
    </w:p>
    <w:p w14:paraId="4ACF5F6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Stafford, C.A., Preziosi, R.F. &amp; Sellers, W.I. (2017b). A cross-site analysis of Neotropical bird hunting profiles. </w:t>
      </w:r>
      <w:r w:rsidRPr="001D376A">
        <w:rPr>
          <w:i/>
          <w:iCs/>
          <w:noProof/>
        </w:rPr>
        <w:t>Trop. Conserv. Sci.</w:t>
      </w:r>
      <w:r w:rsidRPr="001D376A">
        <w:rPr>
          <w:noProof/>
        </w:rPr>
        <w:t>, 10, 194008291773689.</w:t>
      </w:r>
    </w:p>
    <w:p w14:paraId="108C607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Starkey, M. (2004). </w:t>
      </w:r>
      <w:r w:rsidRPr="001D376A">
        <w:rPr>
          <w:i/>
          <w:iCs/>
          <w:noProof/>
        </w:rPr>
        <w:t>Commerce and subsistence: the hunting, sale and consumption of bushmeat in Gabon</w:t>
      </w:r>
      <w:r w:rsidRPr="001D376A">
        <w:rPr>
          <w:noProof/>
        </w:rPr>
        <w:t>. PhD Thesis, University of Cambridge, UK.</w:t>
      </w:r>
    </w:p>
    <w:p w14:paraId="745D91D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Stem, C., Margoluis, R., Salafsky, N. &amp; Brown, M. (2005). Monitoring and evaluation in conservation: a review of trends and approaches. </w:t>
      </w:r>
      <w:r w:rsidRPr="001D376A">
        <w:rPr>
          <w:i/>
          <w:iCs/>
          <w:noProof/>
        </w:rPr>
        <w:t>Conserv. Biol.</w:t>
      </w:r>
      <w:r w:rsidRPr="001D376A">
        <w:rPr>
          <w:noProof/>
        </w:rPr>
        <w:t>, 19, 295–309.</w:t>
      </w:r>
    </w:p>
    <w:p w14:paraId="44B0D26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Stocks, A. (2005). Too much for too few: problems of indigenous land rights in Latin America. </w:t>
      </w:r>
      <w:r w:rsidRPr="001D376A">
        <w:rPr>
          <w:i/>
          <w:iCs/>
          <w:noProof/>
        </w:rPr>
        <w:t>Annu. Rev. Anthropol.</w:t>
      </w:r>
      <w:r w:rsidRPr="001D376A">
        <w:rPr>
          <w:noProof/>
        </w:rPr>
        <w:t>, 34, 85–104.</w:t>
      </w:r>
    </w:p>
    <w:p w14:paraId="4E857A0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Strindberg, S., Maisels, F., Williamson, E.A., Blake, S., Stokes, E.J., Aba’a, R., Abitsi, G., Agbor, A., Ambahe, R.D., Bakabana, P.C., Bechem, M., Berlemont, A., De Semboli, B.B., Boundja, P.R., Bout, N., Breuer, T., Campbell, G., De Wachter, P., Akou, M.E., Mba, F.E., Feistner, A.T.C., Fosso, B., Fotso, R., Greer, D., Inkamba-Nkulu, C., Iyenguet, C.F., Jeffery, K.J., Kokangoye, M., Kühl, H.S., Latour, S., Madzoke, B., Makoumbou, C., Malanda, G.A.F., Malonga, R., Mbolo, V., Morgan, D.B., Motsaba, P., Moukala, G., Mowawa, B.S., Murai, M., Ndzai, C., Nishihara, T., Nzooh, Z., Pintea, L., Pokempner, A., Rainey, H.J., Rayden, T., Ruffler, H., Sanz, C.M., Todd, A., Vanleeuwe, H., Vosper, A., Warren, Y. &amp; Wilkie, D.S. (2018). Guns, germs, and trees determine density and distribution of gorillas and chimpanzees in Western Equatorial Africa. </w:t>
      </w:r>
      <w:r w:rsidRPr="001D376A">
        <w:rPr>
          <w:i/>
          <w:iCs/>
          <w:noProof/>
        </w:rPr>
        <w:t>Sci. Adv.</w:t>
      </w:r>
      <w:r w:rsidRPr="001D376A">
        <w:rPr>
          <w:noProof/>
        </w:rPr>
        <w:t>, 4, eaar2964.</w:t>
      </w:r>
    </w:p>
    <w:p w14:paraId="71A78E52"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Stuart-Hill, G., Diggle, R., Munali, B., Tagg, J. &amp; Ward, D. (2005). The event book system: A community-based natural resource monitoring system from Namibia. </w:t>
      </w:r>
      <w:r w:rsidRPr="00814265">
        <w:rPr>
          <w:i/>
          <w:iCs/>
          <w:noProof/>
          <w:lang w:val="pt-BR"/>
        </w:rPr>
        <w:t>Biodivers. Conserv.</w:t>
      </w:r>
      <w:r w:rsidRPr="00814265">
        <w:rPr>
          <w:noProof/>
          <w:lang w:val="pt-BR"/>
        </w:rPr>
        <w:t>, 14, 2611–2631.</w:t>
      </w:r>
    </w:p>
    <w:p w14:paraId="440BE4F0"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Suárez, E., Morales, M., Cueva, R., Bucheli, V.U., Toral, E., Torres, J., Prado, W. &amp; Olalla, J.V. (2009). </w:t>
      </w:r>
      <w:r w:rsidRPr="001D376A">
        <w:rPr>
          <w:noProof/>
        </w:rPr>
        <w:t xml:space="preserve">Oil industry, wild meat trade and roads: indirect effects of oil extraction activities in a protected area in north-east Ecuador. </w:t>
      </w:r>
      <w:r w:rsidRPr="001D376A">
        <w:rPr>
          <w:i/>
          <w:iCs/>
          <w:noProof/>
        </w:rPr>
        <w:t>Anim. Conserv.</w:t>
      </w:r>
      <w:r w:rsidRPr="001D376A">
        <w:rPr>
          <w:noProof/>
        </w:rPr>
        <w:t>, 12, 364–373.</w:t>
      </w:r>
    </w:p>
    <w:p w14:paraId="175A9C7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Subramanian, M. (2012). Zoonotic disease risk and the bushmeat trade: Assessing awareness among hunters and traders in Sierra Leone. </w:t>
      </w:r>
      <w:r w:rsidRPr="001D376A">
        <w:rPr>
          <w:i/>
          <w:iCs/>
          <w:noProof/>
        </w:rPr>
        <w:t>Ecohealth</w:t>
      </w:r>
      <w:r w:rsidRPr="001D376A">
        <w:rPr>
          <w:noProof/>
        </w:rPr>
        <w:t>, 9, 471–482.</w:t>
      </w:r>
    </w:p>
    <w:p w14:paraId="0A321DF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SULi, I., IIED, CEED, Austrian Ministry of Environment &amp; TRAFFIC. (2015). </w:t>
      </w:r>
      <w:r w:rsidRPr="001D376A">
        <w:rPr>
          <w:i/>
          <w:iCs/>
          <w:noProof/>
        </w:rPr>
        <w:t xml:space="preserve">Beyond </w:t>
      </w:r>
      <w:r w:rsidRPr="001D376A">
        <w:rPr>
          <w:i/>
          <w:iCs/>
          <w:noProof/>
        </w:rPr>
        <w:lastRenderedPageBreak/>
        <w:t>enforcement: Communities, governance, incentives and sustainable use in combating wildlife crime</w:t>
      </w:r>
      <w:r w:rsidRPr="001D376A">
        <w:rPr>
          <w:noProof/>
        </w:rPr>
        <w:t>. Muldersdrift, South Africa.</w:t>
      </w:r>
    </w:p>
    <w:p w14:paraId="3FB422D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Sutherland, W.J., Pullin, A.S., Dolman, P.M. &amp; Knight, T.M. (2004). The need for evidence-based conservation. </w:t>
      </w:r>
      <w:r w:rsidRPr="001D376A">
        <w:rPr>
          <w:i/>
          <w:iCs/>
          <w:noProof/>
        </w:rPr>
        <w:t>Trends Ecol. Evol.</w:t>
      </w:r>
      <w:r w:rsidRPr="001D376A">
        <w:rPr>
          <w:noProof/>
        </w:rPr>
        <w:t>, 19, 305–308.</w:t>
      </w:r>
    </w:p>
    <w:p w14:paraId="7CA9359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Swamy, V. &amp; Pinedo-Vasquez, M. (2014). </w:t>
      </w:r>
      <w:r w:rsidRPr="001D376A">
        <w:rPr>
          <w:i/>
          <w:iCs/>
          <w:noProof/>
        </w:rPr>
        <w:t>Bushmeat harvest in tropical forests: knowledge base, gaps and research priorities. Occassional paper 114</w:t>
      </w:r>
      <w:r w:rsidRPr="001D376A">
        <w:rPr>
          <w:noProof/>
        </w:rPr>
        <w:t>. CIFOR, Bogor, Indonesia.</w:t>
      </w:r>
    </w:p>
    <w:p w14:paraId="027AF25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Sy, E.Y. (2018). </w:t>
      </w:r>
      <w:r w:rsidRPr="001D376A">
        <w:rPr>
          <w:i/>
          <w:iCs/>
          <w:noProof/>
        </w:rPr>
        <w:t>Utilisation of Facebook to trade live reptiles in the Philippines</w:t>
      </w:r>
      <w:r w:rsidRPr="001D376A">
        <w:rPr>
          <w:noProof/>
        </w:rPr>
        <w:t>. TRAFFIC Report, Petaling Jaya, Selangor, Malaysia, Petaling Jaya, Selangor, Malaysia.</w:t>
      </w:r>
    </w:p>
    <w:p w14:paraId="41B0153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Tagg, N., Maddison, N., Dupain, J., Mcgilchrist, L., Mouamfon, M., Mccabe, G., Ngo Badjeck, M.M., Tchouankep, M., Mbohli, D., Epanda, M.A., Ransom, C. &amp; Fa, J.E. (2018). A zoo-led study of the great ape bushmeat commodity chain in Cameroon. </w:t>
      </w:r>
      <w:r w:rsidRPr="001D376A">
        <w:rPr>
          <w:i/>
          <w:iCs/>
          <w:noProof/>
        </w:rPr>
        <w:t>Int. Zoo Yearb.</w:t>
      </w:r>
      <w:r w:rsidRPr="001D376A">
        <w:rPr>
          <w:noProof/>
        </w:rPr>
        <w:t>, 52, 182–193.</w:t>
      </w:r>
    </w:p>
    <w:p w14:paraId="1B2B2432" w14:textId="77777777" w:rsidR="001D376A" w:rsidRPr="00DF57F3" w:rsidRDefault="001D376A" w:rsidP="001D376A">
      <w:pPr>
        <w:widowControl w:val="0"/>
        <w:autoSpaceDE w:val="0"/>
        <w:autoSpaceDN w:val="0"/>
        <w:adjustRightInd w:val="0"/>
        <w:ind w:left="480" w:hanging="480"/>
        <w:rPr>
          <w:noProof/>
          <w:lang w:val="fr-FR"/>
        </w:rPr>
      </w:pPr>
      <w:r w:rsidRPr="001D376A">
        <w:rPr>
          <w:noProof/>
        </w:rPr>
        <w:t xml:space="preserve">Takamura, S. (2015). Reorganizing the distribution system in post-conflict society: a study of Orientale Province, the Democratic Republic of the Congo. </w:t>
      </w:r>
      <w:r w:rsidRPr="00DF57F3">
        <w:rPr>
          <w:i/>
          <w:iCs/>
          <w:noProof/>
          <w:lang w:val="fr-FR"/>
        </w:rPr>
        <w:t>Afr. Study Monogr.</w:t>
      </w:r>
      <w:r w:rsidRPr="00DF57F3">
        <w:rPr>
          <w:noProof/>
          <w:lang w:val="fr-FR"/>
        </w:rPr>
        <w:t>, 51, 77–91.</w:t>
      </w:r>
    </w:p>
    <w:p w14:paraId="61185FA3" w14:textId="77777777" w:rsidR="001D376A" w:rsidRPr="00DF57F3" w:rsidRDefault="001D376A" w:rsidP="001D376A">
      <w:pPr>
        <w:widowControl w:val="0"/>
        <w:autoSpaceDE w:val="0"/>
        <w:autoSpaceDN w:val="0"/>
        <w:adjustRightInd w:val="0"/>
        <w:ind w:left="480" w:hanging="480"/>
        <w:rPr>
          <w:noProof/>
          <w:lang w:val="fr-FR"/>
        </w:rPr>
      </w:pPr>
      <w:r w:rsidRPr="00DF57F3">
        <w:rPr>
          <w:noProof/>
          <w:lang w:val="fr-FR"/>
        </w:rPr>
        <w:t xml:space="preserve">Takforyan, A. (2001). </w:t>
      </w:r>
      <w:r w:rsidRPr="00DF57F3">
        <w:rPr>
          <w:i/>
          <w:iCs/>
          <w:noProof/>
          <w:lang w:val="fr-FR"/>
        </w:rPr>
        <w:t>Chasse villageoise et gestion locale de la faune sauvage en Afrique ‐ Une étude de cas dans une forêt de l’Est‐Cameroun</w:t>
      </w:r>
      <w:r w:rsidRPr="00DF57F3">
        <w:rPr>
          <w:noProof/>
          <w:lang w:val="fr-FR"/>
        </w:rPr>
        <w:t>.</w:t>
      </w:r>
    </w:p>
    <w:p w14:paraId="7F19E95F" w14:textId="77777777" w:rsidR="001D376A" w:rsidRPr="001D376A" w:rsidRDefault="001D376A" w:rsidP="001D376A">
      <w:pPr>
        <w:widowControl w:val="0"/>
        <w:autoSpaceDE w:val="0"/>
        <w:autoSpaceDN w:val="0"/>
        <w:adjustRightInd w:val="0"/>
        <w:ind w:left="480" w:hanging="480"/>
        <w:rPr>
          <w:noProof/>
        </w:rPr>
      </w:pPr>
      <w:r w:rsidRPr="00DF57F3">
        <w:rPr>
          <w:noProof/>
          <w:lang w:val="fr-FR"/>
        </w:rPr>
        <w:t xml:space="preserve">Taylor, G., Scharlemann, J.P.W., Rowcliffe, M., Kümpel, N., Harfoot, M.B.J., Fa, J.E., Melisch, R., Milner-Gulland, E.J., Bhagwat, S., Abernethy, K. a., Ajonina, A.S., Albrechtsen, L., Allebone-Webb, S., Brown, E., Brugiere, D., Clark, C., Colell, M., Cowlishaw, G., Crookes, D., De Merode, E., Dupain, J., East, T., Edderai, D., Elkan, P., Gill, D., Greengrass, E., Hodgkinson, C., Ilambu, O., Jeanmart, P., Juste, J., Linder, J.M., Macdonald, D.W., Noss, A.J., Okorie, P.U., Okouyi, V.J.J., Pailler, S., Poulsen, J.R., Riddell, M., Schleicher, J., Schulte-Herbrüggen, B., Starkey, M., van Vliet, N., Whitham, C., Willcox, A.S., Wilkie, D.S., Wright, J.H. &amp; Coad, L.M. (2015). </w:t>
      </w:r>
      <w:r w:rsidRPr="001D376A">
        <w:rPr>
          <w:noProof/>
        </w:rPr>
        <w:t xml:space="preserve">Synthesising bushmeat research effort in West and Central Africa: a new regional database. </w:t>
      </w:r>
      <w:r w:rsidRPr="001D376A">
        <w:rPr>
          <w:i/>
          <w:iCs/>
          <w:noProof/>
        </w:rPr>
        <w:t>Biol. Conserv.</w:t>
      </w:r>
      <w:r w:rsidRPr="001D376A">
        <w:rPr>
          <w:noProof/>
        </w:rPr>
        <w:t>, 181, 199–205.</w:t>
      </w:r>
    </w:p>
    <w:p w14:paraId="201AD6B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Tengo, M., Johansson, K., Rakotondrasoa, F., Lundberg, J., Andriamaherilala, J.-A., Rakotoarisoa, J.-A. &amp; Elmqvist, T. (2007). Taboos and forest governance: informal protection of hot spot dry forest in southern Madagascar. </w:t>
      </w:r>
      <w:r w:rsidRPr="001D376A">
        <w:rPr>
          <w:i/>
          <w:iCs/>
          <w:noProof/>
        </w:rPr>
        <w:t>Ambio</w:t>
      </w:r>
      <w:r w:rsidRPr="001D376A">
        <w:rPr>
          <w:noProof/>
        </w:rPr>
        <w:t>, 36, 683–691.</w:t>
      </w:r>
    </w:p>
    <w:p w14:paraId="40AB6E2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Tensen, L. (2016). Under what circumstances can wildlife farming benefit species conservation? </w:t>
      </w:r>
      <w:r w:rsidRPr="001D376A">
        <w:rPr>
          <w:i/>
          <w:iCs/>
          <w:noProof/>
        </w:rPr>
        <w:t>Glob. Ecol. Conserv.</w:t>
      </w:r>
      <w:r w:rsidRPr="001D376A">
        <w:rPr>
          <w:noProof/>
        </w:rPr>
        <w:t>, 6, 286–298.</w:t>
      </w:r>
    </w:p>
    <w:p w14:paraId="0BAE12A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Terborgh, J. (2013). Using Janzen-Connell to predict the consequences of defaunation and other disturbances of tropical forests. </w:t>
      </w:r>
      <w:r w:rsidRPr="001D376A">
        <w:rPr>
          <w:i/>
          <w:iCs/>
          <w:noProof/>
        </w:rPr>
        <w:t>Biol. Conserv.</w:t>
      </w:r>
      <w:r w:rsidRPr="001D376A">
        <w:rPr>
          <w:noProof/>
        </w:rPr>
        <w:t>, 163, 7–12.</w:t>
      </w:r>
    </w:p>
    <w:p w14:paraId="300D8E5E"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Terborgh, J. &amp; Estes, J. (2010). </w:t>
      </w:r>
      <w:r w:rsidRPr="001D376A">
        <w:rPr>
          <w:i/>
          <w:iCs/>
          <w:noProof/>
        </w:rPr>
        <w:t>Trophic cascades: predators, prey, and the changing dynamics of nature</w:t>
      </w:r>
      <w:r w:rsidRPr="001D376A">
        <w:rPr>
          <w:noProof/>
        </w:rPr>
        <w:t xml:space="preserve">. </w:t>
      </w:r>
      <w:r w:rsidRPr="00814265">
        <w:rPr>
          <w:noProof/>
          <w:lang w:val="pt-BR"/>
        </w:rPr>
        <w:t>Island Press, Washington DC, USA.</w:t>
      </w:r>
    </w:p>
    <w:p w14:paraId="131B8ADC"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Terra, A.K. (2007). </w:t>
      </w:r>
      <w:r w:rsidRPr="00814265">
        <w:rPr>
          <w:i/>
          <w:iCs/>
          <w:noProof/>
          <w:lang w:val="pt-BR"/>
        </w:rPr>
        <w:t xml:space="preserve">A caça de subsistencia na Reserva de Desenvolvimento Sustentável Piagaçu-Purus e na Terra Indígena Lago Ayapuá, Amazônia Central, Brasil. </w:t>
      </w:r>
      <w:r w:rsidRPr="001D376A">
        <w:rPr>
          <w:i/>
          <w:iCs/>
          <w:noProof/>
        </w:rPr>
        <w:t>M.Sc. thesis.</w:t>
      </w:r>
    </w:p>
    <w:p w14:paraId="22AAE42E"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Thakadu, O.T. (2005). Success factors in community based natural resources management in northern Botswana: lessons from practice. </w:t>
      </w:r>
      <w:r w:rsidRPr="001D376A">
        <w:rPr>
          <w:i/>
          <w:iCs/>
          <w:noProof/>
        </w:rPr>
        <w:t>Nat. Resour. Forum</w:t>
      </w:r>
      <w:r w:rsidRPr="001D376A">
        <w:rPr>
          <w:noProof/>
        </w:rPr>
        <w:t>, 29, 199–212.</w:t>
      </w:r>
    </w:p>
    <w:p w14:paraId="11006C6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The Economist. (2017). The grasscutter shows why it is hard to stop bushmeat hunting. </w:t>
      </w:r>
      <w:r w:rsidRPr="001D376A">
        <w:rPr>
          <w:i/>
          <w:iCs/>
          <w:noProof/>
        </w:rPr>
        <w:t>Econ.</w:t>
      </w:r>
    </w:p>
    <w:p w14:paraId="584BDEB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Thibault, M. &amp; Blaney, S. (2003). The oil industry as an underlying factor in the bushmeat crisis in Central Africa. </w:t>
      </w:r>
      <w:r w:rsidRPr="001D376A">
        <w:rPr>
          <w:i/>
          <w:iCs/>
          <w:noProof/>
        </w:rPr>
        <w:t>Conserv. Biol.</w:t>
      </w:r>
      <w:r w:rsidRPr="001D376A">
        <w:rPr>
          <w:noProof/>
        </w:rPr>
        <w:t>, 17, 1807–1813.</w:t>
      </w:r>
    </w:p>
    <w:p w14:paraId="71AC2C3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Thornton, P.K. (2010). Livestock production: recent trends, future prospects. </w:t>
      </w:r>
      <w:r w:rsidRPr="001D376A">
        <w:rPr>
          <w:i/>
          <w:iCs/>
          <w:noProof/>
        </w:rPr>
        <w:t>Philos. Trans. R. Soc. B Biol. Sci.</w:t>
      </w:r>
      <w:r w:rsidRPr="001D376A">
        <w:rPr>
          <w:noProof/>
        </w:rPr>
        <w:t>, 365, 2853–2867.</w:t>
      </w:r>
    </w:p>
    <w:p w14:paraId="7529C92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Tollens, E. (2010). </w:t>
      </w:r>
      <w:r w:rsidRPr="001D376A">
        <w:rPr>
          <w:i/>
          <w:iCs/>
          <w:noProof/>
        </w:rPr>
        <w:t>Potential impacts of agriculture development on the forest cover in the Congo Basin</w:t>
      </w:r>
      <w:r w:rsidRPr="001D376A">
        <w:rPr>
          <w:noProof/>
        </w:rPr>
        <w:t>. The World Bank, Washington DC, USA.</w:t>
      </w:r>
    </w:p>
    <w:p w14:paraId="5F16781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Totikidis, V.D., F., A.A. &amp; Francis, R. (2005). The Concept of Community Governance: A Preliminary Review. </w:t>
      </w:r>
      <w:r w:rsidRPr="001D376A">
        <w:rPr>
          <w:i/>
          <w:iCs/>
          <w:noProof/>
        </w:rPr>
        <w:t>Corp. Gov.</w:t>
      </w:r>
    </w:p>
    <w:p w14:paraId="7C09061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Townsend, W. (2000). The sustainability of subsistence hunting by the Sirionó Indians of Bolivia. In: </w:t>
      </w:r>
      <w:r w:rsidRPr="001D376A">
        <w:rPr>
          <w:i/>
          <w:iCs/>
          <w:noProof/>
        </w:rPr>
        <w:t>Hunt. Sustain. Trop. For.</w:t>
      </w:r>
      <w:r w:rsidRPr="001D376A">
        <w:rPr>
          <w:noProof/>
        </w:rPr>
        <w:t xml:space="preserve"> (eds. Robinson, J.G. &amp; Bennett, E.L.). Columbia University Press, New York, USA, pp. 267–281.</w:t>
      </w:r>
    </w:p>
    <w:p w14:paraId="013C232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TRAFFIC. (2008). </w:t>
      </w:r>
      <w:r w:rsidRPr="001D376A">
        <w:rPr>
          <w:i/>
          <w:iCs/>
          <w:noProof/>
        </w:rPr>
        <w:t>What’s driving the wildlife trade?</w:t>
      </w:r>
      <w:r w:rsidRPr="001D376A">
        <w:rPr>
          <w:noProof/>
        </w:rPr>
        <w:t xml:space="preserve"> The World Bank, Washington.</w:t>
      </w:r>
    </w:p>
    <w:p w14:paraId="7B1D9E5A"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Tranquilli, S., Abedi-Lartey, M., Abernethy, K., Amsini, F., Asamoah, A., Balangtaa, C., Blake, S., Bouanga, E., Breuer, T., Brncic, T.M., Campbell, G., Chancellor, R., Chapman, C.A., Davenport, T.R.B., Dunn, A., Dupain, J., Ekobo, A., Eno-Nku, M., Etoga, G., Furuichi, T., Gatti, S., Ghiurghi, A., Hashimoto, C., Hart, J.A., Head, J., Hega, M., Herbinger, I., Hicks, T.C., Holbech, L.H., Huijbregts, B., Kühl, H.S., Imong, I., Yeno, S.L.D., Linder, J., Marshall, P., Lero, P.M., Morgan, D., Mubalama, L., N’Goran, P.K., Nicholas, A., Nixon, S., Normand, E., Nziguyimpa, L., Nzooh-Dongmo, Z., Ofori-Amanfo, R., Ogunjemite, B.G., Petre, C.A., Rainey, H.J., Regnaut, S., Robinson, O., Rundus, A., Sanz, C.M., Okon, D.T., Todd, A., Warren, Y. &amp; Sommer, V. (2014). Protected areas in tropical Africa: assessing threats and conservation activities. </w:t>
      </w:r>
      <w:r w:rsidRPr="00814265">
        <w:rPr>
          <w:i/>
          <w:iCs/>
          <w:noProof/>
          <w:lang w:val="pt-BR"/>
        </w:rPr>
        <w:t>PLoS One</w:t>
      </w:r>
      <w:r w:rsidRPr="00814265">
        <w:rPr>
          <w:noProof/>
          <w:lang w:val="pt-BR"/>
        </w:rPr>
        <w:t>, 9, e114154.</w:t>
      </w:r>
    </w:p>
    <w:p w14:paraId="3A50E752"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Tratado de Cooperacion Amazonìca. (1995). </w:t>
      </w:r>
      <w:r w:rsidRPr="00814265">
        <w:rPr>
          <w:i/>
          <w:iCs/>
          <w:noProof/>
          <w:lang w:val="pt-BR"/>
        </w:rPr>
        <w:t>Uso y conservacion de la fauna silvestre en la Amazonia.</w:t>
      </w:r>
      <w:r w:rsidRPr="00814265">
        <w:rPr>
          <w:noProof/>
          <w:lang w:val="pt-BR"/>
        </w:rPr>
        <w:t xml:space="preserve"> Lima, Peru.</w:t>
      </w:r>
    </w:p>
    <w:p w14:paraId="4CC70723"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Ubink, J.M., Hoekema, A.J. &amp; Assies, W.J. (2016). </w:t>
      </w:r>
      <w:r w:rsidRPr="001D376A">
        <w:rPr>
          <w:i/>
          <w:iCs/>
          <w:noProof/>
        </w:rPr>
        <w:t>Legalising land rights. Local practices, state responses and tenure security in Africa, Asia and Latin America</w:t>
      </w:r>
      <w:r w:rsidRPr="001D376A">
        <w:rPr>
          <w:noProof/>
        </w:rPr>
        <w:t>. Leiden University Press, Leiden, Netherlands.</w:t>
      </w:r>
    </w:p>
    <w:p w14:paraId="0A69951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UNDESA. (2014). </w:t>
      </w:r>
      <w:r w:rsidRPr="001D376A">
        <w:rPr>
          <w:i/>
          <w:iCs/>
          <w:noProof/>
        </w:rPr>
        <w:t>World urbanization prospects: The 2014 revision</w:t>
      </w:r>
      <w:r w:rsidRPr="001D376A">
        <w:rPr>
          <w:noProof/>
        </w:rPr>
        <w:t>. UNDESA (United Nations, Department of Economic and Social Affairs).</w:t>
      </w:r>
    </w:p>
    <w:p w14:paraId="0F898939" w14:textId="77777777" w:rsidR="001D376A" w:rsidRPr="001D376A" w:rsidRDefault="001D376A" w:rsidP="001D376A">
      <w:pPr>
        <w:widowControl w:val="0"/>
        <w:autoSpaceDE w:val="0"/>
        <w:autoSpaceDN w:val="0"/>
        <w:adjustRightInd w:val="0"/>
        <w:ind w:left="480" w:hanging="480"/>
        <w:rPr>
          <w:noProof/>
        </w:rPr>
      </w:pPr>
      <w:r w:rsidRPr="001D376A">
        <w:rPr>
          <w:noProof/>
        </w:rPr>
        <w:t>UNEP-WCMC, UNDP, GEF, IUCN, WCPA &amp; BMU. (2018). ICCA Registry [WWW Document]. URL http://www.iccaregistry.org</w:t>
      </w:r>
    </w:p>
    <w:p w14:paraId="2A61F87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UNODC. (2016). </w:t>
      </w:r>
      <w:r w:rsidRPr="001D376A">
        <w:rPr>
          <w:i/>
          <w:iCs/>
          <w:noProof/>
        </w:rPr>
        <w:t>World Wildlife Crime Report: Trafficking in protected species</w:t>
      </w:r>
      <w:r w:rsidRPr="001D376A">
        <w:rPr>
          <w:noProof/>
        </w:rPr>
        <w:t>. United Nations Office on Drugs and Crime, Vienna, Austria.</w:t>
      </w:r>
    </w:p>
    <w:p w14:paraId="0B85E63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Valsecchi, J., El Bizri, H. &amp; Figueira, J. (2014). Subsistence hunting of Cuniculus pacain the </w:t>
      </w:r>
      <w:r w:rsidRPr="001D376A">
        <w:rPr>
          <w:noProof/>
        </w:rPr>
        <w:lastRenderedPageBreak/>
        <w:t xml:space="preserve">middle of the Solimões River, Amazonas, Brazil. </w:t>
      </w:r>
      <w:r w:rsidRPr="001D376A">
        <w:rPr>
          <w:i/>
          <w:iCs/>
          <w:noProof/>
        </w:rPr>
        <w:t>Brazilian J. Biol.</w:t>
      </w:r>
      <w:r w:rsidRPr="001D376A">
        <w:rPr>
          <w:noProof/>
        </w:rPr>
        <w:t>, 74, 560–568.</w:t>
      </w:r>
    </w:p>
    <w:p w14:paraId="2ADE996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Vansina, J. (1990). </w:t>
      </w:r>
      <w:r w:rsidRPr="001D376A">
        <w:rPr>
          <w:i/>
          <w:iCs/>
          <w:noProof/>
        </w:rPr>
        <w:t>Paths in the rainforest: toward a history of political tradition in equatorial Africa</w:t>
      </w:r>
      <w:r w:rsidRPr="001D376A">
        <w:rPr>
          <w:noProof/>
        </w:rPr>
        <w:t>. University of Wisconsin Press, Wisconsin, USA.</w:t>
      </w:r>
    </w:p>
    <w:p w14:paraId="38B0368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 Velden, J., Wilson, K. &amp; Biggs, D. (2018). The evidence for the bushmeat crisis in African savannas: a systematic quantitative literature review. </w:t>
      </w:r>
      <w:r w:rsidRPr="001D376A">
        <w:rPr>
          <w:i/>
          <w:iCs/>
          <w:noProof/>
        </w:rPr>
        <w:t>Biol. Conserv.</w:t>
      </w:r>
      <w:r w:rsidRPr="001D376A">
        <w:rPr>
          <w:noProof/>
        </w:rPr>
        <w:t>, 221, 345–356.</w:t>
      </w:r>
    </w:p>
    <w:p w14:paraId="5B28834D"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Veríssimo, D. (2013). Influencing human behaviour: an underutilised tool for biodiversity management. </w:t>
      </w:r>
      <w:r w:rsidRPr="00814265">
        <w:rPr>
          <w:i/>
          <w:iCs/>
          <w:noProof/>
          <w:lang w:val="pt-BR"/>
        </w:rPr>
        <w:t>Conserv. Evid.</w:t>
      </w:r>
      <w:r w:rsidRPr="00814265">
        <w:rPr>
          <w:noProof/>
          <w:lang w:val="pt-BR"/>
        </w:rPr>
        <w:t>, 29–31.</w:t>
      </w:r>
    </w:p>
    <w:p w14:paraId="3C420BE5"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Veríssimo, D., Schmid, C., Kimario, F.F. &amp; Eves, H.E. (2018). </w:t>
      </w:r>
      <w:r w:rsidRPr="001D376A">
        <w:rPr>
          <w:noProof/>
        </w:rPr>
        <w:t xml:space="preserve">Measuring the impact of an entertainment-education intervention to reduce demand for bushmeat. </w:t>
      </w:r>
      <w:r w:rsidRPr="001D376A">
        <w:rPr>
          <w:i/>
          <w:iCs/>
          <w:noProof/>
        </w:rPr>
        <w:t>Anim. Conserv.</w:t>
      </w:r>
      <w:r w:rsidRPr="001D376A">
        <w:rPr>
          <w:noProof/>
        </w:rPr>
        <w:t>, 1–8.</w:t>
      </w:r>
    </w:p>
    <w:p w14:paraId="4CCF31BF"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Veríssimo, D. &amp; Wan, A.K.Y. (2018). Characterising the efforts to reduce consumer demand for wildlife products. </w:t>
      </w:r>
      <w:r w:rsidRPr="00814265">
        <w:rPr>
          <w:i/>
          <w:iCs/>
          <w:noProof/>
          <w:lang w:val="pt-BR"/>
        </w:rPr>
        <w:t>SocArXiv</w:t>
      </w:r>
      <w:r w:rsidRPr="00814265">
        <w:rPr>
          <w:noProof/>
          <w:lang w:val="pt-BR"/>
        </w:rPr>
        <w:t>, February 2.</w:t>
      </w:r>
    </w:p>
    <w:p w14:paraId="43B45942"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Viana, J.P., Castello, L., Damasceno, J.M.B., Amaral, E.S.R., Estupinan, G.M.B., Arantes, C., Batista, G.S., GARCEZ, D.S. &amp; BARBOSA, S. (2007). Manejo Comunitário do Pirarucu Arapaima gigas na Reserva de Desenvolvimento Sustentável Mamirauá - Amazonas, Brasil. In: </w:t>
      </w:r>
      <w:r w:rsidRPr="00814265">
        <w:rPr>
          <w:i/>
          <w:iCs/>
          <w:noProof/>
          <w:lang w:val="pt-BR"/>
        </w:rPr>
        <w:t>Áreas Aquáticas Protegidas como Instrum. Gestão Pesqueira. Série Áreas Protegidas do Bras. Vol. 4.</w:t>
      </w:r>
      <w:r w:rsidRPr="00814265">
        <w:rPr>
          <w:noProof/>
          <w:lang w:val="pt-BR"/>
        </w:rPr>
        <w:t xml:space="preserve"> Ministério do Meio Ambiente e IBAMA., Brasillia.</w:t>
      </w:r>
    </w:p>
    <w:p w14:paraId="78D10FE4"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Vickers, W.T. (1994). </w:t>
      </w:r>
      <w:r w:rsidRPr="001D376A">
        <w:rPr>
          <w:noProof/>
        </w:rPr>
        <w:t xml:space="preserve">From opportunism to nascent conservation - The case of the Siona-Secoya. </w:t>
      </w:r>
      <w:r w:rsidRPr="00814265">
        <w:rPr>
          <w:i/>
          <w:iCs/>
          <w:noProof/>
          <w:lang w:val="pt-BR"/>
        </w:rPr>
        <w:t>Hum. Nat.</w:t>
      </w:r>
      <w:r w:rsidRPr="00814265">
        <w:rPr>
          <w:noProof/>
          <w:lang w:val="pt-BR"/>
        </w:rPr>
        <w:t>, 5, 307–337.</w:t>
      </w:r>
    </w:p>
    <w:p w14:paraId="075B92A5"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Vieira, M.A.R. de M., von Muhlen, E.M. &amp; Shepard, G.H. (2015). </w:t>
      </w:r>
      <w:r w:rsidRPr="001D376A">
        <w:rPr>
          <w:noProof/>
        </w:rPr>
        <w:t xml:space="preserve">Participatory monitoring and management of subsistence hunting in the Piagaçu-Purus reserve, Brazil. </w:t>
      </w:r>
      <w:r w:rsidRPr="001D376A">
        <w:rPr>
          <w:i/>
          <w:iCs/>
          <w:noProof/>
        </w:rPr>
        <w:t>Conserv. Soc.</w:t>
      </w:r>
      <w:r w:rsidRPr="001D376A">
        <w:rPr>
          <w:noProof/>
        </w:rPr>
        <w:t>, 13, 254–264.</w:t>
      </w:r>
    </w:p>
    <w:p w14:paraId="5F157E4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Vinceti, B., Termote, C., Ickowitz, A., Powell, B., Kehlenbeck, K. &amp; Hunter, D. (2013). The contribution of forests and trees to sustainable diets. </w:t>
      </w:r>
      <w:r w:rsidRPr="001D376A">
        <w:rPr>
          <w:i/>
          <w:iCs/>
          <w:noProof/>
        </w:rPr>
        <w:t>Sustainability</w:t>
      </w:r>
      <w:r w:rsidRPr="001D376A">
        <w:rPr>
          <w:noProof/>
        </w:rPr>
        <w:t>, 5, 4797–4824.</w:t>
      </w:r>
    </w:p>
    <w:p w14:paraId="569B89A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 Vliet, N. (2011). </w:t>
      </w:r>
      <w:r w:rsidRPr="001D376A">
        <w:rPr>
          <w:i/>
          <w:iCs/>
          <w:noProof/>
        </w:rPr>
        <w:t>Livelihood alternatives for the unsustainable use of bushmeat. Report prepared for the CBD Bushmeat Liaison Group. CBD Technical Series No. 60</w:t>
      </w:r>
      <w:r w:rsidRPr="001D376A">
        <w:rPr>
          <w:noProof/>
        </w:rPr>
        <w:t>. Secretariat of the Convention on Biological Diversity, Montreal, Canada.</w:t>
      </w:r>
    </w:p>
    <w:p w14:paraId="27FC5CD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 Vliet, N., Fa, J. &amp; Nasi, R. (2015a). Managing hunting under uncertainty: From one-off ecological indicators to esilience approaches in assessing the sustainability of bushmeat hunting. </w:t>
      </w:r>
      <w:r w:rsidRPr="001D376A">
        <w:rPr>
          <w:i/>
          <w:iCs/>
          <w:noProof/>
        </w:rPr>
        <w:t>Ecol. Soc.</w:t>
      </w:r>
      <w:r w:rsidRPr="001D376A">
        <w:rPr>
          <w:noProof/>
        </w:rPr>
        <w:t>, 20, 7.</w:t>
      </w:r>
    </w:p>
    <w:p w14:paraId="1781FB59"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Van Vliet, N., Fa, J. &amp; Nasi, R. (2015b). Managing hunting under uncertainty : from one- off ecological indicators to resilience approaches in assessing the sustainability of bushmeat hunting. </w:t>
      </w:r>
      <w:r w:rsidRPr="00814265">
        <w:rPr>
          <w:i/>
          <w:iCs/>
          <w:noProof/>
          <w:lang w:val="pt-BR"/>
        </w:rPr>
        <w:t>Ecol. Soc.</w:t>
      </w:r>
      <w:r w:rsidRPr="00814265">
        <w:rPr>
          <w:noProof/>
          <w:lang w:val="pt-BR"/>
        </w:rPr>
        <w:t>, 20, 7.</w:t>
      </w:r>
    </w:p>
    <w:p w14:paraId="70944000"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Van Vliet, N., Gomez, J., Quiceno-Mesa, M.P., Escobar, J.F., Andrade, G., Vanegas, L.A. &amp; Nasi, R. (2015c). </w:t>
      </w:r>
      <w:r w:rsidRPr="001D376A">
        <w:rPr>
          <w:noProof/>
        </w:rPr>
        <w:t xml:space="preserve">Sustainable wildlife management and legal commercial use of bushmeat in Colombia: the resource remains at the cross-road. </w:t>
      </w:r>
      <w:r w:rsidRPr="001D376A">
        <w:rPr>
          <w:i/>
          <w:iCs/>
          <w:noProof/>
        </w:rPr>
        <w:t>Int. For. Rev.</w:t>
      </w:r>
      <w:r w:rsidRPr="001D376A">
        <w:rPr>
          <w:noProof/>
        </w:rPr>
        <w:t>, 17, 438–447.</w:t>
      </w:r>
    </w:p>
    <w:p w14:paraId="02682276"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Van Vliet, N. &amp; Mbazza, P. (2011). Recognizing the multiple reasons for bushmeat consumption in urban areas: a necessary step toward the sustainable use of wildlife for food in Central Africa. </w:t>
      </w:r>
      <w:r w:rsidRPr="001D376A">
        <w:rPr>
          <w:i/>
          <w:iCs/>
          <w:noProof/>
        </w:rPr>
        <w:t>Hum. Dimens. Wiildlife</w:t>
      </w:r>
      <w:r w:rsidRPr="001D376A">
        <w:rPr>
          <w:noProof/>
        </w:rPr>
        <w:t>, 16, 45–54.</w:t>
      </w:r>
    </w:p>
    <w:p w14:paraId="6FFEB00D"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 Vliet, N., Moreno, J., Gómez, J., Zhou, W., Fa, J.E., Golden, C., Alves, R.R.N. &amp; Nasi, R. (2017a). Bushmeat and human health: assessing the evidence in tropical and sub-tropical forests. </w:t>
      </w:r>
      <w:r w:rsidRPr="001D376A">
        <w:rPr>
          <w:i/>
          <w:iCs/>
          <w:noProof/>
        </w:rPr>
        <w:t>Ethnobiol. Conserv.</w:t>
      </w:r>
      <w:r w:rsidRPr="001D376A">
        <w:rPr>
          <w:noProof/>
        </w:rPr>
        <w:t>, 6.</w:t>
      </w:r>
    </w:p>
    <w:p w14:paraId="18B4E2D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 Vliet, N., Muhindo, J., Kambale Nyumu, J., Mushagalusa, O. &amp; Nasi, R. (2018a). Mammal depletion processes as evidenced from spatially explicit and temporal local ecological knowledge. </w:t>
      </w:r>
      <w:r w:rsidRPr="001D376A">
        <w:rPr>
          <w:i/>
          <w:iCs/>
          <w:noProof/>
        </w:rPr>
        <w:t>Trop. Conserv. Sci.</w:t>
      </w:r>
      <w:r w:rsidRPr="001D376A">
        <w:rPr>
          <w:noProof/>
        </w:rPr>
        <w:t>, 11, 1–16.</w:t>
      </w:r>
    </w:p>
    <w:p w14:paraId="6E6FA6F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 Vliet, N., Muhindo, J., Nebesse, C., Gambalemoke, S. &amp; Nasi, R. (2017b). Trends in bushmeat trade in a postconflict forest town: implications for food. </w:t>
      </w:r>
      <w:r w:rsidRPr="001D376A">
        <w:rPr>
          <w:i/>
          <w:iCs/>
          <w:noProof/>
        </w:rPr>
        <w:t>Ecol. Soc.</w:t>
      </w:r>
      <w:r w:rsidRPr="001D376A">
        <w:rPr>
          <w:noProof/>
        </w:rPr>
        <w:t>, 22, 35.</w:t>
      </w:r>
    </w:p>
    <w:p w14:paraId="4C65A03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 Vliet, N. &amp; Nasi, R. (2008). Hunting for livelihood in northeast Gabon: patterns, evolution, and sustainability. </w:t>
      </w:r>
      <w:r w:rsidRPr="001D376A">
        <w:rPr>
          <w:i/>
          <w:iCs/>
          <w:noProof/>
        </w:rPr>
        <w:t>Ecol. Soc.</w:t>
      </w:r>
      <w:r w:rsidRPr="001D376A">
        <w:rPr>
          <w:noProof/>
        </w:rPr>
        <w:t>, 13, 33.</w:t>
      </w:r>
    </w:p>
    <w:p w14:paraId="71C0E85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 Vliet, N. &amp; Nasi, R. (2008). Why do models fail to assess properly the sustainability of duiker (Cephalophus spp.) hunting in Central Africa? </w:t>
      </w:r>
      <w:r w:rsidRPr="001D376A">
        <w:rPr>
          <w:i/>
          <w:iCs/>
          <w:noProof/>
        </w:rPr>
        <w:t>Oryx</w:t>
      </w:r>
      <w:r w:rsidRPr="001D376A">
        <w:rPr>
          <w:noProof/>
        </w:rPr>
        <w:t>, 42, 392–399.</w:t>
      </w:r>
    </w:p>
    <w:p w14:paraId="109E9446"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 Vliet, N. &amp; Nasi, R. (2018). What do we know about the life-history traits of widely hunted tropical mammals? </w:t>
      </w:r>
      <w:r w:rsidRPr="001D376A">
        <w:rPr>
          <w:i/>
          <w:iCs/>
          <w:noProof/>
        </w:rPr>
        <w:t>Oryx</w:t>
      </w:r>
      <w:r w:rsidRPr="001D376A">
        <w:rPr>
          <w:noProof/>
        </w:rPr>
        <w:t>, 1–7.</w:t>
      </w:r>
    </w:p>
    <w:p w14:paraId="2EAAF14F"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Van Vliet, N., Nebesse, C., Gambalemoke, S., Akaibe, D. &amp; Nasi, R. (2012). The bushmeat market in Kisangani, Democratic Republic of Congo: Implications for conservation and food security. </w:t>
      </w:r>
      <w:r w:rsidRPr="00814265">
        <w:rPr>
          <w:i/>
          <w:iCs/>
          <w:noProof/>
          <w:lang w:val="pt-BR"/>
        </w:rPr>
        <w:t>Oryx</w:t>
      </w:r>
      <w:r w:rsidRPr="00814265">
        <w:rPr>
          <w:noProof/>
          <w:lang w:val="pt-BR"/>
        </w:rPr>
        <w:t>, 46, 196–203.</w:t>
      </w:r>
    </w:p>
    <w:p w14:paraId="6EF84028"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Van Vliet, N., Quiceno-mesa, M.P., Cruz-antia, D., Jonhson, L., Aquino, N. De, Moreno, J. &amp; Nasi, R. (2014). </w:t>
      </w:r>
      <w:r w:rsidRPr="001D376A">
        <w:rPr>
          <w:noProof/>
        </w:rPr>
        <w:t xml:space="preserve">The uncovered volumes of bushmeat commercialized in the Amazonian trifrontier between Colombia, Peru &amp; Brazil. </w:t>
      </w:r>
      <w:r w:rsidRPr="00814265">
        <w:rPr>
          <w:i/>
          <w:iCs/>
          <w:noProof/>
          <w:lang w:val="pt-BR"/>
        </w:rPr>
        <w:t>Ethnobiol. Conserv.</w:t>
      </w:r>
      <w:r w:rsidRPr="00814265">
        <w:rPr>
          <w:noProof/>
          <w:lang w:val="pt-BR"/>
        </w:rPr>
        <w:t>, 3, 1–11.</w:t>
      </w:r>
    </w:p>
    <w:p w14:paraId="44C24447" w14:textId="77777777" w:rsidR="001D376A" w:rsidRPr="00814265" w:rsidRDefault="001D376A" w:rsidP="001D376A">
      <w:pPr>
        <w:widowControl w:val="0"/>
        <w:autoSpaceDE w:val="0"/>
        <w:autoSpaceDN w:val="0"/>
        <w:adjustRightInd w:val="0"/>
        <w:ind w:left="480" w:hanging="480"/>
        <w:rPr>
          <w:noProof/>
          <w:lang w:val="pt-BR"/>
        </w:rPr>
      </w:pPr>
      <w:r w:rsidRPr="00814265">
        <w:rPr>
          <w:noProof/>
          <w:lang w:val="pt-BR"/>
        </w:rPr>
        <w:t xml:space="preserve">Van Vliet, N., Quiceno-mesa, M.P., Cruz-antia, D., Tellez, L., Martins, C., Haiden, E., Oliveira, R. De, Adams, C., Morsello, C., Valencia, L., Bonilla, T., Yagüe, B. &amp; Nasi, R. (2015d). </w:t>
      </w:r>
      <w:r w:rsidRPr="001D376A">
        <w:rPr>
          <w:noProof/>
        </w:rPr>
        <w:t xml:space="preserve">From fish and bushmeat to chicken nuggets : the nutrition transition in a continuum from rural to urban settings in the Colombian Amazon region. </w:t>
      </w:r>
      <w:r w:rsidRPr="00814265">
        <w:rPr>
          <w:i/>
          <w:iCs/>
          <w:noProof/>
          <w:lang w:val="pt-BR"/>
        </w:rPr>
        <w:t>Ethnobiol. Conserv.</w:t>
      </w:r>
      <w:r w:rsidRPr="00814265">
        <w:rPr>
          <w:noProof/>
          <w:lang w:val="pt-BR"/>
        </w:rPr>
        <w:t>, 4.</w:t>
      </w:r>
    </w:p>
    <w:p w14:paraId="6BC23A79"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Van Vliet, N., Quiceno, M., Moreno, J., Cruz, D., Fa, J.E. &amp; Nasi, R. (2017c). </w:t>
      </w:r>
      <w:r w:rsidRPr="001D376A">
        <w:rPr>
          <w:noProof/>
        </w:rPr>
        <w:t xml:space="preserve">Is urban bushmeat trade in Colombia really insignificant? </w:t>
      </w:r>
      <w:r w:rsidRPr="001D376A">
        <w:rPr>
          <w:i/>
          <w:iCs/>
          <w:noProof/>
        </w:rPr>
        <w:t>Oryx</w:t>
      </w:r>
      <w:r w:rsidRPr="001D376A">
        <w:rPr>
          <w:noProof/>
        </w:rPr>
        <w:t>, 51, 305–314.</w:t>
      </w:r>
    </w:p>
    <w:p w14:paraId="154A164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 Vliet, N., Quiceno, M.P., Cruz, D., Jonhson, L., de Aquino, N., Yagüe, B. &amp; Schor, T. (2015e). Bushmeat networks link the forest to urban areas in the trifrontier region between Brazil, Colombia, and Peru. </w:t>
      </w:r>
      <w:r w:rsidRPr="001D376A">
        <w:rPr>
          <w:i/>
          <w:iCs/>
          <w:noProof/>
        </w:rPr>
        <w:t>Ecol. Soc.</w:t>
      </w:r>
      <w:r w:rsidRPr="001D376A">
        <w:rPr>
          <w:noProof/>
        </w:rPr>
        <w:t>, 20, 21.</w:t>
      </w:r>
    </w:p>
    <w:p w14:paraId="5644EE2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 Vliet, N., Schulte-Herbruggen, B., Vanegas, L., Yair-Cuesta, E., Sandrin, F. &amp; Nasi, R. (2018b). Wild animals (fish and wildmeat) contribute to dietary diversity among food insecure urban teenagers the case of Quibdó, Colombia. </w:t>
      </w:r>
      <w:r w:rsidRPr="001D376A">
        <w:rPr>
          <w:i/>
          <w:iCs/>
          <w:noProof/>
        </w:rPr>
        <w:t>Ethnobiol. Conserv.</w:t>
      </w:r>
      <w:r w:rsidRPr="001D376A">
        <w:rPr>
          <w:noProof/>
        </w:rPr>
        <w:t>, 7, 1–15.</w:t>
      </w:r>
    </w:p>
    <w:p w14:paraId="2D71BBB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 de Waal, M. &amp; Djoh, E. (2001). </w:t>
      </w:r>
      <w:r w:rsidRPr="001D376A">
        <w:rPr>
          <w:i/>
          <w:iCs/>
          <w:noProof/>
        </w:rPr>
        <w:t>Community Hunting Zones: First Steps in the Decentralisation of Wildlife Management. Observations from the Village of Djaposten, Cameroon</w:t>
      </w:r>
      <w:r w:rsidRPr="001D376A">
        <w:rPr>
          <w:noProof/>
        </w:rPr>
        <w:t>. London, UK.</w:t>
      </w:r>
    </w:p>
    <w:p w14:paraId="7F3A477E" w14:textId="77777777" w:rsidR="001D376A" w:rsidRPr="001D376A" w:rsidRDefault="001D376A" w:rsidP="001D376A">
      <w:pPr>
        <w:widowControl w:val="0"/>
        <w:autoSpaceDE w:val="0"/>
        <w:autoSpaceDN w:val="0"/>
        <w:adjustRightInd w:val="0"/>
        <w:ind w:left="480" w:hanging="480"/>
        <w:rPr>
          <w:noProof/>
        </w:rPr>
      </w:pPr>
      <w:r w:rsidRPr="001D376A">
        <w:rPr>
          <w:noProof/>
        </w:rPr>
        <w:lastRenderedPageBreak/>
        <w:t xml:space="preserve">Wade, P.R. (1998). Calculating limits to the allowable human-caused mortality of cetaceans and pinnepeds. </w:t>
      </w:r>
      <w:r w:rsidRPr="001D376A">
        <w:rPr>
          <w:i/>
          <w:iCs/>
          <w:noProof/>
        </w:rPr>
        <w:t>Mar. Mammal Sci.</w:t>
      </w:r>
      <w:r w:rsidRPr="001D376A">
        <w:rPr>
          <w:noProof/>
        </w:rPr>
        <w:t>, 14, 1–37.</w:t>
      </w:r>
    </w:p>
    <w:p w14:paraId="79D5B6F0"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Waite, T.A. (2007). Revisiting evidence for sustainability of bushmeat hunting in West Africa. </w:t>
      </w:r>
      <w:r w:rsidRPr="001D376A">
        <w:rPr>
          <w:i/>
          <w:iCs/>
          <w:noProof/>
        </w:rPr>
        <w:t>Environ. Manage.</w:t>
      </w:r>
      <w:r w:rsidRPr="001D376A">
        <w:rPr>
          <w:noProof/>
        </w:rPr>
        <w:t>, 40, 476–480.</w:t>
      </w:r>
    </w:p>
    <w:p w14:paraId="16D8134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Walsh, P.D., Abernethy, K.A., Bermejo, M., Beyers, R., Wachter, P. De, Akou, M.E. &amp; Huijbregts, B. (2003). Catastrophic ape decline in western equatorial Africa. </w:t>
      </w:r>
      <w:r w:rsidRPr="001D376A">
        <w:rPr>
          <w:i/>
          <w:iCs/>
          <w:noProof/>
        </w:rPr>
        <w:t>Nature</w:t>
      </w:r>
      <w:r w:rsidRPr="001D376A">
        <w:rPr>
          <w:noProof/>
        </w:rPr>
        <w:t>, 422, 611–614.</w:t>
      </w:r>
    </w:p>
    <w:p w14:paraId="7A68F2B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Walters, G. (2012). Customary Fire Regimes and Vegetation Structure in Gabon’s Bateke Plateaux. </w:t>
      </w:r>
      <w:r w:rsidRPr="001D376A">
        <w:rPr>
          <w:i/>
          <w:iCs/>
          <w:noProof/>
        </w:rPr>
        <w:t>Hum. Ecol.</w:t>
      </w:r>
      <w:r w:rsidRPr="001D376A">
        <w:rPr>
          <w:noProof/>
        </w:rPr>
        <w:t>, 40, 943–955.</w:t>
      </w:r>
    </w:p>
    <w:p w14:paraId="2733775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Walters, G., Schleicher, J., Hymas, O. &amp; Coad, L. (2015). Evolving hunting practices in gabon: Lessons for community-based conservation interventions. </w:t>
      </w:r>
      <w:r w:rsidRPr="001D376A">
        <w:rPr>
          <w:i/>
          <w:iCs/>
          <w:noProof/>
        </w:rPr>
        <w:t>Ecol. Soc.</w:t>
      </w:r>
      <w:r w:rsidRPr="001D376A">
        <w:rPr>
          <w:noProof/>
        </w:rPr>
        <w:t>, 20.</w:t>
      </w:r>
    </w:p>
    <w:p w14:paraId="7C756AEA" w14:textId="77777777" w:rsidR="001D376A" w:rsidRPr="00814265" w:rsidRDefault="001D376A" w:rsidP="001D376A">
      <w:pPr>
        <w:widowControl w:val="0"/>
        <w:autoSpaceDE w:val="0"/>
        <w:autoSpaceDN w:val="0"/>
        <w:adjustRightInd w:val="0"/>
        <w:ind w:left="480" w:hanging="480"/>
        <w:rPr>
          <w:noProof/>
          <w:lang w:val="pt-BR"/>
        </w:rPr>
      </w:pPr>
      <w:r w:rsidRPr="001D376A">
        <w:rPr>
          <w:noProof/>
        </w:rPr>
        <w:t xml:space="preserve">Watson, J.E.M., Shanahan, D.F., Di Marco, M., Allan, J., Laurance, W.F., Sanderson, E.W., Mackey, B. &amp; Venter, O. (2016). Catastrophic declines in wilderness areas undermine global environment targets. </w:t>
      </w:r>
      <w:r w:rsidRPr="001D376A">
        <w:rPr>
          <w:i/>
          <w:iCs/>
          <w:noProof/>
        </w:rPr>
        <w:t xml:space="preserve">Curr. </w:t>
      </w:r>
      <w:r w:rsidRPr="00814265">
        <w:rPr>
          <w:i/>
          <w:iCs/>
          <w:noProof/>
          <w:lang w:val="pt-BR"/>
        </w:rPr>
        <w:t>Biol.</w:t>
      </w:r>
      <w:r w:rsidRPr="00814265">
        <w:rPr>
          <w:noProof/>
          <w:lang w:val="pt-BR"/>
        </w:rPr>
        <w:t>, 26, 2929–2934.</w:t>
      </w:r>
    </w:p>
    <w:p w14:paraId="3F9382F3" w14:textId="77777777" w:rsidR="001D376A" w:rsidRPr="001D376A" w:rsidRDefault="001D376A" w:rsidP="001D376A">
      <w:pPr>
        <w:widowControl w:val="0"/>
        <w:autoSpaceDE w:val="0"/>
        <w:autoSpaceDN w:val="0"/>
        <w:adjustRightInd w:val="0"/>
        <w:ind w:left="480" w:hanging="480"/>
        <w:rPr>
          <w:noProof/>
        </w:rPr>
      </w:pPr>
      <w:r w:rsidRPr="00814265">
        <w:rPr>
          <w:noProof/>
          <w:lang w:val="pt-BR"/>
        </w:rPr>
        <w:t xml:space="preserve">WCS. (2007). </w:t>
      </w:r>
      <w:r w:rsidRPr="00814265">
        <w:rPr>
          <w:i/>
          <w:iCs/>
          <w:noProof/>
          <w:lang w:val="pt-BR"/>
        </w:rPr>
        <w:t xml:space="preserve">El tráfico de carne silvestre en el Parque Nacional Yasuní: caracterización de un mercado creciente en la Amazonía norte del Ecuador. </w:t>
      </w:r>
      <w:r w:rsidRPr="001D376A">
        <w:rPr>
          <w:i/>
          <w:iCs/>
          <w:noProof/>
        </w:rPr>
        <w:t>Programa Ecuador Boletín No. 2.</w:t>
      </w:r>
      <w:r w:rsidRPr="001D376A">
        <w:rPr>
          <w:noProof/>
        </w:rPr>
        <w:t xml:space="preserve"> WCS, Quito, Ecuador.</w:t>
      </w:r>
    </w:p>
    <w:p w14:paraId="19138C8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WCS &amp; TRAFFIC. (2004). </w:t>
      </w:r>
      <w:r w:rsidRPr="001D376A">
        <w:rPr>
          <w:i/>
          <w:iCs/>
          <w:noProof/>
        </w:rPr>
        <w:t>Hunting and wildlife trade in Asia. Proceedings of a strategic planning meeting of the Wildlife Conservation Society and TRAFFIC.</w:t>
      </w:r>
      <w:r w:rsidRPr="001D376A">
        <w:rPr>
          <w:noProof/>
        </w:rPr>
        <w:t xml:space="preserve"> Bali, Indonesia.</w:t>
      </w:r>
    </w:p>
    <w:p w14:paraId="1E01FDB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Weber, D.S., Mandler, T., Dyck, M., Coeverden, P.J. Van, Groot, D., Lee, D.S. &amp; Clark, D.A. (2015). Unexpected and undesired conservation outcomes of wildlife trade bans-An emerging problem for stakeholders? </w:t>
      </w:r>
      <w:r w:rsidRPr="001D376A">
        <w:rPr>
          <w:i/>
          <w:iCs/>
          <w:noProof/>
        </w:rPr>
        <w:t>Glob. Ecol. Conserv.</w:t>
      </w:r>
      <w:r w:rsidRPr="001D376A">
        <w:rPr>
          <w:noProof/>
        </w:rPr>
        <w:t>, 3, 389–400.</w:t>
      </w:r>
    </w:p>
    <w:p w14:paraId="4D70236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Weinbaum, K.Z., Brashares, J.S., Golden, C.D. &amp; Getz, W.M. (2013). Searching for sustainability: are assessments of wildlife harvests behind the times? </w:t>
      </w:r>
      <w:r w:rsidRPr="001D376A">
        <w:rPr>
          <w:i/>
          <w:iCs/>
          <w:noProof/>
        </w:rPr>
        <w:t>Ecol. Lett.</w:t>
      </w:r>
      <w:r w:rsidRPr="001D376A">
        <w:rPr>
          <w:noProof/>
        </w:rPr>
        <w:t>, 16, 99–111.</w:t>
      </w:r>
    </w:p>
    <w:p w14:paraId="620C491E"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Welch, J.R. (2014). Xavante ritual hunting: anthropogenic fire, reciprocity, and collective landscape management in the Brazilian Cerrado. </w:t>
      </w:r>
      <w:r w:rsidRPr="001D376A">
        <w:rPr>
          <w:i/>
          <w:iCs/>
          <w:noProof/>
        </w:rPr>
        <w:t>Hum. Ecol.</w:t>
      </w:r>
      <w:r w:rsidRPr="001D376A">
        <w:rPr>
          <w:noProof/>
        </w:rPr>
        <w:t>, 42, 47–59.</w:t>
      </w:r>
    </w:p>
    <w:p w14:paraId="0C5DDE0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Whitman, K., Starfield, A.M., Quadling, H.S. &amp; Packer, C. (2004). Sustainable trophy hunting of African lions. </w:t>
      </w:r>
      <w:r w:rsidRPr="001D376A">
        <w:rPr>
          <w:i/>
          <w:iCs/>
          <w:noProof/>
        </w:rPr>
        <w:t>Nature</w:t>
      </w:r>
      <w:r w:rsidRPr="001D376A">
        <w:rPr>
          <w:noProof/>
        </w:rPr>
        <w:t>, 428, 175–178.</w:t>
      </w:r>
    </w:p>
    <w:p w14:paraId="081BECD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WHO, FAO &amp; UNU. (2002). </w:t>
      </w:r>
      <w:r w:rsidRPr="001D376A">
        <w:rPr>
          <w:i/>
          <w:iCs/>
          <w:noProof/>
        </w:rPr>
        <w:t>Protein and amino acid requirements in human nutrition</w:t>
      </w:r>
      <w:r w:rsidRPr="001D376A">
        <w:rPr>
          <w:noProof/>
        </w:rPr>
        <w:t>. Geneva, Switzerland.</w:t>
      </w:r>
    </w:p>
    <w:p w14:paraId="3258D6D5"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Wicander, S. &amp; Coad, L. (2015). </w:t>
      </w:r>
      <w:r w:rsidRPr="001D376A">
        <w:rPr>
          <w:i/>
          <w:iCs/>
          <w:noProof/>
        </w:rPr>
        <w:t>Learning our Lessons. A review of alternative livelihood projects in Central Africa</w:t>
      </w:r>
      <w:r w:rsidRPr="001D376A">
        <w:rPr>
          <w:noProof/>
        </w:rPr>
        <w:t>. University of Oxford, Oxford, UK, and IUCN, Gland, Switzerland.</w:t>
      </w:r>
    </w:p>
    <w:p w14:paraId="1536791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Wicander, S. &amp; Coad, L. (2018). Can the provision of alternative livelihoods reduce the impact of wild meat hunting in West and Central Africa? </w:t>
      </w:r>
      <w:r w:rsidRPr="001D376A">
        <w:rPr>
          <w:i/>
          <w:iCs/>
          <w:noProof/>
        </w:rPr>
        <w:t>Conserv. Soc.</w:t>
      </w:r>
      <w:r w:rsidRPr="001D376A">
        <w:rPr>
          <w:noProof/>
        </w:rPr>
        <w:t>, 16, 441–458.</w:t>
      </w:r>
    </w:p>
    <w:p w14:paraId="65D0BE7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Wilcove, D.S., Giam, X., Edwards, D.P., Fisher, B. &amp; Koh, L.P. (2013). Navjot’s nightmare </w:t>
      </w:r>
      <w:r w:rsidRPr="001D376A">
        <w:rPr>
          <w:noProof/>
        </w:rPr>
        <w:lastRenderedPageBreak/>
        <w:t xml:space="preserve">revisited: logging, agriculture, and biodiversity in Southeast Asia. </w:t>
      </w:r>
      <w:r w:rsidRPr="001D376A">
        <w:rPr>
          <w:i/>
          <w:iCs/>
          <w:noProof/>
        </w:rPr>
        <w:t>Trends Ecol. Evol.</w:t>
      </w:r>
      <w:r w:rsidRPr="001D376A">
        <w:rPr>
          <w:noProof/>
        </w:rPr>
        <w:t>, 28, 531–540.</w:t>
      </w:r>
    </w:p>
    <w:p w14:paraId="1428149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Wilfred, P. (2010). Towards sustainable wildlife management areas in Tanzania. </w:t>
      </w:r>
      <w:r w:rsidRPr="001D376A">
        <w:rPr>
          <w:i/>
          <w:iCs/>
          <w:noProof/>
        </w:rPr>
        <w:t>Trop. Conserv. Sci.</w:t>
      </w:r>
      <w:r w:rsidRPr="001D376A">
        <w:rPr>
          <w:noProof/>
        </w:rPr>
        <w:t>, 3, 103–116.</w:t>
      </w:r>
    </w:p>
    <w:p w14:paraId="60AB405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Wilkie, D.S., Bennett, E.L., Peres, C.A. &amp; Cunningham, A.A. (2011). The empty forest revisited. </w:t>
      </w:r>
      <w:r w:rsidRPr="001D376A">
        <w:rPr>
          <w:i/>
          <w:iCs/>
          <w:noProof/>
        </w:rPr>
        <w:t>Ann. N. Y. Acad. Sci.</w:t>
      </w:r>
      <w:r w:rsidRPr="001D376A">
        <w:rPr>
          <w:noProof/>
        </w:rPr>
        <w:t>, 1223, 120–128.</w:t>
      </w:r>
    </w:p>
    <w:p w14:paraId="24CF649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Wilkie, D.S. &amp; Curran, B. (1991). Why do Mbuti hunters use nets? Ungulate hunting efficiency of archers and net-hunters in the Ituri rain forest. </w:t>
      </w:r>
      <w:r w:rsidRPr="001D376A">
        <w:rPr>
          <w:i/>
          <w:iCs/>
          <w:noProof/>
        </w:rPr>
        <w:t>Am. Anthropol.</w:t>
      </w:r>
      <w:r w:rsidRPr="001D376A">
        <w:rPr>
          <w:noProof/>
        </w:rPr>
        <w:t>, 93, 680–689.</w:t>
      </w:r>
    </w:p>
    <w:p w14:paraId="4353477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Wilkie, D.S. &amp; Godoy, R.A. (2001). Income and price elasticities of bushmeat demand in lowland Amerindian societies. </w:t>
      </w:r>
      <w:r w:rsidRPr="001D376A">
        <w:rPr>
          <w:i/>
          <w:iCs/>
          <w:noProof/>
        </w:rPr>
        <w:t>Conserv. Biol.</w:t>
      </w:r>
      <w:r w:rsidRPr="001D376A">
        <w:rPr>
          <w:noProof/>
        </w:rPr>
        <w:t>, 15, 761–769.</w:t>
      </w:r>
    </w:p>
    <w:p w14:paraId="6CEA03DC"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Wilkie, D.S., Starkey, M., Abernethy, K., Effa, E.N., Telfer, P. &amp; Godoy, R. (2005). Role of prices and wealth in consumer demand for bushmeat in Gabon, Central Africa. </w:t>
      </w:r>
      <w:r w:rsidRPr="001D376A">
        <w:rPr>
          <w:i/>
          <w:iCs/>
          <w:noProof/>
        </w:rPr>
        <w:t>Conserv. Biol.</w:t>
      </w:r>
      <w:r w:rsidRPr="001D376A">
        <w:rPr>
          <w:noProof/>
        </w:rPr>
        <w:t>, 19, 268–274.</w:t>
      </w:r>
    </w:p>
    <w:p w14:paraId="68A3086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Wilkie, D.S., Starkey, M., Bennett, E.L., Abernethy, K., Fotso, R., Maisels, F. &amp; Elkan, P. (2006). Can taxation contribute to sustainable management of the bushmeat trade? Evidence from Gabon and Cameroon. </w:t>
      </w:r>
      <w:r w:rsidRPr="001D376A">
        <w:rPr>
          <w:i/>
          <w:iCs/>
          <w:noProof/>
        </w:rPr>
        <w:t>J. Int. Wildl. Law Policy</w:t>
      </w:r>
      <w:r w:rsidRPr="001D376A">
        <w:rPr>
          <w:noProof/>
        </w:rPr>
        <w:t>, 9, 335–349.</w:t>
      </w:r>
    </w:p>
    <w:p w14:paraId="51855C03"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Wilkie, D.S., Wieland, M., Boulet, H., Le Bel, S., van Vliet, N., Cornelis, D., BriacWarnon, V., Nasi, R. &amp; Fa, J.E. (2016). Eating and conserving bushmeat in Africa. </w:t>
      </w:r>
      <w:r w:rsidRPr="001D376A">
        <w:rPr>
          <w:i/>
          <w:iCs/>
          <w:noProof/>
        </w:rPr>
        <w:t>Afr. J. Ecol.</w:t>
      </w:r>
      <w:r w:rsidRPr="001D376A">
        <w:rPr>
          <w:noProof/>
        </w:rPr>
        <w:t>, 54, 402–414.</w:t>
      </w:r>
    </w:p>
    <w:p w14:paraId="0427B2B7"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Wilkie, D.S., Wieland, M. &amp; Detoeuf, D. (2015). </w:t>
      </w:r>
      <w:r w:rsidRPr="001D376A">
        <w:rPr>
          <w:i/>
          <w:iCs/>
          <w:noProof/>
        </w:rPr>
        <w:t>Guidelines for learning and applying the natural resource governance tool (NRGT) in landscapes and seascapes</w:t>
      </w:r>
      <w:r w:rsidRPr="001D376A">
        <w:rPr>
          <w:noProof/>
        </w:rPr>
        <w:t>. USAID, Washington DC, and WCS, New York, USA.</w:t>
      </w:r>
    </w:p>
    <w:p w14:paraId="01FFBEDF"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Williamson, D. (2002). Wild meat, food security and forest conservation. In: </w:t>
      </w:r>
      <w:r w:rsidRPr="001D376A">
        <w:rPr>
          <w:i/>
          <w:iCs/>
          <w:noProof/>
        </w:rPr>
        <w:t>Links between Biodiversity, Conserv. Livelihoods Food Secur. Sustain. use wild species meat</w:t>
      </w:r>
      <w:r w:rsidRPr="001D376A">
        <w:rPr>
          <w:noProof/>
        </w:rPr>
        <w:t xml:space="preserve"> (eds. Mainka, S. &amp; Travedi, M.). IUCN, Gland, Switzerland, pp. 19–22.</w:t>
      </w:r>
    </w:p>
    <w:p w14:paraId="4B4A20D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Wood, S., Ehui, S., Alder, J., Benin, S., Cassman, K.G., Cooper, H.D., Johns, T., Gaskell, J., Grainger, R., Kadungure, S., Otte, J., Rola, A., Watson, R., Wijkstrom, U. &amp; Devendra, C. (2005). Food ecosystem services. In: </w:t>
      </w:r>
      <w:r w:rsidRPr="001D376A">
        <w:rPr>
          <w:i/>
          <w:iCs/>
          <w:noProof/>
        </w:rPr>
        <w:t>Millenn. Ecosyst. Assessment. Ecosyst. Hum. well-being Curr. state trends.</w:t>
      </w:r>
      <w:r w:rsidRPr="001D376A">
        <w:rPr>
          <w:noProof/>
        </w:rPr>
        <w:t xml:space="preserve"> Island Press, Washington DC, USA, pp. 209–241.</w:t>
      </w:r>
    </w:p>
    <w:p w14:paraId="75D9C76B"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Woodhouse, E., Homewood, K.M., Beauchamp, E., Clements, T., Mccabe, J.T., Wilkie, D. &amp; Woodhouse, E. (2015). Guiding principles for evaluating the impacts of conservation interventions on human well-being. </w:t>
      </w:r>
      <w:r w:rsidRPr="001D376A">
        <w:rPr>
          <w:i/>
          <w:iCs/>
          <w:noProof/>
        </w:rPr>
        <w:t>Philos. Trans. R. Soc. B Biol. Sci.</w:t>
      </w:r>
      <w:r w:rsidRPr="001D376A">
        <w:rPr>
          <w:noProof/>
        </w:rPr>
        <w:t>, 370, 20150103.</w:t>
      </w:r>
    </w:p>
    <w:p w14:paraId="3EC44E61"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World Bank. (2010). </w:t>
      </w:r>
      <w:r w:rsidRPr="001D376A">
        <w:rPr>
          <w:i/>
          <w:iCs/>
          <w:noProof/>
        </w:rPr>
        <w:t>People, pathogens and our planet, Volume 1: Towards a One Health approach for controlling zoonotic diseases</w:t>
      </w:r>
      <w:r w:rsidRPr="001D376A">
        <w:rPr>
          <w:noProof/>
        </w:rPr>
        <w:t>. World Bank, Washington DC, US.</w:t>
      </w:r>
    </w:p>
    <w:p w14:paraId="0BFFB87B" w14:textId="77777777" w:rsidR="001D376A" w:rsidRPr="001D376A" w:rsidRDefault="001D376A" w:rsidP="001D376A">
      <w:pPr>
        <w:widowControl w:val="0"/>
        <w:autoSpaceDE w:val="0"/>
        <w:autoSpaceDN w:val="0"/>
        <w:adjustRightInd w:val="0"/>
        <w:ind w:left="480" w:hanging="480"/>
        <w:rPr>
          <w:noProof/>
        </w:rPr>
      </w:pPr>
      <w:r w:rsidRPr="001D376A">
        <w:rPr>
          <w:noProof/>
        </w:rPr>
        <w:t>World Bank. (2017). World Bank Data: Population density. https://data.worldbank.org/indicator/EN.POP.DNST [WWW Document].</w:t>
      </w:r>
    </w:p>
    <w:p w14:paraId="6C5506F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World Bank Group. (2016). </w:t>
      </w:r>
      <w:r w:rsidRPr="001D376A">
        <w:rPr>
          <w:i/>
          <w:iCs/>
          <w:noProof/>
        </w:rPr>
        <w:t xml:space="preserve">Analysis of International Funding to Tackle Illegal Wildlife </w:t>
      </w:r>
      <w:r w:rsidRPr="001D376A">
        <w:rPr>
          <w:i/>
          <w:iCs/>
          <w:noProof/>
        </w:rPr>
        <w:lastRenderedPageBreak/>
        <w:t>Trade</w:t>
      </w:r>
      <w:r w:rsidRPr="001D376A">
        <w:rPr>
          <w:noProof/>
        </w:rPr>
        <w:t>. World Bank, Washington DC, US.</w:t>
      </w:r>
    </w:p>
    <w:p w14:paraId="14F95274"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Wright, S.J. (2003). The myriad consequences of hunting for vertebrates and plants in tropical forests. </w:t>
      </w:r>
      <w:r w:rsidRPr="001D376A">
        <w:rPr>
          <w:i/>
          <w:iCs/>
          <w:noProof/>
        </w:rPr>
        <w:t>Perspect. Plant Ecol. Evol. Syst.</w:t>
      </w:r>
      <w:r w:rsidRPr="001D376A">
        <w:rPr>
          <w:noProof/>
        </w:rPr>
        <w:t>, 6, 73–86.</w:t>
      </w:r>
    </w:p>
    <w:p w14:paraId="3BDCF77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Wright, S.J., Stoner, K.E., Beckman, N., Corlett, R.T., Dirzo, R., Muller-Landau, H.C., Nunez-Iturri, G., Peres, C.A. &amp; Wang, B.C. (2007). The plight of large animals in tropical forests and the consequences for plant regeneration. </w:t>
      </w:r>
      <w:r w:rsidRPr="001D376A">
        <w:rPr>
          <w:i/>
          <w:iCs/>
          <w:noProof/>
        </w:rPr>
        <w:t>Biotropica</w:t>
      </w:r>
      <w:r w:rsidRPr="001D376A">
        <w:rPr>
          <w:noProof/>
        </w:rPr>
        <w:t>, 39, 289–291.</w:t>
      </w:r>
    </w:p>
    <w:p w14:paraId="270D98F2"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Wunder, S. (2007). The efficiency of payments for environmental services in tropical conservation: Essays. </w:t>
      </w:r>
      <w:r w:rsidRPr="001D376A">
        <w:rPr>
          <w:i/>
          <w:iCs/>
          <w:noProof/>
        </w:rPr>
        <w:t>Conserv. Biol.</w:t>
      </w:r>
      <w:r w:rsidRPr="001D376A">
        <w:rPr>
          <w:noProof/>
        </w:rPr>
        <w:t>, 21, 48–58.</w:t>
      </w:r>
    </w:p>
    <w:p w14:paraId="4FB14F29"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Wutty, C. &amp; Simms, A. (2005). </w:t>
      </w:r>
      <w:r w:rsidRPr="001D376A">
        <w:rPr>
          <w:i/>
          <w:iCs/>
          <w:noProof/>
        </w:rPr>
        <w:t>Intelligence-led investigation into illegal wildlife hunting and trade in southwest Cambodia.</w:t>
      </w:r>
      <w:r w:rsidRPr="001D376A">
        <w:rPr>
          <w:noProof/>
        </w:rPr>
        <w:t xml:space="preserve"> Conservation International, Natural Resource Protection Group and Fauna and Flora International.</w:t>
      </w:r>
    </w:p>
    <w:p w14:paraId="6036AA2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WWF. (2016). </w:t>
      </w:r>
      <w:r w:rsidRPr="001D376A">
        <w:rPr>
          <w:i/>
          <w:iCs/>
          <w:noProof/>
        </w:rPr>
        <w:t>Living Planet Report 2016. Risk and resilience in a new era</w:t>
      </w:r>
      <w:r w:rsidRPr="001D376A">
        <w:rPr>
          <w:noProof/>
        </w:rPr>
        <w:t>. WWF International, Gland, Switzerland.</w:t>
      </w:r>
    </w:p>
    <w:p w14:paraId="2C2AF80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Yasuoka, H. (2014). Snare hunting among Baka hunter-gatherers: implications for sustainable wildlife management. </w:t>
      </w:r>
      <w:r w:rsidRPr="001D376A">
        <w:rPr>
          <w:i/>
          <w:iCs/>
          <w:noProof/>
        </w:rPr>
        <w:t>Afr. Study Monogr.</w:t>
      </w:r>
      <w:r w:rsidRPr="001D376A">
        <w:rPr>
          <w:noProof/>
        </w:rPr>
        <w:t>, 49, 115–136.</w:t>
      </w:r>
    </w:p>
    <w:p w14:paraId="077A1E88"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Young, H.S., McCauley, D.J., Galetti, M. &amp; Dirzo, R. (2016). Patterns, causes, and consequences of Anthropocene Defaunation. </w:t>
      </w:r>
      <w:r w:rsidRPr="001D376A">
        <w:rPr>
          <w:i/>
          <w:iCs/>
          <w:noProof/>
        </w:rPr>
        <w:t>Annu. Rev. Ecol. Evol. Syst.</w:t>
      </w:r>
      <w:r w:rsidRPr="001D376A">
        <w:rPr>
          <w:noProof/>
        </w:rPr>
        <w:t>, 47, 333–358.</w:t>
      </w:r>
    </w:p>
    <w:p w14:paraId="72F1EFC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Van Zanten, H.H.E., Mollenhorst, H., Klootwijk, C.W., van Middelaar, C.E. &amp; de Boer, I.J.M. (2016). Global food supply: land use efficiency of livestock systems. </w:t>
      </w:r>
      <w:r w:rsidRPr="001D376A">
        <w:rPr>
          <w:i/>
          <w:iCs/>
          <w:noProof/>
        </w:rPr>
        <w:t>Int. J. Life Cycle Assess.</w:t>
      </w:r>
      <w:r w:rsidRPr="001D376A">
        <w:rPr>
          <w:noProof/>
        </w:rPr>
        <w:t>, 21, 747–758.</w:t>
      </w:r>
    </w:p>
    <w:p w14:paraId="468914EA" w14:textId="77777777" w:rsidR="001D376A" w:rsidRPr="001D376A" w:rsidRDefault="001D376A" w:rsidP="001D376A">
      <w:pPr>
        <w:widowControl w:val="0"/>
        <w:autoSpaceDE w:val="0"/>
        <w:autoSpaceDN w:val="0"/>
        <w:adjustRightInd w:val="0"/>
        <w:ind w:left="480" w:hanging="480"/>
        <w:rPr>
          <w:noProof/>
        </w:rPr>
      </w:pPr>
      <w:r w:rsidRPr="001D376A">
        <w:rPr>
          <w:noProof/>
        </w:rPr>
        <w:t xml:space="preserve">Ziegler, S., Fa, J.E., Wohlfart, C., Streit, B., Jacob, S. &amp; Wegmann, M. (2016). Mapping bushmeat hunting pressure in Central Africa. </w:t>
      </w:r>
      <w:r w:rsidRPr="001D376A">
        <w:rPr>
          <w:i/>
          <w:iCs/>
          <w:noProof/>
        </w:rPr>
        <w:t>Biotropica</w:t>
      </w:r>
      <w:r w:rsidRPr="001D376A">
        <w:rPr>
          <w:noProof/>
        </w:rPr>
        <w:t>, 48, 405–412.</w:t>
      </w:r>
    </w:p>
    <w:p w14:paraId="41E027B9" w14:textId="2A5B3622" w:rsidR="00303311" w:rsidRDefault="00C73CB9" w:rsidP="00962540">
      <w:pPr>
        <w:jc w:val="both"/>
      </w:pPr>
      <w:r>
        <w:fldChar w:fldCharType="end"/>
      </w:r>
    </w:p>
    <w:p w14:paraId="316AEC44" w14:textId="77777777" w:rsidR="00962540" w:rsidRDefault="00962540" w:rsidP="00962540">
      <w:pPr>
        <w:jc w:val="both"/>
        <w:rPr>
          <w:rFonts w:ascii="ArialMT" w:hAnsi="ArialMT"/>
          <w:color w:val="262326"/>
        </w:rPr>
      </w:pPr>
    </w:p>
    <w:p w14:paraId="799AA723" w14:textId="77777777" w:rsidR="00962540" w:rsidRDefault="00962540" w:rsidP="00C258BC">
      <w:pPr>
        <w:jc w:val="both"/>
        <w:rPr>
          <w:lang w:val="en-US"/>
        </w:rPr>
      </w:pPr>
    </w:p>
    <w:p w14:paraId="48CDCA20" w14:textId="77777777" w:rsidR="00BF7DDE" w:rsidRDefault="00BF7DDE" w:rsidP="00C258BC">
      <w:pPr>
        <w:jc w:val="both"/>
        <w:rPr>
          <w:lang w:val="en-US"/>
        </w:rPr>
      </w:pPr>
    </w:p>
    <w:p w14:paraId="19D00B83" w14:textId="77777777" w:rsidR="00BF7DDE" w:rsidRDefault="00BF7DDE" w:rsidP="00C258BC">
      <w:pPr>
        <w:jc w:val="both"/>
        <w:rPr>
          <w:lang w:val="en-US"/>
        </w:rPr>
      </w:pPr>
    </w:p>
    <w:p w14:paraId="17B8684E" w14:textId="77777777" w:rsidR="00361011" w:rsidRDefault="00361011" w:rsidP="00C65BDB">
      <w:pPr>
        <w:jc w:val="both"/>
        <w:rPr>
          <w:color w:val="FF0000"/>
          <w:lang w:val="en-US"/>
        </w:rPr>
      </w:pPr>
    </w:p>
    <w:sectPr w:rsidR="00361011" w:rsidSect="00B510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07986" w14:textId="77777777" w:rsidR="00B82BFD" w:rsidRDefault="00B82BFD" w:rsidP="00115EBD">
      <w:pPr>
        <w:spacing w:after="0"/>
      </w:pPr>
      <w:r>
        <w:separator/>
      </w:r>
    </w:p>
    <w:p w14:paraId="2652D4E9" w14:textId="77777777" w:rsidR="00B82BFD" w:rsidRDefault="00B82BFD"/>
  </w:endnote>
  <w:endnote w:type="continuationSeparator" w:id="0">
    <w:p w14:paraId="787AB89E" w14:textId="77777777" w:rsidR="00B82BFD" w:rsidRDefault="00B82BFD" w:rsidP="00115EBD">
      <w:pPr>
        <w:spacing w:after="0"/>
      </w:pPr>
      <w:r>
        <w:continuationSeparator/>
      </w:r>
    </w:p>
    <w:p w14:paraId="17097DA9" w14:textId="77777777" w:rsidR="00B82BFD" w:rsidRDefault="00B82BFD"/>
  </w:endnote>
  <w:endnote w:type="continuationNotice" w:id="1">
    <w:p w14:paraId="7AB22C3F" w14:textId="77777777" w:rsidR="00B82BFD" w:rsidRDefault="00B82BF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
    <w:altName w:val="Arial"/>
    <w:panose1 w:val="020B05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MyriadPro-Bold">
    <w:altName w:val="Calibri"/>
    <w:panose1 w:val="00000000000000000000"/>
    <w:charset w:val="00"/>
    <w:family w:val="swiss"/>
    <w:notTrueType/>
    <w:pitch w:val="default"/>
    <w:sig w:usb0="00000003" w:usb1="00000000" w:usb2="00000000" w:usb3="00000000" w:csb0="00000001" w:csb1="00000000"/>
  </w:font>
  <w:font w:name="Times">
    <w:altName w:val="Times New Roman"/>
    <w:panose1 w:val="02020603050405020304"/>
    <w:charset w:val="00"/>
    <w:family w:val="auto"/>
    <w:pitch w:val="variable"/>
    <w:sig w:usb0="E00002FF" w:usb1="5000205A" w:usb2="00000000" w:usb3="00000000" w:csb0="0000019F" w:csb1="00000000"/>
  </w:font>
  <w:font w:name="MinionPro">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variable"/>
    <w:sig w:usb0="00000000" w:usb1="C0007841" w:usb2="00000009" w:usb3="00000000" w:csb0="000001FF" w:csb1="00000000"/>
  </w:font>
  <w:font w:name="inherit">
    <w:altName w:val="Times New Roman"/>
    <w:panose1 w:val="00000000000000000000"/>
    <w:charset w:val="00"/>
    <w:family w:val="roman"/>
    <w:notTrueType/>
    <w:pitch w:val="default"/>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14A43" w14:textId="7CA902B2" w:rsidR="00B82BFD" w:rsidRDefault="00B82BFD">
    <w:pPr>
      <w:pStyle w:val="Footer"/>
      <w:jc w:val="right"/>
    </w:pPr>
  </w:p>
  <w:p w14:paraId="78CAB192" w14:textId="77777777" w:rsidR="00B82BFD" w:rsidRDefault="00B82B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6611570"/>
      <w:docPartObj>
        <w:docPartGallery w:val="Page Numbers (Bottom of Page)"/>
        <w:docPartUnique/>
      </w:docPartObj>
    </w:sdtPr>
    <w:sdtEndPr>
      <w:rPr>
        <w:noProof/>
      </w:rPr>
    </w:sdtEndPr>
    <w:sdtContent>
      <w:p w14:paraId="16651C85" w14:textId="5FDD8D02" w:rsidR="00B82BFD" w:rsidRDefault="00B82BFD">
        <w:pPr>
          <w:pStyle w:val="Footer"/>
          <w:jc w:val="right"/>
        </w:pPr>
        <w:r>
          <w:fldChar w:fldCharType="begin"/>
        </w:r>
        <w:r>
          <w:instrText xml:space="preserve"> PAGE   \* MERGEFORMAT </w:instrText>
        </w:r>
        <w:r>
          <w:fldChar w:fldCharType="separate"/>
        </w:r>
        <w:r w:rsidR="00814265">
          <w:rPr>
            <w:noProof/>
          </w:rPr>
          <w:t>13</w:t>
        </w:r>
        <w:r>
          <w:rPr>
            <w:noProof/>
          </w:rPr>
          <w:fldChar w:fldCharType="end"/>
        </w:r>
      </w:p>
    </w:sdtContent>
  </w:sdt>
  <w:p w14:paraId="4003DCA1" w14:textId="77777777" w:rsidR="00B82BFD" w:rsidRDefault="00B82B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5945362"/>
      <w:docPartObj>
        <w:docPartGallery w:val="Page Numbers (Bottom of Page)"/>
        <w:docPartUnique/>
      </w:docPartObj>
    </w:sdtPr>
    <w:sdtEndPr>
      <w:rPr>
        <w:noProof/>
      </w:rPr>
    </w:sdtEndPr>
    <w:sdtContent>
      <w:p w14:paraId="703F8287" w14:textId="4C4E3059" w:rsidR="00B82BFD" w:rsidRDefault="00B82BFD">
        <w:pPr>
          <w:pStyle w:val="Footer"/>
          <w:jc w:val="right"/>
        </w:pPr>
        <w:r>
          <w:fldChar w:fldCharType="begin"/>
        </w:r>
        <w:r>
          <w:instrText xml:space="preserve"> PAGE   \* MERGEFORMAT </w:instrText>
        </w:r>
        <w:r>
          <w:fldChar w:fldCharType="separate"/>
        </w:r>
        <w:r w:rsidR="00814265">
          <w:rPr>
            <w:noProof/>
          </w:rPr>
          <w:t>18</w:t>
        </w:r>
        <w:r>
          <w:rPr>
            <w:noProof/>
          </w:rPr>
          <w:fldChar w:fldCharType="end"/>
        </w:r>
      </w:p>
    </w:sdtContent>
  </w:sdt>
  <w:p w14:paraId="4F7F57B9" w14:textId="77777777" w:rsidR="00B82BFD" w:rsidRDefault="00B82B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6878467"/>
      <w:docPartObj>
        <w:docPartGallery w:val="Page Numbers (Bottom of Page)"/>
        <w:docPartUnique/>
      </w:docPartObj>
    </w:sdtPr>
    <w:sdtEndPr>
      <w:rPr>
        <w:noProof/>
      </w:rPr>
    </w:sdtEndPr>
    <w:sdtContent>
      <w:p w14:paraId="24B8E41B" w14:textId="44E6CEAD" w:rsidR="00B82BFD" w:rsidRDefault="00B82BFD">
        <w:pPr>
          <w:pStyle w:val="Footer"/>
          <w:jc w:val="right"/>
        </w:pPr>
        <w:r>
          <w:fldChar w:fldCharType="begin"/>
        </w:r>
        <w:r>
          <w:instrText xml:space="preserve"> PAGE   \* MERGEFORMAT </w:instrText>
        </w:r>
        <w:r>
          <w:fldChar w:fldCharType="separate"/>
        </w:r>
        <w:r w:rsidR="00814265">
          <w:rPr>
            <w:noProof/>
          </w:rPr>
          <w:t>38</w:t>
        </w:r>
        <w:r>
          <w:rPr>
            <w:noProof/>
          </w:rPr>
          <w:fldChar w:fldCharType="end"/>
        </w:r>
      </w:p>
    </w:sdtContent>
  </w:sdt>
  <w:p w14:paraId="64139501" w14:textId="77777777" w:rsidR="00B82BFD" w:rsidRDefault="00B82B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8834668"/>
      <w:docPartObj>
        <w:docPartGallery w:val="Page Numbers (Bottom of Page)"/>
        <w:docPartUnique/>
      </w:docPartObj>
    </w:sdtPr>
    <w:sdtEndPr>
      <w:rPr>
        <w:noProof/>
      </w:rPr>
    </w:sdtEndPr>
    <w:sdtContent>
      <w:p w14:paraId="4F59EEDB" w14:textId="5980B04E" w:rsidR="00B82BFD" w:rsidRDefault="00B82BFD">
        <w:pPr>
          <w:pStyle w:val="Footer"/>
          <w:jc w:val="right"/>
        </w:pPr>
        <w:r>
          <w:fldChar w:fldCharType="begin"/>
        </w:r>
        <w:r>
          <w:instrText xml:space="preserve"> PAGE   \* MERGEFORMAT </w:instrText>
        </w:r>
        <w:r>
          <w:fldChar w:fldCharType="separate"/>
        </w:r>
        <w:r w:rsidR="00814265">
          <w:rPr>
            <w:noProof/>
          </w:rPr>
          <w:t>54</w:t>
        </w:r>
        <w:r>
          <w:rPr>
            <w:noProof/>
          </w:rPr>
          <w:fldChar w:fldCharType="end"/>
        </w:r>
      </w:p>
    </w:sdtContent>
  </w:sdt>
  <w:p w14:paraId="482D2824" w14:textId="77777777" w:rsidR="00B82BFD" w:rsidRDefault="00B82BF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7586541"/>
      <w:docPartObj>
        <w:docPartGallery w:val="Page Numbers (Bottom of Page)"/>
        <w:docPartUnique/>
      </w:docPartObj>
    </w:sdtPr>
    <w:sdtEndPr>
      <w:rPr>
        <w:noProof/>
      </w:rPr>
    </w:sdtEndPr>
    <w:sdtContent>
      <w:p w14:paraId="5966656C" w14:textId="0B55CF2D" w:rsidR="00B82BFD" w:rsidRDefault="00B82BFD">
        <w:pPr>
          <w:pStyle w:val="Footer"/>
          <w:jc w:val="right"/>
        </w:pPr>
        <w:r>
          <w:fldChar w:fldCharType="begin"/>
        </w:r>
        <w:r>
          <w:instrText xml:space="preserve"> PAGE   \* MERGEFORMAT </w:instrText>
        </w:r>
        <w:r>
          <w:fldChar w:fldCharType="separate"/>
        </w:r>
        <w:r w:rsidR="00814265">
          <w:rPr>
            <w:noProof/>
          </w:rPr>
          <w:t>73</w:t>
        </w:r>
        <w:r>
          <w:rPr>
            <w:noProof/>
          </w:rPr>
          <w:fldChar w:fldCharType="end"/>
        </w:r>
      </w:p>
    </w:sdtContent>
  </w:sdt>
  <w:p w14:paraId="484DC11E" w14:textId="77777777" w:rsidR="00B82BFD" w:rsidRDefault="00B82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E0A694" w14:textId="77777777" w:rsidR="00B82BFD" w:rsidRDefault="00B82BFD" w:rsidP="00115EBD">
      <w:pPr>
        <w:spacing w:after="0"/>
      </w:pPr>
      <w:r>
        <w:separator/>
      </w:r>
    </w:p>
    <w:p w14:paraId="3A638329" w14:textId="77777777" w:rsidR="00B82BFD" w:rsidRDefault="00B82BFD"/>
  </w:footnote>
  <w:footnote w:type="continuationSeparator" w:id="0">
    <w:p w14:paraId="50E98FF7" w14:textId="77777777" w:rsidR="00B82BFD" w:rsidRDefault="00B82BFD" w:rsidP="00115EBD">
      <w:pPr>
        <w:spacing w:after="0"/>
      </w:pPr>
      <w:r>
        <w:continuationSeparator/>
      </w:r>
    </w:p>
    <w:p w14:paraId="2B44E4CD" w14:textId="77777777" w:rsidR="00B82BFD" w:rsidRDefault="00B82BFD"/>
  </w:footnote>
  <w:footnote w:type="continuationNotice" w:id="1">
    <w:p w14:paraId="6209C7FC" w14:textId="77777777" w:rsidR="00B82BFD" w:rsidRDefault="00B82BFD">
      <w:pPr>
        <w:spacing w:after="0"/>
      </w:pPr>
    </w:p>
  </w:footnote>
  <w:footnote w:id="2">
    <w:p w14:paraId="2106593F" w14:textId="47902632" w:rsidR="00B82BFD" w:rsidRPr="009E4C7B" w:rsidRDefault="00B82BFD">
      <w:pPr>
        <w:pStyle w:val="FootnoteText"/>
        <w:rPr>
          <w:lang w:val="en-GB"/>
        </w:rPr>
      </w:pPr>
      <w:r w:rsidRPr="00184775">
        <w:rPr>
          <w:rStyle w:val="FootnoteReference"/>
        </w:rPr>
        <w:footnoteRef/>
      </w:r>
      <w:r>
        <w:t xml:space="preserve"> Bullet points and hyperlink have been added by the authors to provide extra clarity; see original text for original paragraph format</w:t>
      </w:r>
      <w:r>
        <w:rPr>
          <w:lang w:val="en-GB"/>
        </w:rPr>
        <w:t>.</w:t>
      </w:r>
    </w:p>
  </w:footnote>
  <w:footnote w:id="3">
    <w:p w14:paraId="6DD66F1C" w14:textId="45BD3408" w:rsidR="00B82BFD" w:rsidRPr="00DA4708" w:rsidRDefault="00B82BFD" w:rsidP="009621F9">
      <w:pPr>
        <w:rPr>
          <w:color w:val="000000" w:themeColor="text1"/>
          <w:sz w:val="16"/>
          <w:szCs w:val="22"/>
        </w:rPr>
      </w:pPr>
      <w:r w:rsidRPr="00184775">
        <w:rPr>
          <w:rStyle w:val="FootnoteReference"/>
        </w:rPr>
        <w:t>2</w:t>
      </w:r>
      <w:r w:rsidRPr="00DA4708">
        <w:rPr>
          <w:color w:val="000000" w:themeColor="text1"/>
          <w:sz w:val="16"/>
          <w:szCs w:val="22"/>
        </w:rPr>
        <w:t xml:space="preserve"> </w:t>
      </w:r>
      <w:r w:rsidRPr="00DA4708">
        <w:rPr>
          <w:color w:val="000000" w:themeColor="text1"/>
          <w:sz w:val="16"/>
          <w:szCs w:val="22"/>
          <w:shd w:val="clear" w:color="auto" w:fill="FFFFFF"/>
        </w:rPr>
        <w:t>Latin America is a group of countries and dependencies in the Western Hemisphere where Romance languages such as Spanish, French and Portuguese are predominantly spoken; it is broader than the terms Ibero-America or Hispanic America.</w:t>
      </w:r>
    </w:p>
  </w:footnote>
  <w:footnote w:id="4">
    <w:p w14:paraId="5DCEE4AD" w14:textId="3795A597" w:rsidR="00B82BFD" w:rsidRPr="009621F9" w:rsidRDefault="00B82BFD" w:rsidP="003D1172">
      <w:pPr>
        <w:rPr>
          <w:color w:val="000000" w:themeColor="text1"/>
          <w:sz w:val="16"/>
          <w:szCs w:val="16"/>
        </w:rPr>
      </w:pPr>
      <w:r w:rsidRPr="00184775">
        <w:rPr>
          <w:rStyle w:val="FootnoteReference"/>
        </w:rPr>
        <w:t>3</w:t>
      </w:r>
      <w:r w:rsidRPr="009621F9">
        <w:rPr>
          <w:sz w:val="16"/>
          <w:szCs w:val="16"/>
        </w:rPr>
        <w:t xml:space="preserve"> </w:t>
      </w:r>
      <w:r w:rsidRPr="009621F9">
        <w:rPr>
          <w:color w:val="000000" w:themeColor="text1"/>
          <w:sz w:val="16"/>
          <w:szCs w:val="16"/>
        </w:rPr>
        <w:t xml:space="preserve">Using the WWF ecoregion terrestrial biomes (Olson et al. 2001), our report deals with the use of animals for food in four of the 14 recognised habitat types: tropical and subtropical moist broadleaf forests, tropical and subtropical dry broadleaf forests, tropical and subtropical coniferous forests and tropical and subtropical grasslands, savannas and </w:t>
      </w:r>
      <w:r w:rsidRPr="00DA4708">
        <w:rPr>
          <w:color w:val="000000" w:themeColor="text1"/>
          <w:sz w:val="16"/>
          <w:szCs w:val="16"/>
        </w:rPr>
        <w:t xml:space="preserve">shrublands. These ecoregions are distributed in 36 Sub-Saharan countries in Africa (Afrotropics), 16 in Asia (IndoMalaya), 38 in North, Central (including the Caribbean islands) and </w:t>
      </w:r>
      <w:r w:rsidRPr="009621F9">
        <w:rPr>
          <w:color w:val="000000" w:themeColor="text1"/>
          <w:sz w:val="16"/>
          <w:szCs w:val="16"/>
        </w:rPr>
        <w:t>South America (Neotropics), 22 in Oceania and 1 in the Palearctic.</w:t>
      </w:r>
    </w:p>
    <w:p w14:paraId="65279657" w14:textId="77777777" w:rsidR="00B82BFD" w:rsidRPr="00645CE8" w:rsidRDefault="00B82BFD" w:rsidP="003D1172">
      <w:pPr>
        <w:pStyle w:val="FootnoteText"/>
        <w:rPr>
          <w:lang w:val="en-GB"/>
        </w:rPr>
      </w:pPr>
    </w:p>
  </w:footnote>
  <w:footnote w:id="5">
    <w:p w14:paraId="3CAA5184" w14:textId="554EA5E6" w:rsidR="00B82BFD" w:rsidRDefault="00B82BFD" w:rsidP="000A7365">
      <w:pPr>
        <w:pStyle w:val="NormalWeb"/>
      </w:pPr>
      <w:r w:rsidRPr="00184775">
        <w:rPr>
          <w:rStyle w:val="FootnoteReference"/>
        </w:rPr>
        <w:footnoteRef/>
      </w:r>
      <w:r w:rsidRPr="00F44A36">
        <w:rPr>
          <w:vertAlign w:val="superscript"/>
        </w:rPr>
        <w:t xml:space="preserve"> </w:t>
      </w:r>
      <w:r>
        <w:rPr>
          <w:sz w:val="20"/>
          <w:szCs w:val="20"/>
        </w:rPr>
        <w:t xml:space="preserve">Article 10(c) of the CBD </w:t>
      </w:r>
      <w:r w:rsidRPr="005A7272">
        <w:rPr>
          <w:sz w:val="20"/>
          <w:szCs w:val="20"/>
        </w:rPr>
        <w:t>states that Parties shall: “(...) protect and encourage customary use of biological resources in accordance with traditional cultural practices that are compatible with conservation or sustainable use requirements.”</w:t>
      </w:r>
      <w:r>
        <w:rPr>
          <w:rFonts w:ascii="Arial" w:hAnsi="Arial" w:cs="Arial"/>
          <w:sz w:val="20"/>
          <w:szCs w:val="20"/>
        </w:rPr>
        <w:t xml:space="preserve"> </w:t>
      </w:r>
    </w:p>
    <w:p w14:paraId="6D060426" w14:textId="77777777" w:rsidR="00B82BFD" w:rsidRPr="005A7272" w:rsidRDefault="00B82BFD" w:rsidP="000A7365">
      <w:pPr>
        <w:pStyle w:val="FootnoteText"/>
        <w:rPr>
          <w:lang w:val="en-GB"/>
        </w:rPr>
      </w:pPr>
    </w:p>
  </w:footnote>
  <w:footnote w:id="6">
    <w:p w14:paraId="673F78E7" w14:textId="77777777" w:rsidR="00B82BFD" w:rsidRPr="00071B4D" w:rsidRDefault="00B82BFD" w:rsidP="00141F67">
      <w:pPr>
        <w:pStyle w:val="FootnoteText"/>
        <w:keepLines w:val="0"/>
        <w:ind w:firstLine="0"/>
        <w:rPr>
          <w:kern w:val="18"/>
          <w:szCs w:val="18"/>
        </w:rPr>
      </w:pPr>
      <w:r w:rsidRPr="00184775">
        <w:rPr>
          <w:rStyle w:val="FootnoteReference"/>
          <w:rFonts w:eastAsiaTheme="majorEastAsia"/>
        </w:rPr>
        <w:footnoteRef/>
      </w:r>
      <w:r w:rsidRPr="00AB3496">
        <w:rPr>
          <w:kern w:val="18"/>
          <w:szCs w:val="18"/>
          <w:vertAlign w:val="superscript"/>
        </w:rPr>
        <w:t xml:space="preserve"> </w:t>
      </w:r>
      <w:r w:rsidRPr="00B236BF">
        <w:rPr>
          <w:rFonts w:eastAsia="Batang"/>
          <w:bCs/>
          <w:iCs/>
          <w:color w:val="000000"/>
          <w:kern w:val="18"/>
          <w:szCs w:val="18"/>
          <w:lang w:eastAsia="ja-JP" w:bidi="th-TH"/>
        </w:rPr>
        <w:t>Such as the Programme for the Endorsement of Forest Certification Schemes (PEFC) and the Forest Stewardship Council (FSC).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F587D" w14:textId="1AB45F38" w:rsidR="00DF57F3" w:rsidRDefault="00DF57F3">
    <w:pPr>
      <w:pStyle w:val="Header"/>
      <w:rPr>
        <w:lang w:val="en-US"/>
      </w:rPr>
    </w:pPr>
    <w:r>
      <w:rPr>
        <w:lang w:val="en-US"/>
      </w:rPr>
      <w:t>CBD/COP/14/INF/7</w:t>
    </w:r>
  </w:p>
  <w:p w14:paraId="14B5949A" w14:textId="6DBD930C" w:rsidR="00DF57F3" w:rsidRPr="00DF57F3" w:rsidRDefault="00DF57F3" w:rsidP="00DF57F3">
    <w:pPr>
      <w:pStyle w:val="Header"/>
      <w:spacing w:after="120"/>
      <w:rPr>
        <w:lang w:val="en-US"/>
      </w:rPr>
    </w:pPr>
    <w:r>
      <w:rPr>
        <w:lang w:val="en-US"/>
      </w:rPr>
      <w:t xml:space="preserve">Page </w:t>
    </w:r>
    <w:r w:rsidRPr="00DF57F3">
      <w:rPr>
        <w:lang w:val="en-US"/>
      </w:rPr>
      <w:fldChar w:fldCharType="begin"/>
    </w:r>
    <w:r w:rsidRPr="00DF57F3">
      <w:rPr>
        <w:lang w:val="en-US"/>
      </w:rPr>
      <w:instrText xml:space="preserve"> PAGE   \* MERGEFORMAT </w:instrText>
    </w:r>
    <w:r w:rsidRPr="00DF57F3">
      <w:rPr>
        <w:lang w:val="en-US"/>
      </w:rPr>
      <w:fldChar w:fldCharType="separate"/>
    </w:r>
    <w:r w:rsidRPr="00DF57F3">
      <w:rPr>
        <w:noProof/>
        <w:lang w:val="en-US"/>
      </w:rPr>
      <w:t>1</w:t>
    </w:r>
    <w:r w:rsidRPr="00DF57F3">
      <w:rPr>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4A84D" w14:textId="77777777" w:rsidR="00DF57F3" w:rsidRPr="00DF57F3" w:rsidRDefault="00DF57F3" w:rsidP="00DF57F3">
    <w:pPr>
      <w:pStyle w:val="Header"/>
      <w:jc w:val="right"/>
      <w:rPr>
        <w:sz w:val="22"/>
        <w:szCs w:val="22"/>
        <w:lang w:val="en-US"/>
      </w:rPr>
    </w:pPr>
    <w:r w:rsidRPr="00DF57F3">
      <w:rPr>
        <w:sz w:val="22"/>
        <w:szCs w:val="22"/>
        <w:lang w:val="en-US"/>
      </w:rPr>
      <w:t>CBD/COP/14/INF/7</w:t>
    </w:r>
  </w:p>
  <w:p w14:paraId="25DD8D4E" w14:textId="7454E99A" w:rsidR="00DF57F3" w:rsidRPr="00DF57F3" w:rsidRDefault="00DF57F3" w:rsidP="00DF57F3">
    <w:pPr>
      <w:pStyle w:val="Header"/>
      <w:spacing w:after="120"/>
      <w:jc w:val="right"/>
      <w:rPr>
        <w:sz w:val="22"/>
        <w:szCs w:val="22"/>
        <w:lang w:val="en-US"/>
      </w:rPr>
    </w:pPr>
    <w:r w:rsidRPr="00DF57F3">
      <w:rPr>
        <w:sz w:val="22"/>
        <w:szCs w:val="22"/>
        <w:lang w:val="en-US"/>
      </w:rPr>
      <w:t xml:space="preserve">Page </w:t>
    </w:r>
    <w:r w:rsidRPr="00DF57F3">
      <w:rPr>
        <w:sz w:val="22"/>
        <w:szCs w:val="22"/>
        <w:lang w:val="en-US"/>
      </w:rPr>
      <w:fldChar w:fldCharType="begin"/>
    </w:r>
    <w:r w:rsidRPr="00DF57F3">
      <w:rPr>
        <w:sz w:val="22"/>
        <w:szCs w:val="22"/>
        <w:lang w:val="en-US"/>
      </w:rPr>
      <w:instrText xml:space="preserve"> PAGE   \* MERGEFORMAT </w:instrText>
    </w:r>
    <w:r w:rsidRPr="00DF57F3">
      <w:rPr>
        <w:sz w:val="22"/>
        <w:szCs w:val="22"/>
        <w:lang w:val="en-US"/>
      </w:rPr>
      <w:fldChar w:fldCharType="separate"/>
    </w:r>
    <w:r w:rsidRPr="00DF57F3">
      <w:rPr>
        <w:sz w:val="22"/>
        <w:szCs w:val="22"/>
        <w:lang w:val="en-US"/>
      </w:rPr>
      <w:t>2</w:t>
    </w:r>
    <w:r w:rsidRPr="00DF57F3">
      <w:rPr>
        <w:noProof/>
        <w:sz w:val="22"/>
        <w:szCs w:val="22"/>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C868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22DC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6AB5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28244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545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D6CD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C4A33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E21D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F8AB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7278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E5C79"/>
    <w:multiLevelType w:val="hybridMultilevel"/>
    <w:tmpl w:val="559CD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AF73B1"/>
    <w:multiLevelType w:val="hybridMultilevel"/>
    <w:tmpl w:val="2AE84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1D05FD"/>
    <w:multiLevelType w:val="hybridMultilevel"/>
    <w:tmpl w:val="41EED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526A77"/>
    <w:multiLevelType w:val="multilevel"/>
    <w:tmpl w:val="4A6EE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641B1E"/>
    <w:multiLevelType w:val="hybridMultilevel"/>
    <w:tmpl w:val="05387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C931CE0"/>
    <w:multiLevelType w:val="hybridMultilevel"/>
    <w:tmpl w:val="02864F80"/>
    <w:lvl w:ilvl="0" w:tplc="C7C8D1A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E7231E"/>
    <w:multiLevelType w:val="hybridMultilevel"/>
    <w:tmpl w:val="AD5897E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C7C8D1AE">
      <w:numFmt w:val="bullet"/>
      <w:lvlText w:val="-"/>
      <w:lvlJc w:val="left"/>
      <w:pPr>
        <w:ind w:left="2340" w:hanging="360"/>
      </w:pPr>
      <w:rPr>
        <w:rFonts w:ascii="Calibri" w:eastAsiaTheme="minorHAnsi" w:hAnsi="Calibri" w:cstheme="minorBidi" w:hint="default"/>
      </w:rPr>
    </w:lvl>
    <w:lvl w:ilvl="3" w:tplc="08090001">
      <w:start w:val="1"/>
      <w:numFmt w:val="bullet"/>
      <w:lvlText w:val=""/>
      <w:lvlJc w:val="left"/>
      <w:pPr>
        <w:ind w:left="2880" w:hanging="360"/>
      </w:pPr>
      <w:rPr>
        <w:rFonts w:ascii="Symbol" w:hAnsi="Symbol" w:hint="default"/>
      </w:rPr>
    </w:lvl>
    <w:lvl w:ilvl="4" w:tplc="08090019">
      <w:start w:val="1"/>
      <w:numFmt w:val="lowerLetter"/>
      <w:lvlText w:val="%5."/>
      <w:lvlJc w:val="left"/>
      <w:pPr>
        <w:ind w:left="3600" w:hanging="360"/>
      </w:pPr>
    </w:lvl>
    <w:lvl w:ilvl="5" w:tplc="B5CE23E8">
      <w:numFmt w:val="bullet"/>
      <w:lvlText w:val="-"/>
      <w:lvlJc w:val="left"/>
      <w:pPr>
        <w:ind w:left="4500" w:hanging="360"/>
      </w:pPr>
      <w:rPr>
        <w:rFonts w:ascii="Calibri" w:eastAsiaTheme="minorHAnsi" w:hAnsi="Calibri" w:cstheme="minorBidi"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DB62C15"/>
    <w:multiLevelType w:val="multilevel"/>
    <w:tmpl w:val="BF0CDD2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rPr>
        <w:rFonts w:ascii="Times New Roman" w:eastAsia="Batang" w:hAnsi="Times New Roman" w:cs="Times New Roman"/>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54E113C"/>
    <w:multiLevelType w:val="hybridMultilevel"/>
    <w:tmpl w:val="52DC5C08"/>
    <w:lvl w:ilvl="0" w:tplc="E4D8EE7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665686C"/>
    <w:multiLevelType w:val="hybridMultilevel"/>
    <w:tmpl w:val="A7EC7C6A"/>
    <w:lvl w:ilvl="0" w:tplc="BCA6D8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D2C5EDD"/>
    <w:multiLevelType w:val="hybridMultilevel"/>
    <w:tmpl w:val="94448D7C"/>
    <w:lvl w:ilvl="0" w:tplc="CAB40D4C">
      <w:start w:val="1"/>
      <w:numFmt w:val="lowerLetter"/>
      <w:lvlText w:val="(%1)"/>
      <w:lvlJc w:val="left"/>
      <w:pPr>
        <w:ind w:left="720" w:hanging="360"/>
      </w:pPr>
      <w:rPr>
        <w:rFonts w:hint="default"/>
        <w:b w:val="0"/>
      </w:rPr>
    </w:lvl>
    <w:lvl w:ilvl="1" w:tplc="CAB40D4C">
      <w:start w:val="1"/>
      <w:numFmt w:val="lowerLetter"/>
      <w:lvlText w:val="(%2)"/>
      <w:lvlJc w:val="left"/>
      <w:pPr>
        <w:ind w:left="1080" w:hanging="360"/>
      </w:pPr>
      <w:rPr>
        <w:rFonts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D656246"/>
    <w:multiLevelType w:val="multilevel"/>
    <w:tmpl w:val="B5D41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DC96281"/>
    <w:multiLevelType w:val="multilevel"/>
    <w:tmpl w:val="94A04B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0274162"/>
    <w:multiLevelType w:val="multilevel"/>
    <w:tmpl w:val="9594E6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0CB31F2"/>
    <w:multiLevelType w:val="hybridMultilevel"/>
    <w:tmpl w:val="877E6A02"/>
    <w:lvl w:ilvl="0" w:tplc="CAB40D4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21667AFC"/>
    <w:multiLevelType w:val="multilevel"/>
    <w:tmpl w:val="9594E6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21F2B4A"/>
    <w:multiLevelType w:val="hybridMultilevel"/>
    <w:tmpl w:val="C936D36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F839E2"/>
    <w:multiLevelType w:val="hybridMultilevel"/>
    <w:tmpl w:val="344A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327551C"/>
    <w:multiLevelType w:val="hybridMultilevel"/>
    <w:tmpl w:val="BEA20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37879DE"/>
    <w:multiLevelType w:val="hybridMultilevel"/>
    <w:tmpl w:val="3ED03B6A"/>
    <w:lvl w:ilvl="0" w:tplc="F4A026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58359B9"/>
    <w:multiLevelType w:val="multilevel"/>
    <w:tmpl w:val="241EFCFA"/>
    <w:lvl w:ilvl="0">
      <w:start w:val="1"/>
      <w:numFmt w:val="decimal"/>
      <w:pStyle w:val="TOCHeading"/>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2A6235AA"/>
    <w:multiLevelType w:val="multilevel"/>
    <w:tmpl w:val="B7E8BA5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2A9D0760"/>
    <w:multiLevelType w:val="hybridMultilevel"/>
    <w:tmpl w:val="4EDA7D36"/>
    <w:lvl w:ilvl="0" w:tplc="CAB40D4C">
      <w:start w:val="1"/>
      <w:numFmt w:val="lowerLetter"/>
      <w:lvlText w:val="(%1)"/>
      <w:lvlJc w:val="left"/>
      <w:pPr>
        <w:ind w:left="1080" w:hanging="360"/>
      </w:pPr>
      <w:rPr>
        <w:rFonts w:hint="default"/>
        <w:b w:val="0"/>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3" w15:restartNumberingAfterBreak="0">
    <w:nsid w:val="2F341270"/>
    <w:multiLevelType w:val="hybridMultilevel"/>
    <w:tmpl w:val="02142C96"/>
    <w:lvl w:ilvl="0" w:tplc="C7C8D1A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F8E1604"/>
    <w:multiLevelType w:val="hybridMultilevel"/>
    <w:tmpl w:val="9EB4C87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12F19CD"/>
    <w:multiLevelType w:val="multilevel"/>
    <w:tmpl w:val="00DEA7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324663A2"/>
    <w:multiLevelType w:val="multilevel"/>
    <w:tmpl w:val="446A28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342A6882"/>
    <w:multiLevelType w:val="hybridMultilevel"/>
    <w:tmpl w:val="2F2E535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8" w15:restartNumberingAfterBreak="0">
    <w:nsid w:val="36022054"/>
    <w:multiLevelType w:val="hybridMultilevel"/>
    <w:tmpl w:val="D00E1EF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6F33E0F"/>
    <w:multiLevelType w:val="hybridMultilevel"/>
    <w:tmpl w:val="251E6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81B1F2F"/>
    <w:multiLevelType w:val="hybridMultilevel"/>
    <w:tmpl w:val="205E2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C0A08F6"/>
    <w:multiLevelType w:val="hybridMultilevel"/>
    <w:tmpl w:val="E024853E"/>
    <w:lvl w:ilvl="0" w:tplc="F4A02634">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3D116EBC"/>
    <w:multiLevelType w:val="hybridMultilevel"/>
    <w:tmpl w:val="E1EC954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D4A128A"/>
    <w:multiLevelType w:val="multilevel"/>
    <w:tmpl w:val="7E1EB6E6"/>
    <w:lvl w:ilvl="0">
      <w:start w:val="1"/>
      <w:numFmt w:val="decimal"/>
      <w:lvlText w:val="%1)"/>
      <w:lvlJc w:val="left"/>
      <w:pPr>
        <w:ind w:left="360" w:hanging="360"/>
      </w:pPr>
    </w:lvl>
    <w:lvl w:ilvl="1">
      <w:start w:val="1"/>
      <w:numFmt w:val="lowerLetter"/>
      <w:lvlText w:val="%2)"/>
      <w:lvlJc w:val="left"/>
      <w:pPr>
        <w:ind w:left="171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3F374FB6"/>
    <w:multiLevelType w:val="hybridMultilevel"/>
    <w:tmpl w:val="84FE6CE4"/>
    <w:lvl w:ilvl="0" w:tplc="7F320AFA">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17E50C1"/>
    <w:multiLevelType w:val="hybridMultilevel"/>
    <w:tmpl w:val="A3A0BFAE"/>
    <w:lvl w:ilvl="0" w:tplc="B5CE23E8">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23B145B"/>
    <w:multiLevelType w:val="hybridMultilevel"/>
    <w:tmpl w:val="E3909F8A"/>
    <w:lvl w:ilvl="0" w:tplc="F5369B0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47D4136"/>
    <w:multiLevelType w:val="hybridMultilevel"/>
    <w:tmpl w:val="CDA27DD0"/>
    <w:lvl w:ilvl="0" w:tplc="B5CE23E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5B85BE2"/>
    <w:multiLevelType w:val="hybridMultilevel"/>
    <w:tmpl w:val="835AB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83140B1"/>
    <w:multiLevelType w:val="multilevel"/>
    <w:tmpl w:val="EC10A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8EB2854"/>
    <w:multiLevelType w:val="multilevel"/>
    <w:tmpl w:val="AD344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CBB6938"/>
    <w:multiLevelType w:val="hybridMultilevel"/>
    <w:tmpl w:val="1FE4D298"/>
    <w:lvl w:ilvl="0" w:tplc="5F943FCE">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53"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51F8692A"/>
    <w:multiLevelType w:val="hybridMultilevel"/>
    <w:tmpl w:val="4588D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44E026C"/>
    <w:multiLevelType w:val="hybridMultilevel"/>
    <w:tmpl w:val="494A1B2A"/>
    <w:lvl w:ilvl="0" w:tplc="99B4F96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54A056F0"/>
    <w:multiLevelType w:val="hybridMultilevel"/>
    <w:tmpl w:val="16528778"/>
    <w:lvl w:ilvl="0" w:tplc="04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7" w15:restartNumberingAfterBreak="0">
    <w:nsid w:val="601672D8"/>
    <w:multiLevelType w:val="hybridMultilevel"/>
    <w:tmpl w:val="32F09BF0"/>
    <w:lvl w:ilvl="0" w:tplc="F4A0263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438159D"/>
    <w:multiLevelType w:val="multilevel"/>
    <w:tmpl w:val="0B10E1A2"/>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9" w15:restartNumberingAfterBreak="0">
    <w:nsid w:val="66A339ED"/>
    <w:multiLevelType w:val="hybridMultilevel"/>
    <w:tmpl w:val="FBB2681A"/>
    <w:lvl w:ilvl="0" w:tplc="F4A0263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A1F75B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1997"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1" w15:restartNumberingAfterBreak="0">
    <w:nsid w:val="7D044DF4"/>
    <w:multiLevelType w:val="hybridMultilevel"/>
    <w:tmpl w:val="2B56ED3A"/>
    <w:lvl w:ilvl="0" w:tplc="3B3CFE74">
      <w:start w:val="2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E74784C"/>
    <w:multiLevelType w:val="multilevel"/>
    <w:tmpl w:val="0409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6"/>
  </w:num>
  <w:num w:numId="2">
    <w:abstractNumId w:val="48"/>
  </w:num>
  <w:num w:numId="3">
    <w:abstractNumId w:val="46"/>
  </w:num>
  <w:num w:numId="4">
    <w:abstractNumId w:val="52"/>
  </w:num>
  <w:num w:numId="5">
    <w:abstractNumId w:val="42"/>
  </w:num>
  <w:num w:numId="6">
    <w:abstractNumId w:val="26"/>
  </w:num>
  <w:num w:numId="7">
    <w:abstractNumId w:val="10"/>
  </w:num>
  <w:num w:numId="8">
    <w:abstractNumId w:val="45"/>
  </w:num>
  <w:num w:numId="9">
    <w:abstractNumId w:val="24"/>
  </w:num>
  <w:num w:numId="10">
    <w:abstractNumId w:val="22"/>
  </w:num>
  <w:num w:numId="11">
    <w:abstractNumId w:val="30"/>
  </w:num>
  <w:num w:numId="12">
    <w:abstractNumId w:val="38"/>
  </w:num>
  <w:num w:numId="13">
    <w:abstractNumId w:val="34"/>
  </w:num>
  <w:num w:numId="14">
    <w:abstractNumId w:val="32"/>
  </w:num>
  <w:num w:numId="15">
    <w:abstractNumId w:val="20"/>
  </w:num>
  <w:num w:numId="16">
    <w:abstractNumId w:val="56"/>
  </w:num>
  <w:num w:numId="17">
    <w:abstractNumId w:val="44"/>
  </w:num>
  <w:num w:numId="18">
    <w:abstractNumId w:val="55"/>
  </w:num>
  <w:num w:numId="19">
    <w:abstractNumId w:val="14"/>
  </w:num>
  <w:num w:numId="20">
    <w:abstractNumId w:val="58"/>
  </w:num>
  <w:num w:numId="21">
    <w:abstractNumId w:val="49"/>
  </w:num>
  <w:num w:numId="22">
    <w:abstractNumId w:val="37"/>
  </w:num>
  <w:num w:numId="23">
    <w:abstractNumId w:val="54"/>
  </w:num>
  <w:num w:numId="24">
    <w:abstractNumId w:val="13"/>
  </w:num>
  <w:num w:numId="25">
    <w:abstractNumId w:val="15"/>
  </w:num>
  <w:num w:numId="26">
    <w:abstractNumId w:val="11"/>
  </w:num>
  <w:num w:numId="27">
    <w:abstractNumId w:val="59"/>
  </w:num>
  <w:num w:numId="28">
    <w:abstractNumId w:val="29"/>
  </w:num>
  <w:num w:numId="29">
    <w:abstractNumId w:val="41"/>
  </w:num>
  <w:num w:numId="30">
    <w:abstractNumId w:val="57"/>
  </w:num>
  <w:num w:numId="31">
    <w:abstractNumId w:val="53"/>
  </w:num>
  <w:num w:numId="32">
    <w:abstractNumId w:val="17"/>
  </w:num>
  <w:num w:numId="33">
    <w:abstractNumId w:val="23"/>
  </w:num>
  <w:num w:numId="34">
    <w:abstractNumId w:val="43"/>
  </w:num>
  <w:num w:numId="35">
    <w:abstractNumId w:val="25"/>
  </w:num>
  <w:num w:numId="36">
    <w:abstractNumId w:val="40"/>
  </w:num>
  <w:num w:numId="37">
    <w:abstractNumId w:val="35"/>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18"/>
  </w:num>
  <w:num w:numId="43">
    <w:abstractNumId w:val="47"/>
  </w:num>
  <w:num w:numId="44">
    <w:abstractNumId w:val="50"/>
  </w:num>
  <w:num w:numId="45">
    <w:abstractNumId w:val="21"/>
  </w:num>
  <w:num w:numId="46">
    <w:abstractNumId w:val="51"/>
  </w:num>
  <w:num w:numId="47">
    <w:abstractNumId w:val="61"/>
  </w:num>
  <w:num w:numId="48">
    <w:abstractNumId w:val="0"/>
  </w:num>
  <w:num w:numId="49">
    <w:abstractNumId w:val="1"/>
  </w:num>
  <w:num w:numId="50">
    <w:abstractNumId w:val="2"/>
  </w:num>
  <w:num w:numId="51">
    <w:abstractNumId w:val="3"/>
  </w:num>
  <w:num w:numId="52">
    <w:abstractNumId w:val="8"/>
  </w:num>
  <w:num w:numId="53">
    <w:abstractNumId w:val="4"/>
  </w:num>
  <w:num w:numId="54">
    <w:abstractNumId w:val="5"/>
  </w:num>
  <w:num w:numId="55">
    <w:abstractNumId w:val="6"/>
  </w:num>
  <w:num w:numId="56">
    <w:abstractNumId w:val="7"/>
  </w:num>
  <w:num w:numId="57">
    <w:abstractNumId w:val="9"/>
  </w:num>
  <w:num w:numId="58">
    <w:abstractNumId w:val="12"/>
  </w:num>
  <w:num w:numId="59">
    <w:abstractNumId w:val="39"/>
  </w:num>
  <w:num w:numId="60">
    <w:abstractNumId w:val="36"/>
  </w:num>
  <w:num w:numId="61">
    <w:abstractNumId w:val="28"/>
  </w:num>
  <w:num w:numId="62">
    <w:abstractNumId w:val="33"/>
  </w:num>
  <w:num w:numId="63">
    <w:abstractNumId w:val="27"/>
  </w:num>
  <w:num w:numId="64">
    <w:abstractNumId w:val="60"/>
  </w:num>
  <w:num w:numId="65">
    <w:abstractNumId w:val="62"/>
  </w:num>
  <w:num w:numId="66">
    <w:abstractNumId w:val="3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hideSpellingErrors/>
  <w:hideGrammaticalErrors/>
  <w:activeWritingStyle w:appName="MSWord" w:lang="en-AU"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it-IT" w:vendorID="64" w:dllVersion="6" w:nlCheck="1" w:checkStyle="0"/>
  <w:activeWritingStyle w:appName="MSWord" w:lang="fr-FR" w:vendorID="64" w:dllVersion="6" w:nlCheck="1" w:checkStyle="0"/>
  <w:activeWritingStyle w:appName="MSWord" w:lang="pt-BR"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de-AT"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de-AT" w:vendorID="64" w:dllVersion="4096" w:nlCheck="1" w:checkStyle="0"/>
  <w:activeWritingStyle w:appName="MSWord" w:lang="pt-BR" w:vendorID="64" w:dllVersion="4096" w:nlCheck="1" w:checkStyle="0"/>
  <w:activeWritingStyle w:appName="MSWord" w:lang="en-AU"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es-ES" w:vendorID="64" w:dllVersion="4096" w:nlCheck="1" w:checkStyle="0"/>
  <w:activeWritingStyle w:appName="MSWord" w:lang="de-DE"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n-CA" w:vendorID="64" w:dllVersion="0" w:nlCheck="1" w:checkStyle="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evenAndOddHeaders/>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596"/>
    <w:rsid w:val="0000000D"/>
    <w:rsid w:val="00000046"/>
    <w:rsid w:val="000006C1"/>
    <w:rsid w:val="00001190"/>
    <w:rsid w:val="0000134B"/>
    <w:rsid w:val="000015EB"/>
    <w:rsid w:val="00002E67"/>
    <w:rsid w:val="00004A1F"/>
    <w:rsid w:val="00004E5B"/>
    <w:rsid w:val="000058B3"/>
    <w:rsid w:val="00005922"/>
    <w:rsid w:val="00005DBB"/>
    <w:rsid w:val="000060F5"/>
    <w:rsid w:val="0000651A"/>
    <w:rsid w:val="00006550"/>
    <w:rsid w:val="000072D5"/>
    <w:rsid w:val="000073F3"/>
    <w:rsid w:val="00007594"/>
    <w:rsid w:val="0001020F"/>
    <w:rsid w:val="00010608"/>
    <w:rsid w:val="00010D1D"/>
    <w:rsid w:val="00011466"/>
    <w:rsid w:val="000120F1"/>
    <w:rsid w:val="00012687"/>
    <w:rsid w:val="00012ADE"/>
    <w:rsid w:val="00013187"/>
    <w:rsid w:val="00015AE5"/>
    <w:rsid w:val="00016812"/>
    <w:rsid w:val="00016EA6"/>
    <w:rsid w:val="000179C6"/>
    <w:rsid w:val="00020159"/>
    <w:rsid w:val="00020C03"/>
    <w:rsid w:val="000212F4"/>
    <w:rsid w:val="00021DC2"/>
    <w:rsid w:val="00022F58"/>
    <w:rsid w:val="000231AD"/>
    <w:rsid w:val="00023AC8"/>
    <w:rsid w:val="00024507"/>
    <w:rsid w:val="00024D9E"/>
    <w:rsid w:val="000251CA"/>
    <w:rsid w:val="000262CD"/>
    <w:rsid w:val="000266EE"/>
    <w:rsid w:val="00026DF0"/>
    <w:rsid w:val="00027122"/>
    <w:rsid w:val="00027301"/>
    <w:rsid w:val="0002751D"/>
    <w:rsid w:val="00027758"/>
    <w:rsid w:val="00027A01"/>
    <w:rsid w:val="00027B9C"/>
    <w:rsid w:val="000312BB"/>
    <w:rsid w:val="00031404"/>
    <w:rsid w:val="0003211B"/>
    <w:rsid w:val="000323DE"/>
    <w:rsid w:val="0003350F"/>
    <w:rsid w:val="00033851"/>
    <w:rsid w:val="0003416F"/>
    <w:rsid w:val="0003482F"/>
    <w:rsid w:val="0003498C"/>
    <w:rsid w:val="00034B83"/>
    <w:rsid w:val="0003521E"/>
    <w:rsid w:val="00035315"/>
    <w:rsid w:val="0003582D"/>
    <w:rsid w:val="00036501"/>
    <w:rsid w:val="00036D1C"/>
    <w:rsid w:val="00037158"/>
    <w:rsid w:val="00037603"/>
    <w:rsid w:val="00037E11"/>
    <w:rsid w:val="00037F04"/>
    <w:rsid w:val="000414FC"/>
    <w:rsid w:val="0004189B"/>
    <w:rsid w:val="00041E71"/>
    <w:rsid w:val="00042953"/>
    <w:rsid w:val="00042B1B"/>
    <w:rsid w:val="00043237"/>
    <w:rsid w:val="00043C73"/>
    <w:rsid w:val="0004417C"/>
    <w:rsid w:val="000444E8"/>
    <w:rsid w:val="0004465A"/>
    <w:rsid w:val="00045DC5"/>
    <w:rsid w:val="000461CD"/>
    <w:rsid w:val="000469C9"/>
    <w:rsid w:val="00046E8A"/>
    <w:rsid w:val="00047F36"/>
    <w:rsid w:val="000503D2"/>
    <w:rsid w:val="00052362"/>
    <w:rsid w:val="00052476"/>
    <w:rsid w:val="00052C52"/>
    <w:rsid w:val="000530EF"/>
    <w:rsid w:val="0005358E"/>
    <w:rsid w:val="00053CB2"/>
    <w:rsid w:val="00053D1E"/>
    <w:rsid w:val="0005432D"/>
    <w:rsid w:val="00054762"/>
    <w:rsid w:val="00054ACF"/>
    <w:rsid w:val="00054FE3"/>
    <w:rsid w:val="000550DD"/>
    <w:rsid w:val="000552B6"/>
    <w:rsid w:val="000559CF"/>
    <w:rsid w:val="00055B52"/>
    <w:rsid w:val="00055BE4"/>
    <w:rsid w:val="000566BB"/>
    <w:rsid w:val="00056F20"/>
    <w:rsid w:val="0006017D"/>
    <w:rsid w:val="000601E0"/>
    <w:rsid w:val="00060288"/>
    <w:rsid w:val="00060D1F"/>
    <w:rsid w:val="00062294"/>
    <w:rsid w:val="00062999"/>
    <w:rsid w:val="00062A11"/>
    <w:rsid w:val="00063445"/>
    <w:rsid w:val="0006352C"/>
    <w:rsid w:val="000635B7"/>
    <w:rsid w:val="00063972"/>
    <w:rsid w:val="00063CE9"/>
    <w:rsid w:val="00063DE4"/>
    <w:rsid w:val="00063F16"/>
    <w:rsid w:val="00064291"/>
    <w:rsid w:val="0006461B"/>
    <w:rsid w:val="00064AB7"/>
    <w:rsid w:val="00065113"/>
    <w:rsid w:val="00065173"/>
    <w:rsid w:val="000655B1"/>
    <w:rsid w:val="00065E2D"/>
    <w:rsid w:val="000666BC"/>
    <w:rsid w:val="00066EE4"/>
    <w:rsid w:val="0006720A"/>
    <w:rsid w:val="000673C1"/>
    <w:rsid w:val="00067A65"/>
    <w:rsid w:val="000701B7"/>
    <w:rsid w:val="000707C8"/>
    <w:rsid w:val="00070C2C"/>
    <w:rsid w:val="00071CA0"/>
    <w:rsid w:val="00072156"/>
    <w:rsid w:val="00072315"/>
    <w:rsid w:val="000724EC"/>
    <w:rsid w:val="000726F1"/>
    <w:rsid w:val="00072F0B"/>
    <w:rsid w:val="00074235"/>
    <w:rsid w:val="00074436"/>
    <w:rsid w:val="00074B93"/>
    <w:rsid w:val="00075ABF"/>
    <w:rsid w:val="00075B7B"/>
    <w:rsid w:val="0007659D"/>
    <w:rsid w:val="000767A5"/>
    <w:rsid w:val="0007719C"/>
    <w:rsid w:val="0007756D"/>
    <w:rsid w:val="00077A21"/>
    <w:rsid w:val="00077C07"/>
    <w:rsid w:val="00077ED1"/>
    <w:rsid w:val="0008059F"/>
    <w:rsid w:val="00080C8D"/>
    <w:rsid w:val="00081751"/>
    <w:rsid w:val="00081780"/>
    <w:rsid w:val="000817EA"/>
    <w:rsid w:val="0008253F"/>
    <w:rsid w:val="00082652"/>
    <w:rsid w:val="00082943"/>
    <w:rsid w:val="00082D62"/>
    <w:rsid w:val="000833FE"/>
    <w:rsid w:val="00083B4B"/>
    <w:rsid w:val="00083CE1"/>
    <w:rsid w:val="0008415D"/>
    <w:rsid w:val="000842A9"/>
    <w:rsid w:val="0008431A"/>
    <w:rsid w:val="000857A4"/>
    <w:rsid w:val="00085AE0"/>
    <w:rsid w:val="000863E4"/>
    <w:rsid w:val="00086BE8"/>
    <w:rsid w:val="00086CB0"/>
    <w:rsid w:val="00087B64"/>
    <w:rsid w:val="00090FD0"/>
    <w:rsid w:val="0009226B"/>
    <w:rsid w:val="00093066"/>
    <w:rsid w:val="0009309B"/>
    <w:rsid w:val="000932E8"/>
    <w:rsid w:val="000935AB"/>
    <w:rsid w:val="000935FC"/>
    <w:rsid w:val="00093866"/>
    <w:rsid w:val="000948AD"/>
    <w:rsid w:val="00095604"/>
    <w:rsid w:val="000968B9"/>
    <w:rsid w:val="00096A42"/>
    <w:rsid w:val="000A0291"/>
    <w:rsid w:val="000A0A70"/>
    <w:rsid w:val="000A0F85"/>
    <w:rsid w:val="000A18EB"/>
    <w:rsid w:val="000A1E21"/>
    <w:rsid w:val="000A1F27"/>
    <w:rsid w:val="000A22DF"/>
    <w:rsid w:val="000A2503"/>
    <w:rsid w:val="000A27CB"/>
    <w:rsid w:val="000A3873"/>
    <w:rsid w:val="000A4667"/>
    <w:rsid w:val="000A4CCA"/>
    <w:rsid w:val="000A4CE9"/>
    <w:rsid w:val="000A57CD"/>
    <w:rsid w:val="000A5A1F"/>
    <w:rsid w:val="000A5A35"/>
    <w:rsid w:val="000A5B36"/>
    <w:rsid w:val="000A660F"/>
    <w:rsid w:val="000A6F27"/>
    <w:rsid w:val="000A6FC4"/>
    <w:rsid w:val="000A7365"/>
    <w:rsid w:val="000A7D91"/>
    <w:rsid w:val="000B0F3F"/>
    <w:rsid w:val="000B17A8"/>
    <w:rsid w:val="000B1CB1"/>
    <w:rsid w:val="000B2721"/>
    <w:rsid w:val="000B3879"/>
    <w:rsid w:val="000B4245"/>
    <w:rsid w:val="000B428E"/>
    <w:rsid w:val="000B49FD"/>
    <w:rsid w:val="000B5826"/>
    <w:rsid w:val="000B5B46"/>
    <w:rsid w:val="000B6356"/>
    <w:rsid w:val="000B6D9A"/>
    <w:rsid w:val="000B7349"/>
    <w:rsid w:val="000C00C5"/>
    <w:rsid w:val="000C052F"/>
    <w:rsid w:val="000C0A55"/>
    <w:rsid w:val="000C0D72"/>
    <w:rsid w:val="000C0D97"/>
    <w:rsid w:val="000C1091"/>
    <w:rsid w:val="000C12FA"/>
    <w:rsid w:val="000C1494"/>
    <w:rsid w:val="000C20BC"/>
    <w:rsid w:val="000C2513"/>
    <w:rsid w:val="000C2DE2"/>
    <w:rsid w:val="000C3CE3"/>
    <w:rsid w:val="000C41C6"/>
    <w:rsid w:val="000C4D92"/>
    <w:rsid w:val="000C520F"/>
    <w:rsid w:val="000C5211"/>
    <w:rsid w:val="000C5668"/>
    <w:rsid w:val="000C5673"/>
    <w:rsid w:val="000C5AF9"/>
    <w:rsid w:val="000C6AF3"/>
    <w:rsid w:val="000C6E1A"/>
    <w:rsid w:val="000C711C"/>
    <w:rsid w:val="000C76C3"/>
    <w:rsid w:val="000C76CA"/>
    <w:rsid w:val="000C78DA"/>
    <w:rsid w:val="000C7973"/>
    <w:rsid w:val="000C7AB1"/>
    <w:rsid w:val="000D0111"/>
    <w:rsid w:val="000D0A57"/>
    <w:rsid w:val="000D1330"/>
    <w:rsid w:val="000D2201"/>
    <w:rsid w:val="000D254E"/>
    <w:rsid w:val="000D26AC"/>
    <w:rsid w:val="000D2DDE"/>
    <w:rsid w:val="000D305C"/>
    <w:rsid w:val="000D3286"/>
    <w:rsid w:val="000D3F68"/>
    <w:rsid w:val="000D48CB"/>
    <w:rsid w:val="000D4D3B"/>
    <w:rsid w:val="000D53E1"/>
    <w:rsid w:val="000D574D"/>
    <w:rsid w:val="000D681F"/>
    <w:rsid w:val="000D79C3"/>
    <w:rsid w:val="000E1519"/>
    <w:rsid w:val="000E1899"/>
    <w:rsid w:val="000E23F1"/>
    <w:rsid w:val="000E249B"/>
    <w:rsid w:val="000E2839"/>
    <w:rsid w:val="000E2B48"/>
    <w:rsid w:val="000E2E9C"/>
    <w:rsid w:val="000E36C8"/>
    <w:rsid w:val="000E3C68"/>
    <w:rsid w:val="000E3CF8"/>
    <w:rsid w:val="000E42F4"/>
    <w:rsid w:val="000E4784"/>
    <w:rsid w:val="000E4C8E"/>
    <w:rsid w:val="000E4FE0"/>
    <w:rsid w:val="000E5068"/>
    <w:rsid w:val="000E5091"/>
    <w:rsid w:val="000E50DF"/>
    <w:rsid w:val="000E5528"/>
    <w:rsid w:val="000E6BCB"/>
    <w:rsid w:val="000E6D6D"/>
    <w:rsid w:val="000E7E7B"/>
    <w:rsid w:val="000F0199"/>
    <w:rsid w:val="000F0D78"/>
    <w:rsid w:val="000F1D14"/>
    <w:rsid w:val="000F2245"/>
    <w:rsid w:val="000F26A1"/>
    <w:rsid w:val="000F2BF2"/>
    <w:rsid w:val="000F2D71"/>
    <w:rsid w:val="000F33AE"/>
    <w:rsid w:val="000F370A"/>
    <w:rsid w:val="000F4BF7"/>
    <w:rsid w:val="000F5761"/>
    <w:rsid w:val="000F59AA"/>
    <w:rsid w:val="000F5C3B"/>
    <w:rsid w:val="000F5F56"/>
    <w:rsid w:val="000F6B49"/>
    <w:rsid w:val="000F74D3"/>
    <w:rsid w:val="000F760D"/>
    <w:rsid w:val="000F7779"/>
    <w:rsid w:val="000F79CB"/>
    <w:rsid w:val="000F7E25"/>
    <w:rsid w:val="00101023"/>
    <w:rsid w:val="00101766"/>
    <w:rsid w:val="00101904"/>
    <w:rsid w:val="00101CD0"/>
    <w:rsid w:val="001022C8"/>
    <w:rsid w:val="0010258B"/>
    <w:rsid w:val="00102AD3"/>
    <w:rsid w:val="0010349E"/>
    <w:rsid w:val="00103559"/>
    <w:rsid w:val="001050A8"/>
    <w:rsid w:val="00105F73"/>
    <w:rsid w:val="001105DD"/>
    <w:rsid w:val="0011131B"/>
    <w:rsid w:val="00111BBC"/>
    <w:rsid w:val="001124A1"/>
    <w:rsid w:val="0011263D"/>
    <w:rsid w:val="00112B28"/>
    <w:rsid w:val="00114010"/>
    <w:rsid w:val="00114AC3"/>
    <w:rsid w:val="001157F3"/>
    <w:rsid w:val="00115B23"/>
    <w:rsid w:val="00115B8E"/>
    <w:rsid w:val="00115C8F"/>
    <w:rsid w:val="00115EBD"/>
    <w:rsid w:val="00115F02"/>
    <w:rsid w:val="001163C3"/>
    <w:rsid w:val="0011666E"/>
    <w:rsid w:val="00116729"/>
    <w:rsid w:val="00116D05"/>
    <w:rsid w:val="0011715B"/>
    <w:rsid w:val="00117223"/>
    <w:rsid w:val="0011787B"/>
    <w:rsid w:val="00120A2E"/>
    <w:rsid w:val="00122876"/>
    <w:rsid w:val="00122C1A"/>
    <w:rsid w:val="00122CA8"/>
    <w:rsid w:val="001232CA"/>
    <w:rsid w:val="00124A21"/>
    <w:rsid w:val="00124DA5"/>
    <w:rsid w:val="0012523E"/>
    <w:rsid w:val="001257DF"/>
    <w:rsid w:val="00125D2C"/>
    <w:rsid w:val="00126AFB"/>
    <w:rsid w:val="00126F23"/>
    <w:rsid w:val="001270F2"/>
    <w:rsid w:val="001279E4"/>
    <w:rsid w:val="00130D48"/>
    <w:rsid w:val="001312FE"/>
    <w:rsid w:val="00131D3D"/>
    <w:rsid w:val="00132C66"/>
    <w:rsid w:val="00132CD5"/>
    <w:rsid w:val="0013315E"/>
    <w:rsid w:val="001335B1"/>
    <w:rsid w:val="00133BA5"/>
    <w:rsid w:val="00134827"/>
    <w:rsid w:val="0013542F"/>
    <w:rsid w:val="001363C9"/>
    <w:rsid w:val="00136964"/>
    <w:rsid w:val="00140A97"/>
    <w:rsid w:val="00140CA5"/>
    <w:rsid w:val="00141192"/>
    <w:rsid w:val="00141ADD"/>
    <w:rsid w:val="00141CDB"/>
    <w:rsid w:val="00141F67"/>
    <w:rsid w:val="00141FEA"/>
    <w:rsid w:val="001427AD"/>
    <w:rsid w:val="001428B0"/>
    <w:rsid w:val="0014399D"/>
    <w:rsid w:val="00143DCE"/>
    <w:rsid w:val="001447A3"/>
    <w:rsid w:val="00144E4B"/>
    <w:rsid w:val="0014508D"/>
    <w:rsid w:val="00145BF7"/>
    <w:rsid w:val="0014628B"/>
    <w:rsid w:val="0014647E"/>
    <w:rsid w:val="001465C7"/>
    <w:rsid w:val="0014688E"/>
    <w:rsid w:val="001500CF"/>
    <w:rsid w:val="001511FD"/>
    <w:rsid w:val="00151BE7"/>
    <w:rsid w:val="00151CF7"/>
    <w:rsid w:val="00151D45"/>
    <w:rsid w:val="0015468A"/>
    <w:rsid w:val="00154C01"/>
    <w:rsid w:val="001551E1"/>
    <w:rsid w:val="00155FAC"/>
    <w:rsid w:val="00156979"/>
    <w:rsid w:val="00160750"/>
    <w:rsid w:val="00160D75"/>
    <w:rsid w:val="00160FB0"/>
    <w:rsid w:val="0016193A"/>
    <w:rsid w:val="00163503"/>
    <w:rsid w:val="001646FE"/>
    <w:rsid w:val="00164BB7"/>
    <w:rsid w:val="00164BF9"/>
    <w:rsid w:val="0016585B"/>
    <w:rsid w:val="0016673E"/>
    <w:rsid w:val="00167524"/>
    <w:rsid w:val="0016753C"/>
    <w:rsid w:val="00167669"/>
    <w:rsid w:val="00167868"/>
    <w:rsid w:val="00170070"/>
    <w:rsid w:val="00170101"/>
    <w:rsid w:val="0017079B"/>
    <w:rsid w:val="00170B9D"/>
    <w:rsid w:val="00171910"/>
    <w:rsid w:val="00171A10"/>
    <w:rsid w:val="00171C0D"/>
    <w:rsid w:val="00171F69"/>
    <w:rsid w:val="00172BE0"/>
    <w:rsid w:val="0017391D"/>
    <w:rsid w:val="0017448C"/>
    <w:rsid w:val="001744F1"/>
    <w:rsid w:val="001748B4"/>
    <w:rsid w:val="00174FAC"/>
    <w:rsid w:val="00175346"/>
    <w:rsid w:val="001754AD"/>
    <w:rsid w:val="00175A82"/>
    <w:rsid w:val="001764EE"/>
    <w:rsid w:val="00176544"/>
    <w:rsid w:val="00176C6F"/>
    <w:rsid w:val="00177B1D"/>
    <w:rsid w:val="00180C5E"/>
    <w:rsid w:val="001820C4"/>
    <w:rsid w:val="001820FA"/>
    <w:rsid w:val="0018214F"/>
    <w:rsid w:val="0018265D"/>
    <w:rsid w:val="00182C2D"/>
    <w:rsid w:val="00183DB2"/>
    <w:rsid w:val="00184775"/>
    <w:rsid w:val="00184EB6"/>
    <w:rsid w:val="001852CB"/>
    <w:rsid w:val="00185C05"/>
    <w:rsid w:val="001861D3"/>
    <w:rsid w:val="001862FB"/>
    <w:rsid w:val="001865DC"/>
    <w:rsid w:val="00186D3A"/>
    <w:rsid w:val="001871DA"/>
    <w:rsid w:val="00187531"/>
    <w:rsid w:val="0018798B"/>
    <w:rsid w:val="00190B22"/>
    <w:rsid w:val="0019139C"/>
    <w:rsid w:val="00191DE0"/>
    <w:rsid w:val="001922C8"/>
    <w:rsid w:val="00192894"/>
    <w:rsid w:val="00192B64"/>
    <w:rsid w:val="00192BA4"/>
    <w:rsid w:val="00192C0D"/>
    <w:rsid w:val="00192DF1"/>
    <w:rsid w:val="00193C61"/>
    <w:rsid w:val="00194D0B"/>
    <w:rsid w:val="00194F35"/>
    <w:rsid w:val="001950A5"/>
    <w:rsid w:val="00195AF0"/>
    <w:rsid w:val="00195B0B"/>
    <w:rsid w:val="00195D23"/>
    <w:rsid w:val="0019646E"/>
    <w:rsid w:val="001969F5"/>
    <w:rsid w:val="00196F6D"/>
    <w:rsid w:val="00197738"/>
    <w:rsid w:val="00197DCD"/>
    <w:rsid w:val="001A073B"/>
    <w:rsid w:val="001A0976"/>
    <w:rsid w:val="001A0D30"/>
    <w:rsid w:val="001A14EF"/>
    <w:rsid w:val="001A1662"/>
    <w:rsid w:val="001A16C0"/>
    <w:rsid w:val="001A223D"/>
    <w:rsid w:val="001A24BB"/>
    <w:rsid w:val="001A2CE4"/>
    <w:rsid w:val="001A2DB1"/>
    <w:rsid w:val="001A3AB4"/>
    <w:rsid w:val="001A3BCE"/>
    <w:rsid w:val="001A3FB2"/>
    <w:rsid w:val="001A4973"/>
    <w:rsid w:val="001A4B36"/>
    <w:rsid w:val="001A4B43"/>
    <w:rsid w:val="001A6721"/>
    <w:rsid w:val="001A7172"/>
    <w:rsid w:val="001B01E4"/>
    <w:rsid w:val="001B1DB6"/>
    <w:rsid w:val="001B2132"/>
    <w:rsid w:val="001B22C1"/>
    <w:rsid w:val="001B297C"/>
    <w:rsid w:val="001B2A2B"/>
    <w:rsid w:val="001B2C58"/>
    <w:rsid w:val="001B4D6A"/>
    <w:rsid w:val="001B54D6"/>
    <w:rsid w:val="001B575A"/>
    <w:rsid w:val="001B6514"/>
    <w:rsid w:val="001B6B71"/>
    <w:rsid w:val="001B6D70"/>
    <w:rsid w:val="001B7196"/>
    <w:rsid w:val="001B771D"/>
    <w:rsid w:val="001C024A"/>
    <w:rsid w:val="001C08C9"/>
    <w:rsid w:val="001C0922"/>
    <w:rsid w:val="001C0C53"/>
    <w:rsid w:val="001C10E4"/>
    <w:rsid w:val="001C1D6E"/>
    <w:rsid w:val="001C1FC6"/>
    <w:rsid w:val="001C28E5"/>
    <w:rsid w:val="001C2F87"/>
    <w:rsid w:val="001C41A3"/>
    <w:rsid w:val="001C4B08"/>
    <w:rsid w:val="001C4EA1"/>
    <w:rsid w:val="001C5567"/>
    <w:rsid w:val="001C5A7F"/>
    <w:rsid w:val="001C5C36"/>
    <w:rsid w:val="001C5DAC"/>
    <w:rsid w:val="001C77DB"/>
    <w:rsid w:val="001C7DDA"/>
    <w:rsid w:val="001C7F00"/>
    <w:rsid w:val="001D09D4"/>
    <w:rsid w:val="001D0CFE"/>
    <w:rsid w:val="001D0D1E"/>
    <w:rsid w:val="001D19A5"/>
    <w:rsid w:val="001D26C9"/>
    <w:rsid w:val="001D376A"/>
    <w:rsid w:val="001D4214"/>
    <w:rsid w:val="001D499C"/>
    <w:rsid w:val="001D5615"/>
    <w:rsid w:val="001D67B6"/>
    <w:rsid w:val="001D6CD0"/>
    <w:rsid w:val="001D72E3"/>
    <w:rsid w:val="001D76D9"/>
    <w:rsid w:val="001D7F19"/>
    <w:rsid w:val="001E02A3"/>
    <w:rsid w:val="001E07C0"/>
    <w:rsid w:val="001E0DFA"/>
    <w:rsid w:val="001E1C30"/>
    <w:rsid w:val="001E26AF"/>
    <w:rsid w:val="001E2910"/>
    <w:rsid w:val="001E313E"/>
    <w:rsid w:val="001E3763"/>
    <w:rsid w:val="001E3A4D"/>
    <w:rsid w:val="001E3BCA"/>
    <w:rsid w:val="001E3D21"/>
    <w:rsid w:val="001E3F01"/>
    <w:rsid w:val="001E4CAC"/>
    <w:rsid w:val="001E63B8"/>
    <w:rsid w:val="001E70E2"/>
    <w:rsid w:val="001E77A4"/>
    <w:rsid w:val="001E7B08"/>
    <w:rsid w:val="001E7D4F"/>
    <w:rsid w:val="001F0083"/>
    <w:rsid w:val="001F08C9"/>
    <w:rsid w:val="001F17EE"/>
    <w:rsid w:val="001F3442"/>
    <w:rsid w:val="001F491C"/>
    <w:rsid w:val="001F51CF"/>
    <w:rsid w:val="001F5A90"/>
    <w:rsid w:val="001F6754"/>
    <w:rsid w:val="001F7815"/>
    <w:rsid w:val="00200A73"/>
    <w:rsid w:val="00200A90"/>
    <w:rsid w:val="0020174F"/>
    <w:rsid w:val="00202956"/>
    <w:rsid w:val="0020326F"/>
    <w:rsid w:val="00203438"/>
    <w:rsid w:val="0020377D"/>
    <w:rsid w:val="002039D5"/>
    <w:rsid w:val="002046D0"/>
    <w:rsid w:val="00204CBB"/>
    <w:rsid w:val="00204E15"/>
    <w:rsid w:val="002059A5"/>
    <w:rsid w:val="00205A59"/>
    <w:rsid w:val="00205E04"/>
    <w:rsid w:val="00206168"/>
    <w:rsid w:val="00206409"/>
    <w:rsid w:val="002071A4"/>
    <w:rsid w:val="00210358"/>
    <w:rsid w:val="00210510"/>
    <w:rsid w:val="002114F1"/>
    <w:rsid w:val="0021167F"/>
    <w:rsid w:val="002118C9"/>
    <w:rsid w:val="00211DA7"/>
    <w:rsid w:val="00211F0F"/>
    <w:rsid w:val="00212D8A"/>
    <w:rsid w:val="0021332A"/>
    <w:rsid w:val="00213622"/>
    <w:rsid w:val="00213651"/>
    <w:rsid w:val="0021415F"/>
    <w:rsid w:val="00214246"/>
    <w:rsid w:val="0021443F"/>
    <w:rsid w:val="00214675"/>
    <w:rsid w:val="002150E7"/>
    <w:rsid w:val="0021558B"/>
    <w:rsid w:val="00215AE3"/>
    <w:rsid w:val="00216753"/>
    <w:rsid w:val="00216C74"/>
    <w:rsid w:val="00217166"/>
    <w:rsid w:val="002176E0"/>
    <w:rsid w:val="002202B8"/>
    <w:rsid w:val="0022205E"/>
    <w:rsid w:val="00222270"/>
    <w:rsid w:val="00222601"/>
    <w:rsid w:val="00223525"/>
    <w:rsid w:val="002235B2"/>
    <w:rsid w:val="00223BDE"/>
    <w:rsid w:val="002243F2"/>
    <w:rsid w:val="0022454A"/>
    <w:rsid w:val="002248FC"/>
    <w:rsid w:val="002257F6"/>
    <w:rsid w:val="002258F4"/>
    <w:rsid w:val="00225F57"/>
    <w:rsid w:val="002270FC"/>
    <w:rsid w:val="00227B8E"/>
    <w:rsid w:val="002322E3"/>
    <w:rsid w:val="0023238E"/>
    <w:rsid w:val="002324AE"/>
    <w:rsid w:val="002326ED"/>
    <w:rsid w:val="00233967"/>
    <w:rsid w:val="00233AAA"/>
    <w:rsid w:val="002342D5"/>
    <w:rsid w:val="00234944"/>
    <w:rsid w:val="00234E06"/>
    <w:rsid w:val="002353B6"/>
    <w:rsid w:val="002359AB"/>
    <w:rsid w:val="00236245"/>
    <w:rsid w:val="00236857"/>
    <w:rsid w:val="002368F1"/>
    <w:rsid w:val="00236E82"/>
    <w:rsid w:val="0024025E"/>
    <w:rsid w:val="002404E2"/>
    <w:rsid w:val="0024104E"/>
    <w:rsid w:val="002410FC"/>
    <w:rsid w:val="002411C7"/>
    <w:rsid w:val="0024139C"/>
    <w:rsid w:val="00242238"/>
    <w:rsid w:val="0024266A"/>
    <w:rsid w:val="0024287C"/>
    <w:rsid w:val="00242E8E"/>
    <w:rsid w:val="0024389E"/>
    <w:rsid w:val="00243F5D"/>
    <w:rsid w:val="00244360"/>
    <w:rsid w:val="00244695"/>
    <w:rsid w:val="002456E0"/>
    <w:rsid w:val="00245812"/>
    <w:rsid w:val="00246333"/>
    <w:rsid w:val="00246677"/>
    <w:rsid w:val="00246CB3"/>
    <w:rsid w:val="002472E8"/>
    <w:rsid w:val="00247302"/>
    <w:rsid w:val="002474D7"/>
    <w:rsid w:val="00247686"/>
    <w:rsid w:val="00247DD7"/>
    <w:rsid w:val="00247EE8"/>
    <w:rsid w:val="00250772"/>
    <w:rsid w:val="0025115A"/>
    <w:rsid w:val="00251BC1"/>
    <w:rsid w:val="00251F51"/>
    <w:rsid w:val="002527B6"/>
    <w:rsid w:val="00252E40"/>
    <w:rsid w:val="00253434"/>
    <w:rsid w:val="002540B9"/>
    <w:rsid w:val="002543BB"/>
    <w:rsid w:val="0025471C"/>
    <w:rsid w:val="00254878"/>
    <w:rsid w:val="00255016"/>
    <w:rsid w:val="002557DA"/>
    <w:rsid w:val="002558B9"/>
    <w:rsid w:val="00256050"/>
    <w:rsid w:val="00256282"/>
    <w:rsid w:val="002563BC"/>
    <w:rsid w:val="00256A61"/>
    <w:rsid w:val="00256C6E"/>
    <w:rsid w:val="00257192"/>
    <w:rsid w:val="00257F4A"/>
    <w:rsid w:val="0026066D"/>
    <w:rsid w:val="00260DF6"/>
    <w:rsid w:val="002616C2"/>
    <w:rsid w:val="002616F9"/>
    <w:rsid w:val="00261A54"/>
    <w:rsid w:val="00261AE5"/>
    <w:rsid w:val="00261C42"/>
    <w:rsid w:val="00262C9A"/>
    <w:rsid w:val="00263208"/>
    <w:rsid w:val="002640E9"/>
    <w:rsid w:val="002647F8"/>
    <w:rsid w:val="00264CA7"/>
    <w:rsid w:val="002656D6"/>
    <w:rsid w:val="002657E5"/>
    <w:rsid w:val="00265C52"/>
    <w:rsid w:val="00266069"/>
    <w:rsid w:val="002662F6"/>
    <w:rsid w:val="002665DD"/>
    <w:rsid w:val="00266715"/>
    <w:rsid w:val="002678B6"/>
    <w:rsid w:val="00267CED"/>
    <w:rsid w:val="002722B0"/>
    <w:rsid w:val="00272FA0"/>
    <w:rsid w:val="002731EE"/>
    <w:rsid w:val="002733EE"/>
    <w:rsid w:val="00273C96"/>
    <w:rsid w:val="00273D68"/>
    <w:rsid w:val="00273E6F"/>
    <w:rsid w:val="00274586"/>
    <w:rsid w:val="00274938"/>
    <w:rsid w:val="00274A3D"/>
    <w:rsid w:val="00274B27"/>
    <w:rsid w:val="00274CFD"/>
    <w:rsid w:val="00276431"/>
    <w:rsid w:val="00277BFD"/>
    <w:rsid w:val="0028022D"/>
    <w:rsid w:val="00280C50"/>
    <w:rsid w:val="0028199C"/>
    <w:rsid w:val="00281C20"/>
    <w:rsid w:val="00281EC0"/>
    <w:rsid w:val="00281F3D"/>
    <w:rsid w:val="00284A73"/>
    <w:rsid w:val="00284B8F"/>
    <w:rsid w:val="00284DEB"/>
    <w:rsid w:val="00286187"/>
    <w:rsid w:val="002862A3"/>
    <w:rsid w:val="00287317"/>
    <w:rsid w:val="002879A5"/>
    <w:rsid w:val="0029152D"/>
    <w:rsid w:val="002918DF"/>
    <w:rsid w:val="00291C46"/>
    <w:rsid w:val="00291CB1"/>
    <w:rsid w:val="002922A9"/>
    <w:rsid w:val="00292C72"/>
    <w:rsid w:val="00293972"/>
    <w:rsid w:val="00294AC3"/>
    <w:rsid w:val="00295B80"/>
    <w:rsid w:val="00296090"/>
    <w:rsid w:val="00296252"/>
    <w:rsid w:val="00296DDA"/>
    <w:rsid w:val="0029752B"/>
    <w:rsid w:val="0029793E"/>
    <w:rsid w:val="00297E2A"/>
    <w:rsid w:val="002A035A"/>
    <w:rsid w:val="002A0486"/>
    <w:rsid w:val="002A1B7E"/>
    <w:rsid w:val="002A2960"/>
    <w:rsid w:val="002A2AE5"/>
    <w:rsid w:val="002A3113"/>
    <w:rsid w:val="002A321E"/>
    <w:rsid w:val="002A3D29"/>
    <w:rsid w:val="002A436B"/>
    <w:rsid w:val="002A4C5B"/>
    <w:rsid w:val="002A57E3"/>
    <w:rsid w:val="002A5A81"/>
    <w:rsid w:val="002A5C59"/>
    <w:rsid w:val="002B0463"/>
    <w:rsid w:val="002B1273"/>
    <w:rsid w:val="002B15C4"/>
    <w:rsid w:val="002B1AD3"/>
    <w:rsid w:val="002B1E1C"/>
    <w:rsid w:val="002B34F8"/>
    <w:rsid w:val="002B3540"/>
    <w:rsid w:val="002B3FAB"/>
    <w:rsid w:val="002B40C9"/>
    <w:rsid w:val="002B456A"/>
    <w:rsid w:val="002B45FC"/>
    <w:rsid w:val="002B52C1"/>
    <w:rsid w:val="002B5918"/>
    <w:rsid w:val="002B59D0"/>
    <w:rsid w:val="002B5C1F"/>
    <w:rsid w:val="002B6802"/>
    <w:rsid w:val="002B7B05"/>
    <w:rsid w:val="002B7BDC"/>
    <w:rsid w:val="002C040C"/>
    <w:rsid w:val="002C0BFD"/>
    <w:rsid w:val="002C0E6B"/>
    <w:rsid w:val="002C0EF9"/>
    <w:rsid w:val="002C2880"/>
    <w:rsid w:val="002C3BF0"/>
    <w:rsid w:val="002C3DCD"/>
    <w:rsid w:val="002C3E9C"/>
    <w:rsid w:val="002C5231"/>
    <w:rsid w:val="002C605F"/>
    <w:rsid w:val="002C64CB"/>
    <w:rsid w:val="002C650A"/>
    <w:rsid w:val="002C744F"/>
    <w:rsid w:val="002C77FD"/>
    <w:rsid w:val="002D0338"/>
    <w:rsid w:val="002D067F"/>
    <w:rsid w:val="002D0E8C"/>
    <w:rsid w:val="002D2352"/>
    <w:rsid w:val="002D2705"/>
    <w:rsid w:val="002D2BCA"/>
    <w:rsid w:val="002D36C9"/>
    <w:rsid w:val="002D3DBB"/>
    <w:rsid w:val="002D4209"/>
    <w:rsid w:val="002D4725"/>
    <w:rsid w:val="002D5966"/>
    <w:rsid w:val="002D6093"/>
    <w:rsid w:val="002E0115"/>
    <w:rsid w:val="002E11E5"/>
    <w:rsid w:val="002E158B"/>
    <w:rsid w:val="002E1651"/>
    <w:rsid w:val="002E1C39"/>
    <w:rsid w:val="002E2624"/>
    <w:rsid w:val="002E2B00"/>
    <w:rsid w:val="002E306B"/>
    <w:rsid w:val="002E380D"/>
    <w:rsid w:val="002E3E32"/>
    <w:rsid w:val="002E3EEF"/>
    <w:rsid w:val="002E3F8C"/>
    <w:rsid w:val="002E4328"/>
    <w:rsid w:val="002E4404"/>
    <w:rsid w:val="002E4983"/>
    <w:rsid w:val="002E549A"/>
    <w:rsid w:val="002E5646"/>
    <w:rsid w:val="002E6071"/>
    <w:rsid w:val="002E6D29"/>
    <w:rsid w:val="002E6E6B"/>
    <w:rsid w:val="002E75F9"/>
    <w:rsid w:val="002E7C91"/>
    <w:rsid w:val="002F0030"/>
    <w:rsid w:val="002F044D"/>
    <w:rsid w:val="002F05B5"/>
    <w:rsid w:val="002F0A2E"/>
    <w:rsid w:val="002F0ACD"/>
    <w:rsid w:val="002F106A"/>
    <w:rsid w:val="002F145D"/>
    <w:rsid w:val="002F1E99"/>
    <w:rsid w:val="002F2789"/>
    <w:rsid w:val="002F2D5D"/>
    <w:rsid w:val="002F3AC9"/>
    <w:rsid w:val="002F4451"/>
    <w:rsid w:val="002F4A19"/>
    <w:rsid w:val="002F51F8"/>
    <w:rsid w:val="002F5589"/>
    <w:rsid w:val="002F5CCF"/>
    <w:rsid w:val="002F6BD7"/>
    <w:rsid w:val="002F6BDE"/>
    <w:rsid w:val="002F6CCD"/>
    <w:rsid w:val="003001CE"/>
    <w:rsid w:val="003001F8"/>
    <w:rsid w:val="00300AE4"/>
    <w:rsid w:val="003015C0"/>
    <w:rsid w:val="00301E32"/>
    <w:rsid w:val="00301FC0"/>
    <w:rsid w:val="003030D6"/>
    <w:rsid w:val="00303311"/>
    <w:rsid w:val="00305C43"/>
    <w:rsid w:val="00306DFB"/>
    <w:rsid w:val="0031059F"/>
    <w:rsid w:val="003111A3"/>
    <w:rsid w:val="003111C2"/>
    <w:rsid w:val="0031170B"/>
    <w:rsid w:val="00311907"/>
    <w:rsid w:val="0031192D"/>
    <w:rsid w:val="00312D88"/>
    <w:rsid w:val="00312DCD"/>
    <w:rsid w:val="0031471E"/>
    <w:rsid w:val="003147F8"/>
    <w:rsid w:val="00315014"/>
    <w:rsid w:val="00315376"/>
    <w:rsid w:val="0031570B"/>
    <w:rsid w:val="00315AD7"/>
    <w:rsid w:val="00315F99"/>
    <w:rsid w:val="00316917"/>
    <w:rsid w:val="0031740B"/>
    <w:rsid w:val="003179E7"/>
    <w:rsid w:val="0032001E"/>
    <w:rsid w:val="00320596"/>
    <w:rsid w:val="00320796"/>
    <w:rsid w:val="00320DD3"/>
    <w:rsid w:val="00320E6A"/>
    <w:rsid w:val="00320FE8"/>
    <w:rsid w:val="003215A1"/>
    <w:rsid w:val="00321694"/>
    <w:rsid w:val="0032257E"/>
    <w:rsid w:val="0032272D"/>
    <w:rsid w:val="00322960"/>
    <w:rsid w:val="00322EF3"/>
    <w:rsid w:val="00322F83"/>
    <w:rsid w:val="00322FDB"/>
    <w:rsid w:val="003235C9"/>
    <w:rsid w:val="00323B29"/>
    <w:rsid w:val="00323B58"/>
    <w:rsid w:val="003244B5"/>
    <w:rsid w:val="00324BD8"/>
    <w:rsid w:val="0032582E"/>
    <w:rsid w:val="0032676F"/>
    <w:rsid w:val="003275C0"/>
    <w:rsid w:val="00327AA9"/>
    <w:rsid w:val="00327AC4"/>
    <w:rsid w:val="00327CC3"/>
    <w:rsid w:val="00327D08"/>
    <w:rsid w:val="00327F8B"/>
    <w:rsid w:val="00330E17"/>
    <w:rsid w:val="00330E34"/>
    <w:rsid w:val="003313CB"/>
    <w:rsid w:val="00331912"/>
    <w:rsid w:val="00331D96"/>
    <w:rsid w:val="00332334"/>
    <w:rsid w:val="003327AD"/>
    <w:rsid w:val="00332AB6"/>
    <w:rsid w:val="00332EB7"/>
    <w:rsid w:val="00334443"/>
    <w:rsid w:val="00334568"/>
    <w:rsid w:val="003352AD"/>
    <w:rsid w:val="003353D8"/>
    <w:rsid w:val="00335737"/>
    <w:rsid w:val="00336E7E"/>
    <w:rsid w:val="00337360"/>
    <w:rsid w:val="00337747"/>
    <w:rsid w:val="003378E7"/>
    <w:rsid w:val="0034174E"/>
    <w:rsid w:val="00341958"/>
    <w:rsid w:val="0034199F"/>
    <w:rsid w:val="00341EA0"/>
    <w:rsid w:val="00342788"/>
    <w:rsid w:val="00342C67"/>
    <w:rsid w:val="00343A45"/>
    <w:rsid w:val="00343A9D"/>
    <w:rsid w:val="0034576A"/>
    <w:rsid w:val="0034579D"/>
    <w:rsid w:val="003463C4"/>
    <w:rsid w:val="003467B1"/>
    <w:rsid w:val="00346869"/>
    <w:rsid w:val="0034795D"/>
    <w:rsid w:val="00347CFA"/>
    <w:rsid w:val="00350801"/>
    <w:rsid w:val="00350846"/>
    <w:rsid w:val="003511F6"/>
    <w:rsid w:val="00351574"/>
    <w:rsid w:val="00351FD9"/>
    <w:rsid w:val="00352684"/>
    <w:rsid w:val="00353400"/>
    <w:rsid w:val="00354600"/>
    <w:rsid w:val="00354F85"/>
    <w:rsid w:val="003554D0"/>
    <w:rsid w:val="003555C3"/>
    <w:rsid w:val="00355699"/>
    <w:rsid w:val="00355836"/>
    <w:rsid w:val="003565CD"/>
    <w:rsid w:val="003565D3"/>
    <w:rsid w:val="0035665C"/>
    <w:rsid w:val="00356DE6"/>
    <w:rsid w:val="00357105"/>
    <w:rsid w:val="00357457"/>
    <w:rsid w:val="003575B8"/>
    <w:rsid w:val="00360972"/>
    <w:rsid w:val="00361011"/>
    <w:rsid w:val="0036123F"/>
    <w:rsid w:val="00361C11"/>
    <w:rsid w:val="0036309E"/>
    <w:rsid w:val="003634BA"/>
    <w:rsid w:val="0036379E"/>
    <w:rsid w:val="003638CF"/>
    <w:rsid w:val="00363D66"/>
    <w:rsid w:val="00364A47"/>
    <w:rsid w:val="00365FD9"/>
    <w:rsid w:val="003663F4"/>
    <w:rsid w:val="003664FA"/>
    <w:rsid w:val="00367348"/>
    <w:rsid w:val="0036746C"/>
    <w:rsid w:val="003675DE"/>
    <w:rsid w:val="00367828"/>
    <w:rsid w:val="00367A9B"/>
    <w:rsid w:val="0037005D"/>
    <w:rsid w:val="003700A8"/>
    <w:rsid w:val="00370128"/>
    <w:rsid w:val="00370454"/>
    <w:rsid w:val="003704B6"/>
    <w:rsid w:val="003710E0"/>
    <w:rsid w:val="00371193"/>
    <w:rsid w:val="00371371"/>
    <w:rsid w:val="00371EB1"/>
    <w:rsid w:val="00372A8F"/>
    <w:rsid w:val="00372F23"/>
    <w:rsid w:val="00373191"/>
    <w:rsid w:val="0037322C"/>
    <w:rsid w:val="003734D3"/>
    <w:rsid w:val="00373BC6"/>
    <w:rsid w:val="003759B6"/>
    <w:rsid w:val="003769D4"/>
    <w:rsid w:val="00376F77"/>
    <w:rsid w:val="00376FBB"/>
    <w:rsid w:val="003774BB"/>
    <w:rsid w:val="00381241"/>
    <w:rsid w:val="00381792"/>
    <w:rsid w:val="0038191C"/>
    <w:rsid w:val="0038208F"/>
    <w:rsid w:val="00382C3E"/>
    <w:rsid w:val="00383085"/>
    <w:rsid w:val="00383697"/>
    <w:rsid w:val="003847A4"/>
    <w:rsid w:val="00384BA7"/>
    <w:rsid w:val="00384FA5"/>
    <w:rsid w:val="0038527C"/>
    <w:rsid w:val="00385A05"/>
    <w:rsid w:val="00386550"/>
    <w:rsid w:val="0038663E"/>
    <w:rsid w:val="003867F0"/>
    <w:rsid w:val="0038684D"/>
    <w:rsid w:val="00386E33"/>
    <w:rsid w:val="003874A6"/>
    <w:rsid w:val="003874AC"/>
    <w:rsid w:val="003877A1"/>
    <w:rsid w:val="00387E9A"/>
    <w:rsid w:val="003901BF"/>
    <w:rsid w:val="00390459"/>
    <w:rsid w:val="003910A7"/>
    <w:rsid w:val="00391470"/>
    <w:rsid w:val="00391B27"/>
    <w:rsid w:val="003922A8"/>
    <w:rsid w:val="00392443"/>
    <w:rsid w:val="00392C29"/>
    <w:rsid w:val="00392C7B"/>
    <w:rsid w:val="003932A4"/>
    <w:rsid w:val="003935E7"/>
    <w:rsid w:val="00393C7D"/>
    <w:rsid w:val="00394E12"/>
    <w:rsid w:val="00395567"/>
    <w:rsid w:val="00395B22"/>
    <w:rsid w:val="003A0649"/>
    <w:rsid w:val="003A3086"/>
    <w:rsid w:val="003A34C6"/>
    <w:rsid w:val="003A427C"/>
    <w:rsid w:val="003A42F2"/>
    <w:rsid w:val="003A4357"/>
    <w:rsid w:val="003A4469"/>
    <w:rsid w:val="003A5E3A"/>
    <w:rsid w:val="003A65F0"/>
    <w:rsid w:val="003A6E5B"/>
    <w:rsid w:val="003B012C"/>
    <w:rsid w:val="003B05D5"/>
    <w:rsid w:val="003B0F63"/>
    <w:rsid w:val="003B119C"/>
    <w:rsid w:val="003B11AC"/>
    <w:rsid w:val="003B18DA"/>
    <w:rsid w:val="003B2048"/>
    <w:rsid w:val="003B2785"/>
    <w:rsid w:val="003B2B1E"/>
    <w:rsid w:val="003B35A2"/>
    <w:rsid w:val="003B3E3F"/>
    <w:rsid w:val="003B4F53"/>
    <w:rsid w:val="003B6087"/>
    <w:rsid w:val="003B61A3"/>
    <w:rsid w:val="003B6A53"/>
    <w:rsid w:val="003B6A75"/>
    <w:rsid w:val="003B6FE0"/>
    <w:rsid w:val="003B79BF"/>
    <w:rsid w:val="003B7A24"/>
    <w:rsid w:val="003B7E73"/>
    <w:rsid w:val="003C0201"/>
    <w:rsid w:val="003C0857"/>
    <w:rsid w:val="003C0BE4"/>
    <w:rsid w:val="003C11D1"/>
    <w:rsid w:val="003C1BC0"/>
    <w:rsid w:val="003C2C38"/>
    <w:rsid w:val="003C3C89"/>
    <w:rsid w:val="003C3D54"/>
    <w:rsid w:val="003C5A96"/>
    <w:rsid w:val="003C5C27"/>
    <w:rsid w:val="003C5C9C"/>
    <w:rsid w:val="003C5D24"/>
    <w:rsid w:val="003C6F59"/>
    <w:rsid w:val="003D0BE5"/>
    <w:rsid w:val="003D1099"/>
    <w:rsid w:val="003D1172"/>
    <w:rsid w:val="003D145E"/>
    <w:rsid w:val="003D15B5"/>
    <w:rsid w:val="003D1781"/>
    <w:rsid w:val="003D318E"/>
    <w:rsid w:val="003D570F"/>
    <w:rsid w:val="003D6ACC"/>
    <w:rsid w:val="003D761C"/>
    <w:rsid w:val="003E0371"/>
    <w:rsid w:val="003E0F1B"/>
    <w:rsid w:val="003E1067"/>
    <w:rsid w:val="003E148B"/>
    <w:rsid w:val="003E15E1"/>
    <w:rsid w:val="003E2B96"/>
    <w:rsid w:val="003E2C19"/>
    <w:rsid w:val="003E3238"/>
    <w:rsid w:val="003E35A9"/>
    <w:rsid w:val="003E36D2"/>
    <w:rsid w:val="003E3CEB"/>
    <w:rsid w:val="003E4DD7"/>
    <w:rsid w:val="003E4F82"/>
    <w:rsid w:val="003E5361"/>
    <w:rsid w:val="003E5AEF"/>
    <w:rsid w:val="003E6803"/>
    <w:rsid w:val="003E6C21"/>
    <w:rsid w:val="003E7323"/>
    <w:rsid w:val="003E7DA2"/>
    <w:rsid w:val="003F03C5"/>
    <w:rsid w:val="003F11C0"/>
    <w:rsid w:val="003F15A3"/>
    <w:rsid w:val="003F15BE"/>
    <w:rsid w:val="003F1B7E"/>
    <w:rsid w:val="003F28EE"/>
    <w:rsid w:val="003F2CFD"/>
    <w:rsid w:val="003F37EA"/>
    <w:rsid w:val="003F4100"/>
    <w:rsid w:val="003F423D"/>
    <w:rsid w:val="003F4E22"/>
    <w:rsid w:val="003F4E56"/>
    <w:rsid w:val="003F5CDA"/>
    <w:rsid w:val="003F626A"/>
    <w:rsid w:val="003F66EE"/>
    <w:rsid w:val="003F6C3B"/>
    <w:rsid w:val="003F711B"/>
    <w:rsid w:val="003F7539"/>
    <w:rsid w:val="003F767F"/>
    <w:rsid w:val="003F783A"/>
    <w:rsid w:val="003F7D5A"/>
    <w:rsid w:val="004002CC"/>
    <w:rsid w:val="004004FB"/>
    <w:rsid w:val="0040056A"/>
    <w:rsid w:val="004006D7"/>
    <w:rsid w:val="00401423"/>
    <w:rsid w:val="00401508"/>
    <w:rsid w:val="004018BB"/>
    <w:rsid w:val="004021F7"/>
    <w:rsid w:val="00402B36"/>
    <w:rsid w:val="00403CFD"/>
    <w:rsid w:val="004041C9"/>
    <w:rsid w:val="00404372"/>
    <w:rsid w:val="0040485D"/>
    <w:rsid w:val="00404EED"/>
    <w:rsid w:val="0040659F"/>
    <w:rsid w:val="00406CCA"/>
    <w:rsid w:val="0040709B"/>
    <w:rsid w:val="00407571"/>
    <w:rsid w:val="00407D18"/>
    <w:rsid w:val="0041059E"/>
    <w:rsid w:val="00411A4B"/>
    <w:rsid w:val="0041267C"/>
    <w:rsid w:val="0041302A"/>
    <w:rsid w:val="00413751"/>
    <w:rsid w:val="00413A34"/>
    <w:rsid w:val="00415972"/>
    <w:rsid w:val="00416E52"/>
    <w:rsid w:val="004172A1"/>
    <w:rsid w:val="0041787F"/>
    <w:rsid w:val="00417CB0"/>
    <w:rsid w:val="00417D5A"/>
    <w:rsid w:val="004213B2"/>
    <w:rsid w:val="00421627"/>
    <w:rsid w:val="00422EBD"/>
    <w:rsid w:val="00424E9D"/>
    <w:rsid w:val="00424F85"/>
    <w:rsid w:val="004259F3"/>
    <w:rsid w:val="00426157"/>
    <w:rsid w:val="00426C05"/>
    <w:rsid w:val="00427BCC"/>
    <w:rsid w:val="00427C25"/>
    <w:rsid w:val="00430335"/>
    <w:rsid w:val="00430689"/>
    <w:rsid w:val="00430E45"/>
    <w:rsid w:val="00431E0E"/>
    <w:rsid w:val="0043205C"/>
    <w:rsid w:val="004320BE"/>
    <w:rsid w:val="00432222"/>
    <w:rsid w:val="0043293B"/>
    <w:rsid w:val="00432DC1"/>
    <w:rsid w:val="00432E44"/>
    <w:rsid w:val="00433DF6"/>
    <w:rsid w:val="004346A5"/>
    <w:rsid w:val="00434956"/>
    <w:rsid w:val="004353C5"/>
    <w:rsid w:val="00435448"/>
    <w:rsid w:val="00436408"/>
    <w:rsid w:val="0043640D"/>
    <w:rsid w:val="00436A6A"/>
    <w:rsid w:val="00437D44"/>
    <w:rsid w:val="00437E36"/>
    <w:rsid w:val="00440206"/>
    <w:rsid w:val="00440267"/>
    <w:rsid w:val="0044074B"/>
    <w:rsid w:val="00440C93"/>
    <w:rsid w:val="00441364"/>
    <w:rsid w:val="004426B4"/>
    <w:rsid w:val="00442C0B"/>
    <w:rsid w:val="00443602"/>
    <w:rsid w:val="00444AF5"/>
    <w:rsid w:val="0044513B"/>
    <w:rsid w:val="00445397"/>
    <w:rsid w:val="004454FB"/>
    <w:rsid w:val="00445AAB"/>
    <w:rsid w:val="004468F9"/>
    <w:rsid w:val="004502ED"/>
    <w:rsid w:val="00450D24"/>
    <w:rsid w:val="00451833"/>
    <w:rsid w:val="00452A45"/>
    <w:rsid w:val="00452EF8"/>
    <w:rsid w:val="00453028"/>
    <w:rsid w:val="00453DFE"/>
    <w:rsid w:val="00453E41"/>
    <w:rsid w:val="00453ECF"/>
    <w:rsid w:val="004545AA"/>
    <w:rsid w:val="00454605"/>
    <w:rsid w:val="0045467F"/>
    <w:rsid w:val="00455EFF"/>
    <w:rsid w:val="004574DE"/>
    <w:rsid w:val="004578C8"/>
    <w:rsid w:val="00457BFB"/>
    <w:rsid w:val="004604CB"/>
    <w:rsid w:val="004605DD"/>
    <w:rsid w:val="004615AA"/>
    <w:rsid w:val="0046190C"/>
    <w:rsid w:val="00461FE2"/>
    <w:rsid w:val="0046229F"/>
    <w:rsid w:val="00462464"/>
    <w:rsid w:val="00462B97"/>
    <w:rsid w:val="00462C48"/>
    <w:rsid w:val="00463911"/>
    <w:rsid w:val="00463AB4"/>
    <w:rsid w:val="00463F14"/>
    <w:rsid w:val="0046426E"/>
    <w:rsid w:val="00464813"/>
    <w:rsid w:val="004654BD"/>
    <w:rsid w:val="004660F9"/>
    <w:rsid w:val="00466375"/>
    <w:rsid w:val="00466FD5"/>
    <w:rsid w:val="00467E3E"/>
    <w:rsid w:val="00470798"/>
    <w:rsid w:val="00471191"/>
    <w:rsid w:val="00472B3F"/>
    <w:rsid w:val="00472F90"/>
    <w:rsid w:val="00473661"/>
    <w:rsid w:val="004736F0"/>
    <w:rsid w:val="00474CEF"/>
    <w:rsid w:val="00475918"/>
    <w:rsid w:val="00475DF3"/>
    <w:rsid w:val="00475FA1"/>
    <w:rsid w:val="0047639A"/>
    <w:rsid w:val="00476CBA"/>
    <w:rsid w:val="00476EA2"/>
    <w:rsid w:val="00477420"/>
    <w:rsid w:val="0048036A"/>
    <w:rsid w:val="004803AA"/>
    <w:rsid w:val="004805B7"/>
    <w:rsid w:val="00480668"/>
    <w:rsid w:val="004806CB"/>
    <w:rsid w:val="00481E22"/>
    <w:rsid w:val="004821B4"/>
    <w:rsid w:val="00482A6E"/>
    <w:rsid w:val="00482CE1"/>
    <w:rsid w:val="00482FB1"/>
    <w:rsid w:val="0048346E"/>
    <w:rsid w:val="004839DD"/>
    <w:rsid w:val="00484061"/>
    <w:rsid w:val="004840CC"/>
    <w:rsid w:val="00485A2E"/>
    <w:rsid w:val="00485A5D"/>
    <w:rsid w:val="00485C4B"/>
    <w:rsid w:val="00485F8C"/>
    <w:rsid w:val="004873F0"/>
    <w:rsid w:val="004902A0"/>
    <w:rsid w:val="004904D8"/>
    <w:rsid w:val="004907B0"/>
    <w:rsid w:val="00490D32"/>
    <w:rsid w:val="00490E9A"/>
    <w:rsid w:val="0049101E"/>
    <w:rsid w:val="0049130C"/>
    <w:rsid w:val="00491B27"/>
    <w:rsid w:val="004923CA"/>
    <w:rsid w:val="004935DD"/>
    <w:rsid w:val="00493653"/>
    <w:rsid w:val="00493A7D"/>
    <w:rsid w:val="0049489E"/>
    <w:rsid w:val="00495FD6"/>
    <w:rsid w:val="00496039"/>
    <w:rsid w:val="004960B6"/>
    <w:rsid w:val="0049756B"/>
    <w:rsid w:val="00497851"/>
    <w:rsid w:val="00497DAD"/>
    <w:rsid w:val="004A0B5F"/>
    <w:rsid w:val="004A135D"/>
    <w:rsid w:val="004A181C"/>
    <w:rsid w:val="004A255D"/>
    <w:rsid w:val="004A2BDD"/>
    <w:rsid w:val="004A36D5"/>
    <w:rsid w:val="004A3758"/>
    <w:rsid w:val="004A5A23"/>
    <w:rsid w:val="004A5C30"/>
    <w:rsid w:val="004A5D1B"/>
    <w:rsid w:val="004A6DA9"/>
    <w:rsid w:val="004A7E0E"/>
    <w:rsid w:val="004B0082"/>
    <w:rsid w:val="004B013A"/>
    <w:rsid w:val="004B0C28"/>
    <w:rsid w:val="004B131B"/>
    <w:rsid w:val="004B1331"/>
    <w:rsid w:val="004B1503"/>
    <w:rsid w:val="004B1B9C"/>
    <w:rsid w:val="004B1F63"/>
    <w:rsid w:val="004B222C"/>
    <w:rsid w:val="004B3016"/>
    <w:rsid w:val="004B310C"/>
    <w:rsid w:val="004B3528"/>
    <w:rsid w:val="004B4013"/>
    <w:rsid w:val="004B4476"/>
    <w:rsid w:val="004B55ED"/>
    <w:rsid w:val="004B55F0"/>
    <w:rsid w:val="004B66D8"/>
    <w:rsid w:val="004B674F"/>
    <w:rsid w:val="004B6CC1"/>
    <w:rsid w:val="004B7B21"/>
    <w:rsid w:val="004C1AE5"/>
    <w:rsid w:val="004C20FE"/>
    <w:rsid w:val="004C30F4"/>
    <w:rsid w:val="004C31E0"/>
    <w:rsid w:val="004C368C"/>
    <w:rsid w:val="004C44E4"/>
    <w:rsid w:val="004C4B45"/>
    <w:rsid w:val="004C4B56"/>
    <w:rsid w:val="004C5015"/>
    <w:rsid w:val="004C663C"/>
    <w:rsid w:val="004C6939"/>
    <w:rsid w:val="004C6F41"/>
    <w:rsid w:val="004C7DBF"/>
    <w:rsid w:val="004D003B"/>
    <w:rsid w:val="004D023D"/>
    <w:rsid w:val="004D02AD"/>
    <w:rsid w:val="004D0368"/>
    <w:rsid w:val="004D05F1"/>
    <w:rsid w:val="004D0849"/>
    <w:rsid w:val="004D0954"/>
    <w:rsid w:val="004D0CF8"/>
    <w:rsid w:val="004D26FD"/>
    <w:rsid w:val="004D2C69"/>
    <w:rsid w:val="004D3519"/>
    <w:rsid w:val="004D3837"/>
    <w:rsid w:val="004D3892"/>
    <w:rsid w:val="004D3CCA"/>
    <w:rsid w:val="004D404F"/>
    <w:rsid w:val="004D42A7"/>
    <w:rsid w:val="004D6695"/>
    <w:rsid w:val="004D67E3"/>
    <w:rsid w:val="004D71A3"/>
    <w:rsid w:val="004D71C6"/>
    <w:rsid w:val="004D7287"/>
    <w:rsid w:val="004D77B0"/>
    <w:rsid w:val="004D77C1"/>
    <w:rsid w:val="004E0348"/>
    <w:rsid w:val="004E0719"/>
    <w:rsid w:val="004E145A"/>
    <w:rsid w:val="004E181F"/>
    <w:rsid w:val="004E1A87"/>
    <w:rsid w:val="004E2173"/>
    <w:rsid w:val="004E261F"/>
    <w:rsid w:val="004E3994"/>
    <w:rsid w:val="004E3DF0"/>
    <w:rsid w:val="004E4497"/>
    <w:rsid w:val="004E46FD"/>
    <w:rsid w:val="004E572C"/>
    <w:rsid w:val="004E5A3B"/>
    <w:rsid w:val="004E6C15"/>
    <w:rsid w:val="004E6F15"/>
    <w:rsid w:val="004E712C"/>
    <w:rsid w:val="004E7E31"/>
    <w:rsid w:val="004F00CA"/>
    <w:rsid w:val="004F0175"/>
    <w:rsid w:val="004F0903"/>
    <w:rsid w:val="004F157B"/>
    <w:rsid w:val="004F1C50"/>
    <w:rsid w:val="004F1CC8"/>
    <w:rsid w:val="004F1FA1"/>
    <w:rsid w:val="004F219A"/>
    <w:rsid w:val="004F2ED4"/>
    <w:rsid w:val="004F3DCE"/>
    <w:rsid w:val="004F45A1"/>
    <w:rsid w:val="004F489B"/>
    <w:rsid w:val="004F520E"/>
    <w:rsid w:val="004F5A08"/>
    <w:rsid w:val="004F5DC9"/>
    <w:rsid w:val="004F5DEE"/>
    <w:rsid w:val="004F5EC9"/>
    <w:rsid w:val="004F6AAA"/>
    <w:rsid w:val="00500400"/>
    <w:rsid w:val="005006CF"/>
    <w:rsid w:val="005008E0"/>
    <w:rsid w:val="005009AF"/>
    <w:rsid w:val="00502218"/>
    <w:rsid w:val="005023B4"/>
    <w:rsid w:val="00502DBA"/>
    <w:rsid w:val="0050358C"/>
    <w:rsid w:val="00503BE5"/>
    <w:rsid w:val="005042CF"/>
    <w:rsid w:val="00504698"/>
    <w:rsid w:val="00504710"/>
    <w:rsid w:val="00506C29"/>
    <w:rsid w:val="00507D86"/>
    <w:rsid w:val="00510104"/>
    <w:rsid w:val="00510F65"/>
    <w:rsid w:val="005111A5"/>
    <w:rsid w:val="0051196F"/>
    <w:rsid w:val="005128FE"/>
    <w:rsid w:val="00512D14"/>
    <w:rsid w:val="005131B1"/>
    <w:rsid w:val="005133B6"/>
    <w:rsid w:val="005136F3"/>
    <w:rsid w:val="00513C4B"/>
    <w:rsid w:val="005143B9"/>
    <w:rsid w:val="00515BDA"/>
    <w:rsid w:val="00516C17"/>
    <w:rsid w:val="00517ECC"/>
    <w:rsid w:val="00520567"/>
    <w:rsid w:val="00520DBF"/>
    <w:rsid w:val="00521283"/>
    <w:rsid w:val="0052287F"/>
    <w:rsid w:val="00522DFF"/>
    <w:rsid w:val="00523039"/>
    <w:rsid w:val="00523EDB"/>
    <w:rsid w:val="00524082"/>
    <w:rsid w:val="00526030"/>
    <w:rsid w:val="00526B70"/>
    <w:rsid w:val="005273B6"/>
    <w:rsid w:val="00527A90"/>
    <w:rsid w:val="00530356"/>
    <w:rsid w:val="005305C2"/>
    <w:rsid w:val="00530CA2"/>
    <w:rsid w:val="005310D6"/>
    <w:rsid w:val="00531752"/>
    <w:rsid w:val="00532932"/>
    <w:rsid w:val="00532E87"/>
    <w:rsid w:val="0053319A"/>
    <w:rsid w:val="00533A09"/>
    <w:rsid w:val="00533F6F"/>
    <w:rsid w:val="00534174"/>
    <w:rsid w:val="0053526D"/>
    <w:rsid w:val="0053529F"/>
    <w:rsid w:val="00536631"/>
    <w:rsid w:val="00536682"/>
    <w:rsid w:val="0053696F"/>
    <w:rsid w:val="00540CE9"/>
    <w:rsid w:val="0054158C"/>
    <w:rsid w:val="00541884"/>
    <w:rsid w:val="00542356"/>
    <w:rsid w:val="005426AD"/>
    <w:rsid w:val="00542CC0"/>
    <w:rsid w:val="00543272"/>
    <w:rsid w:val="00543341"/>
    <w:rsid w:val="005435EE"/>
    <w:rsid w:val="00543EDD"/>
    <w:rsid w:val="00544F95"/>
    <w:rsid w:val="0054615C"/>
    <w:rsid w:val="00546729"/>
    <w:rsid w:val="005468FB"/>
    <w:rsid w:val="005474A1"/>
    <w:rsid w:val="00550007"/>
    <w:rsid w:val="005512D2"/>
    <w:rsid w:val="00551A0B"/>
    <w:rsid w:val="00552C13"/>
    <w:rsid w:val="005532BF"/>
    <w:rsid w:val="005539B9"/>
    <w:rsid w:val="00555860"/>
    <w:rsid w:val="00555C9F"/>
    <w:rsid w:val="00555D60"/>
    <w:rsid w:val="00556C43"/>
    <w:rsid w:val="00556CEB"/>
    <w:rsid w:val="00557D98"/>
    <w:rsid w:val="0056061E"/>
    <w:rsid w:val="00560931"/>
    <w:rsid w:val="00560A39"/>
    <w:rsid w:val="00560C3B"/>
    <w:rsid w:val="00560F5A"/>
    <w:rsid w:val="0056162D"/>
    <w:rsid w:val="00562547"/>
    <w:rsid w:val="00562B99"/>
    <w:rsid w:val="00562D33"/>
    <w:rsid w:val="0056313F"/>
    <w:rsid w:val="0056339B"/>
    <w:rsid w:val="005639FA"/>
    <w:rsid w:val="00564EBC"/>
    <w:rsid w:val="00565250"/>
    <w:rsid w:val="00565522"/>
    <w:rsid w:val="00565762"/>
    <w:rsid w:val="00565D96"/>
    <w:rsid w:val="00566AAF"/>
    <w:rsid w:val="00566ACC"/>
    <w:rsid w:val="00566E61"/>
    <w:rsid w:val="00567DD7"/>
    <w:rsid w:val="005702BA"/>
    <w:rsid w:val="00570DF5"/>
    <w:rsid w:val="00572A4B"/>
    <w:rsid w:val="00572DF4"/>
    <w:rsid w:val="0057344B"/>
    <w:rsid w:val="00573736"/>
    <w:rsid w:val="0057475B"/>
    <w:rsid w:val="00574A8F"/>
    <w:rsid w:val="0057519D"/>
    <w:rsid w:val="00575527"/>
    <w:rsid w:val="00575AA9"/>
    <w:rsid w:val="00576028"/>
    <w:rsid w:val="00577212"/>
    <w:rsid w:val="005773A5"/>
    <w:rsid w:val="00577FA3"/>
    <w:rsid w:val="00580064"/>
    <w:rsid w:val="00580C70"/>
    <w:rsid w:val="0058157E"/>
    <w:rsid w:val="005831BB"/>
    <w:rsid w:val="005834F4"/>
    <w:rsid w:val="00583D71"/>
    <w:rsid w:val="005848E7"/>
    <w:rsid w:val="00584CCF"/>
    <w:rsid w:val="00584D1F"/>
    <w:rsid w:val="00585E54"/>
    <w:rsid w:val="005860C1"/>
    <w:rsid w:val="00590F58"/>
    <w:rsid w:val="00591091"/>
    <w:rsid w:val="00591541"/>
    <w:rsid w:val="00591BF3"/>
    <w:rsid w:val="005931E3"/>
    <w:rsid w:val="00593435"/>
    <w:rsid w:val="0059362C"/>
    <w:rsid w:val="00593A6E"/>
    <w:rsid w:val="00594330"/>
    <w:rsid w:val="0059436E"/>
    <w:rsid w:val="0059462C"/>
    <w:rsid w:val="00594765"/>
    <w:rsid w:val="00595454"/>
    <w:rsid w:val="005968DF"/>
    <w:rsid w:val="005978B0"/>
    <w:rsid w:val="00597BC9"/>
    <w:rsid w:val="005A10C4"/>
    <w:rsid w:val="005A10EF"/>
    <w:rsid w:val="005A10F1"/>
    <w:rsid w:val="005A1972"/>
    <w:rsid w:val="005A1B6C"/>
    <w:rsid w:val="005A1D35"/>
    <w:rsid w:val="005A1F38"/>
    <w:rsid w:val="005A21D4"/>
    <w:rsid w:val="005A25A7"/>
    <w:rsid w:val="005A2CEA"/>
    <w:rsid w:val="005A2FB8"/>
    <w:rsid w:val="005A32EC"/>
    <w:rsid w:val="005A3462"/>
    <w:rsid w:val="005A495B"/>
    <w:rsid w:val="005A571E"/>
    <w:rsid w:val="005A62CB"/>
    <w:rsid w:val="005A6611"/>
    <w:rsid w:val="005A6C15"/>
    <w:rsid w:val="005A725A"/>
    <w:rsid w:val="005A7272"/>
    <w:rsid w:val="005A74A4"/>
    <w:rsid w:val="005A76AC"/>
    <w:rsid w:val="005A7D78"/>
    <w:rsid w:val="005A7FC1"/>
    <w:rsid w:val="005B0D00"/>
    <w:rsid w:val="005B1219"/>
    <w:rsid w:val="005B26A5"/>
    <w:rsid w:val="005B337D"/>
    <w:rsid w:val="005B3E09"/>
    <w:rsid w:val="005B44FF"/>
    <w:rsid w:val="005B509E"/>
    <w:rsid w:val="005B5291"/>
    <w:rsid w:val="005B53D0"/>
    <w:rsid w:val="005B5533"/>
    <w:rsid w:val="005B61CF"/>
    <w:rsid w:val="005B63E3"/>
    <w:rsid w:val="005B7B8C"/>
    <w:rsid w:val="005B7F32"/>
    <w:rsid w:val="005C0055"/>
    <w:rsid w:val="005C184C"/>
    <w:rsid w:val="005C2088"/>
    <w:rsid w:val="005C2A53"/>
    <w:rsid w:val="005C2F20"/>
    <w:rsid w:val="005C35B4"/>
    <w:rsid w:val="005C3CD5"/>
    <w:rsid w:val="005C4C0C"/>
    <w:rsid w:val="005C53DF"/>
    <w:rsid w:val="005C58A2"/>
    <w:rsid w:val="005C5A96"/>
    <w:rsid w:val="005C7021"/>
    <w:rsid w:val="005C78CE"/>
    <w:rsid w:val="005D1792"/>
    <w:rsid w:val="005D1ACA"/>
    <w:rsid w:val="005D1FE4"/>
    <w:rsid w:val="005D2B6C"/>
    <w:rsid w:val="005D34C0"/>
    <w:rsid w:val="005D4156"/>
    <w:rsid w:val="005D51C5"/>
    <w:rsid w:val="005D5787"/>
    <w:rsid w:val="005D5CB7"/>
    <w:rsid w:val="005D6522"/>
    <w:rsid w:val="005D704B"/>
    <w:rsid w:val="005D7300"/>
    <w:rsid w:val="005D7507"/>
    <w:rsid w:val="005D7A66"/>
    <w:rsid w:val="005D7CA4"/>
    <w:rsid w:val="005E053A"/>
    <w:rsid w:val="005E060D"/>
    <w:rsid w:val="005E13B5"/>
    <w:rsid w:val="005E1483"/>
    <w:rsid w:val="005E1C44"/>
    <w:rsid w:val="005E1D48"/>
    <w:rsid w:val="005E1F29"/>
    <w:rsid w:val="005E371B"/>
    <w:rsid w:val="005E38DF"/>
    <w:rsid w:val="005E3F96"/>
    <w:rsid w:val="005E4669"/>
    <w:rsid w:val="005E4B4F"/>
    <w:rsid w:val="005E5D8D"/>
    <w:rsid w:val="005E64E7"/>
    <w:rsid w:val="005E6AC0"/>
    <w:rsid w:val="005E6C68"/>
    <w:rsid w:val="005E6FA1"/>
    <w:rsid w:val="005F060A"/>
    <w:rsid w:val="005F08C9"/>
    <w:rsid w:val="005F0B04"/>
    <w:rsid w:val="005F1487"/>
    <w:rsid w:val="005F19FA"/>
    <w:rsid w:val="005F1BFF"/>
    <w:rsid w:val="005F1FE3"/>
    <w:rsid w:val="005F2D0F"/>
    <w:rsid w:val="005F3017"/>
    <w:rsid w:val="005F353F"/>
    <w:rsid w:val="005F448F"/>
    <w:rsid w:val="005F44FA"/>
    <w:rsid w:val="005F4539"/>
    <w:rsid w:val="005F583D"/>
    <w:rsid w:val="005F6B47"/>
    <w:rsid w:val="005F6CA1"/>
    <w:rsid w:val="005F756D"/>
    <w:rsid w:val="005F771E"/>
    <w:rsid w:val="005F7CE0"/>
    <w:rsid w:val="006011C3"/>
    <w:rsid w:val="00601CD8"/>
    <w:rsid w:val="00602071"/>
    <w:rsid w:val="00602076"/>
    <w:rsid w:val="006021BC"/>
    <w:rsid w:val="006026FC"/>
    <w:rsid w:val="0060309A"/>
    <w:rsid w:val="0060327C"/>
    <w:rsid w:val="0060329F"/>
    <w:rsid w:val="00603CB1"/>
    <w:rsid w:val="00604CFF"/>
    <w:rsid w:val="0060507D"/>
    <w:rsid w:val="0060585B"/>
    <w:rsid w:val="00605955"/>
    <w:rsid w:val="006059E9"/>
    <w:rsid w:val="00605B38"/>
    <w:rsid w:val="006061D9"/>
    <w:rsid w:val="0060632C"/>
    <w:rsid w:val="00606653"/>
    <w:rsid w:val="00606F8E"/>
    <w:rsid w:val="00610AE8"/>
    <w:rsid w:val="00610F02"/>
    <w:rsid w:val="006118F5"/>
    <w:rsid w:val="00611938"/>
    <w:rsid w:val="00611F53"/>
    <w:rsid w:val="0061227D"/>
    <w:rsid w:val="006127F9"/>
    <w:rsid w:val="00612B74"/>
    <w:rsid w:val="00612C52"/>
    <w:rsid w:val="00612D2C"/>
    <w:rsid w:val="006134A7"/>
    <w:rsid w:val="006134CF"/>
    <w:rsid w:val="006137A7"/>
    <w:rsid w:val="006138A8"/>
    <w:rsid w:val="00613F55"/>
    <w:rsid w:val="006145A6"/>
    <w:rsid w:val="00614734"/>
    <w:rsid w:val="00614744"/>
    <w:rsid w:val="00614774"/>
    <w:rsid w:val="00614FE4"/>
    <w:rsid w:val="0061501D"/>
    <w:rsid w:val="00615304"/>
    <w:rsid w:val="00615B36"/>
    <w:rsid w:val="00615E6A"/>
    <w:rsid w:val="00621544"/>
    <w:rsid w:val="00622052"/>
    <w:rsid w:val="0062222F"/>
    <w:rsid w:val="00622430"/>
    <w:rsid w:val="006235C4"/>
    <w:rsid w:val="00623F83"/>
    <w:rsid w:val="00624361"/>
    <w:rsid w:val="00624DBA"/>
    <w:rsid w:val="0062585A"/>
    <w:rsid w:val="006277C4"/>
    <w:rsid w:val="00630133"/>
    <w:rsid w:val="0063109B"/>
    <w:rsid w:val="00631457"/>
    <w:rsid w:val="00631CDD"/>
    <w:rsid w:val="00633DF6"/>
    <w:rsid w:val="00633F7D"/>
    <w:rsid w:val="006348FB"/>
    <w:rsid w:val="00634DCA"/>
    <w:rsid w:val="00634F14"/>
    <w:rsid w:val="00635148"/>
    <w:rsid w:val="00635D35"/>
    <w:rsid w:val="00636339"/>
    <w:rsid w:val="00636638"/>
    <w:rsid w:val="006374EB"/>
    <w:rsid w:val="00640804"/>
    <w:rsid w:val="0064134B"/>
    <w:rsid w:val="006413FD"/>
    <w:rsid w:val="00641692"/>
    <w:rsid w:val="0064175F"/>
    <w:rsid w:val="00641A4E"/>
    <w:rsid w:val="00642119"/>
    <w:rsid w:val="00642419"/>
    <w:rsid w:val="00642523"/>
    <w:rsid w:val="00643340"/>
    <w:rsid w:val="00644537"/>
    <w:rsid w:val="006453AC"/>
    <w:rsid w:val="00645CE8"/>
    <w:rsid w:val="0064628C"/>
    <w:rsid w:val="00646E13"/>
    <w:rsid w:val="00647464"/>
    <w:rsid w:val="00647629"/>
    <w:rsid w:val="00647D63"/>
    <w:rsid w:val="00650508"/>
    <w:rsid w:val="00650C8B"/>
    <w:rsid w:val="00650F2C"/>
    <w:rsid w:val="0065241F"/>
    <w:rsid w:val="00652AE5"/>
    <w:rsid w:val="00653495"/>
    <w:rsid w:val="00653A28"/>
    <w:rsid w:val="00653DC6"/>
    <w:rsid w:val="006540C0"/>
    <w:rsid w:val="006542C5"/>
    <w:rsid w:val="006546C6"/>
    <w:rsid w:val="00655738"/>
    <w:rsid w:val="00656173"/>
    <w:rsid w:val="00656C5D"/>
    <w:rsid w:val="006573E1"/>
    <w:rsid w:val="00657596"/>
    <w:rsid w:val="00660CF5"/>
    <w:rsid w:val="00660ED5"/>
    <w:rsid w:val="006616E6"/>
    <w:rsid w:val="0066275E"/>
    <w:rsid w:val="00662C85"/>
    <w:rsid w:val="006635B0"/>
    <w:rsid w:val="00663FED"/>
    <w:rsid w:val="006649CC"/>
    <w:rsid w:val="00664EB4"/>
    <w:rsid w:val="00665742"/>
    <w:rsid w:val="006658E3"/>
    <w:rsid w:val="006668AF"/>
    <w:rsid w:val="00667D0B"/>
    <w:rsid w:val="00670539"/>
    <w:rsid w:val="00670707"/>
    <w:rsid w:val="00671F7B"/>
    <w:rsid w:val="00672076"/>
    <w:rsid w:val="00672483"/>
    <w:rsid w:val="00672CAE"/>
    <w:rsid w:val="00672DBC"/>
    <w:rsid w:val="006737B6"/>
    <w:rsid w:val="00673B1C"/>
    <w:rsid w:val="006740B0"/>
    <w:rsid w:val="0067414A"/>
    <w:rsid w:val="00674205"/>
    <w:rsid w:val="0067439B"/>
    <w:rsid w:val="00674A98"/>
    <w:rsid w:val="00674E06"/>
    <w:rsid w:val="006752B6"/>
    <w:rsid w:val="006758A3"/>
    <w:rsid w:val="00680063"/>
    <w:rsid w:val="0068058F"/>
    <w:rsid w:val="00680D42"/>
    <w:rsid w:val="00681738"/>
    <w:rsid w:val="006817E9"/>
    <w:rsid w:val="00681A58"/>
    <w:rsid w:val="00682158"/>
    <w:rsid w:val="0068294D"/>
    <w:rsid w:val="00682F9C"/>
    <w:rsid w:val="00683058"/>
    <w:rsid w:val="00683D15"/>
    <w:rsid w:val="00684064"/>
    <w:rsid w:val="006844AD"/>
    <w:rsid w:val="0068452A"/>
    <w:rsid w:val="006848CF"/>
    <w:rsid w:val="00685B51"/>
    <w:rsid w:val="0068615E"/>
    <w:rsid w:val="006867DD"/>
    <w:rsid w:val="0068709B"/>
    <w:rsid w:val="0068765F"/>
    <w:rsid w:val="00687EDF"/>
    <w:rsid w:val="0069174A"/>
    <w:rsid w:val="0069266A"/>
    <w:rsid w:val="00692C2E"/>
    <w:rsid w:val="00692E10"/>
    <w:rsid w:val="00693456"/>
    <w:rsid w:val="0069346B"/>
    <w:rsid w:val="00693707"/>
    <w:rsid w:val="00693F75"/>
    <w:rsid w:val="00694523"/>
    <w:rsid w:val="006954A5"/>
    <w:rsid w:val="00695FED"/>
    <w:rsid w:val="00696AC1"/>
    <w:rsid w:val="00697043"/>
    <w:rsid w:val="00697090"/>
    <w:rsid w:val="006971A6"/>
    <w:rsid w:val="006972C5"/>
    <w:rsid w:val="00697DFE"/>
    <w:rsid w:val="006A0184"/>
    <w:rsid w:val="006A1218"/>
    <w:rsid w:val="006A1330"/>
    <w:rsid w:val="006A2721"/>
    <w:rsid w:val="006A2867"/>
    <w:rsid w:val="006A4EDB"/>
    <w:rsid w:val="006A540E"/>
    <w:rsid w:val="006A5AF6"/>
    <w:rsid w:val="006A60AB"/>
    <w:rsid w:val="006A6CB9"/>
    <w:rsid w:val="006A7861"/>
    <w:rsid w:val="006B0100"/>
    <w:rsid w:val="006B0628"/>
    <w:rsid w:val="006B0D08"/>
    <w:rsid w:val="006B1011"/>
    <w:rsid w:val="006B16D5"/>
    <w:rsid w:val="006B1986"/>
    <w:rsid w:val="006B1E6F"/>
    <w:rsid w:val="006B2056"/>
    <w:rsid w:val="006B2F52"/>
    <w:rsid w:val="006B3226"/>
    <w:rsid w:val="006B342A"/>
    <w:rsid w:val="006B3780"/>
    <w:rsid w:val="006B387A"/>
    <w:rsid w:val="006B3B74"/>
    <w:rsid w:val="006B3DC4"/>
    <w:rsid w:val="006B3F60"/>
    <w:rsid w:val="006B40AD"/>
    <w:rsid w:val="006B5CD5"/>
    <w:rsid w:val="006B6208"/>
    <w:rsid w:val="006B67D3"/>
    <w:rsid w:val="006B7078"/>
    <w:rsid w:val="006B799E"/>
    <w:rsid w:val="006B7AB2"/>
    <w:rsid w:val="006C093B"/>
    <w:rsid w:val="006C12FB"/>
    <w:rsid w:val="006C2224"/>
    <w:rsid w:val="006C2693"/>
    <w:rsid w:val="006C29DA"/>
    <w:rsid w:val="006C3511"/>
    <w:rsid w:val="006C3961"/>
    <w:rsid w:val="006C4004"/>
    <w:rsid w:val="006C4318"/>
    <w:rsid w:val="006C4501"/>
    <w:rsid w:val="006C512F"/>
    <w:rsid w:val="006C56F2"/>
    <w:rsid w:val="006C5961"/>
    <w:rsid w:val="006C5B9A"/>
    <w:rsid w:val="006C5E2B"/>
    <w:rsid w:val="006C66D5"/>
    <w:rsid w:val="006C675C"/>
    <w:rsid w:val="006C7887"/>
    <w:rsid w:val="006C7B66"/>
    <w:rsid w:val="006D00C5"/>
    <w:rsid w:val="006D01B0"/>
    <w:rsid w:val="006D08F1"/>
    <w:rsid w:val="006D09AD"/>
    <w:rsid w:val="006D1862"/>
    <w:rsid w:val="006D1A1B"/>
    <w:rsid w:val="006D289D"/>
    <w:rsid w:val="006D390F"/>
    <w:rsid w:val="006D3C7C"/>
    <w:rsid w:val="006D491B"/>
    <w:rsid w:val="006D53E8"/>
    <w:rsid w:val="006D5D14"/>
    <w:rsid w:val="006D628F"/>
    <w:rsid w:val="006D682E"/>
    <w:rsid w:val="006D7A2E"/>
    <w:rsid w:val="006D7BE8"/>
    <w:rsid w:val="006D7D74"/>
    <w:rsid w:val="006D7F87"/>
    <w:rsid w:val="006E0156"/>
    <w:rsid w:val="006E14FF"/>
    <w:rsid w:val="006E17A6"/>
    <w:rsid w:val="006E223B"/>
    <w:rsid w:val="006E24FD"/>
    <w:rsid w:val="006E2675"/>
    <w:rsid w:val="006E2741"/>
    <w:rsid w:val="006E2A97"/>
    <w:rsid w:val="006E420E"/>
    <w:rsid w:val="006E4807"/>
    <w:rsid w:val="006E4EBA"/>
    <w:rsid w:val="006E5E0D"/>
    <w:rsid w:val="006E6232"/>
    <w:rsid w:val="006E67A5"/>
    <w:rsid w:val="006E6CF7"/>
    <w:rsid w:val="006E70C5"/>
    <w:rsid w:val="006E7EF5"/>
    <w:rsid w:val="006F072D"/>
    <w:rsid w:val="006F07BF"/>
    <w:rsid w:val="006F0C76"/>
    <w:rsid w:val="006F1A27"/>
    <w:rsid w:val="006F22DB"/>
    <w:rsid w:val="006F29D6"/>
    <w:rsid w:val="006F3117"/>
    <w:rsid w:val="006F354B"/>
    <w:rsid w:val="006F3E93"/>
    <w:rsid w:val="006F4EEB"/>
    <w:rsid w:val="006F5156"/>
    <w:rsid w:val="006F5689"/>
    <w:rsid w:val="006F58D6"/>
    <w:rsid w:val="006F5CC8"/>
    <w:rsid w:val="006F5EBC"/>
    <w:rsid w:val="006F614E"/>
    <w:rsid w:val="006F65AD"/>
    <w:rsid w:val="006F6A60"/>
    <w:rsid w:val="006F6E2E"/>
    <w:rsid w:val="006F758C"/>
    <w:rsid w:val="006F7AAC"/>
    <w:rsid w:val="006F7E32"/>
    <w:rsid w:val="006F7ED7"/>
    <w:rsid w:val="00700879"/>
    <w:rsid w:val="00700A01"/>
    <w:rsid w:val="00700E30"/>
    <w:rsid w:val="00701377"/>
    <w:rsid w:val="00701C0D"/>
    <w:rsid w:val="007023BB"/>
    <w:rsid w:val="00702881"/>
    <w:rsid w:val="007029D5"/>
    <w:rsid w:val="00703063"/>
    <w:rsid w:val="007034F1"/>
    <w:rsid w:val="00703E2D"/>
    <w:rsid w:val="0070404D"/>
    <w:rsid w:val="00704293"/>
    <w:rsid w:val="007042D4"/>
    <w:rsid w:val="0070462F"/>
    <w:rsid w:val="00704C2E"/>
    <w:rsid w:val="0070506D"/>
    <w:rsid w:val="00705085"/>
    <w:rsid w:val="0070625B"/>
    <w:rsid w:val="007070B0"/>
    <w:rsid w:val="007070DD"/>
    <w:rsid w:val="00707324"/>
    <w:rsid w:val="007078FA"/>
    <w:rsid w:val="00710BDF"/>
    <w:rsid w:val="00710CCC"/>
    <w:rsid w:val="0071163A"/>
    <w:rsid w:val="0071189A"/>
    <w:rsid w:val="00711BA9"/>
    <w:rsid w:val="00712BF1"/>
    <w:rsid w:val="00712FE8"/>
    <w:rsid w:val="00713543"/>
    <w:rsid w:val="007141CE"/>
    <w:rsid w:val="0071464C"/>
    <w:rsid w:val="00714C4D"/>
    <w:rsid w:val="00715442"/>
    <w:rsid w:val="007155F0"/>
    <w:rsid w:val="00715873"/>
    <w:rsid w:val="00715A15"/>
    <w:rsid w:val="00715AFB"/>
    <w:rsid w:val="0071725C"/>
    <w:rsid w:val="00717323"/>
    <w:rsid w:val="0071775F"/>
    <w:rsid w:val="007205C8"/>
    <w:rsid w:val="00720D39"/>
    <w:rsid w:val="00721026"/>
    <w:rsid w:val="0072118B"/>
    <w:rsid w:val="007211CA"/>
    <w:rsid w:val="0072152A"/>
    <w:rsid w:val="007216DE"/>
    <w:rsid w:val="00721BC0"/>
    <w:rsid w:val="0072202E"/>
    <w:rsid w:val="00722F05"/>
    <w:rsid w:val="00723996"/>
    <w:rsid w:val="00723E81"/>
    <w:rsid w:val="00723FD7"/>
    <w:rsid w:val="00724885"/>
    <w:rsid w:val="00724C91"/>
    <w:rsid w:val="00725588"/>
    <w:rsid w:val="00725B5A"/>
    <w:rsid w:val="00725DD9"/>
    <w:rsid w:val="00726662"/>
    <w:rsid w:val="00726B82"/>
    <w:rsid w:val="00726FA0"/>
    <w:rsid w:val="00726FE2"/>
    <w:rsid w:val="007278B8"/>
    <w:rsid w:val="00727BAD"/>
    <w:rsid w:val="0073002B"/>
    <w:rsid w:val="0073047B"/>
    <w:rsid w:val="00730634"/>
    <w:rsid w:val="00730F44"/>
    <w:rsid w:val="007316E1"/>
    <w:rsid w:val="00732103"/>
    <w:rsid w:val="00732B68"/>
    <w:rsid w:val="00733191"/>
    <w:rsid w:val="00734283"/>
    <w:rsid w:val="0073454B"/>
    <w:rsid w:val="007355AD"/>
    <w:rsid w:val="00735FB2"/>
    <w:rsid w:val="00736530"/>
    <w:rsid w:val="0073780A"/>
    <w:rsid w:val="007403AB"/>
    <w:rsid w:val="00740C0E"/>
    <w:rsid w:val="00740F97"/>
    <w:rsid w:val="0074102E"/>
    <w:rsid w:val="00742877"/>
    <w:rsid w:val="00742BA2"/>
    <w:rsid w:val="00743AE6"/>
    <w:rsid w:val="0074431F"/>
    <w:rsid w:val="00745095"/>
    <w:rsid w:val="0074526E"/>
    <w:rsid w:val="00745806"/>
    <w:rsid w:val="00746721"/>
    <w:rsid w:val="00747AAB"/>
    <w:rsid w:val="00747EF2"/>
    <w:rsid w:val="00750497"/>
    <w:rsid w:val="007509CD"/>
    <w:rsid w:val="00750BB8"/>
    <w:rsid w:val="00750DC8"/>
    <w:rsid w:val="007515BA"/>
    <w:rsid w:val="00751DAA"/>
    <w:rsid w:val="00752349"/>
    <w:rsid w:val="007525C0"/>
    <w:rsid w:val="00753E83"/>
    <w:rsid w:val="00753F2A"/>
    <w:rsid w:val="007546C5"/>
    <w:rsid w:val="0075614A"/>
    <w:rsid w:val="007561FD"/>
    <w:rsid w:val="00756591"/>
    <w:rsid w:val="00756F4F"/>
    <w:rsid w:val="007570FE"/>
    <w:rsid w:val="007572D9"/>
    <w:rsid w:val="00757723"/>
    <w:rsid w:val="00760262"/>
    <w:rsid w:val="00760949"/>
    <w:rsid w:val="00761034"/>
    <w:rsid w:val="00763342"/>
    <w:rsid w:val="00763707"/>
    <w:rsid w:val="00763BF5"/>
    <w:rsid w:val="0076423B"/>
    <w:rsid w:val="007645C2"/>
    <w:rsid w:val="00764E07"/>
    <w:rsid w:val="0076509C"/>
    <w:rsid w:val="007652AB"/>
    <w:rsid w:val="00767BA2"/>
    <w:rsid w:val="00770A69"/>
    <w:rsid w:val="00770B56"/>
    <w:rsid w:val="00771631"/>
    <w:rsid w:val="007717B3"/>
    <w:rsid w:val="00771D18"/>
    <w:rsid w:val="007723F1"/>
    <w:rsid w:val="00772895"/>
    <w:rsid w:val="0077363A"/>
    <w:rsid w:val="0077378D"/>
    <w:rsid w:val="007744DE"/>
    <w:rsid w:val="00774947"/>
    <w:rsid w:val="00774FF2"/>
    <w:rsid w:val="00775039"/>
    <w:rsid w:val="00775490"/>
    <w:rsid w:val="00775616"/>
    <w:rsid w:val="00775D30"/>
    <w:rsid w:val="0077652E"/>
    <w:rsid w:val="00776D63"/>
    <w:rsid w:val="00776DAE"/>
    <w:rsid w:val="007772BF"/>
    <w:rsid w:val="0077760D"/>
    <w:rsid w:val="007802E5"/>
    <w:rsid w:val="007805D6"/>
    <w:rsid w:val="00780E0D"/>
    <w:rsid w:val="00782C1E"/>
    <w:rsid w:val="00782E50"/>
    <w:rsid w:val="0078333A"/>
    <w:rsid w:val="00783377"/>
    <w:rsid w:val="007839A9"/>
    <w:rsid w:val="00783C5B"/>
    <w:rsid w:val="00783E49"/>
    <w:rsid w:val="00785009"/>
    <w:rsid w:val="0078546A"/>
    <w:rsid w:val="00785621"/>
    <w:rsid w:val="00785A38"/>
    <w:rsid w:val="0078692D"/>
    <w:rsid w:val="00787070"/>
    <w:rsid w:val="0078747E"/>
    <w:rsid w:val="0079027E"/>
    <w:rsid w:val="00790906"/>
    <w:rsid w:val="007917CA"/>
    <w:rsid w:val="007918CE"/>
    <w:rsid w:val="00791A70"/>
    <w:rsid w:val="00791D9D"/>
    <w:rsid w:val="0079265C"/>
    <w:rsid w:val="00793055"/>
    <w:rsid w:val="00793147"/>
    <w:rsid w:val="00793531"/>
    <w:rsid w:val="00793F1A"/>
    <w:rsid w:val="00793FEF"/>
    <w:rsid w:val="00794331"/>
    <w:rsid w:val="0079494D"/>
    <w:rsid w:val="00795CD6"/>
    <w:rsid w:val="00795DCE"/>
    <w:rsid w:val="0079710E"/>
    <w:rsid w:val="00797153"/>
    <w:rsid w:val="0079770C"/>
    <w:rsid w:val="007977BC"/>
    <w:rsid w:val="00797821"/>
    <w:rsid w:val="007A03C9"/>
    <w:rsid w:val="007A054A"/>
    <w:rsid w:val="007A0A0C"/>
    <w:rsid w:val="007A118F"/>
    <w:rsid w:val="007A161C"/>
    <w:rsid w:val="007A1F1A"/>
    <w:rsid w:val="007A23B8"/>
    <w:rsid w:val="007A3B8F"/>
    <w:rsid w:val="007A3DFF"/>
    <w:rsid w:val="007A3FE2"/>
    <w:rsid w:val="007A4386"/>
    <w:rsid w:val="007A4F42"/>
    <w:rsid w:val="007A5729"/>
    <w:rsid w:val="007A572E"/>
    <w:rsid w:val="007A60DE"/>
    <w:rsid w:val="007A6A1C"/>
    <w:rsid w:val="007A6B67"/>
    <w:rsid w:val="007B08E5"/>
    <w:rsid w:val="007B0E9E"/>
    <w:rsid w:val="007B11AF"/>
    <w:rsid w:val="007B2134"/>
    <w:rsid w:val="007B247B"/>
    <w:rsid w:val="007B24AB"/>
    <w:rsid w:val="007B26C4"/>
    <w:rsid w:val="007B2923"/>
    <w:rsid w:val="007B34C1"/>
    <w:rsid w:val="007B41DB"/>
    <w:rsid w:val="007B4B8C"/>
    <w:rsid w:val="007B5353"/>
    <w:rsid w:val="007B57C9"/>
    <w:rsid w:val="007B57CB"/>
    <w:rsid w:val="007B6516"/>
    <w:rsid w:val="007B653D"/>
    <w:rsid w:val="007B696A"/>
    <w:rsid w:val="007B7082"/>
    <w:rsid w:val="007B70A4"/>
    <w:rsid w:val="007B7348"/>
    <w:rsid w:val="007B7D3F"/>
    <w:rsid w:val="007C01E2"/>
    <w:rsid w:val="007C059F"/>
    <w:rsid w:val="007C09B6"/>
    <w:rsid w:val="007C15B2"/>
    <w:rsid w:val="007C1840"/>
    <w:rsid w:val="007C1D5A"/>
    <w:rsid w:val="007C1ED8"/>
    <w:rsid w:val="007C2151"/>
    <w:rsid w:val="007C2584"/>
    <w:rsid w:val="007C30FF"/>
    <w:rsid w:val="007C3A14"/>
    <w:rsid w:val="007C3DEF"/>
    <w:rsid w:val="007C4608"/>
    <w:rsid w:val="007C4636"/>
    <w:rsid w:val="007C486C"/>
    <w:rsid w:val="007C4878"/>
    <w:rsid w:val="007C4972"/>
    <w:rsid w:val="007C50CD"/>
    <w:rsid w:val="007C52DC"/>
    <w:rsid w:val="007C54B0"/>
    <w:rsid w:val="007C5B8C"/>
    <w:rsid w:val="007C60AC"/>
    <w:rsid w:val="007C6345"/>
    <w:rsid w:val="007C6F77"/>
    <w:rsid w:val="007C70ED"/>
    <w:rsid w:val="007C7902"/>
    <w:rsid w:val="007D0306"/>
    <w:rsid w:val="007D0617"/>
    <w:rsid w:val="007D0D1D"/>
    <w:rsid w:val="007D1364"/>
    <w:rsid w:val="007D1390"/>
    <w:rsid w:val="007D1804"/>
    <w:rsid w:val="007D18C4"/>
    <w:rsid w:val="007D1A14"/>
    <w:rsid w:val="007D1B4E"/>
    <w:rsid w:val="007D1F4F"/>
    <w:rsid w:val="007D30B4"/>
    <w:rsid w:val="007D3251"/>
    <w:rsid w:val="007D4A30"/>
    <w:rsid w:val="007D4C03"/>
    <w:rsid w:val="007D4F3F"/>
    <w:rsid w:val="007D5508"/>
    <w:rsid w:val="007D5690"/>
    <w:rsid w:val="007D5892"/>
    <w:rsid w:val="007D5D22"/>
    <w:rsid w:val="007D5FC1"/>
    <w:rsid w:val="007D636C"/>
    <w:rsid w:val="007D64D6"/>
    <w:rsid w:val="007D672F"/>
    <w:rsid w:val="007D6B37"/>
    <w:rsid w:val="007D6C22"/>
    <w:rsid w:val="007D76BF"/>
    <w:rsid w:val="007D7920"/>
    <w:rsid w:val="007D7E52"/>
    <w:rsid w:val="007E04B0"/>
    <w:rsid w:val="007E050E"/>
    <w:rsid w:val="007E15F6"/>
    <w:rsid w:val="007E174A"/>
    <w:rsid w:val="007E2C50"/>
    <w:rsid w:val="007E2EFB"/>
    <w:rsid w:val="007E30C4"/>
    <w:rsid w:val="007E3187"/>
    <w:rsid w:val="007E62E5"/>
    <w:rsid w:val="007E6A17"/>
    <w:rsid w:val="007E7AFD"/>
    <w:rsid w:val="007F0705"/>
    <w:rsid w:val="007F0FAC"/>
    <w:rsid w:val="007F18B9"/>
    <w:rsid w:val="007F1E0A"/>
    <w:rsid w:val="007F2748"/>
    <w:rsid w:val="007F4B3E"/>
    <w:rsid w:val="007F53C4"/>
    <w:rsid w:val="007F5749"/>
    <w:rsid w:val="007F5811"/>
    <w:rsid w:val="007F5FFC"/>
    <w:rsid w:val="007F6C0B"/>
    <w:rsid w:val="007F7287"/>
    <w:rsid w:val="007F7C39"/>
    <w:rsid w:val="00800CE4"/>
    <w:rsid w:val="008015BB"/>
    <w:rsid w:val="00802BB1"/>
    <w:rsid w:val="00803059"/>
    <w:rsid w:val="008032B7"/>
    <w:rsid w:val="0080357F"/>
    <w:rsid w:val="00803BE0"/>
    <w:rsid w:val="00803DEE"/>
    <w:rsid w:val="00804383"/>
    <w:rsid w:val="008044DE"/>
    <w:rsid w:val="00804749"/>
    <w:rsid w:val="00804B20"/>
    <w:rsid w:val="00804CC6"/>
    <w:rsid w:val="008050CE"/>
    <w:rsid w:val="00805679"/>
    <w:rsid w:val="00805D5B"/>
    <w:rsid w:val="00806168"/>
    <w:rsid w:val="00806BA5"/>
    <w:rsid w:val="00806EE2"/>
    <w:rsid w:val="00806F3E"/>
    <w:rsid w:val="00807449"/>
    <w:rsid w:val="0080762C"/>
    <w:rsid w:val="00807F32"/>
    <w:rsid w:val="00810AD5"/>
    <w:rsid w:val="00810C11"/>
    <w:rsid w:val="0081192E"/>
    <w:rsid w:val="00811E34"/>
    <w:rsid w:val="0081223F"/>
    <w:rsid w:val="008128FF"/>
    <w:rsid w:val="00812E54"/>
    <w:rsid w:val="00813F42"/>
    <w:rsid w:val="00814265"/>
    <w:rsid w:val="00814A43"/>
    <w:rsid w:val="00815A21"/>
    <w:rsid w:val="00815E9A"/>
    <w:rsid w:val="008163DA"/>
    <w:rsid w:val="00816D43"/>
    <w:rsid w:val="008178D7"/>
    <w:rsid w:val="00817F08"/>
    <w:rsid w:val="008203BA"/>
    <w:rsid w:val="00820427"/>
    <w:rsid w:val="00820754"/>
    <w:rsid w:val="00821060"/>
    <w:rsid w:val="00821762"/>
    <w:rsid w:val="0082193E"/>
    <w:rsid w:val="00821A64"/>
    <w:rsid w:val="00821B45"/>
    <w:rsid w:val="00821CCE"/>
    <w:rsid w:val="0082276E"/>
    <w:rsid w:val="008228E9"/>
    <w:rsid w:val="008235C3"/>
    <w:rsid w:val="008238B5"/>
    <w:rsid w:val="00823E5C"/>
    <w:rsid w:val="00823F66"/>
    <w:rsid w:val="0082403F"/>
    <w:rsid w:val="008240D9"/>
    <w:rsid w:val="008251E2"/>
    <w:rsid w:val="00825311"/>
    <w:rsid w:val="00825E79"/>
    <w:rsid w:val="00826709"/>
    <w:rsid w:val="0082679F"/>
    <w:rsid w:val="00826C12"/>
    <w:rsid w:val="00826F0B"/>
    <w:rsid w:val="008275D1"/>
    <w:rsid w:val="00827C2F"/>
    <w:rsid w:val="00830055"/>
    <w:rsid w:val="008302EF"/>
    <w:rsid w:val="00830D59"/>
    <w:rsid w:val="00830E6F"/>
    <w:rsid w:val="00830FDD"/>
    <w:rsid w:val="00831765"/>
    <w:rsid w:val="00831939"/>
    <w:rsid w:val="00832908"/>
    <w:rsid w:val="00832E4C"/>
    <w:rsid w:val="00832FC7"/>
    <w:rsid w:val="00834270"/>
    <w:rsid w:val="008344B0"/>
    <w:rsid w:val="008358C8"/>
    <w:rsid w:val="00835AD9"/>
    <w:rsid w:val="00835E46"/>
    <w:rsid w:val="0083633A"/>
    <w:rsid w:val="008379E7"/>
    <w:rsid w:val="00837DFD"/>
    <w:rsid w:val="00837F97"/>
    <w:rsid w:val="0084132E"/>
    <w:rsid w:val="0084142B"/>
    <w:rsid w:val="0084197F"/>
    <w:rsid w:val="00842094"/>
    <w:rsid w:val="008424B1"/>
    <w:rsid w:val="00842835"/>
    <w:rsid w:val="0084316B"/>
    <w:rsid w:val="00843930"/>
    <w:rsid w:val="008444E3"/>
    <w:rsid w:val="008463AB"/>
    <w:rsid w:val="00846866"/>
    <w:rsid w:val="008474CA"/>
    <w:rsid w:val="00847697"/>
    <w:rsid w:val="00850D97"/>
    <w:rsid w:val="00851059"/>
    <w:rsid w:val="00851128"/>
    <w:rsid w:val="00851897"/>
    <w:rsid w:val="00851A4F"/>
    <w:rsid w:val="008535DA"/>
    <w:rsid w:val="00853FF0"/>
    <w:rsid w:val="008542DC"/>
    <w:rsid w:val="0085444A"/>
    <w:rsid w:val="008545CF"/>
    <w:rsid w:val="00856625"/>
    <w:rsid w:val="00856AA3"/>
    <w:rsid w:val="00856FEF"/>
    <w:rsid w:val="008579EB"/>
    <w:rsid w:val="008604B1"/>
    <w:rsid w:val="00860EF4"/>
    <w:rsid w:val="008629B4"/>
    <w:rsid w:val="008629DA"/>
    <w:rsid w:val="00862B51"/>
    <w:rsid w:val="00863521"/>
    <w:rsid w:val="00863605"/>
    <w:rsid w:val="008643FB"/>
    <w:rsid w:val="0086465D"/>
    <w:rsid w:val="0086492B"/>
    <w:rsid w:val="00864D20"/>
    <w:rsid w:val="00865449"/>
    <w:rsid w:val="00866613"/>
    <w:rsid w:val="00866696"/>
    <w:rsid w:val="00866970"/>
    <w:rsid w:val="00866CC0"/>
    <w:rsid w:val="00866CD6"/>
    <w:rsid w:val="0086793B"/>
    <w:rsid w:val="00867B49"/>
    <w:rsid w:val="00867F44"/>
    <w:rsid w:val="00867FF7"/>
    <w:rsid w:val="008712FE"/>
    <w:rsid w:val="00872413"/>
    <w:rsid w:val="00872514"/>
    <w:rsid w:val="00872785"/>
    <w:rsid w:val="00872BCB"/>
    <w:rsid w:val="0087324B"/>
    <w:rsid w:val="00873515"/>
    <w:rsid w:val="00875DB1"/>
    <w:rsid w:val="00875E66"/>
    <w:rsid w:val="00876734"/>
    <w:rsid w:val="008771D3"/>
    <w:rsid w:val="008778B6"/>
    <w:rsid w:val="008804A7"/>
    <w:rsid w:val="008806AC"/>
    <w:rsid w:val="008807EA"/>
    <w:rsid w:val="0088112B"/>
    <w:rsid w:val="00881520"/>
    <w:rsid w:val="0088229A"/>
    <w:rsid w:val="00882A2E"/>
    <w:rsid w:val="00882B70"/>
    <w:rsid w:val="00883539"/>
    <w:rsid w:val="00883F84"/>
    <w:rsid w:val="008842B7"/>
    <w:rsid w:val="00884EB6"/>
    <w:rsid w:val="00885507"/>
    <w:rsid w:val="00885AF2"/>
    <w:rsid w:val="00886FB7"/>
    <w:rsid w:val="008879D5"/>
    <w:rsid w:val="00890709"/>
    <w:rsid w:val="00891011"/>
    <w:rsid w:val="00891181"/>
    <w:rsid w:val="00891C4A"/>
    <w:rsid w:val="00892122"/>
    <w:rsid w:val="0089229A"/>
    <w:rsid w:val="00893419"/>
    <w:rsid w:val="00894407"/>
    <w:rsid w:val="00896137"/>
    <w:rsid w:val="00896756"/>
    <w:rsid w:val="00896781"/>
    <w:rsid w:val="008971BF"/>
    <w:rsid w:val="00897558"/>
    <w:rsid w:val="00897641"/>
    <w:rsid w:val="008A1137"/>
    <w:rsid w:val="008A129A"/>
    <w:rsid w:val="008A13D9"/>
    <w:rsid w:val="008A1E43"/>
    <w:rsid w:val="008A2FA1"/>
    <w:rsid w:val="008A3103"/>
    <w:rsid w:val="008A34BE"/>
    <w:rsid w:val="008A366D"/>
    <w:rsid w:val="008A3ED7"/>
    <w:rsid w:val="008A49BA"/>
    <w:rsid w:val="008A4D09"/>
    <w:rsid w:val="008A4E70"/>
    <w:rsid w:val="008A5A93"/>
    <w:rsid w:val="008A5C8B"/>
    <w:rsid w:val="008A68CA"/>
    <w:rsid w:val="008A695D"/>
    <w:rsid w:val="008A69D6"/>
    <w:rsid w:val="008A6F0C"/>
    <w:rsid w:val="008A70B5"/>
    <w:rsid w:val="008A72EC"/>
    <w:rsid w:val="008A788C"/>
    <w:rsid w:val="008B00F9"/>
    <w:rsid w:val="008B03FD"/>
    <w:rsid w:val="008B0C07"/>
    <w:rsid w:val="008B12C4"/>
    <w:rsid w:val="008B200D"/>
    <w:rsid w:val="008B32ED"/>
    <w:rsid w:val="008B3A71"/>
    <w:rsid w:val="008B4398"/>
    <w:rsid w:val="008B48D2"/>
    <w:rsid w:val="008B4C3C"/>
    <w:rsid w:val="008B5076"/>
    <w:rsid w:val="008B6183"/>
    <w:rsid w:val="008B647A"/>
    <w:rsid w:val="008B677B"/>
    <w:rsid w:val="008B6B94"/>
    <w:rsid w:val="008B7903"/>
    <w:rsid w:val="008C0055"/>
    <w:rsid w:val="008C1CBF"/>
    <w:rsid w:val="008C1D74"/>
    <w:rsid w:val="008C2468"/>
    <w:rsid w:val="008C34F0"/>
    <w:rsid w:val="008C3687"/>
    <w:rsid w:val="008C4122"/>
    <w:rsid w:val="008C4EAF"/>
    <w:rsid w:val="008C52DF"/>
    <w:rsid w:val="008C5A25"/>
    <w:rsid w:val="008C5AFF"/>
    <w:rsid w:val="008C5B80"/>
    <w:rsid w:val="008C5C73"/>
    <w:rsid w:val="008C639F"/>
    <w:rsid w:val="008C6A84"/>
    <w:rsid w:val="008C7E18"/>
    <w:rsid w:val="008D06BA"/>
    <w:rsid w:val="008D08D7"/>
    <w:rsid w:val="008D1462"/>
    <w:rsid w:val="008D19F1"/>
    <w:rsid w:val="008D2759"/>
    <w:rsid w:val="008D2985"/>
    <w:rsid w:val="008D2B27"/>
    <w:rsid w:val="008D3EFF"/>
    <w:rsid w:val="008D4B77"/>
    <w:rsid w:val="008D5A67"/>
    <w:rsid w:val="008D684B"/>
    <w:rsid w:val="008D6EE6"/>
    <w:rsid w:val="008D702F"/>
    <w:rsid w:val="008D72AE"/>
    <w:rsid w:val="008D77EE"/>
    <w:rsid w:val="008D7B09"/>
    <w:rsid w:val="008E0520"/>
    <w:rsid w:val="008E056B"/>
    <w:rsid w:val="008E05E3"/>
    <w:rsid w:val="008E0E24"/>
    <w:rsid w:val="008E1D26"/>
    <w:rsid w:val="008E3504"/>
    <w:rsid w:val="008E383E"/>
    <w:rsid w:val="008E3E1C"/>
    <w:rsid w:val="008E47ED"/>
    <w:rsid w:val="008E4EEC"/>
    <w:rsid w:val="008E534E"/>
    <w:rsid w:val="008E572C"/>
    <w:rsid w:val="008E5AF8"/>
    <w:rsid w:val="008E5C1D"/>
    <w:rsid w:val="008E5D29"/>
    <w:rsid w:val="008E63C6"/>
    <w:rsid w:val="008E657F"/>
    <w:rsid w:val="008E67BA"/>
    <w:rsid w:val="008E6AFF"/>
    <w:rsid w:val="008E6CAF"/>
    <w:rsid w:val="008E7081"/>
    <w:rsid w:val="008E7DC4"/>
    <w:rsid w:val="008F03BE"/>
    <w:rsid w:val="008F0947"/>
    <w:rsid w:val="008F13AA"/>
    <w:rsid w:val="008F13E7"/>
    <w:rsid w:val="008F1E38"/>
    <w:rsid w:val="008F219B"/>
    <w:rsid w:val="008F290E"/>
    <w:rsid w:val="008F29B9"/>
    <w:rsid w:val="008F34F4"/>
    <w:rsid w:val="008F3A1A"/>
    <w:rsid w:val="008F3F5B"/>
    <w:rsid w:val="008F4345"/>
    <w:rsid w:val="008F46E1"/>
    <w:rsid w:val="008F48FF"/>
    <w:rsid w:val="008F4D60"/>
    <w:rsid w:val="008F5C72"/>
    <w:rsid w:val="008F5F33"/>
    <w:rsid w:val="008F6083"/>
    <w:rsid w:val="008F76C4"/>
    <w:rsid w:val="00900FCE"/>
    <w:rsid w:val="0090119B"/>
    <w:rsid w:val="00902097"/>
    <w:rsid w:val="0090402D"/>
    <w:rsid w:val="00904822"/>
    <w:rsid w:val="00904F20"/>
    <w:rsid w:val="009061EB"/>
    <w:rsid w:val="00906DD4"/>
    <w:rsid w:val="0090706D"/>
    <w:rsid w:val="00907178"/>
    <w:rsid w:val="0090738C"/>
    <w:rsid w:val="00910002"/>
    <w:rsid w:val="009102F3"/>
    <w:rsid w:val="00910B90"/>
    <w:rsid w:val="009114C0"/>
    <w:rsid w:val="0091159A"/>
    <w:rsid w:val="0091166E"/>
    <w:rsid w:val="0091190E"/>
    <w:rsid w:val="0091231D"/>
    <w:rsid w:val="00912707"/>
    <w:rsid w:val="0091335C"/>
    <w:rsid w:val="009137B3"/>
    <w:rsid w:val="00913F49"/>
    <w:rsid w:val="00914EA1"/>
    <w:rsid w:val="00915218"/>
    <w:rsid w:val="009155C4"/>
    <w:rsid w:val="00915916"/>
    <w:rsid w:val="009167A7"/>
    <w:rsid w:val="0091765C"/>
    <w:rsid w:val="0092029B"/>
    <w:rsid w:val="00920854"/>
    <w:rsid w:val="00920B31"/>
    <w:rsid w:val="009212D5"/>
    <w:rsid w:val="00921BFE"/>
    <w:rsid w:val="0092200B"/>
    <w:rsid w:val="0092211E"/>
    <w:rsid w:val="00923017"/>
    <w:rsid w:val="00923270"/>
    <w:rsid w:val="00923635"/>
    <w:rsid w:val="00923F9C"/>
    <w:rsid w:val="00924523"/>
    <w:rsid w:val="00924988"/>
    <w:rsid w:val="00924B07"/>
    <w:rsid w:val="00924B98"/>
    <w:rsid w:val="00925C87"/>
    <w:rsid w:val="0092736A"/>
    <w:rsid w:val="009275AA"/>
    <w:rsid w:val="009301BB"/>
    <w:rsid w:val="00930C5E"/>
    <w:rsid w:val="00930CE8"/>
    <w:rsid w:val="0093117B"/>
    <w:rsid w:val="009314AA"/>
    <w:rsid w:val="009319F8"/>
    <w:rsid w:val="00931A6E"/>
    <w:rsid w:val="00931BBB"/>
    <w:rsid w:val="00932323"/>
    <w:rsid w:val="00933460"/>
    <w:rsid w:val="00933A46"/>
    <w:rsid w:val="00933B98"/>
    <w:rsid w:val="00933DCF"/>
    <w:rsid w:val="00933F38"/>
    <w:rsid w:val="00935342"/>
    <w:rsid w:val="009356AF"/>
    <w:rsid w:val="0093571C"/>
    <w:rsid w:val="00935FD7"/>
    <w:rsid w:val="00936388"/>
    <w:rsid w:val="00936797"/>
    <w:rsid w:val="00936FA3"/>
    <w:rsid w:val="009376F7"/>
    <w:rsid w:val="0093779B"/>
    <w:rsid w:val="00940151"/>
    <w:rsid w:val="009410AC"/>
    <w:rsid w:val="00941107"/>
    <w:rsid w:val="00941175"/>
    <w:rsid w:val="00941BB5"/>
    <w:rsid w:val="009422AB"/>
    <w:rsid w:val="009422CE"/>
    <w:rsid w:val="00942E10"/>
    <w:rsid w:val="00943082"/>
    <w:rsid w:val="0094322A"/>
    <w:rsid w:val="00943EE7"/>
    <w:rsid w:val="00944643"/>
    <w:rsid w:val="009446F2"/>
    <w:rsid w:val="00944860"/>
    <w:rsid w:val="00944DD5"/>
    <w:rsid w:val="0094579D"/>
    <w:rsid w:val="009460EC"/>
    <w:rsid w:val="0094615D"/>
    <w:rsid w:val="00946301"/>
    <w:rsid w:val="00946D97"/>
    <w:rsid w:val="00950208"/>
    <w:rsid w:val="009503F7"/>
    <w:rsid w:val="00950BE1"/>
    <w:rsid w:val="00950D84"/>
    <w:rsid w:val="00950E5E"/>
    <w:rsid w:val="009510A7"/>
    <w:rsid w:val="009515D8"/>
    <w:rsid w:val="00951804"/>
    <w:rsid w:val="00951A32"/>
    <w:rsid w:val="00951C37"/>
    <w:rsid w:val="009543B8"/>
    <w:rsid w:val="0095471F"/>
    <w:rsid w:val="0095477B"/>
    <w:rsid w:val="0095489D"/>
    <w:rsid w:val="00954DCB"/>
    <w:rsid w:val="00955056"/>
    <w:rsid w:val="009553F1"/>
    <w:rsid w:val="00955A99"/>
    <w:rsid w:val="0095645E"/>
    <w:rsid w:val="009601C8"/>
    <w:rsid w:val="009604B2"/>
    <w:rsid w:val="00960EBB"/>
    <w:rsid w:val="0096158E"/>
    <w:rsid w:val="009617EC"/>
    <w:rsid w:val="00961AAD"/>
    <w:rsid w:val="009621F9"/>
    <w:rsid w:val="00962540"/>
    <w:rsid w:val="0096269E"/>
    <w:rsid w:val="0096276B"/>
    <w:rsid w:val="009632F9"/>
    <w:rsid w:val="009636EE"/>
    <w:rsid w:val="00963C75"/>
    <w:rsid w:val="00964029"/>
    <w:rsid w:val="00965460"/>
    <w:rsid w:val="00965DA6"/>
    <w:rsid w:val="00966B69"/>
    <w:rsid w:val="00966BB9"/>
    <w:rsid w:val="0096763D"/>
    <w:rsid w:val="00970A1F"/>
    <w:rsid w:val="00970A40"/>
    <w:rsid w:val="00970F70"/>
    <w:rsid w:val="009717AE"/>
    <w:rsid w:val="00972BBC"/>
    <w:rsid w:val="00973221"/>
    <w:rsid w:val="009735F3"/>
    <w:rsid w:val="00973DFD"/>
    <w:rsid w:val="009742FE"/>
    <w:rsid w:val="00974553"/>
    <w:rsid w:val="00974B4C"/>
    <w:rsid w:val="00975122"/>
    <w:rsid w:val="00975527"/>
    <w:rsid w:val="0097573D"/>
    <w:rsid w:val="00975926"/>
    <w:rsid w:val="00975D47"/>
    <w:rsid w:val="00976189"/>
    <w:rsid w:val="009763DD"/>
    <w:rsid w:val="009764CA"/>
    <w:rsid w:val="00976D48"/>
    <w:rsid w:val="00976DC9"/>
    <w:rsid w:val="00977877"/>
    <w:rsid w:val="00977AD2"/>
    <w:rsid w:val="00977F6A"/>
    <w:rsid w:val="00980017"/>
    <w:rsid w:val="0098131F"/>
    <w:rsid w:val="00981A52"/>
    <w:rsid w:val="00981EAE"/>
    <w:rsid w:val="00981F6C"/>
    <w:rsid w:val="00982E0B"/>
    <w:rsid w:val="00983088"/>
    <w:rsid w:val="00983641"/>
    <w:rsid w:val="00983A09"/>
    <w:rsid w:val="00983A54"/>
    <w:rsid w:val="00983B39"/>
    <w:rsid w:val="00983ECF"/>
    <w:rsid w:val="0098402C"/>
    <w:rsid w:val="009844AF"/>
    <w:rsid w:val="009845B2"/>
    <w:rsid w:val="00984684"/>
    <w:rsid w:val="00984859"/>
    <w:rsid w:val="00984A0F"/>
    <w:rsid w:val="00984E0C"/>
    <w:rsid w:val="009850DE"/>
    <w:rsid w:val="00985563"/>
    <w:rsid w:val="00985FC7"/>
    <w:rsid w:val="00986F1A"/>
    <w:rsid w:val="009872D6"/>
    <w:rsid w:val="0098783C"/>
    <w:rsid w:val="00987D4F"/>
    <w:rsid w:val="009915DA"/>
    <w:rsid w:val="009915E0"/>
    <w:rsid w:val="00991E72"/>
    <w:rsid w:val="00991F98"/>
    <w:rsid w:val="00992143"/>
    <w:rsid w:val="00992250"/>
    <w:rsid w:val="00992909"/>
    <w:rsid w:val="009929B7"/>
    <w:rsid w:val="009934D3"/>
    <w:rsid w:val="00993A4F"/>
    <w:rsid w:val="00993D29"/>
    <w:rsid w:val="00993F92"/>
    <w:rsid w:val="00996AB9"/>
    <w:rsid w:val="00997056"/>
    <w:rsid w:val="00997BDC"/>
    <w:rsid w:val="00997C09"/>
    <w:rsid w:val="00997E63"/>
    <w:rsid w:val="009A0AD1"/>
    <w:rsid w:val="009A0DF0"/>
    <w:rsid w:val="009A1AFC"/>
    <w:rsid w:val="009A1C02"/>
    <w:rsid w:val="009A2552"/>
    <w:rsid w:val="009A285C"/>
    <w:rsid w:val="009A303E"/>
    <w:rsid w:val="009A3856"/>
    <w:rsid w:val="009A4582"/>
    <w:rsid w:val="009A4A86"/>
    <w:rsid w:val="009A61D4"/>
    <w:rsid w:val="009A6527"/>
    <w:rsid w:val="009A6ACD"/>
    <w:rsid w:val="009A6E03"/>
    <w:rsid w:val="009B102E"/>
    <w:rsid w:val="009B1218"/>
    <w:rsid w:val="009B270C"/>
    <w:rsid w:val="009B2C4E"/>
    <w:rsid w:val="009B3486"/>
    <w:rsid w:val="009B35A7"/>
    <w:rsid w:val="009B3BBB"/>
    <w:rsid w:val="009B3E41"/>
    <w:rsid w:val="009B3F44"/>
    <w:rsid w:val="009B4022"/>
    <w:rsid w:val="009B446D"/>
    <w:rsid w:val="009B4980"/>
    <w:rsid w:val="009B49BE"/>
    <w:rsid w:val="009B4BDE"/>
    <w:rsid w:val="009B6039"/>
    <w:rsid w:val="009B6574"/>
    <w:rsid w:val="009B6963"/>
    <w:rsid w:val="009B6FF4"/>
    <w:rsid w:val="009B72BE"/>
    <w:rsid w:val="009B7C72"/>
    <w:rsid w:val="009C025C"/>
    <w:rsid w:val="009C0863"/>
    <w:rsid w:val="009C1579"/>
    <w:rsid w:val="009C24F4"/>
    <w:rsid w:val="009C2ABF"/>
    <w:rsid w:val="009C3089"/>
    <w:rsid w:val="009C37A2"/>
    <w:rsid w:val="009C37B6"/>
    <w:rsid w:val="009C389C"/>
    <w:rsid w:val="009C3CA5"/>
    <w:rsid w:val="009C536D"/>
    <w:rsid w:val="009C57FF"/>
    <w:rsid w:val="009C5B99"/>
    <w:rsid w:val="009C5D4C"/>
    <w:rsid w:val="009C6114"/>
    <w:rsid w:val="009C68DB"/>
    <w:rsid w:val="009C6F68"/>
    <w:rsid w:val="009C71E4"/>
    <w:rsid w:val="009C72B6"/>
    <w:rsid w:val="009C7FF9"/>
    <w:rsid w:val="009D10A6"/>
    <w:rsid w:val="009D1305"/>
    <w:rsid w:val="009D1F2B"/>
    <w:rsid w:val="009D2323"/>
    <w:rsid w:val="009D3A82"/>
    <w:rsid w:val="009D3AC8"/>
    <w:rsid w:val="009D3DFB"/>
    <w:rsid w:val="009D3FBE"/>
    <w:rsid w:val="009D4388"/>
    <w:rsid w:val="009D447B"/>
    <w:rsid w:val="009D4ACB"/>
    <w:rsid w:val="009D56A0"/>
    <w:rsid w:val="009D5B1B"/>
    <w:rsid w:val="009D5E56"/>
    <w:rsid w:val="009D64F1"/>
    <w:rsid w:val="009D6A38"/>
    <w:rsid w:val="009D6C0C"/>
    <w:rsid w:val="009D6D66"/>
    <w:rsid w:val="009D7356"/>
    <w:rsid w:val="009D790C"/>
    <w:rsid w:val="009D7924"/>
    <w:rsid w:val="009D7CA4"/>
    <w:rsid w:val="009D7E24"/>
    <w:rsid w:val="009D7FEB"/>
    <w:rsid w:val="009E0104"/>
    <w:rsid w:val="009E10CB"/>
    <w:rsid w:val="009E1C72"/>
    <w:rsid w:val="009E20F6"/>
    <w:rsid w:val="009E223A"/>
    <w:rsid w:val="009E2298"/>
    <w:rsid w:val="009E23F5"/>
    <w:rsid w:val="009E2D4C"/>
    <w:rsid w:val="009E3438"/>
    <w:rsid w:val="009E4450"/>
    <w:rsid w:val="009E4A01"/>
    <w:rsid w:val="009E4BF4"/>
    <w:rsid w:val="009E4C7B"/>
    <w:rsid w:val="009E5568"/>
    <w:rsid w:val="009E59BA"/>
    <w:rsid w:val="009E5D4F"/>
    <w:rsid w:val="009E62CD"/>
    <w:rsid w:val="009E6D69"/>
    <w:rsid w:val="009E7319"/>
    <w:rsid w:val="009E7340"/>
    <w:rsid w:val="009E77FF"/>
    <w:rsid w:val="009E7DE0"/>
    <w:rsid w:val="009F0065"/>
    <w:rsid w:val="009F0B1E"/>
    <w:rsid w:val="009F0CC6"/>
    <w:rsid w:val="009F0F2D"/>
    <w:rsid w:val="009F1F23"/>
    <w:rsid w:val="009F3840"/>
    <w:rsid w:val="009F442E"/>
    <w:rsid w:val="009F4564"/>
    <w:rsid w:val="009F46B8"/>
    <w:rsid w:val="009F489E"/>
    <w:rsid w:val="009F6B5D"/>
    <w:rsid w:val="009F7645"/>
    <w:rsid w:val="009F7BC0"/>
    <w:rsid w:val="00A004F1"/>
    <w:rsid w:val="00A00AD5"/>
    <w:rsid w:val="00A01049"/>
    <w:rsid w:val="00A0144E"/>
    <w:rsid w:val="00A01D54"/>
    <w:rsid w:val="00A01DF6"/>
    <w:rsid w:val="00A024A7"/>
    <w:rsid w:val="00A02FF9"/>
    <w:rsid w:val="00A03904"/>
    <w:rsid w:val="00A051E6"/>
    <w:rsid w:val="00A05414"/>
    <w:rsid w:val="00A05660"/>
    <w:rsid w:val="00A05F39"/>
    <w:rsid w:val="00A05F46"/>
    <w:rsid w:val="00A0623D"/>
    <w:rsid w:val="00A06B77"/>
    <w:rsid w:val="00A103C2"/>
    <w:rsid w:val="00A10564"/>
    <w:rsid w:val="00A10A31"/>
    <w:rsid w:val="00A10B81"/>
    <w:rsid w:val="00A1129B"/>
    <w:rsid w:val="00A11373"/>
    <w:rsid w:val="00A115A2"/>
    <w:rsid w:val="00A117B2"/>
    <w:rsid w:val="00A1193F"/>
    <w:rsid w:val="00A11B48"/>
    <w:rsid w:val="00A11C8C"/>
    <w:rsid w:val="00A12273"/>
    <w:rsid w:val="00A12325"/>
    <w:rsid w:val="00A129D1"/>
    <w:rsid w:val="00A12BC7"/>
    <w:rsid w:val="00A130AA"/>
    <w:rsid w:val="00A1313D"/>
    <w:rsid w:val="00A1314A"/>
    <w:rsid w:val="00A1316C"/>
    <w:rsid w:val="00A13661"/>
    <w:rsid w:val="00A14459"/>
    <w:rsid w:val="00A1546D"/>
    <w:rsid w:val="00A158F0"/>
    <w:rsid w:val="00A16059"/>
    <w:rsid w:val="00A168EA"/>
    <w:rsid w:val="00A16B0B"/>
    <w:rsid w:val="00A16DEC"/>
    <w:rsid w:val="00A171F1"/>
    <w:rsid w:val="00A17FC0"/>
    <w:rsid w:val="00A20316"/>
    <w:rsid w:val="00A20437"/>
    <w:rsid w:val="00A20500"/>
    <w:rsid w:val="00A20D43"/>
    <w:rsid w:val="00A2181B"/>
    <w:rsid w:val="00A21E08"/>
    <w:rsid w:val="00A2203B"/>
    <w:rsid w:val="00A228A6"/>
    <w:rsid w:val="00A2336A"/>
    <w:rsid w:val="00A235BC"/>
    <w:rsid w:val="00A2360D"/>
    <w:rsid w:val="00A239DC"/>
    <w:rsid w:val="00A2406D"/>
    <w:rsid w:val="00A243B3"/>
    <w:rsid w:val="00A243D1"/>
    <w:rsid w:val="00A24B11"/>
    <w:rsid w:val="00A24E06"/>
    <w:rsid w:val="00A25943"/>
    <w:rsid w:val="00A26273"/>
    <w:rsid w:val="00A2634C"/>
    <w:rsid w:val="00A27797"/>
    <w:rsid w:val="00A27B3E"/>
    <w:rsid w:val="00A27C74"/>
    <w:rsid w:val="00A319E0"/>
    <w:rsid w:val="00A31BB3"/>
    <w:rsid w:val="00A3323A"/>
    <w:rsid w:val="00A336C5"/>
    <w:rsid w:val="00A34815"/>
    <w:rsid w:val="00A35DC2"/>
    <w:rsid w:val="00A35EE8"/>
    <w:rsid w:val="00A371DB"/>
    <w:rsid w:val="00A3757A"/>
    <w:rsid w:val="00A37761"/>
    <w:rsid w:val="00A415CC"/>
    <w:rsid w:val="00A42537"/>
    <w:rsid w:val="00A42CD3"/>
    <w:rsid w:val="00A42E84"/>
    <w:rsid w:val="00A431C9"/>
    <w:rsid w:val="00A432C3"/>
    <w:rsid w:val="00A4393A"/>
    <w:rsid w:val="00A43A0C"/>
    <w:rsid w:val="00A43E6E"/>
    <w:rsid w:val="00A44122"/>
    <w:rsid w:val="00A441ED"/>
    <w:rsid w:val="00A44F29"/>
    <w:rsid w:val="00A45201"/>
    <w:rsid w:val="00A4550C"/>
    <w:rsid w:val="00A45934"/>
    <w:rsid w:val="00A4761C"/>
    <w:rsid w:val="00A47843"/>
    <w:rsid w:val="00A479D2"/>
    <w:rsid w:val="00A50C0B"/>
    <w:rsid w:val="00A50D13"/>
    <w:rsid w:val="00A51091"/>
    <w:rsid w:val="00A5149E"/>
    <w:rsid w:val="00A51A9C"/>
    <w:rsid w:val="00A520F9"/>
    <w:rsid w:val="00A520FB"/>
    <w:rsid w:val="00A529AE"/>
    <w:rsid w:val="00A52A79"/>
    <w:rsid w:val="00A52CA3"/>
    <w:rsid w:val="00A53424"/>
    <w:rsid w:val="00A53C59"/>
    <w:rsid w:val="00A542A5"/>
    <w:rsid w:val="00A5438D"/>
    <w:rsid w:val="00A54B55"/>
    <w:rsid w:val="00A54B5F"/>
    <w:rsid w:val="00A55078"/>
    <w:rsid w:val="00A578C0"/>
    <w:rsid w:val="00A578D4"/>
    <w:rsid w:val="00A57CF2"/>
    <w:rsid w:val="00A57CF3"/>
    <w:rsid w:val="00A60944"/>
    <w:rsid w:val="00A613AE"/>
    <w:rsid w:val="00A615E4"/>
    <w:rsid w:val="00A6187D"/>
    <w:rsid w:val="00A629D3"/>
    <w:rsid w:val="00A62E83"/>
    <w:rsid w:val="00A63758"/>
    <w:rsid w:val="00A63E4C"/>
    <w:rsid w:val="00A644FD"/>
    <w:rsid w:val="00A64751"/>
    <w:rsid w:val="00A6584D"/>
    <w:rsid w:val="00A65B7E"/>
    <w:rsid w:val="00A65C72"/>
    <w:rsid w:val="00A674A0"/>
    <w:rsid w:val="00A676EF"/>
    <w:rsid w:val="00A67B86"/>
    <w:rsid w:val="00A67FF3"/>
    <w:rsid w:val="00A70227"/>
    <w:rsid w:val="00A71CC4"/>
    <w:rsid w:val="00A72834"/>
    <w:rsid w:val="00A72CDA"/>
    <w:rsid w:val="00A73744"/>
    <w:rsid w:val="00A73E71"/>
    <w:rsid w:val="00A74B8E"/>
    <w:rsid w:val="00A75CFB"/>
    <w:rsid w:val="00A75FC4"/>
    <w:rsid w:val="00A76587"/>
    <w:rsid w:val="00A7692F"/>
    <w:rsid w:val="00A76983"/>
    <w:rsid w:val="00A77B00"/>
    <w:rsid w:val="00A77D04"/>
    <w:rsid w:val="00A80325"/>
    <w:rsid w:val="00A80FB0"/>
    <w:rsid w:val="00A8236B"/>
    <w:rsid w:val="00A831E6"/>
    <w:rsid w:val="00A83274"/>
    <w:rsid w:val="00A83342"/>
    <w:rsid w:val="00A83D9D"/>
    <w:rsid w:val="00A8407A"/>
    <w:rsid w:val="00A84317"/>
    <w:rsid w:val="00A843D9"/>
    <w:rsid w:val="00A84475"/>
    <w:rsid w:val="00A8497B"/>
    <w:rsid w:val="00A8508A"/>
    <w:rsid w:val="00A85199"/>
    <w:rsid w:val="00A852F7"/>
    <w:rsid w:val="00A85772"/>
    <w:rsid w:val="00A85875"/>
    <w:rsid w:val="00A8599D"/>
    <w:rsid w:val="00A859AA"/>
    <w:rsid w:val="00A85E46"/>
    <w:rsid w:val="00A86438"/>
    <w:rsid w:val="00A86715"/>
    <w:rsid w:val="00A86C3E"/>
    <w:rsid w:val="00A90154"/>
    <w:rsid w:val="00A90460"/>
    <w:rsid w:val="00A90565"/>
    <w:rsid w:val="00A90C9D"/>
    <w:rsid w:val="00A90D75"/>
    <w:rsid w:val="00A90F3E"/>
    <w:rsid w:val="00A91482"/>
    <w:rsid w:val="00A9274D"/>
    <w:rsid w:val="00A92A7A"/>
    <w:rsid w:val="00A9318F"/>
    <w:rsid w:val="00A93F55"/>
    <w:rsid w:val="00A93FE8"/>
    <w:rsid w:val="00A94218"/>
    <w:rsid w:val="00A94D43"/>
    <w:rsid w:val="00A95232"/>
    <w:rsid w:val="00A9585C"/>
    <w:rsid w:val="00A95A07"/>
    <w:rsid w:val="00A95B2B"/>
    <w:rsid w:val="00A95DFF"/>
    <w:rsid w:val="00A96A8F"/>
    <w:rsid w:val="00A97792"/>
    <w:rsid w:val="00AA0177"/>
    <w:rsid w:val="00AA0A64"/>
    <w:rsid w:val="00AA1660"/>
    <w:rsid w:val="00AA2036"/>
    <w:rsid w:val="00AA27C1"/>
    <w:rsid w:val="00AA3C95"/>
    <w:rsid w:val="00AA4742"/>
    <w:rsid w:val="00AA4879"/>
    <w:rsid w:val="00AA4F0A"/>
    <w:rsid w:val="00AA5190"/>
    <w:rsid w:val="00AA5EBD"/>
    <w:rsid w:val="00AA6237"/>
    <w:rsid w:val="00AA63E2"/>
    <w:rsid w:val="00AA774E"/>
    <w:rsid w:val="00AA7D16"/>
    <w:rsid w:val="00AB05AC"/>
    <w:rsid w:val="00AB0660"/>
    <w:rsid w:val="00AB06AC"/>
    <w:rsid w:val="00AB091E"/>
    <w:rsid w:val="00AB0B50"/>
    <w:rsid w:val="00AB103A"/>
    <w:rsid w:val="00AB1B5B"/>
    <w:rsid w:val="00AB25C0"/>
    <w:rsid w:val="00AB268B"/>
    <w:rsid w:val="00AB3E79"/>
    <w:rsid w:val="00AB3FEE"/>
    <w:rsid w:val="00AB479E"/>
    <w:rsid w:val="00AB48A3"/>
    <w:rsid w:val="00AB48BD"/>
    <w:rsid w:val="00AB4D72"/>
    <w:rsid w:val="00AB4E36"/>
    <w:rsid w:val="00AB525E"/>
    <w:rsid w:val="00AB53E7"/>
    <w:rsid w:val="00AB54C5"/>
    <w:rsid w:val="00AB5D8F"/>
    <w:rsid w:val="00AB661E"/>
    <w:rsid w:val="00AB6AE8"/>
    <w:rsid w:val="00AC0726"/>
    <w:rsid w:val="00AC0742"/>
    <w:rsid w:val="00AC07CE"/>
    <w:rsid w:val="00AC0AF3"/>
    <w:rsid w:val="00AC10EE"/>
    <w:rsid w:val="00AC1165"/>
    <w:rsid w:val="00AC11E4"/>
    <w:rsid w:val="00AC1583"/>
    <w:rsid w:val="00AC1710"/>
    <w:rsid w:val="00AC2490"/>
    <w:rsid w:val="00AC28EF"/>
    <w:rsid w:val="00AC2AAD"/>
    <w:rsid w:val="00AC2EB0"/>
    <w:rsid w:val="00AC3005"/>
    <w:rsid w:val="00AC3087"/>
    <w:rsid w:val="00AC312B"/>
    <w:rsid w:val="00AC440B"/>
    <w:rsid w:val="00AC48DF"/>
    <w:rsid w:val="00AC5595"/>
    <w:rsid w:val="00AC572B"/>
    <w:rsid w:val="00AC58C0"/>
    <w:rsid w:val="00AC5E5C"/>
    <w:rsid w:val="00AC64EB"/>
    <w:rsid w:val="00AC6558"/>
    <w:rsid w:val="00AC66C9"/>
    <w:rsid w:val="00AC671E"/>
    <w:rsid w:val="00AC7283"/>
    <w:rsid w:val="00AC7C3F"/>
    <w:rsid w:val="00AC7C57"/>
    <w:rsid w:val="00AD01A7"/>
    <w:rsid w:val="00AD0C53"/>
    <w:rsid w:val="00AD0E19"/>
    <w:rsid w:val="00AD11E1"/>
    <w:rsid w:val="00AD1BC0"/>
    <w:rsid w:val="00AD2548"/>
    <w:rsid w:val="00AD2737"/>
    <w:rsid w:val="00AD3641"/>
    <w:rsid w:val="00AD36F4"/>
    <w:rsid w:val="00AD4C87"/>
    <w:rsid w:val="00AD5C3B"/>
    <w:rsid w:val="00AD6B66"/>
    <w:rsid w:val="00AD70BE"/>
    <w:rsid w:val="00AD7405"/>
    <w:rsid w:val="00AD7FF8"/>
    <w:rsid w:val="00AE0CCF"/>
    <w:rsid w:val="00AE0EDB"/>
    <w:rsid w:val="00AE1363"/>
    <w:rsid w:val="00AE2611"/>
    <w:rsid w:val="00AE2BB2"/>
    <w:rsid w:val="00AE2E24"/>
    <w:rsid w:val="00AE2F0B"/>
    <w:rsid w:val="00AE3717"/>
    <w:rsid w:val="00AE4B1C"/>
    <w:rsid w:val="00AE5EA1"/>
    <w:rsid w:val="00AE65BC"/>
    <w:rsid w:val="00AE7ADE"/>
    <w:rsid w:val="00AF04B5"/>
    <w:rsid w:val="00AF0761"/>
    <w:rsid w:val="00AF0891"/>
    <w:rsid w:val="00AF1BAE"/>
    <w:rsid w:val="00AF2557"/>
    <w:rsid w:val="00AF25D3"/>
    <w:rsid w:val="00AF2725"/>
    <w:rsid w:val="00AF284B"/>
    <w:rsid w:val="00AF2EF5"/>
    <w:rsid w:val="00AF41B6"/>
    <w:rsid w:val="00AF4975"/>
    <w:rsid w:val="00AF4A56"/>
    <w:rsid w:val="00AF4B00"/>
    <w:rsid w:val="00AF52CF"/>
    <w:rsid w:val="00AF7560"/>
    <w:rsid w:val="00AF77DD"/>
    <w:rsid w:val="00AF7C4B"/>
    <w:rsid w:val="00B00912"/>
    <w:rsid w:val="00B00B2F"/>
    <w:rsid w:val="00B0183C"/>
    <w:rsid w:val="00B0189E"/>
    <w:rsid w:val="00B02010"/>
    <w:rsid w:val="00B02956"/>
    <w:rsid w:val="00B02E36"/>
    <w:rsid w:val="00B039C1"/>
    <w:rsid w:val="00B0422C"/>
    <w:rsid w:val="00B04B63"/>
    <w:rsid w:val="00B04C54"/>
    <w:rsid w:val="00B051FD"/>
    <w:rsid w:val="00B05B74"/>
    <w:rsid w:val="00B0637D"/>
    <w:rsid w:val="00B06B8C"/>
    <w:rsid w:val="00B06EBA"/>
    <w:rsid w:val="00B1043D"/>
    <w:rsid w:val="00B104E5"/>
    <w:rsid w:val="00B10A8A"/>
    <w:rsid w:val="00B10C26"/>
    <w:rsid w:val="00B124DB"/>
    <w:rsid w:val="00B12AD3"/>
    <w:rsid w:val="00B1424E"/>
    <w:rsid w:val="00B14750"/>
    <w:rsid w:val="00B170DB"/>
    <w:rsid w:val="00B176F8"/>
    <w:rsid w:val="00B17706"/>
    <w:rsid w:val="00B178A8"/>
    <w:rsid w:val="00B17A1B"/>
    <w:rsid w:val="00B20361"/>
    <w:rsid w:val="00B213B8"/>
    <w:rsid w:val="00B21500"/>
    <w:rsid w:val="00B21701"/>
    <w:rsid w:val="00B21F87"/>
    <w:rsid w:val="00B22922"/>
    <w:rsid w:val="00B22CC4"/>
    <w:rsid w:val="00B22F26"/>
    <w:rsid w:val="00B23537"/>
    <w:rsid w:val="00B23785"/>
    <w:rsid w:val="00B24570"/>
    <w:rsid w:val="00B24BD8"/>
    <w:rsid w:val="00B25727"/>
    <w:rsid w:val="00B25729"/>
    <w:rsid w:val="00B259FB"/>
    <w:rsid w:val="00B260D3"/>
    <w:rsid w:val="00B2610C"/>
    <w:rsid w:val="00B26274"/>
    <w:rsid w:val="00B2630D"/>
    <w:rsid w:val="00B26804"/>
    <w:rsid w:val="00B2750D"/>
    <w:rsid w:val="00B27ECD"/>
    <w:rsid w:val="00B308C2"/>
    <w:rsid w:val="00B316E4"/>
    <w:rsid w:val="00B32F2B"/>
    <w:rsid w:val="00B336C3"/>
    <w:rsid w:val="00B33977"/>
    <w:rsid w:val="00B33A4A"/>
    <w:rsid w:val="00B345F6"/>
    <w:rsid w:val="00B34998"/>
    <w:rsid w:val="00B34A8A"/>
    <w:rsid w:val="00B35287"/>
    <w:rsid w:val="00B354CF"/>
    <w:rsid w:val="00B35BCB"/>
    <w:rsid w:val="00B361FD"/>
    <w:rsid w:val="00B36EDB"/>
    <w:rsid w:val="00B36F59"/>
    <w:rsid w:val="00B37141"/>
    <w:rsid w:val="00B404C4"/>
    <w:rsid w:val="00B407F5"/>
    <w:rsid w:val="00B4136B"/>
    <w:rsid w:val="00B41939"/>
    <w:rsid w:val="00B41EE5"/>
    <w:rsid w:val="00B42688"/>
    <w:rsid w:val="00B42F21"/>
    <w:rsid w:val="00B431BF"/>
    <w:rsid w:val="00B43278"/>
    <w:rsid w:val="00B43687"/>
    <w:rsid w:val="00B45060"/>
    <w:rsid w:val="00B45136"/>
    <w:rsid w:val="00B45295"/>
    <w:rsid w:val="00B45B25"/>
    <w:rsid w:val="00B46A86"/>
    <w:rsid w:val="00B47289"/>
    <w:rsid w:val="00B50354"/>
    <w:rsid w:val="00B5087D"/>
    <w:rsid w:val="00B510D0"/>
    <w:rsid w:val="00B51690"/>
    <w:rsid w:val="00B52B02"/>
    <w:rsid w:val="00B536BC"/>
    <w:rsid w:val="00B537C1"/>
    <w:rsid w:val="00B538D0"/>
    <w:rsid w:val="00B53A2B"/>
    <w:rsid w:val="00B54278"/>
    <w:rsid w:val="00B5514A"/>
    <w:rsid w:val="00B556E6"/>
    <w:rsid w:val="00B5580B"/>
    <w:rsid w:val="00B55AAD"/>
    <w:rsid w:val="00B55B58"/>
    <w:rsid w:val="00B5629C"/>
    <w:rsid w:val="00B564C5"/>
    <w:rsid w:val="00B5666D"/>
    <w:rsid w:val="00B566E0"/>
    <w:rsid w:val="00B56C9F"/>
    <w:rsid w:val="00B56E2B"/>
    <w:rsid w:val="00B57104"/>
    <w:rsid w:val="00B57336"/>
    <w:rsid w:val="00B575F5"/>
    <w:rsid w:val="00B57C3E"/>
    <w:rsid w:val="00B60776"/>
    <w:rsid w:val="00B60A1D"/>
    <w:rsid w:val="00B60B39"/>
    <w:rsid w:val="00B61E49"/>
    <w:rsid w:val="00B622FC"/>
    <w:rsid w:val="00B62404"/>
    <w:rsid w:val="00B62A01"/>
    <w:rsid w:val="00B62D54"/>
    <w:rsid w:val="00B63F7D"/>
    <w:rsid w:val="00B658A7"/>
    <w:rsid w:val="00B65F6E"/>
    <w:rsid w:val="00B66480"/>
    <w:rsid w:val="00B66E16"/>
    <w:rsid w:val="00B6713E"/>
    <w:rsid w:val="00B674A0"/>
    <w:rsid w:val="00B67567"/>
    <w:rsid w:val="00B67B45"/>
    <w:rsid w:val="00B67E27"/>
    <w:rsid w:val="00B70A66"/>
    <w:rsid w:val="00B70F10"/>
    <w:rsid w:val="00B712B5"/>
    <w:rsid w:val="00B71AB4"/>
    <w:rsid w:val="00B72973"/>
    <w:rsid w:val="00B72CEC"/>
    <w:rsid w:val="00B72EDA"/>
    <w:rsid w:val="00B73234"/>
    <w:rsid w:val="00B73AB6"/>
    <w:rsid w:val="00B73C98"/>
    <w:rsid w:val="00B74B6E"/>
    <w:rsid w:val="00B74D27"/>
    <w:rsid w:val="00B75B06"/>
    <w:rsid w:val="00B75C11"/>
    <w:rsid w:val="00B761AB"/>
    <w:rsid w:val="00B76478"/>
    <w:rsid w:val="00B76547"/>
    <w:rsid w:val="00B76BF8"/>
    <w:rsid w:val="00B774FF"/>
    <w:rsid w:val="00B77E52"/>
    <w:rsid w:val="00B80A0C"/>
    <w:rsid w:val="00B80F15"/>
    <w:rsid w:val="00B813C1"/>
    <w:rsid w:val="00B814BD"/>
    <w:rsid w:val="00B81616"/>
    <w:rsid w:val="00B81D13"/>
    <w:rsid w:val="00B823F8"/>
    <w:rsid w:val="00B82BFD"/>
    <w:rsid w:val="00B82D22"/>
    <w:rsid w:val="00B82EC7"/>
    <w:rsid w:val="00B83221"/>
    <w:rsid w:val="00B8344E"/>
    <w:rsid w:val="00B83C0F"/>
    <w:rsid w:val="00B83CF7"/>
    <w:rsid w:val="00B83D20"/>
    <w:rsid w:val="00B84876"/>
    <w:rsid w:val="00B84E90"/>
    <w:rsid w:val="00B8510F"/>
    <w:rsid w:val="00B85744"/>
    <w:rsid w:val="00B859EA"/>
    <w:rsid w:val="00B86126"/>
    <w:rsid w:val="00B863A6"/>
    <w:rsid w:val="00B86952"/>
    <w:rsid w:val="00B87682"/>
    <w:rsid w:val="00B87A61"/>
    <w:rsid w:val="00B87E5E"/>
    <w:rsid w:val="00B9052B"/>
    <w:rsid w:val="00B908F3"/>
    <w:rsid w:val="00B90C0A"/>
    <w:rsid w:val="00B90D27"/>
    <w:rsid w:val="00B9153A"/>
    <w:rsid w:val="00B9173F"/>
    <w:rsid w:val="00B91913"/>
    <w:rsid w:val="00B91D37"/>
    <w:rsid w:val="00B91E17"/>
    <w:rsid w:val="00B91F45"/>
    <w:rsid w:val="00B92052"/>
    <w:rsid w:val="00B920DE"/>
    <w:rsid w:val="00B9253A"/>
    <w:rsid w:val="00B92668"/>
    <w:rsid w:val="00B9289A"/>
    <w:rsid w:val="00B92C8F"/>
    <w:rsid w:val="00B92DEC"/>
    <w:rsid w:val="00B93B90"/>
    <w:rsid w:val="00B93C10"/>
    <w:rsid w:val="00B93D3C"/>
    <w:rsid w:val="00B94985"/>
    <w:rsid w:val="00B94B36"/>
    <w:rsid w:val="00B94EEC"/>
    <w:rsid w:val="00B950B8"/>
    <w:rsid w:val="00B955FE"/>
    <w:rsid w:val="00B9607F"/>
    <w:rsid w:val="00BA0AF5"/>
    <w:rsid w:val="00BA121F"/>
    <w:rsid w:val="00BA1527"/>
    <w:rsid w:val="00BA20E5"/>
    <w:rsid w:val="00BA2416"/>
    <w:rsid w:val="00BA40DA"/>
    <w:rsid w:val="00BA444C"/>
    <w:rsid w:val="00BA5671"/>
    <w:rsid w:val="00BA5A13"/>
    <w:rsid w:val="00BA61C1"/>
    <w:rsid w:val="00BA6590"/>
    <w:rsid w:val="00BA6CA2"/>
    <w:rsid w:val="00BA6DB6"/>
    <w:rsid w:val="00BA6FDB"/>
    <w:rsid w:val="00BA7488"/>
    <w:rsid w:val="00BA77BA"/>
    <w:rsid w:val="00BA7BE0"/>
    <w:rsid w:val="00BB0696"/>
    <w:rsid w:val="00BB083B"/>
    <w:rsid w:val="00BB0C6D"/>
    <w:rsid w:val="00BB0CF1"/>
    <w:rsid w:val="00BB0D42"/>
    <w:rsid w:val="00BB208E"/>
    <w:rsid w:val="00BB27C5"/>
    <w:rsid w:val="00BB2EE2"/>
    <w:rsid w:val="00BB3492"/>
    <w:rsid w:val="00BB3983"/>
    <w:rsid w:val="00BB3FA6"/>
    <w:rsid w:val="00BB49D3"/>
    <w:rsid w:val="00BB5303"/>
    <w:rsid w:val="00BB5D53"/>
    <w:rsid w:val="00BB6740"/>
    <w:rsid w:val="00BB6D8A"/>
    <w:rsid w:val="00BB7599"/>
    <w:rsid w:val="00BB7789"/>
    <w:rsid w:val="00BC1092"/>
    <w:rsid w:val="00BC16ED"/>
    <w:rsid w:val="00BC1E22"/>
    <w:rsid w:val="00BC2624"/>
    <w:rsid w:val="00BC2944"/>
    <w:rsid w:val="00BC3509"/>
    <w:rsid w:val="00BC372E"/>
    <w:rsid w:val="00BC3C32"/>
    <w:rsid w:val="00BC3D56"/>
    <w:rsid w:val="00BC44C2"/>
    <w:rsid w:val="00BC4D64"/>
    <w:rsid w:val="00BC52FC"/>
    <w:rsid w:val="00BC592E"/>
    <w:rsid w:val="00BC5D2E"/>
    <w:rsid w:val="00BC6713"/>
    <w:rsid w:val="00BC741A"/>
    <w:rsid w:val="00BD051E"/>
    <w:rsid w:val="00BD0A66"/>
    <w:rsid w:val="00BD0D79"/>
    <w:rsid w:val="00BD1539"/>
    <w:rsid w:val="00BD2A44"/>
    <w:rsid w:val="00BD3270"/>
    <w:rsid w:val="00BD37C1"/>
    <w:rsid w:val="00BD41A8"/>
    <w:rsid w:val="00BD5F07"/>
    <w:rsid w:val="00BD6B95"/>
    <w:rsid w:val="00BD7DC6"/>
    <w:rsid w:val="00BE08BE"/>
    <w:rsid w:val="00BE0B99"/>
    <w:rsid w:val="00BE1221"/>
    <w:rsid w:val="00BE13C2"/>
    <w:rsid w:val="00BE1D96"/>
    <w:rsid w:val="00BE1E89"/>
    <w:rsid w:val="00BE23D1"/>
    <w:rsid w:val="00BE264C"/>
    <w:rsid w:val="00BE29A2"/>
    <w:rsid w:val="00BE2A75"/>
    <w:rsid w:val="00BE3125"/>
    <w:rsid w:val="00BE4886"/>
    <w:rsid w:val="00BE5032"/>
    <w:rsid w:val="00BE5CD7"/>
    <w:rsid w:val="00BE60AA"/>
    <w:rsid w:val="00BE63DE"/>
    <w:rsid w:val="00BE71BC"/>
    <w:rsid w:val="00BE763E"/>
    <w:rsid w:val="00BE7906"/>
    <w:rsid w:val="00BF033D"/>
    <w:rsid w:val="00BF06FE"/>
    <w:rsid w:val="00BF0969"/>
    <w:rsid w:val="00BF0985"/>
    <w:rsid w:val="00BF11DF"/>
    <w:rsid w:val="00BF248A"/>
    <w:rsid w:val="00BF3117"/>
    <w:rsid w:val="00BF318E"/>
    <w:rsid w:val="00BF3494"/>
    <w:rsid w:val="00BF3A09"/>
    <w:rsid w:val="00BF3DDC"/>
    <w:rsid w:val="00BF3E18"/>
    <w:rsid w:val="00BF45D5"/>
    <w:rsid w:val="00BF4EE0"/>
    <w:rsid w:val="00BF55F8"/>
    <w:rsid w:val="00BF58B7"/>
    <w:rsid w:val="00BF65FF"/>
    <w:rsid w:val="00BF6E6C"/>
    <w:rsid w:val="00BF7BC6"/>
    <w:rsid w:val="00BF7DDE"/>
    <w:rsid w:val="00C000A5"/>
    <w:rsid w:val="00C00F40"/>
    <w:rsid w:val="00C013DD"/>
    <w:rsid w:val="00C01D0E"/>
    <w:rsid w:val="00C0256D"/>
    <w:rsid w:val="00C02B82"/>
    <w:rsid w:val="00C02B91"/>
    <w:rsid w:val="00C02D36"/>
    <w:rsid w:val="00C03F8F"/>
    <w:rsid w:val="00C043DD"/>
    <w:rsid w:val="00C0460D"/>
    <w:rsid w:val="00C05179"/>
    <w:rsid w:val="00C051EA"/>
    <w:rsid w:val="00C0582B"/>
    <w:rsid w:val="00C058BD"/>
    <w:rsid w:val="00C05BC4"/>
    <w:rsid w:val="00C05FC5"/>
    <w:rsid w:val="00C06673"/>
    <w:rsid w:val="00C06A5B"/>
    <w:rsid w:val="00C06FCF"/>
    <w:rsid w:val="00C07492"/>
    <w:rsid w:val="00C07702"/>
    <w:rsid w:val="00C10041"/>
    <w:rsid w:val="00C10194"/>
    <w:rsid w:val="00C1041B"/>
    <w:rsid w:val="00C1134E"/>
    <w:rsid w:val="00C113E3"/>
    <w:rsid w:val="00C11974"/>
    <w:rsid w:val="00C11C4A"/>
    <w:rsid w:val="00C13F7B"/>
    <w:rsid w:val="00C142EB"/>
    <w:rsid w:val="00C14456"/>
    <w:rsid w:val="00C14F77"/>
    <w:rsid w:val="00C1515C"/>
    <w:rsid w:val="00C152FD"/>
    <w:rsid w:val="00C1775D"/>
    <w:rsid w:val="00C17CBE"/>
    <w:rsid w:val="00C17D3C"/>
    <w:rsid w:val="00C17E70"/>
    <w:rsid w:val="00C200A7"/>
    <w:rsid w:val="00C20639"/>
    <w:rsid w:val="00C20BB0"/>
    <w:rsid w:val="00C213D2"/>
    <w:rsid w:val="00C2155C"/>
    <w:rsid w:val="00C21D03"/>
    <w:rsid w:val="00C23303"/>
    <w:rsid w:val="00C235EC"/>
    <w:rsid w:val="00C2369A"/>
    <w:rsid w:val="00C237A4"/>
    <w:rsid w:val="00C23D27"/>
    <w:rsid w:val="00C24D4C"/>
    <w:rsid w:val="00C2523D"/>
    <w:rsid w:val="00C258BC"/>
    <w:rsid w:val="00C26347"/>
    <w:rsid w:val="00C3038B"/>
    <w:rsid w:val="00C305D0"/>
    <w:rsid w:val="00C30712"/>
    <w:rsid w:val="00C30E1F"/>
    <w:rsid w:val="00C314B0"/>
    <w:rsid w:val="00C3165F"/>
    <w:rsid w:val="00C31669"/>
    <w:rsid w:val="00C316C5"/>
    <w:rsid w:val="00C321C4"/>
    <w:rsid w:val="00C32567"/>
    <w:rsid w:val="00C32772"/>
    <w:rsid w:val="00C32DF5"/>
    <w:rsid w:val="00C332BF"/>
    <w:rsid w:val="00C3358E"/>
    <w:rsid w:val="00C34454"/>
    <w:rsid w:val="00C34F99"/>
    <w:rsid w:val="00C355F2"/>
    <w:rsid w:val="00C36360"/>
    <w:rsid w:val="00C36A5B"/>
    <w:rsid w:val="00C36C69"/>
    <w:rsid w:val="00C377A8"/>
    <w:rsid w:val="00C4059C"/>
    <w:rsid w:val="00C40955"/>
    <w:rsid w:val="00C409A8"/>
    <w:rsid w:val="00C40E5E"/>
    <w:rsid w:val="00C416F7"/>
    <w:rsid w:val="00C41980"/>
    <w:rsid w:val="00C41F39"/>
    <w:rsid w:val="00C42431"/>
    <w:rsid w:val="00C424C4"/>
    <w:rsid w:val="00C42C37"/>
    <w:rsid w:val="00C42E76"/>
    <w:rsid w:val="00C43778"/>
    <w:rsid w:val="00C4389F"/>
    <w:rsid w:val="00C439C9"/>
    <w:rsid w:val="00C4439E"/>
    <w:rsid w:val="00C44F33"/>
    <w:rsid w:val="00C45FED"/>
    <w:rsid w:val="00C46F0A"/>
    <w:rsid w:val="00C46FFB"/>
    <w:rsid w:val="00C47881"/>
    <w:rsid w:val="00C47BD2"/>
    <w:rsid w:val="00C50447"/>
    <w:rsid w:val="00C504A0"/>
    <w:rsid w:val="00C505FB"/>
    <w:rsid w:val="00C513D1"/>
    <w:rsid w:val="00C51889"/>
    <w:rsid w:val="00C51B6F"/>
    <w:rsid w:val="00C52002"/>
    <w:rsid w:val="00C52183"/>
    <w:rsid w:val="00C526EC"/>
    <w:rsid w:val="00C53108"/>
    <w:rsid w:val="00C5419D"/>
    <w:rsid w:val="00C54622"/>
    <w:rsid w:val="00C54F14"/>
    <w:rsid w:val="00C558A7"/>
    <w:rsid w:val="00C55E28"/>
    <w:rsid w:val="00C566D8"/>
    <w:rsid w:val="00C56721"/>
    <w:rsid w:val="00C57C35"/>
    <w:rsid w:val="00C60121"/>
    <w:rsid w:val="00C601C2"/>
    <w:rsid w:val="00C606D0"/>
    <w:rsid w:val="00C62009"/>
    <w:rsid w:val="00C621B6"/>
    <w:rsid w:val="00C62930"/>
    <w:rsid w:val="00C62A56"/>
    <w:rsid w:val="00C62D37"/>
    <w:rsid w:val="00C63375"/>
    <w:rsid w:val="00C63397"/>
    <w:rsid w:val="00C63714"/>
    <w:rsid w:val="00C63DD6"/>
    <w:rsid w:val="00C63F38"/>
    <w:rsid w:val="00C6470D"/>
    <w:rsid w:val="00C64AFF"/>
    <w:rsid w:val="00C64F01"/>
    <w:rsid w:val="00C64F35"/>
    <w:rsid w:val="00C6512A"/>
    <w:rsid w:val="00C65782"/>
    <w:rsid w:val="00C65BDB"/>
    <w:rsid w:val="00C66E42"/>
    <w:rsid w:val="00C67016"/>
    <w:rsid w:val="00C670FD"/>
    <w:rsid w:val="00C6727B"/>
    <w:rsid w:val="00C67651"/>
    <w:rsid w:val="00C70E18"/>
    <w:rsid w:val="00C71A12"/>
    <w:rsid w:val="00C71E89"/>
    <w:rsid w:val="00C71EF2"/>
    <w:rsid w:val="00C72404"/>
    <w:rsid w:val="00C72817"/>
    <w:rsid w:val="00C72EEC"/>
    <w:rsid w:val="00C7339D"/>
    <w:rsid w:val="00C735DC"/>
    <w:rsid w:val="00C736C7"/>
    <w:rsid w:val="00C738C8"/>
    <w:rsid w:val="00C73A20"/>
    <w:rsid w:val="00C73BBD"/>
    <w:rsid w:val="00C73CB9"/>
    <w:rsid w:val="00C7409F"/>
    <w:rsid w:val="00C742AA"/>
    <w:rsid w:val="00C75216"/>
    <w:rsid w:val="00C76A59"/>
    <w:rsid w:val="00C77187"/>
    <w:rsid w:val="00C77C1E"/>
    <w:rsid w:val="00C8137B"/>
    <w:rsid w:val="00C81BFA"/>
    <w:rsid w:val="00C836A8"/>
    <w:rsid w:val="00C83E71"/>
    <w:rsid w:val="00C84CF9"/>
    <w:rsid w:val="00C850CB"/>
    <w:rsid w:val="00C85159"/>
    <w:rsid w:val="00C85362"/>
    <w:rsid w:val="00C86DEF"/>
    <w:rsid w:val="00C87A1C"/>
    <w:rsid w:val="00C90898"/>
    <w:rsid w:val="00C90950"/>
    <w:rsid w:val="00C90E0C"/>
    <w:rsid w:val="00C94345"/>
    <w:rsid w:val="00C94D5E"/>
    <w:rsid w:val="00C94D9A"/>
    <w:rsid w:val="00C959AE"/>
    <w:rsid w:val="00C9683D"/>
    <w:rsid w:val="00C96EB9"/>
    <w:rsid w:val="00C97383"/>
    <w:rsid w:val="00C973AB"/>
    <w:rsid w:val="00C97F4E"/>
    <w:rsid w:val="00CA00C8"/>
    <w:rsid w:val="00CA0236"/>
    <w:rsid w:val="00CA0723"/>
    <w:rsid w:val="00CA08ED"/>
    <w:rsid w:val="00CA1793"/>
    <w:rsid w:val="00CA19C6"/>
    <w:rsid w:val="00CA1DE8"/>
    <w:rsid w:val="00CA1EB2"/>
    <w:rsid w:val="00CA2131"/>
    <w:rsid w:val="00CA2C9C"/>
    <w:rsid w:val="00CA412C"/>
    <w:rsid w:val="00CA413E"/>
    <w:rsid w:val="00CA4167"/>
    <w:rsid w:val="00CA58C0"/>
    <w:rsid w:val="00CA59C5"/>
    <w:rsid w:val="00CA5B82"/>
    <w:rsid w:val="00CA5B9E"/>
    <w:rsid w:val="00CA5CFC"/>
    <w:rsid w:val="00CA5E71"/>
    <w:rsid w:val="00CA6B68"/>
    <w:rsid w:val="00CA7AAE"/>
    <w:rsid w:val="00CB05F8"/>
    <w:rsid w:val="00CB1CAB"/>
    <w:rsid w:val="00CB1FF8"/>
    <w:rsid w:val="00CB2130"/>
    <w:rsid w:val="00CB2B76"/>
    <w:rsid w:val="00CB2B8B"/>
    <w:rsid w:val="00CB35A2"/>
    <w:rsid w:val="00CB38ED"/>
    <w:rsid w:val="00CB3EE6"/>
    <w:rsid w:val="00CB3F63"/>
    <w:rsid w:val="00CB4590"/>
    <w:rsid w:val="00CB4FB0"/>
    <w:rsid w:val="00CB55C0"/>
    <w:rsid w:val="00CB6D3F"/>
    <w:rsid w:val="00CB7263"/>
    <w:rsid w:val="00CB7768"/>
    <w:rsid w:val="00CB7959"/>
    <w:rsid w:val="00CB7A8E"/>
    <w:rsid w:val="00CB7E84"/>
    <w:rsid w:val="00CB7E9C"/>
    <w:rsid w:val="00CC039B"/>
    <w:rsid w:val="00CC09A8"/>
    <w:rsid w:val="00CC179B"/>
    <w:rsid w:val="00CC1EA0"/>
    <w:rsid w:val="00CC1EAA"/>
    <w:rsid w:val="00CC34DE"/>
    <w:rsid w:val="00CC3F4C"/>
    <w:rsid w:val="00CC4440"/>
    <w:rsid w:val="00CC4A35"/>
    <w:rsid w:val="00CC4D26"/>
    <w:rsid w:val="00CC54CD"/>
    <w:rsid w:val="00CC6304"/>
    <w:rsid w:val="00CC6AC0"/>
    <w:rsid w:val="00CC72F7"/>
    <w:rsid w:val="00CC7B92"/>
    <w:rsid w:val="00CD0B1F"/>
    <w:rsid w:val="00CD0C10"/>
    <w:rsid w:val="00CD0F4C"/>
    <w:rsid w:val="00CD18AD"/>
    <w:rsid w:val="00CD1B65"/>
    <w:rsid w:val="00CD270D"/>
    <w:rsid w:val="00CD27AF"/>
    <w:rsid w:val="00CD2C93"/>
    <w:rsid w:val="00CD4263"/>
    <w:rsid w:val="00CD4DC7"/>
    <w:rsid w:val="00CD515B"/>
    <w:rsid w:val="00CD59E3"/>
    <w:rsid w:val="00CD5EBE"/>
    <w:rsid w:val="00CD5F98"/>
    <w:rsid w:val="00CD659F"/>
    <w:rsid w:val="00CD7988"/>
    <w:rsid w:val="00CE00BA"/>
    <w:rsid w:val="00CE0110"/>
    <w:rsid w:val="00CE1504"/>
    <w:rsid w:val="00CE1628"/>
    <w:rsid w:val="00CE1C4A"/>
    <w:rsid w:val="00CE249C"/>
    <w:rsid w:val="00CE2EC4"/>
    <w:rsid w:val="00CE4A36"/>
    <w:rsid w:val="00CE4C50"/>
    <w:rsid w:val="00CE4EC0"/>
    <w:rsid w:val="00CE5E12"/>
    <w:rsid w:val="00CE5F1C"/>
    <w:rsid w:val="00CE66DC"/>
    <w:rsid w:val="00CE69CD"/>
    <w:rsid w:val="00CE7B45"/>
    <w:rsid w:val="00CF08F2"/>
    <w:rsid w:val="00CF0D1D"/>
    <w:rsid w:val="00CF1657"/>
    <w:rsid w:val="00CF1EE9"/>
    <w:rsid w:val="00CF2170"/>
    <w:rsid w:val="00CF274C"/>
    <w:rsid w:val="00CF2C1F"/>
    <w:rsid w:val="00CF2FE8"/>
    <w:rsid w:val="00CF3774"/>
    <w:rsid w:val="00CF43BA"/>
    <w:rsid w:val="00CF5B5E"/>
    <w:rsid w:val="00CF5EEA"/>
    <w:rsid w:val="00CF6CBA"/>
    <w:rsid w:val="00CF7189"/>
    <w:rsid w:val="00CF7BE9"/>
    <w:rsid w:val="00D00854"/>
    <w:rsid w:val="00D00E8F"/>
    <w:rsid w:val="00D0159E"/>
    <w:rsid w:val="00D019F1"/>
    <w:rsid w:val="00D01D15"/>
    <w:rsid w:val="00D022AE"/>
    <w:rsid w:val="00D02618"/>
    <w:rsid w:val="00D031AA"/>
    <w:rsid w:val="00D03274"/>
    <w:rsid w:val="00D03278"/>
    <w:rsid w:val="00D042E9"/>
    <w:rsid w:val="00D04B6E"/>
    <w:rsid w:val="00D05FDE"/>
    <w:rsid w:val="00D06067"/>
    <w:rsid w:val="00D063CB"/>
    <w:rsid w:val="00D0670D"/>
    <w:rsid w:val="00D0674F"/>
    <w:rsid w:val="00D06CAC"/>
    <w:rsid w:val="00D10CC5"/>
    <w:rsid w:val="00D11399"/>
    <w:rsid w:val="00D14080"/>
    <w:rsid w:val="00D14D31"/>
    <w:rsid w:val="00D1574C"/>
    <w:rsid w:val="00D16AE4"/>
    <w:rsid w:val="00D16CBE"/>
    <w:rsid w:val="00D16FE8"/>
    <w:rsid w:val="00D170AB"/>
    <w:rsid w:val="00D170C7"/>
    <w:rsid w:val="00D1753E"/>
    <w:rsid w:val="00D17AC8"/>
    <w:rsid w:val="00D215F9"/>
    <w:rsid w:val="00D2185B"/>
    <w:rsid w:val="00D22172"/>
    <w:rsid w:val="00D227AE"/>
    <w:rsid w:val="00D228C0"/>
    <w:rsid w:val="00D228D1"/>
    <w:rsid w:val="00D23B36"/>
    <w:rsid w:val="00D24062"/>
    <w:rsid w:val="00D24EC3"/>
    <w:rsid w:val="00D25024"/>
    <w:rsid w:val="00D2576E"/>
    <w:rsid w:val="00D25860"/>
    <w:rsid w:val="00D2596A"/>
    <w:rsid w:val="00D26AC9"/>
    <w:rsid w:val="00D26D2C"/>
    <w:rsid w:val="00D26E9B"/>
    <w:rsid w:val="00D273E6"/>
    <w:rsid w:val="00D27A05"/>
    <w:rsid w:val="00D30535"/>
    <w:rsid w:val="00D3067A"/>
    <w:rsid w:val="00D31098"/>
    <w:rsid w:val="00D31558"/>
    <w:rsid w:val="00D31890"/>
    <w:rsid w:val="00D32DFE"/>
    <w:rsid w:val="00D34389"/>
    <w:rsid w:val="00D3493B"/>
    <w:rsid w:val="00D34E34"/>
    <w:rsid w:val="00D35CBB"/>
    <w:rsid w:val="00D367E3"/>
    <w:rsid w:val="00D376BB"/>
    <w:rsid w:val="00D37E37"/>
    <w:rsid w:val="00D40D27"/>
    <w:rsid w:val="00D4112E"/>
    <w:rsid w:val="00D411FF"/>
    <w:rsid w:val="00D41333"/>
    <w:rsid w:val="00D41409"/>
    <w:rsid w:val="00D41BD3"/>
    <w:rsid w:val="00D42555"/>
    <w:rsid w:val="00D42A91"/>
    <w:rsid w:val="00D43AD2"/>
    <w:rsid w:val="00D440FF"/>
    <w:rsid w:val="00D44814"/>
    <w:rsid w:val="00D45184"/>
    <w:rsid w:val="00D45FA7"/>
    <w:rsid w:val="00D47B28"/>
    <w:rsid w:val="00D47EA6"/>
    <w:rsid w:val="00D47EBC"/>
    <w:rsid w:val="00D50501"/>
    <w:rsid w:val="00D50D44"/>
    <w:rsid w:val="00D50E26"/>
    <w:rsid w:val="00D50E44"/>
    <w:rsid w:val="00D527AF"/>
    <w:rsid w:val="00D52BC7"/>
    <w:rsid w:val="00D53039"/>
    <w:rsid w:val="00D53AC2"/>
    <w:rsid w:val="00D541E2"/>
    <w:rsid w:val="00D55465"/>
    <w:rsid w:val="00D55EE4"/>
    <w:rsid w:val="00D55F44"/>
    <w:rsid w:val="00D56024"/>
    <w:rsid w:val="00D56812"/>
    <w:rsid w:val="00D56D59"/>
    <w:rsid w:val="00D602CA"/>
    <w:rsid w:val="00D628AE"/>
    <w:rsid w:val="00D62986"/>
    <w:rsid w:val="00D62A51"/>
    <w:rsid w:val="00D6314A"/>
    <w:rsid w:val="00D63914"/>
    <w:rsid w:val="00D64D1B"/>
    <w:rsid w:val="00D64EF3"/>
    <w:rsid w:val="00D658D0"/>
    <w:rsid w:val="00D67692"/>
    <w:rsid w:val="00D70365"/>
    <w:rsid w:val="00D70DF4"/>
    <w:rsid w:val="00D710AD"/>
    <w:rsid w:val="00D71291"/>
    <w:rsid w:val="00D715A7"/>
    <w:rsid w:val="00D716E4"/>
    <w:rsid w:val="00D72B40"/>
    <w:rsid w:val="00D73510"/>
    <w:rsid w:val="00D73A32"/>
    <w:rsid w:val="00D7409B"/>
    <w:rsid w:val="00D740E6"/>
    <w:rsid w:val="00D74A74"/>
    <w:rsid w:val="00D74E2B"/>
    <w:rsid w:val="00D750A6"/>
    <w:rsid w:val="00D75159"/>
    <w:rsid w:val="00D757F9"/>
    <w:rsid w:val="00D759C6"/>
    <w:rsid w:val="00D75BCD"/>
    <w:rsid w:val="00D76361"/>
    <w:rsid w:val="00D77B76"/>
    <w:rsid w:val="00D805E7"/>
    <w:rsid w:val="00D80910"/>
    <w:rsid w:val="00D80A12"/>
    <w:rsid w:val="00D80C9E"/>
    <w:rsid w:val="00D81B8C"/>
    <w:rsid w:val="00D81D9A"/>
    <w:rsid w:val="00D81F0B"/>
    <w:rsid w:val="00D830B0"/>
    <w:rsid w:val="00D83127"/>
    <w:rsid w:val="00D83561"/>
    <w:rsid w:val="00D83D80"/>
    <w:rsid w:val="00D847E0"/>
    <w:rsid w:val="00D84C43"/>
    <w:rsid w:val="00D84D79"/>
    <w:rsid w:val="00D84E74"/>
    <w:rsid w:val="00D851C3"/>
    <w:rsid w:val="00D85704"/>
    <w:rsid w:val="00D858B0"/>
    <w:rsid w:val="00D85930"/>
    <w:rsid w:val="00D85A80"/>
    <w:rsid w:val="00D86673"/>
    <w:rsid w:val="00D86C67"/>
    <w:rsid w:val="00D86CBB"/>
    <w:rsid w:val="00D86E33"/>
    <w:rsid w:val="00D877E3"/>
    <w:rsid w:val="00D87884"/>
    <w:rsid w:val="00D87E98"/>
    <w:rsid w:val="00D904E1"/>
    <w:rsid w:val="00D9118E"/>
    <w:rsid w:val="00D916D9"/>
    <w:rsid w:val="00D91C13"/>
    <w:rsid w:val="00D923EF"/>
    <w:rsid w:val="00D92401"/>
    <w:rsid w:val="00D93041"/>
    <w:rsid w:val="00D93BE5"/>
    <w:rsid w:val="00D9405C"/>
    <w:rsid w:val="00D94C4D"/>
    <w:rsid w:val="00D95377"/>
    <w:rsid w:val="00D9537B"/>
    <w:rsid w:val="00D95C55"/>
    <w:rsid w:val="00D965C4"/>
    <w:rsid w:val="00D96850"/>
    <w:rsid w:val="00D96B47"/>
    <w:rsid w:val="00D96C8D"/>
    <w:rsid w:val="00D9766B"/>
    <w:rsid w:val="00DA0C26"/>
    <w:rsid w:val="00DA11A4"/>
    <w:rsid w:val="00DA12A8"/>
    <w:rsid w:val="00DA2D75"/>
    <w:rsid w:val="00DA2F80"/>
    <w:rsid w:val="00DA43FD"/>
    <w:rsid w:val="00DA4444"/>
    <w:rsid w:val="00DA4708"/>
    <w:rsid w:val="00DA484B"/>
    <w:rsid w:val="00DA4AEF"/>
    <w:rsid w:val="00DA4F38"/>
    <w:rsid w:val="00DA5CB1"/>
    <w:rsid w:val="00DA6272"/>
    <w:rsid w:val="00DA63D9"/>
    <w:rsid w:val="00DA7359"/>
    <w:rsid w:val="00DA7742"/>
    <w:rsid w:val="00DA778B"/>
    <w:rsid w:val="00DA7BF8"/>
    <w:rsid w:val="00DB0923"/>
    <w:rsid w:val="00DB0E45"/>
    <w:rsid w:val="00DB1542"/>
    <w:rsid w:val="00DB19ED"/>
    <w:rsid w:val="00DB1F5C"/>
    <w:rsid w:val="00DB2748"/>
    <w:rsid w:val="00DB314B"/>
    <w:rsid w:val="00DB43DB"/>
    <w:rsid w:val="00DB4EE7"/>
    <w:rsid w:val="00DB532D"/>
    <w:rsid w:val="00DB5A9F"/>
    <w:rsid w:val="00DB5CF1"/>
    <w:rsid w:val="00DB5F01"/>
    <w:rsid w:val="00DB6314"/>
    <w:rsid w:val="00DB6C78"/>
    <w:rsid w:val="00DB6F1E"/>
    <w:rsid w:val="00DC0178"/>
    <w:rsid w:val="00DC13D1"/>
    <w:rsid w:val="00DC1D5E"/>
    <w:rsid w:val="00DC426E"/>
    <w:rsid w:val="00DC4281"/>
    <w:rsid w:val="00DC486C"/>
    <w:rsid w:val="00DC4A8D"/>
    <w:rsid w:val="00DC58DB"/>
    <w:rsid w:val="00DC5B51"/>
    <w:rsid w:val="00DC5D75"/>
    <w:rsid w:val="00DC6414"/>
    <w:rsid w:val="00DC6D35"/>
    <w:rsid w:val="00DC7F1B"/>
    <w:rsid w:val="00DD0552"/>
    <w:rsid w:val="00DD0F94"/>
    <w:rsid w:val="00DD1011"/>
    <w:rsid w:val="00DD1465"/>
    <w:rsid w:val="00DD1967"/>
    <w:rsid w:val="00DD1A7A"/>
    <w:rsid w:val="00DD1B30"/>
    <w:rsid w:val="00DD2545"/>
    <w:rsid w:val="00DD264C"/>
    <w:rsid w:val="00DD2C80"/>
    <w:rsid w:val="00DD2E33"/>
    <w:rsid w:val="00DD34E0"/>
    <w:rsid w:val="00DD39E8"/>
    <w:rsid w:val="00DD46B6"/>
    <w:rsid w:val="00DD4A46"/>
    <w:rsid w:val="00DD4F17"/>
    <w:rsid w:val="00DD5A10"/>
    <w:rsid w:val="00DD5D4E"/>
    <w:rsid w:val="00DD65C9"/>
    <w:rsid w:val="00DD6BB4"/>
    <w:rsid w:val="00DD6E6E"/>
    <w:rsid w:val="00DD7745"/>
    <w:rsid w:val="00DD7B91"/>
    <w:rsid w:val="00DD7F8D"/>
    <w:rsid w:val="00DE1A58"/>
    <w:rsid w:val="00DE1FD7"/>
    <w:rsid w:val="00DE3081"/>
    <w:rsid w:val="00DE31EF"/>
    <w:rsid w:val="00DE381E"/>
    <w:rsid w:val="00DE4151"/>
    <w:rsid w:val="00DE4E3F"/>
    <w:rsid w:val="00DE4ECB"/>
    <w:rsid w:val="00DE674E"/>
    <w:rsid w:val="00DE6DB7"/>
    <w:rsid w:val="00DE7C85"/>
    <w:rsid w:val="00DE7CA3"/>
    <w:rsid w:val="00DF07E0"/>
    <w:rsid w:val="00DF092E"/>
    <w:rsid w:val="00DF1645"/>
    <w:rsid w:val="00DF2415"/>
    <w:rsid w:val="00DF25E9"/>
    <w:rsid w:val="00DF2AEC"/>
    <w:rsid w:val="00DF300F"/>
    <w:rsid w:val="00DF39DB"/>
    <w:rsid w:val="00DF47E3"/>
    <w:rsid w:val="00DF57F3"/>
    <w:rsid w:val="00DF5919"/>
    <w:rsid w:val="00DF5A57"/>
    <w:rsid w:val="00DF5D72"/>
    <w:rsid w:val="00E00A0F"/>
    <w:rsid w:val="00E01065"/>
    <w:rsid w:val="00E01CA8"/>
    <w:rsid w:val="00E02033"/>
    <w:rsid w:val="00E023CE"/>
    <w:rsid w:val="00E033E2"/>
    <w:rsid w:val="00E03CF6"/>
    <w:rsid w:val="00E03DCE"/>
    <w:rsid w:val="00E05B59"/>
    <w:rsid w:val="00E0606D"/>
    <w:rsid w:val="00E064D6"/>
    <w:rsid w:val="00E065F8"/>
    <w:rsid w:val="00E10050"/>
    <w:rsid w:val="00E10B3A"/>
    <w:rsid w:val="00E10EE1"/>
    <w:rsid w:val="00E11643"/>
    <w:rsid w:val="00E11B4F"/>
    <w:rsid w:val="00E1264A"/>
    <w:rsid w:val="00E13271"/>
    <w:rsid w:val="00E13702"/>
    <w:rsid w:val="00E1379A"/>
    <w:rsid w:val="00E13E72"/>
    <w:rsid w:val="00E16745"/>
    <w:rsid w:val="00E16A12"/>
    <w:rsid w:val="00E16AC1"/>
    <w:rsid w:val="00E20100"/>
    <w:rsid w:val="00E20272"/>
    <w:rsid w:val="00E204A7"/>
    <w:rsid w:val="00E20988"/>
    <w:rsid w:val="00E209FB"/>
    <w:rsid w:val="00E21472"/>
    <w:rsid w:val="00E214A2"/>
    <w:rsid w:val="00E217A5"/>
    <w:rsid w:val="00E21AF4"/>
    <w:rsid w:val="00E21DAA"/>
    <w:rsid w:val="00E22003"/>
    <w:rsid w:val="00E2240D"/>
    <w:rsid w:val="00E2324F"/>
    <w:rsid w:val="00E241D0"/>
    <w:rsid w:val="00E2463C"/>
    <w:rsid w:val="00E246AE"/>
    <w:rsid w:val="00E247B6"/>
    <w:rsid w:val="00E25348"/>
    <w:rsid w:val="00E259E2"/>
    <w:rsid w:val="00E27A01"/>
    <w:rsid w:val="00E27B11"/>
    <w:rsid w:val="00E27D55"/>
    <w:rsid w:val="00E27E36"/>
    <w:rsid w:val="00E301C9"/>
    <w:rsid w:val="00E30435"/>
    <w:rsid w:val="00E3097F"/>
    <w:rsid w:val="00E309F6"/>
    <w:rsid w:val="00E31C2D"/>
    <w:rsid w:val="00E31F70"/>
    <w:rsid w:val="00E32992"/>
    <w:rsid w:val="00E32B80"/>
    <w:rsid w:val="00E32D31"/>
    <w:rsid w:val="00E33039"/>
    <w:rsid w:val="00E33937"/>
    <w:rsid w:val="00E33BE4"/>
    <w:rsid w:val="00E3413B"/>
    <w:rsid w:val="00E34902"/>
    <w:rsid w:val="00E35069"/>
    <w:rsid w:val="00E35213"/>
    <w:rsid w:val="00E35426"/>
    <w:rsid w:val="00E356A5"/>
    <w:rsid w:val="00E35B56"/>
    <w:rsid w:val="00E364E1"/>
    <w:rsid w:val="00E36824"/>
    <w:rsid w:val="00E40BE4"/>
    <w:rsid w:val="00E4176D"/>
    <w:rsid w:val="00E42BE9"/>
    <w:rsid w:val="00E42D13"/>
    <w:rsid w:val="00E44382"/>
    <w:rsid w:val="00E443E8"/>
    <w:rsid w:val="00E44443"/>
    <w:rsid w:val="00E445FA"/>
    <w:rsid w:val="00E44697"/>
    <w:rsid w:val="00E449A3"/>
    <w:rsid w:val="00E44BA0"/>
    <w:rsid w:val="00E4510B"/>
    <w:rsid w:val="00E451DE"/>
    <w:rsid w:val="00E45806"/>
    <w:rsid w:val="00E45A70"/>
    <w:rsid w:val="00E45BE5"/>
    <w:rsid w:val="00E47AAF"/>
    <w:rsid w:val="00E47D56"/>
    <w:rsid w:val="00E506A6"/>
    <w:rsid w:val="00E50E2F"/>
    <w:rsid w:val="00E51492"/>
    <w:rsid w:val="00E516F5"/>
    <w:rsid w:val="00E523EE"/>
    <w:rsid w:val="00E5250C"/>
    <w:rsid w:val="00E529BC"/>
    <w:rsid w:val="00E5355A"/>
    <w:rsid w:val="00E537C0"/>
    <w:rsid w:val="00E53B9B"/>
    <w:rsid w:val="00E546D7"/>
    <w:rsid w:val="00E54B75"/>
    <w:rsid w:val="00E54F63"/>
    <w:rsid w:val="00E5515A"/>
    <w:rsid w:val="00E55CA8"/>
    <w:rsid w:val="00E570A5"/>
    <w:rsid w:val="00E60292"/>
    <w:rsid w:val="00E60B5D"/>
    <w:rsid w:val="00E6104A"/>
    <w:rsid w:val="00E61A0D"/>
    <w:rsid w:val="00E61B49"/>
    <w:rsid w:val="00E631F7"/>
    <w:rsid w:val="00E647B7"/>
    <w:rsid w:val="00E64E1D"/>
    <w:rsid w:val="00E65022"/>
    <w:rsid w:val="00E654CD"/>
    <w:rsid w:val="00E65BA9"/>
    <w:rsid w:val="00E666CD"/>
    <w:rsid w:val="00E7018F"/>
    <w:rsid w:val="00E70A06"/>
    <w:rsid w:val="00E70F4E"/>
    <w:rsid w:val="00E71425"/>
    <w:rsid w:val="00E7216B"/>
    <w:rsid w:val="00E72D05"/>
    <w:rsid w:val="00E733F5"/>
    <w:rsid w:val="00E740A2"/>
    <w:rsid w:val="00E7519C"/>
    <w:rsid w:val="00E765CB"/>
    <w:rsid w:val="00E76869"/>
    <w:rsid w:val="00E77713"/>
    <w:rsid w:val="00E77D79"/>
    <w:rsid w:val="00E80BBD"/>
    <w:rsid w:val="00E80D89"/>
    <w:rsid w:val="00E80F88"/>
    <w:rsid w:val="00E81437"/>
    <w:rsid w:val="00E8149D"/>
    <w:rsid w:val="00E8161D"/>
    <w:rsid w:val="00E81664"/>
    <w:rsid w:val="00E81B1B"/>
    <w:rsid w:val="00E82162"/>
    <w:rsid w:val="00E82214"/>
    <w:rsid w:val="00E82AF1"/>
    <w:rsid w:val="00E83016"/>
    <w:rsid w:val="00E8302F"/>
    <w:rsid w:val="00E83077"/>
    <w:rsid w:val="00E83522"/>
    <w:rsid w:val="00E83B90"/>
    <w:rsid w:val="00E84B72"/>
    <w:rsid w:val="00E84BB5"/>
    <w:rsid w:val="00E84BCA"/>
    <w:rsid w:val="00E86047"/>
    <w:rsid w:val="00E869F1"/>
    <w:rsid w:val="00E86A01"/>
    <w:rsid w:val="00E878B0"/>
    <w:rsid w:val="00E87B51"/>
    <w:rsid w:val="00E87D5C"/>
    <w:rsid w:val="00E87E28"/>
    <w:rsid w:val="00E911A5"/>
    <w:rsid w:val="00E91F23"/>
    <w:rsid w:val="00E93862"/>
    <w:rsid w:val="00E93DFE"/>
    <w:rsid w:val="00E940EA"/>
    <w:rsid w:val="00E95E1E"/>
    <w:rsid w:val="00E96264"/>
    <w:rsid w:val="00E96BE2"/>
    <w:rsid w:val="00EA10A3"/>
    <w:rsid w:val="00EA170B"/>
    <w:rsid w:val="00EA1C3B"/>
    <w:rsid w:val="00EA1E06"/>
    <w:rsid w:val="00EA237B"/>
    <w:rsid w:val="00EA276B"/>
    <w:rsid w:val="00EA2966"/>
    <w:rsid w:val="00EA2D41"/>
    <w:rsid w:val="00EA2F16"/>
    <w:rsid w:val="00EA3537"/>
    <w:rsid w:val="00EA44CD"/>
    <w:rsid w:val="00EA47DF"/>
    <w:rsid w:val="00EA5A1C"/>
    <w:rsid w:val="00EB0C2A"/>
    <w:rsid w:val="00EB140F"/>
    <w:rsid w:val="00EB22AE"/>
    <w:rsid w:val="00EB2CCC"/>
    <w:rsid w:val="00EB3053"/>
    <w:rsid w:val="00EB3170"/>
    <w:rsid w:val="00EB43C1"/>
    <w:rsid w:val="00EB4FF4"/>
    <w:rsid w:val="00EB5103"/>
    <w:rsid w:val="00EB52B4"/>
    <w:rsid w:val="00EB571C"/>
    <w:rsid w:val="00EB6EBC"/>
    <w:rsid w:val="00EB708C"/>
    <w:rsid w:val="00EB72AB"/>
    <w:rsid w:val="00EB7660"/>
    <w:rsid w:val="00EC19F9"/>
    <w:rsid w:val="00EC1C0D"/>
    <w:rsid w:val="00EC1C8B"/>
    <w:rsid w:val="00EC205C"/>
    <w:rsid w:val="00EC2EB6"/>
    <w:rsid w:val="00EC30B9"/>
    <w:rsid w:val="00EC36CB"/>
    <w:rsid w:val="00EC3D34"/>
    <w:rsid w:val="00EC3D96"/>
    <w:rsid w:val="00EC42AE"/>
    <w:rsid w:val="00EC4C51"/>
    <w:rsid w:val="00EC4E5A"/>
    <w:rsid w:val="00EC537C"/>
    <w:rsid w:val="00EC56F3"/>
    <w:rsid w:val="00EC57D7"/>
    <w:rsid w:val="00EC607E"/>
    <w:rsid w:val="00EC61F4"/>
    <w:rsid w:val="00EC6DAD"/>
    <w:rsid w:val="00EC7867"/>
    <w:rsid w:val="00EC7D1D"/>
    <w:rsid w:val="00ED08F7"/>
    <w:rsid w:val="00ED09B6"/>
    <w:rsid w:val="00ED1E43"/>
    <w:rsid w:val="00ED3BC0"/>
    <w:rsid w:val="00ED3E68"/>
    <w:rsid w:val="00ED4338"/>
    <w:rsid w:val="00ED4959"/>
    <w:rsid w:val="00ED4AFB"/>
    <w:rsid w:val="00ED6C48"/>
    <w:rsid w:val="00ED7FA5"/>
    <w:rsid w:val="00EE0466"/>
    <w:rsid w:val="00EE0A5A"/>
    <w:rsid w:val="00EE1593"/>
    <w:rsid w:val="00EE1A2A"/>
    <w:rsid w:val="00EE2428"/>
    <w:rsid w:val="00EE38D5"/>
    <w:rsid w:val="00EE4E53"/>
    <w:rsid w:val="00EE5A50"/>
    <w:rsid w:val="00EE5F3C"/>
    <w:rsid w:val="00EE62BD"/>
    <w:rsid w:val="00EE6D2A"/>
    <w:rsid w:val="00EE72B6"/>
    <w:rsid w:val="00EF1E00"/>
    <w:rsid w:val="00EF1F47"/>
    <w:rsid w:val="00EF2039"/>
    <w:rsid w:val="00EF2129"/>
    <w:rsid w:val="00EF24EF"/>
    <w:rsid w:val="00EF2D1B"/>
    <w:rsid w:val="00EF36EF"/>
    <w:rsid w:val="00EF3F70"/>
    <w:rsid w:val="00EF401C"/>
    <w:rsid w:val="00EF4ABA"/>
    <w:rsid w:val="00EF4B8A"/>
    <w:rsid w:val="00EF50A2"/>
    <w:rsid w:val="00EF54B4"/>
    <w:rsid w:val="00EF5AE7"/>
    <w:rsid w:val="00EF6EFF"/>
    <w:rsid w:val="00EF727D"/>
    <w:rsid w:val="00F001F8"/>
    <w:rsid w:val="00F00559"/>
    <w:rsid w:val="00F00E99"/>
    <w:rsid w:val="00F0165A"/>
    <w:rsid w:val="00F01EA6"/>
    <w:rsid w:val="00F03640"/>
    <w:rsid w:val="00F03BF2"/>
    <w:rsid w:val="00F03E56"/>
    <w:rsid w:val="00F04075"/>
    <w:rsid w:val="00F04921"/>
    <w:rsid w:val="00F06A70"/>
    <w:rsid w:val="00F07271"/>
    <w:rsid w:val="00F07A95"/>
    <w:rsid w:val="00F10055"/>
    <w:rsid w:val="00F108A8"/>
    <w:rsid w:val="00F1154C"/>
    <w:rsid w:val="00F11DD3"/>
    <w:rsid w:val="00F1234D"/>
    <w:rsid w:val="00F12581"/>
    <w:rsid w:val="00F12B5D"/>
    <w:rsid w:val="00F12D5F"/>
    <w:rsid w:val="00F133CA"/>
    <w:rsid w:val="00F14439"/>
    <w:rsid w:val="00F14CBE"/>
    <w:rsid w:val="00F14CEB"/>
    <w:rsid w:val="00F15A6D"/>
    <w:rsid w:val="00F161E4"/>
    <w:rsid w:val="00F162C8"/>
    <w:rsid w:val="00F16C12"/>
    <w:rsid w:val="00F171BA"/>
    <w:rsid w:val="00F175AD"/>
    <w:rsid w:val="00F211B5"/>
    <w:rsid w:val="00F211E1"/>
    <w:rsid w:val="00F212BF"/>
    <w:rsid w:val="00F217AD"/>
    <w:rsid w:val="00F22613"/>
    <w:rsid w:val="00F22E4A"/>
    <w:rsid w:val="00F24877"/>
    <w:rsid w:val="00F25546"/>
    <w:rsid w:val="00F25A80"/>
    <w:rsid w:val="00F30699"/>
    <w:rsid w:val="00F32C7B"/>
    <w:rsid w:val="00F32F36"/>
    <w:rsid w:val="00F3576B"/>
    <w:rsid w:val="00F36145"/>
    <w:rsid w:val="00F36C76"/>
    <w:rsid w:val="00F36D1C"/>
    <w:rsid w:val="00F36DC0"/>
    <w:rsid w:val="00F376DF"/>
    <w:rsid w:val="00F40BDA"/>
    <w:rsid w:val="00F41068"/>
    <w:rsid w:val="00F4142D"/>
    <w:rsid w:val="00F41E38"/>
    <w:rsid w:val="00F427C1"/>
    <w:rsid w:val="00F428A7"/>
    <w:rsid w:val="00F42C94"/>
    <w:rsid w:val="00F43627"/>
    <w:rsid w:val="00F44262"/>
    <w:rsid w:val="00F4467D"/>
    <w:rsid w:val="00F449D4"/>
    <w:rsid w:val="00F44A36"/>
    <w:rsid w:val="00F44DEF"/>
    <w:rsid w:val="00F44EC2"/>
    <w:rsid w:val="00F4531A"/>
    <w:rsid w:val="00F459D2"/>
    <w:rsid w:val="00F45B59"/>
    <w:rsid w:val="00F46B1C"/>
    <w:rsid w:val="00F46C38"/>
    <w:rsid w:val="00F46C6A"/>
    <w:rsid w:val="00F474B2"/>
    <w:rsid w:val="00F478A1"/>
    <w:rsid w:val="00F47C3E"/>
    <w:rsid w:val="00F47C87"/>
    <w:rsid w:val="00F501C2"/>
    <w:rsid w:val="00F5023A"/>
    <w:rsid w:val="00F50796"/>
    <w:rsid w:val="00F50C62"/>
    <w:rsid w:val="00F5180A"/>
    <w:rsid w:val="00F522D0"/>
    <w:rsid w:val="00F52BE7"/>
    <w:rsid w:val="00F52C7A"/>
    <w:rsid w:val="00F5313E"/>
    <w:rsid w:val="00F536EC"/>
    <w:rsid w:val="00F539FC"/>
    <w:rsid w:val="00F53A71"/>
    <w:rsid w:val="00F5401D"/>
    <w:rsid w:val="00F542E2"/>
    <w:rsid w:val="00F54806"/>
    <w:rsid w:val="00F54A9A"/>
    <w:rsid w:val="00F54F01"/>
    <w:rsid w:val="00F5671A"/>
    <w:rsid w:val="00F572F4"/>
    <w:rsid w:val="00F57783"/>
    <w:rsid w:val="00F578B1"/>
    <w:rsid w:val="00F57E71"/>
    <w:rsid w:val="00F60275"/>
    <w:rsid w:val="00F6062F"/>
    <w:rsid w:val="00F60BB5"/>
    <w:rsid w:val="00F620D3"/>
    <w:rsid w:val="00F621C9"/>
    <w:rsid w:val="00F624DB"/>
    <w:rsid w:val="00F63B06"/>
    <w:rsid w:val="00F63FEC"/>
    <w:rsid w:val="00F64986"/>
    <w:rsid w:val="00F649DE"/>
    <w:rsid w:val="00F64FD6"/>
    <w:rsid w:val="00F6534D"/>
    <w:rsid w:val="00F65ACE"/>
    <w:rsid w:val="00F65DCC"/>
    <w:rsid w:val="00F66442"/>
    <w:rsid w:val="00F67BE0"/>
    <w:rsid w:val="00F67CA7"/>
    <w:rsid w:val="00F70C1E"/>
    <w:rsid w:val="00F711A7"/>
    <w:rsid w:val="00F71768"/>
    <w:rsid w:val="00F7237A"/>
    <w:rsid w:val="00F725EA"/>
    <w:rsid w:val="00F7299F"/>
    <w:rsid w:val="00F72D92"/>
    <w:rsid w:val="00F72F69"/>
    <w:rsid w:val="00F7436F"/>
    <w:rsid w:val="00F75909"/>
    <w:rsid w:val="00F76FCF"/>
    <w:rsid w:val="00F7702A"/>
    <w:rsid w:val="00F773F7"/>
    <w:rsid w:val="00F77E3A"/>
    <w:rsid w:val="00F77E8F"/>
    <w:rsid w:val="00F80273"/>
    <w:rsid w:val="00F8038B"/>
    <w:rsid w:val="00F80C4C"/>
    <w:rsid w:val="00F810A2"/>
    <w:rsid w:val="00F8189C"/>
    <w:rsid w:val="00F8235E"/>
    <w:rsid w:val="00F826C6"/>
    <w:rsid w:val="00F82820"/>
    <w:rsid w:val="00F82F62"/>
    <w:rsid w:val="00F83B35"/>
    <w:rsid w:val="00F83CDB"/>
    <w:rsid w:val="00F84A7B"/>
    <w:rsid w:val="00F84E7E"/>
    <w:rsid w:val="00F85014"/>
    <w:rsid w:val="00F862D1"/>
    <w:rsid w:val="00F86BF4"/>
    <w:rsid w:val="00F86EBF"/>
    <w:rsid w:val="00F878B1"/>
    <w:rsid w:val="00F8792A"/>
    <w:rsid w:val="00F90214"/>
    <w:rsid w:val="00F91D6A"/>
    <w:rsid w:val="00F91FD8"/>
    <w:rsid w:val="00F924FC"/>
    <w:rsid w:val="00F92C60"/>
    <w:rsid w:val="00F92E99"/>
    <w:rsid w:val="00F92F75"/>
    <w:rsid w:val="00F9308C"/>
    <w:rsid w:val="00F93197"/>
    <w:rsid w:val="00F93BC6"/>
    <w:rsid w:val="00F940AA"/>
    <w:rsid w:val="00F941A6"/>
    <w:rsid w:val="00F9452D"/>
    <w:rsid w:val="00F95FAA"/>
    <w:rsid w:val="00F96266"/>
    <w:rsid w:val="00F96768"/>
    <w:rsid w:val="00F96AB7"/>
    <w:rsid w:val="00F96D69"/>
    <w:rsid w:val="00FA0274"/>
    <w:rsid w:val="00FA0C1B"/>
    <w:rsid w:val="00FA0C5F"/>
    <w:rsid w:val="00FA0F39"/>
    <w:rsid w:val="00FA1118"/>
    <w:rsid w:val="00FA1312"/>
    <w:rsid w:val="00FA1AF9"/>
    <w:rsid w:val="00FA206E"/>
    <w:rsid w:val="00FA24AB"/>
    <w:rsid w:val="00FA2B01"/>
    <w:rsid w:val="00FA3424"/>
    <w:rsid w:val="00FA4438"/>
    <w:rsid w:val="00FA480C"/>
    <w:rsid w:val="00FA52AB"/>
    <w:rsid w:val="00FA5729"/>
    <w:rsid w:val="00FA576D"/>
    <w:rsid w:val="00FA5800"/>
    <w:rsid w:val="00FA61D3"/>
    <w:rsid w:val="00FA62C1"/>
    <w:rsid w:val="00FA68E2"/>
    <w:rsid w:val="00FA6F82"/>
    <w:rsid w:val="00FA72F7"/>
    <w:rsid w:val="00FA760B"/>
    <w:rsid w:val="00FA77EF"/>
    <w:rsid w:val="00FA77FE"/>
    <w:rsid w:val="00FA7DEC"/>
    <w:rsid w:val="00FB0096"/>
    <w:rsid w:val="00FB0183"/>
    <w:rsid w:val="00FB0B64"/>
    <w:rsid w:val="00FB1843"/>
    <w:rsid w:val="00FB1999"/>
    <w:rsid w:val="00FB2A4C"/>
    <w:rsid w:val="00FB2D75"/>
    <w:rsid w:val="00FB40BF"/>
    <w:rsid w:val="00FB40D0"/>
    <w:rsid w:val="00FB4197"/>
    <w:rsid w:val="00FB4952"/>
    <w:rsid w:val="00FB4C17"/>
    <w:rsid w:val="00FB4DFE"/>
    <w:rsid w:val="00FB5064"/>
    <w:rsid w:val="00FB5810"/>
    <w:rsid w:val="00FB5D2C"/>
    <w:rsid w:val="00FB6534"/>
    <w:rsid w:val="00FC0149"/>
    <w:rsid w:val="00FC01B3"/>
    <w:rsid w:val="00FC01C0"/>
    <w:rsid w:val="00FC0A1F"/>
    <w:rsid w:val="00FC0B91"/>
    <w:rsid w:val="00FC0DF3"/>
    <w:rsid w:val="00FC1848"/>
    <w:rsid w:val="00FC200E"/>
    <w:rsid w:val="00FC226B"/>
    <w:rsid w:val="00FC2420"/>
    <w:rsid w:val="00FC2FE3"/>
    <w:rsid w:val="00FC31D2"/>
    <w:rsid w:val="00FC3586"/>
    <w:rsid w:val="00FC39EA"/>
    <w:rsid w:val="00FC3AC9"/>
    <w:rsid w:val="00FC43F7"/>
    <w:rsid w:val="00FC4444"/>
    <w:rsid w:val="00FC4826"/>
    <w:rsid w:val="00FC4A9E"/>
    <w:rsid w:val="00FC4DAF"/>
    <w:rsid w:val="00FC58EE"/>
    <w:rsid w:val="00FC652E"/>
    <w:rsid w:val="00FC65A1"/>
    <w:rsid w:val="00FC6940"/>
    <w:rsid w:val="00FC6E34"/>
    <w:rsid w:val="00FD0019"/>
    <w:rsid w:val="00FD066F"/>
    <w:rsid w:val="00FD0693"/>
    <w:rsid w:val="00FD0F48"/>
    <w:rsid w:val="00FD108D"/>
    <w:rsid w:val="00FD13C0"/>
    <w:rsid w:val="00FD1FFD"/>
    <w:rsid w:val="00FD249F"/>
    <w:rsid w:val="00FD2E38"/>
    <w:rsid w:val="00FD32D4"/>
    <w:rsid w:val="00FD3EB6"/>
    <w:rsid w:val="00FD42C3"/>
    <w:rsid w:val="00FD4F16"/>
    <w:rsid w:val="00FD55F4"/>
    <w:rsid w:val="00FD5AB2"/>
    <w:rsid w:val="00FD5DB4"/>
    <w:rsid w:val="00FD680C"/>
    <w:rsid w:val="00FD735A"/>
    <w:rsid w:val="00FD7B85"/>
    <w:rsid w:val="00FD7BDB"/>
    <w:rsid w:val="00FE038C"/>
    <w:rsid w:val="00FE06E2"/>
    <w:rsid w:val="00FE0786"/>
    <w:rsid w:val="00FE17A8"/>
    <w:rsid w:val="00FE1D5B"/>
    <w:rsid w:val="00FE2598"/>
    <w:rsid w:val="00FE318F"/>
    <w:rsid w:val="00FE3F23"/>
    <w:rsid w:val="00FE41A8"/>
    <w:rsid w:val="00FE42B1"/>
    <w:rsid w:val="00FE4E76"/>
    <w:rsid w:val="00FE51B6"/>
    <w:rsid w:val="00FE5D63"/>
    <w:rsid w:val="00FE5F98"/>
    <w:rsid w:val="00FE7EED"/>
    <w:rsid w:val="00FE7F5F"/>
    <w:rsid w:val="00FF2529"/>
    <w:rsid w:val="00FF3819"/>
    <w:rsid w:val="00FF387B"/>
    <w:rsid w:val="00FF49BF"/>
    <w:rsid w:val="00FF5815"/>
    <w:rsid w:val="00FF73EE"/>
    <w:rsid w:val="00FF744C"/>
    <w:rsid w:val="00FF7713"/>
    <w:rsid w:val="00FF7714"/>
    <w:rsid w:val="00FF7E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2D9FED90"/>
  <w15:docId w15:val="{1F5BFBAE-B554-4CA6-BDC5-0C6E7AF04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1D6E"/>
    <w:pPr>
      <w:spacing w:after="240" w:line="240" w:lineRule="auto"/>
    </w:pPr>
    <w:rPr>
      <w:rFonts w:ascii="Times New Roman" w:eastAsia="Times New Roman" w:hAnsi="Times New Roman" w:cs="Times New Roman"/>
      <w:sz w:val="24"/>
      <w:szCs w:val="24"/>
      <w:lang w:val="en-GB"/>
    </w:rPr>
  </w:style>
  <w:style w:type="paragraph" w:styleId="Heading1">
    <w:name w:val="heading 1"/>
    <w:basedOn w:val="Heading3"/>
    <w:next w:val="Normal"/>
    <w:link w:val="Heading1Char"/>
    <w:autoRedefine/>
    <w:qFormat/>
    <w:rsid w:val="00DF57F3"/>
    <w:pPr>
      <w:numPr>
        <w:ilvl w:val="0"/>
        <w:numId w:val="0"/>
      </w:numPr>
      <w:outlineLvl w:val="0"/>
    </w:pPr>
    <w:rPr>
      <w:b/>
      <w:i w:val="0"/>
      <w:color w:val="auto"/>
      <w:sz w:val="28"/>
    </w:rPr>
  </w:style>
  <w:style w:type="paragraph" w:styleId="Heading2">
    <w:name w:val="heading 2"/>
    <w:basedOn w:val="Normal"/>
    <w:next w:val="Normal"/>
    <w:link w:val="Heading2Char"/>
    <w:autoRedefine/>
    <w:unhideWhenUsed/>
    <w:qFormat/>
    <w:rsid w:val="00DF57F3"/>
    <w:pPr>
      <w:keepNext/>
      <w:keepLines/>
      <w:spacing w:before="240"/>
      <w:jc w:val="center"/>
      <w:outlineLvl w:val="1"/>
    </w:pPr>
    <w:rPr>
      <w:rFonts w:eastAsiaTheme="majorEastAsia" w:cstheme="majorBidi"/>
      <w:i/>
      <w:sz w:val="22"/>
      <w:szCs w:val="22"/>
      <w:lang w:val="en-US"/>
    </w:rPr>
  </w:style>
  <w:style w:type="paragraph" w:styleId="Heading3">
    <w:name w:val="heading 3"/>
    <w:basedOn w:val="Normal"/>
    <w:next w:val="Normal"/>
    <w:link w:val="Heading3Char"/>
    <w:autoRedefine/>
    <w:uiPriority w:val="9"/>
    <w:unhideWhenUsed/>
    <w:qFormat/>
    <w:rsid w:val="001C1D6E"/>
    <w:pPr>
      <w:keepNext/>
      <w:keepLines/>
      <w:numPr>
        <w:ilvl w:val="2"/>
        <w:numId w:val="64"/>
      </w:numPr>
      <w:spacing w:before="40"/>
      <w:ind w:left="720"/>
      <w:jc w:val="both"/>
      <w:outlineLvl w:val="2"/>
    </w:pPr>
    <w:rPr>
      <w:rFonts w:eastAsiaTheme="majorEastAsia"/>
      <w:i/>
      <w:color w:val="000000" w:themeColor="text1"/>
      <w:lang w:val="en-US"/>
    </w:rPr>
  </w:style>
  <w:style w:type="paragraph" w:styleId="Heading4">
    <w:name w:val="heading 4"/>
    <w:basedOn w:val="Normal"/>
    <w:next w:val="Normal"/>
    <w:link w:val="Heading4Char"/>
    <w:autoRedefine/>
    <w:uiPriority w:val="9"/>
    <w:unhideWhenUsed/>
    <w:qFormat/>
    <w:rsid w:val="001C1D6E"/>
    <w:pPr>
      <w:keepNext/>
      <w:keepLines/>
      <w:numPr>
        <w:ilvl w:val="3"/>
        <w:numId w:val="64"/>
      </w:numPr>
      <w:spacing w:after="0"/>
      <w:outlineLvl w:val="3"/>
    </w:pPr>
    <w:rPr>
      <w:rFonts w:eastAsiaTheme="majorEastAsia"/>
      <w:i/>
      <w:iCs/>
      <w:color w:val="000000" w:themeColor="text1"/>
    </w:rPr>
  </w:style>
  <w:style w:type="paragraph" w:styleId="Heading5">
    <w:name w:val="heading 5"/>
    <w:basedOn w:val="Normal"/>
    <w:next w:val="Normal"/>
    <w:link w:val="Heading5Char"/>
    <w:uiPriority w:val="9"/>
    <w:unhideWhenUsed/>
    <w:qFormat/>
    <w:rsid w:val="001C1D6E"/>
    <w:pPr>
      <w:keepNext/>
      <w:keepLines/>
      <w:numPr>
        <w:ilvl w:val="4"/>
        <w:numId w:val="64"/>
      </w:numPr>
      <w:spacing w:before="40" w:after="0"/>
      <w:outlineLvl w:val="4"/>
    </w:pPr>
    <w:rPr>
      <w:rFonts w:eastAsiaTheme="majorEastAsia" w:cstheme="majorBidi"/>
      <w:i/>
      <w:color w:val="000000" w:themeColor="text1"/>
    </w:rPr>
  </w:style>
  <w:style w:type="paragraph" w:styleId="Heading6">
    <w:name w:val="heading 6"/>
    <w:basedOn w:val="Normal"/>
    <w:next w:val="Normal"/>
    <w:link w:val="Heading6Char"/>
    <w:uiPriority w:val="9"/>
    <w:unhideWhenUsed/>
    <w:qFormat/>
    <w:rsid w:val="001C1D6E"/>
    <w:pPr>
      <w:keepNext/>
      <w:keepLines/>
      <w:numPr>
        <w:ilvl w:val="5"/>
        <w:numId w:val="64"/>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1C1D6E"/>
    <w:pPr>
      <w:keepNext/>
      <w:keepLines/>
      <w:numPr>
        <w:ilvl w:val="6"/>
        <w:numId w:val="64"/>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1C1D6E"/>
    <w:pPr>
      <w:keepNext/>
      <w:keepLines/>
      <w:numPr>
        <w:ilvl w:val="7"/>
        <w:numId w:val="6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1C1D6E"/>
    <w:pPr>
      <w:keepNext/>
      <w:keepLines/>
      <w:numPr>
        <w:ilvl w:val="8"/>
        <w:numId w:val="6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4CCF"/>
    <w:pPr>
      <w:autoSpaceDE w:val="0"/>
      <w:autoSpaceDN w:val="0"/>
      <w:adjustRightInd w:val="0"/>
      <w:spacing w:before="240" w:after="240" w:line="240" w:lineRule="auto"/>
    </w:pPr>
    <w:rPr>
      <w:rFonts w:ascii="Calibri" w:hAnsi="Calibri" w:cs="Calibri"/>
      <w:color w:val="000000"/>
      <w:sz w:val="24"/>
      <w:szCs w:val="24"/>
      <w:lang w:val="en-US"/>
    </w:rPr>
  </w:style>
  <w:style w:type="paragraph" w:styleId="ListParagraph">
    <w:name w:val="List Paragraph"/>
    <w:basedOn w:val="Normal"/>
    <w:uiPriority w:val="34"/>
    <w:qFormat/>
    <w:rsid w:val="002B7B05"/>
    <w:pPr>
      <w:ind w:left="720"/>
      <w:contextualSpacing/>
    </w:pPr>
  </w:style>
  <w:style w:type="paragraph" w:styleId="Caption">
    <w:name w:val="caption"/>
    <w:basedOn w:val="Normal"/>
    <w:next w:val="Normal"/>
    <w:qFormat/>
    <w:rsid w:val="005B509E"/>
    <w:pPr>
      <w:spacing w:before="120"/>
    </w:pPr>
    <w:rPr>
      <w:b/>
      <w:bCs/>
      <w:sz w:val="20"/>
      <w:szCs w:val="20"/>
      <w:lang w:val="de-AT" w:eastAsia="de-AT"/>
    </w:rPr>
  </w:style>
  <w:style w:type="character" w:customStyle="1" w:styleId="Heading1Char">
    <w:name w:val="Heading 1 Char"/>
    <w:basedOn w:val="DefaultParagraphFont"/>
    <w:link w:val="Heading1"/>
    <w:rsid w:val="00DF57F3"/>
    <w:rPr>
      <w:rFonts w:ascii="Times New Roman" w:eastAsiaTheme="majorEastAsia" w:hAnsi="Times New Roman" w:cs="Times New Roman"/>
      <w:b/>
      <w:sz w:val="28"/>
      <w:szCs w:val="24"/>
      <w:lang w:val="en-US"/>
    </w:rPr>
  </w:style>
  <w:style w:type="character" w:customStyle="1" w:styleId="Heading2Char">
    <w:name w:val="Heading 2 Char"/>
    <w:basedOn w:val="DefaultParagraphFont"/>
    <w:link w:val="Heading2"/>
    <w:rsid w:val="00DF57F3"/>
    <w:rPr>
      <w:rFonts w:ascii="Times New Roman" w:eastAsiaTheme="majorEastAsia" w:hAnsi="Times New Roman" w:cstheme="majorBidi"/>
      <w:i/>
      <w:lang w:val="en-US"/>
    </w:rPr>
  </w:style>
  <w:style w:type="character" w:customStyle="1" w:styleId="Heading3Char">
    <w:name w:val="Heading 3 Char"/>
    <w:basedOn w:val="DefaultParagraphFont"/>
    <w:link w:val="Heading3"/>
    <w:uiPriority w:val="9"/>
    <w:rsid w:val="001C1D6E"/>
    <w:rPr>
      <w:rFonts w:ascii="Times New Roman" w:eastAsiaTheme="majorEastAsia" w:hAnsi="Times New Roman" w:cs="Times New Roman"/>
      <w:i/>
      <w:color w:val="000000" w:themeColor="text1"/>
      <w:sz w:val="24"/>
      <w:szCs w:val="24"/>
      <w:lang w:val="en-US"/>
    </w:rPr>
  </w:style>
  <w:style w:type="character" w:customStyle="1" w:styleId="Heading4Char">
    <w:name w:val="Heading 4 Char"/>
    <w:basedOn w:val="DefaultParagraphFont"/>
    <w:link w:val="Heading4"/>
    <w:uiPriority w:val="9"/>
    <w:rsid w:val="00227B8E"/>
    <w:rPr>
      <w:rFonts w:ascii="Times New Roman" w:eastAsiaTheme="majorEastAsia" w:hAnsi="Times New Roman" w:cs="Times New Roman"/>
      <w:i/>
      <w:iCs/>
      <w:color w:val="000000" w:themeColor="text1"/>
      <w:sz w:val="24"/>
      <w:szCs w:val="24"/>
      <w:lang w:val="en-GB"/>
    </w:rPr>
  </w:style>
  <w:style w:type="character" w:customStyle="1" w:styleId="Heading5Char">
    <w:name w:val="Heading 5 Char"/>
    <w:basedOn w:val="DefaultParagraphFont"/>
    <w:link w:val="Heading5"/>
    <w:uiPriority w:val="9"/>
    <w:rsid w:val="007B2923"/>
    <w:rPr>
      <w:rFonts w:ascii="Times New Roman" w:eastAsiaTheme="majorEastAsia" w:hAnsi="Times New Roman" w:cstheme="majorBidi"/>
      <w:i/>
      <w:color w:val="000000" w:themeColor="text1"/>
      <w:sz w:val="24"/>
      <w:szCs w:val="24"/>
      <w:lang w:val="en-GB"/>
    </w:rPr>
  </w:style>
  <w:style w:type="character" w:customStyle="1" w:styleId="Heading6Char">
    <w:name w:val="Heading 6 Char"/>
    <w:basedOn w:val="DefaultParagraphFont"/>
    <w:link w:val="Heading6"/>
    <w:uiPriority w:val="9"/>
    <w:rsid w:val="005D1ACA"/>
    <w:rPr>
      <w:rFonts w:asciiTheme="majorHAnsi" w:eastAsiaTheme="majorEastAsia" w:hAnsiTheme="majorHAnsi" w:cstheme="majorBidi"/>
      <w:color w:val="1F4D78" w:themeColor="accent1" w:themeShade="7F"/>
      <w:sz w:val="24"/>
      <w:szCs w:val="24"/>
      <w:lang w:val="en-GB"/>
    </w:rPr>
  </w:style>
  <w:style w:type="character" w:customStyle="1" w:styleId="Heading7Char">
    <w:name w:val="Heading 7 Char"/>
    <w:basedOn w:val="DefaultParagraphFont"/>
    <w:link w:val="Heading7"/>
    <w:uiPriority w:val="9"/>
    <w:rsid w:val="005D1ACA"/>
    <w:rPr>
      <w:rFonts w:asciiTheme="majorHAnsi" w:eastAsiaTheme="majorEastAsia" w:hAnsiTheme="majorHAnsi" w:cstheme="majorBidi"/>
      <w:i/>
      <w:iCs/>
      <w:color w:val="1F4D78" w:themeColor="accent1" w:themeShade="7F"/>
      <w:sz w:val="24"/>
      <w:szCs w:val="24"/>
      <w:lang w:val="en-GB"/>
    </w:rPr>
  </w:style>
  <w:style w:type="character" w:customStyle="1" w:styleId="Heading8Char">
    <w:name w:val="Heading 8 Char"/>
    <w:basedOn w:val="DefaultParagraphFont"/>
    <w:link w:val="Heading8"/>
    <w:uiPriority w:val="9"/>
    <w:rsid w:val="005D1ACA"/>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5D1ACA"/>
    <w:rPr>
      <w:rFonts w:asciiTheme="majorHAnsi" w:eastAsiaTheme="majorEastAsia" w:hAnsiTheme="majorHAnsi" w:cstheme="majorBidi"/>
      <w:i/>
      <w:iCs/>
      <w:color w:val="272727" w:themeColor="text1" w:themeTint="D8"/>
      <w:sz w:val="21"/>
      <w:szCs w:val="21"/>
      <w:lang w:val="en-GB"/>
    </w:rPr>
  </w:style>
  <w:style w:type="character" w:styleId="Hyperlink">
    <w:name w:val="Hyperlink"/>
    <w:basedOn w:val="DefaultParagraphFont"/>
    <w:uiPriority w:val="99"/>
    <w:unhideWhenUsed/>
    <w:rsid w:val="007D76BF"/>
    <w:rPr>
      <w:color w:val="0563C1" w:themeColor="hyperlink"/>
      <w:u w:val="single"/>
    </w:rPr>
  </w:style>
  <w:style w:type="character" w:styleId="FollowedHyperlink">
    <w:name w:val="FollowedHyperlink"/>
    <w:basedOn w:val="DefaultParagraphFont"/>
    <w:uiPriority w:val="99"/>
    <w:semiHidden/>
    <w:unhideWhenUsed/>
    <w:rsid w:val="0016585B"/>
    <w:rPr>
      <w:color w:val="954F72" w:themeColor="followedHyperlink"/>
      <w:u w:val="single"/>
    </w:rPr>
  </w:style>
  <w:style w:type="paragraph" w:styleId="Header">
    <w:name w:val="header"/>
    <w:basedOn w:val="Normal"/>
    <w:link w:val="HeaderChar"/>
    <w:unhideWhenUsed/>
    <w:rsid w:val="00115EBD"/>
    <w:pPr>
      <w:tabs>
        <w:tab w:val="center" w:pos="4680"/>
        <w:tab w:val="right" w:pos="9360"/>
      </w:tabs>
      <w:spacing w:after="0"/>
    </w:pPr>
  </w:style>
  <w:style w:type="character" w:customStyle="1" w:styleId="HeaderChar">
    <w:name w:val="Header Char"/>
    <w:basedOn w:val="DefaultParagraphFont"/>
    <w:link w:val="Header"/>
    <w:uiPriority w:val="99"/>
    <w:rsid w:val="00115EBD"/>
  </w:style>
  <w:style w:type="paragraph" w:styleId="Footer">
    <w:name w:val="footer"/>
    <w:basedOn w:val="Normal"/>
    <w:link w:val="FooterChar"/>
    <w:uiPriority w:val="99"/>
    <w:unhideWhenUsed/>
    <w:rsid w:val="00115EBD"/>
    <w:pPr>
      <w:tabs>
        <w:tab w:val="center" w:pos="4680"/>
        <w:tab w:val="right" w:pos="9360"/>
      </w:tabs>
      <w:spacing w:after="0"/>
    </w:pPr>
  </w:style>
  <w:style w:type="character" w:customStyle="1" w:styleId="FooterChar">
    <w:name w:val="Footer Char"/>
    <w:basedOn w:val="DefaultParagraphFont"/>
    <w:link w:val="Footer"/>
    <w:uiPriority w:val="99"/>
    <w:rsid w:val="00115EBD"/>
  </w:style>
  <w:style w:type="character" w:styleId="CommentReference">
    <w:name w:val="annotation reference"/>
    <w:basedOn w:val="DefaultParagraphFont"/>
    <w:uiPriority w:val="99"/>
    <w:unhideWhenUsed/>
    <w:rsid w:val="00256A61"/>
    <w:rPr>
      <w:sz w:val="18"/>
      <w:szCs w:val="18"/>
    </w:rPr>
  </w:style>
  <w:style w:type="paragraph" w:styleId="CommentText">
    <w:name w:val="annotation text"/>
    <w:basedOn w:val="Normal"/>
    <w:link w:val="CommentTextChar"/>
    <w:uiPriority w:val="99"/>
    <w:unhideWhenUsed/>
    <w:rsid w:val="00256A61"/>
  </w:style>
  <w:style w:type="character" w:customStyle="1" w:styleId="CommentTextChar">
    <w:name w:val="Comment Text Char"/>
    <w:basedOn w:val="DefaultParagraphFont"/>
    <w:link w:val="CommentText"/>
    <w:uiPriority w:val="99"/>
    <w:rsid w:val="00256A61"/>
    <w:rPr>
      <w:sz w:val="24"/>
      <w:szCs w:val="24"/>
    </w:rPr>
  </w:style>
  <w:style w:type="paragraph" w:styleId="HTMLPreformatted">
    <w:name w:val="HTML Preformatted"/>
    <w:basedOn w:val="Normal"/>
    <w:link w:val="HTMLPreformattedChar"/>
    <w:uiPriority w:val="99"/>
    <w:unhideWhenUsed/>
    <w:rsid w:val="00256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w:eastAsiaTheme="minorEastAsia" w:hAnsi="Courier" w:cs="Courier"/>
      <w:sz w:val="20"/>
      <w:szCs w:val="20"/>
      <w:lang w:val="en-US" w:eastAsia="es-ES"/>
    </w:rPr>
  </w:style>
  <w:style w:type="character" w:customStyle="1" w:styleId="HTMLPreformattedChar">
    <w:name w:val="HTML Preformatted Char"/>
    <w:basedOn w:val="DefaultParagraphFont"/>
    <w:link w:val="HTMLPreformatted"/>
    <w:uiPriority w:val="99"/>
    <w:rsid w:val="00256A61"/>
    <w:rPr>
      <w:rFonts w:ascii="Courier" w:eastAsiaTheme="minorEastAsia" w:hAnsi="Courier" w:cs="Courier"/>
      <w:sz w:val="20"/>
      <w:szCs w:val="20"/>
      <w:lang w:val="en-US" w:eastAsia="es-ES"/>
    </w:rPr>
  </w:style>
  <w:style w:type="paragraph" w:styleId="BalloonText">
    <w:name w:val="Balloon Text"/>
    <w:basedOn w:val="Normal"/>
    <w:link w:val="BalloonTextChar"/>
    <w:uiPriority w:val="99"/>
    <w:semiHidden/>
    <w:unhideWhenUsed/>
    <w:rsid w:val="00256A6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6A61"/>
    <w:rPr>
      <w:rFonts w:ascii="Segoe UI" w:hAnsi="Segoe UI" w:cs="Segoe UI"/>
      <w:sz w:val="18"/>
      <w:szCs w:val="18"/>
    </w:rPr>
  </w:style>
  <w:style w:type="table" w:styleId="TableGrid">
    <w:name w:val="Table Grid"/>
    <w:basedOn w:val="TableNormal"/>
    <w:uiPriority w:val="39"/>
    <w:rsid w:val="00923F9C"/>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23F9C"/>
    <w:pPr>
      <w:spacing w:before="100" w:beforeAutospacing="1" w:after="100" w:afterAutospacing="1"/>
    </w:pPr>
  </w:style>
  <w:style w:type="paragraph" w:customStyle="1" w:styleId="Table">
    <w:name w:val="Table"/>
    <w:basedOn w:val="Normal"/>
    <w:qFormat/>
    <w:rsid w:val="00197738"/>
    <w:pPr>
      <w:widowControl w:val="0"/>
      <w:autoSpaceDE w:val="0"/>
      <w:autoSpaceDN w:val="0"/>
      <w:adjustRightInd w:val="0"/>
      <w:spacing w:after="0"/>
      <w:contextualSpacing/>
    </w:pPr>
    <w:rPr>
      <w:rFonts w:cs="Garamond"/>
      <w:b/>
      <w:color w:val="000000"/>
      <w:sz w:val="20"/>
      <w:szCs w:val="20"/>
    </w:rPr>
  </w:style>
  <w:style w:type="paragraph" w:styleId="CommentSubject">
    <w:name w:val="annotation subject"/>
    <w:basedOn w:val="CommentText"/>
    <w:next w:val="CommentText"/>
    <w:link w:val="CommentSubjectChar"/>
    <w:uiPriority w:val="99"/>
    <w:semiHidden/>
    <w:unhideWhenUsed/>
    <w:rsid w:val="002E158B"/>
    <w:rPr>
      <w:b/>
      <w:bCs/>
      <w:sz w:val="20"/>
      <w:szCs w:val="20"/>
    </w:rPr>
  </w:style>
  <w:style w:type="character" w:customStyle="1" w:styleId="CommentSubjectChar">
    <w:name w:val="Comment Subject Char"/>
    <w:basedOn w:val="CommentTextChar"/>
    <w:link w:val="CommentSubject"/>
    <w:uiPriority w:val="99"/>
    <w:semiHidden/>
    <w:rsid w:val="002E158B"/>
    <w:rPr>
      <w:b/>
      <w:bCs/>
      <w:sz w:val="20"/>
      <w:szCs w:val="20"/>
    </w:rPr>
  </w:style>
  <w:style w:type="paragraph" w:styleId="TOCHeading">
    <w:name w:val="TOC Heading"/>
    <w:basedOn w:val="Heading1"/>
    <w:next w:val="Normal"/>
    <w:uiPriority w:val="39"/>
    <w:unhideWhenUsed/>
    <w:qFormat/>
    <w:rsid w:val="00B62A01"/>
    <w:pPr>
      <w:numPr>
        <w:numId w:val="11"/>
      </w:numPr>
      <w:outlineLvl w:val="9"/>
    </w:pPr>
  </w:style>
  <w:style w:type="paragraph" w:styleId="TOC1">
    <w:name w:val="toc 1"/>
    <w:basedOn w:val="Normal"/>
    <w:next w:val="Normal"/>
    <w:autoRedefine/>
    <w:uiPriority w:val="39"/>
    <w:unhideWhenUsed/>
    <w:rsid w:val="00B56C9F"/>
    <w:pPr>
      <w:tabs>
        <w:tab w:val="left" w:pos="567"/>
        <w:tab w:val="right" w:leader="dot" w:pos="9016"/>
      </w:tabs>
      <w:spacing w:before="360" w:after="0"/>
    </w:pPr>
    <w:rPr>
      <w:rFonts w:asciiTheme="majorHAnsi" w:hAnsiTheme="majorHAnsi"/>
      <w:b/>
      <w:bCs/>
      <w:caps/>
    </w:rPr>
  </w:style>
  <w:style w:type="paragraph" w:styleId="TOC2">
    <w:name w:val="toc 2"/>
    <w:basedOn w:val="Normal"/>
    <w:next w:val="Normal"/>
    <w:autoRedefine/>
    <w:uiPriority w:val="39"/>
    <w:unhideWhenUsed/>
    <w:rsid w:val="001C1D6E"/>
    <w:pPr>
      <w:tabs>
        <w:tab w:val="left" w:pos="851"/>
        <w:tab w:val="right" w:pos="9026"/>
      </w:tabs>
      <w:spacing w:after="0"/>
      <w:ind w:left="567" w:hanging="567"/>
    </w:pPr>
    <w:rPr>
      <w:b/>
      <w:bCs/>
      <w:noProof/>
    </w:rPr>
  </w:style>
  <w:style w:type="paragraph" w:styleId="TOC3">
    <w:name w:val="toc 3"/>
    <w:basedOn w:val="Normal"/>
    <w:next w:val="Normal"/>
    <w:autoRedefine/>
    <w:uiPriority w:val="39"/>
    <w:unhideWhenUsed/>
    <w:rsid w:val="00B62A01"/>
    <w:pPr>
      <w:spacing w:after="0"/>
      <w:ind w:left="220"/>
    </w:pPr>
    <w:rPr>
      <w:rFonts w:asciiTheme="minorHAnsi" w:hAnsiTheme="minorHAnsi"/>
      <w:sz w:val="20"/>
      <w:szCs w:val="20"/>
    </w:rPr>
  </w:style>
  <w:style w:type="paragraph" w:styleId="Revision">
    <w:name w:val="Revision"/>
    <w:hidden/>
    <w:uiPriority w:val="99"/>
    <w:semiHidden/>
    <w:rsid w:val="00372A8F"/>
    <w:pPr>
      <w:spacing w:after="0" w:line="240" w:lineRule="auto"/>
    </w:pPr>
  </w:style>
  <w:style w:type="character" w:customStyle="1" w:styleId="apple-converted-space">
    <w:name w:val="apple-converted-space"/>
    <w:basedOn w:val="DefaultParagraphFont"/>
    <w:rsid w:val="005F44FA"/>
  </w:style>
  <w:style w:type="character" w:styleId="Emphasis">
    <w:name w:val="Emphasis"/>
    <w:basedOn w:val="DefaultParagraphFont"/>
    <w:uiPriority w:val="20"/>
    <w:qFormat/>
    <w:rsid w:val="005F44FA"/>
    <w:rPr>
      <w:i/>
      <w:iCs/>
    </w:rPr>
  </w:style>
  <w:style w:type="character" w:styleId="PageNumber">
    <w:name w:val="page number"/>
    <w:basedOn w:val="DefaultParagraphFont"/>
    <w:uiPriority w:val="99"/>
    <w:semiHidden/>
    <w:unhideWhenUsed/>
    <w:rsid w:val="000179C6"/>
  </w:style>
  <w:style w:type="paragraph" w:customStyle="1" w:styleId="p1">
    <w:name w:val="p1"/>
    <w:basedOn w:val="Normal"/>
    <w:rsid w:val="000D4D3B"/>
    <w:pPr>
      <w:spacing w:after="120"/>
      <w:ind w:left="360" w:hanging="360"/>
    </w:pPr>
    <w:rPr>
      <w:rFonts w:ascii="Calibri" w:hAnsi="Calibri"/>
      <w:sz w:val="17"/>
      <w:szCs w:val="17"/>
    </w:rPr>
  </w:style>
  <w:style w:type="paragraph" w:customStyle="1" w:styleId="p2">
    <w:name w:val="p2"/>
    <w:basedOn w:val="Normal"/>
    <w:rsid w:val="000D4D3B"/>
    <w:pPr>
      <w:spacing w:after="120"/>
    </w:pPr>
    <w:rPr>
      <w:rFonts w:ascii="Calibri" w:hAnsi="Calibri"/>
      <w:sz w:val="17"/>
      <w:szCs w:val="17"/>
    </w:rPr>
  </w:style>
  <w:style w:type="paragraph" w:styleId="BodyText">
    <w:name w:val="Body Text"/>
    <w:basedOn w:val="Normal"/>
    <w:link w:val="BodyTextChar"/>
    <w:uiPriority w:val="99"/>
    <w:semiHidden/>
    <w:unhideWhenUsed/>
    <w:rsid w:val="00A27C74"/>
    <w:pPr>
      <w:spacing w:after="120"/>
    </w:pPr>
  </w:style>
  <w:style w:type="character" w:customStyle="1" w:styleId="BodyTextChar">
    <w:name w:val="Body Text Char"/>
    <w:basedOn w:val="DefaultParagraphFont"/>
    <w:link w:val="BodyText"/>
    <w:uiPriority w:val="99"/>
    <w:semiHidden/>
    <w:rsid w:val="00A27C74"/>
    <w:rPr>
      <w:rFonts w:ascii="Times New Roman" w:hAnsi="Times New Roman"/>
    </w:rPr>
  </w:style>
  <w:style w:type="character" w:customStyle="1" w:styleId="UnresolvedMention1">
    <w:name w:val="Unresolved Mention1"/>
    <w:uiPriority w:val="99"/>
    <w:semiHidden/>
    <w:unhideWhenUsed/>
    <w:rsid w:val="001A3AB4"/>
    <w:rPr>
      <w:color w:val="808080"/>
      <w:shd w:val="clear" w:color="auto" w:fill="E6E6E6"/>
    </w:rPr>
  </w:style>
  <w:style w:type="character" w:customStyle="1" w:styleId="article-headermeta-info-label">
    <w:name w:val="article-header__meta-info-label"/>
    <w:rsid w:val="001A3AB4"/>
  </w:style>
  <w:style w:type="character" w:customStyle="1" w:styleId="article-headermeta-info-data">
    <w:name w:val="article-header__meta-info-data"/>
    <w:rsid w:val="001A3AB4"/>
  </w:style>
  <w:style w:type="paragraph" w:styleId="Title">
    <w:name w:val="Title"/>
    <w:basedOn w:val="Normal"/>
    <w:next w:val="Normal"/>
    <w:link w:val="TitleChar"/>
    <w:uiPriority w:val="10"/>
    <w:qFormat/>
    <w:rsid w:val="004D42A7"/>
    <w:pPr>
      <w:spacing w:after="0"/>
      <w:contextualSpacing/>
      <w:jc w:val="center"/>
    </w:pPr>
    <w:rPr>
      <w:rFonts w:eastAsiaTheme="majorEastAsia"/>
      <w:b/>
      <w:spacing w:val="-10"/>
      <w:kern w:val="28"/>
      <w:sz w:val="32"/>
      <w:szCs w:val="32"/>
      <w:lang w:val="en-US"/>
    </w:rPr>
  </w:style>
  <w:style w:type="character" w:customStyle="1" w:styleId="TitleChar">
    <w:name w:val="Title Char"/>
    <w:basedOn w:val="DefaultParagraphFont"/>
    <w:link w:val="Title"/>
    <w:uiPriority w:val="10"/>
    <w:rsid w:val="004D42A7"/>
    <w:rPr>
      <w:rFonts w:ascii="Times New Roman" w:eastAsiaTheme="majorEastAsia" w:hAnsi="Times New Roman" w:cs="Times New Roman"/>
      <w:b/>
      <w:spacing w:val="-10"/>
      <w:kern w:val="28"/>
      <w:sz w:val="32"/>
      <w:szCs w:val="32"/>
      <w:lang w:val="en-US"/>
    </w:rPr>
  </w:style>
  <w:style w:type="paragraph" w:customStyle="1" w:styleId="Normal1">
    <w:name w:val="Normal1"/>
    <w:rsid w:val="005F4539"/>
    <w:pPr>
      <w:pBdr>
        <w:top w:val="nil"/>
        <w:left w:val="nil"/>
        <w:bottom w:val="nil"/>
        <w:right w:val="nil"/>
        <w:between w:val="nil"/>
      </w:pBdr>
    </w:pPr>
    <w:rPr>
      <w:rFonts w:ascii="Calibri" w:eastAsia="Calibri" w:hAnsi="Calibri" w:cs="Calibri"/>
      <w:color w:val="000000"/>
      <w:lang w:val="en-US"/>
    </w:rPr>
  </w:style>
  <w:style w:type="paragraph" w:styleId="TOC4">
    <w:name w:val="toc 4"/>
    <w:basedOn w:val="Normal"/>
    <w:next w:val="Normal"/>
    <w:autoRedefine/>
    <w:uiPriority w:val="39"/>
    <w:unhideWhenUsed/>
    <w:rsid w:val="004923CA"/>
    <w:pPr>
      <w:spacing w:after="0"/>
      <w:ind w:left="440"/>
    </w:pPr>
    <w:rPr>
      <w:rFonts w:asciiTheme="minorHAnsi" w:hAnsiTheme="minorHAnsi"/>
      <w:sz w:val="20"/>
      <w:szCs w:val="20"/>
    </w:rPr>
  </w:style>
  <w:style w:type="paragraph" w:styleId="TOC5">
    <w:name w:val="toc 5"/>
    <w:basedOn w:val="Normal"/>
    <w:next w:val="Normal"/>
    <w:autoRedefine/>
    <w:uiPriority w:val="39"/>
    <w:unhideWhenUsed/>
    <w:rsid w:val="004923CA"/>
    <w:pPr>
      <w:spacing w:after="0"/>
      <w:ind w:left="660"/>
    </w:pPr>
    <w:rPr>
      <w:rFonts w:asciiTheme="minorHAnsi" w:hAnsiTheme="minorHAnsi"/>
      <w:sz w:val="20"/>
      <w:szCs w:val="20"/>
    </w:rPr>
  </w:style>
  <w:style w:type="paragraph" w:styleId="TOC6">
    <w:name w:val="toc 6"/>
    <w:basedOn w:val="Normal"/>
    <w:next w:val="Normal"/>
    <w:autoRedefine/>
    <w:uiPriority w:val="39"/>
    <w:unhideWhenUsed/>
    <w:rsid w:val="004923CA"/>
    <w:pPr>
      <w:spacing w:after="0"/>
      <w:ind w:left="880"/>
    </w:pPr>
    <w:rPr>
      <w:rFonts w:asciiTheme="minorHAnsi" w:hAnsiTheme="minorHAnsi"/>
      <w:sz w:val="20"/>
      <w:szCs w:val="20"/>
    </w:rPr>
  </w:style>
  <w:style w:type="paragraph" w:styleId="TOC7">
    <w:name w:val="toc 7"/>
    <w:basedOn w:val="Normal"/>
    <w:next w:val="Normal"/>
    <w:autoRedefine/>
    <w:uiPriority w:val="39"/>
    <w:unhideWhenUsed/>
    <w:rsid w:val="004923CA"/>
    <w:pPr>
      <w:spacing w:after="0"/>
      <w:ind w:left="1100"/>
    </w:pPr>
    <w:rPr>
      <w:rFonts w:asciiTheme="minorHAnsi" w:hAnsiTheme="minorHAnsi"/>
      <w:sz w:val="20"/>
      <w:szCs w:val="20"/>
    </w:rPr>
  </w:style>
  <w:style w:type="paragraph" w:styleId="TOC8">
    <w:name w:val="toc 8"/>
    <w:basedOn w:val="Normal"/>
    <w:next w:val="Normal"/>
    <w:autoRedefine/>
    <w:uiPriority w:val="39"/>
    <w:unhideWhenUsed/>
    <w:rsid w:val="004923CA"/>
    <w:pPr>
      <w:spacing w:after="0"/>
      <w:ind w:left="1320"/>
    </w:pPr>
    <w:rPr>
      <w:rFonts w:asciiTheme="minorHAnsi" w:hAnsiTheme="minorHAnsi"/>
      <w:sz w:val="20"/>
      <w:szCs w:val="20"/>
    </w:rPr>
  </w:style>
  <w:style w:type="paragraph" w:styleId="TOC9">
    <w:name w:val="toc 9"/>
    <w:basedOn w:val="Normal"/>
    <w:next w:val="Normal"/>
    <w:autoRedefine/>
    <w:uiPriority w:val="39"/>
    <w:unhideWhenUsed/>
    <w:rsid w:val="004923CA"/>
    <w:pPr>
      <w:spacing w:after="0"/>
      <w:ind w:left="1540"/>
    </w:pPr>
    <w:rPr>
      <w:rFonts w:asciiTheme="minorHAnsi" w:hAnsiTheme="minorHAnsi"/>
      <w:sz w:val="20"/>
      <w:szCs w:val="20"/>
    </w:rPr>
  </w:style>
  <w:style w:type="paragraph" w:customStyle="1" w:styleId="Para1">
    <w:name w:val="Para 1"/>
    <w:basedOn w:val="BodyText"/>
    <w:rsid w:val="004960B6"/>
    <w:pPr>
      <w:numPr>
        <w:numId w:val="8"/>
      </w:numPr>
      <w:spacing w:before="120"/>
    </w:pPr>
    <w:rPr>
      <w:rFonts w:eastAsia="MS Mincho" w:cs="Angsana New"/>
      <w:bC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D541E2"/>
    <w:rPr>
      <w:sz w:val="18"/>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4960B6"/>
    <w:pPr>
      <w:keepLines/>
      <w:spacing w:after="60"/>
      <w:ind w:firstLine="720"/>
    </w:pPr>
    <w:rPr>
      <w:sz w:val="18"/>
      <w:lang w:val="x-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4960B6"/>
    <w:rPr>
      <w:rFonts w:ascii="Times New Roman" w:eastAsia="Times New Roman" w:hAnsi="Times New Roman" w:cs="Times New Roman"/>
      <w:sz w:val="18"/>
      <w:szCs w:val="24"/>
      <w:lang w:val="x-none"/>
    </w:rPr>
  </w:style>
  <w:style w:type="paragraph" w:styleId="DocumentMap">
    <w:name w:val="Document Map"/>
    <w:basedOn w:val="Normal"/>
    <w:link w:val="DocumentMapChar"/>
    <w:uiPriority w:val="99"/>
    <w:semiHidden/>
    <w:unhideWhenUsed/>
    <w:rsid w:val="00D03274"/>
    <w:pPr>
      <w:spacing w:after="0"/>
    </w:pPr>
  </w:style>
  <w:style w:type="character" w:customStyle="1" w:styleId="DocumentMapChar">
    <w:name w:val="Document Map Char"/>
    <w:basedOn w:val="DefaultParagraphFont"/>
    <w:link w:val="DocumentMap"/>
    <w:uiPriority w:val="99"/>
    <w:semiHidden/>
    <w:rsid w:val="00D03274"/>
    <w:rPr>
      <w:rFonts w:ascii="Times New Roman" w:hAnsi="Times New Roman" w:cs="Times New Roman"/>
      <w:sz w:val="24"/>
      <w:szCs w:val="24"/>
    </w:rPr>
  </w:style>
  <w:style w:type="character" w:customStyle="1" w:styleId="author">
    <w:name w:val="author"/>
    <w:basedOn w:val="DefaultParagraphFont"/>
    <w:rsid w:val="009B6039"/>
  </w:style>
  <w:style w:type="character" w:customStyle="1" w:styleId="pubyear">
    <w:name w:val="pubyear"/>
    <w:basedOn w:val="DefaultParagraphFont"/>
    <w:rsid w:val="009B6039"/>
  </w:style>
  <w:style w:type="character" w:customStyle="1" w:styleId="articletitle">
    <w:name w:val="articletitle"/>
    <w:basedOn w:val="DefaultParagraphFont"/>
    <w:rsid w:val="009B6039"/>
  </w:style>
  <w:style w:type="character" w:customStyle="1" w:styleId="journaltitle">
    <w:name w:val="journaltitle"/>
    <w:basedOn w:val="DefaultParagraphFont"/>
    <w:rsid w:val="009B6039"/>
  </w:style>
  <w:style w:type="character" w:customStyle="1" w:styleId="vol">
    <w:name w:val="vol"/>
    <w:basedOn w:val="DefaultParagraphFont"/>
    <w:rsid w:val="009B6039"/>
  </w:style>
  <w:style w:type="character" w:customStyle="1" w:styleId="pagefirst">
    <w:name w:val="pagefirst"/>
    <w:basedOn w:val="DefaultParagraphFont"/>
    <w:rsid w:val="009B6039"/>
  </w:style>
  <w:style w:type="character" w:customStyle="1" w:styleId="pagelast">
    <w:name w:val="pagelast"/>
    <w:basedOn w:val="DefaultParagraphFont"/>
    <w:rsid w:val="009B6039"/>
  </w:style>
  <w:style w:type="character" w:customStyle="1" w:styleId="s1">
    <w:name w:val="s1"/>
    <w:basedOn w:val="DefaultParagraphFont"/>
    <w:rsid w:val="00AB25C0"/>
    <w:rPr>
      <w:color w:val="0433FF"/>
    </w:rPr>
  </w:style>
  <w:style w:type="character" w:customStyle="1" w:styleId="s2">
    <w:name w:val="s2"/>
    <w:basedOn w:val="DefaultParagraphFont"/>
    <w:rsid w:val="00F14439"/>
    <w:rPr>
      <w:color w:val="0433FF"/>
    </w:rPr>
  </w:style>
  <w:style w:type="character" w:customStyle="1" w:styleId="s3">
    <w:name w:val="s3"/>
    <w:basedOn w:val="DefaultParagraphFont"/>
    <w:rsid w:val="00D64EF3"/>
    <w:rPr>
      <w:rFonts w:ascii="Helvetica" w:hAnsi="Helvetica" w:hint="default"/>
      <w:sz w:val="15"/>
      <w:szCs w:val="15"/>
    </w:rPr>
  </w:style>
  <w:style w:type="character" w:customStyle="1" w:styleId="UnresolvedMention2">
    <w:name w:val="Unresolved Mention2"/>
    <w:basedOn w:val="DefaultParagraphFont"/>
    <w:uiPriority w:val="99"/>
    <w:rsid w:val="00C55E28"/>
    <w:rPr>
      <w:color w:val="808080"/>
      <w:shd w:val="clear" w:color="auto" w:fill="E6E6E6"/>
    </w:rPr>
  </w:style>
  <w:style w:type="character" w:customStyle="1" w:styleId="nlmarticle-title">
    <w:name w:val="nlm_article-title"/>
    <w:basedOn w:val="DefaultParagraphFont"/>
    <w:rsid w:val="00E13702"/>
  </w:style>
  <w:style w:type="character" w:customStyle="1" w:styleId="current-selection">
    <w:name w:val="current-selection"/>
    <w:basedOn w:val="DefaultParagraphFont"/>
    <w:rsid w:val="004E145A"/>
  </w:style>
  <w:style w:type="character" w:customStyle="1" w:styleId="personname">
    <w:name w:val="person_name"/>
    <w:basedOn w:val="DefaultParagraphFont"/>
    <w:rsid w:val="0084197F"/>
  </w:style>
  <w:style w:type="character" w:customStyle="1" w:styleId="authors">
    <w:name w:val="authors"/>
    <w:basedOn w:val="DefaultParagraphFont"/>
    <w:rsid w:val="0084197F"/>
  </w:style>
  <w:style w:type="character" w:customStyle="1" w:styleId="Date1">
    <w:name w:val="Date1"/>
    <w:basedOn w:val="DefaultParagraphFont"/>
    <w:rsid w:val="0084197F"/>
  </w:style>
  <w:style w:type="character" w:customStyle="1" w:styleId="arttitle">
    <w:name w:val="art_title"/>
    <w:basedOn w:val="DefaultParagraphFont"/>
    <w:rsid w:val="0084197F"/>
  </w:style>
  <w:style w:type="character" w:customStyle="1" w:styleId="serialtitle">
    <w:name w:val="serial_title"/>
    <w:basedOn w:val="DefaultParagraphFont"/>
    <w:rsid w:val="0084197F"/>
  </w:style>
  <w:style w:type="character" w:customStyle="1" w:styleId="volumeissue">
    <w:name w:val="volume_issue"/>
    <w:basedOn w:val="DefaultParagraphFont"/>
    <w:rsid w:val="0084197F"/>
  </w:style>
  <w:style w:type="character" w:customStyle="1" w:styleId="pagerange">
    <w:name w:val="page_range"/>
    <w:basedOn w:val="DefaultParagraphFont"/>
    <w:rsid w:val="0084197F"/>
  </w:style>
  <w:style w:type="character" w:customStyle="1" w:styleId="doilink">
    <w:name w:val="doi_link"/>
    <w:basedOn w:val="DefaultParagraphFont"/>
    <w:rsid w:val="0084197F"/>
  </w:style>
  <w:style w:type="character" w:customStyle="1" w:styleId="hlfld-contribauthor">
    <w:name w:val="hlfld-contribauthor"/>
    <w:basedOn w:val="DefaultParagraphFont"/>
    <w:rsid w:val="0084197F"/>
  </w:style>
  <w:style w:type="character" w:customStyle="1" w:styleId="separator">
    <w:name w:val="separator"/>
    <w:basedOn w:val="DefaultParagraphFont"/>
    <w:rsid w:val="0084197F"/>
  </w:style>
  <w:style w:type="character" w:customStyle="1" w:styleId="nlmsource">
    <w:name w:val="nlm_source"/>
    <w:basedOn w:val="DefaultParagraphFont"/>
    <w:rsid w:val="0084197F"/>
  </w:style>
  <w:style w:type="character" w:customStyle="1" w:styleId="ref-lnk">
    <w:name w:val="ref-lnk"/>
    <w:basedOn w:val="DefaultParagraphFont"/>
    <w:rsid w:val="003F5CDA"/>
  </w:style>
  <w:style w:type="character" w:customStyle="1" w:styleId="ref-overlay">
    <w:name w:val="ref-overlay"/>
    <w:basedOn w:val="DefaultParagraphFont"/>
    <w:rsid w:val="003F5CDA"/>
  </w:style>
  <w:style w:type="character" w:customStyle="1" w:styleId="nlmgiven-names">
    <w:name w:val="nlm_given-names"/>
    <w:basedOn w:val="DefaultParagraphFont"/>
    <w:rsid w:val="003F5CDA"/>
  </w:style>
  <w:style w:type="character" w:customStyle="1" w:styleId="nlmyear">
    <w:name w:val="nlm_year"/>
    <w:basedOn w:val="DefaultParagraphFont"/>
    <w:rsid w:val="003F5CDA"/>
  </w:style>
  <w:style w:type="character" w:customStyle="1" w:styleId="nlmfpage">
    <w:name w:val="nlm_fpage"/>
    <w:basedOn w:val="DefaultParagraphFont"/>
    <w:rsid w:val="003F5CDA"/>
  </w:style>
  <w:style w:type="character" w:customStyle="1" w:styleId="nlmlpage">
    <w:name w:val="nlm_lpage"/>
    <w:basedOn w:val="DefaultParagraphFont"/>
    <w:rsid w:val="003F5CDA"/>
  </w:style>
  <w:style w:type="character" w:customStyle="1" w:styleId="nlmpublisher-loc">
    <w:name w:val="nlm_publisher-loc"/>
    <w:basedOn w:val="DefaultParagraphFont"/>
    <w:rsid w:val="003F5CDA"/>
  </w:style>
  <w:style w:type="character" w:customStyle="1" w:styleId="nlmpublisher-name">
    <w:name w:val="nlm_publisher-name"/>
    <w:basedOn w:val="DefaultParagraphFont"/>
    <w:rsid w:val="003F5CDA"/>
  </w:style>
  <w:style w:type="character" w:customStyle="1" w:styleId="ref-links">
    <w:name w:val="ref-links"/>
    <w:basedOn w:val="DefaultParagraphFont"/>
    <w:rsid w:val="003F5CDA"/>
  </w:style>
  <w:style w:type="character" w:customStyle="1" w:styleId="googlescholar-container">
    <w:name w:val="googlescholar-container"/>
    <w:basedOn w:val="DefaultParagraphFont"/>
    <w:rsid w:val="003F5CDA"/>
  </w:style>
  <w:style w:type="character" w:customStyle="1" w:styleId="citationref">
    <w:name w:val="citationref"/>
    <w:basedOn w:val="DefaultParagraphFont"/>
    <w:rsid w:val="00CB05F8"/>
  </w:style>
  <w:style w:type="paragraph" w:customStyle="1" w:styleId="captionobject">
    <w:name w:val="caption_object"/>
    <w:basedOn w:val="Normal"/>
    <w:rsid w:val="001B1DB6"/>
    <w:pPr>
      <w:spacing w:before="100" w:beforeAutospacing="1" w:after="100" w:afterAutospacing="1"/>
    </w:pPr>
  </w:style>
  <w:style w:type="paragraph" w:customStyle="1" w:styleId="Table2">
    <w:name w:val="Table2"/>
    <w:basedOn w:val="CommentText"/>
    <w:qFormat/>
    <w:rsid w:val="00946D97"/>
    <w:pPr>
      <w:framePr w:hSpace="187" w:wrap="around" w:vAnchor="text" w:hAnchor="text" w:y="1"/>
      <w:spacing w:after="0"/>
      <w:contextualSpacing/>
    </w:pPr>
    <w:rPr>
      <w:sz w:val="20"/>
    </w:rPr>
  </w:style>
  <w:style w:type="character" w:customStyle="1" w:styleId="UnresolvedMention3">
    <w:name w:val="Unresolved Mention3"/>
    <w:basedOn w:val="DefaultParagraphFont"/>
    <w:uiPriority w:val="99"/>
    <w:rsid w:val="00197738"/>
    <w:rPr>
      <w:color w:val="605E5C"/>
      <w:shd w:val="clear" w:color="auto" w:fill="E1DFDD"/>
    </w:rPr>
  </w:style>
  <w:style w:type="character" w:customStyle="1" w:styleId="UnresolvedMention4">
    <w:name w:val="Unresolved Mention4"/>
    <w:basedOn w:val="DefaultParagraphFont"/>
    <w:uiPriority w:val="99"/>
    <w:semiHidden/>
    <w:unhideWhenUsed/>
    <w:rsid w:val="007A23B8"/>
    <w:rPr>
      <w:color w:val="605E5C"/>
      <w:shd w:val="clear" w:color="auto" w:fill="E1DFDD"/>
    </w:rPr>
  </w:style>
  <w:style w:type="character" w:customStyle="1" w:styleId="a">
    <w:name w:val="_"/>
    <w:basedOn w:val="DefaultParagraphFont"/>
    <w:rsid w:val="002F145D"/>
  </w:style>
  <w:style w:type="character" w:customStyle="1" w:styleId="ff9">
    <w:name w:val="ff9"/>
    <w:basedOn w:val="DefaultParagraphFont"/>
    <w:rsid w:val="002F145D"/>
  </w:style>
  <w:style w:type="character" w:customStyle="1" w:styleId="ff7">
    <w:name w:val="ff7"/>
    <w:basedOn w:val="DefaultParagraphFont"/>
    <w:rsid w:val="002F145D"/>
  </w:style>
  <w:style w:type="paragraph" w:customStyle="1" w:styleId="Teaser">
    <w:name w:val="Teaser"/>
    <w:basedOn w:val="Normal"/>
    <w:rsid w:val="005702BA"/>
    <w:pPr>
      <w:spacing w:before="120" w:after="0"/>
    </w:pPr>
    <w:rPr>
      <w:lang w:val="en-US"/>
    </w:rPr>
  </w:style>
  <w:style w:type="character" w:customStyle="1" w:styleId="cit-name-surname">
    <w:name w:val="cit-name-surname"/>
    <w:basedOn w:val="DefaultParagraphFont"/>
    <w:rsid w:val="00863521"/>
  </w:style>
  <w:style w:type="character" w:customStyle="1" w:styleId="cit-name-given-names">
    <w:name w:val="cit-name-given-names"/>
    <w:basedOn w:val="DefaultParagraphFont"/>
    <w:rsid w:val="00863521"/>
  </w:style>
  <w:style w:type="character" w:styleId="HTMLCite">
    <w:name w:val="HTML Cite"/>
    <w:basedOn w:val="DefaultParagraphFont"/>
    <w:uiPriority w:val="99"/>
    <w:semiHidden/>
    <w:unhideWhenUsed/>
    <w:rsid w:val="00863521"/>
    <w:rPr>
      <w:i/>
      <w:iCs/>
    </w:rPr>
  </w:style>
  <w:style w:type="character" w:customStyle="1" w:styleId="cit-pub-date">
    <w:name w:val="cit-pub-date"/>
    <w:basedOn w:val="DefaultParagraphFont"/>
    <w:rsid w:val="00863521"/>
  </w:style>
  <w:style w:type="character" w:customStyle="1" w:styleId="cit-article-title">
    <w:name w:val="cit-article-title"/>
    <w:basedOn w:val="DefaultParagraphFont"/>
    <w:rsid w:val="00863521"/>
  </w:style>
  <w:style w:type="character" w:customStyle="1" w:styleId="cit-vol">
    <w:name w:val="cit-vol"/>
    <w:basedOn w:val="DefaultParagraphFont"/>
    <w:rsid w:val="00863521"/>
  </w:style>
  <w:style w:type="character" w:customStyle="1" w:styleId="cit-issue">
    <w:name w:val="cit-issue"/>
    <w:basedOn w:val="DefaultParagraphFont"/>
    <w:rsid w:val="00863521"/>
  </w:style>
  <w:style w:type="character" w:customStyle="1" w:styleId="cit-fpage">
    <w:name w:val="cit-fpage"/>
    <w:basedOn w:val="DefaultParagraphFont"/>
    <w:rsid w:val="00863521"/>
  </w:style>
  <w:style w:type="character" w:customStyle="1" w:styleId="cit-lpage">
    <w:name w:val="cit-lpage"/>
    <w:basedOn w:val="DefaultParagraphFont"/>
    <w:rsid w:val="00863521"/>
  </w:style>
  <w:style w:type="paragraph" w:customStyle="1" w:styleId="Para10">
    <w:name w:val="Para1"/>
    <w:basedOn w:val="Normal"/>
    <w:link w:val="Para1Char"/>
    <w:rsid w:val="00141F67"/>
    <w:pPr>
      <w:numPr>
        <w:numId w:val="31"/>
      </w:numPr>
      <w:spacing w:before="120" w:after="120"/>
      <w:jc w:val="both"/>
    </w:pPr>
    <w:rPr>
      <w:snapToGrid w:val="0"/>
      <w:sz w:val="22"/>
      <w:szCs w:val="18"/>
    </w:rPr>
  </w:style>
  <w:style w:type="character" w:styleId="EndnoteReference">
    <w:name w:val="endnote reference"/>
    <w:basedOn w:val="DefaultParagraphFont"/>
    <w:uiPriority w:val="99"/>
    <w:semiHidden/>
    <w:unhideWhenUsed/>
    <w:rsid w:val="007772BF"/>
    <w:rPr>
      <w:vertAlign w:val="superscript"/>
    </w:rPr>
  </w:style>
  <w:style w:type="paragraph" w:customStyle="1" w:styleId="MainTitle">
    <w:name w:val="Main Title"/>
    <w:basedOn w:val="Title"/>
    <w:qFormat/>
    <w:rsid w:val="00804CC6"/>
    <w:pPr>
      <w:spacing w:after="240"/>
    </w:pPr>
    <w:rPr>
      <w:sz w:val="28"/>
      <w:szCs w:val="36"/>
    </w:rPr>
  </w:style>
  <w:style w:type="character" w:styleId="PlaceholderText">
    <w:name w:val="Placeholder Text"/>
    <w:basedOn w:val="DefaultParagraphFont"/>
    <w:uiPriority w:val="67"/>
    <w:rsid w:val="00702881"/>
    <w:rPr>
      <w:color w:val="808080"/>
    </w:rPr>
  </w:style>
  <w:style w:type="character" w:customStyle="1" w:styleId="UnresolvedMention5">
    <w:name w:val="Unresolved Mention5"/>
    <w:basedOn w:val="DefaultParagraphFont"/>
    <w:uiPriority w:val="99"/>
    <w:semiHidden/>
    <w:unhideWhenUsed/>
    <w:rsid w:val="00013187"/>
    <w:rPr>
      <w:color w:val="605E5C"/>
      <w:shd w:val="clear" w:color="auto" w:fill="E1DFDD"/>
    </w:rPr>
  </w:style>
  <w:style w:type="paragraph" w:customStyle="1" w:styleId="EndNoteBibliography">
    <w:name w:val="EndNote Bibliography"/>
    <w:basedOn w:val="Normal"/>
    <w:link w:val="EndNoteBibliographyChar"/>
    <w:rsid w:val="0031471E"/>
    <w:rPr>
      <w:noProof/>
      <w:lang w:val="en-US"/>
    </w:rPr>
  </w:style>
  <w:style w:type="character" w:customStyle="1" w:styleId="EndNoteBibliographyChar">
    <w:name w:val="EndNote Bibliography Char"/>
    <w:basedOn w:val="DefaultParagraphFont"/>
    <w:link w:val="EndNoteBibliography"/>
    <w:rsid w:val="0031471E"/>
    <w:rPr>
      <w:rFonts w:ascii="Times New Roman" w:eastAsia="Times New Roman" w:hAnsi="Times New Roman" w:cs="Times New Roman"/>
      <w:noProof/>
      <w:sz w:val="24"/>
      <w:szCs w:val="24"/>
      <w:lang w:val="en-US"/>
    </w:rPr>
  </w:style>
  <w:style w:type="character" w:customStyle="1" w:styleId="UnresolvedMention6">
    <w:name w:val="Unresolved Mention6"/>
    <w:basedOn w:val="DefaultParagraphFont"/>
    <w:uiPriority w:val="99"/>
    <w:semiHidden/>
    <w:unhideWhenUsed/>
    <w:rsid w:val="0005358E"/>
    <w:rPr>
      <w:color w:val="605E5C"/>
      <w:shd w:val="clear" w:color="auto" w:fill="E1DFDD"/>
    </w:rPr>
  </w:style>
  <w:style w:type="character" w:customStyle="1" w:styleId="UnresolvedMention7">
    <w:name w:val="Unresolved Mention7"/>
    <w:basedOn w:val="DefaultParagraphFont"/>
    <w:uiPriority w:val="99"/>
    <w:semiHidden/>
    <w:unhideWhenUsed/>
    <w:rsid w:val="000A7365"/>
    <w:rPr>
      <w:color w:val="605E5C"/>
      <w:shd w:val="clear" w:color="auto" w:fill="E1DFDD"/>
    </w:rPr>
  </w:style>
  <w:style w:type="character" w:customStyle="1" w:styleId="UnresolvedMention8">
    <w:name w:val="Unresolved Mention8"/>
    <w:basedOn w:val="DefaultParagraphFont"/>
    <w:uiPriority w:val="99"/>
    <w:semiHidden/>
    <w:unhideWhenUsed/>
    <w:rsid w:val="00B14750"/>
    <w:rPr>
      <w:color w:val="808080"/>
      <w:shd w:val="clear" w:color="auto" w:fill="E6E6E6"/>
    </w:rPr>
  </w:style>
  <w:style w:type="paragraph" w:customStyle="1" w:styleId="Para3">
    <w:name w:val="Para3"/>
    <w:basedOn w:val="Normal"/>
    <w:rsid w:val="00DF57F3"/>
    <w:pPr>
      <w:tabs>
        <w:tab w:val="num" w:pos="1440"/>
        <w:tab w:val="left" w:pos="1980"/>
      </w:tabs>
      <w:spacing w:before="80" w:after="80"/>
      <w:ind w:left="1440" w:hanging="360"/>
      <w:jc w:val="both"/>
    </w:pPr>
    <w:rPr>
      <w:sz w:val="22"/>
      <w:szCs w:val="20"/>
    </w:rPr>
  </w:style>
  <w:style w:type="paragraph" w:customStyle="1" w:styleId="meetingname">
    <w:name w:val="meeting name"/>
    <w:basedOn w:val="Normal"/>
    <w:qFormat/>
    <w:rsid w:val="00DF57F3"/>
    <w:pPr>
      <w:spacing w:after="0"/>
      <w:ind w:left="170" w:right="3119" w:hanging="170"/>
    </w:pPr>
    <w:rPr>
      <w:rFonts w:eastAsia="Malgun Gothic"/>
      <w:caps/>
      <w:snapToGrid w:val="0"/>
      <w:sz w:val="22"/>
    </w:rPr>
  </w:style>
  <w:style w:type="character" w:customStyle="1" w:styleId="Para1Char">
    <w:name w:val="Para1 Char"/>
    <w:link w:val="Para10"/>
    <w:locked/>
    <w:rsid w:val="00DF57F3"/>
    <w:rPr>
      <w:rFonts w:ascii="Times New Roman" w:eastAsia="Times New Roman" w:hAnsi="Times New Roman" w:cs="Times New Roman"/>
      <w:snapToGrid w:val="0"/>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8381">
      <w:bodyDiv w:val="1"/>
      <w:marLeft w:val="0"/>
      <w:marRight w:val="0"/>
      <w:marTop w:val="0"/>
      <w:marBottom w:val="0"/>
      <w:divBdr>
        <w:top w:val="none" w:sz="0" w:space="0" w:color="auto"/>
        <w:left w:val="none" w:sz="0" w:space="0" w:color="auto"/>
        <w:bottom w:val="none" w:sz="0" w:space="0" w:color="auto"/>
        <w:right w:val="none" w:sz="0" w:space="0" w:color="auto"/>
      </w:divBdr>
    </w:div>
    <w:div w:id="11222193">
      <w:bodyDiv w:val="1"/>
      <w:marLeft w:val="0"/>
      <w:marRight w:val="0"/>
      <w:marTop w:val="0"/>
      <w:marBottom w:val="0"/>
      <w:divBdr>
        <w:top w:val="none" w:sz="0" w:space="0" w:color="auto"/>
        <w:left w:val="none" w:sz="0" w:space="0" w:color="auto"/>
        <w:bottom w:val="none" w:sz="0" w:space="0" w:color="auto"/>
        <w:right w:val="none" w:sz="0" w:space="0" w:color="auto"/>
      </w:divBdr>
    </w:div>
    <w:div w:id="14504832">
      <w:bodyDiv w:val="1"/>
      <w:marLeft w:val="0"/>
      <w:marRight w:val="0"/>
      <w:marTop w:val="0"/>
      <w:marBottom w:val="0"/>
      <w:divBdr>
        <w:top w:val="none" w:sz="0" w:space="0" w:color="auto"/>
        <w:left w:val="none" w:sz="0" w:space="0" w:color="auto"/>
        <w:bottom w:val="none" w:sz="0" w:space="0" w:color="auto"/>
        <w:right w:val="none" w:sz="0" w:space="0" w:color="auto"/>
      </w:divBdr>
    </w:div>
    <w:div w:id="16079316">
      <w:bodyDiv w:val="1"/>
      <w:marLeft w:val="0"/>
      <w:marRight w:val="0"/>
      <w:marTop w:val="0"/>
      <w:marBottom w:val="0"/>
      <w:divBdr>
        <w:top w:val="none" w:sz="0" w:space="0" w:color="auto"/>
        <w:left w:val="none" w:sz="0" w:space="0" w:color="auto"/>
        <w:bottom w:val="none" w:sz="0" w:space="0" w:color="auto"/>
        <w:right w:val="none" w:sz="0" w:space="0" w:color="auto"/>
      </w:divBdr>
    </w:div>
    <w:div w:id="17200173">
      <w:bodyDiv w:val="1"/>
      <w:marLeft w:val="0"/>
      <w:marRight w:val="0"/>
      <w:marTop w:val="0"/>
      <w:marBottom w:val="0"/>
      <w:divBdr>
        <w:top w:val="none" w:sz="0" w:space="0" w:color="auto"/>
        <w:left w:val="none" w:sz="0" w:space="0" w:color="auto"/>
        <w:bottom w:val="none" w:sz="0" w:space="0" w:color="auto"/>
        <w:right w:val="none" w:sz="0" w:space="0" w:color="auto"/>
      </w:divBdr>
    </w:div>
    <w:div w:id="26180657">
      <w:bodyDiv w:val="1"/>
      <w:marLeft w:val="0"/>
      <w:marRight w:val="0"/>
      <w:marTop w:val="0"/>
      <w:marBottom w:val="0"/>
      <w:divBdr>
        <w:top w:val="none" w:sz="0" w:space="0" w:color="auto"/>
        <w:left w:val="none" w:sz="0" w:space="0" w:color="auto"/>
        <w:bottom w:val="none" w:sz="0" w:space="0" w:color="auto"/>
        <w:right w:val="none" w:sz="0" w:space="0" w:color="auto"/>
      </w:divBdr>
    </w:div>
    <w:div w:id="26830818">
      <w:bodyDiv w:val="1"/>
      <w:marLeft w:val="0"/>
      <w:marRight w:val="0"/>
      <w:marTop w:val="0"/>
      <w:marBottom w:val="0"/>
      <w:divBdr>
        <w:top w:val="none" w:sz="0" w:space="0" w:color="auto"/>
        <w:left w:val="none" w:sz="0" w:space="0" w:color="auto"/>
        <w:bottom w:val="none" w:sz="0" w:space="0" w:color="auto"/>
        <w:right w:val="none" w:sz="0" w:space="0" w:color="auto"/>
      </w:divBdr>
    </w:div>
    <w:div w:id="27295336">
      <w:bodyDiv w:val="1"/>
      <w:marLeft w:val="0"/>
      <w:marRight w:val="0"/>
      <w:marTop w:val="0"/>
      <w:marBottom w:val="0"/>
      <w:divBdr>
        <w:top w:val="none" w:sz="0" w:space="0" w:color="auto"/>
        <w:left w:val="none" w:sz="0" w:space="0" w:color="auto"/>
        <w:bottom w:val="none" w:sz="0" w:space="0" w:color="auto"/>
        <w:right w:val="none" w:sz="0" w:space="0" w:color="auto"/>
      </w:divBdr>
      <w:divsChild>
        <w:div w:id="1278104892">
          <w:marLeft w:val="0"/>
          <w:marRight w:val="0"/>
          <w:marTop w:val="0"/>
          <w:marBottom w:val="0"/>
          <w:divBdr>
            <w:top w:val="none" w:sz="0" w:space="0" w:color="auto"/>
            <w:left w:val="none" w:sz="0" w:space="0" w:color="auto"/>
            <w:bottom w:val="none" w:sz="0" w:space="0" w:color="auto"/>
            <w:right w:val="none" w:sz="0" w:space="0" w:color="auto"/>
          </w:divBdr>
          <w:divsChild>
            <w:div w:id="1984843790">
              <w:marLeft w:val="0"/>
              <w:marRight w:val="0"/>
              <w:marTop w:val="0"/>
              <w:marBottom w:val="0"/>
              <w:divBdr>
                <w:top w:val="none" w:sz="0" w:space="0" w:color="auto"/>
                <w:left w:val="none" w:sz="0" w:space="0" w:color="auto"/>
                <w:bottom w:val="none" w:sz="0" w:space="0" w:color="auto"/>
                <w:right w:val="none" w:sz="0" w:space="0" w:color="auto"/>
              </w:divBdr>
              <w:divsChild>
                <w:div w:id="196261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10551">
      <w:bodyDiv w:val="1"/>
      <w:marLeft w:val="0"/>
      <w:marRight w:val="0"/>
      <w:marTop w:val="0"/>
      <w:marBottom w:val="0"/>
      <w:divBdr>
        <w:top w:val="none" w:sz="0" w:space="0" w:color="auto"/>
        <w:left w:val="none" w:sz="0" w:space="0" w:color="auto"/>
        <w:bottom w:val="none" w:sz="0" w:space="0" w:color="auto"/>
        <w:right w:val="none" w:sz="0" w:space="0" w:color="auto"/>
      </w:divBdr>
    </w:div>
    <w:div w:id="34234046">
      <w:bodyDiv w:val="1"/>
      <w:marLeft w:val="0"/>
      <w:marRight w:val="0"/>
      <w:marTop w:val="0"/>
      <w:marBottom w:val="0"/>
      <w:divBdr>
        <w:top w:val="none" w:sz="0" w:space="0" w:color="auto"/>
        <w:left w:val="none" w:sz="0" w:space="0" w:color="auto"/>
        <w:bottom w:val="none" w:sz="0" w:space="0" w:color="auto"/>
        <w:right w:val="none" w:sz="0" w:space="0" w:color="auto"/>
      </w:divBdr>
      <w:divsChild>
        <w:div w:id="1691636979">
          <w:marLeft w:val="0"/>
          <w:marRight w:val="0"/>
          <w:marTop w:val="0"/>
          <w:marBottom w:val="0"/>
          <w:divBdr>
            <w:top w:val="none" w:sz="0" w:space="0" w:color="auto"/>
            <w:left w:val="none" w:sz="0" w:space="0" w:color="auto"/>
            <w:bottom w:val="none" w:sz="0" w:space="0" w:color="auto"/>
            <w:right w:val="none" w:sz="0" w:space="0" w:color="auto"/>
          </w:divBdr>
          <w:divsChild>
            <w:div w:id="1091195008">
              <w:marLeft w:val="0"/>
              <w:marRight w:val="0"/>
              <w:marTop w:val="0"/>
              <w:marBottom w:val="0"/>
              <w:divBdr>
                <w:top w:val="none" w:sz="0" w:space="0" w:color="auto"/>
                <w:left w:val="none" w:sz="0" w:space="0" w:color="auto"/>
                <w:bottom w:val="none" w:sz="0" w:space="0" w:color="auto"/>
                <w:right w:val="none" w:sz="0" w:space="0" w:color="auto"/>
              </w:divBdr>
              <w:divsChild>
                <w:div w:id="112797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1958">
      <w:bodyDiv w:val="1"/>
      <w:marLeft w:val="0"/>
      <w:marRight w:val="0"/>
      <w:marTop w:val="0"/>
      <w:marBottom w:val="0"/>
      <w:divBdr>
        <w:top w:val="none" w:sz="0" w:space="0" w:color="auto"/>
        <w:left w:val="none" w:sz="0" w:space="0" w:color="auto"/>
        <w:bottom w:val="none" w:sz="0" w:space="0" w:color="auto"/>
        <w:right w:val="none" w:sz="0" w:space="0" w:color="auto"/>
      </w:divBdr>
      <w:divsChild>
        <w:div w:id="409154627">
          <w:marLeft w:val="0"/>
          <w:marRight w:val="0"/>
          <w:marTop w:val="0"/>
          <w:marBottom w:val="0"/>
          <w:divBdr>
            <w:top w:val="none" w:sz="0" w:space="0" w:color="auto"/>
            <w:left w:val="none" w:sz="0" w:space="0" w:color="auto"/>
            <w:bottom w:val="none" w:sz="0" w:space="0" w:color="auto"/>
            <w:right w:val="none" w:sz="0" w:space="0" w:color="auto"/>
          </w:divBdr>
        </w:div>
        <w:div w:id="606429985">
          <w:marLeft w:val="0"/>
          <w:marRight w:val="0"/>
          <w:marTop w:val="0"/>
          <w:marBottom w:val="0"/>
          <w:divBdr>
            <w:top w:val="none" w:sz="0" w:space="0" w:color="auto"/>
            <w:left w:val="none" w:sz="0" w:space="0" w:color="auto"/>
            <w:bottom w:val="none" w:sz="0" w:space="0" w:color="auto"/>
            <w:right w:val="none" w:sz="0" w:space="0" w:color="auto"/>
          </w:divBdr>
        </w:div>
        <w:div w:id="1920016657">
          <w:marLeft w:val="0"/>
          <w:marRight w:val="0"/>
          <w:marTop w:val="0"/>
          <w:marBottom w:val="0"/>
          <w:divBdr>
            <w:top w:val="none" w:sz="0" w:space="0" w:color="auto"/>
            <w:left w:val="none" w:sz="0" w:space="0" w:color="auto"/>
            <w:bottom w:val="none" w:sz="0" w:space="0" w:color="auto"/>
            <w:right w:val="none" w:sz="0" w:space="0" w:color="auto"/>
          </w:divBdr>
        </w:div>
        <w:div w:id="2077976230">
          <w:marLeft w:val="0"/>
          <w:marRight w:val="0"/>
          <w:marTop w:val="0"/>
          <w:marBottom w:val="0"/>
          <w:divBdr>
            <w:top w:val="none" w:sz="0" w:space="0" w:color="auto"/>
            <w:left w:val="none" w:sz="0" w:space="0" w:color="auto"/>
            <w:bottom w:val="none" w:sz="0" w:space="0" w:color="auto"/>
            <w:right w:val="none" w:sz="0" w:space="0" w:color="auto"/>
          </w:divBdr>
        </w:div>
      </w:divsChild>
    </w:div>
    <w:div w:id="36243177">
      <w:bodyDiv w:val="1"/>
      <w:marLeft w:val="0"/>
      <w:marRight w:val="0"/>
      <w:marTop w:val="0"/>
      <w:marBottom w:val="0"/>
      <w:divBdr>
        <w:top w:val="none" w:sz="0" w:space="0" w:color="auto"/>
        <w:left w:val="none" w:sz="0" w:space="0" w:color="auto"/>
        <w:bottom w:val="none" w:sz="0" w:space="0" w:color="auto"/>
        <w:right w:val="none" w:sz="0" w:space="0" w:color="auto"/>
      </w:divBdr>
    </w:div>
    <w:div w:id="40129474">
      <w:bodyDiv w:val="1"/>
      <w:marLeft w:val="0"/>
      <w:marRight w:val="0"/>
      <w:marTop w:val="0"/>
      <w:marBottom w:val="0"/>
      <w:divBdr>
        <w:top w:val="none" w:sz="0" w:space="0" w:color="auto"/>
        <w:left w:val="none" w:sz="0" w:space="0" w:color="auto"/>
        <w:bottom w:val="none" w:sz="0" w:space="0" w:color="auto"/>
        <w:right w:val="none" w:sz="0" w:space="0" w:color="auto"/>
      </w:divBdr>
      <w:divsChild>
        <w:div w:id="1562595414">
          <w:marLeft w:val="0"/>
          <w:marRight w:val="0"/>
          <w:marTop w:val="0"/>
          <w:marBottom w:val="0"/>
          <w:divBdr>
            <w:top w:val="none" w:sz="0" w:space="0" w:color="auto"/>
            <w:left w:val="none" w:sz="0" w:space="0" w:color="auto"/>
            <w:bottom w:val="none" w:sz="0" w:space="0" w:color="auto"/>
            <w:right w:val="none" w:sz="0" w:space="0" w:color="auto"/>
          </w:divBdr>
          <w:divsChild>
            <w:div w:id="867181186">
              <w:marLeft w:val="0"/>
              <w:marRight w:val="0"/>
              <w:marTop w:val="0"/>
              <w:marBottom w:val="0"/>
              <w:divBdr>
                <w:top w:val="none" w:sz="0" w:space="0" w:color="auto"/>
                <w:left w:val="none" w:sz="0" w:space="0" w:color="auto"/>
                <w:bottom w:val="none" w:sz="0" w:space="0" w:color="auto"/>
                <w:right w:val="none" w:sz="0" w:space="0" w:color="auto"/>
              </w:divBdr>
              <w:divsChild>
                <w:div w:id="693461600">
                  <w:marLeft w:val="0"/>
                  <w:marRight w:val="0"/>
                  <w:marTop w:val="0"/>
                  <w:marBottom w:val="0"/>
                  <w:divBdr>
                    <w:top w:val="none" w:sz="0" w:space="0" w:color="auto"/>
                    <w:left w:val="none" w:sz="0" w:space="0" w:color="auto"/>
                    <w:bottom w:val="none" w:sz="0" w:space="0" w:color="auto"/>
                    <w:right w:val="none" w:sz="0" w:space="0" w:color="auto"/>
                  </w:divBdr>
                  <w:divsChild>
                    <w:div w:id="49507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65220">
      <w:bodyDiv w:val="1"/>
      <w:marLeft w:val="0"/>
      <w:marRight w:val="0"/>
      <w:marTop w:val="0"/>
      <w:marBottom w:val="0"/>
      <w:divBdr>
        <w:top w:val="none" w:sz="0" w:space="0" w:color="auto"/>
        <w:left w:val="none" w:sz="0" w:space="0" w:color="auto"/>
        <w:bottom w:val="none" w:sz="0" w:space="0" w:color="auto"/>
        <w:right w:val="none" w:sz="0" w:space="0" w:color="auto"/>
      </w:divBdr>
    </w:div>
    <w:div w:id="42337207">
      <w:bodyDiv w:val="1"/>
      <w:marLeft w:val="0"/>
      <w:marRight w:val="0"/>
      <w:marTop w:val="0"/>
      <w:marBottom w:val="0"/>
      <w:divBdr>
        <w:top w:val="none" w:sz="0" w:space="0" w:color="auto"/>
        <w:left w:val="none" w:sz="0" w:space="0" w:color="auto"/>
        <w:bottom w:val="none" w:sz="0" w:space="0" w:color="auto"/>
        <w:right w:val="none" w:sz="0" w:space="0" w:color="auto"/>
      </w:divBdr>
      <w:divsChild>
        <w:div w:id="794641039">
          <w:marLeft w:val="0"/>
          <w:marRight w:val="0"/>
          <w:marTop w:val="0"/>
          <w:marBottom w:val="0"/>
          <w:divBdr>
            <w:top w:val="none" w:sz="0" w:space="0" w:color="auto"/>
            <w:left w:val="none" w:sz="0" w:space="0" w:color="auto"/>
            <w:bottom w:val="none" w:sz="0" w:space="0" w:color="auto"/>
            <w:right w:val="none" w:sz="0" w:space="0" w:color="auto"/>
          </w:divBdr>
          <w:divsChild>
            <w:div w:id="1865746384">
              <w:marLeft w:val="0"/>
              <w:marRight w:val="0"/>
              <w:marTop w:val="0"/>
              <w:marBottom w:val="0"/>
              <w:divBdr>
                <w:top w:val="none" w:sz="0" w:space="0" w:color="auto"/>
                <w:left w:val="none" w:sz="0" w:space="0" w:color="auto"/>
                <w:bottom w:val="none" w:sz="0" w:space="0" w:color="auto"/>
                <w:right w:val="none" w:sz="0" w:space="0" w:color="auto"/>
              </w:divBdr>
              <w:divsChild>
                <w:div w:id="19122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11257">
      <w:bodyDiv w:val="1"/>
      <w:marLeft w:val="0"/>
      <w:marRight w:val="0"/>
      <w:marTop w:val="0"/>
      <w:marBottom w:val="0"/>
      <w:divBdr>
        <w:top w:val="none" w:sz="0" w:space="0" w:color="auto"/>
        <w:left w:val="none" w:sz="0" w:space="0" w:color="auto"/>
        <w:bottom w:val="none" w:sz="0" w:space="0" w:color="auto"/>
        <w:right w:val="none" w:sz="0" w:space="0" w:color="auto"/>
      </w:divBdr>
    </w:div>
    <w:div w:id="47261853">
      <w:bodyDiv w:val="1"/>
      <w:marLeft w:val="0"/>
      <w:marRight w:val="0"/>
      <w:marTop w:val="0"/>
      <w:marBottom w:val="0"/>
      <w:divBdr>
        <w:top w:val="none" w:sz="0" w:space="0" w:color="auto"/>
        <w:left w:val="none" w:sz="0" w:space="0" w:color="auto"/>
        <w:bottom w:val="none" w:sz="0" w:space="0" w:color="auto"/>
        <w:right w:val="none" w:sz="0" w:space="0" w:color="auto"/>
      </w:divBdr>
    </w:div>
    <w:div w:id="47580652">
      <w:bodyDiv w:val="1"/>
      <w:marLeft w:val="0"/>
      <w:marRight w:val="0"/>
      <w:marTop w:val="0"/>
      <w:marBottom w:val="0"/>
      <w:divBdr>
        <w:top w:val="none" w:sz="0" w:space="0" w:color="auto"/>
        <w:left w:val="none" w:sz="0" w:space="0" w:color="auto"/>
        <w:bottom w:val="none" w:sz="0" w:space="0" w:color="auto"/>
        <w:right w:val="none" w:sz="0" w:space="0" w:color="auto"/>
      </w:divBdr>
    </w:div>
    <w:div w:id="55665796">
      <w:bodyDiv w:val="1"/>
      <w:marLeft w:val="0"/>
      <w:marRight w:val="0"/>
      <w:marTop w:val="0"/>
      <w:marBottom w:val="0"/>
      <w:divBdr>
        <w:top w:val="none" w:sz="0" w:space="0" w:color="auto"/>
        <w:left w:val="none" w:sz="0" w:space="0" w:color="auto"/>
        <w:bottom w:val="none" w:sz="0" w:space="0" w:color="auto"/>
        <w:right w:val="none" w:sz="0" w:space="0" w:color="auto"/>
      </w:divBdr>
    </w:div>
    <w:div w:id="56976000">
      <w:bodyDiv w:val="1"/>
      <w:marLeft w:val="0"/>
      <w:marRight w:val="0"/>
      <w:marTop w:val="0"/>
      <w:marBottom w:val="0"/>
      <w:divBdr>
        <w:top w:val="none" w:sz="0" w:space="0" w:color="auto"/>
        <w:left w:val="none" w:sz="0" w:space="0" w:color="auto"/>
        <w:bottom w:val="none" w:sz="0" w:space="0" w:color="auto"/>
        <w:right w:val="none" w:sz="0" w:space="0" w:color="auto"/>
      </w:divBdr>
      <w:divsChild>
        <w:div w:id="695078059">
          <w:marLeft w:val="0"/>
          <w:marRight w:val="0"/>
          <w:marTop w:val="0"/>
          <w:marBottom w:val="0"/>
          <w:divBdr>
            <w:top w:val="none" w:sz="0" w:space="0" w:color="auto"/>
            <w:left w:val="none" w:sz="0" w:space="0" w:color="auto"/>
            <w:bottom w:val="none" w:sz="0" w:space="0" w:color="auto"/>
            <w:right w:val="none" w:sz="0" w:space="0" w:color="auto"/>
          </w:divBdr>
          <w:divsChild>
            <w:div w:id="294677199">
              <w:marLeft w:val="0"/>
              <w:marRight w:val="0"/>
              <w:marTop w:val="0"/>
              <w:marBottom w:val="0"/>
              <w:divBdr>
                <w:top w:val="none" w:sz="0" w:space="0" w:color="auto"/>
                <w:left w:val="none" w:sz="0" w:space="0" w:color="auto"/>
                <w:bottom w:val="none" w:sz="0" w:space="0" w:color="auto"/>
                <w:right w:val="none" w:sz="0" w:space="0" w:color="auto"/>
              </w:divBdr>
              <w:divsChild>
                <w:div w:id="24118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70761">
      <w:bodyDiv w:val="1"/>
      <w:marLeft w:val="0"/>
      <w:marRight w:val="0"/>
      <w:marTop w:val="0"/>
      <w:marBottom w:val="0"/>
      <w:divBdr>
        <w:top w:val="none" w:sz="0" w:space="0" w:color="auto"/>
        <w:left w:val="none" w:sz="0" w:space="0" w:color="auto"/>
        <w:bottom w:val="none" w:sz="0" w:space="0" w:color="auto"/>
        <w:right w:val="none" w:sz="0" w:space="0" w:color="auto"/>
      </w:divBdr>
      <w:divsChild>
        <w:div w:id="1053886885">
          <w:marLeft w:val="0"/>
          <w:marRight w:val="0"/>
          <w:marTop w:val="0"/>
          <w:marBottom w:val="0"/>
          <w:divBdr>
            <w:top w:val="none" w:sz="0" w:space="0" w:color="auto"/>
            <w:left w:val="none" w:sz="0" w:space="0" w:color="auto"/>
            <w:bottom w:val="none" w:sz="0" w:space="0" w:color="auto"/>
            <w:right w:val="none" w:sz="0" w:space="0" w:color="auto"/>
          </w:divBdr>
          <w:divsChild>
            <w:div w:id="1515806288">
              <w:marLeft w:val="0"/>
              <w:marRight w:val="0"/>
              <w:marTop w:val="0"/>
              <w:marBottom w:val="0"/>
              <w:divBdr>
                <w:top w:val="none" w:sz="0" w:space="0" w:color="auto"/>
                <w:left w:val="none" w:sz="0" w:space="0" w:color="auto"/>
                <w:bottom w:val="none" w:sz="0" w:space="0" w:color="auto"/>
                <w:right w:val="none" w:sz="0" w:space="0" w:color="auto"/>
              </w:divBdr>
              <w:divsChild>
                <w:div w:id="17069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05317">
      <w:bodyDiv w:val="1"/>
      <w:marLeft w:val="0"/>
      <w:marRight w:val="0"/>
      <w:marTop w:val="0"/>
      <w:marBottom w:val="0"/>
      <w:divBdr>
        <w:top w:val="none" w:sz="0" w:space="0" w:color="auto"/>
        <w:left w:val="none" w:sz="0" w:space="0" w:color="auto"/>
        <w:bottom w:val="none" w:sz="0" w:space="0" w:color="auto"/>
        <w:right w:val="none" w:sz="0" w:space="0" w:color="auto"/>
      </w:divBdr>
      <w:divsChild>
        <w:div w:id="1284265133">
          <w:marLeft w:val="0"/>
          <w:marRight w:val="0"/>
          <w:marTop w:val="0"/>
          <w:marBottom w:val="0"/>
          <w:divBdr>
            <w:top w:val="none" w:sz="0" w:space="0" w:color="auto"/>
            <w:left w:val="none" w:sz="0" w:space="0" w:color="auto"/>
            <w:bottom w:val="none" w:sz="0" w:space="0" w:color="auto"/>
            <w:right w:val="none" w:sz="0" w:space="0" w:color="auto"/>
          </w:divBdr>
          <w:divsChild>
            <w:div w:id="1219392265">
              <w:marLeft w:val="0"/>
              <w:marRight w:val="0"/>
              <w:marTop w:val="0"/>
              <w:marBottom w:val="0"/>
              <w:divBdr>
                <w:top w:val="none" w:sz="0" w:space="0" w:color="auto"/>
                <w:left w:val="none" w:sz="0" w:space="0" w:color="auto"/>
                <w:bottom w:val="none" w:sz="0" w:space="0" w:color="auto"/>
                <w:right w:val="none" w:sz="0" w:space="0" w:color="auto"/>
              </w:divBdr>
              <w:divsChild>
                <w:div w:id="1146972966">
                  <w:marLeft w:val="0"/>
                  <w:marRight w:val="0"/>
                  <w:marTop w:val="0"/>
                  <w:marBottom w:val="0"/>
                  <w:divBdr>
                    <w:top w:val="none" w:sz="0" w:space="0" w:color="auto"/>
                    <w:left w:val="none" w:sz="0" w:space="0" w:color="auto"/>
                    <w:bottom w:val="none" w:sz="0" w:space="0" w:color="auto"/>
                    <w:right w:val="none" w:sz="0" w:space="0" w:color="auto"/>
                  </w:divBdr>
                  <w:divsChild>
                    <w:div w:id="99248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60568">
      <w:bodyDiv w:val="1"/>
      <w:marLeft w:val="0"/>
      <w:marRight w:val="0"/>
      <w:marTop w:val="0"/>
      <w:marBottom w:val="0"/>
      <w:divBdr>
        <w:top w:val="none" w:sz="0" w:space="0" w:color="auto"/>
        <w:left w:val="none" w:sz="0" w:space="0" w:color="auto"/>
        <w:bottom w:val="none" w:sz="0" w:space="0" w:color="auto"/>
        <w:right w:val="none" w:sz="0" w:space="0" w:color="auto"/>
      </w:divBdr>
    </w:div>
    <w:div w:id="70197262">
      <w:bodyDiv w:val="1"/>
      <w:marLeft w:val="0"/>
      <w:marRight w:val="0"/>
      <w:marTop w:val="0"/>
      <w:marBottom w:val="0"/>
      <w:divBdr>
        <w:top w:val="none" w:sz="0" w:space="0" w:color="auto"/>
        <w:left w:val="none" w:sz="0" w:space="0" w:color="auto"/>
        <w:bottom w:val="none" w:sz="0" w:space="0" w:color="auto"/>
        <w:right w:val="none" w:sz="0" w:space="0" w:color="auto"/>
      </w:divBdr>
      <w:divsChild>
        <w:div w:id="987175317">
          <w:marLeft w:val="0"/>
          <w:marRight w:val="0"/>
          <w:marTop w:val="0"/>
          <w:marBottom w:val="0"/>
          <w:divBdr>
            <w:top w:val="none" w:sz="0" w:space="0" w:color="auto"/>
            <w:left w:val="none" w:sz="0" w:space="0" w:color="auto"/>
            <w:bottom w:val="none" w:sz="0" w:space="0" w:color="auto"/>
            <w:right w:val="none" w:sz="0" w:space="0" w:color="auto"/>
          </w:divBdr>
          <w:divsChild>
            <w:div w:id="1783306670">
              <w:marLeft w:val="0"/>
              <w:marRight w:val="0"/>
              <w:marTop w:val="0"/>
              <w:marBottom w:val="0"/>
              <w:divBdr>
                <w:top w:val="none" w:sz="0" w:space="0" w:color="auto"/>
                <w:left w:val="none" w:sz="0" w:space="0" w:color="auto"/>
                <w:bottom w:val="none" w:sz="0" w:space="0" w:color="auto"/>
                <w:right w:val="none" w:sz="0" w:space="0" w:color="auto"/>
              </w:divBdr>
              <w:divsChild>
                <w:div w:id="1658075920">
                  <w:marLeft w:val="0"/>
                  <w:marRight w:val="0"/>
                  <w:marTop w:val="0"/>
                  <w:marBottom w:val="0"/>
                  <w:divBdr>
                    <w:top w:val="none" w:sz="0" w:space="0" w:color="auto"/>
                    <w:left w:val="none" w:sz="0" w:space="0" w:color="auto"/>
                    <w:bottom w:val="none" w:sz="0" w:space="0" w:color="auto"/>
                    <w:right w:val="none" w:sz="0" w:space="0" w:color="auto"/>
                  </w:divBdr>
                  <w:divsChild>
                    <w:div w:id="137554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42849">
      <w:bodyDiv w:val="1"/>
      <w:marLeft w:val="0"/>
      <w:marRight w:val="0"/>
      <w:marTop w:val="0"/>
      <w:marBottom w:val="0"/>
      <w:divBdr>
        <w:top w:val="none" w:sz="0" w:space="0" w:color="auto"/>
        <w:left w:val="none" w:sz="0" w:space="0" w:color="auto"/>
        <w:bottom w:val="none" w:sz="0" w:space="0" w:color="auto"/>
        <w:right w:val="none" w:sz="0" w:space="0" w:color="auto"/>
      </w:divBdr>
      <w:divsChild>
        <w:div w:id="1996716157">
          <w:marLeft w:val="0"/>
          <w:marRight w:val="0"/>
          <w:marTop w:val="0"/>
          <w:marBottom w:val="0"/>
          <w:divBdr>
            <w:top w:val="none" w:sz="0" w:space="0" w:color="auto"/>
            <w:left w:val="none" w:sz="0" w:space="0" w:color="auto"/>
            <w:bottom w:val="none" w:sz="0" w:space="0" w:color="auto"/>
            <w:right w:val="none" w:sz="0" w:space="0" w:color="auto"/>
          </w:divBdr>
          <w:divsChild>
            <w:div w:id="43702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85145">
      <w:bodyDiv w:val="1"/>
      <w:marLeft w:val="0"/>
      <w:marRight w:val="0"/>
      <w:marTop w:val="0"/>
      <w:marBottom w:val="0"/>
      <w:divBdr>
        <w:top w:val="none" w:sz="0" w:space="0" w:color="auto"/>
        <w:left w:val="none" w:sz="0" w:space="0" w:color="auto"/>
        <w:bottom w:val="none" w:sz="0" w:space="0" w:color="auto"/>
        <w:right w:val="none" w:sz="0" w:space="0" w:color="auto"/>
      </w:divBdr>
    </w:div>
    <w:div w:id="81951608">
      <w:bodyDiv w:val="1"/>
      <w:marLeft w:val="0"/>
      <w:marRight w:val="0"/>
      <w:marTop w:val="0"/>
      <w:marBottom w:val="0"/>
      <w:divBdr>
        <w:top w:val="none" w:sz="0" w:space="0" w:color="auto"/>
        <w:left w:val="none" w:sz="0" w:space="0" w:color="auto"/>
        <w:bottom w:val="none" w:sz="0" w:space="0" w:color="auto"/>
        <w:right w:val="none" w:sz="0" w:space="0" w:color="auto"/>
      </w:divBdr>
    </w:div>
    <w:div w:id="84694069">
      <w:bodyDiv w:val="1"/>
      <w:marLeft w:val="0"/>
      <w:marRight w:val="0"/>
      <w:marTop w:val="0"/>
      <w:marBottom w:val="0"/>
      <w:divBdr>
        <w:top w:val="none" w:sz="0" w:space="0" w:color="auto"/>
        <w:left w:val="none" w:sz="0" w:space="0" w:color="auto"/>
        <w:bottom w:val="none" w:sz="0" w:space="0" w:color="auto"/>
        <w:right w:val="none" w:sz="0" w:space="0" w:color="auto"/>
      </w:divBdr>
      <w:divsChild>
        <w:div w:id="967051475">
          <w:marLeft w:val="0"/>
          <w:marRight w:val="0"/>
          <w:marTop w:val="0"/>
          <w:marBottom w:val="0"/>
          <w:divBdr>
            <w:top w:val="none" w:sz="0" w:space="0" w:color="auto"/>
            <w:left w:val="none" w:sz="0" w:space="0" w:color="auto"/>
            <w:bottom w:val="none" w:sz="0" w:space="0" w:color="auto"/>
            <w:right w:val="none" w:sz="0" w:space="0" w:color="auto"/>
          </w:divBdr>
          <w:divsChild>
            <w:div w:id="873347177">
              <w:marLeft w:val="0"/>
              <w:marRight w:val="0"/>
              <w:marTop w:val="0"/>
              <w:marBottom w:val="0"/>
              <w:divBdr>
                <w:top w:val="none" w:sz="0" w:space="0" w:color="auto"/>
                <w:left w:val="none" w:sz="0" w:space="0" w:color="auto"/>
                <w:bottom w:val="none" w:sz="0" w:space="0" w:color="auto"/>
                <w:right w:val="none" w:sz="0" w:space="0" w:color="auto"/>
              </w:divBdr>
              <w:divsChild>
                <w:div w:id="104309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170837">
          <w:marLeft w:val="0"/>
          <w:marRight w:val="0"/>
          <w:marTop w:val="0"/>
          <w:marBottom w:val="0"/>
          <w:divBdr>
            <w:top w:val="none" w:sz="0" w:space="0" w:color="auto"/>
            <w:left w:val="none" w:sz="0" w:space="0" w:color="auto"/>
            <w:bottom w:val="none" w:sz="0" w:space="0" w:color="auto"/>
            <w:right w:val="none" w:sz="0" w:space="0" w:color="auto"/>
          </w:divBdr>
          <w:divsChild>
            <w:div w:id="1430202148">
              <w:marLeft w:val="0"/>
              <w:marRight w:val="0"/>
              <w:marTop w:val="0"/>
              <w:marBottom w:val="0"/>
              <w:divBdr>
                <w:top w:val="none" w:sz="0" w:space="0" w:color="auto"/>
                <w:left w:val="none" w:sz="0" w:space="0" w:color="auto"/>
                <w:bottom w:val="none" w:sz="0" w:space="0" w:color="auto"/>
                <w:right w:val="none" w:sz="0" w:space="0" w:color="auto"/>
              </w:divBdr>
              <w:divsChild>
                <w:div w:id="4720012">
                  <w:marLeft w:val="0"/>
                  <w:marRight w:val="0"/>
                  <w:marTop w:val="0"/>
                  <w:marBottom w:val="0"/>
                  <w:divBdr>
                    <w:top w:val="none" w:sz="0" w:space="0" w:color="auto"/>
                    <w:left w:val="none" w:sz="0" w:space="0" w:color="auto"/>
                    <w:bottom w:val="none" w:sz="0" w:space="0" w:color="auto"/>
                    <w:right w:val="none" w:sz="0" w:space="0" w:color="auto"/>
                  </w:divBdr>
                </w:div>
              </w:divsChild>
            </w:div>
            <w:div w:id="2026470434">
              <w:marLeft w:val="0"/>
              <w:marRight w:val="0"/>
              <w:marTop w:val="0"/>
              <w:marBottom w:val="0"/>
              <w:divBdr>
                <w:top w:val="none" w:sz="0" w:space="0" w:color="auto"/>
                <w:left w:val="none" w:sz="0" w:space="0" w:color="auto"/>
                <w:bottom w:val="none" w:sz="0" w:space="0" w:color="auto"/>
                <w:right w:val="none" w:sz="0" w:space="0" w:color="auto"/>
              </w:divBdr>
              <w:divsChild>
                <w:div w:id="2133670889">
                  <w:marLeft w:val="0"/>
                  <w:marRight w:val="0"/>
                  <w:marTop w:val="0"/>
                  <w:marBottom w:val="0"/>
                  <w:divBdr>
                    <w:top w:val="none" w:sz="0" w:space="0" w:color="auto"/>
                    <w:left w:val="none" w:sz="0" w:space="0" w:color="auto"/>
                    <w:bottom w:val="none" w:sz="0" w:space="0" w:color="auto"/>
                    <w:right w:val="none" w:sz="0" w:space="0" w:color="auto"/>
                  </w:divBdr>
                </w:div>
              </w:divsChild>
            </w:div>
            <w:div w:id="2094350761">
              <w:marLeft w:val="0"/>
              <w:marRight w:val="0"/>
              <w:marTop w:val="0"/>
              <w:marBottom w:val="0"/>
              <w:divBdr>
                <w:top w:val="none" w:sz="0" w:space="0" w:color="auto"/>
                <w:left w:val="none" w:sz="0" w:space="0" w:color="auto"/>
                <w:bottom w:val="none" w:sz="0" w:space="0" w:color="auto"/>
                <w:right w:val="none" w:sz="0" w:space="0" w:color="auto"/>
              </w:divBdr>
              <w:divsChild>
                <w:div w:id="56348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78567">
      <w:bodyDiv w:val="1"/>
      <w:marLeft w:val="0"/>
      <w:marRight w:val="0"/>
      <w:marTop w:val="0"/>
      <w:marBottom w:val="0"/>
      <w:divBdr>
        <w:top w:val="none" w:sz="0" w:space="0" w:color="auto"/>
        <w:left w:val="none" w:sz="0" w:space="0" w:color="auto"/>
        <w:bottom w:val="none" w:sz="0" w:space="0" w:color="auto"/>
        <w:right w:val="none" w:sz="0" w:space="0" w:color="auto"/>
      </w:divBdr>
      <w:divsChild>
        <w:div w:id="1258516051">
          <w:marLeft w:val="0"/>
          <w:marRight w:val="0"/>
          <w:marTop w:val="0"/>
          <w:marBottom w:val="0"/>
          <w:divBdr>
            <w:top w:val="none" w:sz="0" w:space="0" w:color="auto"/>
            <w:left w:val="none" w:sz="0" w:space="0" w:color="auto"/>
            <w:bottom w:val="none" w:sz="0" w:space="0" w:color="auto"/>
            <w:right w:val="none" w:sz="0" w:space="0" w:color="auto"/>
          </w:divBdr>
          <w:divsChild>
            <w:div w:id="545678592">
              <w:marLeft w:val="0"/>
              <w:marRight w:val="0"/>
              <w:marTop w:val="0"/>
              <w:marBottom w:val="0"/>
              <w:divBdr>
                <w:top w:val="none" w:sz="0" w:space="0" w:color="auto"/>
                <w:left w:val="none" w:sz="0" w:space="0" w:color="auto"/>
                <w:bottom w:val="none" w:sz="0" w:space="0" w:color="auto"/>
                <w:right w:val="none" w:sz="0" w:space="0" w:color="auto"/>
              </w:divBdr>
              <w:divsChild>
                <w:div w:id="38151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4041">
      <w:bodyDiv w:val="1"/>
      <w:marLeft w:val="0"/>
      <w:marRight w:val="0"/>
      <w:marTop w:val="0"/>
      <w:marBottom w:val="0"/>
      <w:divBdr>
        <w:top w:val="none" w:sz="0" w:space="0" w:color="auto"/>
        <w:left w:val="none" w:sz="0" w:space="0" w:color="auto"/>
        <w:bottom w:val="none" w:sz="0" w:space="0" w:color="auto"/>
        <w:right w:val="none" w:sz="0" w:space="0" w:color="auto"/>
      </w:divBdr>
    </w:div>
    <w:div w:id="122238612">
      <w:bodyDiv w:val="1"/>
      <w:marLeft w:val="0"/>
      <w:marRight w:val="0"/>
      <w:marTop w:val="0"/>
      <w:marBottom w:val="0"/>
      <w:divBdr>
        <w:top w:val="none" w:sz="0" w:space="0" w:color="auto"/>
        <w:left w:val="none" w:sz="0" w:space="0" w:color="auto"/>
        <w:bottom w:val="none" w:sz="0" w:space="0" w:color="auto"/>
        <w:right w:val="none" w:sz="0" w:space="0" w:color="auto"/>
      </w:divBdr>
    </w:div>
    <w:div w:id="130484668">
      <w:bodyDiv w:val="1"/>
      <w:marLeft w:val="0"/>
      <w:marRight w:val="0"/>
      <w:marTop w:val="0"/>
      <w:marBottom w:val="0"/>
      <w:divBdr>
        <w:top w:val="none" w:sz="0" w:space="0" w:color="auto"/>
        <w:left w:val="none" w:sz="0" w:space="0" w:color="auto"/>
        <w:bottom w:val="none" w:sz="0" w:space="0" w:color="auto"/>
        <w:right w:val="none" w:sz="0" w:space="0" w:color="auto"/>
      </w:divBdr>
    </w:div>
    <w:div w:id="143277738">
      <w:bodyDiv w:val="1"/>
      <w:marLeft w:val="0"/>
      <w:marRight w:val="0"/>
      <w:marTop w:val="0"/>
      <w:marBottom w:val="0"/>
      <w:divBdr>
        <w:top w:val="none" w:sz="0" w:space="0" w:color="auto"/>
        <w:left w:val="none" w:sz="0" w:space="0" w:color="auto"/>
        <w:bottom w:val="none" w:sz="0" w:space="0" w:color="auto"/>
        <w:right w:val="none" w:sz="0" w:space="0" w:color="auto"/>
      </w:divBdr>
    </w:div>
    <w:div w:id="151221377">
      <w:bodyDiv w:val="1"/>
      <w:marLeft w:val="0"/>
      <w:marRight w:val="0"/>
      <w:marTop w:val="0"/>
      <w:marBottom w:val="0"/>
      <w:divBdr>
        <w:top w:val="none" w:sz="0" w:space="0" w:color="auto"/>
        <w:left w:val="none" w:sz="0" w:space="0" w:color="auto"/>
        <w:bottom w:val="none" w:sz="0" w:space="0" w:color="auto"/>
        <w:right w:val="none" w:sz="0" w:space="0" w:color="auto"/>
      </w:divBdr>
    </w:div>
    <w:div w:id="155416842">
      <w:bodyDiv w:val="1"/>
      <w:marLeft w:val="0"/>
      <w:marRight w:val="0"/>
      <w:marTop w:val="0"/>
      <w:marBottom w:val="0"/>
      <w:divBdr>
        <w:top w:val="none" w:sz="0" w:space="0" w:color="auto"/>
        <w:left w:val="none" w:sz="0" w:space="0" w:color="auto"/>
        <w:bottom w:val="none" w:sz="0" w:space="0" w:color="auto"/>
        <w:right w:val="none" w:sz="0" w:space="0" w:color="auto"/>
      </w:divBdr>
    </w:div>
    <w:div w:id="160196382">
      <w:bodyDiv w:val="1"/>
      <w:marLeft w:val="0"/>
      <w:marRight w:val="0"/>
      <w:marTop w:val="0"/>
      <w:marBottom w:val="0"/>
      <w:divBdr>
        <w:top w:val="none" w:sz="0" w:space="0" w:color="auto"/>
        <w:left w:val="none" w:sz="0" w:space="0" w:color="auto"/>
        <w:bottom w:val="none" w:sz="0" w:space="0" w:color="auto"/>
        <w:right w:val="none" w:sz="0" w:space="0" w:color="auto"/>
      </w:divBdr>
    </w:div>
    <w:div w:id="161510988">
      <w:bodyDiv w:val="1"/>
      <w:marLeft w:val="0"/>
      <w:marRight w:val="0"/>
      <w:marTop w:val="0"/>
      <w:marBottom w:val="0"/>
      <w:divBdr>
        <w:top w:val="none" w:sz="0" w:space="0" w:color="auto"/>
        <w:left w:val="none" w:sz="0" w:space="0" w:color="auto"/>
        <w:bottom w:val="none" w:sz="0" w:space="0" w:color="auto"/>
        <w:right w:val="none" w:sz="0" w:space="0" w:color="auto"/>
      </w:divBdr>
    </w:div>
    <w:div w:id="171263489">
      <w:bodyDiv w:val="1"/>
      <w:marLeft w:val="0"/>
      <w:marRight w:val="0"/>
      <w:marTop w:val="0"/>
      <w:marBottom w:val="0"/>
      <w:divBdr>
        <w:top w:val="none" w:sz="0" w:space="0" w:color="auto"/>
        <w:left w:val="none" w:sz="0" w:space="0" w:color="auto"/>
        <w:bottom w:val="none" w:sz="0" w:space="0" w:color="auto"/>
        <w:right w:val="none" w:sz="0" w:space="0" w:color="auto"/>
      </w:divBdr>
      <w:divsChild>
        <w:div w:id="1809320958">
          <w:marLeft w:val="0"/>
          <w:marRight w:val="0"/>
          <w:marTop w:val="0"/>
          <w:marBottom w:val="0"/>
          <w:divBdr>
            <w:top w:val="none" w:sz="0" w:space="0" w:color="auto"/>
            <w:left w:val="none" w:sz="0" w:space="0" w:color="auto"/>
            <w:bottom w:val="none" w:sz="0" w:space="0" w:color="auto"/>
            <w:right w:val="none" w:sz="0" w:space="0" w:color="auto"/>
          </w:divBdr>
          <w:divsChild>
            <w:div w:id="1671710684">
              <w:marLeft w:val="0"/>
              <w:marRight w:val="0"/>
              <w:marTop w:val="0"/>
              <w:marBottom w:val="0"/>
              <w:divBdr>
                <w:top w:val="none" w:sz="0" w:space="0" w:color="auto"/>
                <w:left w:val="none" w:sz="0" w:space="0" w:color="auto"/>
                <w:bottom w:val="none" w:sz="0" w:space="0" w:color="auto"/>
                <w:right w:val="none" w:sz="0" w:space="0" w:color="auto"/>
              </w:divBdr>
              <w:divsChild>
                <w:div w:id="98219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35964">
      <w:bodyDiv w:val="1"/>
      <w:marLeft w:val="0"/>
      <w:marRight w:val="0"/>
      <w:marTop w:val="0"/>
      <w:marBottom w:val="0"/>
      <w:divBdr>
        <w:top w:val="none" w:sz="0" w:space="0" w:color="auto"/>
        <w:left w:val="none" w:sz="0" w:space="0" w:color="auto"/>
        <w:bottom w:val="none" w:sz="0" w:space="0" w:color="auto"/>
        <w:right w:val="none" w:sz="0" w:space="0" w:color="auto"/>
      </w:divBdr>
      <w:divsChild>
        <w:div w:id="674186098">
          <w:marLeft w:val="0"/>
          <w:marRight w:val="0"/>
          <w:marTop w:val="0"/>
          <w:marBottom w:val="0"/>
          <w:divBdr>
            <w:top w:val="none" w:sz="0" w:space="0" w:color="auto"/>
            <w:left w:val="none" w:sz="0" w:space="0" w:color="auto"/>
            <w:bottom w:val="none" w:sz="0" w:space="0" w:color="auto"/>
            <w:right w:val="none" w:sz="0" w:space="0" w:color="auto"/>
          </w:divBdr>
          <w:divsChild>
            <w:div w:id="353070676">
              <w:marLeft w:val="0"/>
              <w:marRight w:val="0"/>
              <w:marTop w:val="0"/>
              <w:marBottom w:val="0"/>
              <w:divBdr>
                <w:top w:val="none" w:sz="0" w:space="0" w:color="auto"/>
                <w:left w:val="none" w:sz="0" w:space="0" w:color="auto"/>
                <w:bottom w:val="none" w:sz="0" w:space="0" w:color="auto"/>
                <w:right w:val="none" w:sz="0" w:space="0" w:color="auto"/>
              </w:divBdr>
              <w:divsChild>
                <w:div w:id="12392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25316">
      <w:bodyDiv w:val="1"/>
      <w:marLeft w:val="0"/>
      <w:marRight w:val="0"/>
      <w:marTop w:val="0"/>
      <w:marBottom w:val="0"/>
      <w:divBdr>
        <w:top w:val="none" w:sz="0" w:space="0" w:color="auto"/>
        <w:left w:val="none" w:sz="0" w:space="0" w:color="auto"/>
        <w:bottom w:val="none" w:sz="0" w:space="0" w:color="auto"/>
        <w:right w:val="none" w:sz="0" w:space="0" w:color="auto"/>
      </w:divBdr>
      <w:divsChild>
        <w:div w:id="912354278">
          <w:marLeft w:val="0"/>
          <w:marRight w:val="0"/>
          <w:marTop w:val="0"/>
          <w:marBottom w:val="0"/>
          <w:divBdr>
            <w:top w:val="none" w:sz="0" w:space="0" w:color="auto"/>
            <w:left w:val="none" w:sz="0" w:space="0" w:color="auto"/>
            <w:bottom w:val="none" w:sz="0" w:space="0" w:color="auto"/>
            <w:right w:val="none" w:sz="0" w:space="0" w:color="auto"/>
          </w:divBdr>
          <w:divsChild>
            <w:div w:id="1815440800">
              <w:marLeft w:val="0"/>
              <w:marRight w:val="0"/>
              <w:marTop w:val="0"/>
              <w:marBottom w:val="0"/>
              <w:divBdr>
                <w:top w:val="none" w:sz="0" w:space="0" w:color="auto"/>
                <w:left w:val="none" w:sz="0" w:space="0" w:color="auto"/>
                <w:bottom w:val="none" w:sz="0" w:space="0" w:color="auto"/>
                <w:right w:val="none" w:sz="0" w:space="0" w:color="auto"/>
              </w:divBdr>
              <w:divsChild>
                <w:div w:id="173836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15931">
      <w:bodyDiv w:val="1"/>
      <w:marLeft w:val="0"/>
      <w:marRight w:val="0"/>
      <w:marTop w:val="0"/>
      <w:marBottom w:val="0"/>
      <w:divBdr>
        <w:top w:val="none" w:sz="0" w:space="0" w:color="auto"/>
        <w:left w:val="none" w:sz="0" w:space="0" w:color="auto"/>
        <w:bottom w:val="none" w:sz="0" w:space="0" w:color="auto"/>
        <w:right w:val="none" w:sz="0" w:space="0" w:color="auto"/>
      </w:divBdr>
      <w:divsChild>
        <w:div w:id="812214503">
          <w:marLeft w:val="0"/>
          <w:marRight w:val="0"/>
          <w:marTop w:val="0"/>
          <w:marBottom w:val="0"/>
          <w:divBdr>
            <w:top w:val="none" w:sz="0" w:space="0" w:color="auto"/>
            <w:left w:val="none" w:sz="0" w:space="0" w:color="auto"/>
            <w:bottom w:val="none" w:sz="0" w:space="0" w:color="auto"/>
            <w:right w:val="none" w:sz="0" w:space="0" w:color="auto"/>
          </w:divBdr>
          <w:divsChild>
            <w:div w:id="2041741172">
              <w:marLeft w:val="0"/>
              <w:marRight w:val="0"/>
              <w:marTop w:val="0"/>
              <w:marBottom w:val="0"/>
              <w:divBdr>
                <w:top w:val="none" w:sz="0" w:space="0" w:color="auto"/>
                <w:left w:val="none" w:sz="0" w:space="0" w:color="auto"/>
                <w:bottom w:val="none" w:sz="0" w:space="0" w:color="auto"/>
                <w:right w:val="none" w:sz="0" w:space="0" w:color="auto"/>
              </w:divBdr>
              <w:divsChild>
                <w:div w:id="201499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28673">
      <w:bodyDiv w:val="1"/>
      <w:marLeft w:val="0"/>
      <w:marRight w:val="0"/>
      <w:marTop w:val="0"/>
      <w:marBottom w:val="0"/>
      <w:divBdr>
        <w:top w:val="none" w:sz="0" w:space="0" w:color="auto"/>
        <w:left w:val="none" w:sz="0" w:space="0" w:color="auto"/>
        <w:bottom w:val="none" w:sz="0" w:space="0" w:color="auto"/>
        <w:right w:val="none" w:sz="0" w:space="0" w:color="auto"/>
      </w:divBdr>
    </w:div>
    <w:div w:id="189690670">
      <w:bodyDiv w:val="1"/>
      <w:marLeft w:val="0"/>
      <w:marRight w:val="0"/>
      <w:marTop w:val="0"/>
      <w:marBottom w:val="0"/>
      <w:divBdr>
        <w:top w:val="none" w:sz="0" w:space="0" w:color="auto"/>
        <w:left w:val="none" w:sz="0" w:space="0" w:color="auto"/>
        <w:bottom w:val="none" w:sz="0" w:space="0" w:color="auto"/>
        <w:right w:val="none" w:sz="0" w:space="0" w:color="auto"/>
      </w:divBdr>
      <w:divsChild>
        <w:div w:id="493182799">
          <w:marLeft w:val="0"/>
          <w:marRight w:val="0"/>
          <w:marTop w:val="0"/>
          <w:marBottom w:val="0"/>
          <w:divBdr>
            <w:top w:val="none" w:sz="0" w:space="0" w:color="auto"/>
            <w:left w:val="none" w:sz="0" w:space="0" w:color="auto"/>
            <w:bottom w:val="none" w:sz="0" w:space="0" w:color="auto"/>
            <w:right w:val="none" w:sz="0" w:space="0" w:color="auto"/>
          </w:divBdr>
          <w:divsChild>
            <w:div w:id="1415666401">
              <w:marLeft w:val="0"/>
              <w:marRight w:val="0"/>
              <w:marTop w:val="0"/>
              <w:marBottom w:val="0"/>
              <w:divBdr>
                <w:top w:val="none" w:sz="0" w:space="0" w:color="auto"/>
                <w:left w:val="none" w:sz="0" w:space="0" w:color="auto"/>
                <w:bottom w:val="none" w:sz="0" w:space="0" w:color="auto"/>
                <w:right w:val="none" w:sz="0" w:space="0" w:color="auto"/>
              </w:divBdr>
              <w:divsChild>
                <w:div w:id="6464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9798">
      <w:bodyDiv w:val="1"/>
      <w:marLeft w:val="0"/>
      <w:marRight w:val="0"/>
      <w:marTop w:val="0"/>
      <w:marBottom w:val="0"/>
      <w:divBdr>
        <w:top w:val="none" w:sz="0" w:space="0" w:color="auto"/>
        <w:left w:val="none" w:sz="0" w:space="0" w:color="auto"/>
        <w:bottom w:val="none" w:sz="0" w:space="0" w:color="auto"/>
        <w:right w:val="none" w:sz="0" w:space="0" w:color="auto"/>
      </w:divBdr>
    </w:div>
    <w:div w:id="201132724">
      <w:bodyDiv w:val="1"/>
      <w:marLeft w:val="0"/>
      <w:marRight w:val="0"/>
      <w:marTop w:val="0"/>
      <w:marBottom w:val="0"/>
      <w:divBdr>
        <w:top w:val="none" w:sz="0" w:space="0" w:color="auto"/>
        <w:left w:val="none" w:sz="0" w:space="0" w:color="auto"/>
        <w:bottom w:val="none" w:sz="0" w:space="0" w:color="auto"/>
        <w:right w:val="none" w:sz="0" w:space="0" w:color="auto"/>
      </w:divBdr>
    </w:div>
    <w:div w:id="225066131">
      <w:bodyDiv w:val="1"/>
      <w:marLeft w:val="0"/>
      <w:marRight w:val="0"/>
      <w:marTop w:val="0"/>
      <w:marBottom w:val="0"/>
      <w:divBdr>
        <w:top w:val="none" w:sz="0" w:space="0" w:color="auto"/>
        <w:left w:val="none" w:sz="0" w:space="0" w:color="auto"/>
        <w:bottom w:val="none" w:sz="0" w:space="0" w:color="auto"/>
        <w:right w:val="none" w:sz="0" w:space="0" w:color="auto"/>
      </w:divBdr>
    </w:div>
    <w:div w:id="228346715">
      <w:bodyDiv w:val="1"/>
      <w:marLeft w:val="0"/>
      <w:marRight w:val="0"/>
      <w:marTop w:val="0"/>
      <w:marBottom w:val="0"/>
      <w:divBdr>
        <w:top w:val="none" w:sz="0" w:space="0" w:color="auto"/>
        <w:left w:val="none" w:sz="0" w:space="0" w:color="auto"/>
        <w:bottom w:val="none" w:sz="0" w:space="0" w:color="auto"/>
        <w:right w:val="none" w:sz="0" w:space="0" w:color="auto"/>
      </w:divBdr>
      <w:divsChild>
        <w:div w:id="458839837">
          <w:marLeft w:val="0"/>
          <w:marRight w:val="0"/>
          <w:marTop w:val="0"/>
          <w:marBottom w:val="0"/>
          <w:divBdr>
            <w:top w:val="none" w:sz="0" w:space="0" w:color="auto"/>
            <w:left w:val="none" w:sz="0" w:space="0" w:color="auto"/>
            <w:bottom w:val="none" w:sz="0" w:space="0" w:color="auto"/>
            <w:right w:val="none" w:sz="0" w:space="0" w:color="auto"/>
          </w:divBdr>
          <w:divsChild>
            <w:div w:id="820736756">
              <w:marLeft w:val="0"/>
              <w:marRight w:val="0"/>
              <w:marTop w:val="0"/>
              <w:marBottom w:val="0"/>
              <w:divBdr>
                <w:top w:val="none" w:sz="0" w:space="0" w:color="auto"/>
                <w:left w:val="none" w:sz="0" w:space="0" w:color="auto"/>
                <w:bottom w:val="none" w:sz="0" w:space="0" w:color="auto"/>
                <w:right w:val="none" w:sz="0" w:space="0" w:color="auto"/>
              </w:divBdr>
              <w:divsChild>
                <w:div w:id="149665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165681">
      <w:bodyDiv w:val="1"/>
      <w:marLeft w:val="0"/>
      <w:marRight w:val="0"/>
      <w:marTop w:val="0"/>
      <w:marBottom w:val="0"/>
      <w:divBdr>
        <w:top w:val="none" w:sz="0" w:space="0" w:color="auto"/>
        <w:left w:val="none" w:sz="0" w:space="0" w:color="auto"/>
        <w:bottom w:val="none" w:sz="0" w:space="0" w:color="auto"/>
        <w:right w:val="none" w:sz="0" w:space="0" w:color="auto"/>
      </w:divBdr>
    </w:div>
    <w:div w:id="232205117">
      <w:bodyDiv w:val="1"/>
      <w:marLeft w:val="0"/>
      <w:marRight w:val="0"/>
      <w:marTop w:val="0"/>
      <w:marBottom w:val="0"/>
      <w:divBdr>
        <w:top w:val="none" w:sz="0" w:space="0" w:color="auto"/>
        <w:left w:val="none" w:sz="0" w:space="0" w:color="auto"/>
        <w:bottom w:val="none" w:sz="0" w:space="0" w:color="auto"/>
        <w:right w:val="none" w:sz="0" w:space="0" w:color="auto"/>
      </w:divBdr>
    </w:div>
    <w:div w:id="236794668">
      <w:bodyDiv w:val="1"/>
      <w:marLeft w:val="0"/>
      <w:marRight w:val="0"/>
      <w:marTop w:val="0"/>
      <w:marBottom w:val="0"/>
      <w:divBdr>
        <w:top w:val="none" w:sz="0" w:space="0" w:color="auto"/>
        <w:left w:val="none" w:sz="0" w:space="0" w:color="auto"/>
        <w:bottom w:val="none" w:sz="0" w:space="0" w:color="auto"/>
        <w:right w:val="none" w:sz="0" w:space="0" w:color="auto"/>
      </w:divBdr>
      <w:divsChild>
        <w:div w:id="1657218561">
          <w:marLeft w:val="0"/>
          <w:marRight w:val="0"/>
          <w:marTop w:val="0"/>
          <w:marBottom w:val="0"/>
          <w:divBdr>
            <w:top w:val="none" w:sz="0" w:space="0" w:color="auto"/>
            <w:left w:val="none" w:sz="0" w:space="0" w:color="auto"/>
            <w:bottom w:val="none" w:sz="0" w:space="0" w:color="auto"/>
            <w:right w:val="none" w:sz="0" w:space="0" w:color="auto"/>
          </w:divBdr>
          <w:divsChild>
            <w:div w:id="1094209134">
              <w:marLeft w:val="0"/>
              <w:marRight w:val="0"/>
              <w:marTop w:val="0"/>
              <w:marBottom w:val="0"/>
              <w:divBdr>
                <w:top w:val="none" w:sz="0" w:space="0" w:color="auto"/>
                <w:left w:val="none" w:sz="0" w:space="0" w:color="auto"/>
                <w:bottom w:val="none" w:sz="0" w:space="0" w:color="auto"/>
                <w:right w:val="none" w:sz="0" w:space="0" w:color="auto"/>
              </w:divBdr>
              <w:divsChild>
                <w:div w:id="122514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152522">
      <w:bodyDiv w:val="1"/>
      <w:marLeft w:val="0"/>
      <w:marRight w:val="0"/>
      <w:marTop w:val="0"/>
      <w:marBottom w:val="0"/>
      <w:divBdr>
        <w:top w:val="none" w:sz="0" w:space="0" w:color="auto"/>
        <w:left w:val="none" w:sz="0" w:space="0" w:color="auto"/>
        <w:bottom w:val="none" w:sz="0" w:space="0" w:color="auto"/>
        <w:right w:val="none" w:sz="0" w:space="0" w:color="auto"/>
      </w:divBdr>
    </w:div>
    <w:div w:id="249390428">
      <w:bodyDiv w:val="1"/>
      <w:marLeft w:val="0"/>
      <w:marRight w:val="0"/>
      <w:marTop w:val="0"/>
      <w:marBottom w:val="0"/>
      <w:divBdr>
        <w:top w:val="none" w:sz="0" w:space="0" w:color="auto"/>
        <w:left w:val="none" w:sz="0" w:space="0" w:color="auto"/>
        <w:bottom w:val="none" w:sz="0" w:space="0" w:color="auto"/>
        <w:right w:val="none" w:sz="0" w:space="0" w:color="auto"/>
      </w:divBdr>
    </w:div>
    <w:div w:id="253246544">
      <w:bodyDiv w:val="1"/>
      <w:marLeft w:val="0"/>
      <w:marRight w:val="0"/>
      <w:marTop w:val="0"/>
      <w:marBottom w:val="0"/>
      <w:divBdr>
        <w:top w:val="none" w:sz="0" w:space="0" w:color="auto"/>
        <w:left w:val="none" w:sz="0" w:space="0" w:color="auto"/>
        <w:bottom w:val="none" w:sz="0" w:space="0" w:color="auto"/>
        <w:right w:val="none" w:sz="0" w:space="0" w:color="auto"/>
      </w:divBdr>
    </w:div>
    <w:div w:id="254436650">
      <w:bodyDiv w:val="1"/>
      <w:marLeft w:val="0"/>
      <w:marRight w:val="0"/>
      <w:marTop w:val="0"/>
      <w:marBottom w:val="0"/>
      <w:divBdr>
        <w:top w:val="none" w:sz="0" w:space="0" w:color="auto"/>
        <w:left w:val="none" w:sz="0" w:space="0" w:color="auto"/>
        <w:bottom w:val="none" w:sz="0" w:space="0" w:color="auto"/>
        <w:right w:val="none" w:sz="0" w:space="0" w:color="auto"/>
      </w:divBdr>
    </w:div>
    <w:div w:id="256985694">
      <w:bodyDiv w:val="1"/>
      <w:marLeft w:val="0"/>
      <w:marRight w:val="0"/>
      <w:marTop w:val="0"/>
      <w:marBottom w:val="0"/>
      <w:divBdr>
        <w:top w:val="none" w:sz="0" w:space="0" w:color="auto"/>
        <w:left w:val="none" w:sz="0" w:space="0" w:color="auto"/>
        <w:bottom w:val="none" w:sz="0" w:space="0" w:color="auto"/>
        <w:right w:val="none" w:sz="0" w:space="0" w:color="auto"/>
      </w:divBdr>
    </w:div>
    <w:div w:id="263418381">
      <w:bodyDiv w:val="1"/>
      <w:marLeft w:val="0"/>
      <w:marRight w:val="0"/>
      <w:marTop w:val="0"/>
      <w:marBottom w:val="0"/>
      <w:divBdr>
        <w:top w:val="none" w:sz="0" w:space="0" w:color="auto"/>
        <w:left w:val="none" w:sz="0" w:space="0" w:color="auto"/>
        <w:bottom w:val="none" w:sz="0" w:space="0" w:color="auto"/>
        <w:right w:val="none" w:sz="0" w:space="0" w:color="auto"/>
      </w:divBdr>
      <w:divsChild>
        <w:div w:id="467476306">
          <w:marLeft w:val="0"/>
          <w:marRight w:val="0"/>
          <w:marTop w:val="0"/>
          <w:marBottom w:val="0"/>
          <w:divBdr>
            <w:top w:val="none" w:sz="0" w:space="0" w:color="auto"/>
            <w:left w:val="none" w:sz="0" w:space="0" w:color="auto"/>
            <w:bottom w:val="none" w:sz="0" w:space="0" w:color="auto"/>
            <w:right w:val="none" w:sz="0" w:space="0" w:color="auto"/>
          </w:divBdr>
          <w:divsChild>
            <w:div w:id="122702183">
              <w:marLeft w:val="0"/>
              <w:marRight w:val="0"/>
              <w:marTop w:val="0"/>
              <w:marBottom w:val="0"/>
              <w:divBdr>
                <w:top w:val="none" w:sz="0" w:space="0" w:color="auto"/>
                <w:left w:val="none" w:sz="0" w:space="0" w:color="auto"/>
                <w:bottom w:val="none" w:sz="0" w:space="0" w:color="auto"/>
                <w:right w:val="none" w:sz="0" w:space="0" w:color="auto"/>
              </w:divBdr>
              <w:divsChild>
                <w:div w:id="985934624">
                  <w:marLeft w:val="0"/>
                  <w:marRight w:val="0"/>
                  <w:marTop w:val="0"/>
                  <w:marBottom w:val="0"/>
                  <w:divBdr>
                    <w:top w:val="none" w:sz="0" w:space="0" w:color="auto"/>
                    <w:left w:val="none" w:sz="0" w:space="0" w:color="auto"/>
                    <w:bottom w:val="none" w:sz="0" w:space="0" w:color="auto"/>
                    <w:right w:val="none" w:sz="0" w:space="0" w:color="auto"/>
                  </w:divBdr>
                  <w:divsChild>
                    <w:div w:id="127494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680321">
      <w:bodyDiv w:val="1"/>
      <w:marLeft w:val="0"/>
      <w:marRight w:val="0"/>
      <w:marTop w:val="0"/>
      <w:marBottom w:val="0"/>
      <w:divBdr>
        <w:top w:val="none" w:sz="0" w:space="0" w:color="auto"/>
        <w:left w:val="none" w:sz="0" w:space="0" w:color="auto"/>
        <w:bottom w:val="none" w:sz="0" w:space="0" w:color="auto"/>
        <w:right w:val="none" w:sz="0" w:space="0" w:color="auto"/>
      </w:divBdr>
    </w:div>
    <w:div w:id="277487779">
      <w:bodyDiv w:val="1"/>
      <w:marLeft w:val="0"/>
      <w:marRight w:val="0"/>
      <w:marTop w:val="0"/>
      <w:marBottom w:val="0"/>
      <w:divBdr>
        <w:top w:val="none" w:sz="0" w:space="0" w:color="auto"/>
        <w:left w:val="none" w:sz="0" w:space="0" w:color="auto"/>
        <w:bottom w:val="none" w:sz="0" w:space="0" w:color="auto"/>
        <w:right w:val="none" w:sz="0" w:space="0" w:color="auto"/>
      </w:divBdr>
    </w:div>
    <w:div w:id="282275553">
      <w:bodyDiv w:val="1"/>
      <w:marLeft w:val="0"/>
      <w:marRight w:val="0"/>
      <w:marTop w:val="0"/>
      <w:marBottom w:val="0"/>
      <w:divBdr>
        <w:top w:val="none" w:sz="0" w:space="0" w:color="auto"/>
        <w:left w:val="none" w:sz="0" w:space="0" w:color="auto"/>
        <w:bottom w:val="none" w:sz="0" w:space="0" w:color="auto"/>
        <w:right w:val="none" w:sz="0" w:space="0" w:color="auto"/>
      </w:divBdr>
    </w:div>
    <w:div w:id="293877579">
      <w:bodyDiv w:val="1"/>
      <w:marLeft w:val="0"/>
      <w:marRight w:val="0"/>
      <w:marTop w:val="0"/>
      <w:marBottom w:val="0"/>
      <w:divBdr>
        <w:top w:val="none" w:sz="0" w:space="0" w:color="auto"/>
        <w:left w:val="none" w:sz="0" w:space="0" w:color="auto"/>
        <w:bottom w:val="none" w:sz="0" w:space="0" w:color="auto"/>
        <w:right w:val="none" w:sz="0" w:space="0" w:color="auto"/>
      </w:divBdr>
      <w:divsChild>
        <w:div w:id="1349602095">
          <w:marLeft w:val="0"/>
          <w:marRight w:val="0"/>
          <w:marTop w:val="0"/>
          <w:marBottom w:val="0"/>
          <w:divBdr>
            <w:top w:val="none" w:sz="0" w:space="0" w:color="auto"/>
            <w:left w:val="none" w:sz="0" w:space="0" w:color="auto"/>
            <w:bottom w:val="none" w:sz="0" w:space="0" w:color="auto"/>
            <w:right w:val="none" w:sz="0" w:space="0" w:color="auto"/>
          </w:divBdr>
        </w:div>
        <w:div w:id="1908495353">
          <w:marLeft w:val="0"/>
          <w:marRight w:val="0"/>
          <w:marTop w:val="0"/>
          <w:marBottom w:val="0"/>
          <w:divBdr>
            <w:top w:val="none" w:sz="0" w:space="0" w:color="auto"/>
            <w:left w:val="none" w:sz="0" w:space="0" w:color="auto"/>
            <w:bottom w:val="none" w:sz="0" w:space="0" w:color="auto"/>
            <w:right w:val="none" w:sz="0" w:space="0" w:color="auto"/>
          </w:divBdr>
        </w:div>
      </w:divsChild>
    </w:div>
    <w:div w:id="299847033">
      <w:bodyDiv w:val="1"/>
      <w:marLeft w:val="0"/>
      <w:marRight w:val="0"/>
      <w:marTop w:val="0"/>
      <w:marBottom w:val="0"/>
      <w:divBdr>
        <w:top w:val="none" w:sz="0" w:space="0" w:color="auto"/>
        <w:left w:val="none" w:sz="0" w:space="0" w:color="auto"/>
        <w:bottom w:val="none" w:sz="0" w:space="0" w:color="auto"/>
        <w:right w:val="none" w:sz="0" w:space="0" w:color="auto"/>
      </w:divBdr>
      <w:divsChild>
        <w:div w:id="930964863">
          <w:marLeft w:val="0"/>
          <w:marRight w:val="0"/>
          <w:marTop w:val="0"/>
          <w:marBottom w:val="0"/>
          <w:divBdr>
            <w:top w:val="none" w:sz="0" w:space="0" w:color="auto"/>
            <w:left w:val="none" w:sz="0" w:space="0" w:color="auto"/>
            <w:bottom w:val="none" w:sz="0" w:space="0" w:color="auto"/>
            <w:right w:val="none" w:sz="0" w:space="0" w:color="auto"/>
          </w:divBdr>
        </w:div>
        <w:div w:id="1346903259">
          <w:marLeft w:val="0"/>
          <w:marRight w:val="0"/>
          <w:marTop w:val="0"/>
          <w:marBottom w:val="0"/>
          <w:divBdr>
            <w:top w:val="none" w:sz="0" w:space="0" w:color="auto"/>
            <w:left w:val="none" w:sz="0" w:space="0" w:color="auto"/>
            <w:bottom w:val="none" w:sz="0" w:space="0" w:color="auto"/>
            <w:right w:val="none" w:sz="0" w:space="0" w:color="auto"/>
          </w:divBdr>
        </w:div>
      </w:divsChild>
    </w:div>
    <w:div w:id="299918790">
      <w:bodyDiv w:val="1"/>
      <w:marLeft w:val="0"/>
      <w:marRight w:val="0"/>
      <w:marTop w:val="0"/>
      <w:marBottom w:val="0"/>
      <w:divBdr>
        <w:top w:val="none" w:sz="0" w:space="0" w:color="auto"/>
        <w:left w:val="none" w:sz="0" w:space="0" w:color="auto"/>
        <w:bottom w:val="none" w:sz="0" w:space="0" w:color="auto"/>
        <w:right w:val="none" w:sz="0" w:space="0" w:color="auto"/>
      </w:divBdr>
    </w:div>
    <w:div w:id="301662527">
      <w:bodyDiv w:val="1"/>
      <w:marLeft w:val="0"/>
      <w:marRight w:val="0"/>
      <w:marTop w:val="0"/>
      <w:marBottom w:val="0"/>
      <w:divBdr>
        <w:top w:val="none" w:sz="0" w:space="0" w:color="auto"/>
        <w:left w:val="none" w:sz="0" w:space="0" w:color="auto"/>
        <w:bottom w:val="none" w:sz="0" w:space="0" w:color="auto"/>
        <w:right w:val="none" w:sz="0" w:space="0" w:color="auto"/>
      </w:divBdr>
    </w:div>
    <w:div w:id="306517455">
      <w:bodyDiv w:val="1"/>
      <w:marLeft w:val="0"/>
      <w:marRight w:val="0"/>
      <w:marTop w:val="0"/>
      <w:marBottom w:val="0"/>
      <w:divBdr>
        <w:top w:val="none" w:sz="0" w:space="0" w:color="auto"/>
        <w:left w:val="none" w:sz="0" w:space="0" w:color="auto"/>
        <w:bottom w:val="none" w:sz="0" w:space="0" w:color="auto"/>
        <w:right w:val="none" w:sz="0" w:space="0" w:color="auto"/>
      </w:divBdr>
    </w:div>
    <w:div w:id="311644078">
      <w:bodyDiv w:val="1"/>
      <w:marLeft w:val="0"/>
      <w:marRight w:val="0"/>
      <w:marTop w:val="0"/>
      <w:marBottom w:val="0"/>
      <w:divBdr>
        <w:top w:val="none" w:sz="0" w:space="0" w:color="auto"/>
        <w:left w:val="none" w:sz="0" w:space="0" w:color="auto"/>
        <w:bottom w:val="none" w:sz="0" w:space="0" w:color="auto"/>
        <w:right w:val="none" w:sz="0" w:space="0" w:color="auto"/>
      </w:divBdr>
    </w:div>
    <w:div w:id="313411584">
      <w:bodyDiv w:val="1"/>
      <w:marLeft w:val="0"/>
      <w:marRight w:val="0"/>
      <w:marTop w:val="0"/>
      <w:marBottom w:val="0"/>
      <w:divBdr>
        <w:top w:val="none" w:sz="0" w:space="0" w:color="auto"/>
        <w:left w:val="none" w:sz="0" w:space="0" w:color="auto"/>
        <w:bottom w:val="none" w:sz="0" w:space="0" w:color="auto"/>
        <w:right w:val="none" w:sz="0" w:space="0" w:color="auto"/>
      </w:divBdr>
      <w:divsChild>
        <w:div w:id="272714651">
          <w:marLeft w:val="0"/>
          <w:marRight w:val="0"/>
          <w:marTop w:val="0"/>
          <w:marBottom w:val="0"/>
          <w:divBdr>
            <w:top w:val="none" w:sz="0" w:space="0" w:color="auto"/>
            <w:left w:val="none" w:sz="0" w:space="0" w:color="auto"/>
            <w:bottom w:val="none" w:sz="0" w:space="0" w:color="auto"/>
            <w:right w:val="none" w:sz="0" w:space="0" w:color="auto"/>
          </w:divBdr>
          <w:divsChild>
            <w:div w:id="1305771017">
              <w:marLeft w:val="0"/>
              <w:marRight w:val="0"/>
              <w:marTop w:val="0"/>
              <w:marBottom w:val="0"/>
              <w:divBdr>
                <w:top w:val="none" w:sz="0" w:space="0" w:color="auto"/>
                <w:left w:val="none" w:sz="0" w:space="0" w:color="auto"/>
                <w:bottom w:val="none" w:sz="0" w:space="0" w:color="auto"/>
                <w:right w:val="none" w:sz="0" w:space="0" w:color="auto"/>
              </w:divBdr>
              <w:divsChild>
                <w:div w:id="193331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689425">
      <w:bodyDiv w:val="1"/>
      <w:marLeft w:val="0"/>
      <w:marRight w:val="0"/>
      <w:marTop w:val="0"/>
      <w:marBottom w:val="0"/>
      <w:divBdr>
        <w:top w:val="none" w:sz="0" w:space="0" w:color="auto"/>
        <w:left w:val="none" w:sz="0" w:space="0" w:color="auto"/>
        <w:bottom w:val="none" w:sz="0" w:space="0" w:color="auto"/>
        <w:right w:val="none" w:sz="0" w:space="0" w:color="auto"/>
      </w:divBdr>
      <w:divsChild>
        <w:div w:id="1454985189">
          <w:marLeft w:val="0"/>
          <w:marRight w:val="0"/>
          <w:marTop w:val="0"/>
          <w:marBottom w:val="0"/>
          <w:divBdr>
            <w:top w:val="none" w:sz="0" w:space="0" w:color="auto"/>
            <w:left w:val="none" w:sz="0" w:space="0" w:color="auto"/>
            <w:bottom w:val="none" w:sz="0" w:space="0" w:color="auto"/>
            <w:right w:val="none" w:sz="0" w:space="0" w:color="auto"/>
          </w:divBdr>
          <w:divsChild>
            <w:div w:id="885334077">
              <w:marLeft w:val="0"/>
              <w:marRight w:val="0"/>
              <w:marTop w:val="0"/>
              <w:marBottom w:val="0"/>
              <w:divBdr>
                <w:top w:val="none" w:sz="0" w:space="0" w:color="auto"/>
                <w:left w:val="none" w:sz="0" w:space="0" w:color="auto"/>
                <w:bottom w:val="none" w:sz="0" w:space="0" w:color="auto"/>
                <w:right w:val="none" w:sz="0" w:space="0" w:color="auto"/>
              </w:divBdr>
              <w:divsChild>
                <w:div w:id="197436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782817">
      <w:bodyDiv w:val="1"/>
      <w:marLeft w:val="0"/>
      <w:marRight w:val="0"/>
      <w:marTop w:val="0"/>
      <w:marBottom w:val="0"/>
      <w:divBdr>
        <w:top w:val="none" w:sz="0" w:space="0" w:color="auto"/>
        <w:left w:val="none" w:sz="0" w:space="0" w:color="auto"/>
        <w:bottom w:val="none" w:sz="0" w:space="0" w:color="auto"/>
        <w:right w:val="none" w:sz="0" w:space="0" w:color="auto"/>
      </w:divBdr>
    </w:div>
    <w:div w:id="324435900">
      <w:bodyDiv w:val="1"/>
      <w:marLeft w:val="0"/>
      <w:marRight w:val="0"/>
      <w:marTop w:val="0"/>
      <w:marBottom w:val="0"/>
      <w:divBdr>
        <w:top w:val="none" w:sz="0" w:space="0" w:color="auto"/>
        <w:left w:val="none" w:sz="0" w:space="0" w:color="auto"/>
        <w:bottom w:val="none" w:sz="0" w:space="0" w:color="auto"/>
        <w:right w:val="none" w:sz="0" w:space="0" w:color="auto"/>
      </w:divBdr>
    </w:div>
    <w:div w:id="327102426">
      <w:bodyDiv w:val="1"/>
      <w:marLeft w:val="0"/>
      <w:marRight w:val="0"/>
      <w:marTop w:val="0"/>
      <w:marBottom w:val="0"/>
      <w:divBdr>
        <w:top w:val="none" w:sz="0" w:space="0" w:color="auto"/>
        <w:left w:val="none" w:sz="0" w:space="0" w:color="auto"/>
        <w:bottom w:val="none" w:sz="0" w:space="0" w:color="auto"/>
        <w:right w:val="none" w:sz="0" w:space="0" w:color="auto"/>
      </w:divBdr>
    </w:div>
    <w:div w:id="327296472">
      <w:bodyDiv w:val="1"/>
      <w:marLeft w:val="0"/>
      <w:marRight w:val="0"/>
      <w:marTop w:val="0"/>
      <w:marBottom w:val="0"/>
      <w:divBdr>
        <w:top w:val="none" w:sz="0" w:space="0" w:color="auto"/>
        <w:left w:val="none" w:sz="0" w:space="0" w:color="auto"/>
        <w:bottom w:val="none" w:sz="0" w:space="0" w:color="auto"/>
        <w:right w:val="none" w:sz="0" w:space="0" w:color="auto"/>
      </w:divBdr>
      <w:divsChild>
        <w:div w:id="641468197">
          <w:marLeft w:val="0"/>
          <w:marRight w:val="0"/>
          <w:marTop w:val="0"/>
          <w:marBottom w:val="0"/>
          <w:divBdr>
            <w:top w:val="none" w:sz="0" w:space="0" w:color="auto"/>
            <w:left w:val="none" w:sz="0" w:space="0" w:color="auto"/>
            <w:bottom w:val="none" w:sz="0" w:space="0" w:color="auto"/>
            <w:right w:val="none" w:sz="0" w:space="0" w:color="auto"/>
          </w:divBdr>
          <w:divsChild>
            <w:div w:id="294526555">
              <w:marLeft w:val="0"/>
              <w:marRight w:val="0"/>
              <w:marTop w:val="0"/>
              <w:marBottom w:val="0"/>
              <w:divBdr>
                <w:top w:val="none" w:sz="0" w:space="0" w:color="auto"/>
                <w:left w:val="none" w:sz="0" w:space="0" w:color="auto"/>
                <w:bottom w:val="none" w:sz="0" w:space="0" w:color="auto"/>
                <w:right w:val="none" w:sz="0" w:space="0" w:color="auto"/>
              </w:divBdr>
              <w:divsChild>
                <w:div w:id="32047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125528">
      <w:bodyDiv w:val="1"/>
      <w:marLeft w:val="0"/>
      <w:marRight w:val="0"/>
      <w:marTop w:val="0"/>
      <w:marBottom w:val="0"/>
      <w:divBdr>
        <w:top w:val="none" w:sz="0" w:space="0" w:color="auto"/>
        <w:left w:val="none" w:sz="0" w:space="0" w:color="auto"/>
        <w:bottom w:val="none" w:sz="0" w:space="0" w:color="auto"/>
        <w:right w:val="none" w:sz="0" w:space="0" w:color="auto"/>
      </w:divBdr>
    </w:div>
    <w:div w:id="342785789">
      <w:bodyDiv w:val="1"/>
      <w:marLeft w:val="0"/>
      <w:marRight w:val="0"/>
      <w:marTop w:val="0"/>
      <w:marBottom w:val="0"/>
      <w:divBdr>
        <w:top w:val="none" w:sz="0" w:space="0" w:color="auto"/>
        <w:left w:val="none" w:sz="0" w:space="0" w:color="auto"/>
        <w:bottom w:val="none" w:sz="0" w:space="0" w:color="auto"/>
        <w:right w:val="none" w:sz="0" w:space="0" w:color="auto"/>
      </w:divBdr>
    </w:div>
    <w:div w:id="345253659">
      <w:bodyDiv w:val="1"/>
      <w:marLeft w:val="0"/>
      <w:marRight w:val="0"/>
      <w:marTop w:val="0"/>
      <w:marBottom w:val="0"/>
      <w:divBdr>
        <w:top w:val="none" w:sz="0" w:space="0" w:color="auto"/>
        <w:left w:val="none" w:sz="0" w:space="0" w:color="auto"/>
        <w:bottom w:val="none" w:sz="0" w:space="0" w:color="auto"/>
        <w:right w:val="none" w:sz="0" w:space="0" w:color="auto"/>
      </w:divBdr>
    </w:div>
    <w:div w:id="355887709">
      <w:bodyDiv w:val="1"/>
      <w:marLeft w:val="0"/>
      <w:marRight w:val="0"/>
      <w:marTop w:val="0"/>
      <w:marBottom w:val="0"/>
      <w:divBdr>
        <w:top w:val="none" w:sz="0" w:space="0" w:color="auto"/>
        <w:left w:val="none" w:sz="0" w:space="0" w:color="auto"/>
        <w:bottom w:val="none" w:sz="0" w:space="0" w:color="auto"/>
        <w:right w:val="none" w:sz="0" w:space="0" w:color="auto"/>
      </w:divBdr>
    </w:div>
    <w:div w:id="356856542">
      <w:bodyDiv w:val="1"/>
      <w:marLeft w:val="0"/>
      <w:marRight w:val="0"/>
      <w:marTop w:val="0"/>
      <w:marBottom w:val="0"/>
      <w:divBdr>
        <w:top w:val="none" w:sz="0" w:space="0" w:color="auto"/>
        <w:left w:val="none" w:sz="0" w:space="0" w:color="auto"/>
        <w:bottom w:val="none" w:sz="0" w:space="0" w:color="auto"/>
        <w:right w:val="none" w:sz="0" w:space="0" w:color="auto"/>
      </w:divBdr>
    </w:div>
    <w:div w:id="358548284">
      <w:bodyDiv w:val="1"/>
      <w:marLeft w:val="0"/>
      <w:marRight w:val="0"/>
      <w:marTop w:val="0"/>
      <w:marBottom w:val="0"/>
      <w:divBdr>
        <w:top w:val="none" w:sz="0" w:space="0" w:color="auto"/>
        <w:left w:val="none" w:sz="0" w:space="0" w:color="auto"/>
        <w:bottom w:val="none" w:sz="0" w:space="0" w:color="auto"/>
        <w:right w:val="none" w:sz="0" w:space="0" w:color="auto"/>
      </w:divBdr>
      <w:divsChild>
        <w:div w:id="1233736567">
          <w:marLeft w:val="0"/>
          <w:marRight w:val="0"/>
          <w:marTop w:val="0"/>
          <w:marBottom w:val="0"/>
          <w:divBdr>
            <w:top w:val="none" w:sz="0" w:space="0" w:color="auto"/>
            <w:left w:val="none" w:sz="0" w:space="0" w:color="auto"/>
            <w:bottom w:val="none" w:sz="0" w:space="0" w:color="auto"/>
            <w:right w:val="none" w:sz="0" w:space="0" w:color="auto"/>
          </w:divBdr>
          <w:divsChild>
            <w:div w:id="1948735723">
              <w:marLeft w:val="0"/>
              <w:marRight w:val="0"/>
              <w:marTop w:val="0"/>
              <w:marBottom w:val="0"/>
              <w:divBdr>
                <w:top w:val="none" w:sz="0" w:space="0" w:color="auto"/>
                <w:left w:val="none" w:sz="0" w:space="0" w:color="auto"/>
                <w:bottom w:val="none" w:sz="0" w:space="0" w:color="auto"/>
                <w:right w:val="none" w:sz="0" w:space="0" w:color="auto"/>
              </w:divBdr>
              <w:divsChild>
                <w:div w:id="2061201008">
                  <w:marLeft w:val="0"/>
                  <w:marRight w:val="0"/>
                  <w:marTop w:val="0"/>
                  <w:marBottom w:val="0"/>
                  <w:divBdr>
                    <w:top w:val="none" w:sz="0" w:space="0" w:color="auto"/>
                    <w:left w:val="none" w:sz="0" w:space="0" w:color="auto"/>
                    <w:bottom w:val="none" w:sz="0" w:space="0" w:color="auto"/>
                    <w:right w:val="none" w:sz="0" w:space="0" w:color="auto"/>
                  </w:divBdr>
                  <w:divsChild>
                    <w:div w:id="160746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704513">
      <w:bodyDiv w:val="1"/>
      <w:marLeft w:val="0"/>
      <w:marRight w:val="0"/>
      <w:marTop w:val="0"/>
      <w:marBottom w:val="0"/>
      <w:divBdr>
        <w:top w:val="none" w:sz="0" w:space="0" w:color="auto"/>
        <w:left w:val="none" w:sz="0" w:space="0" w:color="auto"/>
        <w:bottom w:val="none" w:sz="0" w:space="0" w:color="auto"/>
        <w:right w:val="none" w:sz="0" w:space="0" w:color="auto"/>
      </w:divBdr>
    </w:div>
    <w:div w:id="366833390">
      <w:bodyDiv w:val="1"/>
      <w:marLeft w:val="0"/>
      <w:marRight w:val="0"/>
      <w:marTop w:val="0"/>
      <w:marBottom w:val="0"/>
      <w:divBdr>
        <w:top w:val="none" w:sz="0" w:space="0" w:color="auto"/>
        <w:left w:val="none" w:sz="0" w:space="0" w:color="auto"/>
        <w:bottom w:val="none" w:sz="0" w:space="0" w:color="auto"/>
        <w:right w:val="none" w:sz="0" w:space="0" w:color="auto"/>
      </w:divBdr>
    </w:div>
    <w:div w:id="366881039">
      <w:bodyDiv w:val="1"/>
      <w:marLeft w:val="0"/>
      <w:marRight w:val="0"/>
      <w:marTop w:val="0"/>
      <w:marBottom w:val="0"/>
      <w:divBdr>
        <w:top w:val="none" w:sz="0" w:space="0" w:color="auto"/>
        <w:left w:val="none" w:sz="0" w:space="0" w:color="auto"/>
        <w:bottom w:val="none" w:sz="0" w:space="0" w:color="auto"/>
        <w:right w:val="none" w:sz="0" w:space="0" w:color="auto"/>
      </w:divBdr>
      <w:divsChild>
        <w:div w:id="882016119">
          <w:marLeft w:val="0"/>
          <w:marRight w:val="0"/>
          <w:marTop w:val="0"/>
          <w:marBottom w:val="0"/>
          <w:divBdr>
            <w:top w:val="none" w:sz="0" w:space="0" w:color="auto"/>
            <w:left w:val="none" w:sz="0" w:space="0" w:color="auto"/>
            <w:bottom w:val="none" w:sz="0" w:space="0" w:color="auto"/>
            <w:right w:val="none" w:sz="0" w:space="0" w:color="auto"/>
          </w:divBdr>
          <w:divsChild>
            <w:div w:id="30306637">
              <w:marLeft w:val="0"/>
              <w:marRight w:val="0"/>
              <w:marTop w:val="0"/>
              <w:marBottom w:val="0"/>
              <w:divBdr>
                <w:top w:val="none" w:sz="0" w:space="0" w:color="auto"/>
                <w:left w:val="none" w:sz="0" w:space="0" w:color="auto"/>
                <w:bottom w:val="none" w:sz="0" w:space="0" w:color="auto"/>
                <w:right w:val="none" w:sz="0" w:space="0" w:color="auto"/>
              </w:divBdr>
              <w:divsChild>
                <w:div w:id="25081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815011">
      <w:bodyDiv w:val="1"/>
      <w:marLeft w:val="0"/>
      <w:marRight w:val="0"/>
      <w:marTop w:val="0"/>
      <w:marBottom w:val="0"/>
      <w:divBdr>
        <w:top w:val="none" w:sz="0" w:space="0" w:color="auto"/>
        <w:left w:val="none" w:sz="0" w:space="0" w:color="auto"/>
        <w:bottom w:val="none" w:sz="0" w:space="0" w:color="auto"/>
        <w:right w:val="none" w:sz="0" w:space="0" w:color="auto"/>
      </w:divBdr>
      <w:divsChild>
        <w:div w:id="1666392757">
          <w:marLeft w:val="0"/>
          <w:marRight w:val="0"/>
          <w:marTop w:val="0"/>
          <w:marBottom w:val="0"/>
          <w:divBdr>
            <w:top w:val="none" w:sz="0" w:space="0" w:color="auto"/>
            <w:left w:val="none" w:sz="0" w:space="0" w:color="auto"/>
            <w:bottom w:val="none" w:sz="0" w:space="0" w:color="auto"/>
            <w:right w:val="none" w:sz="0" w:space="0" w:color="auto"/>
          </w:divBdr>
          <w:divsChild>
            <w:div w:id="1557666784">
              <w:marLeft w:val="0"/>
              <w:marRight w:val="0"/>
              <w:marTop w:val="0"/>
              <w:marBottom w:val="0"/>
              <w:divBdr>
                <w:top w:val="none" w:sz="0" w:space="0" w:color="auto"/>
                <w:left w:val="none" w:sz="0" w:space="0" w:color="auto"/>
                <w:bottom w:val="none" w:sz="0" w:space="0" w:color="auto"/>
                <w:right w:val="none" w:sz="0" w:space="0" w:color="auto"/>
              </w:divBdr>
              <w:divsChild>
                <w:div w:id="290670776">
                  <w:marLeft w:val="0"/>
                  <w:marRight w:val="0"/>
                  <w:marTop w:val="0"/>
                  <w:marBottom w:val="0"/>
                  <w:divBdr>
                    <w:top w:val="none" w:sz="0" w:space="0" w:color="auto"/>
                    <w:left w:val="none" w:sz="0" w:space="0" w:color="auto"/>
                    <w:bottom w:val="none" w:sz="0" w:space="0" w:color="auto"/>
                    <w:right w:val="none" w:sz="0" w:space="0" w:color="auto"/>
                  </w:divBdr>
                  <w:divsChild>
                    <w:div w:id="134180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315762">
      <w:bodyDiv w:val="1"/>
      <w:marLeft w:val="0"/>
      <w:marRight w:val="0"/>
      <w:marTop w:val="0"/>
      <w:marBottom w:val="0"/>
      <w:divBdr>
        <w:top w:val="none" w:sz="0" w:space="0" w:color="auto"/>
        <w:left w:val="none" w:sz="0" w:space="0" w:color="auto"/>
        <w:bottom w:val="none" w:sz="0" w:space="0" w:color="auto"/>
        <w:right w:val="none" w:sz="0" w:space="0" w:color="auto"/>
      </w:divBdr>
    </w:div>
    <w:div w:id="385030652">
      <w:bodyDiv w:val="1"/>
      <w:marLeft w:val="0"/>
      <w:marRight w:val="0"/>
      <w:marTop w:val="0"/>
      <w:marBottom w:val="0"/>
      <w:divBdr>
        <w:top w:val="none" w:sz="0" w:space="0" w:color="auto"/>
        <w:left w:val="none" w:sz="0" w:space="0" w:color="auto"/>
        <w:bottom w:val="none" w:sz="0" w:space="0" w:color="auto"/>
        <w:right w:val="none" w:sz="0" w:space="0" w:color="auto"/>
      </w:divBdr>
      <w:divsChild>
        <w:div w:id="194659427">
          <w:marLeft w:val="0"/>
          <w:marRight w:val="0"/>
          <w:marTop w:val="0"/>
          <w:marBottom w:val="0"/>
          <w:divBdr>
            <w:top w:val="none" w:sz="0" w:space="0" w:color="auto"/>
            <w:left w:val="none" w:sz="0" w:space="0" w:color="auto"/>
            <w:bottom w:val="none" w:sz="0" w:space="0" w:color="auto"/>
            <w:right w:val="none" w:sz="0" w:space="0" w:color="auto"/>
          </w:divBdr>
          <w:divsChild>
            <w:div w:id="529337652">
              <w:marLeft w:val="0"/>
              <w:marRight w:val="0"/>
              <w:marTop w:val="0"/>
              <w:marBottom w:val="0"/>
              <w:divBdr>
                <w:top w:val="none" w:sz="0" w:space="0" w:color="auto"/>
                <w:left w:val="none" w:sz="0" w:space="0" w:color="auto"/>
                <w:bottom w:val="none" w:sz="0" w:space="0" w:color="auto"/>
                <w:right w:val="none" w:sz="0" w:space="0" w:color="auto"/>
              </w:divBdr>
              <w:divsChild>
                <w:div w:id="168227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913350">
      <w:bodyDiv w:val="1"/>
      <w:marLeft w:val="0"/>
      <w:marRight w:val="0"/>
      <w:marTop w:val="0"/>
      <w:marBottom w:val="0"/>
      <w:divBdr>
        <w:top w:val="none" w:sz="0" w:space="0" w:color="auto"/>
        <w:left w:val="none" w:sz="0" w:space="0" w:color="auto"/>
        <w:bottom w:val="none" w:sz="0" w:space="0" w:color="auto"/>
        <w:right w:val="none" w:sz="0" w:space="0" w:color="auto"/>
      </w:divBdr>
      <w:divsChild>
        <w:div w:id="994526220">
          <w:marLeft w:val="0"/>
          <w:marRight w:val="0"/>
          <w:marTop w:val="0"/>
          <w:marBottom w:val="0"/>
          <w:divBdr>
            <w:top w:val="none" w:sz="0" w:space="0" w:color="auto"/>
            <w:left w:val="none" w:sz="0" w:space="0" w:color="auto"/>
            <w:bottom w:val="none" w:sz="0" w:space="0" w:color="auto"/>
            <w:right w:val="none" w:sz="0" w:space="0" w:color="auto"/>
          </w:divBdr>
          <w:divsChild>
            <w:div w:id="1532107816">
              <w:marLeft w:val="0"/>
              <w:marRight w:val="0"/>
              <w:marTop w:val="0"/>
              <w:marBottom w:val="0"/>
              <w:divBdr>
                <w:top w:val="none" w:sz="0" w:space="0" w:color="auto"/>
                <w:left w:val="none" w:sz="0" w:space="0" w:color="auto"/>
                <w:bottom w:val="none" w:sz="0" w:space="0" w:color="auto"/>
                <w:right w:val="none" w:sz="0" w:space="0" w:color="auto"/>
              </w:divBdr>
              <w:divsChild>
                <w:div w:id="108765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749197">
      <w:bodyDiv w:val="1"/>
      <w:marLeft w:val="0"/>
      <w:marRight w:val="0"/>
      <w:marTop w:val="0"/>
      <w:marBottom w:val="0"/>
      <w:divBdr>
        <w:top w:val="none" w:sz="0" w:space="0" w:color="auto"/>
        <w:left w:val="none" w:sz="0" w:space="0" w:color="auto"/>
        <w:bottom w:val="none" w:sz="0" w:space="0" w:color="auto"/>
        <w:right w:val="none" w:sz="0" w:space="0" w:color="auto"/>
      </w:divBdr>
      <w:divsChild>
        <w:div w:id="1486240766">
          <w:marLeft w:val="0"/>
          <w:marRight w:val="0"/>
          <w:marTop w:val="0"/>
          <w:marBottom w:val="0"/>
          <w:divBdr>
            <w:top w:val="none" w:sz="0" w:space="0" w:color="auto"/>
            <w:left w:val="none" w:sz="0" w:space="0" w:color="auto"/>
            <w:bottom w:val="none" w:sz="0" w:space="0" w:color="auto"/>
            <w:right w:val="none" w:sz="0" w:space="0" w:color="auto"/>
          </w:divBdr>
          <w:divsChild>
            <w:div w:id="2116753669">
              <w:marLeft w:val="0"/>
              <w:marRight w:val="0"/>
              <w:marTop w:val="0"/>
              <w:marBottom w:val="0"/>
              <w:divBdr>
                <w:top w:val="none" w:sz="0" w:space="0" w:color="auto"/>
                <w:left w:val="none" w:sz="0" w:space="0" w:color="auto"/>
                <w:bottom w:val="none" w:sz="0" w:space="0" w:color="auto"/>
                <w:right w:val="none" w:sz="0" w:space="0" w:color="auto"/>
              </w:divBdr>
              <w:divsChild>
                <w:div w:id="25339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939434">
      <w:bodyDiv w:val="1"/>
      <w:marLeft w:val="0"/>
      <w:marRight w:val="0"/>
      <w:marTop w:val="0"/>
      <w:marBottom w:val="0"/>
      <w:divBdr>
        <w:top w:val="none" w:sz="0" w:space="0" w:color="auto"/>
        <w:left w:val="none" w:sz="0" w:space="0" w:color="auto"/>
        <w:bottom w:val="none" w:sz="0" w:space="0" w:color="auto"/>
        <w:right w:val="none" w:sz="0" w:space="0" w:color="auto"/>
      </w:divBdr>
    </w:div>
    <w:div w:id="417793709">
      <w:bodyDiv w:val="1"/>
      <w:marLeft w:val="0"/>
      <w:marRight w:val="0"/>
      <w:marTop w:val="0"/>
      <w:marBottom w:val="0"/>
      <w:divBdr>
        <w:top w:val="none" w:sz="0" w:space="0" w:color="auto"/>
        <w:left w:val="none" w:sz="0" w:space="0" w:color="auto"/>
        <w:bottom w:val="none" w:sz="0" w:space="0" w:color="auto"/>
        <w:right w:val="none" w:sz="0" w:space="0" w:color="auto"/>
      </w:divBdr>
    </w:div>
    <w:div w:id="421999747">
      <w:bodyDiv w:val="1"/>
      <w:marLeft w:val="0"/>
      <w:marRight w:val="0"/>
      <w:marTop w:val="0"/>
      <w:marBottom w:val="0"/>
      <w:divBdr>
        <w:top w:val="none" w:sz="0" w:space="0" w:color="auto"/>
        <w:left w:val="none" w:sz="0" w:space="0" w:color="auto"/>
        <w:bottom w:val="none" w:sz="0" w:space="0" w:color="auto"/>
        <w:right w:val="none" w:sz="0" w:space="0" w:color="auto"/>
      </w:divBdr>
      <w:divsChild>
        <w:div w:id="403229">
          <w:marLeft w:val="0"/>
          <w:marRight w:val="0"/>
          <w:marTop w:val="0"/>
          <w:marBottom w:val="0"/>
          <w:divBdr>
            <w:top w:val="none" w:sz="0" w:space="0" w:color="auto"/>
            <w:left w:val="none" w:sz="0" w:space="0" w:color="auto"/>
            <w:bottom w:val="none" w:sz="0" w:space="0" w:color="auto"/>
            <w:right w:val="none" w:sz="0" w:space="0" w:color="auto"/>
          </w:divBdr>
          <w:divsChild>
            <w:div w:id="2038197245">
              <w:marLeft w:val="0"/>
              <w:marRight w:val="0"/>
              <w:marTop w:val="0"/>
              <w:marBottom w:val="0"/>
              <w:divBdr>
                <w:top w:val="none" w:sz="0" w:space="0" w:color="auto"/>
                <w:left w:val="none" w:sz="0" w:space="0" w:color="auto"/>
                <w:bottom w:val="none" w:sz="0" w:space="0" w:color="auto"/>
                <w:right w:val="none" w:sz="0" w:space="0" w:color="auto"/>
              </w:divBdr>
              <w:divsChild>
                <w:div w:id="5245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314662">
      <w:bodyDiv w:val="1"/>
      <w:marLeft w:val="0"/>
      <w:marRight w:val="0"/>
      <w:marTop w:val="0"/>
      <w:marBottom w:val="0"/>
      <w:divBdr>
        <w:top w:val="none" w:sz="0" w:space="0" w:color="auto"/>
        <w:left w:val="none" w:sz="0" w:space="0" w:color="auto"/>
        <w:bottom w:val="none" w:sz="0" w:space="0" w:color="auto"/>
        <w:right w:val="none" w:sz="0" w:space="0" w:color="auto"/>
      </w:divBdr>
    </w:div>
    <w:div w:id="430054322">
      <w:bodyDiv w:val="1"/>
      <w:marLeft w:val="0"/>
      <w:marRight w:val="0"/>
      <w:marTop w:val="0"/>
      <w:marBottom w:val="0"/>
      <w:divBdr>
        <w:top w:val="none" w:sz="0" w:space="0" w:color="auto"/>
        <w:left w:val="none" w:sz="0" w:space="0" w:color="auto"/>
        <w:bottom w:val="none" w:sz="0" w:space="0" w:color="auto"/>
        <w:right w:val="none" w:sz="0" w:space="0" w:color="auto"/>
      </w:divBdr>
    </w:div>
    <w:div w:id="434180167">
      <w:bodyDiv w:val="1"/>
      <w:marLeft w:val="0"/>
      <w:marRight w:val="0"/>
      <w:marTop w:val="0"/>
      <w:marBottom w:val="0"/>
      <w:divBdr>
        <w:top w:val="none" w:sz="0" w:space="0" w:color="auto"/>
        <w:left w:val="none" w:sz="0" w:space="0" w:color="auto"/>
        <w:bottom w:val="none" w:sz="0" w:space="0" w:color="auto"/>
        <w:right w:val="none" w:sz="0" w:space="0" w:color="auto"/>
      </w:divBdr>
    </w:div>
    <w:div w:id="439185877">
      <w:bodyDiv w:val="1"/>
      <w:marLeft w:val="0"/>
      <w:marRight w:val="0"/>
      <w:marTop w:val="0"/>
      <w:marBottom w:val="0"/>
      <w:divBdr>
        <w:top w:val="none" w:sz="0" w:space="0" w:color="auto"/>
        <w:left w:val="none" w:sz="0" w:space="0" w:color="auto"/>
        <w:bottom w:val="none" w:sz="0" w:space="0" w:color="auto"/>
        <w:right w:val="none" w:sz="0" w:space="0" w:color="auto"/>
      </w:divBdr>
    </w:div>
    <w:div w:id="442648478">
      <w:bodyDiv w:val="1"/>
      <w:marLeft w:val="0"/>
      <w:marRight w:val="0"/>
      <w:marTop w:val="0"/>
      <w:marBottom w:val="0"/>
      <w:divBdr>
        <w:top w:val="none" w:sz="0" w:space="0" w:color="auto"/>
        <w:left w:val="none" w:sz="0" w:space="0" w:color="auto"/>
        <w:bottom w:val="none" w:sz="0" w:space="0" w:color="auto"/>
        <w:right w:val="none" w:sz="0" w:space="0" w:color="auto"/>
      </w:divBdr>
    </w:div>
    <w:div w:id="444890107">
      <w:bodyDiv w:val="1"/>
      <w:marLeft w:val="0"/>
      <w:marRight w:val="0"/>
      <w:marTop w:val="0"/>
      <w:marBottom w:val="0"/>
      <w:divBdr>
        <w:top w:val="none" w:sz="0" w:space="0" w:color="auto"/>
        <w:left w:val="none" w:sz="0" w:space="0" w:color="auto"/>
        <w:bottom w:val="none" w:sz="0" w:space="0" w:color="auto"/>
        <w:right w:val="none" w:sz="0" w:space="0" w:color="auto"/>
      </w:divBdr>
    </w:div>
    <w:div w:id="446824822">
      <w:bodyDiv w:val="1"/>
      <w:marLeft w:val="0"/>
      <w:marRight w:val="0"/>
      <w:marTop w:val="0"/>
      <w:marBottom w:val="0"/>
      <w:divBdr>
        <w:top w:val="none" w:sz="0" w:space="0" w:color="auto"/>
        <w:left w:val="none" w:sz="0" w:space="0" w:color="auto"/>
        <w:bottom w:val="none" w:sz="0" w:space="0" w:color="auto"/>
        <w:right w:val="none" w:sz="0" w:space="0" w:color="auto"/>
      </w:divBdr>
      <w:divsChild>
        <w:div w:id="356319249">
          <w:marLeft w:val="0"/>
          <w:marRight w:val="0"/>
          <w:marTop w:val="0"/>
          <w:marBottom w:val="0"/>
          <w:divBdr>
            <w:top w:val="none" w:sz="0" w:space="0" w:color="auto"/>
            <w:left w:val="none" w:sz="0" w:space="0" w:color="auto"/>
            <w:bottom w:val="none" w:sz="0" w:space="0" w:color="auto"/>
            <w:right w:val="none" w:sz="0" w:space="0" w:color="auto"/>
          </w:divBdr>
          <w:divsChild>
            <w:div w:id="1456632086">
              <w:marLeft w:val="0"/>
              <w:marRight w:val="0"/>
              <w:marTop w:val="0"/>
              <w:marBottom w:val="0"/>
              <w:divBdr>
                <w:top w:val="none" w:sz="0" w:space="0" w:color="auto"/>
                <w:left w:val="none" w:sz="0" w:space="0" w:color="auto"/>
                <w:bottom w:val="none" w:sz="0" w:space="0" w:color="auto"/>
                <w:right w:val="none" w:sz="0" w:space="0" w:color="auto"/>
              </w:divBdr>
              <w:divsChild>
                <w:div w:id="165302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840381">
      <w:bodyDiv w:val="1"/>
      <w:marLeft w:val="0"/>
      <w:marRight w:val="0"/>
      <w:marTop w:val="0"/>
      <w:marBottom w:val="0"/>
      <w:divBdr>
        <w:top w:val="none" w:sz="0" w:space="0" w:color="auto"/>
        <w:left w:val="none" w:sz="0" w:space="0" w:color="auto"/>
        <w:bottom w:val="none" w:sz="0" w:space="0" w:color="auto"/>
        <w:right w:val="none" w:sz="0" w:space="0" w:color="auto"/>
      </w:divBdr>
    </w:div>
    <w:div w:id="466165237">
      <w:bodyDiv w:val="1"/>
      <w:marLeft w:val="0"/>
      <w:marRight w:val="0"/>
      <w:marTop w:val="0"/>
      <w:marBottom w:val="0"/>
      <w:divBdr>
        <w:top w:val="none" w:sz="0" w:space="0" w:color="auto"/>
        <w:left w:val="none" w:sz="0" w:space="0" w:color="auto"/>
        <w:bottom w:val="none" w:sz="0" w:space="0" w:color="auto"/>
        <w:right w:val="none" w:sz="0" w:space="0" w:color="auto"/>
      </w:divBdr>
    </w:div>
    <w:div w:id="467482341">
      <w:bodyDiv w:val="1"/>
      <w:marLeft w:val="0"/>
      <w:marRight w:val="0"/>
      <w:marTop w:val="0"/>
      <w:marBottom w:val="0"/>
      <w:divBdr>
        <w:top w:val="none" w:sz="0" w:space="0" w:color="auto"/>
        <w:left w:val="none" w:sz="0" w:space="0" w:color="auto"/>
        <w:bottom w:val="none" w:sz="0" w:space="0" w:color="auto"/>
        <w:right w:val="none" w:sz="0" w:space="0" w:color="auto"/>
      </w:divBdr>
    </w:div>
    <w:div w:id="469592764">
      <w:bodyDiv w:val="1"/>
      <w:marLeft w:val="0"/>
      <w:marRight w:val="0"/>
      <w:marTop w:val="0"/>
      <w:marBottom w:val="0"/>
      <w:divBdr>
        <w:top w:val="none" w:sz="0" w:space="0" w:color="auto"/>
        <w:left w:val="none" w:sz="0" w:space="0" w:color="auto"/>
        <w:bottom w:val="none" w:sz="0" w:space="0" w:color="auto"/>
        <w:right w:val="none" w:sz="0" w:space="0" w:color="auto"/>
      </w:divBdr>
    </w:div>
    <w:div w:id="471480053">
      <w:bodyDiv w:val="1"/>
      <w:marLeft w:val="0"/>
      <w:marRight w:val="0"/>
      <w:marTop w:val="0"/>
      <w:marBottom w:val="0"/>
      <w:divBdr>
        <w:top w:val="none" w:sz="0" w:space="0" w:color="auto"/>
        <w:left w:val="none" w:sz="0" w:space="0" w:color="auto"/>
        <w:bottom w:val="none" w:sz="0" w:space="0" w:color="auto"/>
        <w:right w:val="none" w:sz="0" w:space="0" w:color="auto"/>
      </w:divBdr>
    </w:div>
    <w:div w:id="471750565">
      <w:bodyDiv w:val="1"/>
      <w:marLeft w:val="0"/>
      <w:marRight w:val="0"/>
      <w:marTop w:val="0"/>
      <w:marBottom w:val="0"/>
      <w:divBdr>
        <w:top w:val="none" w:sz="0" w:space="0" w:color="auto"/>
        <w:left w:val="none" w:sz="0" w:space="0" w:color="auto"/>
        <w:bottom w:val="none" w:sz="0" w:space="0" w:color="auto"/>
        <w:right w:val="none" w:sz="0" w:space="0" w:color="auto"/>
      </w:divBdr>
    </w:div>
    <w:div w:id="472253681">
      <w:bodyDiv w:val="1"/>
      <w:marLeft w:val="0"/>
      <w:marRight w:val="0"/>
      <w:marTop w:val="0"/>
      <w:marBottom w:val="0"/>
      <w:divBdr>
        <w:top w:val="none" w:sz="0" w:space="0" w:color="auto"/>
        <w:left w:val="none" w:sz="0" w:space="0" w:color="auto"/>
        <w:bottom w:val="none" w:sz="0" w:space="0" w:color="auto"/>
        <w:right w:val="none" w:sz="0" w:space="0" w:color="auto"/>
      </w:divBdr>
    </w:div>
    <w:div w:id="472797684">
      <w:bodyDiv w:val="1"/>
      <w:marLeft w:val="0"/>
      <w:marRight w:val="0"/>
      <w:marTop w:val="0"/>
      <w:marBottom w:val="0"/>
      <w:divBdr>
        <w:top w:val="none" w:sz="0" w:space="0" w:color="auto"/>
        <w:left w:val="none" w:sz="0" w:space="0" w:color="auto"/>
        <w:bottom w:val="none" w:sz="0" w:space="0" w:color="auto"/>
        <w:right w:val="none" w:sz="0" w:space="0" w:color="auto"/>
      </w:divBdr>
      <w:divsChild>
        <w:div w:id="2005620793">
          <w:marLeft w:val="0"/>
          <w:marRight w:val="0"/>
          <w:marTop w:val="0"/>
          <w:marBottom w:val="0"/>
          <w:divBdr>
            <w:top w:val="none" w:sz="0" w:space="0" w:color="auto"/>
            <w:left w:val="none" w:sz="0" w:space="0" w:color="auto"/>
            <w:bottom w:val="none" w:sz="0" w:space="0" w:color="auto"/>
            <w:right w:val="none" w:sz="0" w:space="0" w:color="auto"/>
          </w:divBdr>
          <w:divsChild>
            <w:div w:id="365109246">
              <w:marLeft w:val="0"/>
              <w:marRight w:val="0"/>
              <w:marTop w:val="0"/>
              <w:marBottom w:val="0"/>
              <w:divBdr>
                <w:top w:val="none" w:sz="0" w:space="0" w:color="auto"/>
                <w:left w:val="none" w:sz="0" w:space="0" w:color="auto"/>
                <w:bottom w:val="none" w:sz="0" w:space="0" w:color="auto"/>
                <w:right w:val="none" w:sz="0" w:space="0" w:color="auto"/>
              </w:divBdr>
              <w:divsChild>
                <w:div w:id="26118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569364">
      <w:bodyDiv w:val="1"/>
      <w:marLeft w:val="0"/>
      <w:marRight w:val="0"/>
      <w:marTop w:val="0"/>
      <w:marBottom w:val="0"/>
      <w:divBdr>
        <w:top w:val="none" w:sz="0" w:space="0" w:color="auto"/>
        <w:left w:val="none" w:sz="0" w:space="0" w:color="auto"/>
        <w:bottom w:val="none" w:sz="0" w:space="0" w:color="auto"/>
        <w:right w:val="none" w:sz="0" w:space="0" w:color="auto"/>
      </w:divBdr>
    </w:div>
    <w:div w:id="475728556">
      <w:bodyDiv w:val="1"/>
      <w:marLeft w:val="0"/>
      <w:marRight w:val="0"/>
      <w:marTop w:val="0"/>
      <w:marBottom w:val="0"/>
      <w:divBdr>
        <w:top w:val="none" w:sz="0" w:space="0" w:color="auto"/>
        <w:left w:val="none" w:sz="0" w:space="0" w:color="auto"/>
        <w:bottom w:val="none" w:sz="0" w:space="0" w:color="auto"/>
        <w:right w:val="none" w:sz="0" w:space="0" w:color="auto"/>
      </w:divBdr>
    </w:div>
    <w:div w:id="475950462">
      <w:bodyDiv w:val="1"/>
      <w:marLeft w:val="0"/>
      <w:marRight w:val="0"/>
      <w:marTop w:val="0"/>
      <w:marBottom w:val="0"/>
      <w:divBdr>
        <w:top w:val="none" w:sz="0" w:space="0" w:color="auto"/>
        <w:left w:val="none" w:sz="0" w:space="0" w:color="auto"/>
        <w:bottom w:val="none" w:sz="0" w:space="0" w:color="auto"/>
        <w:right w:val="none" w:sz="0" w:space="0" w:color="auto"/>
      </w:divBdr>
    </w:div>
    <w:div w:id="478695698">
      <w:bodyDiv w:val="1"/>
      <w:marLeft w:val="0"/>
      <w:marRight w:val="0"/>
      <w:marTop w:val="0"/>
      <w:marBottom w:val="0"/>
      <w:divBdr>
        <w:top w:val="none" w:sz="0" w:space="0" w:color="auto"/>
        <w:left w:val="none" w:sz="0" w:space="0" w:color="auto"/>
        <w:bottom w:val="none" w:sz="0" w:space="0" w:color="auto"/>
        <w:right w:val="none" w:sz="0" w:space="0" w:color="auto"/>
      </w:divBdr>
    </w:div>
    <w:div w:id="480275811">
      <w:bodyDiv w:val="1"/>
      <w:marLeft w:val="0"/>
      <w:marRight w:val="0"/>
      <w:marTop w:val="0"/>
      <w:marBottom w:val="0"/>
      <w:divBdr>
        <w:top w:val="none" w:sz="0" w:space="0" w:color="auto"/>
        <w:left w:val="none" w:sz="0" w:space="0" w:color="auto"/>
        <w:bottom w:val="none" w:sz="0" w:space="0" w:color="auto"/>
        <w:right w:val="none" w:sz="0" w:space="0" w:color="auto"/>
      </w:divBdr>
      <w:divsChild>
        <w:div w:id="1483767467">
          <w:marLeft w:val="0"/>
          <w:marRight w:val="0"/>
          <w:marTop w:val="0"/>
          <w:marBottom w:val="0"/>
          <w:divBdr>
            <w:top w:val="none" w:sz="0" w:space="0" w:color="auto"/>
            <w:left w:val="none" w:sz="0" w:space="0" w:color="auto"/>
            <w:bottom w:val="none" w:sz="0" w:space="0" w:color="auto"/>
            <w:right w:val="none" w:sz="0" w:space="0" w:color="auto"/>
          </w:divBdr>
          <w:divsChild>
            <w:div w:id="261377035">
              <w:marLeft w:val="0"/>
              <w:marRight w:val="0"/>
              <w:marTop w:val="0"/>
              <w:marBottom w:val="0"/>
              <w:divBdr>
                <w:top w:val="none" w:sz="0" w:space="0" w:color="auto"/>
                <w:left w:val="none" w:sz="0" w:space="0" w:color="auto"/>
                <w:bottom w:val="none" w:sz="0" w:space="0" w:color="auto"/>
                <w:right w:val="none" w:sz="0" w:space="0" w:color="auto"/>
              </w:divBdr>
              <w:divsChild>
                <w:div w:id="42095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3406">
      <w:bodyDiv w:val="1"/>
      <w:marLeft w:val="0"/>
      <w:marRight w:val="0"/>
      <w:marTop w:val="0"/>
      <w:marBottom w:val="0"/>
      <w:divBdr>
        <w:top w:val="none" w:sz="0" w:space="0" w:color="auto"/>
        <w:left w:val="none" w:sz="0" w:space="0" w:color="auto"/>
        <w:bottom w:val="none" w:sz="0" w:space="0" w:color="auto"/>
        <w:right w:val="none" w:sz="0" w:space="0" w:color="auto"/>
      </w:divBdr>
    </w:div>
    <w:div w:id="484276481">
      <w:bodyDiv w:val="1"/>
      <w:marLeft w:val="0"/>
      <w:marRight w:val="0"/>
      <w:marTop w:val="0"/>
      <w:marBottom w:val="0"/>
      <w:divBdr>
        <w:top w:val="none" w:sz="0" w:space="0" w:color="auto"/>
        <w:left w:val="none" w:sz="0" w:space="0" w:color="auto"/>
        <w:bottom w:val="none" w:sz="0" w:space="0" w:color="auto"/>
        <w:right w:val="none" w:sz="0" w:space="0" w:color="auto"/>
      </w:divBdr>
    </w:div>
    <w:div w:id="495338413">
      <w:bodyDiv w:val="1"/>
      <w:marLeft w:val="0"/>
      <w:marRight w:val="0"/>
      <w:marTop w:val="0"/>
      <w:marBottom w:val="0"/>
      <w:divBdr>
        <w:top w:val="none" w:sz="0" w:space="0" w:color="auto"/>
        <w:left w:val="none" w:sz="0" w:space="0" w:color="auto"/>
        <w:bottom w:val="none" w:sz="0" w:space="0" w:color="auto"/>
        <w:right w:val="none" w:sz="0" w:space="0" w:color="auto"/>
      </w:divBdr>
    </w:div>
    <w:div w:id="495732425">
      <w:bodyDiv w:val="1"/>
      <w:marLeft w:val="0"/>
      <w:marRight w:val="0"/>
      <w:marTop w:val="0"/>
      <w:marBottom w:val="0"/>
      <w:divBdr>
        <w:top w:val="none" w:sz="0" w:space="0" w:color="auto"/>
        <w:left w:val="none" w:sz="0" w:space="0" w:color="auto"/>
        <w:bottom w:val="none" w:sz="0" w:space="0" w:color="auto"/>
        <w:right w:val="none" w:sz="0" w:space="0" w:color="auto"/>
      </w:divBdr>
    </w:div>
    <w:div w:id="497576673">
      <w:bodyDiv w:val="1"/>
      <w:marLeft w:val="0"/>
      <w:marRight w:val="0"/>
      <w:marTop w:val="0"/>
      <w:marBottom w:val="0"/>
      <w:divBdr>
        <w:top w:val="none" w:sz="0" w:space="0" w:color="auto"/>
        <w:left w:val="none" w:sz="0" w:space="0" w:color="auto"/>
        <w:bottom w:val="none" w:sz="0" w:space="0" w:color="auto"/>
        <w:right w:val="none" w:sz="0" w:space="0" w:color="auto"/>
      </w:divBdr>
    </w:div>
    <w:div w:id="498353686">
      <w:bodyDiv w:val="1"/>
      <w:marLeft w:val="0"/>
      <w:marRight w:val="0"/>
      <w:marTop w:val="0"/>
      <w:marBottom w:val="0"/>
      <w:divBdr>
        <w:top w:val="none" w:sz="0" w:space="0" w:color="auto"/>
        <w:left w:val="none" w:sz="0" w:space="0" w:color="auto"/>
        <w:bottom w:val="none" w:sz="0" w:space="0" w:color="auto"/>
        <w:right w:val="none" w:sz="0" w:space="0" w:color="auto"/>
      </w:divBdr>
    </w:div>
    <w:div w:id="521088798">
      <w:bodyDiv w:val="1"/>
      <w:marLeft w:val="0"/>
      <w:marRight w:val="0"/>
      <w:marTop w:val="0"/>
      <w:marBottom w:val="0"/>
      <w:divBdr>
        <w:top w:val="none" w:sz="0" w:space="0" w:color="auto"/>
        <w:left w:val="none" w:sz="0" w:space="0" w:color="auto"/>
        <w:bottom w:val="none" w:sz="0" w:space="0" w:color="auto"/>
        <w:right w:val="none" w:sz="0" w:space="0" w:color="auto"/>
      </w:divBdr>
    </w:div>
    <w:div w:id="523633460">
      <w:bodyDiv w:val="1"/>
      <w:marLeft w:val="0"/>
      <w:marRight w:val="0"/>
      <w:marTop w:val="0"/>
      <w:marBottom w:val="0"/>
      <w:divBdr>
        <w:top w:val="none" w:sz="0" w:space="0" w:color="auto"/>
        <w:left w:val="none" w:sz="0" w:space="0" w:color="auto"/>
        <w:bottom w:val="none" w:sz="0" w:space="0" w:color="auto"/>
        <w:right w:val="none" w:sz="0" w:space="0" w:color="auto"/>
      </w:divBdr>
    </w:div>
    <w:div w:id="534970493">
      <w:bodyDiv w:val="1"/>
      <w:marLeft w:val="0"/>
      <w:marRight w:val="0"/>
      <w:marTop w:val="0"/>
      <w:marBottom w:val="0"/>
      <w:divBdr>
        <w:top w:val="none" w:sz="0" w:space="0" w:color="auto"/>
        <w:left w:val="none" w:sz="0" w:space="0" w:color="auto"/>
        <w:bottom w:val="none" w:sz="0" w:space="0" w:color="auto"/>
        <w:right w:val="none" w:sz="0" w:space="0" w:color="auto"/>
      </w:divBdr>
    </w:div>
    <w:div w:id="544559832">
      <w:bodyDiv w:val="1"/>
      <w:marLeft w:val="0"/>
      <w:marRight w:val="0"/>
      <w:marTop w:val="0"/>
      <w:marBottom w:val="0"/>
      <w:divBdr>
        <w:top w:val="none" w:sz="0" w:space="0" w:color="auto"/>
        <w:left w:val="none" w:sz="0" w:space="0" w:color="auto"/>
        <w:bottom w:val="none" w:sz="0" w:space="0" w:color="auto"/>
        <w:right w:val="none" w:sz="0" w:space="0" w:color="auto"/>
      </w:divBdr>
      <w:divsChild>
        <w:div w:id="2087846262">
          <w:marLeft w:val="0"/>
          <w:marRight w:val="0"/>
          <w:marTop w:val="0"/>
          <w:marBottom w:val="0"/>
          <w:divBdr>
            <w:top w:val="none" w:sz="0" w:space="0" w:color="auto"/>
            <w:left w:val="none" w:sz="0" w:space="0" w:color="auto"/>
            <w:bottom w:val="none" w:sz="0" w:space="0" w:color="auto"/>
            <w:right w:val="none" w:sz="0" w:space="0" w:color="auto"/>
          </w:divBdr>
          <w:divsChild>
            <w:div w:id="333150026">
              <w:marLeft w:val="0"/>
              <w:marRight w:val="0"/>
              <w:marTop w:val="0"/>
              <w:marBottom w:val="0"/>
              <w:divBdr>
                <w:top w:val="none" w:sz="0" w:space="0" w:color="auto"/>
                <w:left w:val="none" w:sz="0" w:space="0" w:color="auto"/>
                <w:bottom w:val="none" w:sz="0" w:space="0" w:color="auto"/>
                <w:right w:val="none" w:sz="0" w:space="0" w:color="auto"/>
              </w:divBdr>
              <w:divsChild>
                <w:div w:id="11780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887177">
      <w:bodyDiv w:val="1"/>
      <w:marLeft w:val="0"/>
      <w:marRight w:val="0"/>
      <w:marTop w:val="0"/>
      <w:marBottom w:val="0"/>
      <w:divBdr>
        <w:top w:val="none" w:sz="0" w:space="0" w:color="auto"/>
        <w:left w:val="none" w:sz="0" w:space="0" w:color="auto"/>
        <w:bottom w:val="none" w:sz="0" w:space="0" w:color="auto"/>
        <w:right w:val="none" w:sz="0" w:space="0" w:color="auto"/>
      </w:divBdr>
    </w:div>
    <w:div w:id="553850308">
      <w:bodyDiv w:val="1"/>
      <w:marLeft w:val="0"/>
      <w:marRight w:val="0"/>
      <w:marTop w:val="0"/>
      <w:marBottom w:val="0"/>
      <w:divBdr>
        <w:top w:val="none" w:sz="0" w:space="0" w:color="auto"/>
        <w:left w:val="none" w:sz="0" w:space="0" w:color="auto"/>
        <w:bottom w:val="none" w:sz="0" w:space="0" w:color="auto"/>
        <w:right w:val="none" w:sz="0" w:space="0" w:color="auto"/>
      </w:divBdr>
    </w:div>
    <w:div w:id="554582298">
      <w:bodyDiv w:val="1"/>
      <w:marLeft w:val="0"/>
      <w:marRight w:val="0"/>
      <w:marTop w:val="0"/>
      <w:marBottom w:val="0"/>
      <w:divBdr>
        <w:top w:val="none" w:sz="0" w:space="0" w:color="auto"/>
        <w:left w:val="none" w:sz="0" w:space="0" w:color="auto"/>
        <w:bottom w:val="none" w:sz="0" w:space="0" w:color="auto"/>
        <w:right w:val="none" w:sz="0" w:space="0" w:color="auto"/>
      </w:divBdr>
      <w:divsChild>
        <w:div w:id="1697195398">
          <w:marLeft w:val="0"/>
          <w:marRight w:val="0"/>
          <w:marTop w:val="0"/>
          <w:marBottom w:val="0"/>
          <w:divBdr>
            <w:top w:val="none" w:sz="0" w:space="0" w:color="auto"/>
            <w:left w:val="none" w:sz="0" w:space="0" w:color="auto"/>
            <w:bottom w:val="none" w:sz="0" w:space="0" w:color="auto"/>
            <w:right w:val="none" w:sz="0" w:space="0" w:color="auto"/>
          </w:divBdr>
          <w:divsChild>
            <w:div w:id="1944453917">
              <w:marLeft w:val="0"/>
              <w:marRight w:val="0"/>
              <w:marTop w:val="0"/>
              <w:marBottom w:val="0"/>
              <w:divBdr>
                <w:top w:val="none" w:sz="0" w:space="0" w:color="auto"/>
                <w:left w:val="none" w:sz="0" w:space="0" w:color="auto"/>
                <w:bottom w:val="none" w:sz="0" w:space="0" w:color="auto"/>
                <w:right w:val="none" w:sz="0" w:space="0" w:color="auto"/>
              </w:divBdr>
              <w:divsChild>
                <w:div w:id="37370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408043">
      <w:bodyDiv w:val="1"/>
      <w:marLeft w:val="0"/>
      <w:marRight w:val="0"/>
      <w:marTop w:val="0"/>
      <w:marBottom w:val="0"/>
      <w:divBdr>
        <w:top w:val="none" w:sz="0" w:space="0" w:color="auto"/>
        <w:left w:val="none" w:sz="0" w:space="0" w:color="auto"/>
        <w:bottom w:val="none" w:sz="0" w:space="0" w:color="auto"/>
        <w:right w:val="none" w:sz="0" w:space="0" w:color="auto"/>
      </w:divBdr>
    </w:div>
    <w:div w:id="577251755">
      <w:bodyDiv w:val="1"/>
      <w:marLeft w:val="0"/>
      <w:marRight w:val="0"/>
      <w:marTop w:val="0"/>
      <w:marBottom w:val="0"/>
      <w:divBdr>
        <w:top w:val="none" w:sz="0" w:space="0" w:color="auto"/>
        <w:left w:val="none" w:sz="0" w:space="0" w:color="auto"/>
        <w:bottom w:val="none" w:sz="0" w:space="0" w:color="auto"/>
        <w:right w:val="none" w:sz="0" w:space="0" w:color="auto"/>
      </w:divBdr>
    </w:div>
    <w:div w:id="583302250">
      <w:bodyDiv w:val="1"/>
      <w:marLeft w:val="0"/>
      <w:marRight w:val="0"/>
      <w:marTop w:val="0"/>
      <w:marBottom w:val="0"/>
      <w:divBdr>
        <w:top w:val="none" w:sz="0" w:space="0" w:color="auto"/>
        <w:left w:val="none" w:sz="0" w:space="0" w:color="auto"/>
        <w:bottom w:val="none" w:sz="0" w:space="0" w:color="auto"/>
        <w:right w:val="none" w:sz="0" w:space="0" w:color="auto"/>
      </w:divBdr>
    </w:div>
    <w:div w:id="587929098">
      <w:bodyDiv w:val="1"/>
      <w:marLeft w:val="0"/>
      <w:marRight w:val="0"/>
      <w:marTop w:val="0"/>
      <w:marBottom w:val="0"/>
      <w:divBdr>
        <w:top w:val="none" w:sz="0" w:space="0" w:color="auto"/>
        <w:left w:val="none" w:sz="0" w:space="0" w:color="auto"/>
        <w:bottom w:val="none" w:sz="0" w:space="0" w:color="auto"/>
        <w:right w:val="none" w:sz="0" w:space="0" w:color="auto"/>
      </w:divBdr>
    </w:div>
    <w:div w:id="594247015">
      <w:bodyDiv w:val="1"/>
      <w:marLeft w:val="0"/>
      <w:marRight w:val="0"/>
      <w:marTop w:val="0"/>
      <w:marBottom w:val="0"/>
      <w:divBdr>
        <w:top w:val="none" w:sz="0" w:space="0" w:color="auto"/>
        <w:left w:val="none" w:sz="0" w:space="0" w:color="auto"/>
        <w:bottom w:val="none" w:sz="0" w:space="0" w:color="auto"/>
        <w:right w:val="none" w:sz="0" w:space="0" w:color="auto"/>
      </w:divBdr>
    </w:div>
    <w:div w:id="596644648">
      <w:bodyDiv w:val="1"/>
      <w:marLeft w:val="0"/>
      <w:marRight w:val="0"/>
      <w:marTop w:val="0"/>
      <w:marBottom w:val="0"/>
      <w:divBdr>
        <w:top w:val="none" w:sz="0" w:space="0" w:color="auto"/>
        <w:left w:val="none" w:sz="0" w:space="0" w:color="auto"/>
        <w:bottom w:val="none" w:sz="0" w:space="0" w:color="auto"/>
        <w:right w:val="none" w:sz="0" w:space="0" w:color="auto"/>
      </w:divBdr>
    </w:div>
    <w:div w:id="600727016">
      <w:bodyDiv w:val="1"/>
      <w:marLeft w:val="0"/>
      <w:marRight w:val="0"/>
      <w:marTop w:val="0"/>
      <w:marBottom w:val="0"/>
      <w:divBdr>
        <w:top w:val="none" w:sz="0" w:space="0" w:color="auto"/>
        <w:left w:val="none" w:sz="0" w:space="0" w:color="auto"/>
        <w:bottom w:val="none" w:sz="0" w:space="0" w:color="auto"/>
        <w:right w:val="none" w:sz="0" w:space="0" w:color="auto"/>
      </w:divBdr>
    </w:div>
    <w:div w:id="600917768">
      <w:bodyDiv w:val="1"/>
      <w:marLeft w:val="0"/>
      <w:marRight w:val="0"/>
      <w:marTop w:val="0"/>
      <w:marBottom w:val="0"/>
      <w:divBdr>
        <w:top w:val="none" w:sz="0" w:space="0" w:color="auto"/>
        <w:left w:val="none" w:sz="0" w:space="0" w:color="auto"/>
        <w:bottom w:val="none" w:sz="0" w:space="0" w:color="auto"/>
        <w:right w:val="none" w:sz="0" w:space="0" w:color="auto"/>
      </w:divBdr>
      <w:divsChild>
        <w:div w:id="1649821231">
          <w:marLeft w:val="0"/>
          <w:marRight w:val="0"/>
          <w:marTop w:val="0"/>
          <w:marBottom w:val="0"/>
          <w:divBdr>
            <w:top w:val="none" w:sz="0" w:space="0" w:color="auto"/>
            <w:left w:val="none" w:sz="0" w:space="0" w:color="auto"/>
            <w:bottom w:val="none" w:sz="0" w:space="0" w:color="auto"/>
            <w:right w:val="none" w:sz="0" w:space="0" w:color="auto"/>
          </w:divBdr>
          <w:divsChild>
            <w:div w:id="82268805">
              <w:marLeft w:val="0"/>
              <w:marRight w:val="0"/>
              <w:marTop w:val="0"/>
              <w:marBottom w:val="0"/>
              <w:divBdr>
                <w:top w:val="none" w:sz="0" w:space="0" w:color="auto"/>
                <w:left w:val="none" w:sz="0" w:space="0" w:color="auto"/>
                <w:bottom w:val="none" w:sz="0" w:space="0" w:color="auto"/>
                <w:right w:val="none" w:sz="0" w:space="0" w:color="auto"/>
              </w:divBdr>
              <w:divsChild>
                <w:div w:id="153905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963253">
      <w:bodyDiv w:val="1"/>
      <w:marLeft w:val="0"/>
      <w:marRight w:val="0"/>
      <w:marTop w:val="0"/>
      <w:marBottom w:val="0"/>
      <w:divBdr>
        <w:top w:val="none" w:sz="0" w:space="0" w:color="auto"/>
        <w:left w:val="none" w:sz="0" w:space="0" w:color="auto"/>
        <w:bottom w:val="none" w:sz="0" w:space="0" w:color="auto"/>
        <w:right w:val="none" w:sz="0" w:space="0" w:color="auto"/>
      </w:divBdr>
      <w:divsChild>
        <w:div w:id="1822652829">
          <w:marLeft w:val="0"/>
          <w:marRight w:val="0"/>
          <w:marTop w:val="0"/>
          <w:marBottom w:val="0"/>
          <w:divBdr>
            <w:top w:val="none" w:sz="0" w:space="0" w:color="auto"/>
            <w:left w:val="none" w:sz="0" w:space="0" w:color="auto"/>
            <w:bottom w:val="none" w:sz="0" w:space="0" w:color="auto"/>
            <w:right w:val="none" w:sz="0" w:space="0" w:color="auto"/>
          </w:divBdr>
          <w:divsChild>
            <w:div w:id="764543779">
              <w:marLeft w:val="0"/>
              <w:marRight w:val="0"/>
              <w:marTop w:val="0"/>
              <w:marBottom w:val="0"/>
              <w:divBdr>
                <w:top w:val="none" w:sz="0" w:space="0" w:color="auto"/>
                <w:left w:val="none" w:sz="0" w:space="0" w:color="auto"/>
                <w:bottom w:val="none" w:sz="0" w:space="0" w:color="auto"/>
                <w:right w:val="none" w:sz="0" w:space="0" w:color="auto"/>
              </w:divBdr>
              <w:divsChild>
                <w:div w:id="392965324">
                  <w:marLeft w:val="0"/>
                  <w:marRight w:val="0"/>
                  <w:marTop w:val="0"/>
                  <w:marBottom w:val="0"/>
                  <w:divBdr>
                    <w:top w:val="none" w:sz="0" w:space="0" w:color="auto"/>
                    <w:left w:val="none" w:sz="0" w:space="0" w:color="auto"/>
                    <w:bottom w:val="none" w:sz="0" w:space="0" w:color="auto"/>
                    <w:right w:val="none" w:sz="0" w:space="0" w:color="auto"/>
                  </w:divBdr>
                  <w:divsChild>
                    <w:div w:id="118463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858557">
      <w:bodyDiv w:val="1"/>
      <w:marLeft w:val="0"/>
      <w:marRight w:val="0"/>
      <w:marTop w:val="0"/>
      <w:marBottom w:val="0"/>
      <w:divBdr>
        <w:top w:val="none" w:sz="0" w:space="0" w:color="auto"/>
        <w:left w:val="none" w:sz="0" w:space="0" w:color="auto"/>
        <w:bottom w:val="none" w:sz="0" w:space="0" w:color="auto"/>
        <w:right w:val="none" w:sz="0" w:space="0" w:color="auto"/>
      </w:divBdr>
    </w:div>
    <w:div w:id="613559800">
      <w:bodyDiv w:val="1"/>
      <w:marLeft w:val="0"/>
      <w:marRight w:val="0"/>
      <w:marTop w:val="0"/>
      <w:marBottom w:val="0"/>
      <w:divBdr>
        <w:top w:val="none" w:sz="0" w:space="0" w:color="auto"/>
        <w:left w:val="none" w:sz="0" w:space="0" w:color="auto"/>
        <w:bottom w:val="none" w:sz="0" w:space="0" w:color="auto"/>
        <w:right w:val="none" w:sz="0" w:space="0" w:color="auto"/>
      </w:divBdr>
    </w:div>
    <w:div w:id="617177326">
      <w:bodyDiv w:val="1"/>
      <w:marLeft w:val="0"/>
      <w:marRight w:val="0"/>
      <w:marTop w:val="0"/>
      <w:marBottom w:val="0"/>
      <w:divBdr>
        <w:top w:val="none" w:sz="0" w:space="0" w:color="auto"/>
        <w:left w:val="none" w:sz="0" w:space="0" w:color="auto"/>
        <w:bottom w:val="none" w:sz="0" w:space="0" w:color="auto"/>
        <w:right w:val="none" w:sz="0" w:space="0" w:color="auto"/>
      </w:divBdr>
    </w:div>
    <w:div w:id="624972473">
      <w:bodyDiv w:val="1"/>
      <w:marLeft w:val="0"/>
      <w:marRight w:val="0"/>
      <w:marTop w:val="0"/>
      <w:marBottom w:val="0"/>
      <w:divBdr>
        <w:top w:val="none" w:sz="0" w:space="0" w:color="auto"/>
        <w:left w:val="none" w:sz="0" w:space="0" w:color="auto"/>
        <w:bottom w:val="none" w:sz="0" w:space="0" w:color="auto"/>
        <w:right w:val="none" w:sz="0" w:space="0" w:color="auto"/>
      </w:divBdr>
    </w:div>
    <w:div w:id="648824434">
      <w:bodyDiv w:val="1"/>
      <w:marLeft w:val="0"/>
      <w:marRight w:val="0"/>
      <w:marTop w:val="0"/>
      <w:marBottom w:val="0"/>
      <w:divBdr>
        <w:top w:val="none" w:sz="0" w:space="0" w:color="auto"/>
        <w:left w:val="none" w:sz="0" w:space="0" w:color="auto"/>
        <w:bottom w:val="none" w:sz="0" w:space="0" w:color="auto"/>
        <w:right w:val="none" w:sz="0" w:space="0" w:color="auto"/>
      </w:divBdr>
      <w:divsChild>
        <w:div w:id="1084567833">
          <w:marLeft w:val="0"/>
          <w:marRight w:val="0"/>
          <w:marTop w:val="0"/>
          <w:marBottom w:val="0"/>
          <w:divBdr>
            <w:top w:val="none" w:sz="0" w:space="0" w:color="auto"/>
            <w:left w:val="none" w:sz="0" w:space="0" w:color="auto"/>
            <w:bottom w:val="none" w:sz="0" w:space="0" w:color="auto"/>
            <w:right w:val="none" w:sz="0" w:space="0" w:color="auto"/>
          </w:divBdr>
          <w:divsChild>
            <w:div w:id="1388146501">
              <w:marLeft w:val="0"/>
              <w:marRight w:val="0"/>
              <w:marTop w:val="0"/>
              <w:marBottom w:val="0"/>
              <w:divBdr>
                <w:top w:val="none" w:sz="0" w:space="0" w:color="auto"/>
                <w:left w:val="none" w:sz="0" w:space="0" w:color="auto"/>
                <w:bottom w:val="none" w:sz="0" w:space="0" w:color="auto"/>
                <w:right w:val="none" w:sz="0" w:space="0" w:color="auto"/>
              </w:divBdr>
              <w:divsChild>
                <w:div w:id="12573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19247">
      <w:bodyDiv w:val="1"/>
      <w:marLeft w:val="0"/>
      <w:marRight w:val="0"/>
      <w:marTop w:val="0"/>
      <w:marBottom w:val="0"/>
      <w:divBdr>
        <w:top w:val="none" w:sz="0" w:space="0" w:color="auto"/>
        <w:left w:val="none" w:sz="0" w:space="0" w:color="auto"/>
        <w:bottom w:val="none" w:sz="0" w:space="0" w:color="auto"/>
        <w:right w:val="none" w:sz="0" w:space="0" w:color="auto"/>
      </w:divBdr>
    </w:div>
    <w:div w:id="661082366">
      <w:bodyDiv w:val="1"/>
      <w:marLeft w:val="0"/>
      <w:marRight w:val="0"/>
      <w:marTop w:val="0"/>
      <w:marBottom w:val="0"/>
      <w:divBdr>
        <w:top w:val="none" w:sz="0" w:space="0" w:color="auto"/>
        <w:left w:val="none" w:sz="0" w:space="0" w:color="auto"/>
        <w:bottom w:val="none" w:sz="0" w:space="0" w:color="auto"/>
        <w:right w:val="none" w:sz="0" w:space="0" w:color="auto"/>
      </w:divBdr>
    </w:div>
    <w:div w:id="669211162">
      <w:bodyDiv w:val="1"/>
      <w:marLeft w:val="0"/>
      <w:marRight w:val="0"/>
      <w:marTop w:val="0"/>
      <w:marBottom w:val="0"/>
      <w:divBdr>
        <w:top w:val="none" w:sz="0" w:space="0" w:color="auto"/>
        <w:left w:val="none" w:sz="0" w:space="0" w:color="auto"/>
        <w:bottom w:val="none" w:sz="0" w:space="0" w:color="auto"/>
        <w:right w:val="none" w:sz="0" w:space="0" w:color="auto"/>
      </w:divBdr>
    </w:div>
    <w:div w:id="672298039">
      <w:bodyDiv w:val="1"/>
      <w:marLeft w:val="0"/>
      <w:marRight w:val="0"/>
      <w:marTop w:val="0"/>
      <w:marBottom w:val="0"/>
      <w:divBdr>
        <w:top w:val="none" w:sz="0" w:space="0" w:color="auto"/>
        <w:left w:val="none" w:sz="0" w:space="0" w:color="auto"/>
        <w:bottom w:val="none" w:sz="0" w:space="0" w:color="auto"/>
        <w:right w:val="none" w:sz="0" w:space="0" w:color="auto"/>
      </w:divBdr>
      <w:divsChild>
        <w:div w:id="444736555">
          <w:marLeft w:val="77"/>
          <w:marRight w:val="77"/>
          <w:marTop w:val="0"/>
          <w:marBottom w:val="0"/>
          <w:divBdr>
            <w:top w:val="none" w:sz="0" w:space="0" w:color="auto"/>
            <w:left w:val="none" w:sz="0" w:space="0" w:color="auto"/>
            <w:bottom w:val="none" w:sz="0" w:space="0" w:color="auto"/>
            <w:right w:val="none" w:sz="0" w:space="0" w:color="auto"/>
          </w:divBdr>
          <w:divsChild>
            <w:div w:id="1833984558">
              <w:marLeft w:val="0"/>
              <w:marRight w:val="0"/>
              <w:marTop w:val="0"/>
              <w:marBottom w:val="0"/>
              <w:divBdr>
                <w:top w:val="none" w:sz="0" w:space="0" w:color="auto"/>
                <w:left w:val="none" w:sz="0" w:space="0" w:color="auto"/>
                <w:bottom w:val="none" w:sz="0" w:space="0" w:color="auto"/>
                <w:right w:val="none" w:sz="0" w:space="0" w:color="auto"/>
              </w:divBdr>
              <w:divsChild>
                <w:div w:id="1448810467">
                  <w:marLeft w:val="0"/>
                  <w:marRight w:val="0"/>
                  <w:marTop w:val="0"/>
                  <w:marBottom w:val="0"/>
                  <w:divBdr>
                    <w:top w:val="none" w:sz="0" w:space="0" w:color="auto"/>
                    <w:left w:val="none" w:sz="0" w:space="0" w:color="auto"/>
                    <w:bottom w:val="none" w:sz="0" w:space="0" w:color="auto"/>
                    <w:right w:val="none" w:sz="0" w:space="0" w:color="auto"/>
                  </w:divBdr>
                  <w:divsChild>
                    <w:div w:id="384912518">
                      <w:marLeft w:val="0"/>
                      <w:marRight w:val="0"/>
                      <w:marTop w:val="0"/>
                      <w:marBottom w:val="0"/>
                      <w:divBdr>
                        <w:top w:val="none" w:sz="0" w:space="0" w:color="auto"/>
                        <w:left w:val="none" w:sz="0" w:space="0" w:color="auto"/>
                        <w:bottom w:val="none" w:sz="0" w:space="0" w:color="auto"/>
                        <w:right w:val="none" w:sz="0" w:space="0" w:color="auto"/>
                      </w:divBdr>
                      <w:divsChild>
                        <w:div w:id="57436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855849">
          <w:marLeft w:val="77"/>
          <w:marRight w:val="77"/>
          <w:marTop w:val="0"/>
          <w:marBottom w:val="0"/>
          <w:divBdr>
            <w:top w:val="none" w:sz="0" w:space="0" w:color="auto"/>
            <w:left w:val="none" w:sz="0" w:space="0" w:color="auto"/>
            <w:bottom w:val="none" w:sz="0" w:space="0" w:color="auto"/>
            <w:right w:val="none" w:sz="0" w:space="0" w:color="auto"/>
          </w:divBdr>
          <w:divsChild>
            <w:div w:id="1949854266">
              <w:marLeft w:val="0"/>
              <w:marRight w:val="0"/>
              <w:marTop w:val="0"/>
              <w:marBottom w:val="0"/>
              <w:divBdr>
                <w:top w:val="none" w:sz="0" w:space="0" w:color="auto"/>
                <w:left w:val="none" w:sz="0" w:space="0" w:color="auto"/>
                <w:bottom w:val="none" w:sz="0" w:space="0" w:color="auto"/>
                <w:right w:val="none" w:sz="0" w:space="0" w:color="auto"/>
              </w:divBdr>
              <w:divsChild>
                <w:div w:id="1181430187">
                  <w:marLeft w:val="105"/>
                  <w:marRight w:val="105"/>
                  <w:marTop w:val="0"/>
                  <w:marBottom w:val="0"/>
                  <w:divBdr>
                    <w:top w:val="none" w:sz="0" w:space="0" w:color="auto"/>
                    <w:left w:val="none" w:sz="0" w:space="0" w:color="auto"/>
                    <w:bottom w:val="none" w:sz="0" w:space="0" w:color="auto"/>
                    <w:right w:val="none" w:sz="0" w:space="0" w:color="auto"/>
                  </w:divBdr>
                  <w:divsChild>
                    <w:div w:id="1162508011">
                      <w:marLeft w:val="0"/>
                      <w:marRight w:val="0"/>
                      <w:marTop w:val="0"/>
                      <w:marBottom w:val="0"/>
                      <w:divBdr>
                        <w:top w:val="none" w:sz="0" w:space="0" w:color="auto"/>
                        <w:left w:val="none" w:sz="0" w:space="0" w:color="auto"/>
                        <w:bottom w:val="none" w:sz="0" w:space="0" w:color="auto"/>
                        <w:right w:val="none" w:sz="0" w:space="0" w:color="auto"/>
                      </w:divBdr>
                      <w:divsChild>
                        <w:div w:id="1340304303">
                          <w:marLeft w:val="0"/>
                          <w:marRight w:val="0"/>
                          <w:marTop w:val="0"/>
                          <w:marBottom w:val="0"/>
                          <w:divBdr>
                            <w:top w:val="none" w:sz="0" w:space="0" w:color="auto"/>
                            <w:left w:val="none" w:sz="0" w:space="0" w:color="auto"/>
                            <w:bottom w:val="none" w:sz="0" w:space="0" w:color="auto"/>
                            <w:right w:val="none" w:sz="0" w:space="0" w:color="auto"/>
                          </w:divBdr>
                          <w:divsChild>
                            <w:div w:id="1256476853">
                              <w:marLeft w:val="0"/>
                              <w:marRight w:val="0"/>
                              <w:marTop w:val="0"/>
                              <w:marBottom w:val="0"/>
                              <w:divBdr>
                                <w:top w:val="none" w:sz="0" w:space="0" w:color="auto"/>
                                <w:left w:val="none" w:sz="0" w:space="0" w:color="auto"/>
                                <w:bottom w:val="none" w:sz="0" w:space="0" w:color="auto"/>
                                <w:right w:val="none" w:sz="0" w:space="0" w:color="auto"/>
                              </w:divBdr>
                              <w:divsChild>
                                <w:div w:id="106199846">
                                  <w:marLeft w:val="0"/>
                                  <w:marRight w:val="0"/>
                                  <w:marTop w:val="0"/>
                                  <w:marBottom w:val="0"/>
                                  <w:divBdr>
                                    <w:top w:val="none" w:sz="0" w:space="0" w:color="auto"/>
                                    <w:left w:val="none" w:sz="0" w:space="0" w:color="auto"/>
                                    <w:bottom w:val="single" w:sz="6" w:space="0" w:color="auto"/>
                                    <w:right w:val="none" w:sz="0" w:space="0" w:color="auto"/>
                                  </w:divBdr>
                                  <w:divsChild>
                                    <w:div w:id="484469510">
                                      <w:marLeft w:val="0"/>
                                      <w:marRight w:val="0"/>
                                      <w:marTop w:val="0"/>
                                      <w:marBottom w:val="0"/>
                                      <w:divBdr>
                                        <w:top w:val="none" w:sz="0" w:space="0" w:color="auto"/>
                                        <w:left w:val="none" w:sz="0" w:space="0" w:color="auto"/>
                                        <w:bottom w:val="none" w:sz="0" w:space="0" w:color="auto"/>
                                        <w:right w:val="none" w:sz="0" w:space="0" w:color="auto"/>
                                      </w:divBdr>
                                    </w:div>
                                    <w:div w:id="1775712770">
                                      <w:marLeft w:val="0"/>
                                      <w:marRight w:val="0"/>
                                      <w:marTop w:val="0"/>
                                      <w:marBottom w:val="0"/>
                                      <w:divBdr>
                                        <w:top w:val="none" w:sz="0" w:space="0" w:color="auto"/>
                                        <w:left w:val="none" w:sz="0" w:space="0" w:color="auto"/>
                                        <w:bottom w:val="none" w:sz="0" w:space="0" w:color="auto"/>
                                        <w:right w:val="none" w:sz="0" w:space="0" w:color="auto"/>
                                      </w:divBdr>
                                    </w:div>
                                  </w:divsChild>
                                </w:div>
                                <w:div w:id="626593772">
                                  <w:marLeft w:val="0"/>
                                  <w:marRight w:val="0"/>
                                  <w:marTop w:val="0"/>
                                  <w:marBottom w:val="0"/>
                                  <w:divBdr>
                                    <w:top w:val="none" w:sz="0" w:space="0" w:color="auto"/>
                                    <w:left w:val="none" w:sz="0" w:space="0" w:color="auto"/>
                                    <w:bottom w:val="none" w:sz="0" w:space="0" w:color="auto"/>
                                    <w:right w:val="none" w:sz="0" w:space="0" w:color="auto"/>
                                  </w:divBdr>
                                  <w:divsChild>
                                    <w:div w:id="1846359538">
                                      <w:marLeft w:val="0"/>
                                      <w:marRight w:val="0"/>
                                      <w:marTop w:val="0"/>
                                      <w:marBottom w:val="0"/>
                                      <w:divBdr>
                                        <w:top w:val="none" w:sz="0" w:space="0" w:color="auto"/>
                                        <w:left w:val="none" w:sz="0" w:space="0" w:color="auto"/>
                                        <w:bottom w:val="single" w:sz="6" w:space="8" w:color="auto"/>
                                        <w:right w:val="none" w:sz="0" w:space="0" w:color="auto"/>
                                      </w:divBdr>
                                      <w:divsChild>
                                        <w:div w:id="492843313">
                                          <w:marLeft w:val="0"/>
                                          <w:marRight w:val="0"/>
                                          <w:marTop w:val="0"/>
                                          <w:marBottom w:val="0"/>
                                          <w:divBdr>
                                            <w:top w:val="none" w:sz="0" w:space="0" w:color="auto"/>
                                            <w:left w:val="none" w:sz="0" w:space="0" w:color="auto"/>
                                            <w:bottom w:val="none" w:sz="0" w:space="0" w:color="auto"/>
                                            <w:right w:val="none" w:sz="0" w:space="0" w:color="auto"/>
                                          </w:divBdr>
                                        </w:div>
                                        <w:div w:id="95571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9575277">
      <w:bodyDiv w:val="1"/>
      <w:marLeft w:val="0"/>
      <w:marRight w:val="0"/>
      <w:marTop w:val="0"/>
      <w:marBottom w:val="0"/>
      <w:divBdr>
        <w:top w:val="none" w:sz="0" w:space="0" w:color="auto"/>
        <w:left w:val="none" w:sz="0" w:space="0" w:color="auto"/>
        <w:bottom w:val="none" w:sz="0" w:space="0" w:color="auto"/>
        <w:right w:val="none" w:sz="0" w:space="0" w:color="auto"/>
      </w:divBdr>
      <w:divsChild>
        <w:div w:id="236475309">
          <w:marLeft w:val="0"/>
          <w:marRight w:val="0"/>
          <w:marTop w:val="0"/>
          <w:marBottom w:val="0"/>
          <w:divBdr>
            <w:top w:val="none" w:sz="0" w:space="0" w:color="auto"/>
            <w:left w:val="none" w:sz="0" w:space="0" w:color="auto"/>
            <w:bottom w:val="none" w:sz="0" w:space="0" w:color="auto"/>
            <w:right w:val="none" w:sz="0" w:space="0" w:color="auto"/>
          </w:divBdr>
          <w:divsChild>
            <w:div w:id="1934126752">
              <w:marLeft w:val="0"/>
              <w:marRight w:val="0"/>
              <w:marTop w:val="0"/>
              <w:marBottom w:val="0"/>
              <w:divBdr>
                <w:top w:val="none" w:sz="0" w:space="0" w:color="auto"/>
                <w:left w:val="none" w:sz="0" w:space="0" w:color="auto"/>
                <w:bottom w:val="none" w:sz="0" w:space="0" w:color="auto"/>
                <w:right w:val="none" w:sz="0" w:space="0" w:color="auto"/>
              </w:divBdr>
              <w:divsChild>
                <w:div w:id="65322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003648">
      <w:bodyDiv w:val="1"/>
      <w:marLeft w:val="0"/>
      <w:marRight w:val="0"/>
      <w:marTop w:val="0"/>
      <w:marBottom w:val="0"/>
      <w:divBdr>
        <w:top w:val="none" w:sz="0" w:space="0" w:color="auto"/>
        <w:left w:val="none" w:sz="0" w:space="0" w:color="auto"/>
        <w:bottom w:val="none" w:sz="0" w:space="0" w:color="auto"/>
        <w:right w:val="none" w:sz="0" w:space="0" w:color="auto"/>
      </w:divBdr>
      <w:divsChild>
        <w:div w:id="1045718454">
          <w:marLeft w:val="0"/>
          <w:marRight w:val="0"/>
          <w:marTop w:val="0"/>
          <w:marBottom w:val="0"/>
          <w:divBdr>
            <w:top w:val="none" w:sz="0" w:space="0" w:color="auto"/>
            <w:left w:val="none" w:sz="0" w:space="0" w:color="auto"/>
            <w:bottom w:val="none" w:sz="0" w:space="0" w:color="auto"/>
            <w:right w:val="none" w:sz="0" w:space="0" w:color="auto"/>
          </w:divBdr>
          <w:divsChild>
            <w:div w:id="424739121">
              <w:marLeft w:val="0"/>
              <w:marRight w:val="0"/>
              <w:marTop w:val="0"/>
              <w:marBottom w:val="0"/>
              <w:divBdr>
                <w:top w:val="none" w:sz="0" w:space="0" w:color="auto"/>
                <w:left w:val="none" w:sz="0" w:space="0" w:color="auto"/>
                <w:bottom w:val="none" w:sz="0" w:space="0" w:color="auto"/>
                <w:right w:val="none" w:sz="0" w:space="0" w:color="auto"/>
              </w:divBdr>
              <w:divsChild>
                <w:div w:id="208367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5278">
      <w:bodyDiv w:val="1"/>
      <w:marLeft w:val="0"/>
      <w:marRight w:val="0"/>
      <w:marTop w:val="0"/>
      <w:marBottom w:val="0"/>
      <w:divBdr>
        <w:top w:val="none" w:sz="0" w:space="0" w:color="auto"/>
        <w:left w:val="none" w:sz="0" w:space="0" w:color="auto"/>
        <w:bottom w:val="none" w:sz="0" w:space="0" w:color="auto"/>
        <w:right w:val="none" w:sz="0" w:space="0" w:color="auto"/>
      </w:divBdr>
    </w:div>
    <w:div w:id="701786989">
      <w:bodyDiv w:val="1"/>
      <w:marLeft w:val="0"/>
      <w:marRight w:val="0"/>
      <w:marTop w:val="0"/>
      <w:marBottom w:val="0"/>
      <w:divBdr>
        <w:top w:val="none" w:sz="0" w:space="0" w:color="auto"/>
        <w:left w:val="none" w:sz="0" w:space="0" w:color="auto"/>
        <w:bottom w:val="none" w:sz="0" w:space="0" w:color="auto"/>
        <w:right w:val="none" w:sz="0" w:space="0" w:color="auto"/>
      </w:divBdr>
      <w:divsChild>
        <w:div w:id="80418882">
          <w:marLeft w:val="0"/>
          <w:marRight w:val="0"/>
          <w:marTop w:val="0"/>
          <w:marBottom w:val="0"/>
          <w:divBdr>
            <w:top w:val="none" w:sz="0" w:space="0" w:color="auto"/>
            <w:left w:val="none" w:sz="0" w:space="0" w:color="auto"/>
            <w:bottom w:val="none" w:sz="0" w:space="0" w:color="auto"/>
            <w:right w:val="none" w:sz="0" w:space="0" w:color="auto"/>
          </w:divBdr>
          <w:divsChild>
            <w:div w:id="890385211">
              <w:marLeft w:val="0"/>
              <w:marRight w:val="0"/>
              <w:marTop w:val="0"/>
              <w:marBottom w:val="0"/>
              <w:divBdr>
                <w:top w:val="none" w:sz="0" w:space="0" w:color="auto"/>
                <w:left w:val="none" w:sz="0" w:space="0" w:color="auto"/>
                <w:bottom w:val="none" w:sz="0" w:space="0" w:color="auto"/>
                <w:right w:val="none" w:sz="0" w:space="0" w:color="auto"/>
              </w:divBdr>
              <w:divsChild>
                <w:div w:id="201552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328349">
      <w:bodyDiv w:val="1"/>
      <w:marLeft w:val="0"/>
      <w:marRight w:val="0"/>
      <w:marTop w:val="0"/>
      <w:marBottom w:val="0"/>
      <w:divBdr>
        <w:top w:val="none" w:sz="0" w:space="0" w:color="auto"/>
        <w:left w:val="none" w:sz="0" w:space="0" w:color="auto"/>
        <w:bottom w:val="none" w:sz="0" w:space="0" w:color="auto"/>
        <w:right w:val="none" w:sz="0" w:space="0" w:color="auto"/>
      </w:divBdr>
      <w:divsChild>
        <w:div w:id="1412773963">
          <w:marLeft w:val="0"/>
          <w:marRight w:val="0"/>
          <w:marTop w:val="0"/>
          <w:marBottom w:val="0"/>
          <w:divBdr>
            <w:top w:val="none" w:sz="0" w:space="0" w:color="auto"/>
            <w:left w:val="none" w:sz="0" w:space="0" w:color="auto"/>
            <w:bottom w:val="none" w:sz="0" w:space="0" w:color="auto"/>
            <w:right w:val="none" w:sz="0" w:space="0" w:color="auto"/>
          </w:divBdr>
          <w:divsChild>
            <w:div w:id="1319843486">
              <w:marLeft w:val="0"/>
              <w:marRight w:val="0"/>
              <w:marTop w:val="0"/>
              <w:marBottom w:val="0"/>
              <w:divBdr>
                <w:top w:val="none" w:sz="0" w:space="0" w:color="auto"/>
                <w:left w:val="none" w:sz="0" w:space="0" w:color="auto"/>
                <w:bottom w:val="none" w:sz="0" w:space="0" w:color="auto"/>
                <w:right w:val="none" w:sz="0" w:space="0" w:color="auto"/>
              </w:divBdr>
              <w:divsChild>
                <w:div w:id="97186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85950">
      <w:bodyDiv w:val="1"/>
      <w:marLeft w:val="0"/>
      <w:marRight w:val="0"/>
      <w:marTop w:val="0"/>
      <w:marBottom w:val="0"/>
      <w:divBdr>
        <w:top w:val="none" w:sz="0" w:space="0" w:color="auto"/>
        <w:left w:val="none" w:sz="0" w:space="0" w:color="auto"/>
        <w:bottom w:val="none" w:sz="0" w:space="0" w:color="auto"/>
        <w:right w:val="none" w:sz="0" w:space="0" w:color="auto"/>
      </w:divBdr>
      <w:divsChild>
        <w:div w:id="1648969187">
          <w:marLeft w:val="0"/>
          <w:marRight w:val="0"/>
          <w:marTop w:val="0"/>
          <w:marBottom w:val="0"/>
          <w:divBdr>
            <w:top w:val="none" w:sz="0" w:space="0" w:color="auto"/>
            <w:left w:val="none" w:sz="0" w:space="0" w:color="auto"/>
            <w:bottom w:val="none" w:sz="0" w:space="0" w:color="auto"/>
            <w:right w:val="none" w:sz="0" w:space="0" w:color="auto"/>
          </w:divBdr>
          <w:divsChild>
            <w:div w:id="1812552219">
              <w:marLeft w:val="0"/>
              <w:marRight w:val="0"/>
              <w:marTop w:val="0"/>
              <w:marBottom w:val="0"/>
              <w:divBdr>
                <w:top w:val="none" w:sz="0" w:space="0" w:color="auto"/>
                <w:left w:val="none" w:sz="0" w:space="0" w:color="auto"/>
                <w:bottom w:val="none" w:sz="0" w:space="0" w:color="auto"/>
                <w:right w:val="none" w:sz="0" w:space="0" w:color="auto"/>
              </w:divBdr>
              <w:divsChild>
                <w:div w:id="158841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11366">
      <w:bodyDiv w:val="1"/>
      <w:marLeft w:val="0"/>
      <w:marRight w:val="0"/>
      <w:marTop w:val="0"/>
      <w:marBottom w:val="0"/>
      <w:divBdr>
        <w:top w:val="none" w:sz="0" w:space="0" w:color="auto"/>
        <w:left w:val="none" w:sz="0" w:space="0" w:color="auto"/>
        <w:bottom w:val="none" w:sz="0" w:space="0" w:color="auto"/>
        <w:right w:val="none" w:sz="0" w:space="0" w:color="auto"/>
      </w:divBdr>
    </w:div>
    <w:div w:id="739252912">
      <w:bodyDiv w:val="1"/>
      <w:marLeft w:val="0"/>
      <w:marRight w:val="0"/>
      <w:marTop w:val="0"/>
      <w:marBottom w:val="0"/>
      <w:divBdr>
        <w:top w:val="none" w:sz="0" w:space="0" w:color="auto"/>
        <w:left w:val="none" w:sz="0" w:space="0" w:color="auto"/>
        <w:bottom w:val="none" w:sz="0" w:space="0" w:color="auto"/>
        <w:right w:val="none" w:sz="0" w:space="0" w:color="auto"/>
      </w:divBdr>
    </w:div>
    <w:div w:id="739714935">
      <w:bodyDiv w:val="1"/>
      <w:marLeft w:val="0"/>
      <w:marRight w:val="0"/>
      <w:marTop w:val="0"/>
      <w:marBottom w:val="0"/>
      <w:divBdr>
        <w:top w:val="none" w:sz="0" w:space="0" w:color="auto"/>
        <w:left w:val="none" w:sz="0" w:space="0" w:color="auto"/>
        <w:bottom w:val="none" w:sz="0" w:space="0" w:color="auto"/>
        <w:right w:val="none" w:sz="0" w:space="0" w:color="auto"/>
      </w:divBdr>
    </w:div>
    <w:div w:id="740253145">
      <w:bodyDiv w:val="1"/>
      <w:marLeft w:val="0"/>
      <w:marRight w:val="0"/>
      <w:marTop w:val="0"/>
      <w:marBottom w:val="0"/>
      <w:divBdr>
        <w:top w:val="none" w:sz="0" w:space="0" w:color="auto"/>
        <w:left w:val="none" w:sz="0" w:space="0" w:color="auto"/>
        <w:bottom w:val="none" w:sz="0" w:space="0" w:color="auto"/>
        <w:right w:val="none" w:sz="0" w:space="0" w:color="auto"/>
      </w:divBdr>
    </w:div>
    <w:div w:id="741953354">
      <w:bodyDiv w:val="1"/>
      <w:marLeft w:val="0"/>
      <w:marRight w:val="0"/>
      <w:marTop w:val="0"/>
      <w:marBottom w:val="0"/>
      <w:divBdr>
        <w:top w:val="none" w:sz="0" w:space="0" w:color="auto"/>
        <w:left w:val="none" w:sz="0" w:space="0" w:color="auto"/>
        <w:bottom w:val="none" w:sz="0" w:space="0" w:color="auto"/>
        <w:right w:val="none" w:sz="0" w:space="0" w:color="auto"/>
      </w:divBdr>
    </w:div>
    <w:div w:id="742607989">
      <w:bodyDiv w:val="1"/>
      <w:marLeft w:val="0"/>
      <w:marRight w:val="0"/>
      <w:marTop w:val="0"/>
      <w:marBottom w:val="0"/>
      <w:divBdr>
        <w:top w:val="none" w:sz="0" w:space="0" w:color="auto"/>
        <w:left w:val="none" w:sz="0" w:space="0" w:color="auto"/>
        <w:bottom w:val="none" w:sz="0" w:space="0" w:color="auto"/>
        <w:right w:val="none" w:sz="0" w:space="0" w:color="auto"/>
      </w:divBdr>
    </w:div>
    <w:div w:id="743718351">
      <w:bodyDiv w:val="1"/>
      <w:marLeft w:val="0"/>
      <w:marRight w:val="0"/>
      <w:marTop w:val="0"/>
      <w:marBottom w:val="0"/>
      <w:divBdr>
        <w:top w:val="none" w:sz="0" w:space="0" w:color="auto"/>
        <w:left w:val="none" w:sz="0" w:space="0" w:color="auto"/>
        <w:bottom w:val="none" w:sz="0" w:space="0" w:color="auto"/>
        <w:right w:val="none" w:sz="0" w:space="0" w:color="auto"/>
      </w:divBdr>
    </w:div>
    <w:div w:id="744231548">
      <w:bodyDiv w:val="1"/>
      <w:marLeft w:val="0"/>
      <w:marRight w:val="0"/>
      <w:marTop w:val="0"/>
      <w:marBottom w:val="0"/>
      <w:divBdr>
        <w:top w:val="none" w:sz="0" w:space="0" w:color="auto"/>
        <w:left w:val="none" w:sz="0" w:space="0" w:color="auto"/>
        <w:bottom w:val="none" w:sz="0" w:space="0" w:color="auto"/>
        <w:right w:val="none" w:sz="0" w:space="0" w:color="auto"/>
      </w:divBdr>
    </w:div>
    <w:div w:id="745419467">
      <w:bodyDiv w:val="1"/>
      <w:marLeft w:val="0"/>
      <w:marRight w:val="0"/>
      <w:marTop w:val="0"/>
      <w:marBottom w:val="0"/>
      <w:divBdr>
        <w:top w:val="none" w:sz="0" w:space="0" w:color="auto"/>
        <w:left w:val="none" w:sz="0" w:space="0" w:color="auto"/>
        <w:bottom w:val="none" w:sz="0" w:space="0" w:color="auto"/>
        <w:right w:val="none" w:sz="0" w:space="0" w:color="auto"/>
      </w:divBdr>
      <w:divsChild>
        <w:div w:id="556359154">
          <w:marLeft w:val="0"/>
          <w:marRight w:val="0"/>
          <w:marTop w:val="0"/>
          <w:marBottom w:val="0"/>
          <w:divBdr>
            <w:top w:val="none" w:sz="0" w:space="0" w:color="auto"/>
            <w:left w:val="none" w:sz="0" w:space="0" w:color="auto"/>
            <w:bottom w:val="none" w:sz="0" w:space="0" w:color="auto"/>
            <w:right w:val="none" w:sz="0" w:space="0" w:color="auto"/>
          </w:divBdr>
          <w:divsChild>
            <w:div w:id="1132674533">
              <w:marLeft w:val="0"/>
              <w:marRight w:val="0"/>
              <w:marTop w:val="0"/>
              <w:marBottom w:val="0"/>
              <w:divBdr>
                <w:top w:val="none" w:sz="0" w:space="0" w:color="auto"/>
                <w:left w:val="none" w:sz="0" w:space="0" w:color="auto"/>
                <w:bottom w:val="none" w:sz="0" w:space="0" w:color="auto"/>
                <w:right w:val="none" w:sz="0" w:space="0" w:color="auto"/>
              </w:divBdr>
              <w:divsChild>
                <w:div w:id="1648318408">
                  <w:marLeft w:val="0"/>
                  <w:marRight w:val="0"/>
                  <w:marTop w:val="0"/>
                  <w:marBottom w:val="0"/>
                  <w:divBdr>
                    <w:top w:val="none" w:sz="0" w:space="0" w:color="auto"/>
                    <w:left w:val="none" w:sz="0" w:space="0" w:color="auto"/>
                    <w:bottom w:val="none" w:sz="0" w:space="0" w:color="auto"/>
                    <w:right w:val="none" w:sz="0" w:space="0" w:color="auto"/>
                  </w:divBdr>
                  <w:divsChild>
                    <w:div w:id="169576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041601">
      <w:bodyDiv w:val="1"/>
      <w:marLeft w:val="0"/>
      <w:marRight w:val="0"/>
      <w:marTop w:val="0"/>
      <w:marBottom w:val="0"/>
      <w:divBdr>
        <w:top w:val="none" w:sz="0" w:space="0" w:color="auto"/>
        <w:left w:val="none" w:sz="0" w:space="0" w:color="auto"/>
        <w:bottom w:val="none" w:sz="0" w:space="0" w:color="auto"/>
        <w:right w:val="none" w:sz="0" w:space="0" w:color="auto"/>
      </w:divBdr>
    </w:div>
    <w:div w:id="748190966">
      <w:bodyDiv w:val="1"/>
      <w:marLeft w:val="0"/>
      <w:marRight w:val="0"/>
      <w:marTop w:val="0"/>
      <w:marBottom w:val="0"/>
      <w:divBdr>
        <w:top w:val="none" w:sz="0" w:space="0" w:color="auto"/>
        <w:left w:val="none" w:sz="0" w:space="0" w:color="auto"/>
        <w:bottom w:val="none" w:sz="0" w:space="0" w:color="auto"/>
        <w:right w:val="none" w:sz="0" w:space="0" w:color="auto"/>
      </w:divBdr>
    </w:div>
    <w:div w:id="760103678">
      <w:bodyDiv w:val="1"/>
      <w:marLeft w:val="0"/>
      <w:marRight w:val="0"/>
      <w:marTop w:val="0"/>
      <w:marBottom w:val="0"/>
      <w:divBdr>
        <w:top w:val="none" w:sz="0" w:space="0" w:color="auto"/>
        <w:left w:val="none" w:sz="0" w:space="0" w:color="auto"/>
        <w:bottom w:val="none" w:sz="0" w:space="0" w:color="auto"/>
        <w:right w:val="none" w:sz="0" w:space="0" w:color="auto"/>
      </w:divBdr>
    </w:div>
    <w:div w:id="762461325">
      <w:bodyDiv w:val="1"/>
      <w:marLeft w:val="0"/>
      <w:marRight w:val="0"/>
      <w:marTop w:val="0"/>
      <w:marBottom w:val="0"/>
      <w:divBdr>
        <w:top w:val="none" w:sz="0" w:space="0" w:color="auto"/>
        <w:left w:val="none" w:sz="0" w:space="0" w:color="auto"/>
        <w:bottom w:val="none" w:sz="0" w:space="0" w:color="auto"/>
        <w:right w:val="none" w:sz="0" w:space="0" w:color="auto"/>
      </w:divBdr>
      <w:divsChild>
        <w:div w:id="1305424123">
          <w:marLeft w:val="0"/>
          <w:marRight w:val="0"/>
          <w:marTop w:val="0"/>
          <w:marBottom w:val="0"/>
          <w:divBdr>
            <w:top w:val="none" w:sz="0" w:space="0" w:color="auto"/>
            <w:left w:val="none" w:sz="0" w:space="0" w:color="auto"/>
            <w:bottom w:val="none" w:sz="0" w:space="0" w:color="auto"/>
            <w:right w:val="none" w:sz="0" w:space="0" w:color="auto"/>
          </w:divBdr>
          <w:divsChild>
            <w:div w:id="1914199979">
              <w:marLeft w:val="0"/>
              <w:marRight w:val="0"/>
              <w:marTop w:val="0"/>
              <w:marBottom w:val="0"/>
              <w:divBdr>
                <w:top w:val="none" w:sz="0" w:space="0" w:color="auto"/>
                <w:left w:val="none" w:sz="0" w:space="0" w:color="auto"/>
                <w:bottom w:val="none" w:sz="0" w:space="0" w:color="auto"/>
                <w:right w:val="none" w:sz="0" w:space="0" w:color="auto"/>
              </w:divBdr>
              <w:divsChild>
                <w:div w:id="112230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121812">
      <w:bodyDiv w:val="1"/>
      <w:marLeft w:val="0"/>
      <w:marRight w:val="0"/>
      <w:marTop w:val="0"/>
      <w:marBottom w:val="0"/>
      <w:divBdr>
        <w:top w:val="none" w:sz="0" w:space="0" w:color="auto"/>
        <w:left w:val="none" w:sz="0" w:space="0" w:color="auto"/>
        <w:bottom w:val="none" w:sz="0" w:space="0" w:color="auto"/>
        <w:right w:val="none" w:sz="0" w:space="0" w:color="auto"/>
      </w:divBdr>
      <w:divsChild>
        <w:div w:id="598753459">
          <w:marLeft w:val="0"/>
          <w:marRight w:val="120"/>
          <w:marTop w:val="0"/>
          <w:marBottom w:val="0"/>
          <w:divBdr>
            <w:top w:val="none" w:sz="0" w:space="0" w:color="auto"/>
            <w:left w:val="none" w:sz="0" w:space="0" w:color="auto"/>
            <w:bottom w:val="none" w:sz="0" w:space="0" w:color="auto"/>
            <w:right w:val="none" w:sz="0" w:space="0" w:color="auto"/>
          </w:divBdr>
        </w:div>
      </w:divsChild>
    </w:div>
    <w:div w:id="770055558">
      <w:bodyDiv w:val="1"/>
      <w:marLeft w:val="0"/>
      <w:marRight w:val="0"/>
      <w:marTop w:val="0"/>
      <w:marBottom w:val="0"/>
      <w:divBdr>
        <w:top w:val="none" w:sz="0" w:space="0" w:color="auto"/>
        <w:left w:val="none" w:sz="0" w:space="0" w:color="auto"/>
        <w:bottom w:val="none" w:sz="0" w:space="0" w:color="auto"/>
        <w:right w:val="none" w:sz="0" w:space="0" w:color="auto"/>
      </w:divBdr>
    </w:div>
    <w:div w:id="776103137">
      <w:bodyDiv w:val="1"/>
      <w:marLeft w:val="0"/>
      <w:marRight w:val="0"/>
      <w:marTop w:val="0"/>
      <w:marBottom w:val="0"/>
      <w:divBdr>
        <w:top w:val="none" w:sz="0" w:space="0" w:color="auto"/>
        <w:left w:val="none" w:sz="0" w:space="0" w:color="auto"/>
        <w:bottom w:val="none" w:sz="0" w:space="0" w:color="auto"/>
        <w:right w:val="none" w:sz="0" w:space="0" w:color="auto"/>
      </w:divBdr>
    </w:div>
    <w:div w:id="777217153">
      <w:bodyDiv w:val="1"/>
      <w:marLeft w:val="0"/>
      <w:marRight w:val="0"/>
      <w:marTop w:val="0"/>
      <w:marBottom w:val="0"/>
      <w:divBdr>
        <w:top w:val="none" w:sz="0" w:space="0" w:color="auto"/>
        <w:left w:val="none" w:sz="0" w:space="0" w:color="auto"/>
        <w:bottom w:val="none" w:sz="0" w:space="0" w:color="auto"/>
        <w:right w:val="none" w:sz="0" w:space="0" w:color="auto"/>
      </w:divBdr>
    </w:div>
    <w:div w:id="779838938">
      <w:bodyDiv w:val="1"/>
      <w:marLeft w:val="0"/>
      <w:marRight w:val="0"/>
      <w:marTop w:val="0"/>
      <w:marBottom w:val="0"/>
      <w:divBdr>
        <w:top w:val="none" w:sz="0" w:space="0" w:color="auto"/>
        <w:left w:val="none" w:sz="0" w:space="0" w:color="auto"/>
        <w:bottom w:val="none" w:sz="0" w:space="0" w:color="auto"/>
        <w:right w:val="none" w:sz="0" w:space="0" w:color="auto"/>
      </w:divBdr>
    </w:div>
    <w:div w:id="779841619">
      <w:bodyDiv w:val="1"/>
      <w:marLeft w:val="0"/>
      <w:marRight w:val="0"/>
      <w:marTop w:val="0"/>
      <w:marBottom w:val="0"/>
      <w:divBdr>
        <w:top w:val="none" w:sz="0" w:space="0" w:color="auto"/>
        <w:left w:val="none" w:sz="0" w:space="0" w:color="auto"/>
        <w:bottom w:val="none" w:sz="0" w:space="0" w:color="auto"/>
        <w:right w:val="none" w:sz="0" w:space="0" w:color="auto"/>
      </w:divBdr>
      <w:divsChild>
        <w:div w:id="512914962">
          <w:marLeft w:val="0"/>
          <w:marRight w:val="0"/>
          <w:marTop w:val="0"/>
          <w:marBottom w:val="0"/>
          <w:divBdr>
            <w:top w:val="none" w:sz="0" w:space="0" w:color="auto"/>
            <w:left w:val="none" w:sz="0" w:space="0" w:color="auto"/>
            <w:bottom w:val="none" w:sz="0" w:space="0" w:color="auto"/>
            <w:right w:val="none" w:sz="0" w:space="0" w:color="auto"/>
          </w:divBdr>
          <w:divsChild>
            <w:div w:id="1750155756">
              <w:marLeft w:val="0"/>
              <w:marRight w:val="0"/>
              <w:marTop w:val="0"/>
              <w:marBottom w:val="0"/>
              <w:divBdr>
                <w:top w:val="none" w:sz="0" w:space="0" w:color="auto"/>
                <w:left w:val="none" w:sz="0" w:space="0" w:color="auto"/>
                <w:bottom w:val="none" w:sz="0" w:space="0" w:color="auto"/>
                <w:right w:val="none" w:sz="0" w:space="0" w:color="auto"/>
              </w:divBdr>
              <w:divsChild>
                <w:div w:id="87419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919794">
      <w:bodyDiv w:val="1"/>
      <w:marLeft w:val="0"/>
      <w:marRight w:val="0"/>
      <w:marTop w:val="0"/>
      <w:marBottom w:val="0"/>
      <w:divBdr>
        <w:top w:val="none" w:sz="0" w:space="0" w:color="auto"/>
        <w:left w:val="none" w:sz="0" w:space="0" w:color="auto"/>
        <w:bottom w:val="none" w:sz="0" w:space="0" w:color="auto"/>
        <w:right w:val="none" w:sz="0" w:space="0" w:color="auto"/>
      </w:divBdr>
    </w:div>
    <w:div w:id="783497542">
      <w:bodyDiv w:val="1"/>
      <w:marLeft w:val="0"/>
      <w:marRight w:val="0"/>
      <w:marTop w:val="0"/>
      <w:marBottom w:val="0"/>
      <w:divBdr>
        <w:top w:val="none" w:sz="0" w:space="0" w:color="auto"/>
        <w:left w:val="none" w:sz="0" w:space="0" w:color="auto"/>
        <w:bottom w:val="none" w:sz="0" w:space="0" w:color="auto"/>
        <w:right w:val="none" w:sz="0" w:space="0" w:color="auto"/>
      </w:divBdr>
    </w:div>
    <w:div w:id="786118918">
      <w:bodyDiv w:val="1"/>
      <w:marLeft w:val="0"/>
      <w:marRight w:val="0"/>
      <w:marTop w:val="0"/>
      <w:marBottom w:val="0"/>
      <w:divBdr>
        <w:top w:val="none" w:sz="0" w:space="0" w:color="auto"/>
        <w:left w:val="none" w:sz="0" w:space="0" w:color="auto"/>
        <w:bottom w:val="none" w:sz="0" w:space="0" w:color="auto"/>
        <w:right w:val="none" w:sz="0" w:space="0" w:color="auto"/>
      </w:divBdr>
      <w:divsChild>
        <w:div w:id="1236361674">
          <w:marLeft w:val="0"/>
          <w:marRight w:val="0"/>
          <w:marTop w:val="0"/>
          <w:marBottom w:val="0"/>
          <w:divBdr>
            <w:top w:val="none" w:sz="0" w:space="0" w:color="auto"/>
            <w:left w:val="none" w:sz="0" w:space="0" w:color="auto"/>
            <w:bottom w:val="none" w:sz="0" w:space="0" w:color="auto"/>
            <w:right w:val="none" w:sz="0" w:space="0" w:color="auto"/>
          </w:divBdr>
          <w:divsChild>
            <w:div w:id="72701870">
              <w:marLeft w:val="0"/>
              <w:marRight w:val="0"/>
              <w:marTop w:val="0"/>
              <w:marBottom w:val="0"/>
              <w:divBdr>
                <w:top w:val="none" w:sz="0" w:space="0" w:color="auto"/>
                <w:left w:val="none" w:sz="0" w:space="0" w:color="auto"/>
                <w:bottom w:val="none" w:sz="0" w:space="0" w:color="auto"/>
                <w:right w:val="none" w:sz="0" w:space="0" w:color="auto"/>
              </w:divBdr>
              <w:divsChild>
                <w:div w:id="65545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018189">
      <w:bodyDiv w:val="1"/>
      <w:marLeft w:val="0"/>
      <w:marRight w:val="0"/>
      <w:marTop w:val="0"/>
      <w:marBottom w:val="0"/>
      <w:divBdr>
        <w:top w:val="none" w:sz="0" w:space="0" w:color="auto"/>
        <w:left w:val="none" w:sz="0" w:space="0" w:color="auto"/>
        <w:bottom w:val="none" w:sz="0" w:space="0" w:color="auto"/>
        <w:right w:val="none" w:sz="0" w:space="0" w:color="auto"/>
      </w:divBdr>
    </w:div>
    <w:div w:id="807942418">
      <w:bodyDiv w:val="1"/>
      <w:marLeft w:val="0"/>
      <w:marRight w:val="0"/>
      <w:marTop w:val="0"/>
      <w:marBottom w:val="0"/>
      <w:divBdr>
        <w:top w:val="none" w:sz="0" w:space="0" w:color="auto"/>
        <w:left w:val="none" w:sz="0" w:space="0" w:color="auto"/>
        <w:bottom w:val="none" w:sz="0" w:space="0" w:color="auto"/>
        <w:right w:val="none" w:sz="0" w:space="0" w:color="auto"/>
      </w:divBdr>
    </w:div>
    <w:div w:id="814494235">
      <w:bodyDiv w:val="1"/>
      <w:marLeft w:val="0"/>
      <w:marRight w:val="0"/>
      <w:marTop w:val="0"/>
      <w:marBottom w:val="0"/>
      <w:divBdr>
        <w:top w:val="none" w:sz="0" w:space="0" w:color="auto"/>
        <w:left w:val="none" w:sz="0" w:space="0" w:color="auto"/>
        <w:bottom w:val="none" w:sz="0" w:space="0" w:color="auto"/>
        <w:right w:val="none" w:sz="0" w:space="0" w:color="auto"/>
      </w:divBdr>
    </w:div>
    <w:div w:id="815344835">
      <w:bodyDiv w:val="1"/>
      <w:marLeft w:val="0"/>
      <w:marRight w:val="0"/>
      <w:marTop w:val="0"/>
      <w:marBottom w:val="0"/>
      <w:divBdr>
        <w:top w:val="none" w:sz="0" w:space="0" w:color="auto"/>
        <w:left w:val="none" w:sz="0" w:space="0" w:color="auto"/>
        <w:bottom w:val="none" w:sz="0" w:space="0" w:color="auto"/>
        <w:right w:val="none" w:sz="0" w:space="0" w:color="auto"/>
      </w:divBdr>
    </w:div>
    <w:div w:id="815685368">
      <w:bodyDiv w:val="1"/>
      <w:marLeft w:val="0"/>
      <w:marRight w:val="0"/>
      <w:marTop w:val="0"/>
      <w:marBottom w:val="0"/>
      <w:divBdr>
        <w:top w:val="none" w:sz="0" w:space="0" w:color="auto"/>
        <w:left w:val="none" w:sz="0" w:space="0" w:color="auto"/>
        <w:bottom w:val="none" w:sz="0" w:space="0" w:color="auto"/>
        <w:right w:val="none" w:sz="0" w:space="0" w:color="auto"/>
      </w:divBdr>
    </w:div>
    <w:div w:id="817108389">
      <w:bodyDiv w:val="1"/>
      <w:marLeft w:val="0"/>
      <w:marRight w:val="0"/>
      <w:marTop w:val="0"/>
      <w:marBottom w:val="0"/>
      <w:divBdr>
        <w:top w:val="none" w:sz="0" w:space="0" w:color="auto"/>
        <w:left w:val="none" w:sz="0" w:space="0" w:color="auto"/>
        <w:bottom w:val="none" w:sz="0" w:space="0" w:color="auto"/>
        <w:right w:val="none" w:sz="0" w:space="0" w:color="auto"/>
      </w:divBdr>
      <w:divsChild>
        <w:div w:id="518549523">
          <w:marLeft w:val="0"/>
          <w:marRight w:val="0"/>
          <w:marTop w:val="0"/>
          <w:marBottom w:val="0"/>
          <w:divBdr>
            <w:top w:val="none" w:sz="0" w:space="0" w:color="auto"/>
            <w:left w:val="none" w:sz="0" w:space="0" w:color="auto"/>
            <w:bottom w:val="none" w:sz="0" w:space="0" w:color="auto"/>
            <w:right w:val="none" w:sz="0" w:space="0" w:color="auto"/>
          </w:divBdr>
          <w:divsChild>
            <w:div w:id="1166550113">
              <w:marLeft w:val="0"/>
              <w:marRight w:val="0"/>
              <w:marTop w:val="0"/>
              <w:marBottom w:val="0"/>
              <w:divBdr>
                <w:top w:val="none" w:sz="0" w:space="0" w:color="auto"/>
                <w:left w:val="none" w:sz="0" w:space="0" w:color="auto"/>
                <w:bottom w:val="none" w:sz="0" w:space="0" w:color="auto"/>
                <w:right w:val="none" w:sz="0" w:space="0" w:color="auto"/>
              </w:divBdr>
              <w:divsChild>
                <w:div w:id="174472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648415">
      <w:bodyDiv w:val="1"/>
      <w:marLeft w:val="0"/>
      <w:marRight w:val="0"/>
      <w:marTop w:val="0"/>
      <w:marBottom w:val="0"/>
      <w:divBdr>
        <w:top w:val="none" w:sz="0" w:space="0" w:color="auto"/>
        <w:left w:val="none" w:sz="0" w:space="0" w:color="auto"/>
        <w:bottom w:val="none" w:sz="0" w:space="0" w:color="auto"/>
        <w:right w:val="none" w:sz="0" w:space="0" w:color="auto"/>
      </w:divBdr>
    </w:div>
    <w:div w:id="819811664">
      <w:bodyDiv w:val="1"/>
      <w:marLeft w:val="0"/>
      <w:marRight w:val="0"/>
      <w:marTop w:val="0"/>
      <w:marBottom w:val="0"/>
      <w:divBdr>
        <w:top w:val="none" w:sz="0" w:space="0" w:color="auto"/>
        <w:left w:val="none" w:sz="0" w:space="0" w:color="auto"/>
        <w:bottom w:val="none" w:sz="0" w:space="0" w:color="auto"/>
        <w:right w:val="none" w:sz="0" w:space="0" w:color="auto"/>
      </w:divBdr>
      <w:divsChild>
        <w:div w:id="99688284">
          <w:marLeft w:val="0"/>
          <w:marRight w:val="0"/>
          <w:marTop w:val="0"/>
          <w:marBottom w:val="0"/>
          <w:divBdr>
            <w:top w:val="none" w:sz="0" w:space="0" w:color="auto"/>
            <w:left w:val="none" w:sz="0" w:space="0" w:color="auto"/>
            <w:bottom w:val="none" w:sz="0" w:space="0" w:color="auto"/>
            <w:right w:val="none" w:sz="0" w:space="0" w:color="auto"/>
          </w:divBdr>
          <w:divsChild>
            <w:div w:id="1270621227">
              <w:marLeft w:val="0"/>
              <w:marRight w:val="0"/>
              <w:marTop w:val="0"/>
              <w:marBottom w:val="0"/>
              <w:divBdr>
                <w:top w:val="none" w:sz="0" w:space="0" w:color="auto"/>
                <w:left w:val="none" w:sz="0" w:space="0" w:color="auto"/>
                <w:bottom w:val="none" w:sz="0" w:space="0" w:color="auto"/>
                <w:right w:val="none" w:sz="0" w:space="0" w:color="auto"/>
              </w:divBdr>
              <w:divsChild>
                <w:div w:id="105723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13339">
      <w:bodyDiv w:val="1"/>
      <w:marLeft w:val="0"/>
      <w:marRight w:val="0"/>
      <w:marTop w:val="0"/>
      <w:marBottom w:val="0"/>
      <w:divBdr>
        <w:top w:val="none" w:sz="0" w:space="0" w:color="auto"/>
        <w:left w:val="none" w:sz="0" w:space="0" w:color="auto"/>
        <w:bottom w:val="none" w:sz="0" w:space="0" w:color="auto"/>
        <w:right w:val="none" w:sz="0" w:space="0" w:color="auto"/>
      </w:divBdr>
      <w:divsChild>
        <w:div w:id="147480500">
          <w:marLeft w:val="0"/>
          <w:marRight w:val="0"/>
          <w:marTop w:val="0"/>
          <w:marBottom w:val="0"/>
          <w:divBdr>
            <w:top w:val="none" w:sz="0" w:space="0" w:color="auto"/>
            <w:left w:val="none" w:sz="0" w:space="0" w:color="auto"/>
            <w:bottom w:val="none" w:sz="0" w:space="0" w:color="auto"/>
            <w:right w:val="none" w:sz="0" w:space="0" w:color="auto"/>
          </w:divBdr>
          <w:divsChild>
            <w:div w:id="607733578">
              <w:marLeft w:val="0"/>
              <w:marRight w:val="0"/>
              <w:marTop w:val="0"/>
              <w:marBottom w:val="0"/>
              <w:divBdr>
                <w:top w:val="none" w:sz="0" w:space="0" w:color="auto"/>
                <w:left w:val="none" w:sz="0" w:space="0" w:color="auto"/>
                <w:bottom w:val="none" w:sz="0" w:space="0" w:color="auto"/>
                <w:right w:val="none" w:sz="0" w:space="0" w:color="auto"/>
              </w:divBdr>
              <w:divsChild>
                <w:div w:id="95390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283590">
      <w:bodyDiv w:val="1"/>
      <w:marLeft w:val="0"/>
      <w:marRight w:val="0"/>
      <w:marTop w:val="0"/>
      <w:marBottom w:val="0"/>
      <w:divBdr>
        <w:top w:val="none" w:sz="0" w:space="0" w:color="auto"/>
        <w:left w:val="none" w:sz="0" w:space="0" w:color="auto"/>
        <w:bottom w:val="none" w:sz="0" w:space="0" w:color="auto"/>
        <w:right w:val="none" w:sz="0" w:space="0" w:color="auto"/>
      </w:divBdr>
    </w:div>
    <w:div w:id="831605328">
      <w:bodyDiv w:val="1"/>
      <w:marLeft w:val="0"/>
      <w:marRight w:val="0"/>
      <w:marTop w:val="0"/>
      <w:marBottom w:val="0"/>
      <w:divBdr>
        <w:top w:val="none" w:sz="0" w:space="0" w:color="auto"/>
        <w:left w:val="none" w:sz="0" w:space="0" w:color="auto"/>
        <w:bottom w:val="none" w:sz="0" w:space="0" w:color="auto"/>
        <w:right w:val="none" w:sz="0" w:space="0" w:color="auto"/>
      </w:divBdr>
    </w:div>
    <w:div w:id="835537437">
      <w:bodyDiv w:val="1"/>
      <w:marLeft w:val="0"/>
      <w:marRight w:val="0"/>
      <w:marTop w:val="0"/>
      <w:marBottom w:val="0"/>
      <w:divBdr>
        <w:top w:val="none" w:sz="0" w:space="0" w:color="auto"/>
        <w:left w:val="none" w:sz="0" w:space="0" w:color="auto"/>
        <w:bottom w:val="none" w:sz="0" w:space="0" w:color="auto"/>
        <w:right w:val="none" w:sz="0" w:space="0" w:color="auto"/>
      </w:divBdr>
    </w:div>
    <w:div w:id="835727461">
      <w:bodyDiv w:val="1"/>
      <w:marLeft w:val="0"/>
      <w:marRight w:val="0"/>
      <w:marTop w:val="0"/>
      <w:marBottom w:val="0"/>
      <w:divBdr>
        <w:top w:val="none" w:sz="0" w:space="0" w:color="auto"/>
        <w:left w:val="none" w:sz="0" w:space="0" w:color="auto"/>
        <w:bottom w:val="none" w:sz="0" w:space="0" w:color="auto"/>
        <w:right w:val="none" w:sz="0" w:space="0" w:color="auto"/>
      </w:divBdr>
    </w:div>
    <w:div w:id="836964234">
      <w:bodyDiv w:val="1"/>
      <w:marLeft w:val="0"/>
      <w:marRight w:val="0"/>
      <w:marTop w:val="0"/>
      <w:marBottom w:val="0"/>
      <w:divBdr>
        <w:top w:val="none" w:sz="0" w:space="0" w:color="auto"/>
        <w:left w:val="none" w:sz="0" w:space="0" w:color="auto"/>
        <w:bottom w:val="none" w:sz="0" w:space="0" w:color="auto"/>
        <w:right w:val="none" w:sz="0" w:space="0" w:color="auto"/>
      </w:divBdr>
    </w:div>
    <w:div w:id="837161468">
      <w:bodyDiv w:val="1"/>
      <w:marLeft w:val="0"/>
      <w:marRight w:val="0"/>
      <w:marTop w:val="0"/>
      <w:marBottom w:val="0"/>
      <w:divBdr>
        <w:top w:val="none" w:sz="0" w:space="0" w:color="auto"/>
        <w:left w:val="none" w:sz="0" w:space="0" w:color="auto"/>
        <w:bottom w:val="none" w:sz="0" w:space="0" w:color="auto"/>
        <w:right w:val="none" w:sz="0" w:space="0" w:color="auto"/>
      </w:divBdr>
    </w:div>
    <w:div w:id="839658951">
      <w:bodyDiv w:val="1"/>
      <w:marLeft w:val="0"/>
      <w:marRight w:val="0"/>
      <w:marTop w:val="0"/>
      <w:marBottom w:val="0"/>
      <w:divBdr>
        <w:top w:val="none" w:sz="0" w:space="0" w:color="auto"/>
        <w:left w:val="none" w:sz="0" w:space="0" w:color="auto"/>
        <w:bottom w:val="none" w:sz="0" w:space="0" w:color="auto"/>
        <w:right w:val="none" w:sz="0" w:space="0" w:color="auto"/>
      </w:divBdr>
    </w:div>
    <w:div w:id="849948149">
      <w:bodyDiv w:val="1"/>
      <w:marLeft w:val="0"/>
      <w:marRight w:val="0"/>
      <w:marTop w:val="0"/>
      <w:marBottom w:val="0"/>
      <w:divBdr>
        <w:top w:val="none" w:sz="0" w:space="0" w:color="auto"/>
        <w:left w:val="none" w:sz="0" w:space="0" w:color="auto"/>
        <w:bottom w:val="none" w:sz="0" w:space="0" w:color="auto"/>
        <w:right w:val="none" w:sz="0" w:space="0" w:color="auto"/>
      </w:divBdr>
    </w:div>
    <w:div w:id="864052781">
      <w:bodyDiv w:val="1"/>
      <w:marLeft w:val="0"/>
      <w:marRight w:val="0"/>
      <w:marTop w:val="0"/>
      <w:marBottom w:val="0"/>
      <w:divBdr>
        <w:top w:val="none" w:sz="0" w:space="0" w:color="auto"/>
        <w:left w:val="none" w:sz="0" w:space="0" w:color="auto"/>
        <w:bottom w:val="none" w:sz="0" w:space="0" w:color="auto"/>
        <w:right w:val="none" w:sz="0" w:space="0" w:color="auto"/>
      </w:divBdr>
      <w:divsChild>
        <w:div w:id="1348092233">
          <w:marLeft w:val="0"/>
          <w:marRight w:val="0"/>
          <w:marTop w:val="0"/>
          <w:marBottom w:val="0"/>
          <w:divBdr>
            <w:top w:val="none" w:sz="0" w:space="0" w:color="auto"/>
            <w:left w:val="none" w:sz="0" w:space="0" w:color="auto"/>
            <w:bottom w:val="none" w:sz="0" w:space="0" w:color="auto"/>
            <w:right w:val="none" w:sz="0" w:space="0" w:color="auto"/>
          </w:divBdr>
          <w:divsChild>
            <w:div w:id="846139031">
              <w:marLeft w:val="0"/>
              <w:marRight w:val="0"/>
              <w:marTop w:val="0"/>
              <w:marBottom w:val="0"/>
              <w:divBdr>
                <w:top w:val="none" w:sz="0" w:space="0" w:color="auto"/>
                <w:left w:val="none" w:sz="0" w:space="0" w:color="auto"/>
                <w:bottom w:val="none" w:sz="0" w:space="0" w:color="auto"/>
                <w:right w:val="none" w:sz="0" w:space="0" w:color="auto"/>
              </w:divBdr>
              <w:divsChild>
                <w:div w:id="211481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605597">
      <w:bodyDiv w:val="1"/>
      <w:marLeft w:val="0"/>
      <w:marRight w:val="0"/>
      <w:marTop w:val="0"/>
      <w:marBottom w:val="0"/>
      <w:divBdr>
        <w:top w:val="none" w:sz="0" w:space="0" w:color="auto"/>
        <w:left w:val="none" w:sz="0" w:space="0" w:color="auto"/>
        <w:bottom w:val="none" w:sz="0" w:space="0" w:color="auto"/>
        <w:right w:val="none" w:sz="0" w:space="0" w:color="auto"/>
      </w:divBdr>
      <w:divsChild>
        <w:div w:id="337122977">
          <w:marLeft w:val="0"/>
          <w:marRight w:val="0"/>
          <w:marTop w:val="0"/>
          <w:marBottom w:val="0"/>
          <w:divBdr>
            <w:top w:val="none" w:sz="0" w:space="0" w:color="auto"/>
            <w:left w:val="none" w:sz="0" w:space="0" w:color="auto"/>
            <w:bottom w:val="none" w:sz="0" w:space="0" w:color="auto"/>
            <w:right w:val="none" w:sz="0" w:space="0" w:color="auto"/>
          </w:divBdr>
          <w:divsChild>
            <w:div w:id="610355943">
              <w:marLeft w:val="0"/>
              <w:marRight w:val="0"/>
              <w:marTop w:val="0"/>
              <w:marBottom w:val="0"/>
              <w:divBdr>
                <w:top w:val="none" w:sz="0" w:space="0" w:color="auto"/>
                <w:left w:val="none" w:sz="0" w:space="0" w:color="auto"/>
                <w:bottom w:val="none" w:sz="0" w:space="0" w:color="auto"/>
                <w:right w:val="none" w:sz="0" w:space="0" w:color="auto"/>
              </w:divBdr>
              <w:divsChild>
                <w:div w:id="1360621994">
                  <w:marLeft w:val="0"/>
                  <w:marRight w:val="0"/>
                  <w:marTop w:val="0"/>
                  <w:marBottom w:val="0"/>
                  <w:divBdr>
                    <w:top w:val="none" w:sz="0" w:space="0" w:color="auto"/>
                    <w:left w:val="none" w:sz="0" w:space="0" w:color="auto"/>
                    <w:bottom w:val="none" w:sz="0" w:space="0" w:color="auto"/>
                    <w:right w:val="none" w:sz="0" w:space="0" w:color="auto"/>
                  </w:divBdr>
                  <w:divsChild>
                    <w:div w:id="214199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188858">
      <w:bodyDiv w:val="1"/>
      <w:marLeft w:val="0"/>
      <w:marRight w:val="0"/>
      <w:marTop w:val="0"/>
      <w:marBottom w:val="0"/>
      <w:divBdr>
        <w:top w:val="none" w:sz="0" w:space="0" w:color="auto"/>
        <w:left w:val="none" w:sz="0" w:space="0" w:color="auto"/>
        <w:bottom w:val="none" w:sz="0" w:space="0" w:color="auto"/>
        <w:right w:val="none" w:sz="0" w:space="0" w:color="auto"/>
      </w:divBdr>
    </w:div>
    <w:div w:id="876427921">
      <w:bodyDiv w:val="1"/>
      <w:marLeft w:val="0"/>
      <w:marRight w:val="0"/>
      <w:marTop w:val="0"/>
      <w:marBottom w:val="0"/>
      <w:divBdr>
        <w:top w:val="none" w:sz="0" w:space="0" w:color="auto"/>
        <w:left w:val="none" w:sz="0" w:space="0" w:color="auto"/>
        <w:bottom w:val="none" w:sz="0" w:space="0" w:color="auto"/>
        <w:right w:val="none" w:sz="0" w:space="0" w:color="auto"/>
      </w:divBdr>
    </w:div>
    <w:div w:id="886181649">
      <w:bodyDiv w:val="1"/>
      <w:marLeft w:val="0"/>
      <w:marRight w:val="0"/>
      <w:marTop w:val="0"/>
      <w:marBottom w:val="0"/>
      <w:divBdr>
        <w:top w:val="none" w:sz="0" w:space="0" w:color="auto"/>
        <w:left w:val="none" w:sz="0" w:space="0" w:color="auto"/>
        <w:bottom w:val="none" w:sz="0" w:space="0" w:color="auto"/>
        <w:right w:val="none" w:sz="0" w:space="0" w:color="auto"/>
      </w:divBdr>
    </w:div>
    <w:div w:id="886575287">
      <w:bodyDiv w:val="1"/>
      <w:marLeft w:val="0"/>
      <w:marRight w:val="0"/>
      <w:marTop w:val="0"/>
      <w:marBottom w:val="0"/>
      <w:divBdr>
        <w:top w:val="none" w:sz="0" w:space="0" w:color="auto"/>
        <w:left w:val="none" w:sz="0" w:space="0" w:color="auto"/>
        <w:bottom w:val="none" w:sz="0" w:space="0" w:color="auto"/>
        <w:right w:val="none" w:sz="0" w:space="0" w:color="auto"/>
      </w:divBdr>
      <w:divsChild>
        <w:div w:id="679433774">
          <w:marLeft w:val="0"/>
          <w:marRight w:val="0"/>
          <w:marTop w:val="0"/>
          <w:marBottom w:val="0"/>
          <w:divBdr>
            <w:top w:val="none" w:sz="0" w:space="0" w:color="auto"/>
            <w:left w:val="none" w:sz="0" w:space="0" w:color="auto"/>
            <w:bottom w:val="none" w:sz="0" w:space="0" w:color="auto"/>
            <w:right w:val="none" w:sz="0" w:space="0" w:color="auto"/>
          </w:divBdr>
          <w:divsChild>
            <w:div w:id="1953585106">
              <w:marLeft w:val="0"/>
              <w:marRight w:val="0"/>
              <w:marTop w:val="0"/>
              <w:marBottom w:val="0"/>
              <w:divBdr>
                <w:top w:val="none" w:sz="0" w:space="0" w:color="auto"/>
                <w:left w:val="none" w:sz="0" w:space="0" w:color="auto"/>
                <w:bottom w:val="none" w:sz="0" w:space="0" w:color="auto"/>
                <w:right w:val="none" w:sz="0" w:space="0" w:color="auto"/>
              </w:divBdr>
              <w:divsChild>
                <w:div w:id="100979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456483">
      <w:bodyDiv w:val="1"/>
      <w:marLeft w:val="0"/>
      <w:marRight w:val="0"/>
      <w:marTop w:val="0"/>
      <w:marBottom w:val="0"/>
      <w:divBdr>
        <w:top w:val="none" w:sz="0" w:space="0" w:color="auto"/>
        <w:left w:val="none" w:sz="0" w:space="0" w:color="auto"/>
        <w:bottom w:val="none" w:sz="0" w:space="0" w:color="auto"/>
        <w:right w:val="none" w:sz="0" w:space="0" w:color="auto"/>
      </w:divBdr>
      <w:divsChild>
        <w:div w:id="823934458">
          <w:marLeft w:val="0"/>
          <w:marRight w:val="0"/>
          <w:marTop w:val="0"/>
          <w:marBottom w:val="0"/>
          <w:divBdr>
            <w:top w:val="none" w:sz="0" w:space="0" w:color="auto"/>
            <w:left w:val="none" w:sz="0" w:space="0" w:color="auto"/>
            <w:bottom w:val="none" w:sz="0" w:space="0" w:color="auto"/>
            <w:right w:val="none" w:sz="0" w:space="0" w:color="auto"/>
          </w:divBdr>
          <w:divsChild>
            <w:div w:id="2058775034">
              <w:marLeft w:val="0"/>
              <w:marRight w:val="0"/>
              <w:marTop w:val="0"/>
              <w:marBottom w:val="0"/>
              <w:divBdr>
                <w:top w:val="none" w:sz="0" w:space="0" w:color="auto"/>
                <w:left w:val="none" w:sz="0" w:space="0" w:color="auto"/>
                <w:bottom w:val="none" w:sz="0" w:space="0" w:color="auto"/>
                <w:right w:val="none" w:sz="0" w:space="0" w:color="auto"/>
              </w:divBdr>
              <w:divsChild>
                <w:div w:id="74983383">
                  <w:marLeft w:val="0"/>
                  <w:marRight w:val="0"/>
                  <w:marTop w:val="0"/>
                  <w:marBottom w:val="0"/>
                  <w:divBdr>
                    <w:top w:val="none" w:sz="0" w:space="0" w:color="auto"/>
                    <w:left w:val="none" w:sz="0" w:space="0" w:color="auto"/>
                    <w:bottom w:val="none" w:sz="0" w:space="0" w:color="auto"/>
                    <w:right w:val="none" w:sz="0" w:space="0" w:color="auto"/>
                  </w:divBdr>
                  <w:divsChild>
                    <w:div w:id="2735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886589">
      <w:bodyDiv w:val="1"/>
      <w:marLeft w:val="0"/>
      <w:marRight w:val="0"/>
      <w:marTop w:val="0"/>
      <w:marBottom w:val="0"/>
      <w:divBdr>
        <w:top w:val="none" w:sz="0" w:space="0" w:color="auto"/>
        <w:left w:val="none" w:sz="0" w:space="0" w:color="auto"/>
        <w:bottom w:val="none" w:sz="0" w:space="0" w:color="auto"/>
        <w:right w:val="none" w:sz="0" w:space="0" w:color="auto"/>
      </w:divBdr>
      <w:divsChild>
        <w:div w:id="1273592191">
          <w:marLeft w:val="0"/>
          <w:marRight w:val="0"/>
          <w:marTop w:val="0"/>
          <w:marBottom w:val="0"/>
          <w:divBdr>
            <w:top w:val="none" w:sz="0" w:space="0" w:color="auto"/>
            <w:left w:val="none" w:sz="0" w:space="0" w:color="auto"/>
            <w:bottom w:val="none" w:sz="0" w:space="0" w:color="auto"/>
            <w:right w:val="none" w:sz="0" w:space="0" w:color="auto"/>
          </w:divBdr>
          <w:divsChild>
            <w:div w:id="108552838">
              <w:marLeft w:val="0"/>
              <w:marRight w:val="0"/>
              <w:marTop w:val="0"/>
              <w:marBottom w:val="0"/>
              <w:divBdr>
                <w:top w:val="none" w:sz="0" w:space="0" w:color="auto"/>
                <w:left w:val="none" w:sz="0" w:space="0" w:color="auto"/>
                <w:bottom w:val="none" w:sz="0" w:space="0" w:color="auto"/>
                <w:right w:val="none" w:sz="0" w:space="0" w:color="auto"/>
              </w:divBdr>
              <w:divsChild>
                <w:div w:id="34906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91206">
      <w:bodyDiv w:val="1"/>
      <w:marLeft w:val="0"/>
      <w:marRight w:val="0"/>
      <w:marTop w:val="0"/>
      <w:marBottom w:val="0"/>
      <w:divBdr>
        <w:top w:val="none" w:sz="0" w:space="0" w:color="auto"/>
        <w:left w:val="none" w:sz="0" w:space="0" w:color="auto"/>
        <w:bottom w:val="none" w:sz="0" w:space="0" w:color="auto"/>
        <w:right w:val="none" w:sz="0" w:space="0" w:color="auto"/>
      </w:divBdr>
      <w:divsChild>
        <w:div w:id="1908952344">
          <w:marLeft w:val="0"/>
          <w:marRight w:val="0"/>
          <w:marTop w:val="0"/>
          <w:marBottom w:val="0"/>
          <w:divBdr>
            <w:top w:val="none" w:sz="0" w:space="0" w:color="auto"/>
            <w:left w:val="none" w:sz="0" w:space="0" w:color="auto"/>
            <w:bottom w:val="none" w:sz="0" w:space="0" w:color="auto"/>
            <w:right w:val="none" w:sz="0" w:space="0" w:color="auto"/>
          </w:divBdr>
          <w:divsChild>
            <w:div w:id="1766227716">
              <w:marLeft w:val="0"/>
              <w:marRight w:val="0"/>
              <w:marTop w:val="0"/>
              <w:marBottom w:val="0"/>
              <w:divBdr>
                <w:top w:val="none" w:sz="0" w:space="0" w:color="auto"/>
                <w:left w:val="none" w:sz="0" w:space="0" w:color="auto"/>
                <w:bottom w:val="none" w:sz="0" w:space="0" w:color="auto"/>
                <w:right w:val="none" w:sz="0" w:space="0" w:color="auto"/>
              </w:divBdr>
              <w:divsChild>
                <w:div w:id="96747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752492">
      <w:bodyDiv w:val="1"/>
      <w:marLeft w:val="0"/>
      <w:marRight w:val="0"/>
      <w:marTop w:val="0"/>
      <w:marBottom w:val="0"/>
      <w:divBdr>
        <w:top w:val="none" w:sz="0" w:space="0" w:color="auto"/>
        <w:left w:val="none" w:sz="0" w:space="0" w:color="auto"/>
        <w:bottom w:val="none" w:sz="0" w:space="0" w:color="auto"/>
        <w:right w:val="none" w:sz="0" w:space="0" w:color="auto"/>
      </w:divBdr>
    </w:div>
    <w:div w:id="902057767">
      <w:bodyDiv w:val="1"/>
      <w:marLeft w:val="0"/>
      <w:marRight w:val="0"/>
      <w:marTop w:val="0"/>
      <w:marBottom w:val="0"/>
      <w:divBdr>
        <w:top w:val="none" w:sz="0" w:space="0" w:color="auto"/>
        <w:left w:val="none" w:sz="0" w:space="0" w:color="auto"/>
        <w:bottom w:val="none" w:sz="0" w:space="0" w:color="auto"/>
        <w:right w:val="none" w:sz="0" w:space="0" w:color="auto"/>
      </w:divBdr>
    </w:div>
    <w:div w:id="908075058">
      <w:bodyDiv w:val="1"/>
      <w:marLeft w:val="0"/>
      <w:marRight w:val="0"/>
      <w:marTop w:val="0"/>
      <w:marBottom w:val="0"/>
      <w:divBdr>
        <w:top w:val="none" w:sz="0" w:space="0" w:color="auto"/>
        <w:left w:val="none" w:sz="0" w:space="0" w:color="auto"/>
        <w:bottom w:val="none" w:sz="0" w:space="0" w:color="auto"/>
        <w:right w:val="none" w:sz="0" w:space="0" w:color="auto"/>
      </w:divBdr>
    </w:div>
    <w:div w:id="911476214">
      <w:bodyDiv w:val="1"/>
      <w:marLeft w:val="0"/>
      <w:marRight w:val="0"/>
      <w:marTop w:val="0"/>
      <w:marBottom w:val="0"/>
      <w:divBdr>
        <w:top w:val="none" w:sz="0" w:space="0" w:color="auto"/>
        <w:left w:val="none" w:sz="0" w:space="0" w:color="auto"/>
        <w:bottom w:val="none" w:sz="0" w:space="0" w:color="auto"/>
        <w:right w:val="none" w:sz="0" w:space="0" w:color="auto"/>
      </w:divBdr>
      <w:divsChild>
        <w:div w:id="566917990">
          <w:marLeft w:val="0"/>
          <w:marRight w:val="0"/>
          <w:marTop w:val="0"/>
          <w:marBottom w:val="0"/>
          <w:divBdr>
            <w:top w:val="none" w:sz="0" w:space="0" w:color="auto"/>
            <w:left w:val="none" w:sz="0" w:space="0" w:color="auto"/>
            <w:bottom w:val="none" w:sz="0" w:space="0" w:color="auto"/>
            <w:right w:val="none" w:sz="0" w:space="0" w:color="auto"/>
          </w:divBdr>
          <w:divsChild>
            <w:div w:id="211848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834494">
      <w:bodyDiv w:val="1"/>
      <w:marLeft w:val="0"/>
      <w:marRight w:val="0"/>
      <w:marTop w:val="0"/>
      <w:marBottom w:val="0"/>
      <w:divBdr>
        <w:top w:val="none" w:sz="0" w:space="0" w:color="auto"/>
        <w:left w:val="none" w:sz="0" w:space="0" w:color="auto"/>
        <w:bottom w:val="none" w:sz="0" w:space="0" w:color="auto"/>
        <w:right w:val="none" w:sz="0" w:space="0" w:color="auto"/>
      </w:divBdr>
    </w:div>
    <w:div w:id="920214932">
      <w:bodyDiv w:val="1"/>
      <w:marLeft w:val="0"/>
      <w:marRight w:val="0"/>
      <w:marTop w:val="0"/>
      <w:marBottom w:val="0"/>
      <w:divBdr>
        <w:top w:val="none" w:sz="0" w:space="0" w:color="auto"/>
        <w:left w:val="none" w:sz="0" w:space="0" w:color="auto"/>
        <w:bottom w:val="none" w:sz="0" w:space="0" w:color="auto"/>
        <w:right w:val="none" w:sz="0" w:space="0" w:color="auto"/>
      </w:divBdr>
      <w:divsChild>
        <w:div w:id="1611670105">
          <w:marLeft w:val="0"/>
          <w:marRight w:val="0"/>
          <w:marTop w:val="0"/>
          <w:marBottom w:val="0"/>
          <w:divBdr>
            <w:top w:val="none" w:sz="0" w:space="0" w:color="auto"/>
            <w:left w:val="none" w:sz="0" w:space="0" w:color="auto"/>
            <w:bottom w:val="none" w:sz="0" w:space="0" w:color="auto"/>
            <w:right w:val="none" w:sz="0" w:space="0" w:color="auto"/>
          </w:divBdr>
          <w:divsChild>
            <w:div w:id="1555963548">
              <w:marLeft w:val="0"/>
              <w:marRight w:val="0"/>
              <w:marTop w:val="0"/>
              <w:marBottom w:val="0"/>
              <w:divBdr>
                <w:top w:val="none" w:sz="0" w:space="0" w:color="auto"/>
                <w:left w:val="none" w:sz="0" w:space="0" w:color="auto"/>
                <w:bottom w:val="none" w:sz="0" w:space="0" w:color="auto"/>
                <w:right w:val="none" w:sz="0" w:space="0" w:color="auto"/>
              </w:divBdr>
              <w:divsChild>
                <w:div w:id="84189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481437">
      <w:bodyDiv w:val="1"/>
      <w:marLeft w:val="0"/>
      <w:marRight w:val="0"/>
      <w:marTop w:val="0"/>
      <w:marBottom w:val="0"/>
      <w:divBdr>
        <w:top w:val="none" w:sz="0" w:space="0" w:color="auto"/>
        <w:left w:val="none" w:sz="0" w:space="0" w:color="auto"/>
        <w:bottom w:val="none" w:sz="0" w:space="0" w:color="auto"/>
        <w:right w:val="none" w:sz="0" w:space="0" w:color="auto"/>
      </w:divBdr>
      <w:divsChild>
        <w:div w:id="1667780538">
          <w:marLeft w:val="0"/>
          <w:marRight w:val="0"/>
          <w:marTop w:val="0"/>
          <w:marBottom w:val="0"/>
          <w:divBdr>
            <w:top w:val="none" w:sz="0" w:space="0" w:color="auto"/>
            <w:left w:val="none" w:sz="0" w:space="0" w:color="auto"/>
            <w:bottom w:val="none" w:sz="0" w:space="0" w:color="auto"/>
            <w:right w:val="none" w:sz="0" w:space="0" w:color="auto"/>
          </w:divBdr>
          <w:divsChild>
            <w:div w:id="457454481">
              <w:marLeft w:val="0"/>
              <w:marRight w:val="0"/>
              <w:marTop w:val="0"/>
              <w:marBottom w:val="0"/>
              <w:divBdr>
                <w:top w:val="none" w:sz="0" w:space="0" w:color="auto"/>
                <w:left w:val="none" w:sz="0" w:space="0" w:color="auto"/>
                <w:bottom w:val="none" w:sz="0" w:space="0" w:color="auto"/>
                <w:right w:val="none" w:sz="0" w:space="0" w:color="auto"/>
              </w:divBdr>
              <w:divsChild>
                <w:div w:id="39173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992830">
      <w:bodyDiv w:val="1"/>
      <w:marLeft w:val="0"/>
      <w:marRight w:val="0"/>
      <w:marTop w:val="0"/>
      <w:marBottom w:val="0"/>
      <w:divBdr>
        <w:top w:val="none" w:sz="0" w:space="0" w:color="auto"/>
        <w:left w:val="none" w:sz="0" w:space="0" w:color="auto"/>
        <w:bottom w:val="none" w:sz="0" w:space="0" w:color="auto"/>
        <w:right w:val="none" w:sz="0" w:space="0" w:color="auto"/>
      </w:divBdr>
    </w:div>
    <w:div w:id="928931168">
      <w:bodyDiv w:val="1"/>
      <w:marLeft w:val="0"/>
      <w:marRight w:val="0"/>
      <w:marTop w:val="0"/>
      <w:marBottom w:val="0"/>
      <w:divBdr>
        <w:top w:val="none" w:sz="0" w:space="0" w:color="auto"/>
        <w:left w:val="none" w:sz="0" w:space="0" w:color="auto"/>
        <w:bottom w:val="none" w:sz="0" w:space="0" w:color="auto"/>
        <w:right w:val="none" w:sz="0" w:space="0" w:color="auto"/>
      </w:divBdr>
      <w:divsChild>
        <w:div w:id="218250339">
          <w:marLeft w:val="0"/>
          <w:marRight w:val="0"/>
          <w:marTop w:val="0"/>
          <w:marBottom w:val="0"/>
          <w:divBdr>
            <w:top w:val="none" w:sz="0" w:space="0" w:color="auto"/>
            <w:left w:val="none" w:sz="0" w:space="0" w:color="auto"/>
            <w:bottom w:val="none" w:sz="0" w:space="0" w:color="auto"/>
            <w:right w:val="none" w:sz="0" w:space="0" w:color="auto"/>
          </w:divBdr>
          <w:divsChild>
            <w:div w:id="571624270">
              <w:marLeft w:val="0"/>
              <w:marRight w:val="0"/>
              <w:marTop w:val="0"/>
              <w:marBottom w:val="0"/>
              <w:divBdr>
                <w:top w:val="none" w:sz="0" w:space="0" w:color="auto"/>
                <w:left w:val="none" w:sz="0" w:space="0" w:color="auto"/>
                <w:bottom w:val="none" w:sz="0" w:space="0" w:color="auto"/>
                <w:right w:val="none" w:sz="0" w:space="0" w:color="auto"/>
              </w:divBdr>
              <w:divsChild>
                <w:div w:id="687633774">
                  <w:marLeft w:val="0"/>
                  <w:marRight w:val="0"/>
                  <w:marTop w:val="0"/>
                  <w:marBottom w:val="0"/>
                  <w:divBdr>
                    <w:top w:val="none" w:sz="0" w:space="0" w:color="auto"/>
                    <w:left w:val="none" w:sz="0" w:space="0" w:color="auto"/>
                    <w:bottom w:val="none" w:sz="0" w:space="0" w:color="auto"/>
                    <w:right w:val="none" w:sz="0" w:space="0" w:color="auto"/>
                  </w:divBdr>
                  <w:divsChild>
                    <w:div w:id="113044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553407">
      <w:bodyDiv w:val="1"/>
      <w:marLeft w:val="0"/>
      <w:marRight w:val="0"/>
      <w:marTop w:val="0"/>
      <w:marBottom w:val="0"/>
      <w:divBdr>
        <w:top w:val="none" w:sz="0" w:space="0" w:color="auto"/>
        <w:left w:val="none" w:sz="0" w:space="0" w:color="auto"/>
        <w:bottom w:val="none" w:sz="0" w:space="0" w:color="auto"/>
        <w:right w:val="none" w:sz="0" w:space="0" w:color="auto"/>
      </w:divBdr>
    </w:div>
    <w:div w:id="939332658">
      <w:bodyDiv w:val="1"/>
      <w:marLeft w:val="0"/>
      <w:marRight w:val="0"/>
      <w:marTop w:val="0"/>
      <w:marBottom w:val="0"/>
      <w:divBdr>
        <w:top w:val="none" w:sz="0" w:space="0" w:color="auto"/>
        <w:left w:val="none" w:sz="0" w:space="0" w:color="auto"/>
        <w:bottom w:val="none" w:sz="0" w:space="0" w:color="auto"/>
        <w:right w:val="none" w:sz="0" w:space="0" w:color="auto"/>
      </w:divBdr>
      <w:divsChild>
        <w:div w:id="178659855">
          <w:marLeft w:val="0"/>
          <w:marRight w:val="0"/>
          <w:marTop w:val="0"/>
          <w:marBottom w:val="0"/>
          <w:divBdr>
            <w:top w:val="none" w:sz="0" w:space="0" w:color="auto"/>
            <w:left w:val="none" w:sz="0" w:space="0" w:color="auto"/>
            <w:bottom w:val="none" w:sz="0" w:space="0" w:color="auto"/>
            <w:right w:val="none" w:sz="0" w:space="0" w:color="auto"/>
          </w:divBdr>
          <w:divsChild>
            <w:div w:id="169148523">
              <w:marLeft w:val="0"/>
              <w:marRight w:val="0"/>
              <w:marTop w:val="0"/>
              <w:marBottom w:val="0"/>
              <w:divBdr>
                <w:top w:val="none" w:sz="0" w:space="0" w:color="auto"/>
                <w:left w:val="none" w:sz="0" w:space="0" w:color="auto"/>
                <w:bottom w:val="none" w:sz="0" w:space="0" w:color="auto"/>
                <w:right w:val="none" w:sz="0" w:space="0" w:color="auto"/>
              </w:divBdr>
              <w:divsChild>
                <w:div w:id="80662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303965">
      <w:bodyDiv w:val="1"/>
      <w:marLeft w:val="0"/>
      <w:marRight w:val="0"/>
      <w:marTop w:val="0"/>
      <w:marBottom w:val="0"/>
      <w:divBdr>
        <w:top w:val="none" w:sz="0" w:space="0" w:color="auto"/>
        <w:left w:val="none" w:sz="0" w:space="0" w:color="auto"/>
        <w:bottom w:val="none" w:sz="0" w:space="0" w:color="auto"/>
        <w:right w:val="none" w:sz="0" w:space="0" w:color="auto"/>
      </w:divBdr>
      <w:divsChild>
        <w:div w:id="1563368925">
          <w:marLeft w:val="0"/>
          <w:marRight w:val="0"/>
          <w:marTop w:val="0"/>
          <w:marBottom w:val="0"/>
          <w:divBdr>
            <w:top w:val="none" w:sz="0" w:space="0" w:color="auto"/>
            <w:left w:val="none" w:sz="0" w:space="0" w:color="auto"/>
            <w:bottom w:val="none" w:sz="0" w:space="0" w:color="auto"/>
            <w:right w:val="none" w:sz="0" w:space="0" w:color="auto"/>
          </w:divBdr>
          <w:divsChild>
            <w:div w:id="1682467510">
              <w:marLeft w:val="0"/>
              <w:marRight w:val="0"/>
              <w:marTop w:val="0"/>
              <w:marBottom w:val="0"/>
              <w:divBdr>
                <w:top w:val="none" w:sz="0" w:space="0" w:color="auto"/>
                <w:left w:val="none" w:sz="0" w:space="0" w:color="auto"/>
                <w:bottom w:val="none" w:sz="0" w:space="0" w:color="auto"/>
                <w:right w:val="none" w:sz="0" w:space="0" w:color="auto"/>
              </w:divBdr>
              <w:divsChild>
                <w:div w:id="80585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855034">
      <w:bodyDiv w:val="1"/>
      <w:marLeft w:val="0"/>
      <w:marRight w:val="0"/>
      <w:marTop w:val="0"/>
      <w:marBottom w:val="0"/>
      <w:divBdr>
        <w:top w:val="none" w:sz="0" w:space="0" w:color="auto"/>
        <w:left w:val="none" w:sz="0" w:space="0" w:color="auto"/>
        <w:bottom w:val="none" w:sz="0" w:space="0" w:color="auto"/>
        <w:right w:val="none" w:sz="0" w:space="0" w:color="auto"/>
      </w:divBdr>
    </w:div>
    <w:div w:id="951130425">
      <w:bodyDiv w:val="1"/>
      <w:marLeft w:val="0"/>
      <w:marRight w:val="0"/>
      <w:marTop w:val="0"/>
      <w:marBottom w:val="0"/>
      <w:divBdr>
        <w:top w:val="none" w:sz="0" w:space="0" w:color="auto"/>
        <w:left w:val="none" w:sz="0" w:space="0" w:color="auto"/>
        <w:bottom w:val="none" w:sz="0" w:space="0" w:color="auto"/>
        <w:right w:val="none" w:sz="0" w:space="0" w:color="auto"/>
      </w:divBdr>
      <w:divsChild>
        <w:div w:id="387998847">
          <w:marLeft w:val="0"/>
          <w:marRight w:val="0"/>
          <w:marTop w:val="0"/>
          <w:marBottom w:val="0"/>
          <w:divBdr>
            <w:top w:val="none" w:sz="0" w:space="0" w:color="auto"/>
            <w:left w:val="none" w:sz="0" w:space="0" w:color="auto"/>
            <w:bottom w:val="none" w:sz="0" w:space="0" w:color="auto"/>
            <w:right w:val="none" w:sz="0" w:space="0" w:color="auto"/>
          </w:divBdr>
        </w:div>
        <w:div w:id="558132630">
          <w:marLeft w:val="0"/>
          <w:marRight w:val="0"/>
          <w:marTop w:val="0"/>
          <w:marBottom w:val="0"/>
          <w:divBdr>
            <w:top w:val="none" w:sz="0" w:space="0" w:color="auto"/>
            <w:left w:val="none" w:sz="0" w:space="0" w:color="auto"/>
            <w:bottom w:val="none" w:sz="0" w:space="0" w:color="auto"/>
            <w:right w:val="none" w:sz="0" w:space="0" w:color="auto"/>
          </w:divBdr>
        </w:div>
        <w:div w:id="1192258678">
          <w:marLeft w:val="0"/>
          <w:marRight w:val="0"/>
          <w:marTop w:val="0"/>
          <w:marBottom w:val="0"/>
          <w:divBdr>
            <w:top w:val="none" w:sz="0" w:space="0" w:color="auto"/>
            <w:left w:val="none" w:sz="0" w:space="0" w:color="auto"/>
            <w:bottom w:val="none" w:sz="0" w:space="0" w:color="auto"/>
            <w:right w:val="none" w:sz="0" w:space="0" w:color="auto"/>
          </w:divBdr>
        </w:div>
        <w:div w:id="2104110081">
          <w:marLeft w:val="0"/>
          <w:marRight w:val="0"/>
          <w:marTop w:val="0"/>
          <w:marBottom w:val="0"/>
          <w:divBdr>
            <w:top w:val="none" w:sz="0" w:space="0" w:color="auto"/>
            <w:left w:val="none" w:sz="0" w:space="0" w:color="auto"/>
            <w:bottom w:val="none" w:sz="0" w:space="0" w:color="auto"/>
            <w:right w:val="none" w:sz="0" w:space="0" w:color="auto"/>
          </w:divBdr>
        </w:div>
      </w:divsChild>
    </w:div>
    <w:div w:id="962883466">
      <w:bodyDiv w:val="1"/>
      <w:marLeft w:val="0"/>
      <w:marRight w:val="0"/>
      <w:marTop w:val="0"/>
      <w:marBottom w:val="0"/>
      <w:divBdr>
        <w:top w:val="none" w:sz="0" w:space="0" w:color="auto"/>
        <w:left w:val="none" w:sz="0" w:space="0" w:color="auto"/>
        <w:bottom w:val="none" w:sz="0" w:space="0" w:color="auto"/>
        <w:right w:val="none" w:sz="0" w:space="0" w:color="auto"/>
      </w:divBdr>
      <w:divsChild>
        <w:div w:id="2092770628">
          <w:marLeft w:val="0"/>
          <w:marRight w:val="0"/>
          <w:marTop w:val="0"/>
          <w:marBottom w:val="0"/>
          <w:divBdr>
            <w:top w:val="none" w:sz="0" w:space="0" w:color="auto"/>
            <w:left w:val="none" w:sz="0" w:space="0" w:color="auto"/>
            <w:bottom w:val="none" w:sz="0" w:space="0" w:color="auto"/>
            <w:right w:val="none" w:sz="0" w:space="0" w:color="auto"/>
          </w:divBdr>
          <w:divsChild>
            <w:div w:id="1771468311">
              <w:marLeft w:val="0"/>
              <w:marRight w:val="0"/>
              <w:marTop w:val="0"/>
              <w:marBottom w:val="0"/>
              <w:divBdr>
                <w:top w:val="none" w:sz="0" w:space="0" w:color="auto"/>
                <w:left w:val="none" w:sz="0" w:space="0" w:color="auto"/>
                <w:bottom w:val="none" w:sz="0" w:space="0" w:color="auto"/>
                <w:right w:val="none" w:sz="0" w:space="0" w:color="auto"/>
              </w:divBdr>
              <w:divsChild>
                <w:div w:id="151672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158235">
      <w:bodyDiv w:val="1"/>
      <w:marLeft w:val="0"/>
      <w:marRight w:val="0"/>
      <w:marTop w:val="0"/>
      <w:marBottom w:val="0"/>
      <w:divBdr>
        <w:top w:val="none" w:sz="0" w:space="0" w:color="auto"/>
        <w:left w:val="none" w:sz="0" w:space="0" w:color="auto"/>
        <w:bottom w:val="none" w:sz="0" w:space="0" w:color="auto"/>
        <w:right w:val="none" w:sz="0" w:space="0" w:color="auto"/>
      </w:divBdr>
    </w:div>
    <w:div w:id="968631809">
      <w:bodyDiv w:val="1"/>
      <w:marLeft w:val="0"/>
      <w:marRight w:val="0"/>
      <w:marTop w:val="0"/>
      <w:marBottom w:val="0"/>
      <w:divBdr>
        <w:top w:val="none" w:sz="0" w:space="0" w:color="auto"/>
        <w:left w:val="none" w:sz="0" w:space="0" w:color="auto"/>
        <w:bottom w:val="none" w:sz="0" w:space="0" w:color="auto"/>
        <w:right w:val="none" w:sz="0" w:space="0" w:color="auto"/>
      </w:divBdr>
    </w:div>
    <w:div w:id="969820133">
      <w:bodyDiv w:val="1"/>
      <w:marLeft w:val="0"/>
      <w:marRight w:val="0"/>
      <w:marTop w:val="0"/>
      <w:marBottom w:val="0"/>
      <w:divBdr>
        <w:top w:val="none" w:sz="0" w:space="0" w:color="auto"/>
        <w:left w:val="none" w:sz="0" w:space="0" w:color="auto"/>
        <w:bottom w:val="none" w:sz="0" w:space="0" w:color="auto"/>
        <w:right w:val="none" w:sz="0" w:space="0" w:color="auto"/>
      </w:divBdr>
    </w:div>
    <w:div w:id="973603873">
      <w:bodyDiv w:val="1"/>
      <w:marLeft w:val="0"/>
      <w:marRight w:val="0"/>
      <w:marTop w:val="0"/>
      <w:marBottom w:val="0"/>
      <w:divBdr>
        <w:top w:val="none" w:sz="0" w:space="0" w:color="auto"/>
        <w:left w:val="none" w:sz="0" w:space="0" w:color="auto"/>
        <w:bottom w:val="none" w:sz="0" w:space="0" w:color="auto"/>
        <w:right w:val="none" w:sz="0" w:space="0" w:color="auto"/>
      </w:divBdr>
    </w:div>
    <w:div w:id="979651342">
      <w:bodyDiv w:val="1"/>
      <w:marLeft w:val="0"/>
      <w:marRight w:val="0"/>
      <w:marTop w:val="0"/>
      <w:marBottom w:val="0"/>
      <w:divBdr>
        <w:top w:val="none" w:sz="0" w:space="0" w:color="auto"/>
        <w:left w:val="none" w:sz="0" w:space="0" w:color="auto"/>
        <w:bottom w:val="none" w:sz="0" w:space="0" w:color="auto"/>
        <w:right w:val="none" w:sz="0" w:space="0" w:color="auto"/>
      </w:divBdr>
      <w:divsChild>
        <w:div w:id="883440899">
          <w:marLeft w:val="0"/>
          <w:marRight w:val="0"/>
          <w:marTop w:val="0"/>
          <w:marBottom w:val="0"/>
          <w:divBdr>
            <w:top w:val="none" w:sz="0" w:space="0" w:color="auto"/>
            <w:left w:val="none" w:sz="0" w:space="0" w:color="auto"/>
            <w:bottom w:val="none" w:sz="0" w:space="0" w:color="auto"/>
            <w:right w:val="none" w:sz="0" w:space="0" w:color="auto"/>
          </w:divBdr>
          <w:divsChild>
            <w:div w:id="312415241">
              <w:marLeft w:val="0"/>
              <w:marRight w:val="0"/>
              <w:marTop w:val="0"/>
              <w:marBottom w:val="0"/>
              <w:divBdr>
                <w:top w:val="none" w:sz="0" w:space="0" w:color="auto"/>
                <w:left w:val="none" w:sz="0" w:space="0" w:color="auto"/>
                <w:bottom w:val="none" w:sz="0" w:space="0" w:color="auto"/>
                <w:right w:val="none" w:sz="0" w:space="0" w:color="auto"/>
              </w:divBdr>
              <w:divsChild>
                <w:div w:id="850608169">
                  <w:marLeft w:val="0"/>
                  <w:marRight w:val="0"/>
                  <w:marTop w:val="0"/>
                  <w:marBottom w:val="0"/>
                  <w:divBdr>
                    <w:top w:val="none" w:sz="0" w:space="0" w:color="auto"/>
                    <w:left w:val="none" w:sz="0" w:space="0" w:color="auto"/>
                    <w:bottom w:val="none" w:sz="0" w:space="0" w:color="auto"/>
                    <w:right w:val="none" w:sz="0" w:space="0" w:color="auto"/>
                  </w:divBdr>
                  <w:divsChild>
                    <w:div w:id="38719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823489">
      <w:bodyDiv w:val="1"/>
      <w:marLeft w:val="0"/>
      <w:marRight w:val="0"/>
      <w:marTop w:val="0"/>
      <w:marBottom w:val="0"/>
      <w:divBdr>
        <w:top w:val="none" w:sz="0" w:space="0" w:color="auto"/>
        <w:left w:val="none" w:sz="0" w:space="0" w:color="auto"/>
        <w:bottom w:val="none" w:sz="0" w:space="0" w:color="auto"/>
        <w:right w:val="none" w:sz="0" w:space="0" w:color="auto"/>
      </w:divBdr>
    </w:div>
    <w:div w:id="996880341">
      <w:bodyDiv w:val="1"/>
      <w:marLeft w:val="0"/>
      <w:marRight w:val="0"/>
      <w:marTop w:val="0"/>
      <w:marBottom w:val="0"/>
      <w:divBdr>
        <w:top w:val="none" w:sz="0" w:space="0" w:color="auto"/>
        <w:left w:val="none" w:sz="0" w:space="0" w:color="auto"/>
        <w:bottom w:val="none" w:sz="0" w:space="0" w:color="auto"/>
        <w:right w:val="none" w:sz="0" w:space="0" w:color="auto"/>
      </w:divBdr>
    </w:div>
    <w:div w:id="998269576">
      <w:bodyDiv w:val="1"/>
      <w:marLeft w:val="0"/>
      <w:marRight w:val="0"/>
      <w:marTop w:val="0"/>
      <w:marBottom w:val="0"/>
      <w:divBdr>
        <w:top w:val="none" w:sz="0" w:space="0" w:color="auto"/>
        <w:left w:val="none" w:sz="0" w:space="0" w:color="auto"/>
        <w:bottom w:val="none" w:sz="0" w:space="0" w:color="auto"/>
        <w:right w:val="none" w:sz="0" w:space="0" w:color="auto"/>
      </w:divBdr>
    </w:div>
    <w:div w:id="1001464749">
      <w:bodyDiv w:val="1"/>
      <w:marLeft w:val="0"/>
      <w:marRight w:val="0"/>
      <w:marTop w:val="0"/>
      <w:marBottom w:val="0"/>
      <w:divBdr>
        <w:top w:val="none" w:sz="0" w:space="0" w:color="auto"/>
        <w:left w:val="none" w:sz="0" w:space="0" w:color="auto"/>
        <w:bottom w:val="none" w:sz="0" w:space="0" w:color="auto"/>
        <w:right w:val="none" w:sz="0" w:space="0" w:color="auto"/>
      </w:divBdr>
    </w:div>
    <w:div w:id="1002857775">
      <w:bodyDiv w:val="1"/>
      <w:marLeft w:val="0"/>
      <w:marRight w:val="0"/>
      <w:marTop w:val="0"/>
      <w:marBottom w:val="0"/>
      <w:divBdr>
        <w:top w:val="none" w:sz="0" w:space="0" w:color="auto"/>
        <w:left w:val="none" w:sz="0" w:space="0" w:color="auto"/>
        <w:bottom w:val="none" w:sz="0" w:space="0" w:color="auto"/>
        <w:right w:val="none" w:sz="0" w:space="0" w:color="auto"/>
      </w:divBdr>
      <w:divsChild>
        <w:div w:id="1590239359">
          <w:marLeft w:val="0"/>
          <w:marRight w:val="0"/>
          <w:marTop w:val="0"/>
          <w:marBottom w:val="0"/>
          <w:divBdr>
            <w:top w:val="none" w:sz="0" w:space="0" w:color="auto"/>
            <w:left w:val="none" w:sz="0" w:space="0" w:color="auto"/>
            <w:bottom w:val="none" w:sz="0" w:space="0" w:color="auto"/>
            <w:right w:val="none" w:sz="0" w:space="0" w:color="auto"/>
          </w:divBdr>
          <w:divsChild>
            <w:div w:id="665935804">
              <w:marLeft w:val="0"/>
              <w:marRight w:val="0"/>
              <w:marTop w:val="0"/>
              <w:marBottom w:val="0"/>
              <w:divBdr>
                <w:top w:val="none" w:sz="0" w:space="0" w:color="auto"/>
                <w:left w:val="none" w:sz="0" w:space="0" w:color="auto"/>
                <w:bottom w:val="none" w:sz="0" w:space="0" w:color="auto"/>
                <w:right w:val="none" w:sz="0" w:space="0" w:color="auto"/>
              </w:divBdr>
              <w:divsChild>
                <w:div w:id="110854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256801">
      <w:bodyDiv w:val="1"/>
      <w:marLeft w:val="0"/>
      <w:marRight w:val="0"/>
      <w:marTop w:val="0"/>
      <w:marBottom w:val="0"/>
      <w:divBdr>
        <w:top w:val="none" w:sz="0" w:space="0" w:color="auto"/>
        <w:left w:val="none" w:sz="0" w:space="0" w:color="auto"/>
        <w:bottom w:val="none" w:sz="0" w:space="0" w:color="auto"/>
        <w:right w:val="none" w:sz="0" w:space="0" w:color="auto"/>
      </w:divBdr>
    </w:div>
    <w:div w:id="1012535211">
      <w:bodyDiv w:val="1"/>
      <w:marLeft w:val="0"/>
      <w:marRight w:val="0"/>
      <w:marTop w:val="0"/>
      <w:marBottom w:val="0"/>
      <w:divBdr>
        <w:top w:val="none" w:sz="0" w:space="0" w:color="auto"/>
        <w:left w:val="none" w:sz="0" w:space="0" w:color="auto"/>
        <w:bottom w:val="none" w:sz="0" w:space="0" w:color="auto"/>
        <w:right w:val="none" w:sz="0" w:space="0" w:color="auto"/>
      </w:divBdr>
    </w:div>
    <w:div w:id="1027370991">
      <w:bodyDiv w:val="1"/>
      <w:marLeft w:val="0"/>
      <w:marRight w:val="0"/>
      <w:marTop w:val="0"/>
      <w:marBottom w:val="0"/>
      <w:divBdr>
        <w:top w:val="none" w:sz="0" w:space="0" w:color="auto"/>
        <w:left w:val="none" w:sz="0" w:space="0" w:color="auto"/>
        <w:bottom w:val="none" w:sz="0" w:space="0" w:color="auto"/>
        <w:right w:val="none" w:sz="0" w:space="0" w:color="auto"/>
      </w:divBdr>
    </w:div>
    <w:div w:id="1028995302">
      <w:bodyDiv w:val="1"/>
      <w:marLeft w:val="0"/>
      <w:marRight w:val="0"/>
      <w:marTop w:val="0"/>
      <w:marBottom w:val="0"/>
      <w:divBdr>
        <w:top w:val="none" w:sz="0" w:space="0" w:color="auto"/>
        <w:left w:val="none" w:sz="0" w:space="0" w:color="auto"/>
        <w:bottom w:val="none" w:sz="0" w:space="0" w:color="auto"/>
        <w:right w:val="none" w:sz="0" w:space="0" w:color="auto"/>
      </w:divBdr>
    </w:div>
    <w:div w:id="1031299679">
      <w:bodyDiv w:val="1"/>
      <w:marLeft w:val="0"/>
      <w:marRight w:val="0"/>
      <w:marTop w:val="0"/>
      <w:marBottom w:val="0"/>
      <w:divBdr>
        <w:top w:val="none" w:sz="0" w:space="0" w:color="auto"/>
        <w:left w:val="none" w:sz="0" w:space="0" w:color="auto"/>
        <w:bottom w:val="none" w:sz="0" w:space="0" w:color="auto"/>
        <w:right w:val="none" w:sz="0" w:space="0" w:color="auto"/>
      </w:divBdr>
      <w:divsChild>
        <w:div w:id="487988371">
          <w:marLeft w:val="0"/>
          <w:marRight w:val="0"/>
          <w:marTop w:val="0"/>
          <w:marBottom w:val="0"/>
          <w:divBdr>
            <w:top w:val="none" w:sz="0" w:space="0" w:color="auto"/>
            <w:left w:val="none" w:sz="0" w:space="0" w:color="auto"/>
            <w:bottom w:val="none" w:sz="0" w:space="0" w:color="auto"/>
            <w:right w:val="none" w:sz="0" w:space="0" w:color="auto"/>
          </w:divBdr>
          <w:divsChild>
            <w:div w:id="1474181458">
              <w:marLeft w:val="0"/>
              <w:marRight w:val="0"/>
              <w:marTop w:val="0"/>
              <w:marBottom w:val="0"/>
              <w:divBdr>
                <w:top w:val="none" w:sz="0" w:space="0" w:color="auto"/>
                <w:left w:val="none" w:sz="0" w:space="0" w:color="auto"/>
                <w:bottom w:val="none" w:sz="0" w:space="0" w:color="auto"/>
                <w:right w:val="none" w:sz="0" w:space="0" w:color="auto"/>
              </w:divBdr>
              <w:divsChild>
                <w:div w:id="176024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738077">
      <w:bodyDiv w:val="1"/>
      <w:marLeft w:val="0"/>
      <w:marRight w:val="0"/>
      <w:marTop w:val="0"/>
      <w:marBottom w:val="0"/>
      <w:divBdr>
        <w:top w:val="none" w:sz="0" w:space="0" w:color="auto"/>
        <w:left w:val="none" w:sz="0" w:space="0" w:color="auto"/>
        <w:bottom w:val="none" w:sz="0" w:space="0" w:color="auto"/>
        <w:right w:val="none" w:sz="0" w:space="0" w:color="auto"/>
      </w:divBdr>
      <w:divsChild>
        <w:div w:id="1085224915">
          <w:marLeft w:val="0"/>
          <w:marRight w:val="0"/>
          <w:marTop w:val="0"/>
          <w:marBottom w:val="0"/>
          <w:divBdr>
            <w:top w:val="none" w:sz="0" w:space="0" w:color="auto"/>
            <w:left w:val="none" w:sz="0" w:space="0" w:color="auto"/>
            <w:bottom w:val="none" w:sz="0" w:space="0" w:color="auto"/>
            <w:right w:val="none" w:sz="0" w:space="0" w:color="auto"/>
          </w:divBdr>
          <w:divsChild>
            <w:div w:id="1502962336">
              <w:marLeft w:val="0"/>
              <w:marRight w:val="0"/>
              <w:marTop w:val="0"/>
              <w:marBottom w:val="0"/>
              <w:divBdr>
                <w:top w:val="none" w:sz="0" w:space="0" w:color="auto"/>
                <w:left w:val="none" w:sz="0" w:space="0" w:color="auto"/>
                <w:bottom w:val="none" w:sz="0" w:space="0" w:color="auto"/>
                <w:right w:val="none" w:sz="0" w:space="0" w:color="auto"/>
              </w:divBdr>
              <w:divsChild>
                <w:div w:id="41709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933239">
      <w:bodyDiv w:val="1"/>
      <w:marLeft w:val="0"/>
      <w:marRight w:val="0"/>
      <w:marTop w:val="0"/>
      <w:marBottom w:val="0"/>
      <w:divBdr>
        <w:top w:val="none" w:sz="0" w:space="0" w:color="auto"/>
        <w:left w:val="none" w:sz="0" w:space="0" w:color="auto"/>
        <w:bottom w:val="none" w:sz="0" w:space="0" w:color="auto"/>
        <w:right w:val="none" w:sz="0" w:space="0" w:color="auto"/>
      </w:divBdr>
    </w:div>
    <w:div w:id="1048917634">
      <w:bodyDiv w:val="1"/>
      <w:marLeft w:val="0"/>
      <w:marRight w:val="0"/>
      <w:marTop w:val="0"/>
      <w:marBottom w:val="0"/>
      <w:divBdr>
        <w:top w:val="none" w:sz="0" w:space="0" w:color="auto"/>
        <w:left w:val="none" w:sz="0" w:space="0" w:color="auto"/>
        <w:bottom w:val="none" w:sz="0" w:space="0" w:color="auto"/>
        <w:right w:val="none" w:sz="0" w:space="0" w:color="auto"/>
      </w:divBdr>
    </w:div>
    <w:div w:id="1050227669">
      <w:bodyDiv w:val="1"/>
      <w:marLeft w:val="0"/>
      <w:marRight w:val="0"/>
      <w:marTop w:val="0"/>
      <w:marBottom w:val="0"/>
      <w:divBdr>
        <w:top w:val="none" w:sz="0" w:space="0" w:color="auto"/>
        <w:left w:val="none" w:sz="0" w:space="0" w:color="auto"/>
        <w:bottom w:val="none" w:sz="0" w:space="0" w:color="auto"/>
        <w:right w:val="none" w:sz="0" w:space="0" w:color="auto"/>
      </w:divBdr>
    </w:div>
    <w:div w:id="1051882266">
      <w:bodyDiv w:val="1"/>
      <w:marLeft w:val="0"/>
      <w:marRight w:val="0"/>
      <w:marTop w:val="0"/>
      <w:marBottom w:val="0"/>
      <w:divBdr>
        <w:top w:val="none" w:sz="0" w:space="0" w:color="auto"/>
        <w:left w:val="none" w:sz="0" w:space="0" w:color="auto"/>
        <w:bottom w:val="none" w:sz="0" w:space="0" w:color="auto"/>
        <w:right w:val="none" w:sz="0" w:space="0" w:color="auto"/>
      </w:divBdr>
    </w:div>
    <w:div w:id="1059475906">
      <w:bodyDiv w:val="1"/>
      <w:marLeft w:val="0"/>
      <w:marRight w:val="0"/>
      <w:marTop w:val="0"/>
      <w:marBottom w:val="0"/>
      <w:divBdr>
        <w:top w:val="none" w:sz="0" w:space="0" w:color="auto"/>
        <w:left w:val="none" w:sz="0" w:space="0" w:color="auto"/>
        <w:bottom w:val="none" w:sz="0" w:space="0" w:color="auto"/>
        <w:right w:val="none" w:sz="0" w:space="0" w:color="auto"/>
      </w:divBdr>
      <w:divsChild>
        <w:div w:id="132140924">
          <w:marLeft w:val="0"/>
          <w:marRight w:val="0"/>
          <w:marTop w:val="0"/>
          <w:marBottom w:val="0"/>
          <w:divBdr>
            <w:top w:val="none" w:sz="0" w:space="0" w:color="auto"/>
            <w:left w:val="none" w:sz="0" w:space="0" w:color="auto"/>
            <w:bottom w:val="none" w:sz="0" w:space="0" w:color="auto"/>
            <w:right w:val="none" w:sz="0" w:space="0" w:color="auto"/>
          </w:divBdr>
        </w:div>
        <w:div w:id="256912049">
          <w:marLeft w:val="0"/>
          <w:marRight w:val="0"/>
          <w:marTop w:val="0"/>
          <w:marBottom w:val="0"/>
          <w:divBdr>
            <w:top w:val="none" w:sz="0" w:space="0" w:color="auto"/>
            <w:left w:val="none" w:sz="0" w:space="0" w:color="auto"/>
            <w:bottom w:val="none" w:sz="0" w:space="0" w:color="auto"/>
            <w:right w:val="none" w:sz="0" w:space="0" w:color="auto"/>
          </w:divBdr>
        </w:div>
        <w:div w:id="547882197">
          <w:marLeft w:val="0"/>
          <w:marRight w:val="0"/>
          <w:marTop w:val="0"/>
          <w:marBottom w:val="0"/>
          <w:divBdr>
            <w:top w:val="none" w:sz="0" w:space="0" w:color="auto"/>
            <w:left w:val="none" w:sz="0" w:space="0" w:color="auto"/>
            <w:bottom w:val="none" w:sz="0" w:space="0" w:color="auto"/>
            <w:right w:val="none" w:sz="0" w:space="0" w:color="auto"/>
          </w:divBdr>
        </w:div>
        <w:div w:id="687214678">
          <w:marLeft w:val="0"/>
          <w:marRight w:val="0"/>
          <w:marTop w:val="0"/>
          <w:marBottom w:val="0"/>
          <w:divBdr>
            <w:top w:val="none" w:sz="0" w:space="0" w:color="auto"/>
            <w:left w:val="none" w:sz="0" w:space="0" w:color="auto"/>
            <w:bottom w:val="none" w:sz="0" w:space="0" w:color="auto"/>
            <w:right w:val="none" w:sz="0" w:space="0" w:color="auto"/>
          </w:divBdr>
        </w:div>
        <w:div w:id="859853630">
          <w:marLeft w:val="0"/>
          <w:marRight w:val="0"/>
          <w:marTop w:val="0"/>
          <w:marBottom w:val="0"/>
          <w:divBdr>
            <w:top w:val="none" w:sz="0" w:space="0" w:color="auto"/>
            <w:left w:val="none" w:sz="0" w:space="0" w:color="auto"/>
            <w:bottom w:val="none" w:sz="0" w:space="0" w:color="auto"/>
            <w:right w:val="none" w:sz="0" w:space="0" w:color="auto"/>
          </w:divBdr>
        </w:div>
        <w:div w:id="1071848848">
          <w:marLeft w:val="0"/>
          <w:marRight w:val="0"/>
          <w:marTop w:val="0"/>
          <w:marBottom w:val="0"/>
          <w:divBdr>
            <w:top w:val="none" w:sz="0" w:space="0" w:color="auto"/>
            <w:left w:val="none" w:sz="0" w:space="0" w:color="auto"/>
            <w:bottom w:val="none" w:sz="0" w:space="0" w:color="auto"/>
            <w:right w:val="none" w:sz="0" w:space="0" w:color="auto"/>
          </w:divBdr>
        </w:div>
        <w:div w:id="1540125242">
          <w:marLeft w:val="0"/>
          <w:marRight w:val="0"/>
          <w:marTop w:val="0"/>
          <w:marBottom w:val="0"/>
          <w:divBdr>
            <w:top w:val="none" w:sz="0" w:space="0" w:color="auto"/>
            <w:left w:val="none" w:sz="0" w:space="0" w:color="auto"/>
            <w:bottom w:val="none" w:sz="0" w:space="0" w:color="auto"/>
            <w:right w:val="none" w:sz="0" w:space="0" w:color="auto"/>
          </w:divBdr>
        </w:div>
        <w:div w:id="1589968915">
          <w:marLeft w:val="0"/>
          <w:marRight w:val="0"/>
          <w:marTop w:val="0"/>
          <w:marBottom w:val="0"/>
          <w:divBdr>
            <w:top w:val="none" w:sz="0" w:space="0" w:color="auto"/>
            <w:left w:val="none" w:sz="0" w:space="0" w:color="auto"/>
            <w:bottom w:val="none" w:sz="0" w:space="0" w:color="auto"/>
            <w:right w:val="none" w:sz="0" w:space="0" w:color="auto"/>
          </w:divBdr>
        </w:div>
        <w:div w:id="1717701393">
          <w:marLeft w:val="0"/>
          <w:marRight w:val="0"/>
          <w:marTop w:val="0"/>
          <w:marBottom w:val="0"/>
          <w:divBdr>
            <w:top w:val="none" w:sz="0" w:space="0" w:color="auto"/>
            <w:left w:val="none" w:sz="0" w:space="0" w:color="auto"/>
            <w:bottom w:val="none" w:sz="0" w:space="0" w:color="auto"/>
            <w:right w:val="none" w:sz="0" w:space="0" w:color="auto"/>
          </w:divBdr>
        </w:div>
        <w:div w:id="2004815787">
          <w:marLeft w:val="0"/>
          <w:marRight w:val="0"/>
          <w:marTop w:val="0"/>
          <w:marBottom w:val="0"/>
          <w:divBdr>
            <w:top w:val="none" w:sz="0" w:space="0" w:color="auto"/>
            <w:left w:val="none" w:sz="0" w:space="0" w:color="auto"/>
            <w:bottom w:val="none" w:sz="0" w:space="0" w:color="auto"/>
            <w:right w:val="none" w:sz="0" w:space="0" w:color="auto"/>
          </w:divBdr>
        </w:div>
      </w:divsChild>
    </w:div>
    <w:div w:id="1062873054">
      <w:bodyDiv w:val="1"/>
      <w:marLeft w:val="0"/>
      <w:marRight w:val="0"/>
      <w:marTop w:val="0"/>
      <w:marBottom w:val="0"/>
      <w:divBdr>
        <w:top w:val="none" w:sz="0" w:space="0" w:color="auto"/>
        <w:left w:val="none" w:sz="0" w:space="0" w:color="auto"/>
        <w:bottom w:val="none" w:sz="0" w:space="0" w:color="auto"/>
        <w:right w:val="none" w:sz="0" w:space="0" w:color="auto"/>
      </w:divBdr>
    </w:div>
    <w:div w:id="1065028247">
      <w:bodyDiv w:val="1"/>
      <w:marLeft w:val="0"/>
      <w:marRight w:val="0"/>
      <w:marTop w:val="0"/>
      <w:marBottom w:val="0"/>
      <w:divBdr>
        <w:top w:val="none" w:sz="0" w:space="0" w:color="auto"/>
        <w:left w:val="none" w:sz="0" w:space="0" w:color="auto"/>
        <w:bottom w:val="none" w:sz="0" w:space="0" w:color="auto"/>
        <w:right w:val="none" w:sz="0" w:space="0" w:color="auto"/>
      </w:divBdr>
      <w:divsChild>
        <w:div w:id="1288394670">
          <w:marLeft w:val="0"/>
          <w:marRight w:val="0"/>
          <w:marTop w:val="0"/>
          <w:marBottom w:val="0"/>
          <w:divBdr>
            <w:top w:val="none" w:sz="0" w:space="0" w:color="auto"/>
            <w:left w:val="none" w:sz="0" w:space="0" w:color="auto"/>
            <w:bottom w:val="none" w:sz="0" w:space="0" w:color="auto"/>
            <w:right w:val="none" w:sz="0" w:space="0" w:color="auto"/>
          </w:divBdr>
          <w:divsChild>
            <w:div w:id="1719620933">
              <w:marLeft w:val="0"/>
              <w:marRight w:val="0"/>
              <w:marTop w:val="0"/>
              <w:marBottom w:val="0"/>
              <w:divBdr>
                <w:top w:val="none" w:sz="0" w:space="0" w:color="auto"/>
                <w:left w:val="none" w:sz="0" w:space="0" w:color="auto"/>
                <w:bottom w:val="none" w:sz="0" w:space="0" w:color="auto"/>
                <w:right w:val="none" w:sz="0" w:space="0" w:color="auto"/>
              </w:divBdr>
              <w:divsChild>
                <w:div w:id="152964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541104">
      <w:bodyDiv w:val="1"/>
      <w:marLeft w:val="0"/>
      <w:marRight w:val="0"/>
      <w:marTop w:val="0"/>
      <w:marBottom w:val="0"/>
      <w:divBdr>
        <w:top w:val="none" w:sz="0" w:space="0" w:color="auto"/>
        <w:left w:val="none" w:sz="0" w:space="0" w:color="auto"/>
        <w:bottom w:val="none" w:sz="0" w:space="0" w:color="auto"/>
        <w:right w:val="none" w:sz="0" w:space="0" w:color="auto"/>
      </w:divBdr>
    </w:div>
    <w:div w:id="1075081956">
      <w:bodyDiv w:val="1"/>
      <w:marLeft w:val="0"/>
      <w:marRight w:val="0"/>
      <w:marTop w:val="0"/>
      <w:marBottom w:val="0"/>
      <w:divBdr>
        <w:top w:val="none" w:sz="0" w:space="0" w:color="auto"/>
        <w:left w:val="none" w:sz="0" w:space="0" w:color="auto"/>
        <w:bottom w:val="none" w:sz="0" w:space="0" w:color="auto"/>
        <w:right w:val="none" w:sz="0" w:space="0" w:color="auto"/>
      </w:divBdr>
      <w:divsChild>
        <w:div w:id="1993021527">
          <w:marLeft w:val="0"/>
          <w:marRight w:val="0"/>
          <w:marTop w:val="0"/>
          <w:marBottom w:val="0"/>
          <w:divBdr>
            <w:top w:val="none" w:sz="0" w:space="0" w:color="auto"/>
            <w:left w:val="none" w:sz="0" w:space="0" w:color="auto"/>
            <w:bottom w:val="none" w:sz="0" w:space="0" w:color="auto"/>
            <w:right w:val="none" w:sz="0" w:space="0" w:color="auto"/>
          </w:divBdr>
          <w:divsChild>
            <w:div w:id="177158801">
              <w:marLeft w:val="0"/>
              <w:marRight w:val="0"/>
              <w:marTop w:val="0"/>
              <w:marBottom w:val="0"/>
              <w:divBdr>
                <w:top w:val="none" w:sz="0" w:space="0" w:color="auto"/>
                <w:left w:val="none" w:sz="0" w:space="0" w:color="auto"/>
                <w:bottom w:val="none" w:sz="0" w:space="0" w:color="auto"/>
                <w:right w:val="none" w:sz="0" w:space="0" w:color="auto"/>
              </w:divBdr>
              <w:divsChild>
                <w:div w:id="200982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862775">
      <w:bodyDiv w:val="1"/>
      <w:marLeft w:val="0"/>
      <w:marRight w:val="0"/>
      <w:marTop w:val="0"/>
      <w:marBottom w:val="0"/>
      <w:divBdr>
        <w:top w:val="none" w:sz="0" w:space="0" w:color="auto"/>
        <w:left w:val="none" w:sz="0" w:space="0" w:color="auto"/>
        <w:bottom w:val="none" w:sz="0" w:space="0" w:color="auto"/>
        <w:right w:val="none" w:sz="0" w:space="0" w:color="auto"/>
      </w:divBdr>
    </w:div>
    <w:div w:id="1079865006">
      <w:bodyDiv w:val="1"/>
      <w:marLeft w:val="0"/>
      <w:marRight w:val="0"/>
      <w:marTop w:val="0"/>
      <w:marBottom w:val="0"/>
      <w:divBdr>
        <w:top w:val="none" w:sz="0" w:space="0" w:color="auto"/>
        <w:left w:val="none" w:sz="0" w:space="0" w:color="auto"/>
        <w:bottom w:val="none" w:sz="0" w:space="0" w:color="auto"/>
        <w:right w:val="none" w:sz="0" w:space="0" w:color="auto"/>
      </w:divBdr>
    </w:div>
    <w:div w:id="1085346862">
      <w:bodyDiv w:val="1"/>
      <w:marLeft w:val="0"/>
      <w:marRight w:val="0"/>
      <w:marTop w:val="0"/>
      <w:marBottom w:val="0"/>
      <w:divBdr>
        <w:top w:val="none" w:sz="0" w:space="0" w:color="auto"/>
        <w:left w:val="none" w:sz="0" w:space="0" w:color="auto"/>
        <w:bottom w:val="none" w:sz="0" w:space="0" w:color="auto"/>
        <w:right w:val="none" w:sz="0" w:space="0" w:color="auto"/>
      </w:divBdr>
      <w:divsChild>
        <w:div w:id="871772699">
          <w:marLeft w:val="0"/>
          <w:marRight w:val="0"/>
          <w:marTop w:val="0"/>
          <w:marBottom w:val="0"/>
          <w:divBdr>
            <w:top w:val="none" w:sz="0" w:space="0" w:color="auto"/>
            <w:left w:val="none" w:sz="0" w:space="0" w:color="auto"/>
            <w:bottom w:val="none" w:sz="0" w:space="0" w:color="auto"/>
            <w:right w:val="none" w:sz="0" w:space="0" w:color="auto"/>
          </w:divBdr>
        </w:div>
      </w:divsChild>
    </w:div>
    <w:div w:id="1089737877">
      <w:bodyDiv w:val="1"/>
      <w:marLeft w:val="0"/>
      <w:marRight w:val="0"/>
      <w:marTop w:val="0"/>
      <w:marBottom w:val="0"/>
      <w:divBdr>
        <w:top w:val="none" w:sz="0" w:space="0" w:color="auto"/>
        <w:left w:val="none" w:sz="0" w:space="0" w:color="auto"/>
        <w:bottom w:val="none" w:sz="0" w:space="0" w:color="auto"/>
        <w:right w:val="none" w:sz="0" w:space="0" w:color="auto"/>
      </w:divBdr>
    </w:div>
    <w:div w:id="1089959664">
      <w:bodyDiv w:val="1"/>
      <w:marLeft w:val="0"/>
      <w:marRight w:val="0"/>
      <w:marTop w:val="0"/>
      <w:marBottom w:val="0"/>
      <w:divBdr>
        <w:top w:val="none" w:sz="0" w:space="0" w:color="auto"/>
        <w:left w:val="none" w:sz="0" w:space="0" w:color="auto"/>
        <w:bottom w:val="none" w:sz="0" w:space="0" w:color="auto"/>
        <w:right w:val="none" w:sz="0" w:space="0" w:color="auto"/>
      </w:divBdr>
      <w:divsChild>
        <w:div w:id="1453792520">
          <w:marLeft w:val="0"/>
          <w:marRight w:val="0"/>
          <w:marTop w:val="0"/>
          <w:marBottom w:val="0"/>
          <w:divBdr>
            <w:top w:val="none" w:sz="0" w:space="0" w:color="auto"/>
            <w:left w:val="none" w:sz="0" w:space="0" w:color="auto"/>
            <w:bottom w:val="none" w:sz="0" w:space="0" w:color="auto"/>
            <w:right w:val="none" w:sz="0" w:space="0" w:color="auto"/>
          </w:divBdr>
          <w:divsChild>
            <w:div w:id="972252232">
              <w:marLeft w:val="0"/>
              <w:marRight w:val="0"/>
              <w:marTop w:val="0"/>
              <w:marBottom w:val="0"/>
              <w:divBdr>
                <w:top w:val="none" w:sz="0" w:space="0" w:color="auto"/>
                <w:left w:val="none" w:sz="0" w:space="0" w:color="auto"/>
                <w:bottom w:val="none" w:sz="0" w:space="0" w:color="auto"/>
                <w:right w:val="none" w:sz="0" w:space="0" w:color="auto"/>
              </w:divBdr>
              <w:divsChild>
                <w:div w:id="162407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126459">
      <w:bodyDiv w:val="1"/>
      <w:marLeft w:val="0"/>
      <w:marRight w:val="0"/>
      <w:marTop w:val="0"/>
      <w:marBottom w:val="0"/>
      <w:divBdr>
        <w:top w:val="none" w:sz="0" w:space="0" w:color="auto"/>
        <w:left w:val="none" w:sz="0" w:space="0" w:color="auto"/>
        <w:bottom w:val="none" w:sz="0" w:space="0" w:color="auto"/>
        <w:right w:val="none" w:sz="0" w:space="0" w:color="auto"/>
      </w:divBdr>
    </w:div>
    <w:div w:id="1096947503">
      <w:bodyDiv w:val="1"/>
      <w:marLeft w:val="0"/>
      <w:marRight w:val="0"/>
      <w:marTop w:val="0"/>
      <w:marBottom w:val="0"/>
      <w:divBdr>
        <w:top w:val="none" w:sz="0" w:space="0" w:color="auto"/>
        <w:left w:val="none" w:sz="0" w:space="0" w:color="auto"/>
        <w:bottom w:val="none" w:sz="0" w:space="0" w:color="auto"/>
        <w:right w:val="none" w:sz="0" w:space="0" w:color="auto"/>
      </w:divBdr>
    </w:div>
    <w:div w:id="1112091408">
      <w:bodyDiv w:val="1"/>
      <w:marLeft w:val="0"/>
      <w:marRight w:val="0"/>
      <w:marTop w:val="0"/>
      <w:marBottom w:val="0"/>
      <w:divBdr>
        <w:top w:val="none" w:sz="0" w:space="0" w:color="auto"/>
        <w:left w:val="none" w:sz="0" w:space="0" w:color="auto"/>
        <w:bottom w:val="none" w:sz="0" w:space="0" w:color="auto"/>
        <w:right w:val="none" w:sz="0" w:space="0" w:color="auto"/>
      </w:divBdr>
      <w:divsChild>
        <w:div w:id="1933976657">
          <w:marLeft w:val="0"/>
          <w:marRight w:val="0"/>
          <w:marTop w:val="0"/>
          <w:marBottom w:val="225"/>
          <w:divBdr>
            <w:top w:val="none" w:sz="0" w:space="0" w:color="auto"/>
            <w:left w:val="none" w:sz="0" w:space="0" w:color="auto"/>
            <w:bottom w:val="none" w:sz="0" w:space="0" w:color="auto"/>
            <w:right w:val="none" w:sz="0" w:space="0" w:color="auto"/>
          </w:divBdr>
        </w:div>
      </w:divsChild>
    </w:div>
    <w:div w:id="1116871329">
      <w:bodyDiv w:val="1"/>
      <w:marLeft w:val="0"/>
      <w:marRight w:val="0"/>
      <w:marTop w:val="0"/>
      <w:marBottom w:val="0"/>
      <w:divBdr>
        <w:top w:val="none" w:sz="0" w:space="0" w:color="auto"/>
        <w:left w:val="none" w:sz="0" w:space="0" w:color="auto"/>
        <w:bottom w:val="none" w:sz="0" w:space="0" w:color="auto"/>
        <w:right w:val="none" w:sz="0" w:space="0" w:color="auto"/>
      </w:divBdr>
    </w:div>
    <w:div w:id="1125737326">
      <w:bodyDiv w:val="1"/>
      <w:marLeft w:val="0"/>
      <w:marRight w:val="0"/>
      <w:marTop w:val="0"/>
      <w:marBottom w:val="0"/>
      <w:divBdr>
        <w:top w:val="none" w:sz="0" w:space="0" w:color="auto"/>
        <w:left w:val="none" w:sz="0" w:space="0" w:color="auto"/>
        <w:bottom w:val="none" w:sz="0" w:space="0" w:color="auto"/>
        <w:right w:val="none" w:sz="0" w:space="0" w:color="auto"/>
      </w:divBdr>
    </w:div>
    <w:div w:id="1128936475">
      <w:bodyDiv w:val="1"/>
      <w:marLeft w:val="0"/>
      <w:marRight w:val="0"/>
      <w:marTop w:val="0"/>
      <w:marBottom w:val="0"/>
      <w:divBdr>
        <w:top w:val="none" w:sz="0" w:space="0" w:color="auto"/>
        <w:left w:val="none" w:sz="0" w:space="0" w:color="auto"/>
        <w:bottom w:val="none" w:sz="0" w:space="0" w:color="auto"/>
        <w:right w:val="none" w:sz="0" w:space="0" w:color="auto"/>
      </w:divBdr>
    </w:div>
    <w:div w:id="1135875879">
      <w:bodyDiv w:val="1"/>
      <w:marLeft w:val="0"/>
      <w:marRight w:val="0"/>
      <w:marTop w:val="0"/>
      <w:marBottom w:val="0"/>
      <w:divBdr>
        <w:top w:val="none" w:sz="0" w:space="0" w:color="auto"/>
        <w:left w:val="none" w:sz="0" w:space="0" w:color="auto"/>
        <w:bottom w:val="none" w:sz="0" w:space="0" w:color="auto"/>
        <w:right w:val="none" w:sz="0" w:space="0" w:color="auto"/>
      </w:divBdr>
      <w:divsChild>
        <w:div w:id="817769640">
          <w:marLeft w:val="0"/>
          <w:marRight w:val="0"/>
          <w:marTop w:val="0"/>
          <w:marBottom w:val="0"/>
          <w:divBdr>
            <w:top w:val="none" w:sz="0" w:space="0" w:color="auto"/>
            <w:left w:val="none" w:sz="0" w:space="0" w:color="auto"/>
            <w:bottom w:val="none" w:sz="0" w:space="0" w:color="auto"/>
            <w:right w:val="none" w:sz="0" w:space="0" w:color="auto"/>
          </w:divBdr>
          <w:divsChild>
            <w:div w:id="740102046">
              <w:marLeft w:val="0"/>
              <w:marRight w:val="0"/>
              <w:marTop w:val="0"/>
              <w:marBottom w:val="0"/>
              <w:divBdr>
                <w:top w:val="none" w:sz="0" w:space="0" w:color="auto"/>
                <w:left w:val="none" w:sz="0" w:space="0" w:color="auto"/>
                <w:bottom w:val="none" w:sz="0" w:space="0" w:color="auto"/>
                <w:right w:val="none" w:sz="0" w:space="0" w:color="auto"/>
              </w:divBdr>
              <w:divsChild>
                <w:div w:id="35457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313050">
      <w:bodyDiv w:val="1"/>
      <w:marLeft w:val="0"/>
      <w:marRight w:val="0"/>
      <w:marTop w:val="0"/>
      <w:marBottom w:val="0"/>
      <w:divBdr>
        <w:top w:val="none" w:sz="0" w:space="0" w:color="auto"/>
        <w:left w:val="none" w:sz="0" w:space="0" w:color="auto"/>
        <w:bottom w:val="none" w:sz="0" w:space="0" w:color="auto"/>
        <w:right w:val="none" w:sz="0" w:space="0" w:color="auto"/>
      </w:divBdr>
    </w:div>
    <w:div w:id="1142189797">
      <w:bodyDiv w:val="1"/>
      <w:marLeft w:val="0"/>
      <w:marRight w:val="0"/>
      <w:marTop w:val="0"/>
      <w:marBottom w:val="0"/>
      <w:divBdr>
        <w:top w:val="none" w:sz="0" w:space="0" w:color="auto"/>
        <w:left w:val="none" w:sz="0" w:space="0" w:color="auto"/>
        <w:bottom w:val="none" w:sz="0" w:space="0" w:color="auto"/>
        <w:right w:val="none" w:sz="0" w:space="0" w:color="auto"/>
      </w:divBdr>
      <w:divsChild>
        <w:div w:id="885873826">
          <w:marLeft w:val="0"/>
          <w:marRight w:val="0"/>
          <w:marTop w:val="0"/>
          <w:marBottom w:val="0"/>
          <w:divBdr>
            <w:top w:val="none" w:sz="0" w:space="0" w:color="auto"/>
            <w:left w:val="none" w:sz="0" w:space="0" w:color="auto"/>
            <w:bottom w:val="none" w:sz="0" w:space="0" w:color="auto"/>
            <w:right w:val="none" w:sz="0" w:space="0" w:color="auto"/>
          </w:divBdr>
          <w:divsChild>
            <w:div w:id="345981931">
              <w:marLeft w:val="0"/>
              <w:marRight w:val="0"/>
              <w:marTop w:val="0"/>
              <w:marBottom w:val="0"/>
              <w:divBdr>
                <w:top w:val="none" w:sz="0" w:space="0" w:color="auto"/>
                <w:left w:val="none" w:sz="0" w:space="0" w:color="auto"/>
                <w:bottom w:val="none" w:sz="0" w:space="0" w:color="auto"/>
                <w:right w:val="none" w:sz="0" w:space="0" w:color="auto"/>
              </w:divBdr>
              <w:divsChild>
                <w:div w:id="1480422308">
                  <w:marLeft w:val="0"/>
                  <w:marRight w:val="0"/>
                  <w:marTop w:val="0"/>
                  <w:marBottom w:val="0"/>
                  <w:divBdr>
                    <w:top w:val="none" w:sz="0" w:space="0" w:color="auto"/>
                    <w:left w:val="none" w:sz="0" w:space="0" w:color="auto"/>
                    <w:bottom w:val="none" w:sz="0" w:space="0" w:color="auto"/>
                    <w:right w:val="none" w:sz="0" w:space="0" w:color="auto"/>
                  </w:divBdr>
                  <w:divsChild>
                    <w:div w:id="61382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437711">
      <w:bodyDiv w:val="1"/>
      <w:marLeft w:val="0"/>
      <w:marRight w:val="0"/>
      <w:marTop w:val="0"/>
      <w:marBottom w:val="0"/>
      <w:divBdr>
        <w:top w:val="none" w:sz="0" w:space="0" w:color="auto"/>
        <w:left w:val="none" w:sz="0" w:space="0" w:color="auto"/>
        <w:bottom w:val="none" w:sz="0" w:space="0" w:color="auto"/>
        <w:right w:val="none" w:sz="0" w:space="0" w:color="auto"/>
      </w:divBdr>
    </w:div>
    <w:div w:id="1150252565">
      <w:bodyDiv w:val="1"/>
      <w:marLeft w:val="0"/>
      <w:marRight w:val="0"/>
      <w:marTop w:val="0"/>
      <w:marBottom w:val="0"/>
      <w:divBdr>
        <w:top w:val="none" w:sz="0" w:space="0" w:color="auto"/>
        <w:left w:val="none" w:sz="0" w:space="0" w:color="auto"/>
        <w:bottom w:val="none" w:sz="0" w:space="0" w:color="auto"/>
        <w:right w:val="none" w:sz="0" w:space="0" w:color="auto"/>
      </w:divBdr>
      <w:divsChild>
        <w:div w:id="1824009051">
          <w:marLeft w:val="0"/>
          <w:marRight w:val="0"/>
          <w:marTop w:val="0"/>
          <w:marBottom w:val="0"/>
          <w:divBdr>
            <w:top w:val="none" w:sz="0" w:space="0" w:color="auto"/>
            <w:left w:val="none" w:sz="0" w:space="0" w:color="auto"/>
            <w:bottom w:val="none" w:sz="0" w:space="0" w:color="auto"/>
            <w:right w:val="none" w:sz="0" w:space="0" w:color="auto"/>
          </w:divBdr>
          <w:divsChild>
            <w:div w:id="827744085">
              <w:marLeft w:val="0"/>
              <w:marRight w:val="0"/>
              <w:marTop w:val="0"/>
              <w:marBottom w:val="0"/>
              <w:divBdr>
                <w:top w:val="none" w:sz="0" w:space="0" w:color="auto"/>
                <w:left w:val="none" w:sz="0" w:space="0" w:color="auto"/>
                <w:bottom w:val="none" w:sz="0" w:space="0" w:color="auto"/>
                <w:right w:val="none" w:sz="0" w:space="0" w:color="auto"/>
              </w:divBdr>
              <w:divsChild>
                <w:div w:id="1418866986">
                  <w:marLeft w:val="0"/>
                  <w:marRight w:val="0"/>
                  <w:marTop w:val="0"/>
                  <w:marBottom w:val="0"/>
                  <w:divBdr>
                    <w:top w:val="none" w:sz="0" w:space="0" w:color="auto"/>
                    <w:left w:val="none" w:sz="0" w:space="0" w:color="auto"/>
                    <w:bottom w:val="none" w:sz="0" w:space="0" w:color="auto"/>
                    <w:right w:val="none" w:sz="0" w:space="0" w:color="auto"/>
                  </w:divBdr>
                  <w:divsChild>
                    <w:div w:id="173881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063888">
      <w:bodyDiv w:val="1"/>
      <w:marLeft w:val="0"/>
      <w:marRight w:val="0"/>
      <w:marTop w:val="0"/>
      <w:marBottom w:val="0"/>
      <w:divBdr>
        <w:top w:val="none" w:sz="0" w:space="0" w:color="auto"/>
        <w:left w:val="none" w:sz="0" w:space="0" w:color="auto"/>
        <w:bottom w:val="none" w:sz="0" w:space="0" w:color="auto"/>
        <w:right w:val="none" w:sz="0" w:space="0" w:color="auto"/>
      </w:divBdr>
    </w:div>
    <w:div w:id="1165632645">
      <w:bodyDiv w:val="1"/>
      <w:marLeft w:val="0"/>
      <w:marRight w:val="0"/>
      <w:marTop w:val="0"/>
      <w:marBottom w:val="0"/>
      <w:divBdr>
        <w:top w:val="none" w:sz="0" w:space="0" w:color="auto"/>
        <w:left w:val="none" w:sz="0" w:space="0" w:color="auto"/>
        <w:bottom w:val="none" w:sz="0" w:space="0" w:color="auto"/>
        <w:right w:val="none" w:sz="0" w:space="0" w:color="auto"/>
      </w:divBdr>
      <w:divsChild>
        <w:div w:id="1036000593">
          <w:marLeft w:val="0"/>
          <w:marRight w:val="0"/>
          <w:marTop w:val="0"/>
          <w:marBottom w:val="0"/>
          <w:divBdr>
            <w:top w:val="none" w:sz="0" w:space="0" w:color="auto"/>
            <w:left w:val="none" w:sz="0" w:space="0" w:color="auto"/>
            <w:bottom w:val="none" w:sz="0" w:space="0" w:color="auto"/>
            <w:right w:val="none" w:sz="0" w:space="0" w:color="auto"/>
          </w:divBdr>
          <w:divsChild>
            <w:div w:id="2142915654">
              <w:marLeft w:val="0"/>
              <w:marRight w:val="0"/>
              <w:marTop w:val="0"/>
              <w:marBottom w:val="0"/>
              <w:divBdr>
                <w:top w:val="none" w:sz="0" w:space="0" w:color="auto"/>
                <w:left w:val="none" w:sz="0" w:space="0" w:color="auto"/>
                <w:bottom w:val="none" w:sz="0" w:space="0" w:color="auto"/>
                <w:right w:val="none" w:sz="0" w:space="0" w:color="auto"/>
              </w:divBdr>
              <w:divsChild>
                <w:div w:id="159659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1211">
      <w:bodyDiv w:val="1"/>
      <w:marLeft w:val="0"/>
      <w:marRight w:val="0"/>
      <w:marTop w:val="0"/>
      <w:marBottom w:val="0"/>
      <w:divBdr>
        <w:top w:val="none" w:sz="0" w:space="0" w:color="auto"/>
        <w:left w:val="none" w:sz="0" w:space="0" w:color="auto"/>
        <w:bottom w:val="none" w:sz="0" w:space="0" w:color="auto"/>
        <w:right w:val="none" w:sz="0" w:space="0" w:color="auto"/>
      </w:divBdr>
      <w:divsChild>
        <w:div w:id="945892574">
          <w:marLeft w:val="0"/>
          <w:marRight w:val="0"/>
          <w:marTop w:val="0"/>
          <w:marBottom w:val="0"/>
          <w:divBdr>
            <w:top w:val="none" w:sz="0" w:space="0" w:color="auto"/>
            <w:left w:val="none" w:sz="0" w:space="0" w:color="auto"/>
            <w:bottom w:val="none" w:sz="0" w:space="0" w:color="auto"/>
            <w:right w:val="none" w:sz="0" w:space="0" w:color="auto"/>
          </w:divBdr>
          <w:divsChild>
            <w:div w:id="579411648">
              <w:marLeft w:val="0"/>
              <w:marRight w:val="0"/>
              <w:marTop w:val="0"/>
              <w:marBottom w:val="0"/>
              <w:divBdr>
                <w:top w:val="none" w:sz="0" w:space="0" w:color="auto"/>
                <w:left w:val="none" w:sz="0" w:space="0" w:color="auto"/>
                <w:bottom w:val="none" w:sz="0" w:space="0" w:color="auto"/>
                <w:right w:val="none" w:sz="0" w:space="0" w:color="auto"/>
              </w:divBdr>
              <w:divsChild>
                <w:div w:id="127089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26946">
      <w:bodyDiv w:val="1"/>
      <w:marLeft w:val="0"/>
      <w:marRight w:val="0"/>
      <w:marTop w:val="0"/>
      <w:marBottom w:val="0"/>
      <w:divBdr>
        <w:top w:val="none" w:sz="0" w:space="0" w:color="auto"/>
        <w:left w:val="none" w:sz="0" w:space="0" w:color="auto"/>
        <w:bottom w:val="none" w:sz="0" w:space="0" w:color="auto"/>
        <w:right w:val="none" w:sz="0" w:space="0" w:color="auto"/>
      </w:divBdr>
      <w:divsChild>
        <w:div w:id="2060282836">
          <w:marLeft w:val="0"/>
          <w:marRight w:val="0"/>
          <w:marTop w:val="0"/>
          <w:marBottom w:val="0"/>
          <w:divBdr>
            <w:top w:val="none" w:sz="0" w:space="0" w:color="auto"/>
            <w:left w:val="none" w:sz="0" w:space="0" w:color="auto"/>
            <w:bottom w:val="none" w:sz="0" w:space="0" w:color="auto"/>
            <w:right w:val="none" w:sz="0" w:space="0" w:color="auto"/>
          </w:divBdr>
          <w:divsChild>
            <w:div w:id="1603487819">
              <w:marLeft w:val="0"/>
              <w:marRight w:val="0"/>
              <w:marTop w:val="0"/>
              <w:marBottom w:val="0"/>
              <w:divBdr>
                <w:top w:val="none" w:sz="0" w:space="0" w:color="auto"/>
                <w:left w:val="none" w:sz="0" w:space="0" w:color="auto"/>
                <w:bottom w:val="none" w:sz="0" w:space="0" w:color="auto"/>
                <w:right w:val="none" w:sz="0" w:space="0" w:color="auto"/>
              </w:divBdr>
              <w:divsChild>
                <w:div w:id="203124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18574">
      <w:bodyDiv w:val="1"/>
      <w:marLeft w:val="0"/>
      <w:marRight w:val="0"/>
      <w:marTop w:val="0"/>
      <w:marBottom w:val="0"/>
      <w:divBdr>
        <w:top w:val="none" w:sz="0" w:space="0" w:color="auto"/>
        <w:left w:val="none" w:sz="0" w:space="0" w:color="auto"/>
        <w:bottom w:val="none" w:sz="0" w:space="0" w:color="auto"/>
        <w:right w:val="none" w:sz="0" w:space="0" w:color="auto"/>
      </w:divBdr>
    </w:div>
    <w:div w:id="1182207157">
      <w:bodyDiv w:val="1"/>
      <w:marLeft w:val="0"/>
      <w:marRight w:val="0"/>
      <w:marTop w:val="0"/>
      <w:marBottom w:val="0"/>
      <w:divBdr>
        <w:top w:val="none" w:sz="0" w:space="0" w:color="auto"/>
        <w:left w:val="none" w:sz="0" w:space="0" w:color="auto"/>
        <w:bottom w:val="none" w:sz="0" w:space="0" w:color="auto"/>
        <w:right w:val="none" w:sz="0" w:space="0" w:color="auto"/>
      </w:divBdr>
    </w:div>
    <w:div w:id="1192501360">
      <w:bodyDiv w:val="1"/>
      <w:marLeft w:val="0"/>
      <w:marRight w:val="0"/>
      <w:marTop w:val="0"/>
      <w:marBottom w:val="0"/>
      <w:divBdr>
        <w:top w:val="none" w:sz="0" w:space="0" w:color="auto"/>
        <w:left w:val="none" w:sz="0" w:space="0" w:color="auto"/>
        <w:bottom w:val="none" w:sz="0" w:space="0" w:color="auto"/>
        <w:right w:val="none" w:sz="0" w:space="0" w:color="auto"/>
      </w:divBdr>
    </w:div>
    <w:div w:id="1195464592">
      <w:bodyDiv w:val="1"/>
      <w:marLeft w:val="0"/>
      <w:marRight w:val="0"/>
      <w:marTop w:val="0"/>
      <w:marBottom w:val="0"/>
      <w:divBdr>
        <w:top w:val="none" w:sz="0" w:space="0" w:color="auto"/>
        <w:left w:val="none" w:sz="0" w:space="0" w:color="auto"/>
        <w:bottom w:val="none" w:sz="0" w:space="0" w:color="auto"/>
        <w:right w:val="none" w:sz="0" w:space="0" w:color="auto"/>
      </w:divBdr>
    </w:div>
    <w:div w:id="1198081862">
      <w:bodyDiv w:val="1"/>
      <w:marLeft w:val="0"/>
      <w:marRight w:val="0"/>
      <w:marTop w:val="0"/>
      <w:marBottom w:val="0"/>
      <w:divBdr>
        <w:top w:val="none" w:sz="0" w:space="0" w:color="auto"/>
        <w:left w:val="none" w:sz="0" w:space="0" w:color="auto"/>
        <w:bottom w:val="none" w:sz="0" w:space="0" w:color="auto"/>
        <w:right w:val="none" w:sz="0" w:space="0" w:color="auto"/>
      </w:divBdr>
      <w:divsChild>
        <w:div w:id="1904096899">
          <w:marLeft w:val="0"/>
          <w:marRight w:val="0"/>
          <w:marTop w:val="0"/>
          <w:marBottom w:val="0"/>
          <w:divBdr>
            <w:top w:val="none" w:sz="0" w:space="0" w:color="auto"/>
            <w:left w:val="none" w:sz="0" w:space="0" w:color="auto"/>
            <w:bottom w:val="none" w:sz="0" w:space="0" w:color="auto"/>
            <w:right w:val="none" w:sz="0" w:space="0" w:color="auto"/>
          </w:divBdr>
          <w:divsChild>
            <w:div w:id="1757826587">
              <w:marLeft w:val="0"/>
              <w:marRight w:val="0"/>
              <w:marTop w:val="0"/>
              <w:marBottom w:val="0"/>
              <w:divBdr>
                <w:top w:val="none" w:sz="0" w:space="0" w:color="auto"/>
                <w:left w:val="none" w:sz="0" w:space="0" w:color="auto"/>
                <w:bottom w:val="none" w:sz="0" w:space="0" w:color="auto"/>
                <w:right w:val="none" w:sz="0" w:space="0" w:color="auto"/>
              </w:divBdr>
              <w:divsChild>
                <w:div w:id="132219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051053">
      <w:bodyDiv w:val="1"/>
      <w:marLeft w:val="0"/>
      <w:marRight w:val="0"/>
      <w:marTop w:val="0"/>
      <w:marBottom w:val="0"/>
      <w:divBdr>
        <w:top w:val="none" w:sz="0" w:space="0" w:color="auto"/>
        <w:left w:val="none" w:sz="0" w:space="0" w:color="auto"/>
        <w:bottom w:val="none" w:sz="0" w:space="0" w:color="auto"/>
        <w:right w:val="none" w:sz="0" w:space="0" w:color="auto"/>
      </w:divBdr>
    </w:div>
    <w:div w:id="1202282548">
      <w:bodyDiv w:val="1"/>
      <w:marLeft w:val="0"/>
      <w:marRight w:val="0"/>
      <w:marTop w:val="0"/>
      <w:marBottom w:val="0"/>
      <w:divBdr>
        <w:top w:val="none" w:sz="0" w:space="0" w:color="auto"/>
        <w:left w:val="none" w:sz="0" w:space="0" w:color="auto"/>
        <w:bottom w:val="none" w:sz="0" w:space="0" w:color="auto"/>
        <w:right w:val="none" w:sz="0" w:space="0" w:color="auto"/>
      </w:divBdr>
      <w:divsChild>
        <w:div w:id="235361504">
          <w:marLeft w:val="0"/>
          <w:marRight w:val="0"/>
          <w:marTop w:val="0"/>
          <w:marBottom w:val="0"/>
          <w:divBdr>
            <w:top w:val="none" w:sz="0" w:space="0" w:color="auto"/>
            <w:left w:val="none" w:sz="0" w:space="0" w:color="auto"/>
            <w:bottom w:val="none" w:sz="0" w:space="0" w:color="auto"/>
            <w:right w:val="none" w:sz="0" w:space="0" w:color="auto"/>
          </w:divBdr>
          <w:divsChild>
            <w:div w:id="1719478505">
              <w:marLeft w:val="0"/>
              <w:marRight w:val="0"/>
              <w:marTop w:val="0"/>
              <w:marBottom w:val="0"/>
              <w:divBdr>
                <w:top w:val="none" w:sz="0" w:space="0" w:color="auto"/>
                <w:left w:val="none" w:sz="0" w:space="0" w:color="auto"/>
                <w:bottom w:val="none" w:sz="0" w:space="0" w:color="auto"/>
                <w:right w:val="none" w:sz="0" w:space="0" w:color="auto"/>
              </w:divBdr>
              <w:divsChild>
                <w:div w:id="425735945">
                  <w:marLeft w:val="0"/>
                  <w:marRight w:val="0"/>
                  <w:marTop w:val="0"/>
                  <w:marBottom w:val="0"/>
                  <w:divBdr>
                    <w:top w:val="none" w:sz="0" w:space="0" w:color="auto"/>
                    <w:left w:val="none" w:sz="0" w:space="0" w:color="auto"/>
                    <w:bottom w:val="none" w:sz="0" w:space="0" w:color="auto"/>
                    <w:right w:val="none" w:sz="0" w:space="0" w:color="auto"/>
                  </w:divBdr>
                  <w:divsChild>
                    <w:div w:id="15422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522134">
      <w:bodyDiv w:val="1"/>
      <w:marLeft w:val="0"/>
      <w:marRight w:val="0"/>
      <w:marTop w:val="0"/>
      <w:marBottom w:val="0"/>
      <w:divBdr>
        <w:top w:val="none" w:sz="0" w:space="0" w:color="auto"/>
        <w:left w:val="none" w:sz="0" w:space="0" w:color="auto"/>
        <w:bottom w:val="none" w:sz="0" w:space="0" w:color="auto"/>
        <w:right w:val="none" w:sz="0" w:space="0" w:color="auto"/>
      </w:divBdr>
      <w:divsChild>
        <w:div w:id="358164998">
          <w:marLeft w:val="0"/>
          <w:marRight w:val="0"/>
          <w:marTop w:val="0"/>
          <w:marBottom w:val="0"/>
          <w:divBdr>
            <w:top w:val="none" w:sz="0" w:space="0" w:color="auto"/>
            <w:left w:val="none" w:sz="0" w:space="0" w:color="auto"/>
            <w:bottom w:val="none" w:sz="0" w:space="0" w:color="auto"/>
            <w:right w:val="none" w:sz="0" w:space="0" w:color="auto"/>
          </w:divBdr>
          <w:divsChild>
            <w:div w:id="2028369045">
              <w:marLeft w:val="0"/>
              <w:marRight w:val="0"/>
              <w:marTop w:val="0"/>
              <w:marBottom w:val="0"/>
              <w:divBdr>
                <w:top w:val="none" w:sz="0" w:space="0" w:color="auto"/>
                <w:left w:val="none" w:sz="0" w:space="0" w:color="auto"/>
                <w:bottom w:val="none" w:sz="0" w:space="0" w:color="auto"/>
                <w:right w:val="none" w:sz="0" w:space="0" w:color="auto"/>
              </w:divBdr>
              <w:divsChild>
                <w:div w:id="174052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217182">
      <w:bodyDiv w:val="1"/>
      <w:marLeft w:val="0"/>
      <w:marRight w:val="0"/>
      <w:marTop w:val="0"/>
      <w:marBottom w:val="0"/>
      <w:divBdr>
        <w:top w:val="none" w:sz="0" w:space="0" w:color="auto"/>
        <w:left w:val="none" w:sz="0" w:space="0" w:color="auto"/>
        <w:bottom w:val="none" w:sz="0" w:space="0" w:color="auto"/>
        <w:right w:val="none" w:sz="0" w:space="0" w:color="auto"/>
      </w:divBdr>
    </w:div>
    <w:div w:id="1216161760">
      <w:bodyDiv w:val="1"/>
      <w:marLeft w:val="0"/>
      <w:marRight w:val="0"/>
      <w:marTop w:val="0"/>
      <w:marBottom w:val="0"/>
      <w:divBdr>
        <w:top w:val="none" w:sz="0" w:space="0" w:color="auto"/>
        <w:left w:val="none" w:sz="0" w:space="0" w:color="auto"/>
        <w:bottom w:val="none" w:sz="0" w:space="0" w:color="auto"/>
        <w:right w:val="none" w:sz="0" w:space="0" w:color="auto"/>
      </w:divBdr>
    </w:div>
    <w:div w:id="1221596691">
      <w:bodyDiv w:val="1"/>
      <w:marLeft w:val="0"/>
      <w:marRight w:val="0"/>
      <w:marTop w:val="0"/>
      <w:marBottom w:val="0"/>
      <w:divBdr>
        <w:top w:val="none" w:sz="0" w:space="0" w:color="auto"/>
        <w:left w:val="none" w:sz="0" w:space="0" w:color="auto"/>
        <w:bottom w:val="none" w:sz="0" w:space="0" w:color="auto"/>
        <w:right w:val="none" w:sz="0" w:space="0" w:color="auto"/>
      </w:divBdr>
    </w:div>
    <w:div w:id="1224870490">
      <w:bodyDiv w:val="1"/>
      <w:marLeft w:val="0"/>
      <w:marRight w:val="0"/>
      <w:marTop w:val="0"/>
      <w:marBottom w:val="0"/>
      <w:divBdr>
        <w:top w:val="none" w:sz="0" w:space="0" w:color="auto"/>
        <w:left w:val="none" w:sz="0" w:space="0" w:color="auto"/>
        <w:bottom w:val="none" w:sz="0" w:space="0" w:color="auto"/>
        <w:right w:val="none" w:sz="0" w:space="0" w:color="auto"/>
      </w:divBdr>
      <w:divsChild>
        <w:div w:id="832065397">
          <w:marLeft w:val="0"/>
          <w:marRight w:val="0"/>
          <w:marTop w:val="0"/>
          <w:marBottom w:val="0"/>
          <w:divBdr>
            <w:top w:val="none" w:sz="0" w:space="0" w:color="auto"/>
            <w:left w:val="none" w:sz="0" w:space="0" w:color="auto"/>
            <w:bottom w:val="none" w:sz="0" w:space="0" w:color="auto"/>
            <w:right w:val="none" w:sz="0" w:space="0" w:color="auto"/>
          </w:divBdr>
          <w:divsChild>
            <w:div w:id="923103755">
              <w:marLeft w:val="0"/>
              <w:marRight w:val="0"/>
              <w:marTop w:val="0"/>
              <w:marBottom w:val="0"/>
              <w:divBdr>
                <w:top w:val="none" w:sz="0" w:space="0" w:color="auto"/>
                <w:left w:val="none" w:sz="0" w:space="0" w:color="auto"/>
                <w:bottom w:val="none" w:sz="0" w:space="0" w:color="auto"/>
                <w:right w:val="none" w:sz="0" w:space="0" w:color="auto"/>
              </w:divBdr>
              <w:divsChild>
                <w:div w:id="74391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95808">
      <w:bodyDiv w:val="1"/>
      <w:marLeft w:val="0"/>
      <w:marRight w:val="0"/>
      <w:marTop w:val="0"/>
      <w:marBottom w:val="0"/>
      <w:divBdr>
        <w:top w:val="none" w:sz="0" w:space="0" w:color="auto"/>
        <w:left w:val="none" w:sz="0" w:space="0" w:color="auto"/>
        <w:bottom w:val="none" w:sz="0" w:space="0" w:color="auto"/>
        <w:right w:val="none" w:sz="0" w:space="0" w:color="auto"/>
      </w:divBdr>
    </w:div>
    <w:div w:id="1256405837">
      <w:bodyDiv w:val="1"/>
      <w:marLeft w:val="0"/>
      <w:marRight w:val="0"/>
      <w:marTop w:val="0"/>
      <w:marBottom w:val="0"/>
      <w:divBdr>
        <w:top w:val="none" w:sz="0" w:space="0" w:color="auto"/>
        <w:left w:val="none" w:sz="0" w:space="0" w:color="auto"/>
        <w:bottom w:val="none" w:sz="0" w:space="0" w:color="auto"/>
        <w:right w:val="none" w:sz="0" w:space="0" w:color="auto"/>
      </w:divBdr>
      <w:divsChild>
        <w:div w:id="2012945105">
          <w:marLeft w:val="0"/>
          <w:marRight w:val="0"/>
          <w:marTop w:val="0"/>
          <w:marBottom w:val="0"/>
          <w:divBdr>
            <w:top w:val="none" w:sz="0" w:space="0" w:color="auto"/>
            <w:left w:val="none" w:sz="0" w:space="0" w:color="auto"/>
            <w:bottom w:val="none" w:sz="0" w:space="0" w:color="auto"/>
            <w:right w:val="none" w:sz="0" w:space="0" w:color="auto"/>
          </w:divBdr>
          <w:divsChild>
            <w:div w:id="1307707209">
              <w:marLeft w:val="0"/>
              <w:marRight w:val="0"/>
              <w:marTop w:val="0"/>
              <w:marBottom w:val="0"/>
              <w:divBdr>
                <w:top w:val="none" w:sz="0" w:space="0" w:color="auto"/>
                <w:left w:val="none" w:sz="0" w:space="0" w:color="auto"/>
                <w:bottom w:val="none" w:sz="0" w:space="0" w:color="auto"/>
                <w:right w:val="none" w:sz="0" w:space="0" w:color="auto"/>
              </w:divBdr>
              <w:divsChild>
                <w:div w:id="26866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550752">
      <w:bodyDiv w:val="1"/>
      <w:marLeft w:val="0"/>
      <w:marRight w:val="0"/>
      <w:marTop w:val="0"/>
      <w:marBottom w:val="0"/>
      <w:divBdr>
        <w:top w:val="none" w:sz="0" w:space="0" w:color="auto"/>
        <w:left w:val="none" w:sz="0" w:space="0" w:color="auto"/>
        <w:bottom w:val="none" w:sz="0" w:space="0" w:color="auto"/>
        <w:right w:val="none" w:sz="0" w:space="0" w:color="auto"/>
      </w:divBdr>
      <w:divsChild>
        <w:div w:id="1338388495">
          <w:marLeft w:val="0"/>
          <w:marRight w:val="0"/>
          <w:marTop w:val="0"/>
          <w:marBottom w:val="0"/>
          <w:divBdr>
            <w:top w:val="none" w:sz="0" w:space="0" w:color="auto"/>
            <w:left w:val="none" w:sz="0" w:space="0" w:color="auto"/>
            <w:bottom w:val="none" w:sz="0" w:space="0" w:color="auto"/>
            <w:right w:val="none" w:sz="0" w:space="0" w:color="auto"/>
          </w:divBdr>
          <w:divsChild>
            <w:div w:id="1726028961">
              <w:marLeft w:val="0"/>
              <w:marRight w:val="0"/>
              <w:marTop w:val="0"/>
              <w:marBottom w:val="0"/>
              <w:divBdr>
                <w:top w:val="none" w:sz="0" w:space="0" w:color="auto"/>
                <w:left w:val="none" w:sz="0" w:space="0" w:color="auto"/>
                <w:bottom w:val="none" w:sz="0" w:space="0" w:color="auto"/>
                <w:right w:val="none" w:sz="0" w:space="0" w:color="auto"/>
              </w:divBdr>
              <w:divsChild>
                <w:div w:id="106406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902571">
      <w:bodyDiv w:val="1"/>
      <w:marLeft w:val="0"/>
      <w:marRight w:val="0"/>
      <w:marTop w:val="0"/>
      <w:marBottom w:val="0"/>
      <w:divBdr>
        <w:top w:val="none" w:sz="0" w:space="0" w:color="auto"/>
        <w:left w:val="none" w:sz="0" w:space="0" w:color="auto"/>
        <w:bottom w:val="none" w:sz="0" w:space="0" w:color="auto"/>
        <w:right w:val="none" w:sz="0" w:space="0" w:color="auto"/>
      </w:divBdr>
      <w:divsChild>
        <w:div w:id="63726918">
          <w:marLeft w:val="0"/>
          <w:marRight w:val="0"/>
          <w:marTop w:val="0"/>
          <w:marBottom w:val="0"/>
          <w:divBdr>
            <w:top w:val="none" w:sz="0" w:space="0" w:color="auto"/>
            <w:left w:val="none" w:sz="0" w:space="0" w:color="auto"/>
            <w:bottom w:val="none" w:sz="0" w:space="0" w:color="auto"/>
            <w:right w:val="none" w:sz="0" w:space="0" w:color="auto"/>
          </w:divBdr>
          <w:divsChild>
            <w:div w:id="695694594">
              <w:marLeft w:val="0"/>
              <w:marRight w:val="0"/>
              <w:marTop w:val="0"/>
              <w:marBottom w:val="0"/>
              <w:divBdr>
                <w:top w:val="none" w:sz="0" w:space="0" w:color="auto"/>
                <w:left w:val="none" w:sz="0" w:space="0" w:color="auto"/>
                <w:bottom w:val="none" w:sz="0" w:space="0" w:color="auto"/>
                <w:right w:val="none" w:sz="0" w:space="0" w:color="auto"/>
              </w:divBdr>
              <w:divsChild>
                <w:div w:id="762458103">
                  <w:marLeft w:val="0"/>
                  <w:marRight w:val="0"/>
                  <w:marTop w:val="0"/>
                  <w:marBottom w:val="0"/>
                  <w:divBdr>
                    <w:top w:val="none" w:sz="0" w:space="0" w:color="auto"/>
                    <w:left w:val="none" w:sz="0" w:space="0" w:color="auto"/>
                    <w:bottom w:val="none" w:sz="0" w:space="0" w:color="auto"/>
                    <w:right w:val="none" w:sz="0" w:space="0" w:color="auto"/>
                  </w:divBdr>
                  <w:divsChild>
                    <w:div w:id="77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723466">
      <w:bodyDiv w:val="1"/>
      <w:marLeft w:val="0"/>
      <w:marRight w:val="0"/>
      <w:marTop w:val="0"/>
      <w:marBottom w:val="0"/>
      <w:divBdr>
        <w:top w:val="none" w:sz="0" w:space="0" w:color="auto"/>
        <w:left w:val="none" w:sz="0" w:space="0" w:color="auto"/>
        <w:bottom w:val="none" w:sz="0" w:space="0" w:color="auto"/>
        <w:right w:val="none" w:sz="0" w:space="0" w:color="auto"/>
      </w:divBdr>
      <w:divsChild>
        <w:div w:id="311569102">
          <w:marLeft w:val="0"/>
          <w:marRight w:val="0"/>
          <w:marTop w:val="0"/>
          <w:marBottom w:val="0"/>
          <w:divBdr>
            <w:top w:val="none" w:sz="0" w:space="0" w:color="auto"/>
            <w:left w:val="none" w:sz="0" w:space="0" w:color="auto"/>
            <w:bottom w:val="none" w:sz="0" w:space="0" w:color="auto"/>
            <w:right w:val="none" w:sz="0" w:space="0" w:color="auto"/>
          </w:divBdr>
          <w:divsChild>
            <w:div w:id="2139493541">
              <w:marLeft w:val="0"/>
              <w:marRight w:val="0"/>
              <w:marTop w:val="0"/>
              <w:marBottom w:val="0"/>
              <w:divBdr>
                <w:top w:val="none" w:sz="0" w:space="0" w:color="auto"/>
                <w:left w:val="none" w:sz="0" w:space="0" w:color="auto"/>
                <w:bottom w:val="none" w:sz="0" w:space="0" w:color="auto"/>
                <w:right w:val="none" w:sz="0" w:space="0" w:color="auto"/>
              </w:divBdr>
              <w:divsChild>
                <w:div w:id="1518812167">
                  <w:marLeft w:val="0"/>
                  <w:marRight w:val="0"/>
                  <w:marTop w:val="0"/>
                  <w:marBottom w:val="0"/>
                  <w:divBdr>
                    <w:top w:val="none" w:sz="0" w:space="0" w:color="auto"/>
                    <w:left w:val="none" w:sz="0" w:space="0" w:color="auto"/>
                    <w:bottom w:val="none" w:sz="0" w:space="0" w:color="auto"/>
                    <w:right w:val="none" w:sz="0" w:space="0" w:color="auto"/>
                  </w:divBdr>
                  <w:divsChild>
                    <w:div w:id="1498155942">
                      <w:marLeft w:val="0"/>
                      <w:marRight w:val="0"/>
                      <w:marTop w:val="0"/>
                      <w:marBottom w:val="0"/>
                      <w:divBdr>
                        <w:top w:val="none" w:sz="0" w:space="0" w:color="auto"/>
                        <w:left w:val="none" w:sz="0" w:space="0" w:color="auto"/>
                        <w:bottom w:val="none" w:sz="0" w:space="0" w:color="auto"/>
                        <w:right w:val="none" w:sz="0" w:space="0" w:color="auto"/>
                      </w:divBdr>
                      <w:divsChild>
                        <w:div w:id="996958143">
                          <w:marLeft w:val="0"/>
                          <w:marRight w:val="0"/>
                          <w:marTop w:val="0"/>
                          <w:marBottom w:val="0"/>
                          <w:divBdr>
                            <w:top w:val="none" w:sz="0" w:space="0" w:color="auto"/>
                            <w:left w:val="none" w:sz="0" w:space="0" w:color="auto"/>
                            <w:bottom w:val="none" w:sz="0" w:space="0" w:color="auto"/>
                            <w:right w:val="none" w:sz="0" w:space="0" w:color="auto"/>
                          </w:divBdr>
                          <w:divsChild>
                            <w:div w:id="1070276772">
                              <w:marLeft w:val="750"/>
                              <w:marRight w:val="0"/>
                              <w:marTop w:val="0"/>
                              <w:marBottom w:val="0"/>
                              <w:divBdr>
                                <w:top w:val="none" w:sz="0" w:space="0" w:color="auto"/>
                                <w:left w:val="none" w:sz="0" w:space="0" w:color="auto"/>
                                <w:bottom w:val="none" w:sz="0" w:space="0" w:color="auto"/>
                                <w:right w:val="none" w:sz="0" w:space="0" w:color="auto"/>
                              </w:divBdr>
                              <w:divsChild>
                                <w:div w:id="1394310234">
                                  <w:marLeft w:val="0"/>
                                  <w:marRight w:val="0"/>
                                  <w:marTop w:val="0"/>
                                  <w:marBottom w:val="0"/>
                                  <w:divBdr>
                                    <w:top w:val="none" w:sz="0" w:space="0" w:color="auto"/>
                                    <w:left w:val="none" w:sz="0" w:space="0" w:color="auto"/>
                                    <w:bottom w:val="none" w:sz="0" w:space="0" w:color="auto"/>
                                    <w:right w:val="none" w:sz="0" w:space="0" w:color="auto"/>
                                  </w:divBdr>
                                  <w:divsChild>
                                    <w:div w:id="877275378">
                                      <w:marLeft w:val="0"/>
                                      <w:marRight w:val="0"/>
                                      <w:marTop w:val="0"/>
                                      <w:marBottom w:val="0"/>
                                      <w:divBdr>
                                        <w:top w:val="none" w:sz="0" w:space="0" w:color="auto"/>
                                        <w:left w:val="none" w:sz="0" w:space="0" w:color="auto"/>
                                        <w:bottom w:val="none" w:sz="0" w:space="0" w:color="auto"/>
                                        <w:right w:val="none" w:sz="0" w:space="0" w:color="auto"/>
                                      </w:divBdr>
                                      <w:divsChild>
                                        <w:div w:id="1807890417">
                                          <w:marLeft w:val="0"/>
                                          <w:marRight w:val="0"/>
                                          <w:marTop w:val="0"/>
                                          <w:marBottom w:val="0"/>
                                          <w:divBdr>
                                            <w:top w:val="none" w:sz="0" w:space="0" w:color="auto"/>
                                            <w:left w:val="none" w:sz="0" w:space="0" w:color="auto"/>
                                            <w:bottom w:val="none" w:sz="0" w:space="0" w:color="auto"/>
                                            <w:right w:val="none" w:sz="0" w:space="0" w:color="auto"/>
                                          </w:divBdr>
                                          <w:divsChild>
                                            <w:div w:id="1903060762">
                                              <w:marLeft w:val="0"/>
                                              <w:marRight w:val="0"/>
                                              <w:marTop w:val="0"/>
                                              <w:marBottom w:val="0"/>
                                              <w:divBdr>
                                                <w:top w:val="none" w:sz="0" w:space="0" w:color="auto"/>
                                                <w:left w:val="none" w:sz="0" w:space="0" w:color="auto"/>
                                                <w:bottom w:val="none" w:sz="0" w:space="0" w:color="auto"/>
                                                <w:right w:val="none" w:sz="0" w:space="0" w:color="auto"/>
                                              </w:divBdr>
                                              <w:divsChild>
                                                <w:div w:id="6845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5810775">
          <w:marLeft w:val="0"/>
          <w:marRight w:val="0"/>
          <w:marTop w:val="0"/>
          <w:marBottom w:val="0"/>
          <w:divBdr>
            <w:top w:val="none" w:sz="0" w:space="0" w:color="auto"/>
            <w:left w:val="none" w:sz="0" w:space="0" w:color="auto"/>
            <w:bottom w:val="none" w:sz="0" w:space="0" w:color="auto"/>
            <w:right w:val="none" w:sz="0" w:space="0" w:color="auto"/>
          </w:divBdr>
          <w:divsChild>
            <w:div w:id="281422759">
              <w:marLeft w:val="0"/>
              <w:marRight w:val="0"/>
              <w:marTop w:val="0"/>
              <w:marBottom w:val="0"/>
              <w:divBdr>
                <w:top w:val="none" w:sz="0" w:space="0" w:color="auto"/>
                <w:left w:val="none" w:sz="0" w:space="0" w:color="auto"/>
                <w:bottom w:val="none" w:sz="0" w:space="0" w:color="auto"/>
                <w:right w:val="none" w:sz="0" w:space="0" w:color="auto"/>
              </w:divBdr>
              <w:divsChild>
                <w:div w:id="837304235">
                  <w:marLeft w:val="0"/>
                  <w:marRight w:val="0"/>
                  <w:marTop w:val="0"/>
                  <w:marBottom w:val="0"/>
                  <w:divBdr>
                    <w:top w:val="none" w:sz="0" w:space="0" w:color="auto"/>
                    <w:left w:val="none" w:sz="0" w:space="0" w:color="auto"/>
                    <w:bottom w:val="none" w:sz="0" w:space="0" w:color="auto"/>
                    <w:right w:val="none" w:sz="0" w:space="0" w:color="auto"/>
                  </w:divBdr>
                  <w:divsChild>
                    <w:div w:id="94598233">
                      <w:marLeft w:val="0"/>
                      <w:marRight w:val="0"/>
                      <w:marTop w:val="0"/>
                      <w:marBottom w:val="0"/>
                      <w:divBdr>
                        <w:top w:val="none" w:sz="0" w:space="0" w:color="auto"/>
                        <w:left w:val="none" w:sz="0" w:space="0" w:color="auto"/>
                        <w:bottom w:val="none" w:sz="0" w:space="0" w:color="auto"/>
                        <w:right w:val="none" w:sz="0" w:space="0" w:color="auto"/>
                      </w:divBdr>
                      <w:divsChild>
                        <w:div w:id="1251505737">
                          <w:marLeft w:val="0"/>
                          <w:marRight w:val="0"/>
                          <w:marTop w:val="0"/>
                          <w:marBottom w:val="0"/>
                          <w:divBdr>
                            <w:top w:val="none" w:sz="0" w:space="0" w:color="auto"/>
                            <w:left w:val="none" w:sz="0" w:space="0" w:color="auto"/>
                            <w:bottom w:val="none" w:sz="0" w:space="0" w:color="auto"/>
                            <w:right w:val="none" w:sz="0" w:space="0" w:color="auto"/>
                          </w:divBdr>
                          <w:divsChild>
                            <w:div w:id="1998419361">
                              <w:marLeft w:val="750"/>
                              <w:marRight w:val="0"/>
                              <w:marTop w:val="0"/>
                              <w:marBottom w:val="0"/>
                              <w:divBdr>
                                <w:top w:val="none" w:sz="0" w:space="0" w:color="auto"/>
                                <w:left w:val="none" w:sz="0" w:space="0" w:color="auto"/>
                                <w:bottom w:val="none" w:sz="0" w:space="0" w:color="auto"/>
                                <w:right w:val="none" w:sz="0" w:space="0" w:color="auto"/>
                              </w:divBdr>
                              <w:divsChild>
                                <w:div w:id="1063484274">
                                  <w:marLeft w:val="0"/>
                                  <w:marRight w:val="0"/>
                                  <w:marTop w:val="0"/>
                                  <w:marBottom w:val="0"/>
                                  <w:divBdr>
                                    <w:top w:val="none" w:sz="0" w:space="0" w:color="auto"/>
                                    <w:left w:val="none" w:sz="0" w:space="0" w:color="auto"/>
                                    <w:bottom w:val="none" w:sz="0" w:space="0" w:color="auto"/>
                                    <w:right w:val="none" w:sz="0" w:space="0" w:color="auto"/>
                                  </w:divBdr>
                                  <w:divsChild>
                                    <w:div w:id="806094269">
                                      <w:marLeft w:val="0"/>
                                      <w:marRight w:val="0"/>
                                      <w:marTop w:val="0"/>
                                      <w:marBottom w:val="0"/>
                                      <w:divBdr>
                                        <w:top w:val="none" w:sz="0" w:space="0" w:color="auto"/>
                                        <w:left w:val="none" w:sz="0" w:space="0" w:color="auto"/>
                                        <w:bottom w:val="none" w:sz="0" w:space="0" w:color="auto"/>
                                        <w:right w:val="none" w:sz="0" w:space="0" w:color="auto"/>
                                      </w:divBdr>
                                      <w:divsChild>
                                        <w:div w:id="929314477">
                                          <w:marLeft w:val="0"/>
                                          <w:marRight w:val="0"/>
                                          <w:marTop w:val="0"/>
                                          <w:marBottom w:val="0"/>
                                          <w:divBdr>
                                            <w:top w:val="none" w:sz="0" w:space="0" w:color="auto"/>
                                            <w:left w:val="none" w:sz="0" w:space="0" w:color="auto"/>
                                            <w:bottom w:val="none" w:sz="0" w:space="0" w:color="auto"/>
                                            <w:right w:val="none" w:sz="0" w:space="0" w:color="auto"/>
                                          </w:divBdr>
                                          <w:divsChild>
                                            <w:div w:id="6812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5576718">
      <w:bodyDiv w:val="1"/>
      <w:marLeft w:val="0"/>
      <w:marRight w:val="0"/>
      <w:marTop w:val="0"/>
      <w:marBottom w:val="0"/>
      <w:divBdr>
        <w:top w:val="none" w:sz="0" w:space="0" w:color="auto"/>
        <w:left w:val="none" w:sz="0" w:space="0" w:color="auto"/>
        <w:bottom w:val="none" w:sz="0" w:space="0" w:color="auto"/>
        <w:right w:val="none" w:sz="0" w:space="0" w:color="auto"/>
      </w:divBdr>
    </w:div>
    <w:div w:id="1268123104">
      <w:bodyDiv w:val="1"/>
      <w:marLeft w:val="0"/>
      <w:marRight w:val="0"/>
      <w:marTop w:val="0"/>
      <w:marBottom w:val="0"/>
      <w:divBdr>
        <w:top w:val="none" w:sz="0" w:space="0" w:color="auto"/>
        <w:left w:val="none" w:sz="0" w:space="0" w:color="auto"/>
        <w:bottom w:val="none" w:sz="0" w:space="0" w:color="auto"/>
        <w:right w:val="none" w:sz="0" w:space="0" w:color="auto"/>
      </w:divBdr>
    </w:div>
    <w:div w:id="1271476567">
      <w:bodyDiv w:val="1"/>
      <w:marLeft w:val="0"/>
      <w:marRight w:val="0"/>
      <w:marTop w:val="0"/>
      <w:marBottom w:val="0"/>
      <w:divBdr>
        <w:top w:val="none" w:sz="0" w:space="0" w:color="auto"/>
        <w:left w:val="none" w:sz="0" w:space="0" w:color="auto"/>
        <w:bottom w:val="none" w:sz="0" w:space="0" w:color="auto"/>
        <w:right w:val="none" w:sz="0" w:space="0" w:color="auto"/>
      </w:divBdr>
    </w:div>
    <w:div w:id="1293511648">
      <w:bodyDiv w:val="1"/>
      <w:marLeft w:val="0"/>
      <w:marRight w:val="0"/>
      <w:marTop w:val="0"/>
      <w:marBottom w:val="0"/>
      <w:divBdr>
        <w:top w:val="none" w:sz="0" w:space="0" w:color="auto"/>
        <w:left w:val="none" w:sz="0" w:space="0" w:color="auto"/>
        <w:bottom w:val="none" w:sz="0" w:space="0" w:color="auto"/>
        <w:right w:val="none" w:sz="0" w:space="0" w:color="auto"/>
      </w:divBdr>
    </w:div>
    <w:div w:id="1294213065">
      <w:bodyDiv w:val="1"/>
      <w:marLeft w:val="0"/>
      <w:marRight w:val="0"/>
      <w:marTop w:val="0"/>
      <w:marBottom w:val="0"/>
      <w:divBdr>
        <w:top w:val="none" w:sz="0" w:space="0" w:color="auto"/>
        <w:left w:val="none" w:sz="0" w:space="0" w:color="auto"/>
        <w:bottom w:val="none" w:sz="0" w:space="0" w:color="auto"/>
        <w:right w:val="none" w:sz="0" w:space="0" w:color="auto"/>
      </w:divBdr>
      <w:divsChild>
        <w:div w:id="1739791107">
          <w:marLeft w:val="0"/>
          <w:marRight w:val="0"/>
          <w:marTop w:val="0"/>
          <w:marBottom w:val="0"/>
          <w:divBdr>
            <w:top w:val="none" w:sz="0" w:space="0" w:color="auto"/>
            <w:left w:val="none" w:sz="0" w:space="0" w:color="auto"/>
            <w:bottom w:val="none" w:sz="0" w:space="0" w:color="auto"/>
            <w:right w:val="none" w:sz="0" w:space="0" w:color="auto"/>
          </w:divBdr>
          <w:divsChild>
            <w:div w:id="39478835">
              <w:marLeft w:val="0"/>
              <w:marRight w:val="0"/>
              <w:marTop w:val="0"/>
              <w:marBottom w:val="0"/>
              <w:divBdr>
                <w:top w:val="none" w:sz="0" w:space="0" w:color="auto"/>
                <w:left w:val="none" w:sz="0" w:space="0" w:color="auto"/>
                <w:bottom w:val="none" w:sz="0" w:space="0" w:color="auto"/>
                <w:right w:val="none" w:sz="0" w:space="0" w:color="auto"/>
              </w:divBdr>
              <w:divsChild>
                <w:div w:id="1455371578">
                  <w:marLeft w:val="0"/>
                  <w:marRight w:val="0"/>
                  <w:marTop w:val="0"/>
                  <w:marBottom w:val="0"/>
                  <w:divBdr>
                    <w:top w:val="none" w:sz="0" w:space="0" w:color="auto"/>
                    <w:left w:val="none" w:sz="0" w:space="0" w:color="auto"/>
                    <w:bottom w:val="none" w:sz="0" w:space="0" w:color="auto"/>
                    <w:right w:val="none" w:sz="0" w:space="0" w:color="auto"/>
                  </w:divBdr>
                </w:div>
              </w:divsChild>
            </w:div>
            <w:div w:id="48967467">
              <w:marLeft w:val="0"/>
              <w:marRight w:val="0"/>
              <w:marTop w:val="0"/>
              <w:marBottom w:val="0"/>
              <w:divBdr>
                <w:top w:val="none" w:sz="0" w:space="0" w:color="auto"/>
                <w:left w:val="none" w:sz="0" w:space="0" w:color="auto"/>
                <w:bottom w:val="none" w:sz="0" w:space="0" w:color="auto"/>
                <w:right w:val="none" w:sz="0" w:space="0" w:color="auto"/>
              </w:divBdr>
              <w:divsChild>
                <w:div w:id="1079516866">
                  <w:marLeft w:val="0"/>
                  <w:marRight w:val="0"/>
                  <w:marTop w:val="0"/>
                  <w:marBottom w:val="0"/>
                  <w:divBdr>
                    <w:top w:val="none" w:sz="0" w:space="0" w:color="auto"/>
                    <w:left w:val="none" w:sz="0" w:space="0" w:color="auto"/>
                    <w:bottom w:val="none" w:sz="0" w:space="0" w:color="auto"/>
                    <w:right w:val="none" w:sz="0" w:space="0" w:color="auto"/>
                  </w:divBdr>
                </w:div>
              </w:divsChild>
            </w:div>
            <w:div w:id="114100979">
              <w:marLeft w:val="0"/>
              <w:marRight w:val="0"/>
              <w:marTop w:val="0"/>
              <w:marBottom w:val="0"/>
              <w:divBdr>
                <w:top w:val="none" w:sz="0" w:space="0" w:color="auto"/>
                <w:left w:val="none" w:sz="0" w:space="0" w:color="auto"/>
                <w:bottom w:val="none" w:sz="0" w:space="0" w:color="auto"/>
                <w:right w:val="none" w:sz="0" w:space="0" w:color="auto"/>
              </w:divBdr>
              <w:divsChild>
                <w:div w:id="94441950">
                  <w:marLeft w:val="0"/>
                  <w:marRight w:val="0"/>
                  <w:marTop w:val="0"/>
                  <w:marBottom w:val="0"/>
                  <w:divBdr>
                    <w:top w:val="none" w:sz="0" w:space="0" w:color="auto"/>
                    <w:left w:val="none" w:sz="0" w:space="0" w:color="auto"/>
                    <w:bottom w:val="none" w:sz="0" w:space="0" w:color="auto"/>
                    <w:right w:val="none" w:sz="0" w:space="0" w:color="auto"/>
                  </w:divBdr>
                </w:div>
              </w:divsChild>
            </w:div>
            <w:div w:id="335577027">
              <w:marLeft w:val="0"/>
              <w:marRight w:val="0"/>
              <w:marTop w:val="0"/>
              <w:marBottom w:val="0"/>
              <w:divBdr>
                <w:top w:val="none" w:sz="0" w:space="0" w:color="auto"/>
                <w:left w:val="none" w:sz="0" w:space="0" w:color="auto"/>
                <w:bottom w:val="none" w:sz="0" w:space="0" w:color="auto"/>
                <w:right w:val="none" w:sz="0" w:space="0" w:color="auto"/>
              </w:divBdr>
              <w:divsChild>
                <w:div w:id="371224414">
                  <w:marLeft w:val="0"/>
                  <w:marRight w:val="0"/>
                  <w:marTop w:val="0"/>
                  <w:marBottom w:val="0"/>
                  <w:divBdr>
                    <w:top w:val="none" w:sz="0" w:space="0" w:color="auto"/>
                    <w:left w:val="none" w:sz="0" w:space="0" w:color="auto"/>
                    <w:bottom w:val="none" w:sz="0" w:space="0" w:color="auto"/>
                    <w:right w:val="none" w:sz="0" w:space="0" w:color="auto"/>
                  </w:divBdr>
                </w:div>
              </w:divsChild>
            </w:div>
            <w:div w:id="365957798">
              <w:marLeft w:val="0"/>
              <w:marRight w:val="0"/>
              <w:marTop w:val="0"/>
              <w:marBottom w:val="0"/>
              <w:divBdr>
                <w:top w:val="none" w:sz="0" w:space="0" w:color="auto"/>
                <w:left w:val="none" w:sz="0" w:space="0" w:color="auto"/>
                <w:bottom w:val="none" w:sz="0" w:space="0" w:color="auto"/>
                <w:right w:val="none" w:sz="0" w:space="0" w:color="auto"/>
              </w:divBdr>
              <w:divsChild>
                <w:div w:id="208955567">
                  <w:marLeft w:val="0"/>
                  <w:marRight w:val="0"/>
                  <w:marTop w:val="0"/>
                  <w:marBottom w:val="0"/>
                  <w:divBdr>
                    <w:top w:val="none" w:sz="0" w:space="0" w:color="auto"/>
                    <w:left w:val="none" w:sz="0" w:space="0" w:color="auto"/>
                    <w:bottom w:val="none" w:sz="0" w:space="0" w:color="auto"/>
                    <w:right w:val="none" w:sz="0" w:space="0" w:color="auto"/>
                  </w:divBdr>
                </w:div>
              </w:divsChild>
            </w:div>
            <w:div w:id="582109253">
              <w:marLeft w:val="0"/>
              <w:marRight w:val="0"/>
              <w:marTop w:val="0"/>
              <w:marBottom w:val="0"/>
              <w:divBdr>
                <w:top w:val="none" w:sz="0" w:space="0" w:color="auto"/>
                <w:left w:val="none" w:sz="0" w:space="0" w:color="auto"/>
                <w:bottom w:val="none" w:sz="0" w:space="0" w:color="auto"/>
                <w:right w:val="none" w:sz="0" w:space="0" w:color="auto"/>
              </w:divBdr>
              <w:divsChild>
                <w:div w:id="278294927">
                  <w:marLeft w:val="0"/>
                  <w:marRight w:val="0"/>
                  <w:marTop w:val="0"/>
                  <w:marBottom w:val="0"/>
                  <w:divBdr>
                    <w:top w:val="none" w:sz="0" w:space="0" w:color="auto"/>
                    <w:left w:val="none" w:sz="0" w:space="0" w:color="auto"/>
                    <w:bottom w:val="none" w:sz="0" w:space="0" w:color="auto"/>
                    <w:right w:val="none" w:sz="0" w:space="0" w:color="auto"/>
                  </w:divBdr>
                </w:div>
              </w:divsChild>
            </w:div>
            <w:div w:id="737172311">
              <w:marLeft w:val="0"/>
              <w:marRight w:val="0"/>
              <w:marTop w:val="0"/>
              <w:marBottom w:val="0"/>
              <w:divBdr>
                <w:top w:val="none" w:sz="0" w:space="0" w:color="auto"/>
                <w:left w:val="none" w:sz="0" w:space="0" w:color="auto"/>
                <w:bottom w:val="none" w:sz="0" w:space="0" w:color="auto"/>
                <w:right w:val="none" w:sz="0" w:space="0" w:color="auto"/>
              </w:divBdr>
              <w:divsChild>
                <w:div w:id="533426655">
                  <w:marLeft w:val="0"/>
                  <w:marRight w:val="0"/>
                  <w:marTop w:val="0"/>
                  <w:marBottom w:val="0"/>
                  <w:divBdr>
                    <w:top w:val="none" w:sz="0" w:space="0" w:color="auto"/>
                    <w:left w:val="none" w:sz="0" w:space="0" w:color="auto"/>
                    <w:bottom w:val="none" w:sz="0" w:space="0" w:color="auto"/>
                    <w:right w:val="none" w:sz="0" w:space="0" w:color="auto"/>
                  </w:divBdr>
                </w:div>
              </w:divsChild>
            </w:div>
            <w:div w:id="844633875">
              <w:marLeft w:val="0"/>
              <w:marRight w:val="0"/>
              <w:marTop w:val="0"/>
              <w:marBottom w:val="0"/>
              <w:divBdr>
                <w:top w:val="none" w:sz="0" w:space="0" w:color="auto"/>
                <w:left w:val="none" w:sz="0" w:space="0" w:color="auto"/>
                <w:bottom w:val="none" w:sz="0" w:space="0" w:color="auto"/>
                <w:right w:val="none" w:sz="0" w:space="0" w:color="auto"/>
              </w:divBdr>
              <w:divsChild>
                <w:div w:id="2069065984">
                  <w:marLeft w:val="0"/>
                  <w:marRight w:val="0"/>
                  <w:marTop w:val="0"/>
                  <w:marBottom w:val="0"/>
                  <w:divBdr>
                    <w:top w:val="none" w:sz="0" w:space="0" w:color="auto"/>
                    <w:left w:val="none" w:sz="0" w:space="0" w:color="auto"/>
                    <w:bottom w:val="none" w:sz="0" w:space="0" w:color="auto"/>
                    <w:right w:val="none" w:sz="0" w:space="0" w:color="auto"/>
                  </w:divBdr>
                </w:div>
              </w:divsChild>
            </w:div>
            <w:div w:id="1142310294">
              <w:marLeft w:val="0"/>
              <w:marRight w:val="0"/>
              <w:marTop w:val="0"/>
              <w:marBottom w:val="0"/>
              <w:divBdr>
                <w:top w:val="none" w:sz="0" w:space="0" w:color="auto"/>
                <w:left w:val="none" w:sz="0" w:space="0" w:color="auto"/>
                <w:bottom w:val="none" w:sz="0" w:space="0" w:color="auto"/>
                <w:right w:val="none" w:sz="0" w:space="0" w:color="auto"/>
              </w:divBdr>
              <w:divsChild>
                <w:div w:id="49620519">
                  <w:marLeft w:val="0"/>
                  <w:marRight w:val="0"/>
                  <w:marTop w:val="0"/>
                  <w:marBottom w:val="0"/>
                  <w:divBdr>
                    <w:top w:val="none" w:sz="0" w:space="0" w:color="auto"/>
                    <w:left w:val="none" w:sz="0" w:space="0" w:color="auto"/>
                    <w:bottom w:val="none" w:sz="0" w:space="0" w:color="auto"/>
                    <w:right w:val="none" w:sz="0" w:space="0" w:color="auto"/>
                  </w:divBdr>
                </w:div>
              </w:divsChild>
            </w:div>
            <w:div w:id="1337459902">
              <w:marLeft w:val="0"/>
              <w:marRight w:val="0"/>
              <w:marTop w:val="0"/>
              <w:marBottom w:val="0"/>
              <w:divBdr>
                <w:top w:val="none" w:sz="0" w:space="0" w:color="auto"/>
                <w:left w:val="none" w:sz="0" w:space="0" w:color="auto"/>
                <w:bottom w:val="none" w:sz="0" w:space="0" w:color="auto"/>
                <w:right w:val="none" w:sz="0" w:space="0" w:color="auto"/>
              </w:divBdr>
              <w:divsChild>
                <w:div w:id="989677318">
                  <w:marLeft w:val="0"/>
                  <w:marRight w:val="0"/>
                  <w:marTop w:val="0"/>
                  <w:marBottom w:val="0"/>
                  <w:divBdr>
                    <w:top w:val="none" w:sz="0" w:space="0" w:color="auto"/>
                    <w:left w:val="none" w:sz="0" w:space="0" w:color="auto"/>
                    <w:bottom w:val="none" w:sz="0" w:space="0" w:color="auto"/>
                    <w:right w:val="none" w:sz="0" w:space="0" w:color="auto"/>
                  </w:divBdr>
                </w:div>
              </w:divsChild>
            </w:div>
            <w:div w:id="1522889056">
              <w:marLeft w:val="0"/>
              <w:marRight w:val="0"/>
              <w:marTop w:val="0"/>
              <w:marBottom w:val="0"/>
              <w:divBdr>
                <w:top w:val="none" w:sz="0" w:space="0" w:color="auto"/>
                <w:left w:val="none" w:sz="0" w:space="0" w:color="auto"/>
                <w:bottom w:val="none" w:sz="0" w:space="0" w:color="auto"/>
                <w:right w:val="none" w:sz="0" w:space="0" w:color="auto"/>
              </w:divBdr>
              <w:divsChild>
                <w:div w:id="853303442">
                  <w:marLeft w:val="0"/>
                  <w:marRight w:val="0"/>
                  <w:marTop w:val="0"/>
                  <w:marBottom w:val="0"/>
                  <w:divBdr>
                    <w:top w:val="none" w:sz="0" w:space="0" w:color="auto"/>
                    <w:left w:val="none" w:sz="0" w:space="0" w:color="auto"/>
                    <w:bottom w:val="none" w:sz="0" w:space="0" w:color="auto"/>
                    <w:right w:val="none" w:sz="0" w:space="0" w:color="auto"/>
                  </w:divBdr>
                </w:div>
              </w:divsChild>
            </w:div>
            <w:div w:id="1550535365">
              <w:marLeft w:val="0"/>
              <w:marRight w:val="0"/>
              <w:marTop w:val="0"/>
              <w:marBottom w:val="0"/>
              <w:divBdr>
                <w:top w:val="none" w:sz="0" w:space="0" w:color="auto"/>
                <w:left w:val="none" w:sz="0" w:space="0" w:color="auto"/>
                <w:bottom w:val="none" w:sz="0" w:space="0" w:color="auto"/>
                <w:right w:val="none" w:sz="0" w:space="0" w:color="auto"/>
              </w:divBdr>
              <w:divsChild>
                <w:div w:id="740249541">
                  <w:marLeft w:val="0"/>
                  <w:marRight w:val="0"/>
                  <w:marTop w:val="0"/>
                  <w:marBottom w:val="0"/>
                  <w:divBdr>
                    <w:top w:val="none" w:sz="0" w:space="0" w:color="auto"/>
                    <w:left w:val="none" w:sz="0" w:space="0" w:color="auto"/>
                    <w:bottom w:val="none" w:sz="0" w:space="0" w:color="auto"/>
                    <w:right w:val="none" w:sz="0" w:space="0" w:color="auto"/>
                  </w:divBdr>
                </w:div>
              </w:divsChild>
            </w:div>
            <w:div w:id="1692533237">
              <w:marLeft w:val="0"/>
              <w:marRight w:val="0"/>
              <w:marTop w:val="0"/>
              <w:marBottom w:val="0"/>
              <w:divBdr>
                <w:top w:val="none" w:sz="0" w:space="0" w:color="auto"/>
                <w:left w:val="none" w:sz="0" w:space="0" w:color="auto"/>
                <w:bottom w:val="none" w:sz="0" w:space="0" w:color="auto"/>
                <w:right w:val="none" w:sz="0" w:space="0" w:color="auto"/>
              </w:divBdr>
              <w:divsChild>
                <w:div w:id="315963218">
                  <w:marLeft w:val="0"/>
                  <w:marRight w:val="0"/>
                  <w:marTop w:val="0"/>
                  <w:marBottom w:val="0"/>
                  <w:divBdr>
                    <w:top w:val="none" w:sz="0" w:space="0" w:color="auto"/>
                    <w:left w:val="none" w:sz="0" w:space="0" w:color="auto"/>
                    <w:bottom w:val="none" w:sz="0" w:space="0" w:color="auto"/>
                    <w:right w:val="none" w:sz="0" w:space="0" w:color="auto"/>
                  </w:divBdr>
                </w:div>
              </w:divsChild>
            </w:div>
            <w:div w:id="1776709209">
              <w:marLeft w:val="0"/>
              <w:marRight w:val="0"/>
              <w:marTop w:val="0"/>
              <w:marBottom w:val="0"/>
              <w:divBdr>
                <w:top w:val="none" w:sz="0" w:space="0" w:color="auto"/>
                <w:left w:val="none" w:sz="0" w:space="0" w:color="auto"/>
                <w:bottom w:val="none" w:sz="0" w:space="0" w:color="auto"/>
                <w:right w:val="none" w:sz="0" w:space="0" w:color="auto"/>
              </w:divBdr>
              <w:divsChild>
                <w:div w:id="1791701875">
                  <w:marLeft w:val="0"/>
                  <w:marRight w:val="0"/>
                  <w:marTop w:val="0"/>
                  <w:marBottom w:val="0"/>
                  <w:divBdr>
                    <w:top w:val="none" w:sz="0" w:space="0" w:color="auto"/>
                    <w:left w:val="none" w:sz="0" w:space="0" w:color="auto"/>
                    <w:bottom w:val="none" w:sz="0" w:space="0" w:color="auto"/>
                    <w:right w:val="none" w:sz="0" w:space="0" w:color="auto"/>
                  </w:divBdr>
                </w:div>
              </w:divsChild>
            </w:div>
            <w:div w:id="1861428835">
              <w:marLeft w:val="0"/>
              <w:marRight w:val="0"/>
              <w:marTop w:val="0"/>
              <w:marBottom w:val="0"/>
              <w:divBdr>
                <w:top w:val="none" w:sz="0" w:space="0" w:color="auto"/>
                <w:left w:val="none" w:sz="0" w:space="0" w:color="auto"/>
                <w:bottom w:val="none" w:sz="0" w:space="0" w:color="auto"/>
                <w:right w:val="none" w:sz="0" w:space="0" w:color="auto"/>
              </w:divBdr>
              <w:divsChild>
                <w:div w:id="1402606376">
                  <w:marLeft w:val="0"/>
                  <w:marRight w:val="0"/>
                  <w:marTop w:val="0"/>
                  <w:marBottom w:val="0"/>
                  <w:divBdr>
                    <w:top w:val="none" w:sz="0" w:space="0" w:color="auto"/>
                    <w:left w:val="none" w:sz="0" w:space="0" w:color="auto"/>
                    <w:bottom w:val="none" w:sz="0" w:space="0" w:color="auto"/>
                    <w:right w:val="none" w:sz="0" w:space="0" w:color="auto"/>
                  </w:divBdr>
                </w:div>
              </w:divsChild>
            </w:div>
            <w:div w:id="1913345765">
              <w:marLeft w:val="0"/>
              <w:marRight w:val="0"/>
              <w:marTop w:val="0"/>
              <w:marBottom w:val="0"/>
              <w:divBdr>
                <w:top w:val="none" w:sz="0" w:space="0" w:color="auto"/>
                <w:left w:val="none" w:sz="0" w:space="0" w:color="auto"/>
                <w:bottom w:val="none" w:sz="0" w:space="0" w:color="auto"/>
                <w:right w:val="none" w:sz="0" w:space="0" w:color="auto"/>
              </w:divBdr>
              <w:divsChild>
                <w:div w:id="165443755">
                  <w:marLeft w:val="0"/>
                  <w:marRight w:val="0"/>
                  <w:marTop w:val="0"/>
                  <w:marBottom w:val="0"/>
                  <w:divBdr>
                    <w:top w:val="none" w:sz="0" w:space="0" w:color="auto"/>
                    <w:left w:val="none" w:sz="0" w:space="0" w:color="auto"/>
                    <w:bottom w:val="none" w:sz="0" w:space="0" w:color="auto"/>
                    <w:right w:val="none" w:sz="0" w:space="0" w:color="auto"/>
                  </w:divBdr>
                </w:div>
              </w:divsChild>
            </w:div>
            <w:div w:id="1928685621">
              <w:marLeft w:val="0"/>
              <w:marRight w:val="0"/>
              <w:marTop w:val="0"/>
              <w:marBottom w:val="0"/>
              <w:divBdr>
                <w:top w:val="none" w:sz="0" w:space="0" w:color="auto"/>
                <w:left w:val="none" w:sz="0" w:space="0" w:color="auto"/>
                <w:bottom w:val="none" w:sz="0" w:space="0" w:color="auto"/>
                <w:right w:val="none" w:sz="0" w:space="0" w:color="auto"/>
              </w:divBdr>
              <w:divsChild>
                <w:div w:id="139659401">
                  <w:marLeft w:val="0"/>
                  <w:marRight w:val="0"/>
                  <w:marTop w:val="0"/>
                  <w:marBottom w:val="0"/>
                  <w:divBdr>
                    <w:top w:val="none" w:sz="0" w:space="0" w:color="auto"/>
                    <w:left w:val="none" w:sz="0" w:space="0" w:color="auto"/>
                    <w:bottom w:val="none" w:sz="0" w:space="0" w:color="auto"/>
                    <w:right w:val="none" w:sz="0" w:space="0" w:color="auto"/>
                  </w:divBdr>
                </w:div>
              </w:divsChild>
            </w:div>
            <w:div w:id="2015525694">
              <w:marLeft w:val="0"/>
              <w:marRight w:val="0"/>
              <w:marTop w:val="0"/>
              <w:marBottom w:val="0"/>
              <w:divBdr>
                <w:top w:val="none" w:sz="0" w:space="0" w:color="auto"/>
                <w:left w:val="none" w:sz="0" w:space="0" w:color="auto"/>
                <w:bottom w:val="none" w:sz="0" w:space="0" w:color="auto"/>
                <w:right w:val="none" w:sz="0" w:space="0" w:color="auto"/>
              </w:divBdr>
              <w:divsChild>
                <w:div w:id="117532649">
                  <w:marLeft w:val="0"/>
                  <w:marRight w:val="0"/>
                  <w:marTop w:val="0"/>
                  <w:marBottom w:val="0"/>
                  <w:divBdr>
                    <w:top w:val="none" w:sz="0" w:space="0" w:color="auto"/>
                    <w:left w:val="none" w:sz="0" w:space="0" w:color="auto"/>
                    <w:bottom w:val="none" w:sz="0" w:space="0" w:color="auto"/>
                    <w:right w:val="none" w:sz="0" w:space="0" w:color="auto"/>
                  </w:divBdr>
                </w:div>
              </w:divsChild>
            </w:div>
            <w:div w:id="2034453868">
              <w:marLeft w:val="0"/>
              <w:marRight w:val="0"/>
              <w:marTop w:val="0"/>
              <w:marBottom w:val="0"/>
              <w:divBdr>
                <w:top w:val="none" w:sz="0" w:space="0" w:color="auto"/>
                <w:left w:val="none" w:sz="0" w:space="0" w:color="auto"/>
                <w:bottom w:val="none" w:sz="0" w:space="0" w:color="auto"/>
                <w:right w:val="none" w:sz="0" w:space="0" w:color="auto"/>
              </w:divBdr>
              <w:divsChild>
                <w:div w:id="1495562729">
                  <w:marLeft w:val="0"/>
                  <w:marRight w:val="0"/>
                  <w:marTop w:val="0"/>
                  <w:marBottom w:val="0"/>
                  <w:divBdr>
                    <w:top w:val="none" w:sz="0" w:space="0" w:color="auto"/>
                    <w:left w:val="none" w:sz="0" w:space="0" w:color="auto"/>
                    <w:bottom w:val="none" w:sz="0" w:space="0" w:color="auto"/>
                    <w:right w:val="none" w:sz="0" w:space="0" w:color="auto"/>
                  </w:divBdr>
                </w:div>
              </w:divsChild>
            </w:div>
            <w:div w:id="2059935895">
              <w:marLeft w:val="0"/>
              <w:marRight w:val="0"/>
              <w:marTop w:val="0"/>
              <w:marBottom w:val="0"/>
              <w:divBdr>
                <w:top w:val="none" w:sz="0" w:space="0" w:color="auto"/>
                <w:left w:val="none" w:sz="0" w:space="0" w:color="auto"/>
                <w:bottom w:val="none" w:sz="0" w:space="0" w:color="auto"/>
                <w:right w:val="none" w:sz="0" w:space="0" w:color="auto"/>
              </w:divBdr>
              <w:divsChild>
                <w:div w:id="77949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799969">
      <w:bodyDiv w:val="1"/>
      <w:marLeft w:val="0"/>
      <w:marRight w:val="0"/>
      <w:marTop w:val="0"/>
      <w:marBottom w:val="0"/>
      <w:divBdr>
        <w:top w:val="none" w:sz="0" w:space="0" w:color="auto"/>
        <w:left w:val="none" w:sz="0" w:space="0" w:color="auto"/>
        <w:bottom w:val="none" w:sz="0" w:space="0" w:color="auto"/>
        <w:right w:val="none" w:sz="0" w:space="0" w:color="auto"/>
      </w:divBdr>
    </w:div>
    <w:div w:id="1304695991">
      <w:bodyDiv w:val="1"/>
      <w:marLeft w:val="0"/>
      <w:marRight w:val="0"/>
      <w:marTop w:val="0"/>
      <w:marBottom w:val="0"/>
      <w:divBdr>
        <w:top w:val="none" w:sz="0" w:space="0" w:color="auto"/>
        <w:left w:val="none" w:sz="0" w:space="0" w:color="auto"/>
        <w:bottom w:val="none" w:sz="0" w:space="0" w:color="auto"/>
        <w:right w:val="none" w:sz="0" w:space="0" w:color="auto"/>
      </w:divBdr>
    </w:div>
    <w:div w:id="1308627782">
      <w:bodyDiv w:val="1"/>
      <w:marLeft w:val="0"/>
      <w:marRight w:val="0"/>
      <w:marTop w:val="0"/>
      <w:marBottom w:val="0"/>
      <w:divBdr>
        <w:top w:val="none" w:sz="0" w:space="0" w:color="auto"/>
        <w:left w:val="none" w:sz="0" w:space="0" w:color="auto"/>
        <w:bottom w:val="none" w:sz="0" w:space="0" w:color="auto"/>
        <w:right w:val="none" w:sz="0" w:space="0" w:color="auto"/>
      </w:divBdr>
      <w:divsChild>
        <w:div w:id="463549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2628932">
              <w:marLeft w:val="0"/>
              <w:marRight w:val="0"/>
              <w:marTop w:val="0"/>
              <w:marBottom w:val="0"/>
              <w:divBdr>
                <w:top w:val="none" w:sz="0" w:space="0" w:color="auto"/>
                <w:left w:val="none" w:sz="0" w:space="0" w:color="auto"/>
                <w:bottom w:val="none" w:sz="0" w:space="0" w:color="auto"/>
                <w:right w:val="none" w:sz="0" w:space="0" w:color="auto"/>
              </w:divBdr>
              <w:divsChild>
                <w:div w:id="1917013053">
                  <w:marLeft w:val="0"/>
                  <w:marRight w:val="0"/>
                  <w:marTop w:val="0"/>
                  <w:marBottom w:val="0"/>
                  <w:divBdr>
                    <w:top w:val="none" w:sz="0" w:space="0" w:color="auto"/>
                    <w:left w:val="none" w:sz="0" w:space="0" w:color="auto"/>
                    <w:bottom w:val="none" w:sz="0" w:space="0" w:color="auto"/>
                    <w:right w:val="none" w:sz="0" w:space="0" w:color="auto"/>
                  </w:divBdr>
                  <w:divsChild>
                    <w:div w:id="210144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359012">
      <w:bodyDiv w:val="1"/>
      <w:marLeft w:val="0"/>
      <w:marRight w:val="0"/>
      <w:marTop w:val="0"/>
      <w:marBottom w:val="0"/>
      <w:divBdr>
        <w:top w:val="none" w:sz="0" w:space="0" w:color="auto"/>
        <w:left w:val="none" w:sz="0" w:space="0" w:color="auto"/>
        <w:bottom w:val="none" w:sz="0" w:space="0" w:color="auto"/>
        <w:right w:val="none" w:sz="0" w:space="0" w:color="auto"/>
      </w:divBdr>
    </w:div>
    <w:div w:id="1330252618">
      <w:bodyDiv w:val="1"/>
      <w:marLeft w:val="0"/>
      <w:marRight w:val="0"/>
      <w:marTop w:val="0"/>
      <w:marBottom w:val="0"/>
      <w:divBdr>
        <w:top w:val="none" w:sz="0" w:space="0" w:color="auto"/>
        <w:left w:val="none" w:sz="0" w:space="0" w:color="auto"/>
        <w:bottom w:val="none" w:sz="0" w:space="0" w:color="auto"/>
        <w:right w:val="none" w:sz="0" w:space="0" w:color="auto"/>
      </w:divBdr>
      <w:divsChild>
        <w:div w:id="730733863">
          <w:marLeft w:val="0"/>
          <w:marRight w:val="0"/>
          <w:marTop w:val="0"/>
          <w:marBottom w:val="0"/>
          <w:divBdr>
            <w:top w:val="none" w:sz="0" w:space="0" w:color="auto"/>
            <w:left w:val="none" w:sz="0" w:space="0" w:color="auto"/>
            <w:bottom w:val="none" w:sz="0" w:space="0" w:color="auto"/>
            <w:right w:val="none" w:sz="0" w:space="0" w:color="auto"/>
          </w:divBdr>
        </w:div>
        <w:div w:id="1143963633">
          <w:marLeft w:val="0"/>
          <w:marRight w:val="0"/>
          <w:marTop w:val="0"/>
          <w:marBottom w:val="0"/>
          <w:divBdr>
            <w:top w:val="none" w:sz="0" w:space="0" w:color="auto"/>
            <w:left w:val="none" w:sz="0" w:space="0" w:color="auto"/>
            <w:bottom w:val="none" w:sz="0" w:space="0" w:color="auto"/>
            <w:right w:val="none" w:sz="0" w:space="0" w:color="auto"/>
          </w:divBdr>
        </w:div>
        <w:div w:id="1938708558">
          <w:marLeft w:val="0"/>
          <w:marRight w:val="0"/>
          <w:marTop w:val="0"/>
          <w:marBottom w:val="0"/>
          <w:divBdr>
            <w:top w:val="none" w:sz="0" w:space="0" w:color="auto"/>
            <w:left w:val="none" w:sz="0" w:space="0" w:color="auto"/>
            <w:bottom w:val="none" w:sz="0" w:space="0" w:color="auto"/>
            <w:right w:val="none" w:sz="0" w:space="0" w:color="auto"/>
          </w:divBdr>
        </w:div>
        <w:div w:id="2057003063">
          <w:marLeft w:val="0"/>
          <w:marRight w:val="0"/>
          <w:marTop w:val="0"/>
          <w:marBottom w:val="0"/>
          <w:divBdr>
            <w:top w:val="none" w:sz="0" w:space="0" w:color="auto"/>
            <w:left w:val="none" w:sz="0" w:space="0" w:color="auto"/>
            <w:bottom w:val="none" w:sz="0" w:space="0" w:color="auto"/>
            <w:right w:val="none" w:sz="0" w:space="0" w:color="auto"/>
          </w:divBdr>
        </w:div>
        <w:div w:id="2135903302">
          <w:marLeft w:val="0"/>
          <w:marRight w:val="0"/>
          <w:marTop w:val="0"/>
          <w:marBottom w:val="0"/>
          <w:divBdr>
            <w:top w:val="none" w:sz="0" w:space="0" w:color="auto"/>
            <w:left w:val="none" w:sz="0" w:space="0" w:color="auto"/>
            <w:bottom w:val="none" w:sz="0" w:space="0" w:color="auto"/>
            <w:right w:val="none" w:sz="0" w:space="0" w:color="auto"/>
          </w:divBdr>
        </w:div>
      </w:divsChild>
    </w:div>
    <w:div w:id="1337077465">
      <w:bodyDiv w:val="1"/>
      <w:marLeft w:val="0"/>
      <w:marRight w:val="0"/>
      <w:marTop w:val="0"/>
      <w:marBottom w:val="0"/>
      <w:divBdr>
        <w:top w:val="none" w:sz="0" w:space="0" w:color="auto"/>
        <w:left w:val="none" w:sz="0" w:space="0" w:color="auto"/>
        <w:bottom w:val="none" w:sz="0" w:space="0" w:color="auto"/>
        <w:right w:val="none" w:sz="0" w:space="0" w:color="auto"/>
      </w:divBdr>
      <w:divsChild>
        <w:div w:id="362022788">
          <w:marLeft w:val="0"/>
          <w:marRight w:val="0"/>
          <w:marTop w:val="0"/>
          <w:marBottom w:val="0"/>
          <w:divBdr>
            <w:top w:val="none" w:sz="0" w:space="0" w:color="auto"/>
            <w:left w:val="none" w:sz="0" w:space="0" w:color="auto"/>
            <w:bottom w:val="none" w:sz="0" w:space="0" w:color="auto"/>
            <w:right w:val="none" w:sz="0" w:space="0" w:color="auto"/>
          </w:divBdr>
          <w:divsChild>
            <w:div w:id="1800948418">
              <w:marLeft w:val="0"/>
              <w:marRight w:val="0"/>
              <w:marTop w:val="0"/>
              <w:marBottom w:val="0"/>
              <w:divBdr>
                <w:top w:val="none" w:sz="0" w:space="0" w:color="auto"/>
                <w:left w:val="none" w:sz="0" w:space="0" w:color="auto"/>
                <w:bottom w:val="none" w:sz="0" w:space="0" w:color="auto"/>
                <w:right w:val="none" w:sz="0" w:space="0" w:color="auto"/>
              </w:divBdr>
              <w:divsChild>
                <w:div w:id="113236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804434">
      <w:bodyDiv w:val="1"/>
      <w:marLeft w:val="0"/>
      <w:marRight w:val="0"/>
      <w:marTop w:val="0"/>
      <w:marBottom w:val="0"/>
      <w:divBdr>
        <w:top w:val="none" w:sz="0" w:space="0" w:color="auto"/>
        <w:left w:val="none" w:sz="0" w:space="0" w:color="auto"/>
        <w:bottom w:val="none" w:sz="0" w:space="0" w:color="auto"/>
        <w:right w:val="none" w:sz="0" w:space="0" w:color="auto"/>
      </w:divBdr>
      <w:divsChild>
        <w:div w:id="1026295233">
          <w:marLeft w:val="0"/>
          <w:marRight w:val="0"/>
          <w:marTop w:val="0"/>
          <w:marBottom w:val="0"/>
          <w:divBdr>
            <w:top w:val="none" w:sz="0" w:space="0" w:color="auto"/>
            <w:left w:val="none" w:sz="0" w:space="0" w:color="auto"/>
            <w:bottom w:val="none" w:sz="0" w:space="0" w:color="auto"/>
            <w:right w:val="none" w:sz="0" w:space="0" w:color="auto"/>
          </w:divBdr>
          <w:divsChild>
            <w:div w:id="388119264">
              <w:marLeft w:val="0"/>
              <w:marRight w:val="0"/>
              <w:marTop w:val="0"/>
              <w:marBottom w:val="0"/>
              <w:divBdr>
                <w:top w:val="none" w:sz="0" w:space="0" w:color="auto"/>
                <w:left w:val="none" w:sz="0" w:space="0" w:color="auto"/>
                <w:bottom w:val="none" w:sz="0" w:space="0" w:color="auto"/>
                <w:right w:val="none" w:sz="0" w:space="0" w:color="auto"/>
              </w:divBdr>
              <w:divsChild>
                <w:div w:id="51657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57255">
      <w:bodyDiv w:val="1"/>
      <w:marLeft w:val="0"/>
      <w:marRight w:val="0"/>
      <w:marTop w:val="0"/>
      <w:marBottom w:val="0"/>
      <w:divBdr>
        <w:top w:val="none" w:sz="0" w:space="0" w:color="auto"/>
        <w:left w:val="none" w:sz="0" w:space="0" w:color="auto"/>
        <w:bottom w:val="none" w:sz="0" w:space="0" w:color="auto"/>
        <w:right w:val="none" w:sz="0" w:space="0" w:color="auto"/>
      </w:divBdr>
      <w:divsChild>
        <w:div w:id="1100762790">
          <w:marLeft w:val="0"/>
          <w:marRight w:val="0"/>
          <w:marTop w:val="0"/>
          <w:marBottom w:val="0"/>
          <w:divBdr>
            <w:top w:val="none" w:sz="0" w:space="0" w:color="auto"/>
            <w:left w:val="none" w:sz="0" w:space="0" w:color="auto"/>
            <w:bottom w:val="none" w:sz="0" w:space="0" w:color="auto"/>
            <w:right w:val="none" w:sz="0" w:space="0" w:color="auto"/>
          </w:divBdr>
          <w:divsChild>
            <w:div w:id="1643581096">
              <w:marLeft w:val="0"/>
              <w:marRight w:val="0"/>
              <w:marTop w:val="0"/>
              <w:marBottom w:val="0"/>
              <w:divBdr>
                <w:top w:val="none" w:sz="0" w:space="0" w:color="auto"/>
                <w:left w:val="none" w:sz="0" w:space="0" w:color="auto"/>
                <w:bottom w:val="none" w:sz="0" w:space="0" w:color="auto"/>
                <w:right w:val="none" w:sz="0" w:space="0" w:color="auto"/>
              </w:divBdr>
              <w:divsChild>
                <w:div w:id="135838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941336">
      <w:bodyDiv w:val="1"/>
      <w:marLeft w:val="0"/>
      <w:marRight w:val="0"/>
      <w:marTop w:val="0"/>
      <w:marBottom w:val="0"/>
      <w:divBdr>
        <w:top w:val="none" w:sz="0" w:space="0" w:color="auto"/>
        <w:left w:val="none" w:sz="0" w:space="0" w:color="auto"/>
        <w:bottom w:val="none" w:sz="0" w:space="0" w:color="auto"/>
        <w:right w:val="none" w:sz="0" w:space="0" w:color="auto"/>
      </w:divBdr>
    </w:div>
    <w:div w:id="1345716325">
      <w:bodyDiv w:val="1"/>
      <w:marLeft w:val="0"/>
      <w:marRight w:val="0"/>
      <w:marTop w:val="0"/>
      <w:marBottom w:val="0"/>
      <w:divBdr>
        <w:top w:val="none" w:sz="0" w:space="0" w:color="auto"/>
        <w:left w:val="none" w:sz="0" w:space="0" w:color="auto"/>
        <w:bottom w:val="none" w:sz="0" w:space="0" w:color="auto"/>
        <w:right w:val="none" w:sz="0" w:space="0" w:color="auto"/>
      </w:divBdr>
      <w:divsChild>
        <w:div w:id="283267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1988448">
              <w:marLeft w:val="0"/>
              <w:marRight w:val="0"/>
              <w:marTop w:val="0"/>
              <w:marBottom w:val="0"/>
              <w:divBdr>
                <w:top w:val="none" w:sz="0" w:space="0" w:color="auto"/>
                <w:left w:val="none" w:sz="0" w:space="0" w:color="auto"/>
                <w:bottom w:val="none" w:sz="0" w:space="0" w:color="auto"/>
                <w:right w:val="none" w:sz="0" w:space="0" w:color="auto"/>
              </w:divBdr>
              <w:divsChild>
                <w:div w:id="918518161">
                  <w:marLeft w:val="0"/>
                  <w:marRight w:val="0"/>
                  <w:marTop w:val="0"/>
                  <w:marBottom w:val="0"/>
                  <w:divBdr>
                    <w:top w:val="none" w:sz="0" w:space="0" w:color="auto"/>
                    <w:left w:val="none" w:sz="0" w:space="0" w:color="auto"/>
                    <w:bottom w:val="none" w:sz="0" w:space="0" w:color="auto"/>
                    <w:right w:val="none" w:sz="0" w:space="0" w:color="auto"/>
                  </w:divBdr>
                  <w:divsChild>
                    <w:div w:id="79189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883422">
      <w:bodyDiv w:val="1"/>
      <w:marLeft w:val="0"/>
      <w:marRight w:val="0"/>
      <w:marTop w:val="0"/>
      <w:marBottom w:val="0"/>
      <w:divBdr>
        <w:top w:val="none" w:sz="0" w:space="0" w:color="auto"/>
        <w:left w:val="none" w:sz="0" w:space="0" w:color="auto"/>
        <w:bottom w:val="none" w:sz="0" w:space="0" w:color="auto"/>
        <w:right w:val="none" w:sz="0" w:space="0" w:color="auto"/>
      </w:divBdr>
      <w:divsChild>
        <w:div w:id="788553350">
          <w:marLeft w:val="0"/>
          <w:marRight w:val="0"/>
          <w:marTop w:val="0"/>
          <w:marBottom w:val="0"/>
          <w:divBdr>
            <w:top w:val="none" w:sz="0" w:space="0" w:color="auto"/>
            <w:left w:val="none" w:sz="0" w:space="0" w:color="auto"/>
            <w:bottom w:val="none" w:sz="0" w:space="0" w:color="auto"/>
            <w:right w:val="none" w:sz="0" w:space="0" w:color="auto"/>
          </w:divBdr>
          <w:divsChild>
            <w:div w:id="798183304">
              <w:marLeft w:val="0"/>
              <w:marRight w:val="0"/>
              <w:marTop w:val="0"/>
              <w:marBottom w:val="0"/>
              <w:divBdr>
                <w:top w:val="none" w:sz="0" w:space="0" w:color="auto"/>
                <w:left w:val="none" w:sz="0" w:space="0" w:color="auto"/>
                <w:bottom w:val="none" w:sz="0" w:space="0" w:color="auto"/>
                <w:right w:val="none" w:sz="0" w:space="0" w:color="auto"/>
              </w:divBdr>
              <w:divsChild>
                <w:div w:id="64081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260056">
      <w:bodyDiv w:val="1"/>
      <w:marLeft w:val="0"/>
      <w:marRight w:val="0"/>
      <w:marTop w:val="0"/>
      <w:marBottom w:val="0"/>
      <w:divBdr>
        <w:top w:val="none" w:sz="0" w:space="0" w:color="auto"/>
        <w:left w:val="none" w:sz="0" w:space="0" w:color="auto"/>
        <w:bottom w:val="none" w:sz="0" w:space="0" w:color="auto"/>
        <w:right w:val="none" w:sz="0" w:space="0" w:color="auto"/>
      </w:divBdr>
      <w:divsChild>
        <w:div w:id="11323611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769579">
              <w:marLeft w:val="0"/>
              <w:marRight w:val="0"/>
              <w:marTop w:val="0"/>
              <w:marBottom w:val="0"/>
              <w:divBdr>
                <w:top w:val="none" w:sz="0" w:space="0" w:color="auto"/>
                <w:left w:val="none" w:sz="0" w:space="0" w:color="auto"/>
                <w:bottom w:val="none" w:sz="0" w:space="0" w:color="auto"/>
                <w:right w:val="none" w:sz="0" w:space="0" w:color="auto"/>
              </w:divBdr>
              <w:divsChild>
                <w:div w:id="1791128033">
                  <w:marLeft w:val="0"/>
                  <w:marRight w:val="0"/>
                  <w:marTop w:val="0"/>
                  <w:marBottom w:val="0"/>
                  <w:divBdr>
                    <w:top w:val="none" w:sz="0" w:space="0" w:color="auto"/>
                    <w:left w:val="none" w:sz="0" w:space="0" w:color="auto"/>
                    <w:bottom w:val="none" w:sz="0" w:space="0" w:color="auto"/>
                    <w:right w:val="none" w:sz="0" w:space="0" w:color="auto"/>
                  </w:divBdr>
                  <w:divsChild>
                    <w:div w:id="1903246606">
                      <w:marLeft w:val="0"/>
                      <w:marRight w:val="0"/>
                      <w:marTop w:val="0"/>
                      <w:marBottom w:val="0"/>
                      <w:divBdr>
                        <w:top w:val="none" w:sz="0" w:space="0" w:color="auto"/>
                        <w:left w:val="none" w:sz="0" w:space="0" w:color="auto"/>
                        <w:bottom w:val="none" w:sz="0" w:space="0" w:color="auto"/>
                        <w:right w:val="none" w:sz="0" w:space="0" w:color="auto"/>
                      </w:divBdr>
                      <w:divsChild>
                        <w:div w:id="33734633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29541129">
                              <w:marLeft w:val="0"/>
                              <w:marRight w:val="0"/>
                              <w:marTop w:val="0"/>
                              <w:marBottom w:val="0"/>
                              <w:divBdr>
                                <w:top w:val="none" w:sz="0" w:space="0" w:color="auto"/>
                                <w:left w:val="none" w:sz="0" w:space="0" w:color="auto"/>
                                <w:bottom w:val="none" w:sz="0" w:space="0" w:color="auto"/>
                                <w:right w:val="none" w:sz="0" w:space="0" w:color="auto"/>
                              </w:divBdr>
                              <w:divsChild>
                                <w:div w:id="507015602">
                                  <w:marLeft w:val="0"/>
                                  <w:marRight w:val="0"/>
                                  <w:marTop w:val="0"/>
                                  <w:marBottom w:val="0"/>
                                  <w:divBdr>
                                    <w:top w:val="none" w:sz="0" w:space="0" w:color="auto"/>
                                    <w:left w:val="none" w:sz="0" w:space="0" w:color="auto"/>
                                    <w:bottom w:val="none" w:sz="0" w:space="0" w:color="auto"/>
                                    <w:right w:val="none" w:sz="0" w:space="0" w:color="auto"/>
                                  </w:divBdr>
                                  <w:divsChild>
                                    <w:div w:id="1003707196">
                                      <w:marLeft w:val="0"/>
                                      <w:marRight w:val="0"/>
                                      <w:marTop w:val="0"/>
                                      <w:marBottom w:val="0"/>
                                      <w:divBdr>
                                        <w:top w:val="none" w:sz="0" w:space="0" w:color="auto"/>
                                        <w:left w:val="none" w:sz="0" w:space="0" w:color="auto"/>
                                        <w:bottom w:val="none" w:sz="0" w:space="0" w:color="auto"/>
                                        <w:right w:val="none" w:sz="0" w:space="0" w:color="auto"/>
                                      </w:divBdr>
                                      <w:divsChild>
                                        <w:div w:id="1178621005">
                                          <w:marLeft w:val="0"/>
                                          <w:marRight w:val="0"/>
                                          <w:marTop w:val="0"/>
                                          <w:marBottom w:val="0"/>
                                          <w:divBdr>
                                            <w:top w:val="none" w:sz="0" w:space="0" w:color="auto"/>
                                            <w:left w:val="none" w:sz="0" w:space="0" w:color="auto"/>
                                            <w:bottom w:val="none" w:sz="0" w:space="0" w:color="auto"/>
                                            <w:right w:val="none" w:sz="0" w:space="0" w:color="auto"/>
                                          </w:divBdr>
                                          <w:divsChild>
                                            <w:div w:id="142703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8828652">
                                                  <w:marLeft w:val="0"/>
                                                  <w:marRight w:val="0"/>
                                                  <w:marTop w:val="0"/>
                                                  <w:marBottom w:val="0"/>
                                                  <w:divBdr>
                                                    <w:top w:val="none" w:sz="0" w:space="0" w:color="auto"/>
                                                    <w:left w:val="none" w:sz="0" w:space="0" w:color="auto"/>
                                                    <w:bottom w:val="none" w:sz="0" w:space="0" w:color="auto"/>
                                                    <w:right w:val="none" w:sz="0" w:space="0" w:color="auto"/>
                                                  </w:divBdr>
                                                  <w:divsChild>
                                                    <w:div w:id="198705219">
                                                      <w:marLeft w:val="0"/>
                                                      <w:marRight w:val="0"/>
                                                      <w:marTop w:val="0"/>
                                                      <w:marBottom w:val="0"/>
                                                      <w:divBdr>
                                                        <w:top w:val="none" w:sz="0" w:space="0" w:color="auto"/>
                                                        <w:left w:val="none" w:sz="0" w:space="0" w:color="auto"/>
                                                        <w:bottom w:val="none" w:sz="0" w:space="0" w:color="auto"/>
                                                        <w:right w:val="none" w:sz="0" w:space="0" w:color="auto"/>
                                                      </w:divBdr>
                                                      <w:divsChild>
                                                        <w:div w:id="192652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2262822">
      <w:bodyDiv w:val="1"/>
      <w:marLeft w:val="0"/>
      <w:marRight w:val="0"/>
      <w:marTop w:val="0"/>
      <w:marBottom w:val="0"/>
      <w:divBdr>
        <w:top w:val="none" w:sz="0" w:space="0" w:color="auto"/>
        <w:left w:val="none" w:sz="0" w:space="0" w:color="auto"/>
        <w:bottom w:val="none" w:sz="0" w:space="0" w:color="auto"/>
        <w:right w:val="none" w:sz="0" w:space="0" w:color="auto"/>
      </w:divBdr>
    </w:div>
    <w:div w:id="1377850472">
      <w:bodyDiv w:val="1"/>
      <w:marLeft w:val="0"/>
      <w:marRight w:val="0"/>
      <w:marTop w:val="0"/>
      <w:marBottom w:val="0"/>
      <w:divBdr>
        <w:top w:val="none" w:sz="0" w:space="0" w:color="auto"/>
        <w:left w:val="none" w:sz="0" w:space="0" w:color="auto"/>
        <w:bottom w:val="none" w:sz="0" w:space="0" w:color="auto"/>
        <w:right w:val="none" w:sz="0" w:space="0" w:color="auto"/>
      </w:divBdr>
      <w:divsChild>
        <w:div w:id="388580005">
          <w:marLeft w:val="0"/>
          <w:marRight w:val="0"/>
          <w:marTop w:val="0"/>
          <w:marBottom w:val="0"/>
          <w:divBdr>
            <w:top w:val="none" w:sz="0" w:space="0" w:color="auto"/>
            <w:left w:val="none" w:sz="0" w:space="0" w:color="auto"/>
            <w:bottom w:val="none" w:sz="0" w:space="0" w:color="auto"/>
            <w:right w:val="none" w:sz="0" w:space="0" w:color="auto"/>
          </w:divBdr>
          <w:divsChild>
            <w:div w:id="1101299318">
              <w:marLeft w:val="0"/>
              <w:marRight w:val="0"/>
              <w:marTop w:val="0"/>
              <w:marBottom w:val="0"/>
              <w:divBdr>
                <w:top w:val="none" w:sz="0" w:space="0" w:color="auto"/>
                <w:left w:val="none" w:sz="0" w:space="0" w:color="auto"/>
                <w:bottom w:val="none" w:sz="0" w:space="0" w:color="auto"/>
                <w:right w:val="none" w:sz="0" w:space="0" w:color="auto"/>
              </w:divBdr>
              <w:divsChild>
                <w:div w:id="188601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21628">
      <w:bodyDiv w:val="1"/>
      <w:marLeft w:val="0"/>
      <w:marRight w:val="0"/>
      <w:marTop w:val="0"/>
      <w:marBottom w:val="0"/>
      <w:divBdr>
        <w:top w:val="none" w:sz="0" w:space="0" w:color="auto"/>
        <w:left w:val="none" w:sz="0" w:space="0" w:color="auto"/>
        <w:bottom w:val="none" w:sz="0" w:space="0" w:color="auto"/>
        <w:right w:val="none" w:sz="0" w:space="0" w:color="auto"/>
      </w:divBdr>
    </w:div>
    <w:div w:id="1383137884">
      <w:bodyDiv w:val="1"/>
      <w:marLeft w:val="0"/>
      <w:marRight w:val="0"/>
      <w:marTop w:val="0"/>
      <w:marBottom w:val="0"/>
      <w:divBdr>
        <w:top w:val="none" w:sz="0" w:space="0" w:color="auto"/>
        <w:left w:val="none" w:sz="0" w:space="0" w:color="auto"/>
        <w:bottom w:val="none" w:sz="0" w:space="0" w:color="auto"/>
        <w:right w:val="none" w:sz="0" w:space="0" w:color="auto"/>
      </w:divBdr>
    </w:div>
    <w:div w:id="1394350631">
      <w:bodyDiv w:val="1"/>
      <w:marLeft w:val="0"/>
      <w:marRight w:val="0"/>
      <w:marTop w:val="0"/>
      <w:marBottom w:val="0"/>
      <w:divBdr>
        <w:top w:val="none" w:sz="0" w:space="0" w:color="auto"/>
        <w:left w:val="none" w:sz="0" w:space="0" w:color="auto"/>
        <w:bottom w:val="none" w:sz="0" w:space="0" w:color="auto"/>
        <w:right w:val="none" w:sz="0" w:space="0" w:color="auto"/>
      </w:divBdr>
    </w:div>
    <w:div w:id="1398625154">
      <w:bodyDiv w:val="1"/>
      <w:marLeft w:val="0"/>
      <w:marRight w:val="0"/>
      <w:marTop w:val="0"/>
      <w:marBottom w:val="0"/>
      <w:divBdr>
        <w:top w:val="none" w:sz="0" w:space="0" w:color="auto"/>
        <w:left w:val="none" w:sz="0" w:space="0" w:color="auto"/>
        <w:bottom w:val="none" w:sz="0" w:space="0" w:color="auto"/>
        <w:right w:val="none" w:sz="0" w:space="0" w:color="auto"/>
      </w:divBdr>
    </w:div>
    <w:div w:id="1398630757">
      <w:bodyDiv w:val="1"/>
      <w:marLeft w:val="0"/>
      <w:marRight w:val="0"/>
      <w:marTop w:val="0"/>
      <w:marBottom w:val="0"/>
      <w:divBdr>
        <w:top w:val="none" w:sz="0" w:space="0" w:color="auto"/>
        <w:left w:val="none" w:sz="0" w:space="0" w:color="auto"/>
        <w:bottom w:val="none" w:sz="0" w:space="0" w:color="auto"/>
        <w:right w:val="none" w:sz="0" w:space="0" w:color="auto"/>
      </w:divBdr>
      <w:divsChild>
        <w:div w:id="1937445671">
          <w:marLeft w:val="0"/>
          <w:marRight w:val="0"/>
          <w:marTop w:val="0"/>
          <w:marBottom w:val="0"/>
          <w:divBdr>
            <w:top w:val="none" w:sz="0" w:space="0" w:color="auto"/>
            <w:left w:val="none" w:sz="0" w:space="0" w:color="auto"/>
            <w:bottom w:val="none" w:sz="0" w:space="0" w:color="auto"/>
            <w:right w:val="none" w:sz="0" w:space="0" w:color="auto"/>
          </w:divBdr>
          <w:divsChild>
            <w:div w:id="1622613254">
              <w:marLeft w:val="0"/>
              <w:marRight w:val="0"/>
              <w:marTop w:val="0"/>
              <w:marBottom w:val="0"/>
              <w:divBdr>
                <w:top w:val="none" w:sz="0" w:space="0" w:color="auto"/>
                <w:left w:val="none" w:sz="0" w:space="0" w:color="auto"/>
                <w:bottom w:val="none" w:sz="0" w:space="0" w:color="auto"/>
                <w:right w:val="none" w:sz="0" w:space="0" w:color="auto"/>
              </w:divBdr>
              <w:divsChild>
                <w:div w:id="1268272906">
                  <w:marLeft w:val="0"/>
                  <w:marRight w:val="0"/>
                  <w:marTop w:val="0"/>
                  <w:marBottom w:val="0"/>
                  <w:divBdr>
                    <w:top w:val="none" w:sz="0" w:space="0" w:color="auto"/>
                    <w:left w:val="none" w:sz="0" w:space="0" w:color="auto"/>
                    <w:bottom w:val="none" w:sz="0" w:space="0" w:color="auto"/>
                    <w:right w:val="none" w:sz="0" w:space="0" w:color="auto"/>
                  </w:divBdr>
                  <w:divsChild>
                    <w:div w:id="353115694">
                      <w:marLeft w:val="0"/>
                      <w:marRight w:val="0"/>
                      <w:marTop w:val="0"/>
                      <w:marBottom w:val="0"/>
                      <w:divBdr>
                        <w:top w:val="none" w:sz="0" w:space="0" w:color="auto"/>
                        <w:left w:val="none" w:sz="0" w:space="0" w:color="auto"/>
                        <w:bottom w:val="none" w:sz="0" w:space="0" w:color="auto"/>
                        <w:right w:val="none" w:sz="0" w:space="0" w:color="auto"/>
                      </w:divBdr>
                      <w:divsChild>
                        <w:div w:id="205935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43185">
                  <w:marLeft w:val="0"/>
                  <w:marRight w:val="0"/>
                  <w:marTop w:val="0"/>
                  <w:marBottom w:val="0"/>
                  <w:divBdr>
                    <w:top w:val="none" w:sz="0" w:space="0" w:color="auto"/>
                    <w:left w:val="none" w:sz="0" w:space="0" w:color="auto"/>
                    <w:bottom w:val="none" w:sz="0" w:space="0" w:color="auto"/>
                    <w:right w:val="none" w:sz="0" w:space="0" w:color="auto"/>
                  </w:divBdr>
                  <w:divsChild>
                    <w:div w:id="694698509">
                      <w:marLeft w:val="0"/>
                      <w:marRight w:val="0"/>
                      <w:marTop w:val="0"/>
                      <w:marBottom w:val="0"/>
                      <w:divBdr>
                        <w:top w:val="none" w:sz="0" w:space="0" w:color="auto"/>
                        <w:left w:val="none" w:sz="0" w:space="0" w:color="auto"/>
                        <w:bottom w:val="none" w:sz="0" w:space="0" w:color="auto"/>
                        <w:right w:val="none" w:sz="0" w:space="0" w:color="auto"/>
                      </w:divBdr>
                      <w:divsChild>
                        <w:div w:id="32559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1708550">
      <w:bodyDiv w:val="1"/>
      <w:marLeft w:val="0"/>
      <w:marRight w:val="0"/>
      <w:marTop w:val="0"/>
      <w:marBottom w:val="0"/>
      <w:divBdr>
        <w:top w:val="none" w:sz="0" w:space="0" w:color="auto"/>
        <w:left w:val="none" w:sz="0" w:space="0" w:color="auto"/>
        <w:bottom w:val="none" w:sz="0" w:space="0" w:color="auto"/>
        <w:right w:val="none" w:sz="0" w:space="0" w:color="auto"/>
      </w:divBdr>
    </w:div>
    <w:div w:id="1402407586">
      <w:bodyDiv w:val="1"/>
      <w:marLeft w:val="0"/>
      <w:marRight w:val="0"/>
      <w:marTop w:val="0"/>
      <w:marBottom w:val="0"/>
      <w:divBdr>
        <w:top w:val="none" w:sz="0" w:space="0" w:color="auto"/>
        <w:left w:val="none" w:sz="0" w:space="0" w:color="auto"/>
        <w:bottom w:val="none" w:sz="0" w:space="0" w:color="auto"/>
        <w:right w:val="none" w:sz="0" w:space="0" w:color="auto"/>
      </w:divBdr>
    </w:div>
    <w:div w:id="1402407909">
      <w:bodyDiv w:val="1"/>
      <w:marLeft w:val="0"/>
      <w:marRight w:val="0"/>
      <w:marTop w:val="0"/>
      <w:marBottom w:val="0"/>
      <w:divBdr>
        <w:top w:val="none" w:sz="0" w:space="0" w:color="auto"/>
        <w:left w:val="none" w:sz="0" w:space="0" w:color="auto"/>
        <w:bottom w:val="none" w:sz="0" w:space="0" w:color="auto"/>
        <w:right w:val="none" w:sz="0" w:space="0" w:color="auto"/>
      </w:divBdr>
    </w:div>
    <w:div w:id="1412119631">
      <w:bodyDiv w:val="1"/>
      <w:marLeft w:val="0"/>
      <w:marRight w:val="0"/>
      <w:marTop w:val="0"/>
      <w:marBottom w:val="0"/>
      <w:divBdr>
        <w:top w:val="none" w:sz="0" w:space="0" w:color="auto"/>
        <w:left w:val="none" w:sz="0" w:space="0" w:color="auto"/>
        <w:bottom w:val="none" w:sz="0" w:space="0" w:color="auto"/>
        <w:right w:val="none" w:sz="0" w:space="0" w:color="auto"/>
      </w:divBdr>
      <w:divsChild>
        <w:div w:id="579868245">
          <w:marLeft w:val="0"/>
          <w:marRight w:val="0"/>
          <w:marTop w:val="0"/>
          <w:marBottom w:val="0"/>
          <w:divBdr>
            <w:top w:val="none" w:sz="0" w:space="0" w:color="auto"/>
            <w:left w:val="none" w:sz="0" w:space="0" w:color="auto"/>
            <w:bottom w:val="none" w:sz="0" w:space="0" w:color="auto"/>
            <w:right w:val="none" w:sz="0" w:space="0" w:color="auto"/>
          </w:divBdr>
          <w:divsChild>
            <w:div w:id="680014315">
              <w:marLeft w:val="0"/>
              <w:marRight w:val="0"/>
              <w:marTop w:val="0"/>
              <w:marBottom w:val="0"/>
              <w:divBdr>
                <w:top w:val="none" w:sz="0" w:space="0" w:color="auto"/>
                <w:left w:val="none" w:sz="0" w:space="0" w:color="auto"/>
                <w:bottom w:val="none" w:sz="0" w:space="0" w:color="auto"/>
                <w:right w:val="none" w:sz="0" w:space="0" w:color="auto"/>
              </w:divBdr>
              <w:divsChild>
                <w:div w:id="198007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441920">
      <w:bodyDiv w:val="1"/>
      <w:marLeft w:val="0"/>
      <w:marRight w:val="0"/>
      <w:marTop w:val="0"/>
      <w:marBottom w:val="0"/>
      <w:divBdr>
        <w:top w:val="none" w:sz="0" w:space="0" w:color="auto"/>
        <w:left w:val="none" w:sz="0" w:space="0" w:color="auto"/>
        <w:bottom w:val="none" w:sz="0" w:space="0" w:color="auto"/>
        <w:right w:val="none" w:sz="0" w:space="0" w:color="auto"/>
      </w:divBdr>
    </w:div>
    <w:div w:id="1426344309">
      <w:bodyDiv w:val="1"/>
      <w:marLeft w:val="0"/>
      <w:marRight w:val="0"/>
      <w:marTop w:val="0"/>
      <w:marBottom w:val="0"/>
      <w:divBdr>
        <w:top w:val="none" w:sz="0" w:space="0" w:color="auto"/>
        <w:left w:val="none" w:sz="0" w:space="0" w:color="auto"/>
        <w:bottom w:val="none" w:sz="0" w:space="0" w:color="auto"/>
        <w:right w:val="none" w:sz="0" w:space="0" w:color="auto"/>
      </w:divBdr>
      <w:divsChild>
        <w:div w:id="244343457">
          <w:marLeft w:val="0"/>
          <w:marRight w:val="0"/>
          <w:marTop w:val="0"/>
          <w:marBottom w:val="0"/>
          <w:divBdr>
            <w:top w:val="none" w:sz="0" w:space="0" w:color="auto"/>
            <w:left w:val="none" w:sz="0" w:space="0" w:color="auto"/>
            <w:bottom w:val="none" w:sz="0" w:space="0" w:color="auto"/>
            <w:right w:val="none" w:sz="0" w:space="0" w:color="auto"/>
          </w:divBdr>
          <w:divsChild>
            <w:div w:id="777139254">
              <w:marLeft w:val="0"/>
              <w:marRight w:val="0"/>
              <w:marTop w:val="0"/>
              <w:marBottom w:val="0"/>
              <w:divBdr>
                <w:top w:val="none" w:sz="0" w:space="0" w:color="auto"/>
                <w:left w:val="none" w:sz="0" w:space="0" w:color="auto"/>
                <w:bottom w:val="none" w:sz="0" w:space="0" w:color="auto"/>
                <w:right w:val="none" w:sz="0" w:space="0" w:color="auto"/>
              </w:divBdr>
              <w:divsChild>
                <w:div w:id="17111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922912">
      <w:bodyDiv w:val="1"/>
      <w:marLeft w:val="0"/>
      <w:marRight w:val="0"/>
      <w:marTop w:val="0"/>
      <w:marBottom w:val="0"/>
      <w:divBdr>
        <w:top w:val="none" w:sz="0" w:space="0" w:color="auto"/>
        <w:left w:val="none" w:sz="0" w:space="0" w:color="auto"/>
        <w:bottom w:val="none" w:sz="0" w:space="0" w:color="auto"/>
        <w:right w:val="none" w:sz="0" w:space="0" w:color="auto"/>
      </w:divBdr>
    </w:div>
    <w:div w:id="1427270953">
      <w:bodyDiv w:val="1"/>
      <w:marLeft w:val="0"/>
      <w:marRight w:val="0"/>
      <w:marTop w:val="0"/>
      <w:marBottom w:val="0"/>
      <w:divBdr>
        <w:top w:val="none" w:sz="0" w:space="0" w:color="auto"/>
        <w:left w:val="none" w:sz="0" w:space="0" w:color="auto"/>
        <w:bottom w:val="none" w:sz="0" w:space="0" w:color="auto"/>
        <w:right w:val="none" w:sz="0" w:space="0" w:color="auto"/>
      </w:divBdr>
    </w:div>
    <w:div w:id="1428698630">
      <w:bodyDiv w:val="1"/>
      <w:marLeft w:val="0"/>
      <w:marRight w:val="0"/>
      <w:marTop w:val="0"/>
      <w:marBottom w:val="0"/>
      <w:divBdr>
        <w:top w:val="none" w:sz="0" w:space="0" w:color="auto"/>
        <w:left w:val="none" w:sz="0" w:space="0" w:color="auto"/>
        <w:bottom w:val="none" w:sz="0" w:space="0" w:color="auto"/>
        <w:right w:val="none" w:sz="0" w:space="0" w:color="auto"/>
      </w:divBdr>
    </w:div>
    <w:div w:id="1438908525">
      <w:bodyDiv w:val="1"/>
      <w:marLeft w:val="0"/>
      <w:marRight w:val="0"/>
      <w:marTop w:val="0"/>
      <w:marBottom w:val="0"/>
      <w:divBdr>
        <w:top w:val="none" w:sz="0" w:space="0" w:color="auto"/>
        <w:left w:val="none" w:sz="0" w:space="0" w:color="auto"/>
        <w:bottom w:val="none" w:sz="0" w:space="0" w:color="auto"/>
        <w:right w:val="none" w:sz="0" w:space="0" w:color="auto"/>
      </w:divBdr>
    </w:div>
    <w:div w:id="1440030991">
      <w:bodyDiv w:val="1"/>
      <w:marLeft w:val="0"/>
      <w:marRight w:val="0"/>
      <w:marTop w:val="0"/>
      <w:marBottom w:val="0"/>
      <w:divBdr>
        <w:top w:val="none" w:sz="0" w:space="0" w:color="auto"/>
        <w:left w:val="none" w:sz="0" w:space="0" w:color="auto"/>
        <w:bottom w:val="none" w:sz="0" w:space="0" w:color="auto"/>
        <w:right w:val="none" w:sz="0" w:space="0" w:color="auto"/>
      </w:divBdr>
      <w:divsChild>
        <w:div w:id="1003898947">
          <w:marLeft w:val="0"/>
          <w:marRight w:val="0"/>
          <w:marTop w:val="0"/>
          <w:marBottom w:val="0"/>
          <w:divBdr>
            <w:top w:val="none" w:sz="0" w:space="0" w:color="auto"/>
            <w:left w:val="none" w:sz="0" w:space="0" w:color="auto"/>
            <w:bottom w:val="none" w:sz="0" w:space="0" w:color="auto"/>
            <w:right w:val="none" w:sz="0" w:space="0" w:color="auto"/>
          </w:divBdr>
          <w:divsChild>
            <w:div w:id="789588756">
              <w:marLeft w:val="0"/>
              <w:marRight w:val="0"/>
              <w:marTop w:val="0"/>
              <w:marBottom w:val="0"/>
              <w:divBdr>
                <w:top w:val="none" w:sz="0" w:space="0" w:color="auto"/>
                <w:left w:val="none" w:sz="0" w:space="0" w:color="auto"/>
                <w:bottom w:val="none" w:sz="0" w:space="0" w:color="auto"/>
                <w:right w:val="none" w:sz="0" w:space="0" w:color="auto"/>
              </w:divBdr>
              <w:divsChild>
                <w:div w:id="528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206075">
      <w:bodyDiv w:val="1"/>
      <w:marLeft w:val="0"/>
      <w:marRight w:val="0"/>
      <w:marTop w:val="0"/>
      <w:marBottom w:val="0"/>
      <w:divBdr>
        <w:top w:val="none" w:sz="0" w:space="0" w:color="auto"/>
        <w:left w:val="none" w:sz="0" w:space="0" w:color="auto"/>
        <w:bottom w:val="none" w:sz="0" w:space="0" w:color="auto"/>
        <w:right w:val="none" w:sz="0" w:space="0" w:color="auto"/>
      </w:divBdr>
    </w:div>
    <w:div w:id="1450586738">
      <w:bodyDiv w:val="1"/>
      <w:marLeft w:val="0"/>
      <w:marRight w:val="0"/>
      <w:marTop w:val="0"/>
      <w:marBottom w:val="0"/>
      <w:divBdr>
        <w:top w:val="none" w:sz="0" w:space="0" w:color="auto"/>
        <w:left w:val="none" w:sz="0" w:space="0" w:color="auto"/>
        <w:bottom w:val="none" w:sz="0" w:space="0" w:color="auto"/>
        <w:right w:val="none" w:sz="0" w:space="0" w:color="auto"/>
      </w:divBdr>
    </w:div>
    <w:div w:id="1452285655">
      <w:bodyDiv w:val="1"/>
      <w:marLeft w:val="0"/>
      <w:marRight w:val="0"/>
      <w:marTop w:val="0"/>
      <w:marBottom w:val="0"/>
      <w:divBdr>
        <w:top w:val="none" w:sz="0" w:space="0" w:color="auto"/>
        <w:left w:val="none" w:sz="0" w:space="0" w:color="auto"/>
        <w:bottom w:val="none" w:sz="0" w:space="0" w:color="auto"/>
        <w:right w:val="none" w:sz="0" w:space="0" w:color="auto"/>
      </w:divBdr>
    </w:div>
    <w:div w:id="1454473113">
      <w:bodyDiv w:val="1"/>
      <w:marLeft w:val="0"/>
      <w:marRight w:val="0"/>
      <w:marTop w:val="0"/>
      <w:marBottom w:val="0"/>
      <w:divBdr>
        <w:top w:val="none" w:sz="0" w:space="0" w:color="auto"/>
        <w:left w:val="none" w:sz="0" w:space="0" w:color="auto"/>
        <w:bottom w:val="none" w:sz="0" w:space="0" w:color="auto"/>
        <w:right w:val="none" w:sz="0" w:space="0" w:color="auto"/>
      </w:divBdr>
    </w:div>
    <w:div w:id="1459108774">
      <w:bodyDiv w:val="1"/>
      <w:marLeft w:val="0"/>
      <w:marRight w:val="0"/>
      <w:marTop w:val="0"/>
      <w:marBottom w:val="0"/>
      <w:divBdr>
        <w:top w:val="none" w:sz="0" w:space="0" w:color="auto"/>
        <w:left w:val="none" w:sz="0" w:space="0" w:color="auto"/>
        <w:bottom w:val="none" w:sz="0" w:space="0" w:color="auto"/>
        <w:right w:val="none" w:sz="0" w:space="0" w:color="auto"/>
      </w:divBdr>
      <w:divsChild>
        <w:div w:id="1755086749">
          <w:marLeft w:val="0"/>
          <w:marRight w:val="0"/>
          <w:marTop w:val="0"/>
          <w:marBottom w:val="0"/>
          <w:divBdr>
            <w:top w:val="none" w:sz="0" w:space="0" w:color="auto"/>
            <w:left w:val="none" w:sz="0" w:space="0" w:color="auto"/>
            <w:bottom w:val="none" w:sz="0" w:space="0" w:color="auto"/>
            <w:right w:val="none" w:sz="0" w:space="0" w:color="auto"/>
          </w:divBdr>
          <w:divsChild>
            <w:div w:id="1200047211">
              <w:marLeft w:val="0"/>
              <w:marRight w:val="0"/>
              <w:marTop w:val="0"/>
              <w:marBottom w:val="0"/>
              <w:divBdr>
                <w:top w:val="none" w:sz="0" w:space="0" w:color="auto"/>
                <w:left w:val="none" w:sz="0" w:space="0" w:color="auto"/>
                <w:bottom w:val="none" w:sz="0" w:space="0" w:color="auto"/>
                <w:right w:val="none" w:sz="0" w:space="0" w:color="auto"/>
              </w:divBdr>
              <w:divsChild>
                <w:div w:id="28724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469194">
      <w:bodyDiv w:val="1"/>
      <w:marLeft w:val="0"/>
      <w:marRight w:val="0"/>
      <w:marTop w:val="0"/>
      <w:marBottom w:val="0"/>
      <w:divBdr>
        <w:top w:val="none" w:sz="0" w:space="0" w:color="auto"/>
        <w:left w:val="none" w:sz="0" w:space="0" w:color="auto"/>
        <w:bottom w:val="none" w:sz="0" w:space="0" w:color="auto"/>
        <w:right w:val="none" w:sz="0" w:space="0" w:color="auto"/>
      </w:divBdr>
    </w:div>
    <w:div w:id="1471485494">
      <w:bodyDiv w:val="1"/>
      <w:marLeft w:val="0"/>
      <w:marRight w:val="0"/>
      <w:marTop w:val="0"/>
      <w:marBottom w:val="0"/>
      <w:divBdr>
        <w:top w:val="none" w:sz="0" w:space="0" w:color="auto"/>
        <w:left w:val="none" w:sz="0" w:space="0" w:color="auto"/>
        <w:bottom w:val="none" w:sz="0" w:space="0" w:color="auto"/>
        <w:right w:val="none" w:sz="0" w:space="0" w:color="auto"/>
      </w:divBdr>
      <w:divsChild>
        <w:div w:id="966669001">
          <w:marLeft w:val="0"/>
          <w:marRight w:val="0"/>
          <w:marTop w:val="0"/>
          <w:marBottom w:val="0"/>
          <w:divBdr>
            <w:top w:val="none" w:sz="0" w:space="0" w:color="auto"/>
            <w:left w:val="none" w:sz="0" w:space="0" w:color="auto"/>
            <w:bottom w:val="none" w:sz="0" w:space="0" w:color="auto"/>
            <w:right w:val="none" w:sz="0" w:space="0" w:color="auto"/>
          </w:divBdr>
          <w:divsChild>
            <w:div w:id="183984036">
              <w:marLeft w:val="0"/>
              <w:marRight w:val="0"/>
              <w:marTop w:val="0"/>
              <w:marBottom w:val="0"/>
              <w:divBdr>
                <w:top w:val="none" w:sz="0" w:space="0" w:color="auto"/>
                <w:left w:val="none" w:sz="0" w:space="0" w:color="auto"/>
                <w:bottom w:val="none" w:sz="0" w:space="0" w:color="auto"/>
                <w:right w:val="none" w:sz="0" w:space="0" w:color="auto"/>
              </w:divBdr>
              <w:divsChild>
                <w:div w:id="57397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291029">
      <w:bodyDiv w:val="1"/>
      <w:marLeft w:val="0"/>
      <w:marRight w:val="0"/>
      <w:marTop w:val="0"/>
      <w:marBottom w:val="0"/>
      <w:divBdr>
        <w:top w:val="none" w:sz="0" w:space="0" w:color="auto"/>
        <w:left w:val="none" w:sz="0" w:space="0" w:color="auto"/>
        <w:bottom w:val="none" w:sz="0" w:space="0" w:color="auto"/>
        <w:right w:val="none" w:sz="0" w:space="0" w:color="auto"/>
      </w:divBdr>
    </w:div>
    <w:div w:id="1478259782">
      <w:bodyDiv w:val="1"/>
      <w:marLeft w:val="0"/>
      <w:marRight w:val="0"/>
      <w:marTop w:val="0"/>
      <w:marBottom w:val="0"/>
      <w:divBdr>
        <w:top w:val="none" w:sz="0" w:space="0" w:color="auto"/>
        <w:left w:val="none" w:sz="0" w:space="0" w:color="auto"/>
        <w:bottom w:val="none" w:sz="0" w:space="0" w:color="auto"/>
        <w:right w:val="none" w:sz="0" w:space="0" w:color="auto"/>
      </w:divBdr>
    </w:div>
    <w:div w:id="1479877838">
      <w:bodyDiv w:val="1"/>
      <w:marLeft w:val="0"/>
      <w:marRight w:val="0"/>
      <w:marTop w:val="0"/>
      <w:marBottom w:val="0"/>
      <w:divBdr>
        <w:top w:val="none" w:sz="0" w:space="0" w:color="auto"/>
        <w:left w:val="none" w:sz="0" w:space="0" w:color="auto"/>
        <w:bottom w:val="none" w:sz="0" w:space="0" w:color="auto"/>
        <w:right w:val="none" w:sz="0" w:space="0" w:color="auto"/>
      </w:divBdr>
      <w:divsChild>
        <w:div w:id="1905217407">
          <w:marLeft w:val="0"/>
          <w:marRight w:val="0"/>
          <w:marTop w:val="0"/>
          <w:marBottom w:val="0"/>
          <w:divBdr>
            <w:top w:val="none" w:sz="0" w:space="0" w:color="auto"/>
            <w:left w:val="none" w:sz="0" w:space="0" w:color="auto"/>
            <w:bottom w:val="none" w:sz="0" w:space="0" w:color="auto"/>
            <w:right w:val="none" w:sz="0" w:space="0" w:color="auto"/>
          </w:divBdr>
          <w:divsChild>
            <w:div w:id="832910953">
              <w:marLeft w:val="0"/>
              <w:marRight w:val="0"/>
              <w:marTop w:val="0"/>
              <w:marBottom w:val="0"/>
              <w:divBdr>
                <w:top w:val="none" w:sz="0" w:space="0" w:color="auto"/>
                <w:left w:val="none" w:sz="0" w:space="0" w:color="auto"/>
                <w:bottom w:val="none" w:sz="0" w:space="0" w:color="auto"/>
                <w:right w:val="none" w:sz="0" w:space="0" w:color="auto"/>
              </w:divBdr>
              <w:divsChild>
                <w:div w:id="63341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994938">
      <w:bodyDiv w:val="1"/>
      <w:marLeft w:val="0"/>
      <w:marRight w:val="0"/>
      <w:marTop w:val="0"/>
      <w:marBottom w:val="0"/>
      <w:divBdr>
        <w:top w:val="none" w:sz="0" w:space="0" w:color="auto"/>
        <w:left w:val="none" w:sz="0" w:space="0" w:color="auto"/>
        <w:bottom w:val="none" w:sz="0" w:space="0" w:color="auto"/>
        <w:right w:val="none" w:sz="0" w:space="0" w:color="auto"/>
      </w:divBdr>
    </w:div>
    <w:div w:id="1485003117">
      <w:bodyDiv w:val="1"/>
      <w:marLeft w:val="0"/>
      <w:marRight w:val="0"/>
      <w:marTop w:val="0"/>
      <w:marBottom w:val="0"/>
      <w:divBdr>
        <w:top w:val="none" w:sz="0" w:space="0" w:color="auto"/>
        <w:left w:val="none" w:sz="0" w:space="0" w:color="auto"/>
        <w:bottom w:val="none" w:sz="0" w:space="0" w:color="auto"/>
        <w:right w:val="none" w:sz="0" w:space="0" w:color="auto"/>
      </w:divBdr>
    </w:div>
    <w:div w:id="1491408365">
      <w:bodyDiv w:val="1"/>
      <w:marLeft w:val="0"/>
      <w:marRight w:val="0"/>
      <w:marTop w:val="0"/>
      <w:marBottom w:val="0"/>
      <w:divBdr>
        <w:top w:val="none" w:sz="0" w:space="0" w:color="auto"/>
        <w:left w:val="none" w:sz="0" w:space="0" w:color="auto"/>
        <w:bottom w:val="none" w:sz="0" w:space="0" w:color="auto"/>
        <w:right w:val="none" w:sz="0" w:space="0" w:color="auto"/>
      </w:divBdr>
      <w:divsChild>
        <w:div w:id="140197895">
          <w:marLeft w:val="0"/>
          <w:marRight w:val="0"/>
          <w:marTop w:val="0"/>
          <w:marBottom w:val="0"/>
          <w:divBdr>
            <w:top w:val="none" w:sz="0" w:space="0" w:color="auto"/>
            <w:left w:val="none" w:sz="0" w:space="0" w:color="auto"/>
            <w:bottom w:val="none" w:sz="0" w:space="0" w:color="auto"/>
            <w:right w:val="none" w:sz="0" w:space="0" w:color="auto"/>
          </w:divBdr>
          <w:divsChild>
            <w:div w:id="1297030770">
              <w:marLeft w:val="0"/>
              <w:marRight w:val="0"/>
              <w:marTop w:val="0"/>
              <w:marBottom w:val="0"/>
              <w:divBdr>
                <w:top w:val="none" w:sz="0" w:space="0" w:color="auto"/>
                <w:left w:val="none" w:sz="0" w:space="0" w:color="auto"/>
                <w:bottom w:val="none" w:sz="0" w:space="0" w:color="auto"/>
                <w:right w:val="none" w:sz="0" w:space="0" w:color="auto"/>
              </w:divBdr>
              <w:divsChild>
                <w:div w:id="10224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814430">
      <w:bodyDiv w:val="1"/>
      <w:marLeft w:val="0"/>
      <w:marRight w:val="0"/>
      <w:marTop w:val="0"/>
      <w:marBottom w:val="0"/>
      <w:divBdr>
        <w:top w:val="none" w:sz="0" w:space="0" w:color="auto"/>
        <w:left w:val="none" w:sz="0" w:space="0" w:color="auto"/>
        <w:bottom w:val="none" w:sz="0" w:space="0" w:color="auto"/>
        <w:right w:val="none" w:sz="0" w:space="0" w:color="auto"/>
      </w:divBdr>
    </w:div>
    <w:div w:id="1504199994">
      <w:bodyDiv w:val="1"/>
      <w:marLeft w:val="0"/>
      <w:marRight w:val="0"/>
      <w:marTop w:val="0"/>
      <w:marBottom w:val="0"/>
      <w:divBdr>
        <w:top w:val="none" w:sz="0" w:space="0" w:color="auto"/>
        <w:left w:val="none" w:sz="0" w:space="0" w:color="auto"/>
        <w:bottom w:val="none" w:sz="0" w:space="0" w:color="auto"/>
        <w:right w:val="none" w:sz="0" w:space="0" w:color="auto"/>
      </w:divBdr>
    </w:div>
    <w:div w:id="1505314340">
      <w:bodyDiv w:val="1"/>
      <w:marLeft w:val="0"/>
      <w:marRight w:val="0"/>
      <w:marTop w:val="0"/>
      <w:marBottom w:val="0"/>
      <w:divBdr>
        <w:top w:val="none" w:sz="0" w:space="0" w:color="auto"/>
        <w:left w:val="none" w:sz="0" w:space="0" w:color="auto"/>
        <w:bottom w:val="none" w:sz="0" w:space="0" w:color="auto"/>
        <w:right w:val="none" w:sz="0" w:space="0" w:color="auto"/>
      </w:divBdr>
    </w:div>
    <w:div w:id="1508904241">
      <w:bodyDiv w:val="1"/>
      <w:marLeft w:val="0"/>
      <w:marRight w:val="0"/>
      <w:marTop w:val="0"/>
      <w:marBottom w:val="0"/>
      <w:divBdr>
        <w:top w:val="none" w:sz="0" w:space="0" w:color="auto"/>
        <w:left w:val="none" w:sz="0" w:space="0" w:color="auto"/>
        <w:bottom w:val="none" w:sz="0" w:space="0" w:color="auto"/>
        <w:right w:val="none" w:sz="0" w:space="0" w:color="auto"/>
      </w:divBdr>
    </w:div>
    <w:div w:id="1510171231">
      <w:bodyDiv w:val="1"/>
      <w:marLeft w:val="0"/>
      <w:marRight w:val="0"/>
      <w:marTop w:val="0"/>
      <w:marBottom w:val="0"/>
      <w:divBdr>
        <w:top w:val="none" w:sz="0" w:space="0" w:color="auto"/>
        <w:left w:val="none" w:sz="0" w:space="0" w:color="auto"/>
        <w:bottom w:val="none" w:sz="0" w:space="0" w:color="auto"/>
        <w:right w:val="none" w:sz="0" w:space="0" w:color="auto"/>
      </w:divBdr>
      <w:divsChild>
        <w:div w:id="1046023725">
          <w:marLeft w:val="0"/>
          <w:marRight w:val="0"/>
          <w:marTop w:val="0"/>
          <w:marBottom w:val="0"/>
          <w:divBdr>
            <w:top w:val="none" w:sz="0" w:space="0" w:color="auto"/>
            <w:left w:val="none" w:sz="0" w:space="0" w:color="auto"/>
            <w:bottom w:val="none" w:sz="0" w:space="0" w:color="auto"/>
            <w:right w:val="none" w:sz="0" w:space="0" w:color="auto"/>
          </w:divBdr>
          <w:divsChild>
            <w:div w:id="873814658">
              <w:marLeft w:val="0"/>
              <w:marRight w:val="0"/>
              <w:marTop w:val="0"/>
              <w:marBottom w:val="0"/>
              <w:divBdr>
                <w:top w:val="none" w:sz="0" w:space="0" w:color="auto"/>
                <w:left w:val="none" w:sz="0" w:space="0" w:color="auto"/>
                <w:bottom w:val="none" w:sz="0" w:space="0" w:color="auto"/>
                <w:right w:val="none" w:sz="0" w:space="0" w:color="auto"/>
              </w:divBdr>
              <w:divsChild>
                <w:div w:id="117055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8350">
      <w:bodyDiv w:val="1"/>
      <w:marLeft w:val="0"/>
      <w:marRight w:val="0"/>
      <w:marTop w:val="0"/>
      <w:marBottom w:val="0"/>
      <w:divBdr>
        <w:top w:val="none" w:sz="0" w:space="0" w:color="auto"/>
        <w:left w:val="none" w:sz="0" w:space="0" w:color="auto"/>
        <w:bottom w:val="none" w:sz="0" w:space="0" w:color="auto"/>
        <w:right w:val="none" w:sz="0" w:space="0" w:color="auto"/>
      </w:divBdr>
    </w:div>
    <w:div w:id="1516773422">
      <w:bodyDiv w:val="1"/>
      <w:marLeft w:val="0"/>
      <w:marRight w:val="0"/>
      <w:marTop w:val="0"/>
      <w:marBottom w:val="0"/>
      <w:divBdr>
        <w:top w:val="none" w:sz="0" w:space="0" w:color="auto"/>
        <w:left w:val="none" w:sz="0" w:space="0" w:color="auto"/>
        <w:bottom w:val="none" w:sz="0" w:space="0" w:color="auto"/>
        <w:right w:val="none" w:sz="0" w:space="0" w:color="auto"/>
      </w:divBdr>
      <w:divsChild>
        <w:div w:id="296881395">
          <w:marLeft w:val="0"/>
          <w:marRight w:val="0"/>
          <w:marTop w:val="0"/>
          <w:marBottom w:val="0"/>
          <w:divBdr>
            <w:top w:val="none" w:sz="0" w:space="0" w:color="auto"/>
            <w:left w:val="none" w:sz="0" w:space="0" w:color="auto"/>
            <w:bottom w:val="none" w:sz="0" w:space="0" w:color="auto"/>
            <w:right w:val="none" w:sz="0" w:space="0" w:color="auto"/>
          </w:divBdr>
          <w:divsChild>
            <w:div w:id="96146617">
              <w:marLeft w:val="0"/>
              <w:marRight w:val="0"/>
              <w:marTop w:val="0"/>
              <w:marBottom w:val="0"/>
              <w:divBdr>
                <w:top w:val="none" w:sz="0" w:space="0" w:color="auto"/>
                <w:left w:val="none" w:sz="0" w:space="0" w:color="auto"/>
                <w:bottom w:val="none" w:sz="0" w:space="0" w:color="auto"/>
                <w:right w:val="none" w:sz="0" w:space="0" w:color="auto"/>
              </w:divBdr>
              <w:divsChild>
                <w:div w:id="18632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113248">
      <w:bodyDiv w:val="1"/>
      <w:marLeft w:val="0"/>
      <w:marRight w:val="0"/>
      <w:marTop w:val="0"/>
      <w:marBottom w:val="0"/>
      <w:divBdr>
        <w:top w:val="none" w:sz="0" w:space="0" w:color="auto"/>
        <w:left w:val="none" w:sz="0" w:space="0" w:color="auto"/>
        <w:bottom w:val="none" w:sz="0" w:space="0" w:color="auto"/>
        <w:right w:val="none" w:sz="0" w:space="0" w:color="auto"/>
      </w:divBdr>
    </w:div>
    <w:div w:id="1522282014">
      <w:bodyDiv w:val="1"/>
      <w:marLeft w:val="0"/>
      <w:marRight w:val="0"/>
      <w:marTop w:val="0"/>
      <w:marBottom w:val="0"/>
      <w:divBdr>
        <w:top w:val="none" w:sz="0" w:space="0" w:color="auto"/>
        <w:left w:val="none" w:sz="0" w:space="0" w:color="auto"/>
        <w:bottom w:val="none" w:sz="0" w:space="0" w:color="auto"/>
        <w:right w:val="none" w:sz="0" w:space="0" w:color="auto"/>
      </w:divBdr>
      <w:divsChild>
        <w:div w:id="44106972">
          <w:marLeft w:val="0"/>
          <w:marRight w:val="0"/>
          <w:marTop w:val="0"/>
          <w:marBottom w:val="0"/>
          <w:divBdr>
            <w:top w:val="none" w:sz="0" w:space="0" w:color="auto"/>
            <w:left w:val="none" w:sz="0" w:space="0" w:color="auto"/>
            <w:bottom w:val="none" w:sz="0" w:space="0" w:color="auto"/>
            <w:right w:val="none" w:sz="0" w:space="0" w:color="auto"/>
          </w:divBdr>
          <w:divsChild>
            <w:div w:id="344021446">
              <w:marLeft w:val="0"/>
              <w:marRight w:val="0"/>
              <w:marTop w:val="0"/>
              <w:marBottom w:val="0"/>
              <w:divBdr>
                <w:top w:val="none" w:sz="0" w:space="0" w:color="auto"/>
                <w:left w:val="none" w:sz="0" w:space="0" w:color="auto"/>
                <w:bottom w:val="none" w:sz="0" w:space="0" w:color="auto"/>
                <w:right w:val="none" w:sz="0" w:space="0" w:color="auto"/>
              </w:divBdr>
              <w:divsChild>
                <w:div w:id="150473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283986">
          <w:marLeft w:val="0"/>
          <w:marRight w:val="0"/>
          <w:marTop w:val="0"/>
          <w:marBottom w:val="0"/>
          <w:divBdr>
            <w:top w:val="none" w:sz="0" w:space="0" w:color="auto"/>
            <w:left w:val="none" w:sz="0" w:space="0" w:color="auto"/>
            <w:bottom w:val="none" w:sz="0" w:space="0" w:color="auto"/>
            <w:right w:val="none" w:sz="0" w:space="0" w:color="auto"/>
          </w:divBdr>
          <w:divsChild>
            <w:div w:id="97718105">
              <w:marLeft w:val="0"/>
              <w:marRight w:val="0"/>
              <w:marTop w:val="0"/>
              <w:marBottom w:val="0"/>
              <w:divBdr>
                <w:top w:val="none" w:sz="0" w:space="0" w:color="auto"/>
                <w:left w:val="none" w:sz="0" w:space="0" w:color="auto"/>
                <w:bottom w:val="none" w:sz="0" w:space="0" w:color="auto"/>
                <w:right w:val="none" w:sz="0" w:space="0" w:color="auto"/>
              </w:divBdr>
              <w:divsChild>
                <w:div w:id="467014517">
                  <w:marLeft w:val="0"/>
                  <w:marRight w:val="0"/>
                  <w:marTop w:val="0"/>
                  <w:marBottom w:val="0"/>
                  <w:divBdr>
                    <w:top w:val="none" w:sz="0" w:space="0" w:color="auto"/>
                    <w:left w:val="none" w:sz="0" w:space="0" w:color="auto"/>
                    <w:bottom w:val="none" w:sz="0" w:space="0" w:color="auto"/>
                    <w:right w:val="none" w:sz="0" w:space="0" w:color="auto"/>
                  </w:divBdr>
                  <w:divsChild>
                    <w:div w:id="390156925">
                      <w:marLeft w:val="0"/>
                      <w:marRight w:val="0"/>
                      <w:marTop w:val="0"/>
                      <w:marBottom w:val="0"/>
                      <w:divBdr>
                        <w:top w:val="none" w:sz="0" w:space="0" w:color="auto"/>
                        <w:left w:val="none" w:sz="0" w:space="0" w:color="auto"/>
                        <w:bottom w:val="none" w:sz="0" w:space="0" w:color="auto"/>
                        <w:right w:val="none" w:sz="0" w:space="0" w:color="auto"/>
                      </w:divBdr>
                    </w:div>
                  </w:divsChild>
                </w:div>
                <w:div w:id="645939502">
                  <w:marLeft w:val="0"/>
                  <w:marRight w:val="0"/>
                  <w:marTop w:val="0"/>
                  <w:marBottom w:val="0"/>
                  <w:divBdr>
                    <w:top w:val="none" w:sz="0" w:space="0" w:color="auto"/>
                    <w:left w:val="none" w:sz="0" w:space="0" w:color="auto"/>
                    <w:bottom w:val="none" w:sz="0" w:space="0" w:color="auto"/>
                    <w:right w:val="none" w:sz="0" w:space="0" w:color="auto"/>
                  </w:divBdr>
                  <w:divsChild>
                    <w:div w:id="107743226">
                      <w:marLeft w:val="0"/>
                      <w:marRight w:val="0"/>
                      <w:marTop w:val="0"/>
                      <w:marBottom w:val="0"/>
                      <w:divBdr>
                        <w:top w:val="none" w:sz="0" w:space="0" w:color="auto"/>
                        <w:left w:val="none" w:sz="0" w:space="0" w:color="auto"/>
                        <w:bottom w:val="none" w:sz="0" w:space="0" w:color="auto"/>
                        <w:right w:val="none" w:sz="0" w:space="0" w:color="auto"/>
                      </w:divBdr>
                    </w:div>
                    <w:div w:id="23471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796353">
      <w:bodyDiv w:val="1"/>
      <w:marLeft w:val="0"/>
      <w:marRight w:val="0"/>
      <w:marTop w:val="0"/>
      <w:marBottom w:val="0"/>
      <w:divBdr>
        <w:top w:val="none" w:sz="0" w:space="0" w:color="auto"/>
        <w:left w:val="none" w:sz="0" w:space="0" w:color="auto"/>
        <w:bottom w:val="none" w:sz="0" w:space="0" w:color="auto"/>
        <w:right w:val="none" w:sz="0" w:space="0" w:color="auto"/>
      </w:divBdr>
      <w:divsChild>
        <w:div w:id="1495729635">
          <w:marLeft w:val="0"/>
          <w:marRight w:val="0"/>
          <w:marTop w:val="0"/>
          <w:marBottom w:val="0"/>
          <w:divBdr>
            <w:top w:val="none" w:sz="0" w:space="0" w:color="auto"/>
            <w:left w:val="none" w:sz="0" w:space="0" w:color="auto"/>
            <w:bottom w:val="none" w:sz="0" w:space="0" w:color="auto"/>
            <w:right w:val="none" w:sz="0" w:space="0" w:color="auto"/>
          </w:divBdr>
          <w:divsChild>
            <w:div w:id="1911846472">
              <w:marLeft w:val="0"/>
              <w:marRight w:val="0"/>
              <w:marTop w:val="0"/>
              <w:marBottom w:val="0"/>
              <w:divBdr>
                <w:top w:val="none" w:sz="0" w:space="0" w:color="auto"/>
                <w:left w:val="none" w:sz="0" w:space="0" w:color="auto"/>
                <w:bottom w:val="none" w:sz="0" w:space="0" w:color="auto"/>
                <w:right w:val="none" w:sz="0" w:space="0" w:color="auto"/>
              </w:divBdr>
              <w:divsChild>
                <w:div w:id="74634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925">
      <w:bodyDiv w:val="1"/>
      <w:marLeft w:val="0"/>
      <w:marRight w:val="0"/>
      <w:marTop w:val="0"/>
      <w:marBottom w:val="0"/>
      <w:divBdr>
        <w:top w:val="none" w:sz="0" w:space="0" w:color="auto"/>
        <w:left w:val="none" w:sz="0" w:space="0" w:color="auto"/>
        <w:bottom w:val="none" w:sz="0" w:space="0" w:color="auto"/>
        <w:right w:val="none" w:sz="0" w:space="0" w:color="auto"/>
      </w:divBdr>
    </w:div>
    <w:div w:id="1537086154">
      <w:bodyDiv w:val="1"/>
      <w:marLeft w:val="0"/>
      <w:marRight w:val="0"/>
      <w:marTop w:val="0"/>
      <w:marBottom w:val="0"/>
      <w:divBdr>
        <w:top w:val="none" w:sz="0" w:space="0" w:color="auto"/>
        <w:left w:val="none" w:sz="0" w:space="0" w:color="auto"/>
        <w:bottom w:val="none" w:sz="0" w:space="0" w:color="auto"/>
        <w:right w:val="none" w:sz="0" w:space="0" w:color="auto"/>
      </w:divBdr>
      <w:divsChild>
        <w:div w:id="997268187">
          <w:marLeft w:val="0"/>
          <w:marRight w:val="0"/>
          <w:marTop w:val="0"/>
          <w:marBottom w:val="0"/>
          <w:divBdr>
            <w:top w:val="none" w:sz="0" w:space="0" w:color="auto"/>
            <w:left w:val="none" w:sz="0" w:space="0" w:color="auto"/>
            <w:bottom w:val="none" w:sz="0" w:space="0" w:color="auto"/>
            <w:right w:val="none" w:sz="0" w:space="0" w:color="auto"/>
          </w:divBdr>
          <w:divsChild>
            <w:div w:id="1969699812">
              <w:marLeft w:val="0"/>
              <w:marRight w:val="0"/>
              <w:marTop w:val="0"/>
              <w:marBottom w:val="0"/>
              <w:divBdr>
                <w:top w:val="none" w:sz="0" w:space="0" w:color="auto"/>
                <w:left w:val="none" w:sz="0" w:space="0" w:color="auto"/>
                <w:bottom w:val="none" w:sz="0" w:space="0" w:color="auto"/>
                <w:right w:val="none" w:sz="0" w:space="0" w:color="auto"/>
              </w:divBdr>
              <w:divsChild>
                <w:div w:id="1432313839">
                  <w:marLeft w:val="0"/>
                  <w:marRight w:val="0"/>
                  <w:marTop w:val="0"/>
                  <w:marBottom w:val="0"/>
                  <w:divBdr>
                    <w:top w:val="none" w:sz="0" w:space="0" w:color="auto"/>
                    <w:left w:val="none" w:sz="0" w:space="0" w:color="auto"/>
                    <w:bottom w:val="none" w:sz="0" w:space="0" w:color="auto"/>
                    <w:right w:val="none" w:sz="0" w:space="0" w:color="auto"/>
                  </w:divBdr>
                  <w:divsChild>
                    <w:div w:id="69705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329427">
      <w:bodyDiv w:val="1"/>
      <w:marLeft w:val="0"/>
      <w:marRight w:val="0"/>
      <w:marTop w:val="0"/>
      <w:marBottom w:val="0"/>
      <w:divBdr>
        <w:top w:val="none" w:sz="0" w:space="0" w:color="auto"/>
        <w:left w:val="none" w:sz="0" w:space="0" w:color="auto"/>
        <w:bottom w:val="none" w:sz="0" w:space="0" w:color="auto"/>
        <w:right w:val="none" w:sz="0" w:space="0" w:color="auto"/>
      </w:divBdr>
    </w:div>
    <w:div w:id="1544293359">
      <w:bodyDiv w:val="1"/>
      <w:marLeft w:val="0"/>
      <w:marRight w:val="0"/>
      <w:marTop w:val="0"/>
      <w:marBottom w:val="0"/>
      <w:divBdr>
        <w:top w:val="none" w:sz="0" w:space="0" w:color="auto"/>
        <w:left w:val="none" w:sz="0" w:space="0" w:color="auto"/>
        <w:bottom w:val="none" w:sz="0" w:space="0" w:color="auto"/>
        <w:right w:val="none" w:sz="0" w:space="0" w:color="auto"/>
      </w:divBdr>
    </w:div>
    <w:div w:id="1552498515">
      <w:bodyDiv w:val="1"/>
      <w:marLeft w:val="0"/>
      <w:marRight w:val="0"/>
      <w:marTop w:val="0"/>
      <w:marBottom w:val="0"/>
      <w:divBdr>
        <w:top w:val="none" w:sz="0" w:space="0" w:color="auto"/>
        <w:left w:val="none" w:sz="0" w:space="0" w:color="auto"/>
        <w:bottom w:val="none" w:sz="0" w:space="0" w:color="auto"/>
        <w:right w:val="none" w:sz="0" w:space="0" w:color="auto"/>
      </w:divBdr>
    </w:div>
    <w:div w:id="1555505022">
      <w:bodyDiv w:val="1"/>
      <w:marLeft w:val="0"/>
      <w:marRight w:val="0"/>
      <w:marTop w:val="0"/>
      <w:marBottom w:val="0"/>
      <w:divBdr>
        <w:top w:val="none" w:sz="0" w:space="0" w:color="auto"/>
        <w:left w:val="none" w:sz="0" w:space="0" w:color="auto"/>
        <w:bottom w:val="none" w:sz="0" w:space="0" w:color="auto"/>
        <w:right w:val="none" w:sz="0" w:space="0" w:color="auto"/>
      </w:divBdr>
    </w:div>
    <w:div w:id="1557624584">
      <w:bodyDiv w:val="1"/>
      <w:marLeft w:val="0"/>
      <w:marRight w:val="0"/>
      <w:marTop w:val="0"/>
      <w:marBottom w:val="0"/>
      <w:divBdr>
        <w:top w:val="none" w:sz="0" w:space="0" w:color="auto"/>
        <w:left w:val="none" w:sz="0" w:space="0" w:color="auto"/>
        <w:bottom w:val="none" w:sz="0" w:space="0" w:color="auto"/>
        <w:right w:val="none" w:sz="0" w:space="0" w:color="auto"/>
      </w:divBdr>
      <w:divsChild>
        <w:div w:id="232274405">
          <w:marLeft w:val="0"/>
          <w:marRight w:val="0"/>
          <w:marTop w:val="0"/>
          <w:marBottom w:val="0"/>
          <w:divBdr>
            <w:top w:val="none" w:sz="0" w:space="0" w:color="auto"/>
            <w:left w:val="none" w:sz="0" w:space="0" w:color="auto"/>
            <w:bottom w:val="none" w:sz="0" w:space="0" w:color="auto"/>
            <w:right w:val="none" w:sz="0" w:space="0" w:color="auto"/>
          </w:divBdr>
        </w:div>
        <w:div w:id="695809951">
          <w:marLeft w:val="0"/>
          <w:marRight w:val="0"/>
          <w:marTop w:val="0"/>
          <w:marBottom w:val="0"/>
          <w:divBdr>
            <w:top w:val="none" w:sz="0" w:space="0" w:color="auto"/>
            <w:left w:val="none" w:sz="0" w:space="0" w:color="auto"/>
            <w:bottom w:val="none" w:sz="0" w:space="0" w:color="auto"/>
            <w:right w:val="none" w:sz="0" w:space="0" w:color="auto"/>
          </w:divBdr>
        </w:div>
        <w:div w:id="1435129555">
          <w:marLeft w:val="0"/>
          <w:marRight w:val="0"/>
          <w:marTop w:val="0"/>
          <w:marBottom w:val="0"/>
          <w:divBdr>
            <w:top w:val="none" w:sz="0" w:space="0" w:color="auto"/>
            <w:left w:val="none" w:sz="0" w:space="0" w:color="auto"/>
            <w:bottom w:val="none" w:sz="0" w:space="0" w:color="auto"/>
            <w:right w:val="none" w:sz="0" w:space="0" w:color="auto"/>
          </w:divBdr>
        </w:div>
        <w:div w:id="1513492510">
          <w:marLeft w:val="0"/>
          <w:marRight w:val="0"/>
          <w:marTop w:val="0"/>
          <w:marBottom w:val="0"/>
          <w:divBdr>
            <w:top w:val="none" w:sz="0" w:space="0" w:color="auto"/>
            <w:left w:val="none" w:sz="0" w:space="0" w:color="auto"/>
            <w:bottom w:val="none" w:sz="0" w:space="0" w:color="auto"/>
            <w:right w:val="none" w:sz="0" w:space="0" w:color="auto"/>
          </w:divBdr>
        </w:div>
      </w:divsChild>
    </w:div>
    <w:div w:id="1559170649">
      <w:bodyDiv w:val="1"/>
      <w:marLeft w:val="0"/>
      <w:marRight w:val="0"/>
      <w:marTop w:val="0"/>
      <w:marBottom w:val="0"/>
      <w:divBdr>
        <w:top w:val="none" w:sz="0" w:space="0" w:color="auto"/>
        <w:left w:val="none" w:sz="0" w:space="0" w:color="auto"/>
        <w:bottom w:val="none" w:sz="0" w:space="0" w:color="auto"/>
        <w:right w:val="none" w:sz="0" w:space="0" w:color="auto"/>
      </w:divBdr>
    </w:div>
    <w:div w:id="1568300150">
      <w:bodyDiv w:val="1"/>
      <w:marLeft w:val="0"/>
      <w:marRight w:val="0"/>
      <w:marTop w:val="0"/>
      <w:marBottom w:val="0"/>
      <w:divBdr>
        <w:top w:val="none" w:sz="0" w:space="0" w:color="auto"/>
        <w:left w:val="none" w:sz="0" w:space="0" w:color="auto"/>
        <w:bottom w:val="none" w:sz="0" w:space="0" w:color="auto"/>
        <w:right w:val="none" w:sz="0" w:space="0" w:color="auto"/>
      </w:divBdr>
    </w:div>
    <w:div w:id="1572036762">
      <w:bodyDiv w:val="1"/>
      <w:marLeft w:val="0"/>
      <w:marRight w:val="0"/>
      <w:marTop w:val="0"/>
      <w:marBottom w:val="0"/>
      <w:divBdr>
        <w:top w:val="none" w:sz="0" w:space="0" w:color="auto"/>
        <w:left w:val="none" w:sz="0" w:space="0" w:color="auto"/>
        <w:bottom w:val="none" w:sz="0" w:space="0" w:color="auto"/>
        <w:right w:val="none" w:sz="0" w:space="0" w:color="auto"/>
      </w:divBdr>
    </w:div>
    <w:div w:id="1574244797">
      <w:bodyDiv w:val="1"/>
      <w:marLeft w:val="0"/>
      <w:marRight w:val="0"/>
      <w:marTop w:val="0"/>
      <w:marBottom w:val="0"/>
      <w:divBdr>
        <w:top w:val="none" w:sz="0" w:space="0" w:color="auto"/>
        <w:left w:val="none" w:sz="0" w:space="0" w:color="auto"/>
        <w:bottom w:val="none" w:sz="0" w:space="0" w:color="auto"/>
        <w:right w:val="none" w:sz="0" w:space="0" w:color="auto"/>
      </w:divBdr>
    </w:div>
    <w:div w:id="1575433842">
      <w:bodyDiv w:val="1"/>
      <w:marLeft w:val="0"/>
      <w:marRight w:val="0"/>
      <w:marTop w:val="0"/>
      <w:marBottom w:val="0"/>
      <w:divBdr>
        <w:top w:val="none" w:sz="0" w:space="0" w:color="auto"/>
        <w:left w:val="none" w:sz="0" w:space="0" w:color="auto"/>
        <w:bottom w:val="none" w:sz="0" w:space="0" w:color="auto"/>
        <w:right w:val="none" w:sz="0" w:space="0" w:color="auto"/>
      </w:divBdr>
      <w:divsChild>
        <w:div w:id="2085451486">
          <w:marLeft w:val="0"/>
          <w:marRight w:val="0"/>
          <w:marTop w:val="0"/>
          <w:marBottom w:val="0"/>
          <w:divBdr>
            <w:top w:val="none" w:sz="0" w:space="0" w:color="auto"/>
            <w:left w:val="none" w:sz="0" w:space="0" w:color="auto"/>
            <w:bottom w:val="none" w:sz="0" w:space="0" w:color="auto"/>
            <w:right w:val="none" w:sz="0" w:space="0" w:color="auto"/>
          </w:divBdr>
          <w:divsChild>
            <w:div w:id="1148329499">
              <w:marLeft w:val="0"/>
              <w:marRight w:val="0"/>
              <w:marTop w:val="0"/>
              <w:marBottom w:val="0"/>
              <w:divBdr>
                <w:top w:val="none" w:sz="0" w:space="0" w:color="auto"/>
                <w:left w:val="none" w:sz="0" w:space="0" w:color="auto"/>
                <w:bottom w:val="none" w:sz="0" w:space="0" w:color="auto"/>
                <w:right w:val="none" w:sz="0" w:space="0" w:color="auto"/>
              </w:divBdr>
              <w:divsChild>
                <w:div w:id="173253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20451">
      <w:bodyDiv w:val="1"/>
      <w:marLeft w:val="0"/>
      <w:marRight w:val="0"/>
      <w:marTop w:val="0"/>
      <w:marBottom w:val="0"/>
      <w:divBdr>
        <w:top w:val="none" w:sz="0" w:space="0" w:color="auto"/>
        <w:left w:val="none" w:sz="0" w:space="0" w:color="auto"/>
        <w:bottom w:val="none" w:sz="0" w:space="0" w:color="auto"/>
        <w:right w:val="none" w:sz="0" w:space="0" w:color="auto"/>
      </w:divBdr>
      <w:divsChild>
        <w:div w:id="973676255">
          <w:marLeft w:val="0"/>
          <w:marRight w:val="0"/>
          <w:marTop w:val="0"/>
          <w:marBottom w:val="0"/>
          <w:divBdr>
            <w:top w:val="none" w:sz="0" w:space="0" w:color="auto"/>
            <w:left w:val="none" w:sz="0" w:space="0" w:color="auto"/>
            <w:bottom w:val="none" w:sz="0" w:space="0" w:color="auto"/>
            <w:right w:val="none" w:sz="0" w:space="0" w:color="auto"/>
          </w:divBdr>
        </w:div>
        <w:div w:id="1151750014">
          <w:marLeft w:val="0"/>
          <w:marRight w:val="0"/>
          <w:marTop w:val="0"/>
          <w:marBottom w:val="0"/>
          <w:divBdr>
            <w:top w:val="none" w:sz="0" w:space="0" w:color="auto"/>
            <w:left w:val="none" w:sz="0" w:space="0" w:color="auto"/>
            <w:bottom w:val="none" w:sz="0" w:space="0" w:color="auto"/>
            <w:right w:val="none" w:sz="0" w:space="0" w:color="auto"/>
          </w:divBdr>
        </w:div>
      </w:divsChild>
    </w:div>
    <w:div w:id="1579899947">
      <w:bodyDiv w:val="1"/>
      <w:marLeft w:val="0"/>
      <w:marRight w:val="0"/>
      <w:marTop w:val="0"/>
      <w:marBottom w:val="0"/>
      <w:divBdr>
        <w:top w:val="none" w:sz="0" w:space="0" w:color="auto"/>
        <w:left w:val="none" w:sz="0" w:space="0" w:color="auto"/>
        <w:bottom w:val="none" w:sz="0" w:space="0" w:color="auto"/>
        <w:right w:val="none" w:sz="0" w:space="0" w:color="auto"/>
      </w:divBdr>
      <w:divsChild>
        <w:div w:id="574439191">
          <w:marLeft w:val="0"/>
          <w:marRight w:val="0"/>
          <w:marTop w:val="0"/>
          <w:marBottom w:val="0"/>
          <w:divBdr>
            <w:top w:val="none" w:sz="0" w:space="0" w:color="auto"/>
            <w:left w:val="none" w:sz="0" w:space="0" w:color="auto"/>
            <w:bottom w:val="none" w:sz="0" w:space="0" w:color="auto"/>
            <w:right w:val="none" w:sz="0" w:space="0" w:color="auto"/>
          </w:divBdr>
        </w:div>
      </w:divsChild>
    </w:div>
    <w:div w:id="1581207592">
      <w:bodyDiv w:val="1"/>
      <w:marLeft w:val="0"/>
      <w:marRight w:val="0"/>
      <w:marTop w:val="0"/>
      <w:marBottom w:val="0"/>
      <w:divBdr>
        <w:top w:val="none" w:sz="0" w:space="0" w:color="auto"/>
        <w:left w:val="none" w:sz="0" w:space="0" w:color="auto"/>
        <w:bottom w:val="none" w:sz="0" w:space="0" w:color="auto"/>
        <w:right w:val="none" w:sz="0" w:space="0" w:color="auto"/>
      </w:divBdr>
    </w:div>
    <w:div w:id="1589852610">
      <w:bodyDiv w:val="1"/>
      <w:marLeft w:val="0"/>
      <w:marRight w:val="0"/>
      <w:marTop w:val="0"/>
      <w:marBottom w:val="0"/>
      <w:divBdr>
        <w:top w:val="none" w:sz="0" w:space="0" w:color="auto"/>
        <w:left w:val="none" w:sz="0" w:space="0" w:color="auto"/>
        <w:bottom w:val="none" w:sz="0" w:space="0" w:color="auto"/>
        <w:right w:val="none" w:sz="0" w:space="0" w:color="auto"/>
      </w:divBdr>
    </w:div>
    <w:div w:id="1601639725">
      <w:bodyDiv w:val="1"/>
      <w:marLeft w:val="0"/>
      <w:marRight w:val="0"/>
      <w:marTop w:val="0"/>
      <w:marBottom w:val="0"/>
      <w:divBdr>
        <w:top w:val="none" w:sz="0" w:space="0" w:color="auto"/>
        <w:left w:val="none" w:sz="0" w:space="0" w:color="auto"/>
        <w:bottom w:val="none" w:sz="0" w:space="0" w:color="auto"/>
        <w:right w:val="none" w:sz="0" w:space="0" w:color="auto"/>
      </w:divBdr>
    </w:div>
    <w:div w:id="1604845847">
      <w:bodyDiv w:val="1"/>
      <w:marLeft w:val="0"/>
      <w:marRight w:val="0"/>
      <w:marTop w:val="0"/>
      <w:marBottom w:val="0"/>
      <w:divBdr>
        <w:top w:val="none" w:sz="0" w:space="0" w:color="auto"/>
        <w:left w:val="none" w:sz="0" w:space="0" w:color="auto"/>
        <w:bottom w:val="none" w:sz="0" w:space="0" w:color="auto"/>
        <w:right w:val="none" w:sz="0" w:space="0" w:color="auto"/>
      </w:divBdr>
      <w:divsChild>
        <w:div w:id="1761296895">
          <w:marLeft w:val="0"/>
          <w:marRight w:val="0"/>
          <w:marTop w:val="0"/>
          <w:marBottom w:val="0"/>
          <w:divBdr>
            <w:top w:val="none" w:sz="0" w:space="0" w:color="auto"/>
            <w:left w:val="none" w:sz="0" w:space="0" w:color="auto"/>
            <w:bottom w:val="none" w:sz="0" w:space="0" w:color="auto"/>
            <w:right w:val="none" w:sz="0" w:space="0" w:color="auto"/>
          </w:divBdr>
          <w:divsChild>
            <w:div w:id="735325220">
              <w:marLeft w:val="0"/>
              <w:marRight w:val="0"/>
              <w:marTop w:val="0"/>
              <w:marBottom w:val="0"/>
              <w:divBdr>
                <w:top w:val="none" w:sz="0" w:space="0" w:color="auto"/>
                <w:left w:val="none" w:sz="0" w:space="0" w:color="auto"/>
                <w:bottom w:val="none" w:sz="0" w:space="0" w:color="auto"/>
                <w:right w:val="none" w:sz="0" w:space="0" w:color="auto"/>
              </w:divBdr>
              <w:divsChild>
                <w:div w:id="49585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773174">
      <w:bodyDiv w:val="1"/>
      <w:marLeft w:val="0"/>
      <w:marRight w:val="0"/>
      <w:marTop w:val="0"/>
      <w:marBottom w:val="0"/>
      <w:divBdr>
        <w:top w:val="none" w:sz="0" w:space="0" w:color="auto"/>
        <w:left w:val="none" w:sz="0" w:space="0" w:color="auto"/>
        <w:bottom w:val="none" w:sz="0" w:space="0" w:color="auto"/>
        <w:right w:val="none" w:sz="0" w:space="0" w:color="auto"/>
      </w:divBdr>
      <w:divsChild>
        <w:div w:id="812873338">
          <w:marLeft w:val="0"/>
          <w:marRight w:val="0"/>
          <w:marTop w:val="0"/>
          <w:marBottom w:val="0"/>
          <w:divBdr>
            <w:top w:val="none" w:sz="0" w:space="0" w:color="auto"/>
            <w:left w:val="none" w:sz="0" w:space="0" w:color="auto"/>
            <w:bottom w:val="none" w:sz="0" w:space="0" w:color="auto"/>
            <w:right w:val="none" w:sz="0" w:space="0" w:color="auto"/>
          </w:divBdr>
          <w:divsChild>
            <w:div w:id="1332488763">
              <w:marLeft w:val="0"/>
              <w:marRight w:val="0"/>
              <w:marTop w:val="0"/>
              <w:marBottom w:val="0"/>
              <w:divBdr>
                <w:top w:val="none" w:sz="0" w:space="0" w:color="auto"/>
                <w:left w:val="none" w:sz="0" w:space="0" w:color="auto"/>
                <w:bottom w:val="none" w:sz="0" w:space="0" w:color="auto"/>
                <w:right w:val="none" w:sz="0" w:space="0" w:color="auto"/>
              </w:divBdr>
              <w:divsChild>
                <w:div w:id="172289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793143">
      <w:bodyDiv w:val="1"/>
      <w:marLeft w:val="0"/>
      <w:marRight w:val="0"/>
      <w:marTop w:val="0"/>
      <w:marBottom w:val="0"/>
      <w:divBdr>
        <w:top w:val="none" w:sz="0" w:space="0" w:color="auto"/>
        <w:left w:val="none" w:sz="0" w:space="0" w:color="auto"/>
        <w:bottom w:val="none" w:sz="0" w:space="0" w:color="auto"/>
        <w:right w:val="none" w:sz="0" w:space="0" w:color="auto"/>
      </w:divBdr>
    </w:div>
    <w:div w:id="1624923636">
      <w:bodyDiv w:val="1"/>
      <w:marLeft w:val="0"/>
      <w:marRight w:val="0"/>
      <w:marTop w:val="0"/>
      <w:marBottom w:val="0"/>
      <w:divBdr>
        <w:top w:val="none" w:sz="0" w:space="0" w:color="auto"/>
        <w:left w:val="none" w:sz="0" w:space="0" w:color="auto"/>
        <w:bottom w:val="none" w:sz="0" w:space="0" w:color="auto"/>
        <w:right w:val="none" w:sz="0" w:space="0" w:color="auto"/>
      </w:divBdr>
    </w:div>
    <w:div w:id="1629504964">
      <w:bodyDiv w:val="1"/>
      <w:marLeft w:val="0"/>
      <w:marRight w:val="0"/>
      <w:marTop w:val="0"/>
      <w:marBottom w:val="0"/>
      <w:divBdr>
        <w:top w:val="none" w:sz="0" w:space="0" w:color="auto"/>
        <w:left w:val="none" w:sz="0" w:space="0" w:color="auto"/>
        <w:bottom w:val="none" w:sz="0" w:space="0" w:color="auto"/>
        <w:right w:val="none" w:sz="0" w:space="0" w:color="auto"/>
      </w:divBdr>
    </w:div>
    <w:div w:id="1635403270">
      <w:bodyDiv w:val="1"/>
      <w:marLeft w:val="0"/>
      <w:marRight w:val="0"/>
      <w:marTop w:val="0"/>
      <w:marBottom w:val="0"/>
      <w:divBdr>
        <w:top w:val="none" w:sz="0" w:space="0" w:color="auto"/>
        <w:left w:val="none" w:sz="0" w:space="0" w:color="auto"/>
        <w:bottom w:val="none" w:sz="0" w:space="0" w:color="auto"/>
        <w:right w:val="none" w:sz="0" w:space="0" w:color="auto"/>
      </w:divBdr>
    </w:div>
    <w:div w:id="1637641947">
      <w:bodyDiv w:val="1"/>
      <w:marLeft w:val="0"/>
      <w:marRight w:val="0"/>
      <w:marTop w:val="0"/>
      <w:marBottom w:val="0"/>
      <w:divBdr>
        <w:top w:val="none" w:sz="0" w:space="0" w:color="auto"/>
        <w:left w:val="none" w:sz="0" w:space="0" w:color="auto"/>
        <w:bottom w:val="none" w:sz="0" w:space="0" w:color="auto"/>
        <w:right w:val="none" w:sz="0" w:space="0" w:color="auto"/>
      </w:divBdr>
    </w:div>
    <w:div w:id="1643197735">
      <w:bodyDiv w:val="1"/>
      <w:marLeft w:val="0"/>
      <w:marRight w:val="0"/>
      <w:marTop w:val="0"/>
      <w:marBottom w:val="0"/>
      <w:divBdr>
        <w:top w:val="none" w:sz="0" w:space="0" w:color="auto"/>
        <w:left w:val="none" w:sz="0" w:space="0" w:color="auto"/>
        <w:bottom w:val="none" w:sz="0" w:space="0" w:color="auto"/>
        <w:right w:val="none" w:sz="0" w:space="0" w:color="auto"/>
      </w:divBdr>
    </w:div>
    <w:div w:id="1649048194">
      <w:bodyDiv w:val="1"/>
      <w:marLeft w:val="0"/>
      <w:marRight w:val="0"/>
      <w:marTop w:val="0"/>
      <w:marBottom w:val="0"/>
      <w:divBdr>
        <w:top w:val="none" w:sz="0" w:space="0" w:color="auto"/>
        <w:left w:val="none" w:sz="0" w:space="0" w:color="auto"/>
        <w:bottom w:val="none" w:sz="0" w:space="0" w:color="auto"/>
        <w:right w:val="none" w:sz="0" w:space="0" w:color="auto"/>
      </w:divBdr>
    </w:div>
    <w:div w:id="1652829249">
      <w:bodyDiv w:val="1"/>
      <w:marLeft w:val="0"/>
      <w:marRight w:val="0"/>
      <w:marTop w:val="0"/>
      <w:marBottom w:val="0"/>
      <w:divBdr>
        <w:top w:val="none" w:sz="0" w:space="0" w:color="auto"/>
        <w:left w:val="none" w:sz="0" w:space="0" w:color="auto"/>
        <w:bottom w:val="none" w:sz="0" w:space="0" w:color="auto"/>
        <w:right w:val="none" w:sz="0" w:space="0" w:color="auto"/>
      </w:divBdr>
      <w:divsChild>
        <w:div w:id="708260430">
          <w:marLeft w:val="0"/>
          <w:marRight w:val="0"/>
          <w:marTop w:val="0"/>
          <w:marBottom w:val="0"/>
          <w:divBdr>
            <w:top w:val="none" w:sz="0" w:space="0" w:color="auto"/>
            <w:left w:val="none" w:sz="0" w:space="0" w:color="auto"/>
            <w:bottom w:val="none" w:sz="0" w:space="0" w:color="auto"/>
            <w:right w:val="none" w:sz="0" w:space="0" w:color="auto"/>
          </w:divBdr>
          <w:divsChild>
            <w:div w:id="1035036674">
              <w:marLeft w:val="0"/>
              <w:marRight w:val="0"/>
              <w:marTop w:val="0"/>
              <w:marBottom w:val="0"/>
              <w:divBdr>
                <w:top w:val="none" w:sz="0" w:space="0" w:color="auto"/>
                <w:left w:val="none" w:sz="0" w:space="0" w:color="auto"/>
                <w:bottom w:val="none" w:sz="0" w:space="0" w:color="auto"/>
                <w:right w:val="none" w:sz="0" w:space="0" w:color="auto"/>
              </w:divBdr>
              <w:divsChild>
                <w:div w:id="97518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146446">
      <w:bodyDiv w:val="1"/>
      <w:marLeft w:val="0"/>
      <w:marRight w:val="0"/>
      <w:marTop w:val="0"/>
      <w:marBottom w:val="0"/>
      <w:divBdr>
        <w:top w:val="none" w:sz="0" w:space="0" w:color="auto"/>
        <w:left w:val="none" w:sz="0" w:space="0" w:color="auto"/>
        <w:bottom w:val="none" w:sz="0" w:space="0" w:color="auto"/>
        <w:right w:val="none" w:sz="0" w:space="0" w:color="auto"/>
      </w:divBdr>
    </w:div>
    <w:div w:id="1672219616">
      <w:bodyDiv w:val="1"/>
      <w:marLeft w:val="0"/>
      <w:marRight w:val="0"/>
      <w:marTop w:val="0"/>
      <w:marBottom w:val="0"/>
      <w:divBdr>
        <w:top w:val="none" w:sz="0" w:space="0" w:color="auto"/>
        <w:left w:val="none" w:sz="0" w:space="0" w:color="auto"/>
        <w:bottom w:val="none" w:sz="0" w:space="0" w:color="auto"/>
        <w:right w:val="none" w:sz="0" w:space="0" w:color="auto"/>
      </w:divBdr>
    </w:div>
    <w:div w:id="1673877752">
      <w:bodyDiv w:val="1"/>
      <w:marLeft w:val="0"/>
      <w:marRight w:val="0"/>
      <w:marTop w:val="0"/>
      <w:marBottom w:val="0"/>
      <w:divBdr>
        <w:top w:val="none" w:sz="0" w:space="0" w:color="auto"/>
        <w:left w:val="none" w:sz="0" w:space="0" w:color="auto"/>
        <w:bottom w:val="none" w:sz="0" w:space="0" w:color="auto"/>
        <w:right w:val="none" w:sz="0" w:space="0" w:color="auto"/>
      </w:divBdr>
    </w:div>
    <w:div w:id="1676574468">
      <w:bodyDiv w:val="1"/>
      <w:marLeft w:val="0"/>
      <w:marRight w:val="0"/>
      <w:marTop w:val="0"/>
      <w:marBottom w:val="0"/>
      <w:divBdr>
        <w:top w:val="none" w:sz="0" w:space="0" w:color="auto"/>
        <w:left w:val="none" w:sz="0" w:space="0" w:color="auto"/>
        <w:bottom w:val="none" w:sz="0" w:space="0" w:color="auto"/>
        <w:right w:val="none" w:sz="0" w:space="0" w:color="auto"/>
      </w:divBdr>
    </w:div>
    <w:div w:id="1676878684">
      <w:bodyDiv w:val="1"/>
      <w:marLeft w:val="0"/>
      <w:marRight w:val="0"/>
      <w:marTop w:val="0"/>
      <w:marBottom w:val="0"/>
      <w:divBdr>
        <w:top w:val="none" w:sz="0" w:space="0" w:color="auto"/>
        <w:left w:val="none" w:sz="0" w:space="0" w:color="auto"/>
        <w:bottom w:val="none" w:sz="0" w:space="0" w:color="auto"/>
        <w:right w:val="none" w:sz="0" w:space="0" w:color="auto"/>
      </w:divBdr>
    </w:div>
    <w:div w:id="1683697778">
      <w:bodyDiv w:val="1"/>
      <w:marLeft w:val="0"/>
      <w:marRight w:val="0"/>
      <w:marTop w:val="0"/>
      <w:marBottom w:val="0"/>
      <w:divBdr>
        <w:top w:val="none" w:sz="0" w:space="0" w:color="auto"/>
        <w:left w:val="none" w:sz="0" w:space="0" w:color="auto"/>
        <w:bottom w:val="none" w:sz="0" w:space="0" w:color="auto"/>
        <w:right w:val="none" w:sz="0" w:space="0" w:color="auto"/>
      </w:divBdr>
    </w:div>
    <w:div w:id="1684168129">
      <w:bodyDiv w:val="1"/>
      <w:marLeft w:val="0"/>
      <w:marRight w:val="0"/>
      <w:marTop w:val="0"/>
      <w:marBottom w:val="0"/>
      <w:divBdr>
        <w:top w:val="none" w:sz="0" w:space="0" w:color="auto"/>
        <w:left w:val="none" w:sz="0" w:space="0" w:color="auto"/>
        <w:bottom w:val="none" w:sz="0" w:space="0" w:color="auto"/>
        <w:right w:val="none" w:sz="0" w:space="0" w:color="auto"/>
      </w:divBdr>
    </w:div>
    <w:div w:id="1685935674">
      <w:bodyDiv w:val="1"/>
      <w:marLeft w:val="0"/>
      <w:marRight w:val="0"/>
      <w:marTop w:val="0"/>
      <w:marBottom w:val="0"/>
      <w:divBdr>
        <w:top w:val="none" w:sz="0" w:space="0" w:color="auto"/>
        <w:left w:val="none" w:sz="0" w:space="0" w:color="auto"/>
        <w:bottom w:val="none" w:sz="0" w:space="0" w:color="auto"/>
        <w:right w:val="none" w:sz="0" w:space="0" w:color="auto"/>
      </w:divBdr>
    </w:div>
    <w:div w:id="1692955832">
      <w:bodyDiv w:val="1"/>
      <w:marLeft w:val="0"/>
      <w:marRight w:val="0"/>
      <w:marTop w:val="0"/>
      <w:marBottom w:val="0"/>
      <w:divBdr>
        <w:top w:val="none" w:sz="0" w:space="0" w:color="auto"/>
        <w:left w:val="none" w:sz="0" w:space="0" w:color="auto"/>
        <w:bottom w:val="none" w:sz="0" w:space="0" w:color="auto"/>
        <w:right w:val="none" w:sz="0" w:space="0" w:color="auto"/>
      </w:divBdr>
    </w:div>
    <w:div w:id="1701080994">
      <w:bodyDiv w:val="1"/>
      <w:marLeft w:val="0"/>
      <w:marRight w:val="0"/>
      <w:marTop w:val="0"/>
      <w:marBottom w:val="0"/>
      <w:divBdr>
        <w:top w:val="none" w:sz="0" w:space="0" w:color="auto"/>
        <w:left w:val="none" w:sz="0" w:space="0" w:color="auto"/>
        <w:bottom w:val="none" w:sz="0" w:space="0" w:color="auto"/>
        <w:right w:val="none" w:sz="0" w:space="0" w:color="auto"/>
      </w:divBdr>
    </w:div>
    <w:div w:id="1704089171">
      <w:bodyDiv w:val="1"/>
      <w:marLeft w:val="0"/>
      <w:marRight w:val="0"/>
      <w:marTop w:val="0"/>
      <w:marBottom w:val="0"/>
      <w:divBdr>
        <w:top w:val="none" w:sz="0" w:space="0" w:color="auto"/>
        <w:left w:val="none" w:sz="0" w:space="0" w:color="auto"/>
        <w:bottom w:val="none" w:sz="0" w:space="0" w:color="auto"/>
        <w:right w:val="none" w:sz="0" w:space="0" w:color="auto"/>
      </w:divBdr>
    </w:div>
    <w:div w:id="1707441749">
      <w:bodyDiv w:val="1"/>
      <w:marLeft w:val="0"/>
      <w:marRight w:val="0"/>
      <w:marTop w:val="0"/>
      <w:marBottom w:val="0"/>
      <w:divBdr>
        <w:top w:val="none" w:sz="0" w:space="0" w:color="auto"/>
        <w:left w:val="none" w:sz="0" w:space="0" w:color="auto"/>
        <w:bottom w:val="none" w:sz="0" w:space="0" w:color="auto"/>
        <w:right w:val="none" w:sz="0" w:space="0" w:color="auto"/>
      </w:divBdr>
      <w:divsChild>
        <w:div w:id="398483779">
          <w:marLeft w:val="0"/>
          <w:marRight w:val="0"/>
          <w:marTop w:val="0"/>
          <w:marBottom w:val="0"/>
          <w:divBdr>
            <w:top w:val="none" w:sz="0" w:space="0" w:color="auto"/>
            <w:left w:val="none" w:sz="0" w:space="0" w:color="auto"/>
            <w:bottom w:val="none" w:sz="0" w:space="0" w:color="auto"/>
            <w:right w:val="none" w:sz="0" w:space="0" w:color="auto"/>
          </w:divBdr>
        </w:div>
        <w:div w:id="1601403740">
          <w:marLeft w:val="0"/>
          <w:marRight w:val="0"/>
          <w:marTop w:val="0"/>
          <w:marBottom w:val="0"/>
          <w:divBdr>
            <w:top w:val="none" w:sz="0" w:space="0" w:color="auto"/>
            <w:left w:val="none" w:sz="0" w:space="0" w:color="auto"/>
            <w:bottom w:val="none" w:sz="0" w:space="0" w:color="auto"/>
            <w:right w:val="none" w:sz="0" w:space="0" w:color="auto"/>
          </w:divBdr>
        </w:div>
      </w:divsChild>
    </w:div>
    <w:div w:id="1711689942">
      <w:bodyDiv w:val="1"/>
      <w:marLeft w:val="0"/>
      <w:marRight w:val="0"/>
      <w:marTop w:val="0"/>
      <w:marBottom w:val="0"/>
      <w:divBdr>
        <w:top w:val="none" w:sz="0" w:space="0" w:color="auto"/>
        <w:left w:val="none" w:sz="0" w:space="0" w:color="auto"/>
        <w:bottom w:val="none" w:sz="0" w:space="0" w:color="auto"/>
        <w:right w:val="none" w:sz="0" w:space="0" w:color="auto"/>
      </w:divBdr>
    </w:div>
    <w:div w:id="1712269491">
      <w:bodyDiv w:val="1"/>
      <w:marLeft w:val="0"/>
      <w:marRight w:val="0"/>
      <w:marTop w:val="0"/>
      <w:marBottom w:val="0"/>
      <w:divBdr>
        <w:top w:val="none" w:sz="0" w:space="0" w:color="auto"/>
        <w:left w:val="none" w:sz="0" w:space="0" w:color="auto"/>
        <w:bottom w:val="none" w:sz="0" w:space="0" w:color="auto"/>
        <w:right w:val="none" w:sz="0" w:space="0" w:color="auto"/>
      </w:divBdr>
    </w:div>
    <w:div w:id="1716002317">
      <w:bodyDiv w:val="1"/>
      <w:marLeft w:val="0"/>
      <w:marRight w:val="0"/>
      <w:marTop w:val="0"/>
      <w:marBottom w:val="0"/>
      <w:divBdr>
        <w:top w:val="none" w:sz="0" w:space="0" w:color="auto"/>
        <w:left w:val="none" w:sz="0" w:space="0" w:color="auto"/>
        <w:bottom w:val="none" w:sz="0" w:space="0" w:color="auto"/>
        <w:right w:val="none" w:sz="0" w:space="0" w:color="auto"/>
      </w:divBdr>
    </w:div>
    <w:div w:id="1721442235">
      <w:bodyDiv w:val="1"/>
      <w:marLeft w:val="0"/>
      <w:marRight w:val="0"/>
      <w:marTop w:val="0"/>
      <w:marBottom w:val="0"/>
      <w:divBdr>
        <w:top w:val="none" w:sz="0" w:space="0" w:color="auto"/>
        <w:left w:val="none" w:sz="0" w:space="0" w:color="auto"/>
        <w:bottom w:val="none" w:sz="0" w:space="0" w:color="auto"/>
        <w:right w:val="none" w:sz="0" w:space="0" w:color="auto"/>
      </w:divBdr>
    </w:div>
    <w:div w:id="1728186190">
      <w:bodyDiv w:val="1"/>
      <w:marLeft w:val="0"/>
      <w:marRight w:val="0"/>
      <w:marTop w:val="0"/>
      <w:marBottom w:val="0"/>
      <w:divBdr>
        <w:top w:val="none" w:sz="0" w:space="0" w:color="auto"/>
        <w:left w:val="none" w:sz="0" w:space="0" w:color="auto"/>
        <w:bottom w:val="none" w:sz="0" w:space="0" w:color="auto"/>
        <w:right w:val="none" w:sz="0" w:space="0" w:color="auto"/>
      </w:divBdr>
    </w:div>
    <w:div w:id="1728526633">
      <w:bodyDiv w:val="1"/>
      <w:marLeft w:val="0"/>
      <w:marRight w:val="0"/>
      <w:marTop w:val="0"/>
      <w:marBottom w:val="0"/>
      <w:divBdr>
        <w:top w:val="none" w:sz="0" w:space="0" w:color="auto"/>
        <w:left w:val="none" w:sz="0" w:space="0" w:color="auto"/>
        <w:bottom w:val="none" w:sz="0" w:space="0" w:color="auto"/>
        <w:right w:val="none" w:sz="0" w:space="0" w:color="auto"/>
      </w:divBdr>
      <w:divsChild>
        <w:div w:id="393939731">
          <w:marLeft w:val="0"/>
          <w:marRight w:val="0"/>
          <w:marTop w:val="0"/>
          <w:marBottom w:val="0"/>
          <w:divBdr>
            <w:top w:val="none" w:sz="0" w:space="0" w:color="auto"/>
            <w:left w:val="none" w:sz="0" w:space="0" w:color="auto"/>
            <w:bottom w:val="none" w:sz="0" w:space="0" w:color="auto"/>
            <w:right w:val="none" w:sz="0" w:space="0" w:color="auto"/>
          </w:divBdr>
          <w:divsChild>
            <w:div w:id="556280629">
              <w:marLeft w:val="0"/>
              <w:marRight w:val="0"/>
              <w:marTop w:val="0"/>
              <w:marBottom w:val="0"/>
              <w:divBdr>
                <w:top w:val="none" w:sz="0" w:space="0" w:color="auto"/>
                <w:left w:val="none" w:sz="0" w:space="0" w:color="auto"/>
                <w:bottom w:val="none" w:sz="0" w:space="0" w:color="auto"/>
                <w:right w:val="none" w:sz="0" w:space="0" w:color="auto"/>
              </w:divBdr>
              <w:divsChild>
                <w:div w:id="26531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810061">
      <w:bodyDiv w:val="1"/>
      <w:marLeft w:val="0"/>
      <w:marRight w:val="0"/>
      <w:marTop w:val="0"/>
      <w:marBottom w:val="0"/>
      <w:divBdr>
        <w:top w:val="none" w:sz="0" w:space="0" w:color="auto"/>
        <w:left w:val="none" w:sz="0" w:space="0" w:color="auto"/>
        <w:bottom w:val="none" w:sz="0" w:space="0" w:color="auto"/>
        <w:right w:val="none" w:sz="0" w:space="0" w:color="auto"/>
      </w:divBdr>
    </w:div>
    <w:div w:id="1732389476">
      <w:bodyDiv w:val="1"/>
      <w:marLeft w:val="0"/>
      <w:marRight w:val="0"/>
      <w:marTop w:val="0"/>
      <w:marBottom w:val="0"/>
      <w:divBdr>
        <w:top w:val="none" w:sz="0" w:space="0" w:color="auto"/>
        <w:left w:val="none" w:sz="0" w:space="0" w:color="auto"/>
        <w:bottom w:val="none" w:sz="0" w:space="0" w:color="auto"/>
        <w:right w:val="none" w:sz="0" w:space="0" w:color="auto"/>
      </w:divBdr>
    </w:div>
    <w:div w:id="1736469324">
      <w:bodyDiv w:val="1"/>
      <w:marLeft w:val="0"/>
      <w:marRight w:val="0"/>
      <w:marTop w:val="0"/>
      <w:marBottom w:val="0"/>
      <w:divBdr>
        <w:top w:val="none" w:sz="0" w:space="0" w:color="auto"/>
        <w:left w:val="none" w:sz="0" w:space="0" w:color="auto"/>
        <w:bottom w:val="none" w:sz="0" w:space="0" w:color="auto"/>
        <w:right w:val="none" w:sz="0" w:space="0" w:color="auto"/>
      </w:divBdr>
      <w:divsChild>
        <w:div w:id="266356503">
          <w:marLeft w:val="0"/>
          <w:marRight w:val="0"/>
          <w:marTop w:val="0"/>
          <w:marBottom w:val="0"/>
          <w:divBdr>
            <w:top w:val="none" w:sz="0" w:space="0" w:color="auto"/>
            <w:left w:val="none" w:sz="0" w:space="0" w:color="auto"/>
            <w:bottom w:val="none" w:sz="0" w:space="0" w:color="auto"/>
            <w:right w:val="none" w:sz="0" w:space="0" w:color="auto"/>
          </w:divBdr>
          <w:divsChild>
            <w:div w:id="622348430">
              <w:marLeft w:val="0"/>
              <w:marRight w:val="0"/>
              <w:marTop w:val="0"/>
              <w:marBottom w:val="0"/>
              <w:divBdr>
                <w:top w:val="none" w:sz="0" w:space="0" w:color="auto"/>
                <w:left w:val="none" w:sz="0" w:space="0" w:color="auto"/>
                <w:bottom w:val="none" w:sz="0" w:space="0" w:color="auto"/>
                <w:right w:val="none" w:sz="0" w:space="0" w:color="auto"/>
              </w:divBdr>
              <w:divsChild>
                <w:div w:id="156664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082416">
      <w:bodyDiv w:val="1"/>
      <w:marLeft w:val="0"/>
      <w:marRight w:val="0"/>
      <w:marTop w:val="0"/>
      <w:marBottom w:val="0"/>
      <w:divBdr>
        <w:top w:val="none" w:sz="0" w:space="0" w:color="auto"/>
        <w:left w:val="none" w:sz="0" w:space="0" w:color="auto"/>
        <w:bottom w:val="none" w:sz="0" w:space="0" w:color="auto"/>
        <w:right w:val="none" w:sz="0" w:space="0" w:color="auto"/>
      </w:divBdr>
      <w:divsChild>
        <w:div w:id="1925721677">
          <w:marLeft w:val="0"/>
          <w:marRight w:val="0"/>
          <w:marTop w:val="0"/>
          <w:marBottom w:val="0"/>
          <w:divBdr>
            <w:top w:val="none" w:sz="0" w:space="0" w:color="auto"/>
            <w:left w:val="none" w:sz="0" w:space="0" w:color="auto"/>
            <w:bottom w:val="none" w:sz="0" w:space="0" w:color="auto"/>
            <w:right w:val="none" w:sz="0" w:space="0" w:color="auto"/>
          </w:divBdr>
        </w:div>
      </w:divsChild>
    </w:div>
    <w:div w:id="1761826826">
      <w:bodyDiv w:val="1"/>
      <w:marLeft w:val="0"/>
      <w:marRight w:val="0"/>
      <w:marTop w:val="0"/>
      <w:marBottom w:val="0"/>
      <w:divBdr>
        <w:top w:val="none" w:sz="0" w:space="0" w:color="auto"/>
        <w:left w:val="none" w:sz="0" w:space="0" w:color="auto"/>
        <w:bottom w:val="none" w:sz="0" w:space="0" w:color="auto"/>
        <w:right w:val="none" w:sz="0" w:space="0" w:color="auto"/>
      </w:divBdr>
    </w:div>
    <w:div w:id="1770808260">
      <w:bodyDiv w:val="1"/>
      <w:marLeft w:val="0"/>
      <w:marRight w:val="0"/>
      <w:marTop w:val="0"/>
      <w:marBottom w:val="0"/>
      <w:divBdr>
        <w:top w:val="none" w:sz="0" w:space="0" w:color="auto"/>
        <w:left w:val="none" w:sz="0" w:space="0" w:color="auto"/>
        <w:bottom w:val="none" w:sz="0" w:space="0" w:color="auto"/>
        <w:right w:val="none" w:sz="0" w:space="0" w:color="auto"/>
      </w:divBdr>
    </w:div>
    <w:div w:id="1771047868">
      <w:bodyDiv w:val="1"/>
      <w:marLeft w:val="0"/>
      <w:marRight w:val="0"/>
      <w:marTop w:val="0"/>
      <w:marBottom w:val="0"/>
      <w:divBdr>
        <w:top w:val="none" w:sz="0" w:space="0" w:color="auto"/>
        <w:left w:val="none" w:sz="0" w:space="0" w:color="auto"/>
        <w:bottom w:val="none" w:sz="0" w:space="0" w:color="auto"/>
        <w:right w:val="none" w:sz="0" w:space="0" w:color="auto"/>
      </w:divBdr>
    </w:div>
    <w:div w:id="1775780534">
      <w:bodyDiv w:val="1"/>
      <w:marLeft w:val="0"/>
      <w:marRight w:val="0"/>
      <w:marTop w:val="0"/>
      <w:marBottom w:val="0"/>
      <w:divBdr>
        <w:top w:val="none" w:sz="0" w:space="0" w:color="auto"/>
        <w:left w:val="none" w:sz="0" w:space="0" w:color="auto"/>
        <w:bottom w:val="none" w:sz="0" w:space="0" w:color="auto"/>
        <w:right w:val="none" w:sz="0" w:space="0" w:color="auto"/>
      </w:divBdr>
      <w:divsChild>
        <w:div w:id="1805460842">
          <w:marLeft w:val="0"/>
          <w:marRight w:val="0"/>
          <w:marTop w:val="0"/>
          <w:marBottom w:val="0"/>
          <w:divBdr>
            <w:top w:val="none" w:sz="0" w:space="0" w:color="auto"/>
            <w:left w:val="none" w:sz="0" w:space="0" w:color="auto"/>
            <w:bottom w:val="none" w:sz="0" w:space="0" w:color="auto"/>
            <w:right w:val="none" w:sz="0" w:space="0" w:color="auto"/>
          </w:divBdr>
          <w:divsChild>
            <w:div w:id="1446924910">
              <w:marLeft w:val="0"/>
              <w:marRight w:val="0"/>
              <w:marTop w:val="0"/>
              <w:marBottom w:val="0"/>
              <w:divBdr>
                <w:top w:val="none" w:sz="0" w:space="0" w:color="auto"/>
                <w:left w:val="none" w:sz="0" w:space="0" w:color="auto"/>
                <w:bottom w:val="none" w:sz="0" w:space="0" w:color="auto"/>
                <w:right w:val="none" w:sz="0" w:space="0" w:color="auto"/>
              </w:divBdr>
              <w:divsChild>
                <w:div w:id="187526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666363">
      <w:bodyDiv w:val="1"/>
      <w:marLeft w:val="0"/>
      <w:marRight w:val="0"/>
      <w:marTop w:val="0"/>
      <w:marBottom w:val="0"/>
      <w:divBdr>
        <w:top w:val="none" w:sz="0" w:space="0" w:color="auto"/>
        <w:left w:val="none" w:sz="0" w:space="0" w:color="auto"/>
        <w:bottom w:val="none" w:sz="0" w:space="0" w:color="auto"/>
        <w:right w:val="none" w:sz="0" w:space="0" w:color="auto"/>
      </w:divBdr>
    </w:div>
    <w:div w:id="1791894009">
      <w:bodyDiv w:val="1"/>
      <w:marLeft w:val="0"/>
      <w:marRight w:val="0"/>
      <w:marTop w:val="0"/>
      <w:marBottom w:val="0"/>
      <w:divBdr>
        <w:top w:val="none" w:sz="0" w:space="0" w:color="auto"/>
        <w:left w:val="none" w:sz="0" w:space="0" w:color="auto"/>
        <w:bottom w:val="none" w:sz="0" w:space="0" w:color="auto"/>
        <w:right w:val="none" w:sz="0" w:space="0" w:color="auto"/>
      </w:divBdr>
    </w:div>
    <w:div w:id="1792554288">
      <w:bodyDiv w:val="1"/>
      <w:marLeft w:val="0"/>
      <w:marRight w:val="0"/>
      <w:marTop w:val="0"/>
      <w:marBottom w:val="0"/>
      <w:divBdr>
        <w:top w:val="none" w:sz="0" w:space="0" w:color="auto"/>
        <w:left w:val="none" w:sz="0" w:space="0" w:color="auto"/>
        <w:bottom w:val="none" w:sz="0" w:space="0" w:color="auto"/>
        <w:right w:val="none" w:sz="0" w:space="0" w:color="auto"/>
      </w:divBdr>
      <w:divsChild>
        <w:div w:id="596443487">
          <w:marLeft w:val="0"/>
          <w:marRight w:val="0"/>
          <w:marTop w:val="0"/>
          <w:marBottom w:val="360"/>
          <w:divBdr>
            <w:top w:val="none" w:sz="0" w:space="0" w:color="auto"/>
            <w:left w:val="none" w:sz="0" w:space="0" w:color="auto"/>
            <w:bottom w:val="none" w:sz="0" w:space="0" w:color="auto"/>
            <w:right w:val="none" w:sz="0" w:space="0" w:color="auto"/>
          </w:divBdr>
        </w:div>
        <w:div w:id="881212947">
          <w:marLeft w:val="0"/>
          <w:marRight w:val="0"/>
          <w:marTop w:val="0"/>
          <w:marBottom w:val="0"/>
          <w:divBdr>
            <w:top w:val="none" w:sz="0" w:space="0" w:color="auto"/>
            <w:left w:val="none" w:sz="0" w:space="0" w:color="auto"/>
            <w:bottom w:val="none" w:sz="0" w:space="0" w:color="auto"/>
            <w:right w:val="none" w:sz="0" w:space="0" w:color="auto"/>
          </w:divBdr>
        </w:div>
      </w:divsChild>
    </w:div>
    <w:div w:id="1796558816">
      <w:bodyDiv w:val="1"/>
      <w:marLeft w:val="0"/>
      <w:marRight w:val="0"/>
      <w:marTop w:val="0"/>
      <w:marBottom w:val="0"/>
      <w:divBdr>
        <w:top w:val="none" w:sz="0" w:space="0" w:color="auto"/>
        <w:left w:val="none" w:sz="0" w:space="0" w:color="auto"/>
        <w:bottom w:val="none" w:sz="0" w:space="0" w:color="auto"/>
        <w:right w:val="none" w:sz="0" w:space="0" w:color="auto"/>
      </w:divBdr>
    </w:div>
    <w:div w:id="1796634839">
      <w:bodyDiv w:val="1"/>
      <w:marLeft w:val="0"/>
      <w:marRight w:val="0"/>
      <w:marTop w:val="0"/>
      <w:marBottom w:val="0"/>
      <w:divBdr>
        <w:top w:val="none" w:sz="0" w:space="0" w:color="auto"/>
        <w:left w:val="none" w:sz="0" w:space="0" w:color="auto"/>
        <w:bottom w:val="none" w:sz="0" w:space="0" w:color="auto"/>
        <w:right w:val="none" w:sz="0" w:space="0" w:color="auto"/>
      </w:divBdr>
      <w:divsChild>
        <w:div w:id="1429471315">
          <w:marLeft w:val="0"/>
          <w:marRight w:val="0"/>
          <w:marTop w:val="0"/>
          <w:marBottom w:val="0"/>
          <w:divBdr>
            <w:top w:val="none" w:sz="0" w:space="0" w:color="auto"/>
            <w:left w:val="none" w:sz="0" w:space="0" w:color="auto"/>
            <w:bottom w:val="none" w:sz="0" w:space="0" w:color="auto"/>
            <w:right w:val="none" w:sz="0" w:space="0" w:color="auto"/>
          </w:divBdr>
          <w:divsChild>
            <w:div w:id="150803759">
              <w:marLeft w:val="0"/>
              <w:marRight w:val="0"/>
              <w:marTop w:val="0"/>
              <w:marBottom w:val="0"/>
              <w:divBdr>
                <w:top w:val="none" w:sz="0" w:space="0" w:color="auto"/>
                <w:left w:val="none" w:sz="0" w:space="0" w:color="auto"/>
                <w:bottom w:val="none" w:sz="0" w:space="0" w:color="auto"/>
                <w:right w:val="none" w:sz="0" w:space="0" w:color="auto"/>
              </w:divBdr>
            </w:div>
            <w:div w:id="1211334450">
              <w:marLeft w:val="0"/>
              <w:marRight w:val="0"/>
              <w:marTop w:val="0"/>
              <w:marBottom w:val="0"/>
              <w:divBdr>
                <w:top w:val="none" w:sz="0" w:space="0" w:color="auto"/>
                <w:left w:val="none" w:sz="0" w:space="0" w:color="auto"/>
                <w:bottom w:val="none" w:sz="0" w:space="0" w:color="auto"/>
                <w:right w:val="none" w:sz="0" w:space="0" w:color="auto"/>
              </w:divBdr>
            </w:div>
          </w:divsChild>
        </w:div>
        <w:div w:id="1910269992">
          <w:marLeft w:val="0"/>
          <w:marRight w:val="0"/>
          <w:marTop w:val="0"/>
          <w:marBottom w:val="0"/>
          <w:divBdr>
            <w:top w:val="none" w:sz="0" w:space="0" w:color="auto"/>
            <w:left w:val="none" w:sz="0" w:space="0" w:color="auto"/>
            <w:bottom w:val="none" w:sz="0" w:space="0" w:color="auto"/>
            <w:right w:val="none" w:sz="0" w:space="0" w:color="auto"/>
          </w:divBdr>
        </w:div>
      </w:divsChild>
    </w:div>
    <w:div w:id="1797720764">
      <w:bodyDiv w:val="1"/>
      <w:marLeft w:val="0"/>
      <w:marRight w:val="0"/>
      <w:marTop w:val="0"/>
      <w:marBottom w:val="0"/>
      <w:divBdr>
        <w:top w:val="none" w:sz="0" w:space="0" w:color="auto"/>
        <w:left w:val="none" w:sz="0" w:space="0" w:color="auto"/>
        <w:bottom w:val="none" w:sz="0" w:space="0" w:color="auto"/>
        <w:right w:val="none" w:sz="0" w:space="0" w:color="auto"/>
      </w:divBdr>
    </w:div>
    <w:div w:id="1802112203">
      <w:bodyDiv w:val="1"/>
      <w:marLeft w:val="0"/>
      <w:marRight w:val="0"/>
      <w:marTop w:val="0"/>
      <w:marBottom w:val="0"/>
      <w:divBdr>
        <w:top w:val="none" w:sz="0" w:space="0" w:color="auto"/>
        <w:left w:val="none" w:sz="0" w:space="0" w:color="auto"/>
        <w:bottom w:val="none" w:sz="0" w:space="0" w:color="auto"/>
        <w:right w:val="none" w:sz="0" w:space="0" w:color="auto"/>
      </w:divBdr>
    </w:div>
    <w:div w:id="1806701780">
      <w:bodyDiv w:val="1"/>
      <w:marLeft w:val="0"/>
      <w:marRight w:val="0"/>
      <w:marTop w:val="0"/>
      <w:marBottom w:val="0"/>
      <w:divBdr>
        <w:top w:val="none" w:sz="0" w:space="0" w:color="auto"/>
        <w:left w:val="none" w:sz="0" w:space="0" w:color="auto"/>
        <w:bottom w:val="none" w:sz="0" w:space="0" w:color="auto"/>
        <w:right w:val="none" w:sz="0" w:space="0" w:color="auto"/>
      </w:divBdr>
    </w:div>
    <w:div w:id="1808011702">
      <w:bodyDiv w:val="1"/>
      <w:marLeft w:val="0"/>
      <w:marRight w:val="0"/>
      <w:marTop w:val="0"/>
      <w:marBottom w:val="0"/>
      <w:divBdr>
        <w:top w:val="none" w:sz="0" w:space="0" w:color="auto"/>
        <w:left w:val="none" w:sz="0" w:space="0" w:color="auto"/>
        <w:bottom w:val="none" w:sz="0" w:space="0" w:color="auto"/>
        <w:right w:val="none" w:sz="0" w:space="0" w:color="auto"/>
      </w:divBdr>
    </w:div>
    <w:div w:id="1811559649">
      <w:bodyDiv w:val="1"/>
      <w:marLeft w:val="0"/>
      <w:marRight w:val="0"/>
      <w:marTop w:val="0"/>
      <w:marBottom w:val="0"/>
      <w:divBdr>
        <w:top w:val="none" w:sz="0" w:space="0" w:color="auto"/>
        <w:left w:val="none" w:sz="0" w:space="0" w:color="auto"/>
        <w:bottom w:val="none" w:sz="0" w:space="0" w:color="auto"/>
        <w:right w:val="none" w:sz="0" w:space="0" w:color="auto"/>
      </w:divBdr>
    </w:div>
    <w:div w:id="1813013307">
      <w:bodyDiv w:val="1"/>
      <w:marLeft w:val="0"/>
      <w:marRight w:val="0"/>
      <w:marTop w:val="0"/>
      <w:marBottom w:val="0"/>
      <w:divBdr>
        <w:top w:val="none" w:sz="0" w:space="0" w:color="auto"/>
        <w:left w:val="none" w:sz="0" w:space="0" w:color="auto"/>
        <w:bottom w:val="none" w:sz="0" w:space="0" w:color="auto"/>
        <w:right w:val="none" w:sz="0" w:space="0" w:color="auto"/>
      </w:divBdr>
      <w:divsChild>
        <w:div w:id="1294868338">
          <w:marLeft w:val="0"/>
          <w:marRight w:val="0"/>
          <w:marTop w:val="0"/>
          <w:marBottom w:val="0"/>
          <w:divBdr>
            <w:top w:val="none" w:sz="0" w:space="0" w:color="auto"/>
            <w:left w:val="none" w:sz="0" w:space="0" w:color="auto"/>
            <w:bottom w:val="none" w:sz="0" w:space="0" w:color="auto"/>
            <w:right w:val="none" w:sz="0" w:space="0" w:color="auto"/>
          </w:divBdr>
        </w:div>
        <w:div w:id="1474172280">
          <w:marLeft w:val="0"/>
          <w:marRight w:val="0"/>
          <w:marTop w:val="0"/>
          <w:marBottom w:val="0"/>
          <w:divBdr>
            <w:top w:val="none" w:sz="0" w:space="0" w:color="auto"/>
            <w:left w:val="none" w:sz="0" w:space="0" w:color="auto"/>
            <w:bottom w:val="none" w:sz="0" w:space="0" w:color="auto"/>
            <w:right w:val="none" w:sz="0" w:space="0" w:color="auto"/>
          </w:divBdr>
        </w:div>
        <w:div w:id="975573955">
          <w:marLeft w:val="0"/>
          <w:marRight w:val="0"/>
          <w:marTop w:val="0"/>
          <w:marBottom w:val="0"/>
          <w:divBdr>
            <w:top w:val="none" w:sz="0" w:space="0" w:color="auto"/>
            <w:left w:val="none" w:sz="0" w:space="0" w:color="auto"/>
            <w:bottom w:val="none" w:sz="0" w:space="0" w:color="auto"/>
            <w:right w:val="none" w:sz="0" w:space="0" w:color="auto"/>
          </w:divBdr>
        </w:div>
        <w:div w:id="1064916416">
          <w:marLeft w:val="0"/>
          <w:marRight w:val="0"/>
          <w:marTop w:val="0"/>
          <w:marBottom w:val="0"/>
          <w:divBdr>
            <w:top w:val="none" w:sz="0" w:space="0" w:color="auto"/>
            <w:left w:val="none" w:sz="0" w:space="0" w:color="auto"/>
            <w:bottom w:val="none" w:sz="0" w:space="0" w:color="auto"/>
            <w:right w:val="none" w:sz="0" w:space="0" w:color="auto"/>
          </w:divBdr>
        </w:div>
        <w:div w:id="1491631092">
          <w:marLeft w:val="0"/>
          <w:marRight w:val="0"/>
          <w:marTop w:val="0"/>
          <w:marBottom w:val="0"/>
          <w:divBdr>
            <w:top w:val="none" w:sz="0" w:space="0" w:color="auto"/>
            <w:left w:val="none" w:sz="0" w:space="0" w:color="auto"/>
            <w:bottom w:val="none" w:sz="0" w:space="0" w:color="auto"/>
            <w:right w:val="none" w:sz="0" w:space="0" w:color="auto"/>
          </w:divBdr>
        </w:div>
      </w:divsChild>
    </w:div>
    <w:div w:id="1824463254">
      <w:bodyDiv w:val="1"/>
      <w:marLeft w:val="0"/>
      <w:marRight w:val="0"/>
      <w:marTop w:val="0"/>
      <w:marBottom w:val="0"/>
      <w:divBdr>
        <w:top w:val="none" w:sz="0" w:space="0" w:color="auto"/>
        <w:left w:val="none" w:sz="0" w:space="0" w:color="auto"/>
        <w:bottom w:val="none" w:sz="0" w:space="0" w:color="auto"/>
        <w:right w:val="none" w:sz="0" w:space="0" w:color="auto"/>
      </w:divBdr>
    </w:div>
    <w:div w:id="1828088976">
      <w:bodyDiv w:val="1"/>
      <w:marLeft w:val="0"/>
      <w:marRight w:val="0"/>
      <w:marTop w:val="0"/>
      <w:marBottom w:val="0"/>
      <w:divBdr>
        <w:top w:val="none" w:sz="0" w:space="0" w:color="auto"/>
        <w:left w:val="none" w:sz="0" w:space="0" w:color="auto"/>
        <w:bottom w:val="none" w:sz="0" w:space="0" w:color="auto"/>
        <w:right w:val="none" w:sz="0" w:space="0" w:color="auto"/>
      </w:divBdr>
      <w:divsChild>
        <w:div w:id="532887745">
          <w:marLeft w:val="0"/>
          <w:marRight w:val="0"/>
          <w:marTop w:val="0"/>
          <w:marBottom w:val="0"/>
          <w:divBdr>
            <w:top w:val="none" w:sz="0" w:space="0" w:color="auto"/>
            <w:left w:val="none" w:sz="0" w:space="0" w:color="auto"/>
            <w:bottom w:val="none" w:sz="0" w:space="0" w:color="auto"/>
            <w:right w:val="none" w:sz="0" w:space="0" w:color="auto"/>
          </w:divBdr>
          <w:divsChild>
            <w:div w:id="1923370584">
              <w:marLeft w:val="0"/>
              <w:marRight w:val="0"/>
              <w:marTop w:val="0"/>
              <w:marBottom w:val="0"/>
              <w:divBdr>
                <w:top w:val="none" w:sz="0" w:space="0" w:color="auto"/>
                <w:left w:val="none" w:sz="0" w:space="0" w:color="auto"/>
                <w:bottom w:val="none" w:sz="0" w:space="0" w:color="auto"/>
                <w:right w:val="none" w:sz="0" w:space="0" w:color="auto"/>
              </w:divBdr>
              <w:divsChild>
                <w:div w:id="156395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244735">
      <w:bodyDiv w:val="1"/>
      <w:marLeft w:val="0"/>
      <w:marRight w:val="0"/>
      <w:marTop w:val="0"/>
      <w:marBottom w:val="0"/>
      <w:divBdr>
        <w:top w:val="none" w:sz="0" w:space="0" w:color="auto"/>
        <w:left w:val="none" w:sz="0" w:space="0" w:color="auto"/>
        <w:bottom w:val="none" w:sz="0" w:space="0" w:color="auto"/>
        <w:right w:val="none" w:sz="0" w:space="0" w:color="auto"/>
      </w:divBdr>
    </w:div>
    <w:div w:id="1845703766">
      <w:bodyDiv w:val="1"/>
      <w:marLeft w:val="0"/>
      <w:marRight w:val="0"/>
      <w:marTop w:val="0"/>
      <w:marBottom w:val="0"/>
      <w:divBdr>
        <w:top w:val="none" w:sz="0" w:space="0" w:color="auto"/>
        <w:left w:val="none" w:sz="0" w:space="0" w:color="auto"/>
        <w:bottom w:val="none" w:sz="0" w:space="0" w:color="auto"/>
        <w:right w:val="none" w:sz="0" w:space="0" w:color="auto"/>
      </w:divBdr>
      <w:divsChild>
        <w:div w:id="773289381">
          <w:marLeft w:val="0"/>
          <w:marRight w:val="0"/>
          <w:marTop w:val="0"/>
          <w:marBottom w:val="0"/>
          <w:divBdr>
            <w:top w:val="none" w:sz="0" w:space="0" w:color="auto"/>
            <w:left w:val="none" w:sz="0" w:space="0" w:color="auto"/>
            <w:bottom w:val="none" w:sz="0" w:space="0" w:color="auto"/>
            <w:right w:val="none" w:sz="0" w:space="0" w:color="auto"/>
          </w:divBdr>
          <w:divsChild>
            <w:div w:id="1174343962">
              <w:marLeft w:val="0"/>
              <w:marRight w:val="0"/>
              <w:marTop w:val="0"/>
              <w:marBottom w:val="0"/>
              <w:divBdr>
                <w:top w:val="none" w:sz="0" w:space="0" w:color="auto"/>
                <w:left w:val="none" w:sz="0" w:space="0" w:color="auto"/>
                <w:bottom w:val="none" w:sz="0" w:space="0" w:color="auto"/>
                <w:right w:val="none" w:sz="0" w:space="0" w:color="auto"/>
              </w:divBdr>
              <w:divsChild>
                <w:div w:id="200936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976078">
      <w:bodyDiv w:val="1"/>
      <w:marLeft w:val="0"/>
      <w:marRight w:val="0"/>
      <w:marTop w:val="0"/>
      <w:marBottom w:val="0"/>
      <w:divBdr>
        <w:top w:val="none" w:sz="0" w:space="0" w:color="auto"/>
        <w:left w:val="none" w:sz="0" w:space="0" w:color="auto"/>
        <w:bottom w:val="none" w:sz="0" w:space="0" w:color="auto"/>
        <w:right w:val="none" w:sz="0" w:space="0" w:color="auto"/>
      </w:divBdr>
    </w:div>
    <w:div w:id="1846748481">
      <w:bodyDiv w:val="1"/>
      <w:marLeft w:val="0"/>
      <w:marRight w:val="0"/>
      <w:marTop w:val="0"/>
      <w:marBottom w:val="0"/>
      <w:divBdr>
        <w:top w:val="none" w:sz="0" w:space="0" w:color="auto"/>
        <w:left w:val="none" w:sz="0" w:space="0" w:color="auto"/>
        <w:bottom w:val="none" w:sz="0" w:space="0" w:color="auto"/>
        <w:right w:val="none" w:sz="0" w:space="0" w:color="auto"/>
      </w:divBdr>
      <w:divsChild>
        <w:div w:id="519706849">
          <w:marLeft w:val="0"/>
          <w:marRight w:val="0"/>
          <w:marTop w:val="0"/>
          <w:marBottom w:val="0"/>
          <w:divBdr>
            <w:top w:val="none" w:sz="0" w:space="0" w:color="auto"/>
            <w:left w:val="none" w:sz="0" w:space="0" w:color="auto"/>
            <w:bottom w:val="none" w:sz="0" w:space="0" w:color="auto"/>
            <w:right w:val="none" w:sz="0" w:space="0" w:color="auto"/>
          </w:divBdr>
        </w:div>
        <w:div w:id="2014142734">
          <w:marLeft w:val="0"/>
          <w:marRight w:val="0"/>
          <w:marTop w:val="0"/>
          <w:marBottom w:val="0"/>
          <w:divBdr>
            <w:top w:val="none" w:sz="0" w:space="0" w:color="auto"/>
            <w:left w:val="none" w:sz="0" w:space="0" w:color="auto"/>
            <w:bottom w:val="none" w:sz="0" w:space="0" w:color="auto"/>
            <w:right w:val="none" w:sz="0" w:space="0" w:color="auto"/>
          </w:divBdr>
        </w:div>
      </w:divsChild>
    </w:div>
    <w:div w:id="1851409450">
      <w:bodyDiv w:val="1"/>
      <w:marLeft w:val="0"/>
      <w:marRight w:val="0"/>
      <w:marTop w:val="0"/>
      <w:marBottom w:val="0"/>
      <w:divBdr>
        <w:top w:val="none" w:sz="0" w:space="0" w:color="auto"/>
        <w:left w:val="none" w:sz="0" w:space="0" w:color="auto"/>
        <w:bottom w:val="none" w:sz="0" w:space="0" w:color="auto"/>
        <w:right w:val="none" w:sz="0" w:space="0" w:color="auto"/>
      </w:divBdr>
      <w:divsChild>
        <w:div w:id="1385178107">
          <w:marLeft w:val="0"/>
          <w:marRight w:val="0"/>
          <w:marTop w:val="0"/>
          <w:marBottom w:val="0"/>
          <w:divBdr>
            <w:top w:val="none" w:sz="0" w:space="0" w:color="auto"/>
            <w:left w:val="none" w:sz="0" w:space="0" w:color="auto"/>
            <w:bottom w:val="none" w:sz="0" w:space="0" w:color="auto"/>
            <w:right w:val="none" w:sz="0" w:space="0" w:color="auto"/>
          </w:divBdr>
          <w:divsChild>
            <w:div w:id="192891464">
              <w:marLeft w:val="0"/>
              <w:marRight w:val="0"/>
              <w:marTop w:val="0"/>
              <w:marBottom w:val="0"/>
              <w:divBdr>
                <w:top w:val="none" w:sz="0" w:space="0" w:color="auto"/>
                <w:left w:val="none" w:sz="0" w:space="0" w:color="auto"/>
                <w:bottom w:val="none" w:sz="0" w:space="0" w:color="auto"/>
                <w:right w:val="none" w:sz="0" w:space="0" w:color="auto"/>
              </w:divBdr>
              <w:divsChild>
                <w:div w:id="6619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804051">
      <w:bodyDiv w:val="1"/>
      <w:marLeft w:val="0"/>
      <w:marRight w:val="0"/>
      <w:marTop w:val="0"/>
      <w:marBottom w:val="0"/>
      <w:divBdr>
        <w:top w:val="none" w:sz="0" w:space="0" w:color="auto"/>
        <w:left w:val="none" w:sz="0" w:space="0" w:color="auto"/>
        <w:bottom w:val="none" w:sz="0" w:space="0" w:color="auto"/>
        <w:right w:val="none" w:sz="0" w:space="0" w:color="auto"/>
      </w:divBdr>
    </w:div>
    <w:div w:id="1859149446">
      <w:bodyDiv w:val="1"/>
      <w:marLeft w:val="0"/>
      <w:marRight w:val="0"/>
      <w:marTop w:val="0"/>
      <w:marBottom w:val="0"/>
      <w:divBdr>
        <w:top w:val="none" w:sz="0" w:space="0" w:color="auto"/>
        <w:left w:val="none" w:sz="0" w:space="0" w:color="auto"/>
        <w:bottom w:val="none" w:sz="0" w:space="0" w:color="auto"/>
        <w:right w:val="none" w:sz="0" w:space="0" w:color="auto"/>
      </w:divBdr>
    </w:div>
    <w:div w:id="1877690174">
      <w:bodyDiv w:val="1"/>
      <w:marLeft w:val="0"/>
      <w:marRight w:val="0"/>
      <w:marTop w:val="0"/>
      <w:marBottom w:val="0"/>
      <w:divBdr>
        <w:top w:val="none" w:sz="0" w:space="0" w:color="auto"/>
        <w:left w:val="none" w:sz="0" w:space="0" w:color="auto"/>
        <w:bottom w:val="none" w:sz="0" w:space="0" w:color="auto"/>
        <w:right w:val="none" w:sz="0" w:space="0" w:color="auto"/>
      </w:divBdr>
    </w:div>
    <w:div w:id="1877695633">
      <w:bodyDiv w:val="1"/>
      <w:marLeft w:val="0"/>
      <w:marRight w:val="0"/>
      <w:marTop w:val="0"/>
      <w:marBottom w:val="0"/>
      <w:divBdr>
        <w:top w:val="none" w:sz="0" w:space="0" w:color="auto"/>
        <w:left w:val="none" w:sz="0" w:space="0" w:color="auto"/>
        <w:bottom w:val="none" w:sz="0" w:space="0" w:color="auto"/>
        <w:right w:val="none" w:sz="0" w:space="0" w:color="auto"/>
      </w:divBdr>
    </w:div>
    <w:div w:id="1890072356">
      <w:bodyDiv w:val="1"/>
      <w:marLeft w:val="0"/>
      <w:marRight w:val="0"/>
      <w:marTop w:val="0"/>
      <w:marBottom w:val="0"/>
      <w:divBdr>
        <w:top w:val="none" w:sz="0" w:space="0" w:color="auto"/>
        <w:left w:val="none" w:sz="0" w:space="0" w:color="auto"/>
        <w:bottom w:val="none" w:sz="0" w:space="0" w:color="auto"/>
        <w:right w:val="none" w:sz="0" w:space="0" w:color="auto"/>
      </w:divBdr>
      <w:divsChild>
        <w:div w:id="573508365">
          <w:marLeft w:val="0"/>
          <w:marRight w:val="0"/>
          <w:marTop w:val="0"/>
          <w:marBottom w:val="0"/>
          <w:divBdr>
            <w:top w:val="none" w:sz="0" w:space="0" w:color="auto"/>
            <w:left w:val="none" w:sz="0" w:space="0" w:color="auto"/>
            <w:bottom w:val="none" w:sz="0" w:space="0" w:color="auto"/>
            <w:right w:val="none" w:sz="0" w:space="0" w:color="auto"/>
          </w:divBdr>
          <w:divsChild>
            <w:div w:id="1747608330">
              <w:marLeft w:val="0"/>
              <w:marRight w:val="0"/>
              <w:marTop w:val="0"/>
              <w:marBottom w:val="0"/>
              <w:divBdr>
                <w:top w:val="none" w:sz="0" w:space="0" w:color="auto"/>
                <w:left w:val="none" w:sz="0" w:space="0" w:color="auto"/>
                <w:bottom w:val="none" w:sz="0" w:space="0" w:color="auto"/>
                <w:right w:val="none" w:sz="0" w:space="0" w:color="auto"/>
              </w:divBdr>
              <w:divsChild>
                <w:div w:id="12820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87633">
      <w:bodyDiv w:val="1"/>
      <w:marLeft w:val="0"/>
      <w:marRight w:val="0"/>
      <w:marTop w:val="0"/>
      <w:marBottom w:val="0"/>
      <w:divBdr>
        <w:top w:val="none" w:sz="0" w:space="0" w:color="auto"/>
        <w:left w:val="none" w:sz="0" w:space="0" w:color="auto"/>
        <w:bottom w:val="none" w:sz="0" w:space="0" w:color="auto"/>
        <w:right w:val="none" w:sz="0" w:space="0" w:color="auto"/>
      </w:divBdr>
    </w:div>
    <w:div w:id="1901404379">
      <w:bodyDiv w:val="1"/>
      <w:marLeft w:val="0"/>
      <w:marRight w:val="0"/>
      <w:marTop w:val="0"/>
      <w:marBottom w:val="0"/>
      <w:divBdr>
        <w:top w:val="none" w:sz="0" w:space="0" w:color="auto"/>
        <w:left w:val="none" w:sz="0" w:space="0" w:color="auto"/>
        <w:bottom w:val="none" w:sz="0" w:space="0" w:color="auto"/>
        <w:right w:val="none" w:sz="0" w:space="0" w:color="auto"/>
      </w:divBdr>
    </w:div>
    <w:div w:id="1901557382">
      <w:bodyDiv w:val="1"/>
      <w:marLeft w:val="0"/>
      <w:marRight w:val="0"/>
      <w:marTop w:val="0"/>
      <w:marBottom w:val="0"/>
      <w:divBdr>
        <w:top w:val="none" w:sz="0" w:space="0" w:color="auto"/>
        <w:left w:val="none" w:sz="0" w:space="0" w:color="auto"/>
        <w:bottom w:val="none" w:sz="0" w:space="0" w:color="auto"/>
        <w:right w:val="none" w:sz="0" w:space="0" w:color="auto"/>
      </w:divBdr>
      <w:divsChild>
        <w:div w:id="1299258623">
          <w:marLeft w:val="0"/>
          <w:marRight w:val="0"/>
          <w:marTop w:val="0"/>
          <w:marBottom w:val="0"/>
          <w:divBdr>
            <w:top w:val="none" w:sz="0" w:space="0" w:color="auto"/>
            <w:left w:val="none" w:sz="0" w:space="0" w:color="auto"/>
            <w:bottom w:val="none" w:sz="0" w:space="0" w:color="auto"/>
            <w:right w:val="none" w:sz="0" w:space="0" w:color="auto"/>
          </w:divBdr>
          <w:divsChild>
            <w:div w:id="979581014">
              <w:marLeft w:val="0"/>
              <w:marRight w:val="0"/>
              <w:marTop w:val="0"/>
              <w:marBottom w:val="0"/>
              <w:divBdr>
                <w:top w:val="none" w:sz="0" w:space="0" w:color="auto"/>
                <w:left w:val="none" w:sz="0" w:space="0" w:color="auto"/>
                <w:bottom w:val="none" w:sz="0" w:space="0" w:color="auto"/>
                <w:right w:val="none" w:sz="0" w:space="0" w:color="auto"/>
              </w:divBdr>
              <w:divsChild>
                <w:div w:id="1258447707">
                  <w:marLeft w:val="0"/>
                  <w:marRight w:val="0"/>
                  <w:marTop w:val="0"/>
                  <w:marBottom w:val="0"/>
                  <w:divBdr>
                    <w:top w:val="none" w:sz="0" w:space="0" w:color="auto"/>
                    <w:left w:val="none" w:sz="0" w:space="0" w:color="auto"/>
                    <w:bottom w:val="none" w:sz="0" w:space="0" w:color="auto"/>
                    <w:right w:val="none" w:sz="0" w:space="0" w:color="auto"/>
                  </w:divBdr>
                  <w:divsChild>
                    <w:div w:id="204586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131345">
      <w:bodyDiv w:val="1"/>
      <w:marLeft w:val="0"/>
      <w:marRight w:val="0"/>
      <w:marTop w:val="0"/>
      <w:marBottom w:val="0"/>
      <w:divBdr>
        <w:top w:val="none" w:sz="0" w:space="0" w:color="auto"/>
        <w:left w:val="none" w:sz="0" w:space="0" w:color="auto"/>
        <w:bottom w:val="none" w:sz="0" w:space="0" w:color="auto"/>
        <w:right w:val="none" w:sz="0" w:space="0" w:color="auto"/>
      </w:divBdr>
      <w:divsChild>
        <w:div w:id="1078944811">
          <w:marLeft w:val="0"/>
          <w:marRight w:val="0"/>
          <w:marTop w:val="0"/>
          <w:marBottom w:val="0"/>
          <w:divBdr>
            <w:top w:val="none" w:sz="0" w:space="0" w:color="auto"/>
            <w:left w:val="none" w:sz="0" w:space="0" w:color="auto"/>
            <w:bottom w:val="none" w:sz="0" w:space="0" w:color="auto"/>
            <w:right w:val="none" w:sz="0" w:space="0" w:color="auto"/>
          </w:divBdr>
          <w:divsChild>
            <w:div w:id="705331020">
              <w:marLeft w:val="0"/>
              <w:marRight w:val="0"/>
              <w:marTop w:val="0"/>
              <w:marBottom w:val="0"/>
              <w:divBdr>
                <w:top w:val="none" w:sz="0" w:space="0" w:color="auto"/>
                <w:left w:val="none" w:sz="0" w:space="0" w:color="auto"/>
                <w:bottom w:val="none" w:sz="0" w:space="0" w:color="auto"/>
                <w:right w:val="none" w:sz="0" w:space="0" w:color="auto"/>
              </w:divBdr>
              <w:divsChild>
                <w:div w:id="7301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803053">
      <w:bodyDiv w:val="1"/>
      <w:marLeft w:val="0"/>
      <w:marRight w:val="0"/>
      <w:marTop w:val="0"/>
      <w:marBottom w:val="0"/>
      <w:divBdr>
        <w:top w:val="none" w:sz="0" w:space="0" w:color="auto"/>
        <w:left w:val="none" w:sz="0" w:space="0" w:color="auto"/>
        <w:bottom w:val="none" w:sz="0" w:space="0" w:color="auto"/>
        <w:right w:val="none" w:sz="0" w:space="0" w:color="auto"/>
      </w:divBdr>
    </w:div>
    <w:div w:id="1914389121">
      <w:bodyDiv w:val="1"/>
      <w:marLeft w:val="0"/>
      <w:marRight w:val="0"/>
      <w:marTop w:val="0"/>
      <w:marBottom w:val="0"/>
      <w:divBdr>
        <w:top w:val="none" w:sz="0" w:space="0" w:color="auto"/>
        <w:left w:val="none" w:sz="0" w:space="0" w:color="auto"/>
        <w:bottom w:val="none" w:sz="0" w:space="0" w:color="auto"/>
        <w:right w:val="none" w:sz="0" w:space="0" w:color="auto"/>
      </w:divBdr>
    </w:div>
    <w:div w:id="1917785302">
      <w:bodyDiv w:val="1"/>
      <w:marLeft w:val="0"/>
      <w:marRight w:val="0"/>
      <w:marTop w:val="0"/>
      <w:marBottom w:val="0"/>
      <w:divBdr>
        <w:top w:val="none" w:sz="0" w:space="0" w:color="auto"/>
        <w:left w:val="none" w:sz="0" w:space="0" w:color="auto"/>
        <w:bottom w:val="none" w:sz="0" w:space="0" w:color="auto"/>
        <w:right w:val="none" w:sz="0" w:space="0" w:color="auto"/>
      </w:divBdr>
    </w:div>
    <w:div w:id="1927763976">
      <w:bodyDiv w:val="1"/>
      <w:marLeft w:val="0"/>
      <w:marRight w:val="0"/>
      <w:marTop w:val="0"/>
      <w:marBottom w:val="0"/>
      <w:divBdr>
        <w:top w:val="none" w:sz="0" w:space="0" w:color="auto"/>
        <w:left w:val="none" w:sz="0" w:space="0" w:color="auto"/>
        <w:bottom w:val="none" w:sz="0" w:space="0" w:color="auto"/>
        <w:right w:val="none" w:sz="0" w:space="0" w:color="auto"/>
      </w:divBdr>
    </w:div>
    <w:div w:id="1933127724">
      <w:bodyDiv w:val="1"/>
      <w:marLeft w:val="0"/>
      <w:marRight w:val="0"/>
      <w:marTop w:val="0"/>
      <w:marBottom w:val="0"/>
      <w:divBdr>
        <w:top w:val="none" w:sz="0" w:space="0" w:color="auto"/>
        <w:left w:val="none" w:sz="0" w:space="0" w:color="auto"/>
        <w:bottom w:val="none" w:sz="0" w:space="0" w:color="auto"/>
        <w:right w:val="none" w:sz="0" w:space="0" w:color="auto"/>
      </w:divBdr>
    </w:div>
    <w:div w:id="1933278233">
      <w:bodyDiv w:val="1"/>
      <w:marLeft w:val="0"/>
      <w:marRight w:val="0"/>
      <w:marTop w:val="0"/>
      <w:marBottom w:val="0"/>
      <w:divBdr>
        <w:top w:val="none" w:sz="0" w:space="0" w:color="auto"/>
        <w:left w:val="none" w:sz="0" w:space="0" w:color="auto"/>
        <w:bottom w:val="none" w:sz="0" w:space="0" w:color="auto"/>
        <w:right w:val="none" w:sz="0" w:space="0" w:color="auto"/>
      </w:divBdr>
      <w:divsChild>
        <w:div w:id="1689984719">
          <w:marLeft w:val="0"/>
          <w:marRight w:val="0"/>
          <w:marTop w:val="0"/>
          <w:marBottom w:val="0"/>
          <w:divBdr>
            <w:top w:val="none" w:sz="0" w:space="0" w:color="auto"/>
            <w:left w:val="none" w:sz="0" w:space="0" w:color="auto"/>
            <w:bottom w:val="none" w:sz="0" w:space="0" w:color="auto"/>
            <w:right w:val="none" w:sz="0" w:space="0" w:color="auto"/>
          </w:divBdr>
          <w:divsChild>
            <w:div w:id="1822191693">
              <w:marLeft w:val="0"/>
              <w:marRight w:val="0"/>
              <w:marTop w:val="0"/>
              <w:marBottom w:val="0"/>
              <w:divBdr>
                <w:top w:val="none" w:sz="0" w:space="0" w:color="auto"/>
                <w:left w:val="none" w:sz="0" w:space="0" w:color="auto"/>
                <w:bottom w:val="none" w:sz="0" w:space="0" w:color="auto"/>
                <w:right w:val="none" w:sz="0" w:space="0" w:color="auto"/>
              </w:divBdr>
              <w:divsChild>
                <w:div w:id="1524510516">
                  <w:marLeft w:val="0"/>
                  <w:marRight w:val="0"/>
                  <w:marTop w:val="0"/>
                  <w:marBottom w:val="0"/>
                  <w:divBdr>
                    <w:top w:val="none" w:sz="0" w:space="0" w:color="auto"/>
                    <w:left w:val="none" w:sz="0" w:space="0" w:color="auto"/>
                    <w:bottom w:val="none" w:sz="0" w:space="0" w:color="auto"/>
                    <w:right w:val="none" w:sz="0" w:space="0" w:color="auto"/>
                  </w:divBdr>
                  <w:divsChild>
                    <w:div w:id="102625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866885">
      <w:bodyDiv w:val="1"/>
      <w:marLeft w:val="0"/>
      <w:marRight w:val="0"/>
      <w:marTop w:val="0"/>
      <w:marBottom w:val="0"/>
      <w:divBdr>
        <w:top w:val="none" w:sz="0" w:space="0" w:color="auto"/>
        <w:left w:val="none" w:sz="0" w:space="0" w:color="auto"/>
        <w:bottom w:val="none" w:sz="0" w:space="0" w:color="auto"/>
        <w:right w:val="none" w:sz="0" w:space="0" w:color="auto"/>
      </w:divBdr>
      <w:divsChild>
        <w:div w:id="1076784852">
          <w:marLeft w:val="0"/>
          <w:marRight w:val="0"/>
          <w:marTop w:val="0"/>
          <w:marBottom w:val="0"/>
          <w:divBdr>
            <w:top w:val="none" w:sz="0" w:space="0" w:color="auto"/>
            <w:left w:val="none" w:sz="0" w:space="0" w:color="auto"/>
            <w:bottom w:val="none" w:sz="0" w:space="0" w:color="auto"/>
            <w:right w:val="none" w:sz="0" w:space="0" w:color="auto"/>
          </w:divBdr>
          <w:divsChild>
            <w:div w:id="175192410">
              <w:marLeft w:val="0"/>
              <w:marRight w:val="0"/>
              <w:marTop w:val="0"/>
              <w:marBottom w:val="0"/>
              <w:divBdr>
                <w:top w:val="none" w:sz="0" w:space="0" w:color="auto"/>
                <w:left w:val="none" w:sz="0" w:space="0" w:color="auto"/>
                <w:bottom w:val="none" w:sz="0" w:space="0" w:color="auto"/>
                <w:right w:val="none" w:sz="0" w:space="0" w:color="auto"/>
              </w:divBdr>
              <w:divsChild>
                <w:div w:id="200188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619445">
      <w:bodyDiv w:val="1"/>
      <w:marLeft w:val="0"/>
      <w:marRight w:val="0"/>
      <w:marTop w:val="0"/>
      <w:marBottom w:val="0"/>
      <w:divBdr>
        <w:top w:val="none" w:sz="0" w:space="0" w:color="auto"/>
        <w:left w:val="none" w:sz="0" w:space="0" w:color="auto"/>
        <w:bottom w:val="none" w:sz="0" w:space="0" w:color="auto"/>
        <w:right w:val="none" w:sz="0" w:space="0" w:color="auto"/>
      </w:divBdr>
    </w:div>
    <w:div w:id="1946769160">
      <w:bodyDiv w:val="1"/>
      <w:marLeft w:val="0"/>
      <w:marRight w:val="0"/>
      <w:marTop w:val="0"/>
      <w:marBottom w:val="0"/>
      <w:divBdr>
        <w:top w:val="none" w:sz="0" w:space="0" w:color="auto"/>
        <w:left w:val="none" w:sz="0" w:space="0" w:color="auto"/>
        <w:bottom w:val="none" w:sz="0" w:space="0" w:color="auto"/>
        <w:right w:val="none" w:sz="0" w:space="0" w:color="auto"/>
      </w:divBdr>
    </w:div>
    <w:div w:id="1950698400">
      <w:bodyDiv w:val="1"/>
      <w:marLeft w:val="0"/>
      <w:marRight w:val="0"/>
      <w:marTop w:val="0"/>
      <w:marBottom w:val="0"/>
      <w:divBdr>
        <w:top w:val="none" w:sz="0" w:space="0" w:color="auto"/>
        <w:left w:val="none" w:sz="0" w:space="0" w:color="auto"/>
        <w:bottom w:val="none" w:sz="0" w:space="0" w:color="auto"/>
        <w:right w:val="none" w:sz="0" w:space="0" w:color="auto"/>
      </w:divBdr>
    </w:div>
    <w:div w:id="1953583858">
      <w:bodyDiv w:val="1"/>
      <w:marLeft w:val="0"/>
      <w:marRight w:val="0"/>
      <w:marTop w:val="0"/>
      <w:marBottom w:val="0"/>
      <w:divBdr>
        <w:top w:val="none" w:sz="0" w:space="0" w:color="auto"/>
        <w:left w:val="none" w:sz="0" w:space="0" w:color="auto"/>
        <w:bottom w:val="none" w:sz="0" w:space="0" w:color="auto"/>
        <w:right w:val="none" w:sz="0" w:space="0" w:color="auto"/>
      </w:divBdr>
      <w:divsChild>
        <w:div w:id="888809254">
          <w:marLeft w:val="0"/>
          <w:marRight w:val="0"/>
          <w:marTop w:val="0"/>
          <w:marBottom w:val="0"/>
          <w:divBdr>
            <w:top w:val="none" w:sz="0" w:space="0" w:color="auto"/>
            <w:left w:val="none" w:sz="0" w:space="0" w:color="auto"/>
            <w:bottom w:val="none" w:sz="0" w:space="0" w:color="auto"/>
            <w:right w:val="none" w:sz="0" w:space="0" w:color="auto"/>
          </w:divBdr>
          <w:divsChild>
            <w:div w:id="1881161580">
              <w:marLeft w:val="0"/>
              <w:marRight w:val="0"/>
              <w:marTop w:val="0"/>
              <w:marBottom w:val="0"/>
              <w:divBdr>
                <w:top w:val="none" w:sz="0" w:space="0" w:color="auto"/>
                <w:left w:val="none" w:sz="0" w:space="0" w:color="auto"/>
                <w:bottom w:val="none" w:sz="0" w:space="0" w:color="auto"/>
                <w:right w:val="none" w:sz="0" w:space="0" w:color="auto"/>
              </w:divBdr>
              <w:divsChild>
                <w:div w:id="127101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175946">
      <w:bodyDiv w:val="1"/>
      <w:marLeft w:val="0"/>
      <w:marRight w:val="0"/>
      <w:marTop w:val="0"/>
      <w:marBottom w:val="0"/>
      <w:divBdr>
        <w:top w:val="none" w:sz="0" w:space="0" w:color="auto"/>
        <w:left w:val="none" w:sz="0" w:space="0" w:color="auto"/>
        <w:bottom w:val="none" w:sz="0" w:space="0" w:color="auto"/>
        <w:right w:val="none" w:sz="0" w:space="0" w:color="auto"/>
      </w:divBdr>
      <w:divsChild>
        <w:div w:id="1731926327">
          <w:marLeft w:val="0"/>
          <w:marRight w:val="0"/>
          <w:marTop w:val="0"/>
          <w:marBottom w:val="0"/>
          <w:divBdr>
            <w:top w:val="none" w:sz="0" w:space="0" w:color="auto"/>
            <w:left w:val="none" w:sz="0" w:space="0" w:color="auto"/>
            <w:bottom w:val="none" w:sz="0" w:space="0" w:color="auto"/>
            <w:right w:val="none" w:sz="0" w:space="0" w:color="auto"/>
          </w:divBdr>
          <w:divsChild>
            <w:div w:id="1453746793">
              <w:marLeft w:val="0"/>
              <w:marRight w:val="0"/>
              <w:marTop w:val="0"/>
              <w:marBottom w:val="0"/>
              <w:divBdr>
                <w:top w:val="none" w:sz="0" w:space="0" w:color="auto"/>
                <w:left w:val="none" w:sz="0" w:space="0" w:color="auto"/>
                <w:bottom w:val="none" w:sz="0" w:space="0" w:color="auto"/>
                <w:right w:val="none" w:sz="0" w:space="0" w:color="auto"/>
              </w:divBdr>
              <w:divsChild>
                <w:div w:id="181386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494394">
      <w:bodyDiv w:val="1"/>
      <w:marLeft w:val="0"/>
      <w:marRight w:val="0"/>
      <w:marTop w:val="0"/>
      <w:marBottom w:val="0"/>
      <w:divBdr>
        <w:top w:val="none" w:sz="0" w:space="0" w:color="auto"/>
        <w:left w:val="none" w:sz="0" w:space="0" w:color="auto"/>
        <w:bottom w:val="none" w:sz="0" w:space="0" w:color="auto"/>
        <w:right w:val="none" w:sz="0" w:space="0" w:color="auto"/>
      </w:divBdr>
    </w:div>
    <w:div w:id="1961958981">
      <w:bodyDiv w:val="1"/>
      <w:marLeft w:val="0"/>
      <w:marRight w:val="0"/>
      <w:marTop w:val="0"/>
      <w:marBottom w:val="0"/>
      <w:divBdr>
        <w:top w:val="none" w:sz="0" w:space="0" w:color="auto"/>
        <w:left w:val="none" w:sz="0" w:space="0" w:color="auto"/>
        <w:bottom w:val="none" w:sz="0" w:space="0" w:color="auto"/>
        <w:right w:val="none" w:sz="0" w:space="0" w:color="auto"/>
      </w:divBdr>
      <w:divsChild>
        <w:div w:id="177275100">
          <w:marLeft w:val="0"/>
          <w:marRight w:val="0"/>
          <w:marTop w:val="0"/>
          <w:marBottom w:val="0"/>
          <w:divBdr>
            <w:top w:val="none" w:sz="0" w:space="0" w:color="auto"/>
            <w:left w:val="none" w:sz="0" w:space="0" w:color="auto"/>
            <w:bottom w:val="none" w:sz="0" w:space="0" w:color="auto"/>
            <w:right w:val="none" w:sz="0" w:space="0" w:color="auto"/>
          </w:divBdr>
          <w:divsChild>
            <w:div w:id="1813206889">
              <w:marLeft w:val="0"/>
              <w:marRight w:val="0"/>
              <w:marTop w:val="0"/>
              <w:marBottom w:val="0"/>
              <w:divBdr>
                <w:top w:val="none" w:sz="0" w:space="0" w:color="auto"/>
                <w:left w:val="none" w:sz="0" w:space="0" w:color="auto"/>
                <w:bottom w:val="none" w:sz="0" w:space="0" w:color="auto"/>
                <w:right w:val="none" w:sz="0" w:space="0" w:color="auto"/>
              </w:divBdr>
              <w:divsChild>
                <w:div w:id="69235639">
                  <w:marLeft w:val="0"/>
                  <w:marRight w:val="0"/>
                  <w:marTop w:val="0"/>
                  <w:marBottom w:val="0"/>
                  <w:divBdr>
                    <w:top w:val="none" w:sz="0" w:space="0" w:color="auto"/>
                    <w:left w:val="none" w:sz="0" w:space="0" w:color="auto"/>
                    <w:bottom w:val="none" w:sz="0" w:space="0" w:color="auto"/>
                    <w:right w:val="none" w:sz="0" w:space="0" w:color="auto"/>
                  </w:divBdr>
                  <w:divsChild>
                    <w:div w:id="206113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382086">
      <w:bodyDiv w:val="1"/>
      <w:marLeft w:val="0"/>
      <w:marRight w:val="0"/>
      <w:marTop w:val="0"/>
      <w:marBottom w:val="0"/>
      <w:divBdr>
        <w:top w:val="none" w:sz="0" w:space="0" w:color="auto"/>
        <w:left w:val="none" w:sz="0" w:space="0" w:color="auto"/>
        <w:bottom w:val="none" w:sz="0" w:space="0" w:color="auto"/>
        <w:right w:val="none" w:sz="0" w:space="0" w:color="auto"/>
      </w:divBdr>
    </w:div>
    <w:div w:id="1965648150">
      <w:bodyDiv w:val="1"/>
      <w:marLeft w:val="0"/>
      <w:marRight w:val="0"/>
      <w:marTop w:val="0"/>
      <w:marBottom w:val="0"/>
      <w:divBdr>
        <w:top w:val="none" w:sz="0" w:space="0" w:color="auto"/>
        <w:left w:val="none" w:sz="0" w:space="0" w:color="auto"/>
        <w:bottom w:val="none" w:sz="0" w:space="0" w:color="auto"/>
        <w:right w:val="none" w:sz="0" w:space="0" w:color="auto"/>
      </w:divBdr>
    </w:div>
    <w:div w:id="1967083128">
      <w:bodyDiv w:val="1"/>
      <w:marLeft w:val="0"/>
      <w:marRight w:val="0"/>
      <w:marTop w:val="0"/>
      <w:marBottom w:val="0"/>
      <w:divBdr>
        <w:top w:val="none" w:sz="0" w:space="0" w:color="auto"/>
        <w:left w:val="none" w:sz="0" w:space="0" w:color="auto"/>
        <w:bottom w:val="none" w:sz="0" w:space="0" w:color="auto"/>
        <w:right w:val="none" w:sz="0" w:space="0" w:color="auto"/>
      </w:divBdr>
    </w:div>
    <w:div w:id="1970551565">
      <w:bodyDiv w:val="1"/>
      <w:marLeft w:val="0"/>
      <w:marRight w:val="0"/>
      <w:marTop w:val="0"/>
      <w:marBottom w:val="0"/>
      <w:divBdr>
        <w:top w:val="none" w:sz="0" w:space="0" w:color="auto"/>
        <w:left w:val="none" w:sz="0" w:space="0" w:color="auto"/>
        <w:bottom w:val="none" w:sz="0" w:space="0" w:color="auto"/>
        <w:right w:val="none" w:sz="0" w:space="0" w:color="auto"/>
      </w:divBdr>
      <w:divsChild>
        <w:div w:id="1927298816">
          <w:marLeft w:val="0"/>
          <w:marRight w:val="0"/>
          <w:marTop w:val="0"/>
          <w:marBottom w:val="0"/>
          <w:divBdr>
            <w:top w:val="none" w:sz="0" w:space="0" w:color="auto"/>
            <w:left w:val="none" w:sz="0" w:space="0" w:color="auto"/>
            <w:bottom w:val="none" w:sz="0" w:space="0" w:color="auto"/>
            <w:right w:val="none" w:sz="0" w:space="0" w:color="auto"/>
          </w:divBdr>
          <w:divsChild>
            <w:div w:id="273946051">
              <w:marLeft w:val="0"/>
              <w:marRight w:val="0"/>
              <w:marTop w:val="0"/>
              <w:marBottom w:val="0"/>
              <w:divBdr>
                <w:top w:val="none" w:sz="0" w:space="0" w:color="auto"/>
                <w:left w:val="none" w:sz="0" w:space="0" w:color="auto"/>
                <w:bottom w:val="none" w:sz="0" w:space="0" w:color="auto"/>
                <w:right w:val="none" w:sz="0" w:space="0" w:color="auto"/>
              </w:divBdr>
              <w:divsChild>
                <w:div w:id="365522458">
                  <w:marLeft w:val="0"/>
                  <w:marRight w:val="0"/>
                  <w:marTop w:val="0"/>
                  <w:marBottom w:val="0"/>
                  <w:divBdr>
                    <w:top w:val="none" w:sz="0" w:space="0" w:color="auto"/>
                    <w:left w:val="none" w:sz="0" w:space="0" w:color="auto"/>
                    <w:bottom w:val="none" w:sz="0" w:space="0" w:color="auto"/>
                    <w:right w:val="none" w:sz="0" w:space="0" w:color="auto"/>
                  </w:divBdr>
                  <w:divsChild>
                    <w:div w:id="209119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837022">
      <w:bodyDiv w:val="1"/>
      <w:marLeft w:val="0"/>
      <w:marRight w:val="0"/>
      <w:marTop w:val="0"/>
      <w:marBottom w:val="0"/>
      <w:divBdr>
        <w:top w:val="none" w:sz="0" w:space="0" w:color="auto"/>
        <w:left w:val="none" w:sz="0" w:space="0" w:color="auto"/>
        <w:bottom w:val="none" w:sz="0" w:space="0" w:color="auto"/>
        <w:right w:val="none" w:sz="0" w:space="0" w:color="auto"/>
      </w:divBdr>
    </w:div>
    <w:div w:id="1985356039">
      <w:bodyDiv w:val="1"/>
      <w:marLeft w:val="0"/>
      <w:marRight w:val="0"/>
      <w:marTop w:val="0"/>
      <w:marBottom w:val="0"/>
      <w:divBdr>
        <w:top w:val="none" w:sz="0" w:space="0" w:color="auto"/>
        <w:left w:val="none" w:sz="0" w:space="0" w:color="auto"/>
        <w:bottom w:val="none" w:sz="0" w:space="0" w:color="auto"/>
        <w:right w:val="none" w:sz="0" w:space="0" w:color="auto"/>
      </w:divBdr>
      <w:divsChild>
        <w:div w:id="45957491">
          <w:marLeft w:val="0"/>
          <w:marRight w:val="0"/>
          <w:marTop w:val="0"/>
          <w:marBottom w:val="0"/>
          <w:divBdr>
            <w:top w:val="none" w:sz="0" w:space="0" w:color="auto"/>
            <w:left w:val="none" w:sz="0" w:space="0" w:color="auto"/>
            <w:bottom w:val="none" w:sz="0" w:space="0" w:color="auto"/>
            <w:right w:val="none" w:sz="0" w:space="0" w:color="auto"/>
          </w:divBdr>
          <w:divsChild>
            <w:div w:id="742724045">
              <w:marLeft w:val="0"/>
              <w:marRight w:val="0"/>
              <w:marTop w:val="0"/>
              <w:marBottom w:val="0"/>
              <w:divBdr>
                <w:top w:val="none" w:sz="0" w:space="0" w:color="auto"/>
                <w:left w:val="none" w:sz="0" w:space="0" w:color="auto"/>
                <w:bottom w:val="none" w:sz="0" w:space="0" w:color="auto"/>
                <w:right w:val="none" w:sz="0" w:space="0" w:color="auto"/>
              </w:divBdr>
              <w:divsChild>
                <w:div w:id="74311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06520">
      <w:bodyDiv w:val="1"/>
      <w:marLeft w:val="0"/>
      <w:marRight w:val="0"/>
      <w:marTop w:val="0"/>
      <w:marBottom w:val="0"/>
      <w:divBdr>
        <w:top w:val="none" w:sz="0" w:space="0" w:color="auto"/>
        <w:left w:val="none" w:sz="0" w:space="0" w:color="auto"/>
        <w:bottom w:val="none" w:sz="0" w:space="0" w:color="auto"/>
        <w:right w:val="none" w:sz="0" w:space="0" w:color="auto"/>
      </w:divBdr>
    </w:div>
    <w:div w:id="1994747596">
      <w:bodyDiv w:val="1"/>
      <w:marLeft w:val="0"/>
      <w:marRight w:val="0"/>
      <w:marTop w:val="0"/>
      <w:marBottom w:val="0"/>
      <w:divBdr>
        <w:top w:val="none" w:sz="0" w:space="0" w:color="auto"/>
        <w:left w:val="none" w:sz="0" w:space="0" w:color="auto"/>
        <w:bottom w:val="none" w:sz="0" w:space="0" w:color="auto"/>
        <w:right w:val="none" w:sz="0" w:space="0" w:color="auto"/>
      </w:divBdr>
      <w:divsChild>
        <w:div w:id="821191944">
          <w:marLeft w:val="0"/>
          <w:marRight w:val="0"/>
          <w:marTop w:val="0"/>
          <w:marBottom w:val="0"/>
          <w:divBdr>
            <w:top w:val="none" w:sz="0" w:space="0" w:color="auto"/>
            <w:left w:val="none" w:sz="0" w:space="0" w:color="auto"/>
            <w:bottom w:val="none" w:sz="0" w:space="0" w:color="auto"/>
            <w:right w:val="none" w:sz="0" w:space="0" w:color="auto"/>
          </w:divBdr>
          <w:divsChild>
            <w:div w:id="690378175">
              <w:marLeft w:val="0"/>
              <w:marRight w:val="0"/>
              <w:marTop w:val="0"/>
              <w:marBottom w:val="0"/>
              <w:divBdr>
                <w:top w:val="none" w:sz="0" w:space="0" w:color="auto"/>
                <w:left w:val="none" w:sz="0" w:space="0" w:color="auto"/>
                <w:bottom w:val="none" w:sz="0" w:space="0" w:color="auto"/>
                <w:right w:val="none" w:sz="0" w:space="0" w:color="auto"/>
              </w:divBdr>
              <w:divsChild>
                <w:div w:id="203785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224758">
      <w:bodyDiv w:val="1"/>
      <w:marLeft w:val="0"/>
      <w:marRight w:val="0"/>
      <w:marTop w:val="0"/>
      <w:marBottom w:val="0"/>
      <w:divBdr>
        <w:top w:val="none" w:sz="0" w:space="0" w:color="auto"/>
        <w:left w:val="none" w:sz="0" w:space="0" w:color="auto"/>
        <w:bottom w:val="none" w:sz="0" w:space="0" w:color="auto"/>
        <w:right w:val="none" w:sz="0" w:space="0" w:color="auto"/>
      </w:divBdr>
    </w:div>
    <w:div w:id="1997949999">
      <w:bodyDiv w:val="1"/>
      <w:marLeft w:val="0"/>
      <w:marRight w:val="0"/>
      <w:marTop w:val="0"/>
      <w:marBottom w:val="0"/>
      <w:divBdr>
        <w:top w:val="none" w:sz="0" w:space="0" w:color="auto"/>
        <w:left w:val="none" w:sz="0" w:space="0" w:color="auto"/>
        <w:bottom w:val="none" w:sz="0" w:space="0" w:color="auto"/>
        <w:right w:val="none" w:sz="0" w:space="0" w:color="auto"/>
      </w:divBdr>
    </w:div>
    <w:div w:id="1999574985">
      <w:bodyDiv w:val="1"/>
      <w:marLeft w:val="0"/>
      <w:marRight w:val="0"/>
      <w:marTop w:val="0"/>
      <w:marBottom w:val="0"/>
      <w:divBdr>
        <w:top w:val="none" w:sz="0" w:space="0" w:color="auto"/>
        <w:left w:val="none" w:sz="0" w:space="0" w:color="auto"/>
        <w:bottom w:val="none" w:sz="0" w:space="0" w:color="auto"/>
        <w:right w:val="none" w:sz="0" w:space="0" w:color="auto"/>
      </w:divBdr>
    </w:div>
    <w:div w:id="2005085178">
      <w:bodyDiv w:val="1"/>
      <w:marLeft w:val="0"/>
      <w:marRight w:val="0"/>
      <w:marTop w:val="0"/>
      <w:marBottom w:val="0"/>
      <w:divBdr>
        <w:top w:val="none" w:sz="0" w:space="0" w:color="auto"/>
        <w:left w:val="none" w:sz="0" w:space="0" w:color="auto"/>
        <w:bottom w:val="none" w:sz="0" w:space="0" w:color="auto"/>
        <w:right w:val="none" w:sz="0" w:space="0" w:color="auto"/>
      </w:divBdr>
      <w:divsChild>
        <w:div w:id="1393893001">
          <w:marLeft w:val="0"/>
          <w:marRight w:val="0"/>
          <w:marTop w:val="0"/>
          <w:marBottom w:val="0"/>
          <w:divBdr>
            <w:top w:val="none" w:sz="0" w:space="0" w:color="auto"/>
            <w:left w:val="none" w:sz="0" w:space="0" w:color="auto"/>
            <w:bottom w:val="none" w:sz="0" w:space="0" w:color="auto"/>
            <w:right w:val="none" w:sz="0" w:space="0" w:color="auto"/>
          </w:divBdr>
        </w:div>
      </w:divsChild>
    </w:div>
    <w:div w:id="2008317250">
      <w:bodyDiv w:val="1"/>
      <w:marLeft w:val="0"/>
      <w:marRight w:val="0"/>
      <w:marTop w:val="0"/>
      <w:marBottom w:val="0"/>
      <w:divBdr>
        <w:top w:val="none" w:sz="0" w:space="0" w:color="auto"/>
        <w:left w:val="none" w:sz="0" w:space="0" w:color="auto"/>
        <w:bottom w:val="none" w:sz="0" w:space="0" w:color="auto"/>
        <w:right w:val="none" w:sz="0" w:space="0" w:color="auto"/>
      </w:divBdr>
      <w:divsChild>
        <w:div w:id="1903834005">
          <w:marLeft w:val="0"/>
          <w:marRight w:val="0"/>
          <w:marTop w:val="0"/>
          <w:marBottom w:val="0"/>
          <w:divBdr>
            <w:top w:val="none" w:sz="0" w:space="0" w:color="auto"/>
            <w:left w:val="none" w:sz="0" w:space="0" w:color="auto"/>
            <w:bottom w:val="none" w:sz="0" w:space="0" w:color="auto"/>
            <w:right w:val="none" w:sz="0" w:space="0" w:color="auto"/>
          </w:divBdr>
          <w:divsChild>
            <w:div w:id="1442263210">
              <w:marLeft w:val="0"/>
              <w:marRight w:val="0"/>
              <w:marTop w:val="0"/>
              <w:marBottom w:val="0"/>
              <w:divBdr>
                <w:top w:val="none" w:sz="0" w:space="0" w:color="auto"/>
                <w:left w:val="none" w:sz="0" w:space="0" w:color="auto"/>
                <w:bottom w:val="none" w:sz="0" w:space="0" w:color="auto"/>
                <w:right w:val="none" w:sz="0" w:space="0" w:color="auto"/>
              </w:divBdr>
              <w:divsChild>
                <w:div w:id="19740983">
                  <w:marLeft w:val="0"/>
                  <w:marRight w:val="0"/>
                  <w:marTop w:val="0"/>
                  <w:marBottom w:val="0"/>
                  <w:divBdr>
                    <w:top w:val="none" w:sz="0" w:space="0" w:color="auto"/>
                    <w:left w:val="none" w:sz="0" w:space="0" w:color="auto"/>
                    <w:bottom w:val="none" w:sz="0" w:space="0" w:color="auto"/>
                    <w:right w:val="none" w:sz="0" w:space="0" w:color="auto"/>
                  </w:divBdr>
                </w:div>
                <w:div w:id="47082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40582">
      <w:bodyDiv w:val="1"/>
      <w:marLeft w:val="0"/>
      <w:marRight w:val="0"/>
      <w:marTop w:val="0"/>
      <w:marBottom w:val="0"/>
      <w:divBdr>
        <w:top w:val="none" w:sz="0" w:space="0" w:color="auto"/>
        <w:left w:val="none" w:sz="0" w:space="0" w:color="auto"/>
        <w:bottom w:val="none" w:sz="0" w:space="0" w:color="auto"/>
        <w:right w:val="none" w:sz="0" w:space="0" w:color="auto"/>
      </w:divBdr>
    </w:div>
    <w:div w:id="2018921474">
      <w:bodyDiv w:val="1"/>
      <w:marLeft w:val="0"/>
      <w:marRight w:val="0"/>
      <w:marTop w:val="0"/>
      <w:marBottom w:val="0"/>
      <w:divBdr>
        <w:top w:val="none" w:sz="0" w:space="0" w:color="auto"/>
        <w:left w:val="none" w:sz="0" w:space="0" w:color="auto"/>
        <w:bottom w:val="none" w:sz="0" w:space="0" w:color="auto"/>
        <w:right w:val="none" w:sz="0" w:space="0" w:color="auto"/>
      </w:divBdr>
    </w:div>
    <w:div w:id="2032953011">
      <w:bodyDiv w:val="1"/>
      <w:marLeft w:val="0"/>
      <w:marRight w:val="0"/>
      <w:marTop w:val="0"/>
      <w:marBottom w:val="0"/>
      <w:divBdr>
        <w:top w:val="none" w:sz="0" w:space="0" w:color="auto"/>
        <w:left w:val="none" w:sz="0" w:space="0" w:color="auto"/>
        <w:bottom w:val="none" w:sz="0" w:space="0" w:color="auto"/>
        <w:right w:val="none" w:sz="0" w:space="0" w:color="auto"/>
      </w:divBdr>
    </w:div>
    <w:div w:id="2040088591">
      <w:bodyDiv w:val="1"/>
      <w:marLeft w:val="0"/>
      <w:marRight w:val="0"/>
      <w:marTop w:val="0"/>
      <w:marBottom w:val="0"/>
      <w:divBdr>
        <w:top w:val="none" w:sz="0" w:space="0" w:color="auto"/>
        <w:left w:val="none" w:sz="0" w:space="0" w:color="auto"/>
        <w:bottom w:val="none" w:sz="0" w:space="0" w:color="auto"/>
        <w:right w:val="none" w:sz="0" w:space="0" w:color="auto"/>
      </w:divBdr>
      <w:divsChild>
        <w:div w:id="1110124059">
          <w:marLeft w:val="540"/>
          <w:marRight w:val="0"/>
          <w:marTop w:val="0"/>
          <w:marBottom w:val="45"/>
          <w:divBdr>
            <w:top w:val="none" w:sz="0" w:space="0" w:color="auto"/>
            <w:left w:val="none" w:sz="0" w:space="0" w:color="auto"/>
            <w:bottom w:val="none" w:sz="0" w:space="0" w:color="auto"/>
            <w:right w:val="none" w:sz="0" w:space="0" w:color="auto"/>
          </w:divBdr>
        </w:div>
      </w:divsChild>
    </w:div>
    <w:div w:id="2047874874">
      <w:bodyDiv w:val="1"/>
      <w:marLeft w:val="0"/>
      <w:marRight w:val="0"/>
      <w:marTop w:val="0"/>
      <w:marBottom w:val="0"/>
      <w:divBdr>
        <w:top w:val="none" w:sz="0" w:space="0" w:color="auto"/>
        <w:left w:val="none" w:sz="0" w:space="0" w:color="auto"/>
        <w:bottom w:val="none" w:sz="0" w:space="0" w:color="auto"/>
        <w:right w:val="none" w:sz="0" w:space="0" w:color="auto"/>
      </w:divBdr>
      <w:divsChild>
        <w:div w:id="1899894432">
          <w:marLeft w:val="0"/>
          <w:marRight w:val="0"/>
          <w:marTop w:val="0"/>
          <w:marBottom w:val="0"/>
          <w:divBdr>
            <w:top w:val="none" w:sz="0" w:space="0" w:color="auto"/>
            <w:left w:val="none" w:sz="0" w:space="0" w:color="auto"/>
            <w:bottom w:val="none" w:sz="0" w:space="0" w:color="auto"/>
            <w:right w:val="none" w:sz="0" w:space="0" w:color="auto"/>
          </w:divBdr>
          <w:divsChild>
            <w:div w:id="598567332">
              <w:marLeft w:val="0"/>
              <w:marRight w:val="0"/>
              <w:marTop w:val="0"/>
              <w:marBottom w:val="0"/>
              <w:divBdr>
                <w:top w:val="none" w:sz="0" w:space="0" w:color="auto"/>
                <w:left w:val="none" w:sz="0" w:space="0" w:color="auto"/>
                <w:bottom w:val="none" w:sz="0" w:space="0" w:color="auto"/>
                <w:right w:val="none" w:sz="0" w:space="0" w:color="auto"/>
              </w:divBdr>
              <w:divsChild>
                <w:div w:id="2133816019">
                  <w:marLeft w:val="0"/>
                  <w:marRight w:val="0"/>
                  <w:marTop w:val="0"/>
                  <w:marBottom w:val="0"/>
                  <w:divBdr>
                    <w:top w:val="none" w:sz="0" w:space="0" w:color="auto"/>
                    <w:left w:val="none" w:sz="0" w:space="0" w:color="auto"/>
                    <w:bottom w:val="none" w:sz="0" w:space="0" w:color="auto"/>
                    <w:right w:val="none" w:sz="0" w:space="0" w:color="auto"/>
                  </w:divBdr>
                  <w:divsChild>
                    <w:div w:id="144691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292187">
      <w:bodyDiv w:val="1"/>
      <w:marLeft w:val="0"/>
      <w:marRight w:val="0"/>
      <w:marTop w:val="0"/>
      <w:marBottom w:val="0"/>
      <w:divBdr>
        <w:top w:val="none" w:sz="0" w:space="0" w:color="auto"/>
        <w:left w:val="none" w:sz="0" w:space="0" w:color="auto"/>
        <w:bottom w:val="none" w:sz="0" w:space="0" w:color="auto"/>
        <w:right w:val="none" w:sz="0" w:space="0" w:color="auto"/>
      </w:divBdr>
    </w:div>
    <w:div w:id="2050178682">
      <w:bodyDiv w:val="1"/>
      <w:marLeft w:val="0"/>
      <w:marRight w:val="0"/>
      <w:marTop w:val="0"/>
      <w:marBottom w:val="0"/>
      <w:divBdr>
        <w:top w:val="none" w:sz="0" w:space="0" w:color="auto"/>
        <w:left w:val="none" w:sz="0" w:space="0" w:color="auto"/>
        <w:bottom w:val="none" w:sz="0" w:space="0" w:color="auto"/>
        <w:right w:val="none" w:sz="0" w:space="0" w:color="auto"/>
      </w:divBdr>
    </w:div>
    <w:div w:id="2050837335">
      <w:bodyDiv w:val="1"/>
      <w:marLeft w:val="0"/>
      <w:marRight w:val="0"/>
      <w:marTop w:val="0"/>
      <w:marBottom w:val="0"/>
      <w:divBdr>
        <w:top w:val="none" w:sz="0" w:space="0" w:color="auto"/>
        <w:left w:val="none" w:sz="0" w:space="0" w:color="auto"/>
        <w:bottom w:val="none" w:sz="0" w:space="0" w:color="auto"/>
        <w:right w:val="none" w:sz="0" w:space="0" w:color="auto"/>
      </w:divBdr>
    </w:div>
    <w:div w:id="2052339089">
      <w:bodyDiv w:val="1"/>
      <w:marLeft w:val="0"/>
      <w:marRight w:val="0"/>
      <w:marTop w:val="0"/>
      <w:marBottom w:val="0"/>
      <w:divBdr>
        <w:top w:val="none" w:sz="0" w:space="0" w:color="auto"/>
        <w:left w:val="none" w:sz="0" w:space="0" w:color="auto"/>
        <w:bottom w:val="none" w:sz="0" w:space="0" w:color="auto"/>
        <w:right w:val="none" w:sz="0" w:space="0" w:color="auto"/>
      </w:divBdr>
      <w:divsChild>
        <w:div w:id="210700065">
          <w:marLeft w:val="0"/>
          <w:marRight w:val="0"/>
          <w:marTop w:val="0"/>
          <w:marBottom w:val="0"/>
          <w:divBdr>
            <w:top w:val="none" w:sz="0" w:space="0" w:color="auto"/>
            <w:left w:val="none" w:sz="0" w:space="0" w:color="auto"/>
            <w:bottom w:val="none" w:sz="0" w:space="0" w:color="auto"/>
            <w:right w:val="none" w:sz="0" w:space="0" w:color="auto"/>
          </w:divBdr>
        </w:div>
        <w:div w:id="1658218908">
          <w:marLeft w:val="0"/>
          <w:marRight w:val="0"/>
          <w:marTop w:val="0"/>
          <w:marBottom w:val="360"/>
          <w:divBdr>
            <w:top w:val="none" w:sz="0" w:space="0" w:color="auto"/>
            <w:left w:val="none" w:sz="0" w:space="0" w:color="auto"/>
            <w:bottom w:val="none" w:sz="0" w:space="0" w:color="auto"/>
            <w:right w:val="none" w:sz="0" w:space="0" w:color="auto"/>
          </w:divBdr>
        </w:div>
      </w:divsChild>
    </w:div>
    <w:div w:id="2052342131">
      <w:bodyDiv w:val="1"/>
      <w:marLeft w:val="0"/>
      <w:marRight w:val="0"/>
      <w:marTop w:val="0"/>
      <w:marBottom w:val="0"/>
      <w:divBdr>
        <w:top w:val="none" w:sz="0" w:space="0" w:color="auto"/>
        <w:left w:val="none" w:sz="0" w:space="0" w:color="auto"/>
        <w:bottom w:val="none" w:sz="0" w:space="0" w:color="auto"/>
        <w:right w:val="none" w:sz="0" w:space="0" w:color="auto"/>
      </w:divBdr>
    </w:div>
    <w:div w:id="2053839898">
      <w:bodyDiv w:val="1"/>
      <w:marLeft w:val="0"/>
      <w:marRight w:val="0"/>
      <w:marTop w:val="0"/>
      <w:marBottom w:val="0"/>
      <w:divBdr>
        <w:top w:val="none" w:sz="0" w:space="0" w:color="auto"/>
        <w:left w:val="none" w:sz="0" w:space="0" w:color="auto"/>
        <w:bottom w:val="none" w:sz="0" w:space="0" w:color="auto"/>
        <w:right w:val="none" w:sz="0" w:space="0" w:color="auto"/>
      </w:divBdr>
    </w:div>
    <w:div w:id="2069302523">
      <w:bodyDiv w:val="1"/>
      <w:marLeft w:val="0"/>
      <w:marRight w:val="0"/>
      <w:marTop w:val="0"/>
      <w:marBottom w:val="0"/>
      <w:divBdr>
        <w:top w:val="none" w:sz="0" w:space="0" w:color="auto"/>
        <w:left w:val="none" w:sz="0" w:space="0" w:color="auto"/>
        <w:bottom w:val="none" w:sz="0" w:space="0" w:color="auto"/>
        <w:right w:val="none" w:sz="0" w:space="0" w:color="auto"/>
      </w:divBdr>
    </w:div>
    <w:div w:id="2076589187">
      <w:bodyDiv w:val="1"/>
      <w:marLeft w:val="0"/>
      <w:marRight w:val="0"/>
      <w:marTop w:val="0"/>
      <w:marBottom w:val="0"/>
      <w:divBdr>
        <w:top w:val="none" w:sz="0" w:space="0" w:color="auto"/>
        <w:left w:val="none" w:sz="0" w:space="0" w:color="auto"/>
        <w:bottom w:val="none" w:sz="0" w:space="0" w:color="auto"/>
        <w:right w:val="none" w:sz="0" w:space="0" w:color="auto"/>
      </w:divBdr>
    </w:div>
    <w:div w:id="2085293601">
      <w:bodyDiv w:val="1"/>
      <w:marLeft w:val="0"/>
      <w:marRight w:val="0"/>
      <w:marTop w:val="0"/>
      <w:marBottom w:val="0"/>
      <w:divBdr>
        <w:top w:val="none" w:sz="0" w:space="0" w:color="auto"/>
        <w:left w:val="none" w:sz="0" w:space="0" w:color="auto"/>
        <w:bottom w:val="none" w:sz="0" w:space="0" w:color="auto"/>
        <w:right w:val="none" w:sz="0" w:space="0" w:color="auto"/>
      </w:divBdr>
    </w:div>
    <w:div w:id="2088651592">
      <w:bodyDiv w:val="1"/>
      <w:marLeft w:val="0"/>
      <w:marRight w:val="0"/>
      <w:marTop w:val="0"/>
      <w:marBottom w:val="0"/>
      <w:divBdr>
        <w:top w:val="none" w:sz="0" w:space="0" w:color="auto"/>
        <w:left w:val="none" w:sz="0" w:space="0" w:color="auto"/>
        <w:bottom w:val="none" w:sz="0" w:space="0" w:color="auto"/>
        <w:right w:val="none" w:sz="0" w:space="0" w:color="auto"/>
      </w:divBdr>
    </w:div>
    <w:div w:id="2092896077">
      <w:bodyDiv w:val="1"/>
      <w:marLeft w:val="0"/>
      <w:marRight w:val="0"/>
      <w:marTop w:val="0"/>
      <w:marBottom w:val="0"/>
      <w:divBdr>
        <w:top w:val="none" w:sz="0" w:space="0" w:color="auto"/>
        <w:left w:val="none" w:sz="0" w:space="0" w:color="auto"/>
        <w:bottom w:val="none" w:sz="0" w:space="0" w:color="auto"/>
        <w:right w:val="none" w:sz="0" w:space="0" w:color="auto"/>
      </w:divBdr>
    </w:div>
    <w:div w:id="2097170498">
      <w:bodyDiv w:val="1"/>
      <w:marLeft w:val="0"/>
      <w:marRight w:val="0"/>
      <w:marTop w:val="0"/>
      <w:marBottom w:val="0"/>
      <w:divBdr>
        <w:top w:val="none" w:sz="0" w:space="0" w:color="auto"/>
        <w:left w:val="none" w:sz="0" w:space="0" w:color="auto"/>
        <w:bottom w:val="none" w:sz="0" w:space="0" w:color="auto"/>
        <w:right w:val="none" w:sz="0" w:space="0" w:color="auto"/>
      </w:divBdr>
    </w:div>
    <w:div w:id="2097363657">
      <w:bodyDiv w:val="1"/>
      <w:marLeft w:val="0"/>
      <w:marRight w:val="0"/>
      <w:marTop w:val="0"/>
      <w:marBottom w:val="0"/>
      <w:divBdr>
        <w:top w:val="none" w:sz="0" w:space="0" w:color="auto"/>
        <w:left w:val="none" w:sz="0" w:space="0" w:color="auto"/>
        <w:bottom w:val="none" w:sz="0" w:space="0" w:color="auto"/>
        <w:right w:val="none" w:sz="0" w:space="0" w:color="auto"/>
      </w:divBdr>
    </w:div>
    <w:div w:id="2098360820">
      <w:bodyDiv w:val="1"/>
      <w:marLeft w:val="0"/>
      <w:marRight w:val="0"/>
      <w:marTop w:val="0"/>
      <w:marBottom w:val="0"/>
      <w:divBdr>
        <w:top w:val="none" w:sz="0" w:space="0" w:color="auto"/>
        <w:left w:val="none" w:sz="0" w:space="0" w:color="auto"/>
        <w:bottom w:val="none" w:sz="0" w:space="0" w:color="auto"/>
        <w:right w:val="none" w:sz="0" w:space="0" w:color="auto"/>
      </w:divBdr>
      <w:divsChild>
        <w:div w:id="348334606">
          <w:marLeft w:val="0"/>
          <w:marRight w:val="0"/>
          <w:marTop w:val="0"/>
          <w:marBottom w:val="0"/>
          <w:divBdr>
            <w:top w:val="none" w:sz="0" w:space="0" w:color="auto"/>
            <w:left w:val="none" w:sz="0" w:space="0" w:color="auto"/>
            <w:bottom w:val="none" w:sz="0" w:space="0" w:color="auto"/>
            <w:right w:val="none" w:sz="0" w:space="0" w:color="auto"/>
          </w:divBdr>
          <w:divsChild>
            <w:div w:id="2092774868">
              <w:marLeft w:val="0"/>
              <w:marRight w:val="0"/>
              <w:marTop w:val="0"/>
              <w:marBottom w:val="0"/>
              <w:divBdr>
                <w:top w:val="none" w:sz="0" w:space="0" w:color="auto"/>
                <w:left w:val="none" w:sz="0" w:space="0" w:color="auto"/>
                <w:bottom w:val="none" w:sz="0" w:space="0" w:color="auto"/>
                <w:right w:val="none" w:sz="0" w:space="0" w:color="auto"/>
              </w:divBdr>
              <w:divsChild>
                <w:div w:id="145162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332482">
      <w:bodyDiv w:val="1"/>
      <w:marLeft w:val="0"/>
      <w:marRight w:val="0"/>
      <w:marTop w:val="0"/>
      <w:marBottom w:val="0"/>
      <w:divBdr>
        <w:top w:val="none" w:sz="0" w:space="0" w:color="auto"/>
        <w:left w:val="none" w:sz="0" w:space="0" w:color="auto"/>
        <w:bottom w:val="none" w:sz="0" w:space="0" w:color="auto"/>
        <w:right w:val="none" w:sz="0" w:space="0" w:color="auto"/>
      </w:divBdr>
    </w:div>
    <w:div w:id="2108622361">
      <w:bodyDiv w:val="1"/>
      <w:marLeft w:val="0"/>
      <w:marRight w:val="0"/>
      <w:marTop w:val="0"/>
      <w:marBottom w:val="0"/>
      <w:divBdr>
        <w:top w:val="none" w:sz="0" w:space="0" w:color="auto"/>
        <w:left w:val="none" w:sz="0" w:space="0" w:color="auto"/>
        <w:bottom w:val="none" w:sz="0" w:space="0" w:color="auto"/>
        <w:right w:val="none" w:sz="0" w:space="0" w:color="auto"/>
      </w:divBdr>
    </w:div>
    <w:div w:id="2109620053">
      <w:bodyDiv w:val="1"/>
      <w:marLeft w:val="0"/>
      <w:marRight w:val="0"/>
      <w:marTop w:val="0"/>
      <w:marBottom w:val="0"/>
      <w:divBdr>
        <w:top w:val="none" w:sz="0" w:space="0" w:color="auto"/>
        <w:left w:val="none" w:sz="0" w:space="0" w:color="auto"/>
        <w:bottom w:val="none" w:sz="0" w:space="0" w:color="auto"/>
        <w:right w:val="none" w:sz="0" w:space="0" w:color="auto"/>
      </w:divBdr>
      <w:divsChild>
        <w:div w:id="1562862285">
          <w:marLeft w:val="0"/>
          <w:marRight w:val="0"/>
          <w:marTop w:val="0"/>
          <w:marBottom w:val="0"/>
          <w:divBdr>
            <w:top w:val="none" w:sz="0" w:space="0" w:color="auto"/>
            <w:left w:val="none" w:sz="0" w:space="0" w:color="auto"/>
            <w:bottom w:val="none" w:sz="0" w:space="0" w:color="auto"/>
            <w:right w:val="none" w:sz="0" w:space="0" w:color="auto"/>
          </w:divBdr>
          <w:divsChild>
            <w:div w:id="85227958">
              <w:marLeft w:val="0"/>
              <w:marRight w:val="0"/>
              <w:marTop w:val="0"/>
              <w:marBottom w:val="0"/>
              <w:divBdr>
                <w:top w:val="none" w:sz="0" w:space="0" w:color="auto"/>
                <w:left w:val="none" w:sz="0" w:space="0" w:color="auto"/>
                <w:bottom w:val="none" w:sz="0" w:space="0" w:color="auto"/>
                <w:right w:val="none" w:sz="0" w:space="0" w:color="auto"/>
              </w:divBdr>
              <w:divsChild>
                <w:div w:id="10868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001218">
      <w:bodyDiv w:val="1"/>
      <w:marLeft w:val="0"/>
      <w:marRight w:val="0"/>
      <w:marTop w:val="0"/>
      <w:marBottom w:val="0"/>
      <w:divBdr>
        <w:top w:val="none" w:sz="0" w:space="0" w:color="auto"/>
        <w:left w:val="none" w:sz="0" w:space="0" w:color="auto"/>
        <w:bottom w:val="none" w:sz="0" w:space="0" w:color="auto"/>
        <w:right w:val="none" w:sz="0" w:space="0" w:color="auto"/>
      </w:divBdr>
    </w:div>
    <w:div w:id="2118675448">
      <w:bodyDiv w:val="1"/>
      <w:marLeft w:val="0"/>
      <w:marRight w:val="0"/>
      <w:marTop w:val="0"/>
      <w:marBottom w:val="0"/>
      <w:divBdr>
        <w:top w:val="none" w:sz="0" w:space="0" w:color="auto"/>
        <w:left w:val="none" w:sz="0" w:space="0" w:color="auto"/>
        <w:bottom w:val="none" w:sz="0" w:space="0" w:color="auto"/>
        <w:right w:val="none" w:sz="0" w:space="0" w:color="auto"/>
      </w:divBdr>
    </w:div>
    <w:div w:id="2126345255">
      <w:bodyDiv w:val="1"/>
      <w:marLeft w:val="0"/>
      <w:marRight w:val="0"/>
      <w:marTop w:val="0"/>
      <w:marBottom w:val="0"/>
      <w:divBdr>
        <w:top w:val="none" w:sz="0" w:space="0" w:color="auto"/>
        <w:left w:val="none" w:sz="0" w:space="0" w:color="auto"/>
        <w:bottom w:val="none" w:sz="0" w:space="0" w:color="auto"/>
        <w:right w:val="none" w:sz="0" w:space="0" w:color="auto"/>
      </w:divBdr>
    </w:div>
    <w:div w:id="2139567364">
      <w:bodyDiv w:val="1"/>
      <w:marLeft w:val="0"/>
      <w:marRight w:val="0"/>
      <w:marTop w:val="0"/>
      <w:marBottom w:val="0"/>
      <w:divBdr>
        <w:top w:val="none" w:sz="0" w:space="0" w:color="auto"/>
        <w:left w:val="none" w:sz="0" w:space="0" w:color="auto"/>
        <w:bottom w:val="none" w:sz="0" w:space="0" w:color="auto"/>
        <w:right w:val="none" w:sz="0" w:space="0" w:color="auto"/>
      </w:divBdr>
      <w:divsChild>
        <w:div w:id="380636444">
          <w:marLeft w:val="0"/>
          <w:marRight w:val="0"/>
          <w:marTop w:val="0"/>
          <w:marBottom w:val="0"/>
          <w:divBdr>
            <w:top w:val="none" w:sz="0" w:space="0" w:color="auto"/>
            <w:left w:val="none" w:sz="0" w:space="0" w:color="auto"/>
            <w:bottom w:val="none" w:sz="0" w:space="0" w:color="auto"/>
            <w:right w:val="none" w:sz="0" w:space="0" w:color="auto"/>
          </w:divBdr>
          <w:divsChild>
            <w:div w:id="1636181966">
              <w:marLeft w:val="0"/>
              <w:marRight w:val="0"/>
              <w:marTop w:val="0"/>
              <w:marBottom w:val="0"/>
              <w:divBdr>
                <w:top w:val="none" w:sz="0" w:space="0" w:color="auto"/>
                <w:left w:val="none" w:sz="0" w:space="0" w:color="auto"/>
                <w:bottom w:val="none" w:sz="0" w:space="0" w:color="auto"/>
                <w:right w:val="none" w:sz="0" w:space="0" w:color="auto"/>
              </w:divBdr>
              <w:divsChild>
                <w:div w:id="8305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303151">
      <w:bodyDiv w:val="1"/>
      <w:marLeft w:val="0"/>
      <w:marRight w:val="0"/>
      <w:marTop w:val="0"/>
      <w:marBottom w:val="0"/>
      <w:divBdr>
        <w:top w:val="none" w:sz="0" w:space="0" w:color="auto"/>
        <w:left w:val="none" w:sz="0" w:space="0" w:color="auto"/>
        <w:bottom w:val="none" w:sz="0" w:space="0" w:color="auto"/>
        <w:right w:val="none" w:sz="0" w:space="0" w:color="auto"/>
      </w:divBdr>
    </w:div>
    <w:div w:id="2146316350">
      <w:bodyDiv w:val="1"/>
      <w:marLeft w:val="0"/>
      <w:marRight w:val="0"/>
      <w:marTop w:val="0"/>
      <w:marBottom w:val="0"/>
      <w:divBdr>
        <w:top w:val="none" w:sz="0" w:space="0" w:color="auto"/>
        <w:left w:val="none" w:sz="0" w:space="0" w:color="auto"/>
        <w:bottom w:val="none" w:sz="0" w:space="0" w:color="auto"/>
        <w:right w:val="none" w:sz="0" w:space="0" w:color="auto"/>
      </w:divBdr>
    </w:div>
    <w:div w:id="2146969258">
      <w:bodyDiv w:val="1"/>
      <w:marLeft w:val="0"/>
      <w:marRight w:val="0"/>
      <w:marTop w:val="0"/>
      <w:marBottom w:val="0"/>
      <w:divBdr>
        <w:top w:val="none" w:sz="0" w:space="0" w:color="auto"/>
        <w:left w:val="none" w:sz="0" w:space="0" w:color="auto"/>
        <w:bottom w:val="none" w:sz="0" w:space="0" w:color="auto"/>
        <w:right w:val="none" w:sz="0" w:space="0" w:color="auto"/>
      </w:divBdr>
      <w:divsChild>
        <w:div w:id="1084227627">
          <w:marLeft w:val="0"/>
          <w:marRight w:val="0"/>
          <w:marTop w:val="0"/>
          <w:marBottom w:val="0"/>
          <w:divBdr>
            <w:top w:val="none" w:sz="0" w:space="0" w:color="auto"/>
            <w:left w:val="none" w:sz="0" w:space="0" w:color="auto"/>
            <w:bottom w:val="none" w:sz="0" w:space="0" w:color="auto"/>
            <w:right w:val="none" w:sz="0" w:space="0" w:color="auto"/>
          </w:divBdr>
          <w:divsChild>
            <w:div w:id="18512629">
              <w:marLeft w:val="0"/>
              <w:marRight w:val="0"/>
              <w:marTop w:val="0"/>
              <w:marBottom w:val="0"/>
              <w:divBdr>
                <w:top w:val="none" w:sz="0" w:space="0" w:color="auto"/>
                <w:left w:val="none" w:sz="0" w:space="0" w:color="auto"/>
                <w:bottom w:val="none" w:sz="0" w:space="0" w:color="auto"/>
                <w:right w:val="none" w:sz="0" w:space="0" w:color="auto"/>
              </w:divBdr>
              <w:divsChild>
                <w:div w:id="82269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ucn.org/commissions/commission-environmental-economic-and-social-policy/our-work/specialist-group-sustainable-use-and-livelihoods-suli" TargetMode="External"/><Relationship Id="rId117" Type="http://schemas.openxmlformats.org/officeDocument/2006/relationships/hyperlink" Target="http://www.iccaregistry.org/en/about/iccas" TargetMode="External"/><Relationship Id="rId21" Type="http://schemas.openxmlformats.org/officeDocument/2006/relationships/hyperlink" Target="mailto:dwilkie@wcs.org" TargetMode="External"/><Relationship Id="rId42" Type="http://schemas.openxmlformats.org/officeDocument/2006/relationships/image" Target="media/image10.tiff"/><Relationship Id="rId47" Type="http://schemas.openxmlformats.org/officeDocument/2006/relationships/hyperlink" Target="https://cites.org/eng/prog/livelihoods" TargetMode="External"/><Relationship Id="rId63" Type="http://schemas.openxmlformats.org/officeDocument/2006/relationships/hyperlink" Target="http://www.fao.org/about/meetings/multi-stakeholder-dialogue-on-biodiversity/biodiversity-mainstreaming-platform/en/" TargetMode="External"/><Relationship Id="rId68" Type="http://schemas.openxmlformats.org/officeDocument/2006/relationships/hyperlink" Target="http://www.unodc.org/unodc/en/wildlife-and-forest-crime/index.html" TargetMode="External"/><Relationship Id="rId84" Type="http://schemas.openxmlformats.org/officeDocument/2006/relationships/hyperlink" Target="https://www.eac.int/eac-sectors" TargetMode="External"/><Relationship Id="rId89" Type="http://schemas.openxmlformats.org/officeDocument/2006/relationships/hyperlink" Target="http://www.cec.org/about-us/NAAEC" TargetMode="External"/><Relationship Id="rId112" Type="http://schemas.openxmlformats.org/officeDocument/2006/relationships/hyperlink" Target="http://www.bushmeat.org/" TargetMode="External"/><Relationship Id="rId133" Type="http://schemas.openxmlformats.org/officeDocument/2006/relationships/image" Target="media/image14.png"/><Relationship Id="rId138" Type="http://schemas.openxmlformats.org/officeDocument/2006/relationships/hyperlink" Target="https://www.populationmedia.org/projects/pambazuko/" TargetMode="External"/><Relationship Id="rId154" Type="http://schemas.openxmlformats.org/officeDocument/2006/relationships/hyperlink" Target="http://www.kobotoolbox.org/tags/kobocollect" TargetMode="External"/><Relationship Id="rId159" Type="http://schemas.openxmlformats.org/officeDocument/2006/relationships/hyperlink" Target="https://doi.org/10.1371/journal.pone.0186133.g002" TargetMode="External"/><Relationship Id="rId175" Type="http://schemas.openxmlformats.org/officeDocument/2006/relationships/hyperlink" Target="http://pubs.iied.org/pdfs/14589IIED.pdf" TargetMode="External"/><Relationship Id="rId170" Type="http://schemas.openxmlformats.org/officeDocument/2006/relationships/hyperlink" Target="http://smartconservationtools.org/" TargetMode="External"/><Relationship Id="rId16" Type="http://schemas.openxmlformats.org/officeDocument/2006/relationships/hyperlink" Target="mailto:lauren.coad@me.com" TargetMode="External"/><Relationship Id="rId107" Type="http://schemas.openxmlformats.org/officeDocument/2006/relationships/hyperlink" Target="https://www.iucn.org/commissions/commission-environmental-economic-and-social-policy/our-work/specialist-group-sustainable-use-and-livelihoods-suli/communities-and-illegal-wildlife-trade/beyond-enforcement-initiative" TargetMode="External"/><Relationship Id="rId11" Type="http://schemas.openxmlformats.org/officeDocument/2006/relationships/image" Target="media/image1.emf"/><Relationship Id="rId32" Type="http://schemas.openxmlformats.org/officeDocument/2006/relationships/hyperlink" Target="http://www.unodc.org/documents/data-and-analysis/wildlife/World_Wildlife_Crime_Report_2016_final.pdf" TargetMode="External"/><Relationship Id="rId37" Type="http://schemas.openxmlformats.org/officeDocument/2006/relationships/image" Target="media/image7.png"/><Relationship Id="rId53" Type="http://schemas.openxmlformats.org/officeDocument/2006/relationships/hyperlink" Target="https://www.cbd.int/doc/decisions/cop-11/cop-11-dec-25-en.pdf" TargetMode="External"/><Relationship Id="rId58" Type="http://schemas.openxmlformats.org/officeDocument/2006/relationships/hyperlink" Target="https://portals.iucn.org/library/sites/library/files/resrecfiles/WCC_2000_RES_64_EN.pdf" TargetMode="External"/><Relationship Id="rId74" Type="http://schemas.openxmlformats.org/officeDocument/2006/relationships/hyperlink" Target="https://www.interpol.int/Crime-areas/Environmental-crime/Projects/Project-Wisdom" TargetMode="External"/><Relationship Id="rId79" Type="http://schemas.openxmlformats.org/officeDocument/2006/relationships/hyperlink" Target="https://au.int/en/treaties/african-convention-conservation-nature-and-natural-resources-revised-version" TargetMode="External"/><Relationship Id="rId102" Type="http://schemas.openxmlformats.org/officeDocument/2006/relationships/hyperlink" Target="http://www.fao.org/forestry/wildlife-partnership/en/" TargetMode="External"/><Relationship Id="rId123" Type="http://schemas.openxmlformats.org/officeDocument/2006/relationships/hyperlink" Target="http://ibisrice.com/" TargetMode="External"/><Relationship Id="rId128" Type="http://schemas.openxmlformats.org/officeDocument/2006/relationships/hyperlink" Target="https://portals.iucn.org/library/sites/library/files/documents/CEM-005.pdf" TargetMode="External"/><Relationship Id="rId144" Type="http://schemas.openxmlformats.org/officeDocument/2006/relationships/hyperlink" Target="http://onlinelibrary.wiley.com/doi/10.1111/conl.12391/full" TargetMode="External"/><Relationship Id="rId149" Type="http://schemas.openxmlformats.org/officeDocument/2006/relationships/hyperlink" Target="http://www.fao.org/3/a-i6190e.pdf" TargetMode="External"/><Relationship Id="rId5" Type="http://schemas.openxmlformats.org/officeDocument/2006/relationships/numbering" Target="numbering.xml"/><Relationship Id="rId90" Type="http://schemas.openxmlformats.org/officeDocument/2006/relationships/hyperlink" Target="file:///C:\Users\laurencoad\Dropbox\Bushmeat%20studies\CIFOR\CBD%20report\drafts\CCAD%20central%20america" TargetMode="External"/><Relationship Id="rId95" Type="http://schemas.openxmlformats.org/officeDocument/2006/relationships/hyperlink" Target="https://en.wikipedia.org/wiki/Argentina" TargetMode="External"/><Relationship Id="rId160" Type="http://schemas.openxmlformats.org/officeDocument/2006/relationships/hyperlink" Target="https://doi.org/10.1371/journal.pone.0186133.g002" TargetMode="External"/><Relationship Id="rId165" Type="http://schemas.openxmlformats.org/officeDocument/2006/relationships/hyperlink" Target="http://pdf.usaid.gov/pdf_docs/Pnacq267.pdf" TargetMode="External"/><Relationship Id="rId22" Type="http://schemas.openxmlformats.org/officeDocument/2006/relationships/hyperlink" Target="mailto:hanibiz@gmail.com" TargetMode="External"/><Relationship Id="rId27" Type="http://schemas.openxmlformats.org/officeDocument/2006/relationships/header" Target="header1.xml"/><Relationship Id="rId43" Type="http://schemas.openxmlformats.org/officeDocument/2006/relationships/image" Target="media/image11.tiff"/><Relationship Id="rId48" Type="http://schemas.openxmlformats.org/officeDocument/2006/relationships/hyperlink" Target="https://www.cbd.int/doc/meetings/for/lgbushmeat-02/other/lgbushmeat-02-cites-cms-en.pdf" TargetMode="External"/><Relationship Id="rId64" Type="http://schemas.openxmlformats.org/officeDocument/2006/relationships/hyperlink" Target="http://strategicplan.undp.org/" TargetMode="External"/><Relationship Id="rId69" Type="http://schemas.openxmlformats.org/officeDocument/2006/relationships/hyperlink" Target="http://www.wcoomd.org/" TargetMode="External"/><Relationship Id="rId113" Type="http://schemas.openxmlformats.org/officeDocument/2006/relationships/hyperlink" Target="https://www.cites.org/eng/prog/ndf/index.php" TargetMode="External"/><Relationship Id="rId118" Type="http://schemas.openxmlformats.org/officeDocument/2006/relationships/hyperlink" Target="https://europa.eu/capacity4dev/b4life/blog/conservation-and-security-central-africa-summary-workshop-13-october" TargetMode="External"/><Relationship Id="rId134" Type="http://schemas.openxmlformats.org/officeDocument/2006/relationships/image" Target="media/image15.png"/><Relationship Id="rId139" Type="http://schemas.openxmlformats.org/officeDocument/2006/relationships/hyperlink" Target="http://www.changewildlifeconsumers.org/" TargetMode="External"/><Relationship Id="rId80" Type="http://schemas.openxmlformats.org/officeDocument/2006/relationships/hyperlink" Target="https://comifac.org/convergence" TargetMode="External"/><Relationship Id="rId85" Type="http://schemas.openxmlformats.org/officeDocument/2006/relationships/hyperlink" Target="https://www.eac.int/environment/natural-resources-management" TargetMode="External"/><Relationship Id="rId150" Type="http://schemas.openxmlformats.org/officeDocument/2006/relationships/hyperlink" Target="https://www.uncclearn.org/sites/default/files/inventory/un-redd05.pdf" TargetMode="External"/><Relationship Id="rId155" Type="http://schemas.openxmlformats.org/officeDocument/2006/relationships/hyperlink" Target="http://www.methodsinecologyandevolution.org/view/0/virtualIssues/monitoringwildlife.html" TargetMode="External"/><Relationship Id="rId171" Type="http://schemas.openxmlformats.org/officeDocument/2006/relationships/hyperlink" Target="https://www.wildlabs.net/resources/case-studies/getting-smart-cambodia" TargetMode="External"/><Relationship Id="rId176" Type="http://schemas.openxmlformats.org/officeDocument/2006/relationships/hyperlink" Target="https://www.iucn.org/sites/dev/files/import/downloads/profor_iucn_toolkit_overview.pdf" TargetMode="External"/><Relationship Id="rId12" Type="http://schemas.openxmlformats.org/officeDocument/2006/relationships/image" Target="media/image2.emf"/><Relationship Id="rId17" Type="http://schemas.openxmlformats.org/officeDocument/2006/relationships/hyperlink" Target="mailto:jfa949@gmail.com" TargetMode="External"/><Relationship Id="rId33" Type="http://schemas.openxmlformats.org/officeDocument/2006/relationships/image" Target="media/image4.tiff"/><Relationship Id="rId38" Type="http://schemas.openxmlformats.org/officeDocument/2006/relationships/image" Target="media/image8.png"/><Relationship Id="rId59" Type="http://schemas.openxmlformats.org/officeDocument/2006/relationships/hyperlink" Target="https://www.unenvironment.org/explore-topics/ecosystems" TargetMode="External"/><Relationship Id="rId103" Type="http://schemas.openxmlformats.org/officeDocument/2006/relationships/hyperlink" Target="http://www.fao.org/forestry/wildlife-partnership/bushmeat-sourcebook/en/" TargetMode="External"/><Relationship Id="rId108" Type="http://schemas.openxmlformats.org/officeDocument/2006/relationships/hyperlink" Target="https://www.iucn.org/commissions/commission-environmental-economic-and-social-policy/our-work/sustainable-use-and-2" TargetMode="External"/><Relationship Id="rId124" Type="http://schemas.openxmlformats.org/officeDocument/2006/relationships/hyperlink" Target="http://www.wildlifefriendly.org/" TargetMode="External"/><Relationship Id="rId129" Type="http://schemas.openxmlformats.org/officeDocument/2006/relationships/image" Target="media/image12.png"/><Relationship Id="rId54" Type="http://schemas.openxmlformats.org/officeDocument/2006/relationships/hyperlink" Target="https://www.cbd.int/doc/publications/cbd-csu-en.pdf" TargetMode="External"/><Relationship Id="rId70" Type="http://schemas.openxmlformats.org/officeDocument/2006/relationships/hyperlink" Target="https://cites.org/eng/prog/iccwc.php/Action/report_second_global_meeting_WENs" TargetMode="External"/><Relationship Id="rId75" Type="http://schemas.openxmlformats.org/officeDocument/2006/relationships/hyperlink" Target="http://documents.worldbank.org/curated/en/590031510147952606/pdf/120972-REVISED-World-Bank-Sustainability-Principles-2017.pdf" TargetMode="External"/><Relationship Id="rId91" Type="http://schemas.openxmlformats.org/officeDocument/2006/relationships/hyperlink" Target="https://en.wikipedia.org/wiki/South_America" TargetMode="External"/><Relationship Id="rId96" Type="http://schemas.openxmlformats.org/officeDocument/2006/relationships/hyperlink" Target="https://en.wikipedia.org/wiki/Brazil" TargetMode="External"/><Relationship Id="rId140" Type="http://schemas.openxmlformats.org/officeDocument/2006/relationships/hyperlink" Target="http://onlinelibrary.wiley.com/doi/10.1111/conl.12391/full" TargetMode="External"/><Relationship Id="rId145" Type="http://schemas.openxmlformats.org/officeDocument/2006/relationships/hyperlink" Target="http://www.espa.ac.uk/files/espa/A%20Framework%20For%20Defining%20Equity.pdf" TargetMode="External"/><Relationship Id="rId161" Type="http://schemas.openxmlformats.org/officeDocument/2006/relationships/hyperlink" Target="http://www.nacso.org.na/sites/default/files/3.01%20Event%20Book%20System.pdf" TargetMode="External"/><Relationship Id="rId166" Type="http://schemas.openxmlformats.org/officeDocument/2006/relationships/hyperlink" Target="http://rstb.royalsocietypublishing.org/content/royptb/370/1681/20150103.full.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dan.ingram@ucl.ac.uk" TargetMode="External"/><Relationship Id="rId28" Type="http://schemas.openxmlformats.org/officeDocument/2006/relationships/header" Target="header2.xml"/><Relationship Id="rId49" Type="http://schemas.openxmlformats.org/officeDocument/2006/relationships/hyperlink" Target="https://cites.org/sites/default/files/eng/cop/15/doc/E15-61.pdf" TargetMode="External"/><Relationship Id="rId114" Type="http://schemas.openxmlformats.org/officeDocument/2006/relationships/footer" Target="footer6.xml"/><Relationship Id="rId119" Type="http://schemas.openxmlformats.org/officeDocument/2006/relationships/hyperlink" Target="https://press.wcs.org/News-Releases/articleType/ArticleView/articleId/10220/Wildlife-of-Northern-Central-African-Republic-in-Danger-Urgent-Actions-Required-to-Secure-Remaining-Wildlife-Populations-and-Contribute-to-Stabilization-of-the-Region.aspx" TargetMode="External"/><Relationship Id="rId10" Type="http://schemas.openxmlformats.org/officeDocument/2006/relationships/endnotes" Target="endnotes.xml"/><Relationship Id="rId31" Type="http://schemas.openxmlformats.org/officeDocument/2006/relationships/hyperlink" Target="https://portals.iucn.org/library/sites/library/files/resrecfiles/WCC_2000_RES_64_EN.pdf" TargetMode="External"/><Relationship Id="rId44" Type="http://schemas.openxmlformats.org/officeDocument/2006/relationships/footer" Target="footer5.xml"/><Relationship Id="rId52" Type="http://schemas.openxmlformats.org/officeDocument/2006/relationships/hyperlink" Target="http://www.cms.int/sites/default/files/document/cms_scc-sc1_doc-10-2-2_aquatic-bushmeat_e_0.pdf" TargetMode="External"/><Relationship Id="rId60" Type="http://schemas.openxmlformats.org/officeDocument/2006/relationships/hyperlink" Target="https://www.unenvironment.org/explore-topics/environmental-governance" TargetMode="External"/><Relationship Id="rId65" Type="http://schemas.openxmlformats.org/officeDocument/2006/relationships/hyperlink" Target="https://www.interpol.int/Crime-areas/Environmental-crime/International-Consortium-on-Combating-Wildlife-Crime" TargetMode="External"/><Relationship Id="rId73" Type="http://schemas.openxmlformats.org/officeDocument/2006/relationships/hyperlink" Target="https://www.interpol.int/Crime-areas/Environmental-crime/Projects/Project-Predator" TargetMode="External"/><Relationship Id="rId78" Type="http://schemas.openxmlformats.org/officeDocument/2006/relationships/hyperlink" Target="http://www.unodc.org/unodc/en/wildlife-and-forest-crime/wildlife-and-forest-crime-analytic-toolkit.html" TargetMode="External"/><Relationship Id="rId81" Type="http://schemas.openxmlformats.org/officeDocument/2006/relationships/hyperlink" Target="http://www.sadc.int/documents-publications/show/813" TargetMode="External"/><Relationship Id="rId86" Type="http://schemas.openxmlformats.org/officeDocument/2006/relationships/hyperlink" Target="http://otca.info/portal/index.php?p=index" TargetMode="External"/><Relationship Id="rId94" Type="http://schemas.openxmlformats.org/officeDocument/2006/relationships/hyperlink" Target="https://en.wikipedia.org/wiki/Protocol_of_Ouro_Preto" TargetMode="External"/><Relationship Id="rId99" Type="http://schemas.openxmlformats.org/officeDocument/2006/relationships/hyperlink" Target="https://en.wikipedia.org/wiki/Free_trade" TargetMode="External"/><Relationship Id="rId101" Type="http://schemas.openxmlformats.org/officeDocument/2006/relationships/hyperlink" Target="https://environment.asean.org/the-asean-wildlife-enforcement-network-asean-wen/" TargetMode="External"/><Relationship Id="rId122" Type="http://schemas.openxmlformats.org/officeDocument/2006/relationships/hyperlink" Target="http://www.nacso.org.na/conservancies" TargetMode="External"/><Relationship Id="rId130" Type="http://schemas.openxmlformats.org/officeDocument/2006/relationships/hyperlink" Target="http://www.worldbank.org/en/news/press-release/2016/11/17/new-analysis-shows-scale-of-international-commitment-to-tackle-illegal-wildlife-trade-over-13-billion-since-2010" TargetMode="External"/><Relationship Id="rId135" Type="http://schemas.openxmlformats.org/officeDocument/2006/relationships/hyperlink" Target="http://s3.amazonaws.com/WCSResources/file_20110518_073829_CaseStudy_ImprovingPoultryProduction-Tanzania_srlu.pdf" TargetMode="External"/><Relationship Id="rId143" Type="http://schemas.openxmlformats.org/officeDocument/2006/relationships/hyperlink" Target="http://www.changewildlifeconsumers.org/" TargetMode="External"/><Relationship Id="rId148" Type="http://schemas.openxmlformats.org/officeDocument/2006/relationships/hyperlink" Target="https://www.culturalsurvival.org/sites/default/files/guidetofreepriorinformedconsent_0.pdf" TargetMode="External"/><Relationship Id="rId151" Type="http://schemas.openxmlformats.org/officeDocument/2006/relationships/hyperlink" Target="https://www.rainforest-alliance.org/business/sas/wp-content/uploads/2017/11/07_fpic-guide_en.pdf" TargetMode="External"/><Relationship Id="rId156" Type="http://schemas.openxmlformats.org/officeDocument/2006/relationships/hyperlink" Target="http://www.fosonline.org/wordpress/wp-content/uploads/2011/06/Module-7_Synthesis_Monitoring-wildlife.pdf" TargetMode="External"/><Relationship Id="rId164" Type="http://schemas.openxmlformats.org/officeDocument/2006/relationships/hyperlink" Target="http://siteresources.worldbank.org/INTBIODIVERSITY/214584-1110959186651/20611829/270310Guidlines0for0monitoring.pdf" TargetMode="External"/><Relationship Id="rId169" Type="http://schemas.openxmlformats.org/officeDocument/2006/relationships/hyperlink" Target="http://www.nacso.org.na/sites/default/files/3.01%20Event%20Book%20System.pdf" TargetMode="External"/><Relationship Id="rId177"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72" Type="http://schemas.openxmlformats.org/officeDocument/2006/relationships/hyperlink" Target="http://siteresources.worldbank.org/INTBIODIVERSITY/214584-1110959186651/20611829/270310Guidlines0for0monitoring.pdf" TargetMode="External"/><Relationship Id="rId13" Type="http://schemas.openxmlformats.org/officeDocument/2006/relationships/image" Target="media/image3.emf"/><Relationship Id="rId18" Type="http://schemas.openxmlformats.org/officeDocument/2006/relationships/hyperlink" Target="mailto:k.a.abernethy@stir.ac.uk" TargetMode="External"/><Relationship Id="rId39" Type="http://schemas.openxmlformats.org/officeDocument/2006/relationships/image" Target="media/image9.png"/><Relationship Id="rId109" Type="http://schemas.openxmlformats.org/officeDocument/2006/relationships/hyperlink" Target="https://www.iucn.org/commissions/commission-environmental-economic-and-social-policy/our-work/sustainable-use-and-0" TargetMode="External"/><Relationship Id="rId34" Type="http://schemas.openxmlformats.org/officeDocument/2006/relationships/image" Target="media/image5.tiff"/><Relationship Id="rId50" Type="http://schemas.openxmlformats.org/officeDocument/2006/relationships/hyperlink" Target="https://www.cms.int/sites/default/files/instrument/CMS-text.en_.PDF" TargetMode="External"/><Relationship Id="rId55" Type="http://schemas.openxmlformats.org/officeDocument/2006/relationships/hyperlink" Target="http://www.un.org/esa/socdev/unpfii/documents/DRIPS_en.pdf" TargetMode="External"/><Relationship Id="rId76" Type="http://schemas.openxmlformats.org/officeDocument/2006/relationships/hyperlink" Target="http://www.worldbank.org/en/topic/environment/brief/global-wildlife-program" TargetMode="External"/><Relationship Id="rId97" Type="http://schemas.openxmlformats.org/officeDocument/2006/relationships/hyperlink" Target="https://en.wikipedia.org/wiki/Paraguay" TargetMode="External"/><Relationship Id="rId104" Type="http://schemas.openxmlformats.org/officeDocument/2006/relationships/hyperlink" Target="http://www.elephantprotectioninitiative.org/" TargetMode="External"/><Relationship Id="rId120" Type="http://schemas.openxmlformats.org/officeDocument/2006/relationships/hyperlink" Target="https://europa.eu/capacity4dev/b4life/blog/conservation-and-security-central-africa-summary-workshop-13-october" TargetMode="External"/><Relationship Id="rId125" Type="http://schemas.openxmlformats.org/officeDocument/2006/relationships/hyperlink" Target="http://ibisrice.com/" TargetMode="External"/><Relationship Id="rId141" Type="http://schemas.openxmlformats.org/officeDocument/2006/relationships/hyperlink" Target="https://zslpublications.onlinelibrary.wiley.com/doi/pdf/10.1111/acv.12396" TargetMode="External"/><Relationship Id="rId146" Type="http://schemas.openxmlformats.org/officeDocument/2006/relationships/image" Target="media/image16.png"/><Relationship Id="rId167" Type="http://schemas.openxmlformats.org/officeDocument/2006/relationships/hyperlink" Target="http://pubs.iied.org/pdfs/14589IIED.pdf" TargetMode="External"/><Relationship Id="rId7" Type="http://schemas.openxmlformats.org/officeDocument/2006/relationships/settings" Target="settings.xml"/><Relationship Id="rId71" Type="http://schemas.openxmlformats.org/officeDocument/2006/relationships/hyperlink" Target="https://www.interpol.int/Crime-areas/Environmental-crime/Environmental-crime" TargetMode="External"/><Relationship Id="rId92" Type="http://schemas.openxmlformats.org/officeDocument/2006/relationships/hyperlink" Target="https://en.wikipedia.org/wiki/Trade_bloc" TargetMode="External"/><Relationship Id="rId162" Type="http://schemas.openxmlformats.org/officeDocument/2006/relationships/hyperlink" Target="http://smartconservationtools.org/" TargetMode="External"/><Relationship Id="rId2" Type="http://schemas.openxmlformats.org/officeDocument/2006/relationships/customXml" Target="../customXml/item2.xml"/><Relationship Id="rId29" Type="http://schemas.openxmlformats.org/officeDocument/2006/relationships/footer" Target="footer1.xml"/><Relationship Id="rId24" Type="http://schemas.openxmlformats.org/officeDocument/2006/relationships/hyperlink" Target="mailto:cawthorndonna@gmail.com" TargetMode="External"/><Relationship Id="rId40" Type="http://schemas.openxmlformats.org/officeDocument/2006/relationships/hyperlink" Target="http://www.unodc.org/documents/data-and-analysis/wildlife/World_Wildlife_Crime_Report_2016_final.pdf" TargetMode="External"/><Relationship Id="rId45" Type="http://schemas.openxmlformats.org/officeDocument/2006/relationships/hyperlink" Target="https://asean.org/" TargetMode="External"/><Relationship Id="rId66" Type="http://schemas.openxmlformats.org/officeDocument/2006/relationships/hyperlink" Target="https://www.interpol.int/Crime-areas/Environmental-crime/Environmental-crime" TargetMode="External"/><Relationship Id="rId87" Type="http://schemas.openxmlformats.org/officeDocument/2006/relationships/hyperlink" Target="http://www.otca-oficial.info/projects/details/15" TargetMode="External"/><Relationship Id="rId110" Type="http://schemas.openxmlformats.org/officeDocument/2006/relationships/hyperlink" Target="https://www.iucn.org/commissions/commission-environmental-economic-and-social-policy/our-work/specialist-group-0" TargetMode="External"/><Relationship Id="rId115" Type="http://schemas.openxmlformats.org/officeDocument/2006/relationships/hyperlink" Target="http://wedocs.unep.org/bitstream/handle/20.500.11822/22864/WLWL_Report_web.pdf" TargetMode="External"/><Relationship Id="rId131" Type="http://schemas.openxmlformats.org/officeDocument/2006/relationships/hyperlink" Target="http://documents.worldbank.org/curated/en/695451479221164739/Analysis-of-international-funding-to-tackle-illegal-wildlife-trade" TargetMode="External"/><Relationship Id="rId136" Type="http://schemas.openxmlformats.org/officeDocument/2006/relationships/hyperlink" Target="http://s3.amazonaws.com/WCSResources/file_20110518_073829_CaseStudy_ImprovingPoultryProduction-Tanzania_srlu.pdf" TargetMode="External"/><Relationship Id="rId157" Type="http://schemas.openxmlformats.org/officeDocument/2006/relationships/image" Target="media/image18.png"/><Relationship Id="rId178" Type="http://schemas.openxmlformats.org/officeDocument/2006/relationships/glossaryDocument" Target="glossary/document.xml"/><Relationship Id="rId61" Type="http://schemas.openxmlformats.org/officeDocument/2006/relationships/hyperlink" Target="http://www.fao.org/environmental-social-standards/en/" TargetMode="External"/><Relationship Id="rId82" Type="http://schemas.openxmlformats.org/officeDocument/2006/relationships/hyperlink" Target="http://www.ecowas.int/" TargetMode="External"/><Relationship Id="rId152" Type="http://schemas.openxmlformats.org/officeDocument/2006/relationships/image" Target="media/image17.png"/><Relationship Id="rId173" Type="http://schemas.openxmlformats.org/officeDocument/2006/relationships/hyperlink" Target="http://pdf.usaid.gov/pdf_docs/Pnacq267.pdf" TargetMode="External"/><Relationship Id="rId19" Type="http://schemas.openxmlformats.org/officeDocument/2006/relationships/hyperlink" Target="mailto:vanvlietnathalie@yahoo.com" TargetMode="External"/><Relationship Id="rId14" Type="http://schemas.openxmlformats.org/officeDocument/2006/relationships/hyperlink" Target="https://www.cbd.int/doc/recommendations/sbstta-21/sbstta-21-rec-02-en.pdf" TargetMode="External"/><Relationship Id="rId30" Type="http://schemas.openxmlformats.org/officeDocument/2006/relationships/footer" Target="footer2.xml"/><Relationship Id="rId35" Type="http://schemas.openxmlformats.org/officeDocument/2006/relationships/footer" Target="footer3.xml"/><Relationship Id="rId56" Type="http://schemas.openxmlformats.org/officeDocument/2006/relationships/hyperlink" Target="http://wedocs.unep.org/bitstream/handle/20.500.11822/22864/WLWL_Report_web.pdf" TargetMode="External"/><Relationship Id="rId77" Type="http://schemas.openxmlformats.org/officeDocument/2006/relationships/hyperlink" Target="http://www.unodc.org/unodc/en/wildlife-and-forest-crime/global-programme.html" TargetMode="External"/><Relationship Id="rId100" Type="http://schemas.openxmlformats.org/officeDocument/2006/relationships/hyperlink" Target="http://www.aseanapol.org/" TargetMode="External"/><Relationship Id="rId105" Type="http://schemas.openxmlformats.org/officeDocument/2006/relationships/hyperlink" Target="http://www.elephantprotectioninitiative.org/about-us/" TargetMode="External"/><Relationship Id="rId126" Type="http://schemas.openxmlformats.org/officeDocument/2006/relationships/hyperlink" Target="http://www.wildlifefriendly.org/" TargetMode="External"/><Relationship Id="rId147" Type="http://schemas.openxmlformats.org/officeDocument/2006/relationships/hyperlink" Target="https://www.culturalsurvival.org/sites/default/files/guidetofreepriorinformedconsent_0.pdf" TargetMode="External"/><Relationship Id="rId168" Type="http://schemas.openxmlformats.org/officeDocument/2006/relationships/hyperlink" Target="https://www.iucn.org/sites/dev/files/import/downloads/profor_iucn_toolkit_overview.pdf" TargetMode="External"/><Relationship Id="rId8" Type="http://schemas.openxmlformats.org/officeDocument/2006/relationships/webSettings" Target="webSettings.xml"/><Relationship Id="rId51" Type="http://schemas.openxmlformats.org/officeDocument/2006/relationships/hyperlink" Target="https://www.cms.int/sites/default/files/document/cms_cop12_doc.24.4.7_rev.1_wildmeat_e.pdf" TargetMode="External"/><Relationship Id="rId72" Type="http://schemas.openxmlformats.org/officeDocument/2006/relationships/hyperlink" Target="https://www.interpol.int/Crime-areas/Environmental-crime/Projects/Project-Scale" TargetMode="External"/><Relationship Id="rId93" Type="http://schemas.openxmlformats.org/officeDocument/2006/relationships/hyperlink" Target="https://en.wikipedia.org/wiki/Treaty_of_Asunci%C3%B3n" TargetMode="External"/><Relationship Id="rId98" Type="http://schemas.openxmlformats.org/officeDocument/2006/relationships/hyperlink" Target="https://en.wikipedia.org/wiki/Uruguay" TargetMode="External"/><Relationship Id="rId121" Type="http://schemas.openxmlformats.org/officeDocument/2006/relationships/hyperlink" Target="https://press.wcs.org/News-Releases/articleType/ArticleView/articleId/10220/Wildlife-of-Northern-Central-African-Republic-in-Danger-Urgent-Actions-Required-to-Secure-Remaining-Wildlife-Populations-and-Contribute-to-Stabilization-of-the-Region.aspx" TargetMode="External"/><Relationship Id="rId142" Type="http://schemas.openxmlformats.org/officeDocument/2006/relationships/hyperlink" Target="https://www.populationmedia.org/projects/pambazuko/" TargetMode="External"/><Relationship Id="rId163" Type="http://schemas.openxmlformats.org/officeDocument/2006/relationships/hyperlink" Target="https://www.wildlabs.net/resources/case-studies/getting-smart-cambodia" TargetMode="External"/><Relationship Id="rId3" Type="http://schemas.openxmlformats.org/officeDocument/2006/relationships/customXml" Target="../customXml/item3.xml"/><Relationship Id="rId25" Type="http://schemas.openxmlformats.org/officeDocument/2006/relationships/hyperlink" Target="mailto:R.NASI@cgiar.org" TargetMode="External"/><Relationship Id="rId46" Type="http://schemas.openxmlformats.org/officeDocument/2006/relationships/hyperlink" Target="https://cites.org/sites/default/files/document/E-Res-13-11-R17.pdf" TargetMode="External"/><Relationship Id="rId67" Type="http://schemas.openxmlformats.org/officeDocument/2006/relationships/hyperlink" Target="http://projects.worldbank.org/search?lang=&amp;searchTerm=wildlife" TargetMode="External"/><Relationship Id="rId116" Type="http://schemas.openxmlformats.org/officeDocument/2006/relationships/hyperlink" Target="https://www.espa.ac.uk/files/espa/Realising%20the%20promise%20of%20Tanzania%20Wildlife%20Management%20Areas.pdf" TargetMode="External"/><Relationship Id="rId137" Type="http://schemas.openxmlformats.org/officeDocument/2006/relationships/hyperlink" Target="https://zslpublications.onlinelibrary.wiley.com/doi/pdf/10.1111/acv.12396" TargetMode="External"/><Relationship Id="rId158" Type="http://schemas.openxmlformats.org/officeDocument/2006/relationships/image" Target="media/image19.tiff"/><Relationship Id="rId20" Type="http://schemas.openxmlformats.org/officeDocument/2006/relationships/hyperlink" Target="mailto:catalina.santamaria@cbd.int" TargetMode="External"/><Relationship Id="rId41" Type="http://schemas.openxmlformats.org/officeDocument/2006/relationships/footer" Target="footer4.xml"/><Relationship Id="rId62" Type="http://schemas.openxmlformats.org/officeDocument/2006/relationships/hyperlink" Target="http://www.fao.org/about/who-we-are/departments/climate-biodiversity-land-water/en/" TargetMode="External"/><Relationship Id="rId83" Type="http://schemas.openxmlformats.org/officeDocument/2006/relationships/hyperlink" Target="http://www.uemoa.int/en/secteur/environnement-et-eau" TargetMode="External"/><Relationship Id="rId88" Type="http://schemas.openxmlformats.org/officeDocument/2006/relationships/hyperlink" Target="http://www.guianashield.org/" TargetMode="External"/><Relationship Id="rId111" Type="http://schemas.openxmlformats.org/officeDocument/2006/relationships/hyperlink" Target="http://pfbc-cbfp.org/home.html" TargetMode="External"/><Relationship Id="rId132" Type="http://schemas.openxmlformats.org/officeDocument/2006/relationships/image" Target="media/image13.png"/><Relationship Id="rId153" Type="http://schemas.openxmlformats.org/officeDocument/2006/relationships/hyperlink" Target="http://www.mappingforrights.org/participatory_mapping" TargetMode="External"/><Relationship Id="rId174" Type="http://schemas.openxmlformats.org/officeDocument/2006/relationships/hyperlink" Target="http://rstb.royalsocietypublishing.org/content/royptb/370/1681/20150103.full.pdf" TargetMode="External"/><Relationship Id="rId179" Type="http://schemas.openxmlformats.org/officeDocument/2006/relationships/theme" Target="theme/theme1.xml"/><Relationship Id="rId15" Type="http://schemas.openxmlformats.org/officeDocument/2006/relationships/hyperlink" Target="https://www.cbd.int/doc/decisions/cop-13/cop-13-dec-08-en.pdf" TargetMode="External"/><Relationship Id="rId36" Type="http://schemas.openxmlformats.org/officeDocument/2006/relationships/image" Target="media/image6.png"/><Relationship Id="rId57" Type="http://schemas.openxmlformats.org/officeDocument/2006/relationships/hyperlink" Target="https://www.iucn.org/commissions/commission-environmental-economic-and-social-policy/our-work/specialist-group-sustainable-use-and-livelihoods-suli" TargetMode="External"/><Relationship Id="rId106" Type="http://schemas.openxmlformats.org/officeDocument/2006/relationships/hyperlink" Target="http://www.worldbank.org/en/topic/environment/brief/the-global-tiger-initiative" TargetMode="External"/><Relationship Id="rId127" Type="http://schemas.openxmlformats.org/officeDocument/2006/relationships/hyperlink" Target="https://portals.iucn.org/library/sites/library/files/documents/CEM-005.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979389917AD40998674799D6E086246"/>
        <w:category>
          <w:name w:val="General"/>
          <w:gallery w:val="placeholder"/>
        </w:category>
        <w:types>
          <w:type w:val="bbPlcHdr"/>
        </w:types>
        <w:behaviors>
          <w:behavior w:val="content"/>
        </w:behaviors>
        <w:guid w:val="{FCF90C97-DC82-4A0B-A0C2-3E46030AB479}"/>
      </w:docPartPr>
      <w:docPartBody>
        <w:p w:rsidR="00000000" w:rsidRDefault="00EF62D5" w:rsidP="00EF62D5">
          <w:pPr>
            <w:pStyle w:val="E979389917AD40998674799D6E086246"/>
          </w:pPr>
          <w:r w:rsidRPr="00B903A7">
            <w:rPr>
              <w:rStyle w:val="PlaceholderText"/>
            </w:rPr>
            <w:t>[Subject]</w:t>
          </w:r>
        </w:p>
      </w:docPartBody>
    </w:docPart>
    <w:docPart>
      <w:docPartPr>
        <w:name w:val="89A444A94EDA4D21B951316C40DEF9E7"/>
        <w:category>
          <w:name w:val="General"/>
          <w:gallery w:val="placeholder"/>
        </w:category>
        <w:types>
          <w:type w:val="bbPlcHdr"/>
        </w:types>
        <w:behaviors>
          <w:behavior w:val="content"/>
        </w:behaviors>
        <w:guid w:val="{8A523AF7-1399-4D50-9D81-AFD7764E9943}"/>
      </w:docPartPr>
      <w:docPartBody>
        <w:p w:rsidR="00000000" w:rsidRDefault="00EF62D5" w:rsidP="00EF62D5">
          <w:pPr>
            <w:pStyle w:val="89A444A94EDA4D21B951316C40DEF9E7"/>
          </w:pPr>
          <w:r w:rsidRPr="00AB60F6">
            <w:rPr>
              <w:rStyle w:val="PlaceholderText"/>
            </w:rPr>
            <w:t>Click here to enter text.</w:t>
          </w:r>
        </w:p>
      </w:docPartBody>
    </w:docPart>
    <w:docPart>
      <w:docPartPr>
        <w:name w:val="875E9E31C68E4173BC16965E2D0F1951"/>
        <w:category>
          <w:name w:val="General"/>
          <w:gallery w:val="placeholder"/>
        </w:category>
        <w:types>
          <w:type w:val="bbPlcHdr"/>
        </w:types>
        <w:behaviors>
          <w:behavior w:val="content"/>
        </w:behaviors>
        <w:guid w:val="{88075D52-3B6E-45FE-BE43-E3619F0C24BB}"/>
      </w:docPartPr>
      <w:docPartBody>
        <w:p w:rsidR="00000000" w:rsidRDefault="00EF62D5" w:rsidP="00EF62D5">
          <w:pPr>
            <w:pStyle w:val="875E9E31C68E4173BC16965E2D0F1951"/>
          </w:pPr>
          <w:r w:rsidRPr="00B903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
    <w:altName w:val="Arial"/>
    <w:panose1 w:val="020B05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MyriadPro-Bold">
    <w:altName w:val="Calibri"/>
    <w:panose1 w:val="00000000000000000000"/>
    <w:charset w:val="00"/>
    <w:family w:val="swiss"/>
    <w:notTrueType/>
    <w:pitch w:val="default"/>
    <w:sig w:usb0="00000003" w:usb1="00000000" w:usb2="00000000" w:usb3="00000000" w:csb0="00000001" w:csb1="00000000"/>
  </w:font>
  <w:font w:name="Times">
    <w:altName w:val="Times New Roman"/>
    <w:panose1 w:val="02020603050405020304"/>
    <w:charset w:val="00"/>
    <w:family w:val="auto"/>
    <w:pitch w:val="variable"/>
    <w:sig w:usb0="E00002FF" w:usb1="5000205A" w:usb2="00000000" w:usb3="00000000" w:csb0="0000019F" w:csb1="00000000"/>
  </w:font>
  <w:font w:name="MinionPro">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variable"/>
    <w:sig w:usb0="00000000" w:usb1="C0007841" w:usb2="00000009" w:usb3="00000000" w:csb0="000001FF" w:csb1="00000000"/>
  </w:font>
  <w:font w:name="inherit">
    <w:altName w:val="Times New Roman"/>
    <w:panose1 w:val="00000000000000000000"/>
    <w:charset w:val="00"/>
    <w:family w:val="roman"/>
    <w:notTrueType/>
    <w:pitch w:val="default"/>
  </w:font>
  <w:font w:name="ArialMT">
    <w:altName w:val="Arial"/>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2D5"/>
    <w:rsid w:val="00EF62D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EF62D5"/>
    <w:rPr>
      <w:color w:val="808080"/>
    </w:rPr>
  </w:style>
  <w:style w:type="paragraph" w:customStyle="1" w:styleId="E979389917AD40998674799D6E086246">
    <w:name w:val="E979389917AD40998674799D6E086246"/>
    <w:rsid w:val="00EF62D5"/>
  </w:style>
  <w:style w:type="paragraph" w:customStyle="1" w:styleId="89A444A94EDA4D21B951316C40DEF9E7">
    <w:name w:val="89A444A94EDA4D21B951316C40DEF9E7"/>
    <w:rsid w:val="00EF62D5"/>
  </w:style>
  <w:style w:type="paragraph" w:customStyle="1" w:styleId="875E9E31C68E4173BC16965E2D0F1951">
    <w:name w:val="875E9E31C68E4173BC16965E2D0F1951"/>
    <w:rsid w:val="00EF62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F0AAD-340B-421C-8698-9B1F43A8FD24}">
  <ds:schemaRefs>
    <ds:schemaRef ds:uri="http://schemas.openxmlformats.org/officeDocument/2006/bibliography"/>
  </ds:schemaRefs>
</ds:datastoreItem>
</file>

<file path=customXml/itemProps2.xml><?xml version="1.0" encoding="utf-8"?>
<ds:datastoreItem xmlns:ds="http://schemas.openxmlformats.org/officeDocument/2006/customXml" ds:itemID="{3FE7D732-155A-4867-B130-7D0138A384D2}">
  <ds:schemaRefs>
    <ds:schemaRef ds:uri="http://schemas.openxmlformats.org/officeDocument/2006/bibliography"/>
  </ds:schemaRefs>
</ds:datastoreItem>
</file>

<file path=customXml/itemProps3.xml><?xml version="1.0" encoding="utf-8"?>
<ds:datastoreItem xmlns:ds="http://schemas.openxmlformats.org/officeDocument/2006/customXml" ds:itemID="{F6453E62-7762-46A6-A8A8-9C9F0EDB4C9E}">
  <ds:schemaRefs>
    <ds:schemaRef ds:uri="http://schemas.openxmlformats.org/officeDocument/2006/bibliography"/>
  </ds:schemaRefs>
</ds:datastoreItem>
</file>

<file path=customXml/itemProps4.xml><?xml version="1.0" encoding="utf-8"?>
<ds:datastoreItem xmlns:ds="http://schemas.openxmlformats.org/officeDocument/2006/customXml" ds:itemID="{EDE0C886-2232-478C-87DF-7A8188A47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181</Pages>
  <Words>404413</Words>
  <Characters>2305158</Characters>
  <Application>Microsoft Office Word</Application>
  <DocSecurity>0</DocSecurity>
  <Lines>19209</Lines>
  <Paragraphs>5408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TOWARDS A SUSTAINABLE, PARTICIPATORY AND INCLUSIVE WILD MEAT SECTOR</vt:lpstr>
      <vt:lpstr/>
    </vt:vector>
  </TitlesOfParts>
  <Company>Hewlett-Packard Company</Company>
  <LinksUpToDate>false</LinksUpToDate>
  <CharactersWithSpaces>2704163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TOWARDS A SUSTAINABLE, PARTICIPATORY AND INCLUSIVE WILD MEAT SECTOR</dc:title>
  <dc:subject>CBD/COP/14/INF/7</dc:subject>
  <dc:creator>Nasi, Robert   (CIFOR)</dc:creator>
  <cp:keywords/>
  <dc:description/>
  <cp:lastModifiedBy>Veronique Lefebvre</cp:lastModifiedBy>
  <cp:revision>2</cp:revision>
  <cp:lastPrinted>2017-07-18T19:47:00Z</cp:lastPrinted>
  <dcterms:created xsi:type="dcterms:W3CDTF">2018-11-15T10:37:00Z</dcterms:created>
  <dcterms:modified xsi:type="dcterms:W3CDTF">2018-11-15T10:37:00Z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16th edition (author-date)</vt:lpwstr>
  </property>
  <property fmtid="{D5CDD505-2E9C-101B-9397-08002B2CF9AE}" pid="8" name="Mendeley Recent Style Id 3_1">
    <vt:lpwstr>http://www.zotero.org/styles/conservation-letters</vt:lpwstr>
  </property>
  <property fmtid="{D5CDD505-2E9C-101B-9397-08002B2CF9AE}" pid="9" name="Mendeley Recent Style Name 3_1">
    <vt:lpwstr>Conservation Letters</vt:lpwstr>
  </property>
  <property fmtid="{D5CDD505-2E9C-101B-9397-08002B2CF9AE}" pid="10" name="Mendeley Recent Style Id 4_1">
    <vt:lpwstr>http://www.zotero.org/styles/frontiers-in-ecology-and-the-environment</vt:lpwstr>
  </property>
  <property fmtid="{D5CDD505-2E9C-101B-9397-08002B2CF9AE}" pid="11" name="Mendeley Recent Style Name 4_1">
    <vt:lpwstr>Frontiers in Ecology and the Environment</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http://www.zotero.org/styles/science</vt:lpwstr>
  </property>
  <property fmtid="{D5CDD505-2E9C-101B-9397-08002B2CF9AE}" pid="21" name="Mendeley Recent Style Name 9_1">
    <vt:lpwstr>Science</vt:lpwstr>
  </property>
  <property fmtid="{D5CDD505-2E9C-101B-9397-08002B2CF9AE}" pid="22" name="Mendeley Document_1">
    <vt:lpwstr>True</vt:lpwstr>
  </property>
  <property fmtid="{D5CDD505-2E9C-101B-9397-08002B2CF9AE}" pid="23" name="Mendeley Unique User Id_1">
    <vt:lpwstr>cd809f7b-dd3f-3020-9a2f-ea3d97fdfd92</vt:lpwstr>
  </property>
  <property fmtid="{D5CDD505-2E9C-101B-9397-08002B2CF9AE}" pid="24" name="Mendeley Citation Style_1">
    <vt:lpwstr>http://www.zotero.org/styles/conservation-letters</vt:lpwstr>
  </property>
</Properties>
</file>