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EA442C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fr-FR"/>
              </w:rPr>
              <w:drawing>
                <wp:inline distT="0" distB="0" distL="0" distR="0" wp14:anchorId="16DF6499" wp14:editId="1322F031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721809" w:rsidP="00B60E5F">
            <w:pPr>
              <w:spacing w:after="120"/>
              <w:jc w:val="left"/>
            </w:pPr>
            <w:r w:rsidRPr="00721809">
              <w:rPr>
                <w:noProof/>
                <w:lang w:eastAsia="fr-FR"/>
              </w:rPr>
              <w:drawing>
                <wp:inline distT="0" distB="0" distL="0" distR="0" wp14:anchorId="3FCE405B" wp14:editId="6687C909">
                  <wp:extent cx="593725" cy="340995"/>
                  <wp:effectExtent l="0" t="0" r="0" b="1905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072305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25" cy="340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7558EC" w:rsidRDefault="00290061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rPr>
                <w:szCs w:val="22"/>
              </w:rPr>
              <w:t>/NP/MOP/5/1</w:t>
            </w:r>
          </w:p>
        </w:tc>
      </w:tr>
      <w:tr w:rsidR="00A96B21" w:rsidRPr="00EA442C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721809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F32592">
              <w:rPr>
                <w:bCs/>
                <w:noProof/>
                <w:szCs w:val="22"/>
                <w:lang w:eastAsia="fr-FR"/>
              </w:rPr>
              <w:drawing>
                <wp:inline distT="0" distB="0" distL="0" distR="0" wp14:anchorId="436B0074" wp14:editId="7AFD4CFC">
                  <wp:extent cx="2857500" cy="1076325"/>
                  <wp:effectExtent l="0" t="0" r="0" b="9525"/>
                  <wp:docPr id="5" name="Picture 5" descr="CBD_logo_fr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BD_logo_fr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7558EC" w:rsidRDefault="00721809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Distr. : g</w:t>
            </w:r>
            <w:r w:rsidR="00290061">
              <w:rPr>
                <w:sz w:val="22"/>
                <w:szCs w:val="22"/>
              </w:rPr>
              <w:t>énéral</w:t>
            </w:r>
            <w:r>
              <w:rPr>
                <w:sz w:val="22"/>
                <w:szCs w:val="22"/>
              </w:rPr>
              <w:t>e</w:t>
            </w:r>
          </w:p>
          <w:p w:rsidR="007558EC" w:rsidRDefault="00721809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j</w:t>
            </w:r>
            <w:r w:rsidR="00290061">
              <w:rPr>
                <w:sz w:val="22"/>
                <w:szCs w:val="22"/>
              </w:rPr>
              <w:t>uin 2024</w:t>
            </w:r>
          </w:p>
          <w:p w:rsidR="00A96B21" w:rsidRDefault="00A96B21" w:rsidP="003C6F10">
            <w:pPr>
              <w:ind w:left="2584"/>
              <w:rPr>
                <w:sz w:val="22"/>
                <w:szCs w:val="22"/>
              </w:rPr>
            </w:pPr>
          </w:p>
          <w:p w:rsidR="00721809" w:rsidRPr="003C6F10" w:rsidRDefault="00721809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Français</w:t>
            </w:r>
          </w:p>
          <w:p w:rsidR="007558EC" w:rsidRDefault="00290061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Original : anglais</w:t>
            </w:r>
          </w:p>
          <w:p w:rsidR="00A96B21" w:rsidRPr="00550DCE" w:rsidRDefault="00A96B21" w:rsidP="00B60E5F"/>
        </w:tc>
      </w:tr>
    </w:tbl>
    <w:p w:rsidR="00721809" w:rsidRDefault="00290061" w:rsidP="00721809">
      <w:pPr>
        <w:pStyle w:val="AFCorNot12Bold"/>
        <w:tabs>
          <w:tab w:val="left" w:pos="4820"/>
        </w:tabs>
      </w:pPr>
      <w:bookmarkStart w:id="1" w:name="_GoBack"/>
      <w:bookmarkEnd w:id="1"/>
      <w:r>
        <w:t>Conféren</w:t>
      </w:r>
      <w:r>
        <w:t xml:space="preserve">ce des Parties à la Convention </w:t>
      </w:r>
      <w:r>
        <w:br/>
      </w:r>
      <w:r>
        <w:t xml:space="preserve">sur la diversité biologique </w:t>
      </w:r>
      <w:r w:rsidR="00721809">
        <w:t>siégeant en tant que</w:t>
      </w:r>
      <w:r>
        <w:t xml:space="preserve"> </w:t>
      </w:r>
    </w:p>
    <w:p w:rsidR="00721809" w:rsidRDefault="00721809" w:rsidP="00721809">
      <w:pPr>
        <w:pStyle w:val="AFCorNot12Bold"/>
        <w:tabs>
          <w:tab w:val="left" w:pos="4820"/>
        </w:tabs>
      </w:pPr>
      <w:r>
        <w:t xml:space="preserve">réunion </w:t>
      </w:r>
      <w:r w:rsidR="00290061">
        <w:t xml:space="preserve">des Parties au Protocole de Nagoya sur </w:t>
      </w:r>
    </w:p>
    <w:p w:rsidR="00721809" w:rsidRDefault="00721809" w:rsidP="00721809">
      <w:pPr>
        <w:pStyle w:val="AFCorNot12Bold"/>
        <w:tabs>
          <w:tab w:val="left" w:pos="4820"/>
        </w:tabs>
      </w:pPr>
      <w:r>
        <w:t xml:space="preserve">l’accès </w:t>
      </w:r>
      <w:r w:rsidR="00290061">
        <w:t>a</w:t>
      </w:r>
      <w:r>
        <w:t xml:space="preserve">ux ressources génétiques et le </w:t>
      </w:r>
      <w:r w:rsidR="00290061">
        <w:t xml:space="preserve">partage </w:t>
      </w:r>
    </w:p>
    <w:p w:rsidR="00F12CE9" w:rsidRDefault="00290061" w:rsidP="00F12CE9">
      <w:pPr>
        <w:pStyle w:val="AFCorNot12Bold"/>
        <w:tabs>
          <w:tab w:val="left" w:pos="4678"/>
        </w:tabs>
      </w:pPr>
      <w:r>
        <w:t xml:space="preserve">juste et équitable des avantages découlant de </w:t>
      </w:r>
    </w:p>
    <w:p w:rsidR="007558EC" w:rsidRDefault="00290061" w:rsidP="00F12CE9">
      <w:pPr>
        <w:pStyle w:val="AFCorNot12Bold"/>
        <w:tabs>
          <w:tab w:val="left" w:pos="4678"/>
        </w:tabs>
      </w:pPr>
      <w:r>
        <w:t>leur utilisation</w:t>
      </w:r>
    </w:p>
    <w:p w:rsidR="007558EC" w:rsidRDefault="00290061">
      <w:pPr>
        <w:pStyle w:val="Cornernotation"/>
        <w:rPr>
          <w:bCs/>
          <w:sz w:val="22"/>
        </w:rPr>
      </w:pPr>
      <w:r>
        <w:rPr>
          <w:bCs/>
          <w:sz w:val="22"/>
        </w:rPr>
        <w:t xml:space="preserve">Cinquième réunion </w:t>
      </w:r>
    </w:p>
    <w:p w:rsidR="007558EC" w:rsidRDefault="00290061">
      <w:pPr>
        <w:pStyle w:val="AFCorNotNormal"/>
      </w:pPr>
      <w:r>
        <w:t>Cali, Colombie, 21 octobre</w:t>
      </w:r>
      <w:r w:rsidR="00721809">
        <w:t>–</w:t>
      </w:r>
      <w:r>
        <w:t>1</w:t>
      </w:r>
      <w:r w:rsidRPr="00721809">
        <w:rPr>
          <w:vertAlign w:val="superscript"/>
        </w:rPr>
        <w:t>er</w:t>
      </w:r>
      <w:r>
        <w:t xml:space="preserve"> novembre 2024</w:t>
      </w:r>
    </w:p>
    <w:bookmarkEnd w:id="0"/>
    <w:p w:rsidR="007558EC" w:rsidRDefault="00290061">
      <w:pPr>
        <w:pStyle w:val="CBDTitle"/>
        <w:spacing w:before="160" w:after="160"/>
      </w:pPr>
      <w:r>
        <w:t>Ordre du jour provisoire</w:t>
      </w:r>
    </w:p>
    <w:p w:rsidR="007558EC" w:rsidRDefault="00290061">
      <w:pPr>
        <w:pStyle w:val="CBDNormalNumber"/>
      </w:pPr>
      <w:r>
        <w:t>Ouverture de la réunion.</w:t>
      </w:r>
    </w:p>
    <w:p w:rsidR="007558EC" w:rsidRDefault="00290061">
      <w:pPr>
        <w:pStyle w:val="CBDNormalNumber"/>
      </w:pPr>
      <w:r>
        <w:t>Questions d</w:t>
      </w:r>
      <w:r w:rsidR="00721809">
        <w:t>’</w:t>
      </w:r>
      <w:r>
        <w:t>organisation.</w:t>
      </w:r>
    </w:p>
    <w:p w:rsidR="007558EC" w:rsidRDefault="00290061">
      <w:pPr>
        <w:pStyle w:val="CBDNormalNumber"/>
        <w:ind w:left="1134" w:hanging="567"/>
      </w:pPr>
      <w:r>
        <w:t xml:space="preserve">Rapport sur les pouvoirs des représentants à la cinquième réunion de la Conférence des Parties </w:t>
      </w:r>
      <w:r w:rsidR="00721809">
        <w:t>siégeant en tant que</w:t>
      </w:r>
      <w:r>
        <w:t xml:space="preserve"> réunion des Parties au Protocole de Nagoya.</w:t>
      </w:r>
    </w:p>
    <w:p w:rsidR="007558EC" w:rsidRDefault="00290061">
      <w:pPr>
        <w:pStyle w:val="CBDNormalNumber"/>
      </w:pPr>
      <w:r>
        <w:t>Rapports des organes subsidiaires.</w:t>
      </w:r>
    </w:p>
    <w:p w:rsidR="007558EC" w:rsidRDefault="00290061">
      <w:pPr>
        <w:pStyle w:val="CBDNormalNumber"/>
      </w:pPr>
      <w:r>
        <w:t>Rapport du Comit</w:t>
      </w:r>
      <w:r w:rsidR="00721809">
        <w:t>é chargé du respect des obligations</w:t>
      </w:r>
      <w:r>
        <w:t>.</w:t>
      </w:r>
    </w:p>
    <w:p w:rsidR="007558EC" w:rsidRDefault="00290061">
      <w:pPr>
        <w:pStyle w:val="CBDNormalNumber"/>
      </w:pPr>
      <w:r>
        <w:t>Ad</w:t>
      </w:r>
      <w:r w:rsidR="00721809">
        <w:t xml:space="preserve">ministration du Protocole et </w:t>
      </w:r>
      <w:r>
        <w:t>budget des fonds d</w:t>
      </w:r>
      <w:r w:rsidR="00721809">
        <w:t>’</w:t>
      </w:r>
      <w:r>
        <w:t>affectation spéciale.</w:t>
      </w:r>
    </w:p>
    <w:p w:rsidR="007558EC" w:rsidRDefault="00721809">
      <w:pPr>
        <w:pStyle w:val="CBDNormalNumber"/>
      </w:pPr>
      <w:r>
        <w:t>Mécanisme de financement et ressources financière</w:t>
      </w:r>
      <w:r w:rsidR="00290061">
        <w:t>s.</w:t>
      </w:r>
    </w:p>
    <w:p w:rsidR="007558EC" w:rsidRDefault="00290061">
      <w:pPr>
        <w:pStyle w:val="CBDNormalNumber"/>
      </w:pPr>
      <w:r>
        <w:t xml:space="preserve">Renforcement </w:t>
      </w:r>
      <w:r w:rsidR="00721809">
        <w:t>et développement des capacités</w:t>
      </w:r>
      <w:r>
        <w:t xml:space="preserve"> et sensibilisation.</w:t>
      </w:r>
    </w:p>
    <w:p w:rsidR="007558EC" w:rsidRDefault="00290061">
      <w:pPr>
        <w:pStyle w:val="CBDNormalNumber"/>
      </w:pPr>
      <w:r>
        <w:t>Centre d</w:t>
      </w:r>
      <w:r w:rsidR="00721809">
        <w:t>’</w:t>
      </w:r>
      <w:r>
        <w:t>échange sur l</w:t>
      </w:r>
      <w:r w:rsidR="00721809">
        <w:t>’</w:t>
      </w:r>
      <w:r>
        <w:t>accès et le partage</w:t>
      </w:r>
      <w:r w:rsidR="00721809">
        <w:t xml:space="preserve"> des avantages et partage d’informations</w:t>
      </w:r>
      <w:r>
        <w:t>.</w:t>
      </w:r>
    </w:p>
    <w:p w:rsidR="007558EC" w:rsidRDefault="00290061">
      <w:pPr>
        <w:pStyle w:val="CBDNormalNumber"/>
      </w:pPr>
      <w:r>
        <w:t>Évaluation et examen de l</w:t>
      </w:r>
      <w:r w:rsidR="00721809">
        <w:t>’</w:t>
      </w:r>
      <w:r w:rsidR="009446AD">
        <w:t>efficacité du Proto</w:t>
      </w:r>
      <w:r>
        <w:t>cole.</w:t>
      </w:r>
    </w:p>
    <w:p w:rsidR="007558EC" w:rsidRDefault="00721809">
      <w:pPr>
        <w:pStyle w:val="CBDNormalNumber"/>
        <w:ind w:left="1134" w:hanging="567"/>
      </w:pPr>
      <w:r>
        <w:t>Coopération avec d</w:t>
      </w:r>
      <w:r w:rsidR="009446AD">
        <w:t xml:space="preserve">es organisations </w:t>
      </w:r>
      <w:r w:rsidR="00290061">
        <w:t xml:space="preserve">internationales, </w:t>
      </w:r>
      <w:r>
        <w:rPr>
          <w:kern w:val="22"/>
        </w:rPr>
        <w:t>d</w:t>
      </w:r>
      <w:r w:rsidR="00290061">
        <w:rPr>
          <w:kern w:val="22"/>
        </w:rPr>
        <w:t>es organismes créés en vertu d</w:t>
      </w:r>
      <w:r>
        <w:rPr>
          <w:kern w:val="22"/>
        </w:rPr>
        <w:t>’</w:t>
      </w:r>
      <w:r w:rsidR="00290061">
        <w:rPr>
          <w:kern w:val="22"/>
        </w:rPr>
        <w:t>autres conventions</w:t>
      </w:r>
      <w:r>
        <w:rPr>
          <w:kern w:val="22"/>
        </w:rPr>
        <w:t>, et d</w:t>
      </w:r>
      <w:r w:rsidR="00290061">
        <w:rPr>
          <w:kern w:val="22"/>
        </w:rPr>
        <w:t xml:space="preserve">es </w:t>
      </w:r>
      <w:r w:rsidR="00290061">
        <w:t>initiatives.</w:t>
      </w:r>
    </w:p>
    <w:p w:rsidR="007558EC" w:rsidRDefault="00290061">
      <w:pPr>
        <w:pStyle w:val="CBDNormalNumber"/>
      </w:pPr>
      <w:r>
        <w:t>Examen de l</w:t>
      </w:r>
      <w:r w:rsidR="00721809">
        <w:t>’</w:t>
      </w:r>
      <w:r>
        <w:t>efficacité des processus relevant de la Convention et de ses Protocoles.</w:t>
      </w:r>
    </w:p>
    <w:p w:rsidR="007558EC" w:rsidRDefault="00721809">
      <w:pPr>
        <w:pStyle w:val="CBDNormalNumber"/>
        <w:ind w:left="1134" w:hanging="567"/>
      </w:pPr>
      <w:r>
        <w:t>Renforcer l’application</w:t>
      </w:r>
      <w:r w:rsidR="00290061">
        <w:t xml:space="preserve"> du Protocole de Nagoya dans le contexte du Cadre mondial de la biodiversité de Kunming-Montréal.</w:t>
      </w:r>
    </w:p>
    <w:p w:rsidR="007558EC" w:rsidRDefault="00721809">
      <w:pPr>
        <w:pStyle w:val="CBDNormalNumber"/>
      </w:pPr>
      <w:r>
        <w:t>Information de séquençage numérique sur l</w:t>
      </w:r>
      <w:r w:rsidR="00290061">
        <w:t>es r</w:t>
      </w:r>
      <w:r w:rsidR="00290061">
        <w:t>essources génétiques.</w:t>
      </w:r>
    </w:p>
    <w:p w:rsidR="007558EC" w:rsidRDefault="00290061">
      <w:pPr>
        <w:pStyle w:val="CBDNormalNumber"/>
        <w:ind w:left="1134" w:hanging="567"/>
      </w:pPr>
      <w:r>
        <w:t>Instrume</w:t>
      </w:r>
      <w:r w:rsidR="00D23913">
        <w:t xml:space="preserve">nts </w:t>
      </w:r>
      <w:r w:rsidR="004E7C0C">
        <w:t>internationaux spécialisés d</w:t>
      </w:r>
      <w:r w:rsidR="00D23913">
        <w:t>’</w:t>
      </w:r>
      <w:r w:rsidR="004E7C0C">
        <w:t>accès et d</w:t>
      </w:r>
      <w:r>
        <w:t>e partage des avantages dans le contexte du paragraphe 4 de l</w:t>
      </w:r>
      <w:r w:rsidR="00721809">
        <w:t>’</w:t>
      </w:r>
      <w:r>
        <w:t>article 4 du Protocole de Nagoya.</w:t>
      </w:r>
    </w:p>
    <w:p w:rsidR="007558EC" w:rsidRDefault="00290061">
      <w:pPr>
        <w:pStyle w:val="CBDNormalNumber"/>
      </w:pPr>
      <w:r>
        <w:t>Mécanisme multilatéral mondial de partage des avantages.</w:t>
      </w:r>
    </w:p>
    <w:p w:rsidR="007558EC" w:rsidRDefault="00D23913">
      <w:pPr>
        <w:pStyle w:val="CBDNormalNumber"/>
      </w:pPr>
      <w:r>
        <w:t>Q</w:t>
      </w:r>
      <w:r w:rsidR="00290061">
        <w:t>uestions</w:t>
      </w:r>
      <w:r>
        <w:t xml:space="preserve"> diverses</w:t>
      </w:r>
      <w:r w:rsidR="00290061">
        <w:t>.</w:t>
      </w:r>
    </w:p>
    <w:p w:rsidR="007558EC" w:rsidRDefault="00290061">
      <w:pPr>
        <w:pStyle w:val="CBDNormalNumber"/>
      </w:pPr>
      <w:r>
        <w:t xml:space="preserve">Adoption du </w:t>
      </w:r>
      <w:r>
        <w:t>rapport.</w:t>
      </w:r>
    </w:p>
    <w:p w:rsidR="007558EC" w:rsidRDefault="00290061">
      <w:pPr>
        <w:pStyle w:val="CBDNormalNumber"/>
        <w:spacing w:after="0"/>
      </w:pPr>
      <w:r>
        <w:lastRenderedPageBreak/>
        <w:t>Clôture de la réunion.</w:t>
      </w:r>
    </w:p>
    <w:p w:rsidR="007558EC" w:rsidRDefault="00290061">
      <w:pPr>
        <w:pStyle w:val="Para1"/>
        <w:numPr>
          <w:ilvl w:val="0"/>
          <w:numId w:val="0"/>
        </w:numPr>
        <w:spacing w:before="0" w:after="0"/>
        <w:ind w:left="567"/>
        <w:jc w:val="center"/>
      </w:pPr>
      <w:r>
        <w:t>_________</w:t>
      </w:r>
    </w:p>
    <w:sectPr w:rsidR="007558EC" w:rsidSect="000371C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061" w:rsidRDefault="00290061">
      <w:r>
        <w:separator/>
      </w:r>
    </w:p>
  </w:endnote>
  <w:endnote w:type="continuationSeparator" w:id="0">
    <w:p w:rsidR="00290061" w:rsidRDefault="00290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8EC" w:rsidRDefault="00290061">
    <w:pPr>
      <w:pStyle w:val="Footer"/>
    </w:pPr>
    <w:r>
      <w:fldChar w:fldCharType="begin"/>
    </w:r>
    <w:r>
      <w:instrText xml:space="preserve"> </w:instrText>
    </w:r>
    <w:r>
      <w:instrText xml:space="preserve">PAGE </w:instrText>
    </w:r>
    <w:r>
      <w:fldChar w:fldCharType="separate"/>
    </w:r>
    <w:r w:rsidR="009446AD">
      <w:rPr>
        <w:noProof/>
      </w:rPr>
      <w:t>2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\* MERGEFORMAT </w:instrText>
    </w:r>
    <w:r>
      <w:rPr>
        <w:noProof/>
      </w:rPr>
      <w:fldChar w:fldCharType="separate"/>
    </w:r>
    <w:r w:rsidR="009446AD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8EC" w:rsidRDefault="00290061">
    <w:pPr>
      <w:pStyle w:val="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rPr>
        <w:noProof/>
      </w:rPr>
      <w:fldChar w:fldCharType="begin"/>
    </w:r>
    <w:r>
      <w:rPr>
        <w:noProof/>
      </w:rPr>
      <w:instrText xml:space="preserve"> NUMPAGES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061" w:rsidRDefault="00290061">
      <w:r>
        <w:separator/>
      </w:r>
    </w:p>
  </w:footnote>
  <w:footnote w:type="continuationSeparator" w:id="0">
    <w:p w:rsidR="00290061" w:rsidRDefault="00290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8EC" w:rsidRDefault="00D23913">
    <w:pPr>
      <w:pStyle w:val="Header"/>
    </w:pPr>
    <w:r>
      <w:t>CBD/NP/MOP/5/1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58EC" w:rsidRDefault="00290061">
    <w:pPr>
      <w:pStyle w:val="Header"/>
      <w:jc w:val="right"/>
    </w:pPr>
    <w:r>
      <w:rPr>
        <w:szCs w:val="20"/>
      </w:rPr>
      <w:fldChar w:fldCharType="begin"/>
    </w:r>
    <w:r w:rsidRPr="00325A8E">
      <w:rPr>
        <w:szCs w:val="20"/>
      </w:rPr>
      <w:instrText xml:space="preserve"> StyleRef AB_Symbol </w:instrText>
    </w:r>
    <w:r>
      <w:rPr>
        <w:szCs w:val="20"/>
      </w:rPr>
      <w:fldChar w:fldCharType="separate"/>
    </w:r>
    <w:r>
      <w:rPr>
        <w:b/>
        <w:bCs/>
        <w:noProof/>
        <w:szCs w:val="20"/>
      </w:rPr>
      <w:t>Erreur ! Utilisez l'onglet Accueil pour appliquer AB_Symbol au texte que vous souhaitez faire apparaître ici.</w:t>
    </w:r>
    <w:r>
      <w:rPr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71D9" w:rsidRPr="000371C6" w:rsidRDefault="000171D9" w:rsidP="000371C6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B5749F5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F1C48244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AD2C1406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9BB037EC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0"/>
  </w:num>
  <w:num w:numId="5">
    <w:abstractNumId w:val="1"/>
  </w:num>
  <w:num w:numId="6">
    <w:abstractNumId w:val="1"/>
  </w:num>
  <w:num w:numId="7">
    <w:abstractNumId w:val="3"/>
  </w:num>
  <w:num w:numId="8">
    <w:abstractNumId w:val="7"/>
  </w:num>
  <w:num w:numId="9">
    <w:abstractNumId w:val="11"/>
  </w:num>
  <w:num w:numId="10">
    <w:abstractNumId w:val="10"/>
  </w:num>
  <w:num w:numId="11">
    <w:abstractNumId w:val="6"/>
  </w:num>
  <w:num w:numId="12">
    <w:abstractNumId w:val="2"/>
  </w:num>
  <w:num w:numId="13">
    <w:abstractNumId w:val="2"/>
    <w:lvlOverride w:ilvl="0">
      <w:startOverride w:val="1"/>
    </w:lvlOverride>
  </w:num>
  <w:num w:numId="14">
    <w:abstractNumId w:val="9"/>
  </w:num>
  <w:num w:numId="15">
    <w:abstractNumId w:val="9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16"/>
  </w:num>
  <w:num w:numId="19">
    <w:abstractNumId w:val="12"/>
    <w:lvlOverride w:ilvl="0">
      <w:startOverride w:val="1"/>
    </w:lvlOverride>
  </w:num>
  <w:num w:numId="20">
    <w:abstractNumId w:val="12"/>
    <w:lvlOverride w:ilvl="0">
      <w:startOverride w:val="1"/>
    </w:lvlOverride>
  </w:num>
  <w:num w:numId="21">
    <w:abstractNumId w:val="8"/>
  </w:num>
  <w:num w:numId="22">
    <w:abstractNumId w:val="5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4"/>
  </w:num>
  <w:num w:numId="30">
    <w:abstractNumId w:val="14"/>
  </w:num>
  <w:num w:numId="31">
    <w:abstractNumId w:val="14"/>
  </w:num>
  <w:num w:numId="32">
    <w:abstractNumId w:val="14"/>
  </w:num>
  <w:num w:numId="33">
    <w:abstractNumId w:val="5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B7A"/>
    <w:rsid w:val="00013083"/>
    <w:rsid w:val="000171D9"/>
    <w:rsid w:val="000371C6"/>
    <w:rsid w:val="00040598"/>
    <w:rsid w:val="00041F84"/>
    <w:rsid w:val="000C04BB"/>
    <w:rsid w:val="000D4187"/>
    <w:rsid w:val="001316BE"/>
    <w:rsid w:val="00132581"/>
    <w:rsid w:val="00173C53"/>
    <w:rsid w:val="00184909"/>
    <w:rsid w:val="001C2BBC"/>
    <w:rsid w:val="001C4FB9"/>
    <w:rsid w:val="001D7501"/>
    <w:rsid w:val="00231505"/>
    <w:rsid w:val="00247254"/>
    <w:rsid w:val="0027678B"/>
    <w:rsid w:val="00290061"/>
    <w:rsid w:val="002A25BC"/>
    <w:rsid w:val="002B00CA"/>
    <w:rsid w:val="002B559C"/>
    <w:rsid w:val="002D58D9"/>
    <w:rsid w:val="002D5C5A"/>
    <w:rsid w:val="00310608"/>
    <w:rsid w:val="00323F22"/>
    <w:rsid w:val="00325A8E"/>
    <w:rsid w:val="003476A9"/>
    <w:rsid w:val="003541BF"/>
    <w:rsid w:val="00366D19"/>
    <w:rsid w:val="00381B4F"/>
    <w:rsid w:val="003828FC"/>
    <w:rsid w:val="00394E3C"/>
    <w:rsid w:val="003B72E8"/>
    <w:rsid w:val="003C6F10"/>
    <w:rsid w:val="00404FEB"/>
    <w:rsid w:val="00436541"/>
    <w:rsid w:val="00441498"/>
    <w:rsid w:val="004701EE"/>
    <w:rsid w:val="00472F05"/>
    <w:rsid w:val="004766F0"/>
    <w:rsid w:val="00480A8D"/>
    <w:rsid w:val="004A2A2D"/>
    <w:rsid w:val="004A2E05"/>
    <w:rsid w:val="004E7C0C"/>
    <w:rsid w:val="004F5D79"/>
    <w:rsid w:val="004F7087"/>
    <w:rsid w:val="00537248"/>
    <w:rsid w:val="005A1CF7"/>
    <w:rsid w:val="005A206E"/>
    <w:rsid w:val="005A76F1"/>
    <w:rsid w:val="005C0058"/>
    <w:rsid w:val="005C0E14"/>
    <w:rsid w:val="005E2605"/>
    <w:rsid w:val="00612011"/>
    <w:rsid w:val="00615914"/>
    <w:rsid w:val="006474F2"/>
    <w:rsid w:val="00657ED6"/>
    <w:rsid w:val="006B293D"/>
    <w:rsid w:val="00721809"/>
    <w:rsid w:val="00722D66"/>
    <w:rsid w:val="007558EC"/>
    <w:rsid w:val="0076622F"/>
    <w:rsid w:val="00767F43"/>
    <w:rsid w:val="007A4271"/>
    <w:rsid w:val="007C77BC"/>
    <w:rsid w:val="00811FB0"/>
    <w:rsid w:val="00867DC4"/>
    <w:rsid w:val="00874541"/>
    <w:rsid w:val="008B2110"/>
    <w:rsid w:val="008D1D81"/>
    <w:rsid w:val="008E0581"/>
    <w:rsid w:val="00925A71"/>
    <w:rsid w:val="00935461"/>
    <w:rsid w:val="009446AD"/>
    <w:rsid w:val="009459E3"/>
    <w:rsid w:val="009775B4"/>
    <w:rsid w:val="00986A38"/>
    <w:rsid w:val="00995DDC"/>
    <w:rsid w:val="009C1114"/>
    <w:rsid w:val="009D7310"/>
    <w:rsid w:val="00A01281"/>
    <w:rsid w:val="00A058F7"/>
    <w:rsid w:val="00A33B7A"/>
    <w:rsid w:val="00A54FA0"/>
    <w:rsid w:val="00A663A7"/>
    <w:rsid w:val="00A71370"/>
    <w:rsid w:val="00A77681"/>
    <w:rsid w:val="00A91E80"/>
    <w:rsid w:val="00A96B21"/>
    <w:rsid w:val="00AA3F51"/>
    <w:rsid w:val="00AA5AC4"/>
    <w:rsid w:val="00AB5666"/>
    <w:rsid w:val="00AE1A95"/>
    <w:rsid w:val="00B36EA9"/>
    <w:rsid w:val="00B70872"/>
    <w:rsid w:val="00BB08C2"/>
    <w:rsid w:val="00C01378"/>
    <w:rsid w:val="00C125AC"/>
    <w:rsid w:val="00C2354A"/>
    <w:rsid w:val="00C44A30"/>
    <w:rsid w:val="00CB7D62"/>
    <w:rsid w:val="00CC44A3"/>
    <w:rsid w:val="00CD727A"/>
    <w:rsid w:val="00CF3884"/>
    <w:rsid w:val="00CF70AB"/>
    <w:rsid w:val="00D0547D"/>
    <w:rsid w:val="00D23913"/>
    <w:rsid w:val="00D23F1E"/>
    <w:rsid w:val="00D3059B"/>
    <w:rsid w:val="00D60046"/>
    <w:rsid w:val="00D71FFB"/>
    <w:rsid w:val="00D95F5D"/>
    <w:rsid w:val="00DA66C9"/>
    <w:rsid w:val="00DB639F"/>
    <w:rsid w:val="00DB6931"/>
    <w:rsid w:val="00DD74C2"/>
    <w:rsid w:val="00E1597C"/>
    <w:rsid w:val="00E34FDB"/>
    <w:rsid w:val="00ED321C"/>
    <w:rsid w:val="00ED3849"/>
    <w:rsid w:val="00F12CE9"/>
    <w:rsid w:val="00F143C6"/>
    <w:rsid w:val="00F258FB"/>
    <w:rsid w:val="00F75F90"/>
    <w:rsid w:val="00F927E9"/>
    <w:rsid w:val="00FA18C9"/>
    <w:rsid w:val="00FC7A8C"/>
    <w:rsid w:val="00FD6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8D9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D58D9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2D58D9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2D58D9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2D58D9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2D58D9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2D58D9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2D58D9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2D58D9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2D58D9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2D58D9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2D58D9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D58D9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fr-FR"/>
    </w:rPr>
  </w:style>
  <w:style w:type="character" w:customStyle="1" w:styleId="Heading1Char">
    <w:name w:val="Heading 1 Char"/>
    <w:basedOn w:val="DefaultParagraphFont"/>
    <w:link w:val="Heading1"/>
    <w:uiPriority w:val="9"/>
    <w:rsid w:val="002D58D9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58D9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58D9"/>
    <w:rPr>
      <w:rFonts w:ascii="Times New Roman" w:eastAsia="SimSun" w:hAnsi="Times New Roman" w:cs="Times New Roman"/>
      <w:kern w:val="0"/>
      <w:sz w:val="18"/>
      <w:szCs w:val="20"/>
      <w:lang w:val="fr-F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2D58D9"/>
    <w:rPr>
      <w:vertAlign w:val="superscript"/>
    </w:rPr>
  </w:style>
  <w:style w:type="paragraph" w:customStyle="1" w:styleId="Footnote">
    <w:name w:val="Footnote"/>
    <w:basedOn w:val="FootnoteText"/>
    <w:qFormat/>
    <w:rsid w:val="002D58D9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fr-FR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</w:style>
  <w:style w:type="character" w:customStyle="1" w:styleId="Heading2Char">
    <w:name w:val="Heading 2 Char"/>
    <w:basedOn w:val="DefaultParagraphFont"/>
    <w:link w:val="Heading2"/>
    <w:uiPriority w:val="9"/>
    <w:rsid w:val="002D58D9"/>
    <w:rPr>
      <w:rFonts w:ascii="Times New Roman Bold" w:eastAsiaTheme="majorEastAsia" w:hAnsi="Times New Roman Bold" w:cstheme="majorBidi"/>
      <w:b/>
      <w:kern w:val="0"/>
      <w:sz w:val="24"/>
      <w:szCs w:val="26"/>
      <w:lang w:val="fr-FR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2D58D9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2D58D9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paragraph" w:styleId="Footer">
    <w:name w:val="footer"/>
    <w:basedOn w:val="Normal"/>
    <w:link w:val="FooterChar"/>
    <w:uiPriority w:val="99"/>
    <w:rsid w:val="002D58D9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D58D9"/>
    <w:rPr>
      <w:rFonts w:ascii="Times New Roman" w:eastAsia="SimSun" w:hAnsi="Times New Roman" w:cs="Times New Roman"/>
      <w:kern w:val="0"/>
      <w:sz w:val="20"/>
      <w:lang w:val="fr-FR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D58D9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2D58D9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2D58D9"/>
    <w:rPr>
      <w:rFonts w:ascii="Times New Roman" w:eastAsiaTheme="majorEastAsia" w:hAnsi="Times New Roman" w:cs="Times New Roman"/>
      <w:b/>
      <w:bCs/>
      <w:kern w:val="0"/>
      <w:lang w:val="fr-FR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2D58D9"/>
    <w:rPr>
      <w:rFonts w:ascii="Times New Roman" w:eastAsiaTheme="majorEastAsia" w:hAnsi="Times New Roman" w:cs="Times New Roman"/>
      <w:i/>
      <w:iCs/>
      <w:kern w:val="0"/>
      <w:lang w:val="fr-F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D58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D58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8D9"/>
    <w:rPr>
      <w:rFonts w:ascii="Times New Roman" w:eastAsia="SimSun" w:hAnsi="Times New Roman" w:cs="Times New Roman"/>
      <w:kern w:val="0"/>
      <w:sz w:val="20"/>
      <w:szCs w:val="20"/>
      <w:lang w:val="fr-F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5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58D9"/>
    <w:rPr>
      <w:rFonts w:ascii="Times New Roman" w:eastAsia="SimSun" w:hAnsi="Times New Roman" w:cs="Times New Roman"/>
      <w:b/>
      <w:bCs/>
      <w:kern w:val="0"/>
      <w:sz w:val="20"/>
      <w:szCs w:val="20"/>
      <w:lang w:val="fr-FR"/>
      <w14:ligatures w14:val="none"/>
    </w:rPr>
  </w:style>
  <w:style w:type="paragraph" w:styleId="Revision">
    <w:name w:val="Revision"/>
    <w:hidden/>
    <w:uiPriority w:val="99"/>
    <w:semiHidden/>
    <w:rsid w:val="00366D19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2D58D9"/>
    <w:pPr>
      <w:jc w:val="left"/>
    </w:pPr>
  </w:style>
  <w:style w:type="paragraph" w:customStyle="1" w:styleId="AASmallLogo">
    <w:name w:val="AA_SmallLogo"/>
    <w:basedOn w:val="AEDistrNormal"/>
    <w:unhideWhenUsed/>
    <w:rsid w:val="002D58D9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2D58D9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2D58D9"/>
  </w:style>
  <w:style w:type="paragraph" w:customStyle="1" w:styleId="ACLargeLogo">
    <w:name w:val="AC_LargeLogo"/>
    <w:basedOn w:val="AFCorNotNormal"/>
    <w:next w:val="Normal"/>
    <w:unhideWhenUsed/>
    <w:rsid w:val="002D58D9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2D58D9"/>
    <w:pPr>
      <w:spacing w:before="120"/>
    </w:pPr>
  </w:style>
  <w:style w:type="paragraph" w:customStyle="1" w:styleId="AENormal">
    <w:name w:val="AE_Normal"/>
    <w:basedOn w:val="Normal"/>
    <w:rsid w:val="002D58D9"/>
  </w:style>
  <w:style w:type="paragraph" w:customStyle="1" w:styleId="AFCorNot12Bold">
    <w:name w:val="AF_CorNot12Bold"/>
    <w:basedOn w:val="AFCorNotNormal"/>
    <w:next w:val="AFCorNotNormal"/>
    <w:unhideWhenUsed/>
    <w:qFormat/>
    <w:rsid w:val="002D58D9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2D58D9"/>
    <w:rPr>
      <w:b/>
    </w:rPr>
  </w:style>
  <w:style w:type="paragraph" w:customStyle="1" w:styleId="AISpacer">
    <w:name w:val="AI_Spacer"/>
    <w:next w:val="Normal"/>
    <w:unhideWhenUsed/>
    <w:qFormat/>
    <w:rsid w:val="002D58D9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2D58D9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2D58D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Normal"/>
    <w:qFormat/>
    <w:rsid w:val="002D58D9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Normal"/>
    <w:qFormat/>
    <w:rsid w:val="002D58D9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2D58D9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2D58D9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2D58D9"/>
    <w:rPr>
      <w:sz w:val="20"/>
    </w:rPr>
  </w:style>
  <w:style w:type="paragraph" w:customStyle="1" w:styleId="CBDFootnoteText">
    <w:name w:val="CBD_Footnote_Text"/>
    <w:basedOn w:val="CBDNormal"/>
    <w:qFormat/>
    <w:rsid w:val="002D58D9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2D58D9"/>
    <w:pPr>
      <w:keepNext/>
      <w:keepLines/>
      <w:spacing w:before="240" w:after="120"/>
      <w:ind w:left="567" w:hanging="567"/>
      <w:jc w:val="left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2D58D9"/>
    <w:pPr>
      <w:numPr>
        <w:numId w:val="22"/>
      </w:numPr>
      <w:tabs>
        <w:tab w:val="left" w:pos="3969"/>
      </w:tabs>
      <w:spacing w:after="120"/>
    </w:pPr>
  </w:style>
  <w:style w:type="paragraph" w:customStyle="1" w:styleId="CBDH2">
    <w:name w:val="CBD_H2"/>
    <w:basedOn w:val="CBDNormalNumber"/>
    <w:qFormat/>
    <w:rsid w:val="002D58D9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2D58D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2D58D9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2D58D9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2D58D9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2D58D9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2D58D9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2D58D9"/>
    <w:pPr>
      <w:spacing w:after="120"/>
    </w:pPr>
  </w:style>
  <w:style w:type="paragraph" w:customStyle="1" w:styleId="CBDSubTitle">
    <w:name w:val="CBD_SubTitle"/>
    <w:basedOn w:val="CBDNormal"/>
    <w:qFormat/>
    <w:rsid w:val="002D58D9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2D58D9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2D58D9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2D58D9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2D58D9"/>
    <w:rPr>
      <w:rFonts w:ascii="Times New Roman" w:eastAsia="SimSun" w:hAnsi="Times New Roman" w:cs="Times New Roman"/>
      <w:bCs/>
      <w:kern w:val="0"/>
      <w:sz w:val="24"/>
      <w:lang w:val="fr-FR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2D58D9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2D58D9"/>
    <w:rPr>
      <w:rFonts w:ascii="Times New Roman" w:eastAsia="SimSun" w:hAnsi="Times New Roman" w:cs="Times New Roman"/>
      <w:b/>
      <w:snapToGrid w:val="0"/>
      <w:kern w:val="0"/>
      <w:u w:val="single"/>
      <w:lang w:val="fr-FR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2D58D9"/>
    <w:rPr>
      <w:rFonts w:ascii="Times New Roman" w:eastAsia="SimSun" w:hAnsi="Times New Roman" w:cs="Times New Roman"/>
      <w:snapToGrid w:val="0"/>
      <w:kern w:val="0"/>
      <w:u w:val="single"/>
      <w:lang w:val="fr-FR"/>
      <w14:ligatures w14:val="none"/>
    </w:rPr>
  </w:style>
  <w:style w:type="character" w:styleId="Hyperlink">
    <w:name w:val="Hyperlink"/>
    <w:basedOn w:val="DefaultParagraphFont"/>
    <w:uiPriority w:val="99"/>
    <w:unhideWhenUsed/>
    <w:rsid w:val="002D58D9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2D58D9"/>
    <w:pPr>
      <w:contextualSpacing/>
    </w:pPr>
  </w:style>
  <w:style w:type="paragraph" w:styleId="ListParagraph">
    <w:name w:val="List Paragraph"/>
    <w:basedOn w:val="Normal"/>
    <w:uiPriority w:val="34"/>
    <w:qFormat/>
    <w:rsid w:val="002D58D9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776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Downloads\template-np-mop-05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9E9E4B-CE6C-4C90-BEF7-24D351711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D5328-0A70-499A-80A3-102038F34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template-np-mop-05-en</Template>
  <TotalTime>17</TotalTime>
  <Pages>2</Pages>
  <Words>264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the document</vt:lpstr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</dc:title>
  <dc:subject>CBD/</dc:subject>
  <dc:creator>Secretariat of the Convention on Biological Diversity</dc:creator>
  <cp:keywords>Conférence des Parties agissant comme réunion des Parties au Protocole de Nagoya sur l'accès aux ressources génétiques et le partage juste et équitable des avantages découlant de leur utilisation</cp:keywords>
  <dc:description/>
  <cp:lastModifiedBy>Finn Kinley</cp:lastModifiedBy>
  <cp:revision>9</cp:revision>
  <dcterms:created xsi:type="dcterms:W3CDTF">2024-07-02T16:19:00Z</dcterms:created>
  <dcterms:modified xsi:type="dcterms:W3CDTF">2024-07-05T13:43:00Z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CBD-NP-MOP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</Properties>
</file>