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2003CC" w14:paraId="08EEC660" w14:textId="77777777" w:rsidTr="00807942">
        <w:trPr>
          <w:trHeight w:val="851"/>
        </w:trPr>
        <w:tc>
          <w:tcPr>
            <w:tcW w:w="976" w:type="dxa"/>
            <w:tcBorders>
              <w:bottom w:val="single" w:sz="12" w:space="0" w:color="auto"/>
            </w:tcBorders>
          </w:tcPr>
          <w:p w14:paraId="01266519" w14:textId="7A9E0AEB" w:rsidR="004F16B5" w:rsidRPr="00CD4272" w:rsidRDefault="00A6210A" w:rsidP="00807942">
            <w:pPr>
              <w:rPr>
                <w:rFonts w:ascii="Times New Roman" w:hAnsi="Times New Roman" w:cs="Times New Roman"/>
                <w:lang w:val="en-GB"/>
              </w:rPr>
            </w:pPr>
            <w:r>
              <w:rPr>
                <w:b/>
                <w:noProof/>
                <w:kern w:val="22"/>
                <w:lang w:val="fr-CA" w:eastAsia="fr-CA"/>
              </w:rPr>
              <w:drawing>
                <wp:inline distT="0" distB="0" distL="0" distR="0" wp14:anchorId="06DDD6B4" wp14:editId="07826939">
                  <wp:extent cx="475615" cy="40259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90114A6" w14:textId="5226A65A" w:rsidR="004F16B5" w:rsidRPr="00CD4272" w:rsidRDefault="00A6210A" w:rsidP="00807942">
            <w:pPr>
              <w:rPr>
                <w:rFonts w:ascii="Times New Roman" w:hAnsi="Times New Roman" w:cs="Times New Roman"/>
                <w:lang w:val="en-GB"/>
              </w:rPr>
            </w:pPr>
            <w:r w:rsidRPr="00A6210A">
              <w:rPr>
                <w:noProof/>
                <w:lang w:val="fr-CA" w:eastAsia="fr-CA"/>
              </w:rPr>
              <w:drawing>
                <wp:inline distT="0" distB="0" distL="0" distR="0" wp14:anchorId="2FC8A9EE" wp14:editId="126CAE04">
                  <wp:extent cx="592455" cy="3660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407" cy="375251"/>
                          </a:xfrm>
                          <a:prstGeom prst="rect">
                            <a:avLst/>
                          </a:prstGeom>
                          <a:noFill/>
                          <a:ln>
                            <a:noFill/>
                          </a:ln>
                        </pic:spPr>
                      </pic:pic>
                    </a:graphicData>
                  </a:graphic>
                </wp:inline>
              </w:drawing>
            </w:r>
          </w:p>
        </w:tc>
        <w:tc>
          <w:tcPr>
            <w:tcW w:w="4090" w:type="dxa"/>
            <w:tcBorders>
              <w:bottom w:val="single" w:sz="12" w:space="0" w:color="auto"/>
            </w:tcBorders>
          </w:tcPr>
          <w:p w14:paraId="7981F05B" w14:textId="77777777" w:rsidR="004F16B5" w:rsidRPr="00EC07F9" w:rsidRDefault="004F16B5" w:rsidP="00807942">
            <w:pPr>
              <w:jc w:val="right"/>
              <w:rPr>
                <w:rFonts w:ascii="Arial" w:hAnsi="Arial" w:cs="Arial"/>
                <w:b/>
                <w:sz w:val="32"/>
                <w:szCs w:val="32"/>
                <w:lang w:val="en-GB"/>
              </w:rPr>
            </w:pPr>
            <w:r w:rsidRPr="00EC07F9">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86335A" w14:paraId="468E17DE" w14:textId="77777777" w:rsidTr="00CF5ABA">
        <w:trPr>
          <w:trHeight w:val="1693"/>
        </w:trPr>
        <w:tc>
          <w:tcPr>
            <w:tcW w:w="6086" w:type="dxa"/>
            <w:tcBorders>
              <w:top w:val="nil"/>
              <w:bottom w:val="single" w:sz="36" w:space="0" w:color="000000"/>
            </w:tcBorders>
          </w:tcPr>
          <w:p w14:paraId="2CE56BA4" w14:textId="77777777" w:rsidR="00AD1731" w:rsidRPr="002003CC" w:rsidRDefault="00AD1731" w:rsidP="00ED543F">
            <w:pPr>
              <w:suppressLineNumbers/>
              <w:suppressAutoHyphens/>
              <w:rPr>
                <w:snapToGrid w:val="0"/>
                <w:kern w:val="22"/>
                <w:lang w:val="en-GB"/>
              </w:rPr>
            </w:pPr>
          </w:p>
          <w:p w14:paraId="785F3A82" w14:textId="77B2ACBB" w:rsidR="00AD1731" w:rsidRPr="0086335A" w:rsidRDefault="00A6210A" w:rsidP="00ED543F">
            <w:pPr>
              <w:suppressLineNumbers/>
              <w:suppressAutoHyphens/>
              <w:rPr>
                <w:snapToGrid w:val="0"/>
                <w:kern w:val="22"/>
                <w:lang w:val="en-GB"/>
              </w:rPr>
            </w:pPr>
            <w:r>
              <w:rPr>
                <w:noProof/>
                <w:szCs w:val="22"/>
                <w:lang w:val="fr-CA" w:eastAsia="fr-CA"/>
              </w:rPr>
              <w:drawing>
                <wp:inline distT="0" distB="0" distL="0" distR="0" wp14:anchorId="6AE8796A" wp14:editId="11E77651">
                  <wp:extent cx="2352675" cy="942975"/>
                  <wp:effectExtent l="0" t="0" r="9525" b="9525"/>
                  <wp:docPr id="6" name="Image 6"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942975"/>
                          </a:xfrm>
                          <a:prstGeom prst="rect">
                            <a:avLst/>
                          </a:prstGeom>
                          <a:noFill/>
                          <a:ln>
                            <a:noFill/>
                          </a:ln>
                        </pic:spPr>
                      </pic:pic>
                    </a:graphicData>
                  </a:graphic>
                </wp:inline>
              </w:drawing>
            </w:r>
          </w:p>
          <w:p w14:paraId="78547573" w14:textId="77777777" w:rsidR="00AD1731" w:rsidRPr="0086335A" w:rsidRDefault="00AD1731" w:rsidP="00ED543F">
            <w:pPr>
              <w:suppressLineNumbers/>
              <w:suppressAutoHyphens/>
              <w:rPr>
                <w:snapToGrid w:val="0"/>
                <w:kern w:val="22"/>
                <w:lang w:val="en-GB"/>
              </w:rPr>
            </w:pPr>
          </w:p>
        </w:tc>
        <w:tc>
          <w:tcPr>
            <w:tcW w:w="1144" w:type="dxa"/>
            <w:tcBorders>
              <w:top w:val="nil"/>
              <w:bottom w:val="single" w:sz="36" w:space="0" w:color="000000"/>
            </w:tcBorders>
          </w:tcPr>
          <w:p w14:paraId="5B2AB017" w14:textId="77777777" w:rsidR="00AD1731" w:rsidRPr="0086335A" w:rsidRDefault="00AD1731" w:rsidP="00ED543F">
            <w:pPr>
              <w:pStyle w:val="En-tte"/>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F53CBE" w:rsidRDefault="00AD1731" w:rsidP="00ED543F">
            <w:pPr>
              <w:suppressLineNumbers/>
              <w:suppressAutoHyphens/>
              <w:ind w:left="318"/>
              <w:rPr>
                <w:snapToGrid w:val="0"/>
                <w:kern w:val="22"/>
                <w:sz w:val="22"/>
                <w:szCs w:val="22"/>
                <w:lang w:val="fr-CA"/>
              </w:rPr>
            </w:pPr>
            <w:proofErr w:type="spellStart"/>
            <w:r w:rsidRPr="00F53CBE">
              <w:rPr>
                <w:snapToGrid w:val="0"/>
                <w:kern w:val="22"/>
                <w:sz w:val="22"/>
                <w:szCs w:val="22"/>
                <w:lang w:val="fr-CA"/>
              </w:rPr>
              <w:t>Distr</w:t>
            </w:r>
            <w:proofErr w:type="spellEnd"/>
            <w:r w:rsidRPr="00F53CBE">
              <w:rPr>
                <w:snapToGrid w:val="0"/>
                <w:kern w:val="22"/>
                <w:sz w:val="22"/>
                <w:szCs w:val="22"/>
                <w:lang w:val="fr-CA"/>
              </w:rPr>
              <w:t>.</w:t>
            </w:r>
          </w:p>
          <w:p w14:paraId="54D747B2" w14:textId="50E8F5E1" w:rsidR="00F5354B" w:rsidRPr="00F53CBE" w:rsidRDefault="006C7F81" w:rsidP="00EC07F9">
            <w:pPr>
              <w:ind w:left="317"/>
              <w:rPr>
                <w:caps/>
                <w:kern w:val="22"/>
                <w:szCs w:val="22"/>
                <w:lang w:val="fr-CA"/>
              </w:rPr>
            </w:pPr>
            <w:sdt>
              <w:sdtPr>
                <w:rPr>
                  <w:caps/>
                  <w:snapToGrid w:val="0"/>
                  <w:kern w:val="22"/>
                  <w:sz w:val="22"/>
                  <w:szCs w:val="22"/>
                  <w:lang w:val="fr-CA"/>
                </w:rPr>
                <w:alias w:val="Status"/>
                <w:tag w:val=""/>
                <w:id w:val="307985777"/>
                <w:placeholder>
                  <w:docPart w:val="2817F8C7833946B89C41C4F1353FDD76"/>
                </w:placeholder>
                <w:dataBinding w:prefixMappings="xmlns:ns0='http://purl.org/dc/elements/1.1/' xmlns:ns1='http://schemas.openxmlformats.org/package/2006/metadata/core-properties' " w:xpath="/ns1:coreProperties[1]/ns1:contentStatus[1]" w:storeItemID="{6C3C8BC8-F283-45AE-878A-BAB7291924A1}"/>
                <w:text/>
              </w:sdtPr>
              <w:sdtEndPr>
                <w:rPr>
                  <w:snapToGrid/>
                  <w:sz w:val="24"/>
                </w:rPr>
              </w:sdtEndPr>
              <w:sdtContent>
                <w:r w:rsidR="00A6210A" w:rsidRPr="00F53CBE">
                  <w:rPr>
                    <w:caps/>
                    <w:snapToGrid w:val="0"/>
                    <w:kern w:val="22"/>
                    <w:sz w:val="22"/>
                    <w:szCs w:val="22"/>
                    <w:lang w:val="fr-CA"/>
                  </w:rPr>
                  <w:t>GÉNÉRALE</w:t>
                </w:r>
              </w:sdtContent>
            </w:sdt>
          </w:p>
          <w:p w14:paraId="3F888B85" w14:textId="77777777" w:rsidR="00AD1731" w:rsidRPr="00F53CBE" w:rsidRDefault="00AD1731" w:rsidP="00ED543F">
            <w:pPr>
              <w:suppressLineNumbers/>
              <w:suppressAutoHyphens/>
              <w:ind w:left="318"/>
              <w:rPr>
                <w:snapToGrid w:val="0"/>
                <w:kern w:val="22"/>
                <w:sz w:val="22"/>
                <w:szCs w:val="22"/>
                <w:lang w:val="fr-CA"/>
              </w:rPr>
            </w:pPr>
          </w:p>
          <w:bookmarkStart w:id="0" w:name="_Hlk22815168" w:displacedByCustomXml="next"/>
          <w:sdt>
            <w:sdtPr>
              <w:rPr>
                <w:snapToGrid w:val="0"/>
                <w:kern w:val="22"/>
                <w:sz w:val="22"/>
                <w:szCs w:val="22"/>
                <w:lang w:val="fr-CA"/>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Content>
              <w:bookmarkEnd w:id="0" w:displacedByCustomXml="prev"/>
              <w:p w14:paraId="745D3159" w14:textId="5E9166F9" w:rsidR="00AD1731" w:rsidRPr="00F53CBE" w:rsidRDefault="00E86B40" w:rsidP="00ED543F">
                <w:pPr>
                  <w:suppressLineNumbers/>
                  <w:suppressAutoHyphens/>
                  <w:ind w:left="318"/>
                  <w:rPr>
                    <w:snapToGrid w:val="0"/>
                    <w:kern w:val="22"/>
                    <w:sz w:val="22"/>
                    <w:szCs w:val="22"/>
                    <w:lang w:val="fr-CA"/>
                  </w:rPr>
                </w:pPr>
                <w:r w:rsidRPr="00F53CBE">
                  <w:rPr>
                    <w:snapToGrid w:val="0"/>
                    <w:kern w:val="22"/>
                    <w:sz w:val="22"/>
                    <w:szCs w:val="22"/>
                    <w:lang w:val="fr-CA"/>
                  </w:rPr>
                  <w:t>CBD/</w:t>
                </w:r>
                <w:proofErr w:type="spellStart"/>
                <w:r w:rsidRPr="00F53CBE">
                  <w:rPr>
                    <w:snapToGrid w:val="0"/>
                    <w:kern w:val="22"/>
                    <w:sz w:val="22"/>
                    <w:szCs w:val="22"/>
                    <w:lang w:val="fr-CA"/>
                  </w:rPr>
                  <w:t>SBI</w:t>
                </w:r>
                <w:proofErr w:type="spellEnd"/>
                <w:r w:rsidRPr="00F53CBE">
                  <w:rPr>
                    <w:snapToGrid w:val="0"/>
                    <w:kern w:val="22"/>
                    <w:sz w:val="22"/>
                    <w:szCs w:val="22"/>
                    <w:lang w:val="fr-CA"/>
                  </w:rPr>
                  <w:t>/3/5/Add.3</w:t>
                </w:r>
              </w:p>
            </w:sdtContent>
          </w:sdt>
          <w:p w14:paraId="22DA3F68" w14:textId="221C118D" w:rsidR="00B6754E" w:rsidRPr="0086335A" w:rsidRDefault="006C7F81" w:rsidP="00C17B13">
            <w:pPr>
              <w:ind w:left="317"/>
              <w:rPr>
                <w:kern w:val="22"/>
                <w:szCs w:val="22"/>
              </w:rPr>
            </w:pPr>
            <w:sdt>
              <w:sdtPr>
                <w:rPr>
                  <w:snapToGrid w:val="0"/>
                  <w:kern w:val="22"/>
                  <w:sz w:val="22"/>
                  <w:szCs w:val="22"/>
                  <w:lang w:val="en-GB"/>
                </w:rPr>
                <w:alias w:val="Publish Date"/>
                <w:tag w:val=""/>
                <w:id w:val="276757068"/>
                <w:placeholder>
                  <w:docPart w:val="B8B4DC5FC06048B98F0AB59CF4DDE260"/>
                </w:placeholder>
                <w:dataBinding w:prefixMappings="xmlns:ns0='http://schemas.microsoft.com/office/2006/coverPageProps' " w:xpath="/ns0:CoverPageProperties[1]/ns0:PublishDate[1]" w:storeItemID="{55AF091B-3C7A-41E3-B477-F2FDAA23CFDA}"/>
                <w:date w:fullDate="2020-03-18T00:00:00Z">
                  <w:dateFormat w:val="d MMMM yyyy"/>
                  <w:lid w:val="en-US"/>
                  <w:storeMappedDataAs w:val="dateTime"/>
                  <w:calendar w:val="gregorian"/>
                </w:date>
              </w:sdtPr>
              <w:sdtContent>
                <w:r w:rsidR="009C3667">
                  <w:rPr>
                    <w:snapToGrid w:val="0"/>
                    <w:kern w:val="22"/>
                    <w:sz w:val="22"/>
                    <w:szCs w:val="22"/>
                    <w:lang w:val="en-US"/>
                  </w:rPr>
                  <w:t xml:space="preserve">18 </w:t>
                </w:r>
                <w:r w:rsidR="00B2403C">
                  <w:rPr>
                    <w:snapToGrid w:val="0"/>
                    <w:kern w:val="22"/>
                    <w:sz w:val="22"/>
                    <w:szCs w:val="22"/>
                    <w:lang w:val="en-US"/>
                  </w:rPr>
                  <w:t>mars</w:t>
                </w:r>
                <w:r w:rsidR="009C3667">
                  <w:rPr>
                    <w:snapToGrid w:val="0"/>
                    <w:kern w:val="22"/>
                    <w:sz w:val="22"/>
                    <w:szCs w:val="22"/>
                    <w:lang w:val="en-US"/>
                  </w:rPr>
                  <w:t xml:space="preserve"> 2020</w:t>
                </w:r>
              </w:sdtContent>
            </w:sdt>
          </w:p>
          <w:p w14:paraId="1567952D" w14:textId="77777777" w:rsidR="00AD1731" w:rsidRPr="0086335A" w:rsidRDefault="00AD1731" w:rsidP="00ED543F">
            <w:pPr>
              <w:suppressLineNumbers/>
              <w:suppressAutoHyphens/>
              <w:ind w:left="318"/>
              <w:rPr>
                <w:snapToGrid w:val="0"/>
                <w:kern w:val="22"/>
                <w:sz w:val="22"/>
                <w:szCs w:val="22"/>
                <w:lang w:val="en-GB"/>
              </w:rPr>
            </w:pPr>
          </w:p>
          <w:p w14:paraId="76E759E4" w14:textId="77777777" w:rsidR="00A6210A" w:rsidRDefault="00A6210A" w:rsidP="00ED543F">
            <w:pPr>
              <w:suppressLineNumbers/>
              <w:suppressAutoHyphens/>
              <w:ind w:left="318"/>
              <w:rPr>
                <w:snapToGrid w:val="0"/>
                <w:kern w:val="22"/>
                <w:sz w:val="22"/>
                <w:szCs w:val="22"/>
                <w:lang w:val="en-GB"/>
              </w:rPr>
            </w:pPr>
            <w:proofErr w:type="spellStart"/>
            <w:r>
              <w:rPr>
                <w:snapToGrid w:val="0"/>
                <w:kern w:val="22"/>
                <w:sz w:val="22"/>
                <w:szCs w:val="22"/>
                <w:lang w:val="en-GB"/>
              </w:rPr>
              <w:t>FRANÇAIS</w:t>
            </w:r>
            <w:proofErr w:type="spellEnd"/>
          </w:p>
          <w:p w14:paraId="41D2943F" w14:textId="66E4A8A8" w:rsidR="00AD1731" w:rsidRPr="0086335A" w:rsidRDefault="00AD1731" w:rsidP="00A6210A">
            <w:pPr>
              <w:suppressLineNumbers/>
              <w:suppressAutoHyphens/>
              <w:ind w:left="318"/>
              <w:rPr>
                <w:snapToGrid w:val="0"/>
                <w:kern w:val="22"/>
                <w:szCs w:val="22"/>
                <w:u w:val="single"/>
                <w:lang w:val="en-GB"/>
              </w:rPr>
            </w:pPr>
            <w:r w:rsidRPr="0086335A">
              <w:rPr>
                <w:snapToGrid w:val="0"/>
                <w:kern w:val="22"/>
                <w:sz w:val="22"/>
                <w:szCs w:val="22"/>
                <w:lang w:val="en-GB"/>
              </w:rPr>
              <w:t>ORIGINAL</w:t>
            </w:r>
            <w:r w:rsidR="00A6210A">
              <w:rPr>
                <w:snapToGrid w:val="0"/>
                <w:kern w:val="22"/>
                <w:sz w:val="22"/>
                <w:szCs w:val="22"/>
                <w:lang w:val="en-GB"/>
              </w:rPr>
              <w:t xml:space="preserve"> </w:t>
            </w:r>
            <w:r w:rsidRPr="0086335A">
              <w:rPr>
                <w:snapToGrid w:val="0"/>
                <w:kern w:val="22"/>
                <w:sz w:val="22"/>
                <w:szCs w:val="22"/>
                <w:lang w:val="en-GB"/>
              </w:rPr>
              <w:t xml:space="preserve">: </w:t>
            </w:r>
            <w:proofErr w:type="spellStart"/>
            <w:r w:rsidR="00A6210A">
              <w:rPr>
                <w:snapToGrid w:val="0"/>
                <w:kern w:val="22"/>
                <w:sz w:val="22"/>
                <w:szCs w:val="22"/>
                <w:lang w:val="en-GB"/>
              </w:rPr>
              <w:t>ANGLAIS</w:t>
            </w:r>
            <w:proofErr w:type="spellEnd"/>
          </w:p>
        </w:tc>
      </w:tr>
    </w:tbl>
    <w:p w14:paraId="24ACA756" w14:textId="2F2CB410" w:rsidR="00A6210A" w:rsidRPr="00A6210A" w:rsidRDefault="00A6210A" w:rsidP="00A6210A">
      <w:pPr>
        <w:ind w:left="284" w:hanging="284"/>
        <w:rPr>
          <w:rFonts w:eastAsia="Malgun Gothic"/>
          <w:caps/>
          <w:snapToGrid w:val="0"/>
          <w:kern w:val="22"/>
          <w:sz w:val="20"/>
          <w:lang w:val="fr-FR"/>
        </w:rPr>
      </w:pPr>
      <w:bookmarkStart w:id="1" w:name="_Hlk35353706"/>
      <w:r w:rsidRPr="00A6210A">
        <w:rPr>
          <w:rFonts w:eastAsia="Malgun Gothic"/>
          <w:caps/>
          <w:snapToGrid w:val="0"/>
          <w:kern w:val="22"/>
          <w:sz w:val="22"/>
          <w:lang w:val="fr-FR"/>
        </w:rPr>
        <w:t>ORGANE SUBSIDIAIRE CHARGÉ DE</w:t>
      </w:r>
    </w:p>
    <w:p w14:paraId="0E9C4BD6" w14:textId="0DF735E1" w:rsidR="00A6210A" w:rsidRPr="00A6210A" w:rsidRDefault="00A6210A" w:rsidP="00A6210A">
      <w:pPr>
        <w:ind w:left="284" w:hanging="284"/>
        <w:rPr>
          <w:rFonts w:eastAsia="Malgun Gothic"/>
          <w:caps/>
          <w:snapToGrid w:val="0"/>
          <w:kern w:val="22"/>
          <w:sz w:val="22"/>
          <w:lang w:val="fr-FR"/>
        </w:rPr>
      </w:pPr>
      <w:r w:rsidRPr="00A6210A">
        <w:rPr>
          <w:rFonts w:eastAsia="Malgun Gothic"/>
          <w:caps/>
          <w:snapToGrid w:val="0"/>
          <w:kern w:val="22"/>
          <w:sz w:val="22"/>
          <w:lang w:val="fr-FR"/>
        </w:rPr>
        <w:t>L’APPLICATION</w:t>
      </w:r>
    </w:p>
    <w:p w14:paraId="1D16100F" w14:textId="5FDAB461" w:rsidR="00A6210A" w:rsidRPr="00A6210A" w:rsidRDefault="00A6210A" w:rsidP="00A6210A">
      <w:pPr>
        <w:ind w:left="284" w:hanging="284"/>
        <w:rPr>
          <w:rFonts w:eastAsia="MS Mincho" w:cs="Angsana New"/>
          <w:snapToGrid w:val="0"/>
          <w:kern w:val="22"/>
          <w:sz w:val="22"/>
          <w:szCs w:val="22"/>
          <w:lang w:val="fr-FR" w:eastAsia="nb-NO"/>
        </w:rPr>
      </w:pPr>
      <w:r w:rsidRPr="00A6210A">
        <w:rPr>
          <w:snapToGrid w:val="0"/>
          <w:kern w:val="22"/>
          <w:sz w:val="22"/>
          <w:szCs w:val="22"/>
          <w:lang w:val="fr-FR" w:eastAsia="nb-NO"/>
        </w:rPr>
        <w:t>Troisième réunion</w:t>
      </w:r>
    </w:p>
    <w:p w14:paraId="7272D594" w14:textId="56232F64" w:rsidR="00A6210A" w:rsidRPr="00A6210A" w:rsidRDefault="00B2403C" w:rsidP="00A6210A">
      <w:pPr>
        <w:ind w:left="284" w:hanging="284"/>
        <w:rPr>
          <w:snapToGrid w:val="0"/>
          <w:kern w:val="22"/>
          <w:sz w:val="22"/>
          <w:szCs w:val="22"/>
          <w:lang w:val="fr-FR" w:eastAsia="nb-NO"/>
        </w:rPr>
      </w:pPr>
      <w:r>
        <w:rPr>
          <w:snapToGrid w:val="0"/>
          <w:kern w:val="22"/>
          <w:sz w:val="22"/>
          <w:szCs w:val="22"/>
          <w:lang w:val="fr-FR" w:eastAsia="nb-NO"/>
        </w:rPr>
        <w:t>Québec (à confirmer)</w:t>
      </w:r>
      <w:r w:rsidR="00A6210A" w:rsidRPr="00A6210A">
        <w:rPr>
          <w:snapToGrid w:val="0"/>
          <w:kern w:val="22"/>
          <w:sz w:val="22"/>
          <w:szCs w:val="22"/>
          <w:lang w:val="fr-FR" w:eastAsia="nb-NO"/>
        </w:rPr>
        <w:t xml:space="preserve">, Canada, </w:t>
      </w:r>
      <w:r>
        <w:rPr>
          <w:snapToGrid w:val="0"/>
          <w:kern w:val="22"/>
          <w:sz w:val="22"/>
          <w:szCs w:val="22"/>
          <w:lang w:val="fr-FR" w:eastAsia="nb-NO"/>
        </w:rPr>
        <w:t>9-14 novembre</w:t>
      </w:r>
      <w:r w:rsidR="00A6210A" w:rsidRPr="00A6210A">
        <w:rPr>
          <w:snapToGrid w:val="0"/>
          <w:kern w:val="22"/>
          <w:sz w:val="22"/>
          <w:szCs w:val="22"/>
          <w:lang w:val="fr-FR" w:eastAsia="nb-NO"/>
        </w:rPr>
        <w:t xml:space="preserve"> 2</w:t>
      </w:r>
      <w:r w:rsidR="00E453D1">
        <w:rPr>
          <w:snapToGrid w:val="0"/>
          <w:kern w:val="22"/>
          <w:sz w:val="22"/>
          <w:szCs w:val="22"/>
          <w:lang w:val="fr-FR" w:eastAsia="nb-NO"/>
        </w:rPr>
        <w:t>0</w:t>
      </w:r>
      <w:r w:rsidR="00A6210A" w:rsidRPr="00A6210A">
        <w:rPr>
          <w:snapToGrid w:val="0"/>
          <w:kern w:val="22"/>
          <w:sz w:val="22"/>
          <w:szCs w:val="22"/>
          <w:lang w:val="fr-FR" w:eastAsia="nb-NO"/>
        </w:rPr>
        <w:t>20</w:t>
      </w:r>
    </w:p>
    <w:p w14:paraId="2F21CD91" w14:textId="350B0DB0" w:rsidR="00AD1731" w:rsidRPr="00A6210A" w:rsidRDefault="00A6210A" w:rsidP="00A6210A">
      <w:pPr>
        <w:pStyle w:val="En-tte"/>
        <w:suppressLineNumbers/>
        <w:tabs>
          <w:tab w:val="left" w:pos="708"/>
        </w:tabs>
        <w:suppressAutoHyphens/>
        <w:ind w:left="284" w:hanging="284"/>
        <w:rPr>
          <w:snapToGrid w:val="0"/>
          <w:kern w:val="22"/>
          <w:lang w:val="fr-FR"/>
        </w:rPr>
      </w:pPr>
      <w:r w:rsidRPr="00A6210A">
        <w:rPr>
          <w:snapToGrid w:val="0"/>
          <w:kern w:val="22"/>
          <w:sz w:val="22"/>
          <w:szCs w:val="22"/>
          <w:lang w:val="fr-FR"/>
        </w:rPr>
        <w:t>Point</w:t>
      </w:r>
      <w:r w:rsidR="00E453D1">
        <w:rPr>
          <w:snapToGrid w:val="0"/>
          <w:kern w:val="22"/>
          <w:sz w:val="22"/>
          <w:szCs w:val="22"/>
          <w:lang w:val="fr-FR"/>
        </w:rPr>
        <w:t> </w:t>
      </w:r>
      <w:r w:rsidRPr="00A6210A">
        <w:rPr>
          <w:snapToGrid w:val="0"/>
          <w:kern w:val="22"/>
          <w:sz w:val="22"/>
          <w:szCs w:val="22"/>
          <w:lang w:val="fr-FR"/>
        </w:rPr>
        <w:t>6 de l’ordre du jour provisoire</w:t>
      </w:r>
      <w:r w:rsidR="00A607E8" w:rsidRPr="00A6210A">
        <w:rPr>
          <w:rStyle w:val="Appelnotedebasdep"/>
          <w:snapToGrid w:val="0"/>
          <w:kern w:val="22"/>
          <w:sz w:val="22"/>
          <w:szCs w:val="22"/>
          <w:u w:val="none"/>
          <w:lang w:val="fr-CA"/>
        </w:rPr>
        <w:footnoteReference w:customMarkFollows="1" w:id="2"/>
        <w:t>*</w:t>
      </w:r>
      <w:bookmarkEnd w:id="1"/>
    </w:p>
    <w:p w14:paraId="0A4B85D8" w14:textId="0DAE7525" w:rsidR="00F716BC" w:rsidRPr="00F53CBE" w:rsidRDefault="00F53CBE" w:rsidP="00F716BC">
      <w:pPr>
        <w:keepNext/>
        <w:spacing w:before="240" w:after="120"/>
        <w:jc w:val="center"/>
        <w:rPr>
          <w:rFonts w:eastAsiaTheme="majorEastAsia"/>
          <w:b/>
          <w:bCs/>
          <w:caps/>
          <w:spacing w:val="-10"/>
          <w:kern w:val="28"/>
          <w:sz w:val="22"/>
          <w:szCs w:val="22"/>
          <w:lang w:val="fr-CA" w:eastAsia="en-GB"/>
        </w:rPr>
      </w:pPr>
      <w:bookmarkStart w:id="2" w:name="_Hlk35451178"/>
      <w:r>
        <w:rPr>
          <w:rFonts w:eastAsiaTheme="majorEastAsia"/>
          <w:b/>
          <w:bCs/>
          <w:caps/>
          <w:spacing w:val="-10"/>
          <w:kern w:val="28"/>
          <w:sz w:val="22"/>
          <w:szCs w:val="22"/>
          <w:lang w:val="fr-CA" w:eastAsia="en-GB"/>
        </w:rPr>
        <w:t xml:space="preserve">Contribution à un projet </w:t>
      </w:r>
      <w:r w:rsidR="00B35621">
        <w:rPr>
          <w:rFonts w:eastAsiaTheme="majorEastAsia"/>
          <w:b/>
          <w:bCs/>
          <w:caps/>
          <w:spacing w:val="-10"/>
          <w:kern w:val="28"/>
          <w:sz w:val="22"/>
          <w:szCs w:val="22"/>
          <w:lang w:val="fr-CA" w:eastAsia="en-GB"/>
        </w:rPr>
        <w:t>D’ÉLÉMENT</w:t>
      </w:r>
      <w:r>
        <w:rPr>
          <w:rFonts w:eastAsiaTheme="majorEastAsia"/>
          <w:b/>
          <w:bCs/>
          <w:caps/>
          <w:spacing w:val="-10"/>
          <w:kern w:val="28"/>
          <w:sz w:val="22"/>
          <w:szCs w:val="22"/>
          <w:lang w:val="fr-CA" w:eastAsia="en-GB"/>
        </w:rPr>
        <w:t xml:space="preserve"> sur la mobilisation des ressources du cadre mondial de la biodiversité pour l</w:t>
      </w:r>
      <w:r w:rsidR="00E453D1">
        <w:rPr>
          <w:rFonts w:eastAsiaTheme="majorEastAsia"/>
          <w:b/>
          <w:bCs/>
          <w:caps/>
          <w:spacing w:val="-10"/>
          <w:kern w:val="28"/>
          <w:sz w:val="22"/>
          <w:szCs w:val="22"/>
          <w:lang w:val="fr-CA" w:eastAsia="en-GB"/>
        </w:rPr>
        <w:t>’</w:t>
      </w:r>
      <w:r>
        <w:rPr>
          <w:rFonts w:eastAsiaTheme="majorEastAsia"/>
          <w:b/>
          <w:bCs/>
          <w:caps/>
          <w:spacing w:val="-10"/>
          <w:kern w:val="28"/>
          <w:sz w:val="22"/>
          <w:szCs w:val="22"/>
          <w:lang w:val="fr-CA" w:eastAsia="en-GB"/>
        </w:rPr>
        <w:t>après-2020 en tant que suivi à la stratégie actuelle de mobilisation des ressources</w:t>
      </w:r>
    </w:p>
    <w:p w14:paraId="570EE17B" w14:textId="6C183A86" w:rsidR="00E86B40" w:rsidRPr="00F53CBE" w:rsidRDefault="00F53CBE" w:rsidP="00F609C7">
      <w:pPr>
        <w:spacing w:before="120" w:after="120"/>
        <w:jc w:val="center"/>
        <w:rPr>
          <w:rFonts w:eastAsiaTheme="majorEastAsia"/>
          <w:b/>
          <w:bCs/>
          <w:caps/>
          <w:spacing w:val="-10"/>
          <w:kern w:val="28"/>
          <w:sz w:val="22"/>
          <w:szCs w:val="22"/>
          <w:lang w:val="fr-CA" w:eastAsia="en-GB"/>
        </w:rPr>
      </w:pPr>
      <w:r w:rsidRPr="00F53CBE">
        <w:rPr>
          <w:rFonts w:eastAsiaTheme="majorEastAsia"/>
          <w:b/>
          <w:bCs/>
          <w:caps/>
          <w:spacing w:val="-10"/>
          <w:kern w:val="28"/>
          <w:sz w:val="22"/>
          <w:szCs w:val="22"/>
          <w:lang w:val="fr-CA" w:eastAsia="en-GB"/>
        </w:rPr>
        <w:t>Troisième rap</w:t>
      </w:r>
      <w:r w:rsidR="00B35621">
        <w:rPr>
          <w:rFonts w:eastAsiaTheme="majorEastAsia"/>
          <w:b/>
          <w:bCs/>
          <w:caps/>
          <w:spacing w:val="-10"/>
          <w:kern w:val="28"/>
          <w:sz w:val="22"/>
          <w:szCs w:val="22"/>
          <w:lang w:val="fr-CA" w:eastAsia="en-GB"/>
        </w:rPr>
        <w:t>P</w:t>
      </w:r>
      <w:r w:rsidRPr="00F53CBE">
        <w:rPr>
          <w:rFonts w:eastAsiaTheme="majorEastAsia"/>
          <w:b/>
          <w:bCs/>
          <w:caps/>
          <w:spacing w:val="-10"/>
          <w:kern w:val="28"/>
          <w:sz w:val="22"/>
          <w:szCs w:val="22"/>
          <w:lang w:val="fr-CA" w:eastAsia="en-GB"/>
        </w:rPr>
        <w:t>ort du groupe d’experts sur la mobilisation des ressources</w:t>
      </w:r>
    </w:p>
    <w:p w14:paraId="770D773F" w14:textId="72EDC4C8" w:rsidR="00847080" w:rsidRPr="00F53CBE" w:rsidRDefault="00E86B40" w:rsidP="00F609C7">
      <w:pPr>
        <w:keepNext/>
        <w:spacing w:before="120" w:after="120"/>
        <w:jc w:val="center"/>
        <w:outlineLvl w:val="0"/>
        <w:rPr>
          <w:rFonts w:eastAsiaTheme="majorEastAsia"/>
          <w:b/>
          <w:bCs/>
          <w:spacing w:val="-10"/>
          <w:kern w:val="28"/>
          <w:sz w:val="22"/>
          <w:szCs w:val="22"/>
          <w:lang w:val="fr-CA" w:eastAsia="en-GB"/>
        </w:rPr>
      </w:pPr>
      <w:r w:rsidRPr="00F53CBE">
        <w:rPr>
          <w:rFonts w:eastAsiaTheme="majorEastAsia"/>
          <w:b/>
          <w:bCs/>
          <w:spacing w:val="-10"/>
          <w:kern w:val="28"/>
          <w:sz w:val="22"/>
          <w:szCs w:val="22"/>
          <w:lang w:val="fr-CA" w:eastAsia="en-GB"/>
        </w:rPr>
        <w:t>I.</w:t>
      </w:r>
      <w:r w:rsidRPr="00F53CBE">
        <w:rPr>
          <w:rFonts w:eastAsiaTheme="majorEastAsia"/>
          <w:b/>
          <w:bCs/>
          <w:spacing w:val="-10"/>
          <w:kern w:val="28"/>
          <w:sz w:val="22"/>
          <w:szCs w:val="22"/>
          <w:lang w:val="fr-CA" w:eastAsia="en-GB"/>
        </w:rPr>
        <w:tab/>
      </w:r>
      <w:r w:rsidR="00046221" w:rsidRPr="00F53CBE">
        <w:rPr>
          <w:rFonts w:eastAsiaTheme="majorEastAsia"/>
          <w:b/>
          <w:bCs/>
          <w:caps/>
          <w:spacing w:val="-10"/>
          <w:kern w:val="28"/>
          <w:sz w:val="22"/>
          <w:szCs w:val="22"/>
          <w:lang w:val="fr-CA" w:eastAsia="en-GB"/>
        </w:rPr>
        <w:t>Introduction</w:t>
      </w:r>
    </w:p>
    <w:p w14:paraId="1FE094E9" w14:textId="499424EA" w:rsidR="003B04C0" w:rsidRPr="00F53CBE" w:rsidRDefault="00B2403C" w:rsidP="00F609C7">
      <w:pPr>
        <w:pStyle w:val="Para1"/>
        <w:numPr>
          <w:ilvl w:val="0"/>
          <w:numId w:val="49"/>
        </w:numPr>
        <w:suppressLineNumbers/>
        <w:suppressAutoHyphens/>
        <w:spacing w:before="120"/>
        <w:ind w:left="0" w:firstLine="0"/>
        <w:jc w:val="both"/>
        <w:rPr>
          <w:sz w:val="22"/>
          <w:szCs w:val="22"/>
          <w:lang w:val="fr-CA" w:eastAsia="en-GB"/>
        </w:rPr>
      </w:pPr>
      <w:r>
        <w:rPr>
          <w:sz w:val="22"/>
          <w:szCs w:val="22"/>
          <w:lang w:val="fr-CA" w:eastAsia="en-GB"/>
        </w:rPr>
        <w:t>La</w:t>
      </w:r>
      <w:r w:rsidR="00B35621" w:rsidRPr="00373DD7">
        <w:rPr>
          <w:sz w:val="22"/>
          <w:szCs w:val="22"/>
          <w:lang w:val="fr-CA" w:eastAsia="en-GB"/>
        </w:rPr>
        <w:t xml:space="preserve"> Conférence des Parties, </w:t>
      </w:r>
      <w:r>
        <w:rPr>
          <w:sz w:val="22"/>
          <w:szCs w:val="22"/>
          <w:lang w:val="fr-CA" w:eastAsia="en-GB"/>
        </w:rPr>
        <w:t xml:space="preserve">à sa quatorzième réunion, </w:t>
      </w:r>
      <w:r w:rsidR="00DE2169">
        <w:rPr>
          <w:sz w:val="22"/>
          <w:szCs w:val="22"/>
          <w:lang w:val="fr-CA" w:eastAsia="en-GB"/>
        </w:rPr>
        <w:t xml:space="preserve">a </w:t>
      </w:r>
      <w:r w:rsidR="00B35621" w:rsidRPr="00373DD7">
        <w:rPr>
          <w:sz w:val="22"/>
          <w:szCs w:val="22"/>
          <w:lang w:val="fr-CA" w:eastAsia="en-GB"/>
        </w:rPr>
        <w:t>affirmé q</w:t>
      </w:r>
      <w:r w:rsidR="00B35621" w:rsidRPr="00373DD7">
        <w:rPr>
          <w:sz w:val="22"/>
          <w:szCs w:val="22"/>
          <w:lang w:val="fr-CA"/>
        </w:rPr>
        <w:t>ue la mobilisation des ressources fera partie intégrante du cadre de la</w:t>
      </w:r>
      <w:r w:rsidR="00FF1195">
        <w:rPr>
          <w:sz w:val="22"/>
          <w:szCs w:val="22"/>
          <w:lang w:val="fr-CA"/>
        </w:rPr>
        <w:t xml:space="preserve"> biodiversité pour l’après-2020</w:t>
      </w:r>
      <w:r w:rsidR="00B35621" w:rsidRPr="00373DD7">
        <w:rPr>
          <w:sz w:val="22"/>
          <w:szCs w:val="22"/>
          <w:lang w:val="fr-CA"/>
        </w:rPr>
        <w:t xml:space="preserve"> et</w:t>
      </w:r>
      <w:r w:rsidR="00373DD7" w:rsidRPr="00373DD7">
        <w:rPr>
          <w:sz w:val="22"/>
          <w:szCs w:val="22"/>
          <w:lang w:val="fr-CA"/>
        </w:rPr>
        <w:t xml:space="preserve"> </w:t>
      </w:r>
      <w:r w:rsidR="00DE2169">
        <w:rPr>
          <w:sz w:val="22"/>
          <w:szCs w:val="22"/>
          <w:lang w:val="fr-CA"/>
        </w:rPr>
        <w:t>a</w:t>
      </w:r>
      <w:r w:rsidR="00373DD7" w:rsidRPr="00373DD7">
        <w:rPr>
          <w:sz w:val="22"/>
          <w:szCs w:val="22"/>
          <w:lang w:val="fr-CA"/>
        </w:rPr>
        <w:t xml:space="preserve"> décidé de commencer la préparation de cet élément au tout début du processus d’élaboration de ce cadre, en pleine cohérence et coordination avec le processus global d’élaboration du cadre </w:t>
      </w:r>
      <w:r w:rsidR="00FF1195">
        <w:rPr>
          <w:sz w:val="22"/>
          <w:szCs w:val="22"/>
          <w:lang w:val="fr-CA"/>
        </w:rPr>
        <w:t>mondial de la biodiversité pour l</w:t>
      </w:r>
      <w:r w:rsidR="00E453D1">
        <w:rPr>
          <w:sz w:val="22"/>
          <w:szCs w:val="22"/>
          <w:lang w:val="fr-CA"/>
        </w:rPr>
        <w:t>’</w:t>
      </w:r>
      <w:r w:rsidR="00FF1195">
        <w:rPr>
          <w:sz w:val="22"/>
          <w:szCs w:val="22"/>
          <w:lang w:val="fr-CA"/>
        </w:rPr>
        <w:t>après-2020</w:t>
      </w:r>
      <w:r w:rsidR="00373DD7" w:rsidRPr="00373DD7">
        <w:rPr>
          <w:lang w:val="fr-CA"/>
        </w:rPr>
        <w:t>,</w:t>
      </w:r>
      <w:r w:rsidR="00B35621" w:rsidRPr="00B35621">
        <w:rPr>
          <w:lang w:val="fr-CA"/>
        </w:rPr>
        <w:t xml:space="preserve"> </w:t>
      </w:r>
      <w:r w:rsidR="00E86B40" w:rsidRPr="00F53CBE">
        <w:rPr>
          <w:sz w:val="22"/>
          <w:szCs w:val="22"/>
          <w:lang w:val="fr-CA" w:eastAsia="en-GB"/>
        </w:rPr>
        <w:t>(</w:t>
      </w:r>
      <w:r w:rsidR="00DE2169">
        <w:rPr>
          <w:sz w:val="22"/>
          <w:szCs w:val="22"/>
          <w:lang w:val="fr-CA" w:eastAsia="en-GB"/>
        </w:rPr>
        <w:t xml:space="preserve">voir le </w:t>
      </w:r>
      <w:r w:rsidR="00373DD7">
        <w:rPr>
          <w:sz w:val="22"/>
          <w:szCs w:val="22"/>
          <w:lang w:val="fr-CA" w:eastAsia="en-GB"/>
        </w:rPr>
        <w:t>paragraphe</w:t>
      </w:r>
      <w:r w:rsidR="00E453D1">
        <w:rPr>
          <w:sz w:val="22"/>
          <w:szCs w:val="22"/>
          <w:lang w:val="fr-CA" w:eastAsia="en-GB"/>
        </w:rPr>
        <w:t> </w:t>
      </w:r>
      <w:r w:rsidR="00373DD7">
        <w:rPr>
          <w:sz w:val="22"/>
          <w:szCs w:val="22"/>
          <w:lang w:val="fr-CA" w:eastAsia="en-GB"/>
        </w:rPr>
        <w:t>14 de la décision</w:t>
      </w:r>
      <w:r w:rsidR="0041762B" w:rsidRPr="00F53CBE">
        <w:rPr>
          <w:sz w:val="22"/>
          <w:szCs w:val="22"/>
          <w:lang w:val="fr-CA" w:eastAsia="en-GB"/>
        </w:rPr>
        <w:t xml:space="preserve"> </w:t>
      </w:r>
      <w:hyperlink r:id="rId15" w:history="1">
        <w:r w:rsidR="00E86B40" w:rsidRPr="00F53CBE">
          <w:rPr>
            <w:rStyle w:val="Lienhypertexte"/>
            <w:sz w:val="22"/>
            <w:szCs w:val="22"/>
            <w:lang w:val="fr-CA" w:eastAsia="en-GB"/>
          </w:rPr>
          <w:t>14/22</w:t>
        </w:r>
      </w:hyperlink>
      <w:r w:rsidR="00E86B40" w:rsidRPr="00F53CBE">
        <w:rPr>
          <w:sz w:val="22"/>
          <w:szCs w:val="22"/>
          <w:lang w:val="fr-CA" w:eastAsia="en-GB"/>
        </w:rPr>
        <w:t xml:space="preserve">). </w:t>
      </w:r>
      <w:r w:rsidR="00373DD7">
        <w:rPr>
          <w:sz w:val="22"/>
          <w:szCs w:val="22"/>
          <w:lang w:val="fr-CA" w:eastAsia="en-GB"/>
        </w:rPr>
        <w:t xml:space="preserve">Dans cette même décision, la Conférence des Parties prie la Secrétaire exécutive </w:t>
      </w:r>
      <w:r w:rsidR="00562AC7">
        <w:rPr>
          <w:sz w:val="22"/>
          <w:szCs w:val="22"/>
          <w:lang w:val="fr-CA" w:eastAsia="en-GB"/>
        </w:rPr>
        <w:t>de charger un groupe d’experts de préparer des analyses et des rapports pertinent</w:t>
      </w:r>
      <w:r w:rsidR="00FF1195">
        <w:rPr>
          <w:sz w:val="22"/>
          <w:szCs w:val="22"/>
          <w:lang w:val="fr-CA" w:eastAsia="en-GB"/>
        </w:rPr>
        <w:t>s</w:t>
      </w:r>
      <w:r w:rsidR="00562AC7">
        <w:rPr>
          <w:sz w:val="22"/>
          <w:szCs w:val="22"/>
          <w:lang w:val="fr-CA" w:eastAsia="en-GB"/>
        </w:rPr>
        <w:t xml:space="preserve"> pour examen par le Groupe de travail à composition non limitée sur le cadre mondial de la biodiversité pour l</w:t>
      </w:r>
      <w:r w:rsidR="00E453D1">
        <w:rPr>
          <w:sz w:val="22"/>
          <w:szCs w:val="22"/>
          <w:lang w:val="fr-CA" w:eastAsia="en-GB"/>
        </w:rPr>
        <w:t>’</w:t>
      </w:r>
      <w:r w:rsidR="00562AC7">
        <w:rPr>
          <w:sz w:val="22"/>
          <w:szCs w:val="22"/>
          <w:lang w:val="fr-CA" w:eastAsia="en-GB"/>
        </w:rPr>
        <w:t xml:space="preserve">après-2020 et </w:t>
      </w:r>
      <w:r w:rsidR="00FF1195">
        <w:rPr>
          <w:sz w:val="22"/>
          <w:szCs w:val="22"/>
          <w:lang w:val="fr-CA" w:eastAsia="en-GB"/>
        </w:rPr>
        <w:t>la</w:t>
      </w:r>
      <w:r w:rsidR="00562AC7">
        <w:rPr>
          <w:sz w:val="22"/>
          <w:szCs w:val="22"/>
          <w:lang w:val="fr-CA" w:eastAsia="en-GB"/>
        </w:rPr>
        <w:t xml:space="preserve"> Conférence des Parties à sa quinzième réunion</w:t>
      </w:r>
      <w:r w:rsidR="00E86B40" w:rsidRPr="00F53CBE">
        <w:rPr>
          <w:sz w:val="22"/>
          <w:szCs w:val="22"/>
          <w:lang w:val="fr-CA" w:eastAsia="en-GB"/>
        </w:rPr>
        <w:t xml:space="preserve"> (</w:t>
      </w:r>
      <w:r w:rsidR="00562AC7">
        <w:rPr>
          <w:sz w:val="22"/>
          <w:szCs w:val="22"/>
          <w:lang w:val="fr-CA" w:eastAsia="en-GB"/>
        </w:rPr>
        <w:t>paragraphe</w:t>
      </w:r>
      <w:r w:rsidR="00E453D1">
        <w:rPr>
          <w:sz w:val="22"/>
          <w:szCs w:val="22"/>
          <w:lang w:val="fr-CA" w:eastAsia="en-GB"/>
        </w:rPr>
        <w:t> </w:t>
      </w:r>
      <w:r w:rsidR="00562AC7">
        <w:rPr>
          <w:sz w:val="22"/>
          <w:szCs w:val="22"/>
          <w:lang w:val="fr-CA" w:eastAsia="en-GB"/>
        </w:rPr>
        <w:t>15 de la décision</w:t>
      </w:r>
      <w:r w:rsidR="00E86B40" w:rsidRPr="00F53CBE">
        <w:rPr>
          <w:sz w:val="22"/>
          <w:szCs w:val="22"/>
          <w:lang w:val="fr-CA" w:eastAsia="en-GB"/>
        </w:rPr>
        <w:t xml:space="preserve"> 14/22).</w:t>
      </w:r>
    </w:p>
    <w:p w14:paraId="417AC404" w14:textId="21D9DB78" w:rsidR="00E86B40" w:rsidRPr="00456DB0" w:rsidRDefault="00562AC7" w:rsidP="00F609C7">
      <w:pPr>
        <w:pStyle w:val="Para1"/>
        <w:numPr>
          <w:ilvl w:val="0"/>
          <w:numId w:val="49"/>
        </w:numPr>
        <w:suppressLineNumbers/>
        <w:suppressAutoHyphens/>
        <w:spacing w:before="120"/>
        <w:ind w:left="0" w:firstLine="0"/>
        <w:jc w:val="both"/>
        <w:rPr>
          <w:sz w:val="22"/>
          <w:szCs w:val="22"/>
          <w:lang w:val="fr-CA" w:eastAsia="en-GB"/>
        </w:rPr>
      </w:pPr>
      <w:r>
        <w:rPr>
          <w:sz w:val="22"/>
          <w:szCs w:val="22"/>
          <w:lang w:val="fr-CA" w:eastAsia="en-GB"/>
        </w:rPr>
        <w:t>Le présent document constitue le troisième rapport du Groupe d’experts dans la réalisation de son mandat et répond à la demande formulée au paragraphe</w:t>
      </w:r>
      <w:r w:rsidR="00E453D1">
        <w:rPr>
          <w:sz w:val="22"/>
          <w:szCs w:val="22"/>
          <w:lang w:val="fr-CA" w:eastAsia="en-GB"/>
        </w:rPr>
        <w:t> </w:t>
      </w:r>
      <w:r>
        <w:rPr>
          <w:sz w:val="22"/>
          <w:szCs w:val="22"/>
          <w:lang w:val="fr-CA" w:eastAsia="en-GB"/>
        </w:rPr>
        <w:t>15 d) de la décision 14/22, que le Groupe d’</w:t>
      </w:r>
      <w:r w:rsidR="00456DB0">
        <w:rPr>
          <w:sz w:val="22"/>
          <w:szCs w:val="22"/>
          <w:lang w:val="fr-CA" w:eastAsia="en-GB"/>
        </w:rPr>
        <w:t>experts contrib</w:t>
      </w:r>
      <w:r>
        <w:rPr>
          <w:sz w:val="22"/>
          <w:szCs w:val="22"/>
          <w:lang w:val="fr-CA" w:eastAsia="en-GB"/>
        </w:rPr>
        <w:t xml:space="preserve">ue </w:t>
      </w:r>
      <w:r w:rsidR="00456DB0" w:rsidRPr="00456DB0">
        <w:rPr>
          <w:sz w:val="22"/>
          <w:szCs w:val="22"/>
          <w:lang w:val="fr-CA"/>
        </w:rPr>
        <w:t>à l</w:t>
      </w:r>
      <w:r w:rsidR="00E453D1">
        <w:rPr>
          <w:sz w:val="22"/>
          <w:szCs w:val="22"/>
          <w:lang w:val="fr-CA"/>
        </w:rPr>
        <w:t>’</w:t>
      </w:r>
      <w:r w:rsidR="00456DB0" w:rsidRPr="00456DB0">
        <w:rPr>
          <w:sz w:val="22"/>
          <w:szCs w:val="22"/>
          <w:lang w:val="fr-CA"/>
        </w:rPr>
        <w:t>élaboration d</w:t>
      </w:r>
      <w:r w:rsidR="00E453D1">
        <w:rPr>
          <w:sz w:val="22"/>
          <w:szCs w:val="22"/>
          <w:lang w:val="fr-CA"/>
        </w:rPr>
        <w:t>’</w:t>
      </w:r>
      <w:r w:rsidR="00456DB0" w:rsidRPr="00456DB0">
        <w:rPr>
          <w:sz w:val="22"/>
          <w:szCs w:val="22"/>
          <w:lang w:val="fr-CA"/>
        </w:rPr>
        <w:t xml:space="preserve">un projet de mobilisation des ressources au titre du cadre </w:t>
      </w:r>
      <w:r w:rsidR="00702E8F">
        <w:rPr>
          <w:sz w:val="22"/>
          <w:szCs w:val="22"/>
          <w:lang w:val="fr-CA"/>
        </w:rPr>
        <w:t xml:space="preserve">mondial </w:t>
      </w:r>
      <w:r w:rsidR="00456DB0" w:rsidRPr="00456DB0">
        <w:rPr>
          <w:sz w:val="22"/>
          <w:szCs w:val="22"/>
          <w:lang w:val="fr-CA"/>
        </w:rPr>
        <w:t>de la biodiversité pour l’apr</w:t>
      </w:r>
      <w:r w:rsidR="00456DB0">
        <w:rPr>
          <w:sz w:val="22"/>
          <w:szCs w:val="22"/>
          <w:lang w:val="fr-CA"/>
        </w:rPr>
        <w:t>ès-2020 pour donner suite à la s</w:t>
      </w:r>
      <w:r w:rsidR="00456DB0" w:rsidRPr="00456DB0">
        <w:rPr>
          <w:sz w:val="22"/>
          <w:szCs w:val="22"/>
          <w:lang w:val="fr-CA"/>
        </w:rPr>
        <w:t>tratégie actuelle de mobilisation des ressources,</w:t>
      </w:r>
      <w:r w:rsidR="00456DB0">
        <w:rPr>
          <w:sz w:val="22"/>
          <w:szCs w:val="22"/>
          <w:lang w:val="fr-CA"/>
        </w:rPr>
        <w:t xml:space="preserve"> à partir de la stratégie existante et des deux autres rapports du Groupe d’experts</w:t>
      </w:r>
      <w:r w:rsidR="00E86B40" w:rsidRPr="00456DB0">
        <w:rPr>
          <w:sz w:val="22"/>
          <w:szCs w:val="22"/>
          <w:lang w:val="fr-CA" w:eastAsia="en-GB"/>
        </w:rPr>
        <w:t>.</w:t>
      </w:r>
    </w:p>
    <w:p w14:paraId="0EBB5DCE" w14:textId="2F46B4CA" w:rsidR="000D0A5A" w:rsidRPr="00702E8F" w:rsidRDefault="00456DB0" w:rsidP="00EC07F9">
      <w:pPr>
        <w:pStyle w:val="Para1"/>
        <w:numPr>
          <w:ilvl w:val="0"/>
          <w:numId w:val="49"/>
        </w:numPr>
        <w:suppressLineNumbers/>
        <w:suppressAutoHyphens/>
        <w:spacing w:before="120"/>
        <w:ind w:left="0" w:firstLine="0"/>
        <w:jc w:val="both"/>
        <w:rPr>
          <w:sz w:val="22"/>
          <w:szCs w:val="22"/>
          <w:lang w:val="fr-CA"/>
        </w:rPr>
      </w:pPr>
      <w:r w:rsidRPr="00702E8F">
        <w:rPr>
          <w:sz w:val="22"/>
          <w:szCs w:val="22"/>
          <w:lang w:val="fr-CA" w:eastAsia="en-GB"/>
        </w:rPr>
        <w:t>Le premier rapport du Groupe d’experts</w:t>
      </w:r>
      <w:r w:rsidR="00AF5490" w:rsidRPr="00702E8F">
        <w:rPr>
          <w:sz w:val="22"/>
          <w:szCs w:val="22"/>
          <w:vertAlign w:val="superscript"/>
          <w:lang w:val="fr-CA"/>
        </w:rPr>
        <w:footnoteReference w:id="3"/>
      </w:r>
      <w:r w:rsidR="000D0A5A" w:rsidRPr="00702E8F">
        <w:rPr>
          <w:sz w:val="22"/>
          <w:szCs w:val="22"/>
          <w:lang w:val="fr-CA" w:eastAsia="en-GB"/>
        </w:rPr>
        <w:t xml:space="preserve"> </w:t>
      </w:r>
      <w:r w:rsidRPr="00702E8F">
        <w:rPr>
          <w:sz w:val="22"/>
          <w:szCs w:val="22"/>
          <w:lang w:val="fr-CA" w:eastAsia="en-GB"/>
        </w:rPr>
        <w:t>proposait une évaluation et une analyse de la stratégie de mobilisation des ressources</w:t>
      </w:r>
      <w:r w:rsidR="00AF5490" w:rsidRPr="00702E8F">
        <w:rPr>
          <w:rStyle w:val="Appelnotedebasdep"/>
          <w:sz w:val="22"/>
          <w:szCs w:val="22"/>
          <w:u w:val="none"/>
          <w:vertAlign w:val="superscript"/>
          <w:lang w:val="fr-CA" w:eastAsia="en-GB"/>
        </w:rPr>
        <w:footnoteReference w:id="4"/>
      </w:r>
      <w:r w:rsidR="000D0A5A" w:rsidRPr="00702E8F">
        <w:rPr>
          <w:sz w:val="22"/>
          <w:szCs w:val="22"/>
          <w:lang w:val="fr-CA" w:eastAsia="en-GB"/>
        </w:rPr>
        <w:t xml:space="preserve"> </w:t>
      </w:r>
      <w:r w:rsidRPr="00702E8F">
        <w:rPr>
          <w:sz w:val="22"/>
          <w:szCs w:val="22"/>
          <w:lang w:val="fr-CA" w:eastAsia="en-GB"/>
        </w:rPr>
        <w:t xml:space="preserve">et de l’objectif </w:t>
      </w:r>
      <w:r w:rsidR="000D0A5A" w:rsidRPr="00702E8F">
        <w:rPr>
          <w:sz w:val="22"/>
          <w:szCs w:val="22"/>
          <w:lang w:val="fr-CA" w:eastAsia="en-GB"/>
        </w:rPr>
        <w:t>20</w:t>
      </w:r>
      <w:r w:rsidRPr="00702E8F">
        <w:rPr>
          <w:sz w:val="22"/>
          <w:szCs w:val="22"/>
          <w:lang w:val="fr-CA" w:eastAsia="en-GB"/>
        </w:rPr>
        <w:t xml:space="preserve"> d’Aichi</w:t>
      </w:r>
      <w:r w:rsidR="001F7CEE" w:rsidRPr="00702E8F">
        <w:rPr>
          <w:sz w:val="22"/>
          <w:szCs w:val="22"/>
          <w:lang w:val="fr-CA" w:eastAsia="en-GB"/>
        </w:rPr>
        <w:t xml:space="preserve">. </w:t>
      </w:r>
      <w:bookmarkStart w:id="3" w:name="_Hlk40290737"/>
      <w:r w:rsidRPr="00702E8F">
        <w:rPr>
          <w:sz w:val="22"/>
          <w:szCs w:val="22"/>
          <w:lang w:val="fr-CA" w:eastAsia="en-GB"/>
        </w:rPr>
        <w:t>Le Groupe d’experts</w:t>
      </w:r>
      <w:r w:rsidR="00FF63EF" w:rsidRPr="00702E8F">
        <w:rPr>
          <w:sz w:val="22"/>
          <w:szCs w:val="22"/>
          <w:lang w:val="fr-CA" w:eastAsia="en-GB"/>
        </w:rPr>
        <w:t xml:space="preserve"> a indiqué que malgré les progrès accomplis dans la réalisation de l’objectif 20 d’Aichi et les huit </w:t>
      </w:r>
      <w:r w:rsidR="00702E8F">
        <w:rPr>
          <w:sz w:val="22"/>
          <w:szCs w:val="22"/>
          <w:lang w:val="fr-CA" w:eastAsia="en-GB"/>
        </w:rPr>
        <w:t>buts</w:t>
      </w:r>
      <w:r w:rsidR="00FF63EF" w:rsidRPr="00702E8F">
        <w:rPr>
          <w:sz w:val="22"/>
          <w:szCs w:val="22"/>
          <w:lang w:val="fr-CA" w:eastAsia="en-GB"/>
        </w:rPr>
        <w:t xml:space="preserve"> de la stratégie de mobilisation des ressources, la mise en œuvre était inégale et entravée par des manques de capacité. Le rapport a notamment fait état d’une absence de progrès à augmenter la participation du secteur privé et d’un manque de priorisation de la biodiversité à l’extérieur des ministères </w:t>
      </w:r>
      <w:r w:rsidR="00DC4A36">
        <w:rPr>
          <w:sz w:val="22"/>
          <w:szCs w:val="22"/>
          <w:lang w:val="fr-CA" w:eastAsia="en-GB"/>
        </w:rPr>
        <w:t>du secteur de l’environnement. L</w:t>
      </w:r>
      <w:r w:rsidR="00A70571" w:rsidRPr="00702E8F">
        <w:rPr>
          <w:sz w:val="22"/>
          <w:szCs w:val="22"/>
          <w:lang w:val="fr-CA" w:eastAsia="en-GB"/>
        </w:rPr>
        <w:t>es conclusions ont mené à la réalisation qu’une approche plus complète et stratégique s’impose et qu’</w:t>
      </w:r>
      <w:r w:rsidR="00553903" w:rsidRPr="00702E8F">
        <w:rPr>
          <w:sz w:val="22"/>
          <w:szCs w:val="22"/>
          <w:lang w:val="fr-CA" w:eastAsia="en-GB"/>
        </w:rPr>
        <w:t>el</w:t>
      </w:r>
      <w:r w:rsidR="00A70571" w:rsidRPr="00702E8F">
        <w:rPr>
          <w:sz w:val="22"/>
          <w:szCs w:val="22"/>
          <w:lang w:val="fr-CA" w:eastAsia="en-GB"/>
        </w:rPr>
        <w:t xml:space="preserve">le doit accorder autant d’attention à la </w:t>
      </w:r>
      <w:r w:rsidR="00702E8F">
        <w:rPr>
          <w:sz w:val="22"/>
          <w:szCs w:val="22"/>
          <w:lang w:val="fr-CA" w:eastAsia="en-GB"/>
        </w:rPr>
        <w:t>réallocation</w:t>
      </w:r>
      <w:r w:rsidR="00A70571" w:rsidRPr="00702E8F">
        <w:rPr>
          <w:sz w:val="22"/>
          <w:szCs w:val="22"/>
          <w:lang w:val="fr-CA" w:eastAsia="en-GB"/>
        </w:rPr>
        <w:t xml:space="preserve"> des ressources nuisibles à la biodiversité </w:t>
      </w:r>
      <w:r w:rsidR="00553903" w:rsidRPr="00702E8F">
        <w:rPr>
          <w:sz w:val="22"/>
          <w:szCs w:val="22"/>
          <w:lang w:val="fr-CA" w:eastAsia="en-GB"/>
        </w:rPr>
        <w:t>et une utilisation plus efficac</w:t>
      </w:r>
      <w:r w:rsidR="00A70571" w:rsidRPr="00702E8F">
        <w:rPr>
          <w:sz w:val="22"/>
          <w:szCs w:val="22"/>
          <w:lang w:val="fr-CA" w:eastAsia="en-GB"/>
        </w:rPr>
        <w:t>e des ressources, qu’</w:t>
      </w:r>
      <w:r w:rsidR="00553903" w:rsidRPr="00702E8F">
        <w:rPr>
          <w:sz w:val="22"/>
          <w:szCs w:val="22"/>
          <w:lang w:val="fr-CA" w:eastAsia="en-GB"/>
        </w:rPr>
        <w:t xml:space="preserve">à une augmentation </w:t>
      </w:r>
      <w:r w:rsidR="00A70571" w:rsidRPr="00702E8F">
        <w:rPr>
          <w:sz w:val="22"/>
          <w:szCs w:val="22"/>
          <w:lang w:val="fr-CA" w:eastAsia="en-GB"/>
        </w:rPr>
        <w:t xml:space="preserve">significative des ressources mobilisées. Il faut aussi accorder une plus grande priorité à </w:t>
      </w:r>
      <w:r w:rsidR="007A698A">
        <w:rPr>
          <w:sz w:val="22"/>
          <w:szCs w:val="22"/>
          <w:lang w:val="fr-CA" w:eastAsia="en-GB"/>
        </w:rPr>
        <w:t>l’augmentation des</w:t>
      </w:r>
      <w:r w:rsidR="00A70571" w:rsidRPr="00702E8F">
        <w:rPr>
          <w:sz w:val="22"/>
          <w:szCs w:val="22"/>
          <w:lang w:val="fr-CA" w:eastAsia="en-GB"/>
        </w:rPr>
        <w:t xml:space="preserve"> autres retombées positives </w:t>
      </w:r>
      <w:r w:rsidR="003144AB">
        <w:rPr>
          <w:sz w:val="22"/>
          <w:szCs w:val="22"/>
          <w:lang w:val="fr-CA" w:eastAsia="en-GB"/>
        </w:rPr>
        <w:t>pour</w:t>
      </w:r>
      <w:r w:rsidR="00553903" w:rsidRPr="00702E8F">
        <w:rPr>
          <w:sz w:val="22"/>
          <w:szCs w:val="22"/>
          <w:lang w:val="fr-CA" w:eastAsia="en-GB"/>
        </w:rPr>
        <w:t xml:space="preserve"> la biodiversité d</w:t>
      </w:r>
      <w:r w:rsidR="00A70571" w:rsidRPr="00702E8F">
        <w:rPr>
          <w:sz w:val="22"/>
          <w:szCs w:val="22"/>
          <w:lang w:val="fr-CA" w:eastAsia="en-GB"/>
        </w:rPr>
        <w:t xml:space="preserve">écoulant de la </w:t>
      </w:r>
      <w:r w:rsidR="00A70571" w:rsidRPr="00702E8F">
        <w:rPr>
          <w:sz w:val="22"/>
          <w:szCs w:val="22"/>
          <w:lang w:val="fr-CA" w:eastAsia="en-GB"/>
        </w:rPr>
        <w:lastRenderedPageBreak/>
        <w:t>mobilisation d’importantes ressources pour le ch</w:t>
      </w:r>
      <w:r w:rsidR="00553903" w:rsidRPr="00702E8F">
        <w:rPr>
          <w:sz w:val="22"/>
          <w:szCs w:val="22"/>
          <w:lang w:val="fr-CA" w:eastAsia="en-GB"/>
        </w:rPr>
        <w:t>angement climatique et l’application à plus grande échelle des Objectifs de développement durable</w:t>
      </w:r>
      <w:r w:rsidR="00F46D13" w:rsidRPr="00702E8F">
        <w:rPr>
          <w:rStyle w:val="Appelnotedebasdep"/>
          <w:sz w:val="22"/>
          <w:szCs w:val="22"/>
          <w:u w:val="none"/>
          <w:vertAlign w:val="superscript"/>
          <w:lang w:val="fr-CA" w:eastAsia="en-GB"/>
        </w:rPr>
        <w:footnoteReference w:id="5"/>
      </w:r>
      <w:r w:rsidR="000D0A5A" w:rsidRPr="00702E8F">
        <w:rPr>
          <w:sz w:val="22"/>
          <w:szCs w:val="22"/>
          <w:lang w:val="fr-CA" w:eastAsia="en-GB"/>
        </w:rPr>
        <w:t>.</w:t>
      </w:r>
    </w:p>
    <w:bookmarkEnd w:id="3"/>
    <w:p w14:paraId="58EFEA02" w14:textId="6A0CE551" w:rsidR="003F6C8D" w:rsidRPr="00702E8F" w:rsidRDefault="00553903" w:rsidP="00EC07F9">
      <w:pPr>
        <w:pStyle w:val="Para1"/>
        <w:numPr>
          <w:ilvl w:val="0"/>
          <w:numId w:val="49"/>
        </w:numPr>
        <w:suppressLineNumbers/>
        <w:suppressAutoHyphens/>
        <w:spacing w:before="120"/>
        <w:ind w:left="0" w:firstLine="0"/>
        <w:jc w:val="both"/>
        <w:rPr>
          <w:sz w:val="22"/>
          <w:szCs w:val="22"/>
          <w:lang w:val="fr-CA" w:eastAsia="en-GB"/>
        </w:rPr>
      </w:pPr>
      <w:r w:rsidRPr="00702E8F">
        <w:rPr>
          <w:rFonts w:eastAsiaTheme="majorEastAsia"/>
          <w:sz w:val="22"/>
          <w:szCs w:val="22"/>
          <w:lang w:val="fr-CA" w:eastAsia="en-GB"/>
        </w:rPr>
        <w:t>Faisant suite à cette observation, le présent rap</w:t>
      </w:r>
      <w:r w:rsidR="00434277" w:rsidRPr="00702E8F">
        <w:rPr>
          <w:rFonts w:eastAsiaTheme="majorEastAsia"/>
          <w:sz w:val="22"/>
          <w:szCs w:val="22"/>
          <w:lang w:val="fr-CA" w:eastAsia="en-GB"/>
        </w:rPr>
        <w:t>p</w:t>
      </w:r>
      <w:r w:rsidRPr="00702E8F">
        <w:rPr>
          <w:rFonts w:eastAsiaTheme="majorEastAsia"/>
          <w:sz w:val="22"/>
          <w:szCs w:val="22"/>
          <w:lang w:val="fr-CA" w:eastAsia="en-GB"/>
        </w:rPr>
        <w:t xml:space="preserve">ort établit </w:t>
      </w:r>
      <w:r w:rsidR="006818DE" w:rsidRPr="00702E8F">
        <w:rPr>
          <w:rFonts w:eastAsiaTheme="majorEastAsia"/>
          <w:sz w:val="22"/>
          <w:szCs w:val="22"/>
          <w:lang w:val="fr-CA" w:eastAsia="en-GB"/>
        </w:rPr>
        <w:t>la démarche</w:t>
      </w:r>
      <w:r w:rsidRPr="00702E8F">
        <w:rPr>
          <w:rFonts w:eastAsiaTheme="majorEastAsia"/>
          <w:sz w:val="22"/>
          <w:szCs w:val="22"/>
          <w:lang w:val="fr-CA" w:eastAsia="en-GB"/>
        </w:rPr>
        <w:t xml:space="preserve"> stratégique et les recommand</w:t>
      </w:r>
      <w:r w:rsidR="00434277" w:rsidRPr="00702E8F">
        <w:rPr>
          <w:rFonts w:eastAsiaTheme="majorEastAsia"/>
          <w:sz w:val="22"/>
          <w:szCs w:val="22"/>
          <w:lang w:val="fr-CA" w:eastAsia="en-GB"/>
        </w:rPr>
        <w:t>a</w:t>
      </w:r>
      <w:r w:rsidRPr="00702E8F">
        <w:rPr>
          <w:rFonts w:eastAsiaTheme="majorEastAsia"/>
          <w:sz w:val="22"/>
          <w:szCs w:val="22"/>
          <w:lang w:val="fr-CA" w:eastAsia="en-GB"/>
        </w:rPr>
        <w:t xml:space="preserve">tions connexes pour la mobilisation des ressources </w:t>
      </w:r>
      <w:r w:rsidR="00434277" w:rsidRPr="00702E8F">
        <w:rPr>
          <w:rFonts w:eastAsiaTheme="majorEastAsia"/>
          <w:sz w:val="22"/>
          <w:szCs w:val="22"/>
          <w:lang w:val="fr-CA" w:eastAsia="en-GB"/>
        </w:rPr>
        <w:t>dans</w:t>
      </w:r>
      <w:r w:rsidRPr="00702E8F">
        <w:rPr>
          <w:rFonts w:eastAsiaTheme="majorEastAsia"/>
          <w:sz w:val="22"/>
          <w:szCs w:val="22"/>
          <w:lang w:val="fr-CA" w:eastAsia="en-GB"/>
        </w:rPr>
        <w:t xml:space="preserve"> le cadre mondial de la biodiversité pour l</w:t>
      </w:r>
      <w:r w:rsidR="00E453D1">
        <w:rPr>
          <w:rFonts w:eastAsiaTheme="majorEastAsia"/>
          <w:sz w:val="22"/>
          <w:szCs w:val="22"/>
          <w:lang w:val="fr-CA" w:eastAsia="en-GB"/>
        </w:rPr>
        <w:t>’</w:t>
      </w:r>
      <w:r w:rsidRPr="00702E8F">
        <w:rPr>
          <w:rFonts w:eastAsiaTheme="majorEastAsia"/>
          <w:sz w:val="22"/>
          <w:szCs w:val="22"/>
          <w:lang w:val="fr-CA" w:eastAsia="en-GB"/>
        </w:rPr>
        <w:t xml:space="preserve">après-2020, en </w:t>
      </w:r>
      <w:r w:rsidR="00371DFE" w:rsidRPr="00702E8F">
        <w:rPr>
          <w:rFonts w:eastAsiaTheme="majorEastAsia"/>
          <w:sz w:val="22"/>
          <w:szCs w:val="22"/>
          <w:lang w:val="fr-CA" w:eastAsia="en-GB"/>
        </w:rPr>
        <w:t>pu</w:t>
      </w:r>
      <w:r w:rsidR="00434277" w:rsidRPr="00702E8F">
        <w:rPr>
          <w:rFonts w:eastAsiaTheme="majorEastAsia"/>
          <w:sz w:val="22"/>
          <w:szCs w:val="22"/>
          <w:lang w:val="fr-CA" w:eastAsia="en-GB"/>
        </w:rPr>
        <w:t xml:space="preserve">isant dans la contribution des </w:t>
      </w:r>
      <w:r w:rsidR="00371DFE" w:rsidRPr="00702E8F">
        <w:rPr>
          <w:rFonts w:eastAsiaTheme="majorEastAsia"/>
          <w:sz w:val="22"/>
          <w:szCs w:val="22"/>
          <w:lang w:val="fr-CA" w:eastAsia="en-GB"/>
        </w:rPr>
        <w:t>Parties, des organisations et des autres experts.</w:t>
      </w:r>
      <w:r w:rsidR="00371DFE" w:rsidRPr="00702E8F">
        <w:rPr>
          <w:sz w:val="22"/>
          <w:szCs w:val="22"/>
          <w:vertAlign w:val="superscript"/>
          <w:lang w:eastAsia="en-GB"/>
        </w:rPr>
        <w:footnoteReference w:id="6"/>
      </w:r>
      <w:r w:rsidR="00434277" w:rsidRPr="00702E8F">
        <w:rPr>
          <w:rFonts w:eastAsiaTheme="majorEastAsia"/>
          <w:sz w:val="22"/>
          <w:szCs w:val="22"/>
          <w:lang w:val="fr-CA" w:eastAsia="en-GB"/>
        </w:rPr>
        <w:t xml:space="preserve"> La pa</w:t>
      </w:r>
      <w:r w:rsidR="00371DFE" w:rsidRPr="00702E8F">
        <w:rPr>
          <w:rFonts w:eastAsiaTheme="majorEastAsia"/>
          <w:sz w:val="22"/>
          <w:szCs w:val="22"/>
          <w:lang w:val="fr-CA" w:eastAsia="en-GB"/>
        </w:rPr>
        <w:t xml:space="preserve">rtie II, ci-dessous, propose une </w:t>
      </w:r>
      <w:r w:rsidR="006818DE" w:rsidRPr="00702E8F">
        <w:rPr>
          <w:rFonts w:eastAsiaTheme="majorEastAsia"/>
          <w:sz w:val="22"/>
          <w:szCs w:val="22"/>
          <w:lang w:val="fr-CA" w:eastAsia="en-GB"/>
        </w:rPr>
        <w:t>démarche</w:t>
      </w:r>
      <w:r w:rsidR="00371DFE" w:rsidRPr="00702E8F">
        <w:rPr>
          <w:rFonts w:eastAsiaTheme="majorEastAsia"/>
          <w:sz w:val="22"/>
          <w:szCs w:val="22"/>
          <w:lang w:val="fr-CA" w:eastAsia="en-GB"/>
        </w:rPr>
        <w:t xml:space="preserve"> stratégique à la m</w:t>
      </w:r>
      <w:r w:rsidR="00434277" w:rsidRPr="00702E8F">
        <w:rPr>
          <w:rFonts w:eastAsiaTheme="majorEastAsia"/>
          <w:sz w:val="22"/>
          <w:szCs w:val="22"/>
          <w:lang w:val="fr-CA" w:eastAsia="en-GB"/>
        </w:rPr>
        <w:t>obilisation</w:t>
      </w:r>
      <w:r w:rsidR="00371DFE" w:rsidRPr="00702E8F">
        <w:rPr>
          <w:rFonts w:eastAsiaTheme="majorEastAsia"/>
          <w:sz w:val="22"/>
          <w:szCs w:val="22"/>
          <w:lang w:val="fr-CA" w:eastAsia="en-GB"/>
        </w:rPr>
        <w:t xml:space="preserve"> des </w:t>
      </w:r>
      <w:r w:rsidR="00434277" w:rsidRPr="00702E8F">
        <w:rPr>
          <w:rFonts w:eastAsiaTheme="majorEastAsia"/>
          <w:sz w:val="22"/>
          <w:szCs w:val="22"/>
          <w:lang w:val="fr-CA" w:eastAsia="en-GB"/>
        </w:rPr>
        <w:t>ress</w:t>
      </w:r>
      <w:r w:rsidR="00371DFE" w:rsidRPr="00702E8F">
        <w:rPr>
          <w:rFonts w:eastAsiaTheme="majorEastAsia"/>
          <w:sz w:val="22"/>
          <w:szCs w:val="22"/>
          <w:lang w:val="fr-CA" w:eastAsia="en-GB"/>
        </w:rPr>
        <w:t>ou</w:t>
      </w:r>
      <w:r w:rsidR="00434277" w:rsidRPr="00702E8F">
        <w:rPr>
          <w:rFonts w:eastAsiaTheme="majorEastAsia"/>
          <w:sz w:val="22"/>
          <w:szCs w:val="22"/>
          <w:lang w:val="fr-CA" w:eastAsia="en-GB"/>
        </w:rPr>
        <w:t>r</w:t>
      </w:r>
      <w:r w:rsidR="00371DFE" w:rsidRPr="00702E8F">
        <w:rPr>
          <w:rFonts w:eastAsiaTheme="majorEastAsia"/>
          <w:sz w:val="22"/>
          <w:szCs w:val="22"/>
          <w:lang w:val="fr-CA" w:eastAsia="en-GB"/>
        </w:rPr>
        <w:t xml:space="preserve">ces fondée sur trois </w:t>
      </w:r>
      <w:r w:rsidR="007A698A">
        <w:rPr>
          <w:rFonts w:eastAsiaTheme="majorEastAsia"/>
          <w:sz w:val="22"/>
          <w:szCs w:val="22"/>
          <w:lang w:val="fr-CA" w:eastAsia="en-GB"/>
        </w:rPr>
        <w:t>volets</w:t>
      </w:r>
      <w:r w:rsidR="00371DFE" w:rsidRPr="00702E8F">
        <w:rPr>
          <w:rFonts w:eastAsiaTheme="majorEastAsia"/>
          <w:sz w:val="22"/>
          <w:szCs w:val="22"/>
          <w:lang w:val="fr-CA" w:eastAsia="en-GB"/>
        </w:rPr>
        <w:t xml:space="preserve"> critiques et identifie les principaux acteurs. Les parties III à V fournissent de plus amples détails sur chacun des trois </w:t>
      </w:r>
      <w:r w:rsidR="007A698A">
        <w:rPr>
          <w:rFonts w:eastAsiaTheme="majorEastAsia"/>
          <w:sz w:val="22"/>
          <w:szCs w:val="22"/>
          <w:lang w:val="fr-CA" w:eastAsia="en-GB"/>
        </w:rPr>
        <w:t>volets</w:t>
      </w:r>
      <w:r w:rsidR="00371DFE" w:rsidRPr="00702E8F">
        <w:rPr>
          <w:rFonts w:eastAsiaTheme="majorEastAsia"/>
          <w:sz w:val="22"/>
          <w:szCs w:val="22"/>
          <w:lang w:val="fr-CA" w:eastAsia="en-GB"/>
        </w:rPr>
        <w:t xml:space="preserve">. </w:t>
      </w:r>
      <w:r w:rsidR="00434277" w:rsidRPr="00702E8F">
        <w:rPr>
          <w:rFonts w:eastAsiaTheme="majorEastAsia"/>
          <w:sz w:val="22"/>
          <w:szCs w:val="22"/>
          <w:lang w:val="fr-CA" w:eastAsia="en-GB"/>
        </w:rPr>
        <w:t>Plus spécifiquement, l</w:t>
      </w:r>
      <w:r w:rsidR="00371DFE" w:rsidRPr="00702E8F">
        <w:rPr>
          <w:rFonts w:eastAsiaTheme="majorEastAsia"/>
          <w:sz w:val="22"/>
          <w:szCs w:val="22"/>
          <w:lang w:val="fr-CA" w:eastAsia="en-GB"/>
        </w:rPr>
        <w:t>a partie</w:t>
      </w:r>
      <w:r w:rsidR="00E453D1">
        <w:rPr>
          <w:rFonts w:eastAsiaTheme="majorEastAsia"/>
          <w:sz w:val="22"/>
          <w:szCs w:val="22"/>
          <w:lang w:val="fr-CA" w:eastAsia="en-GB"/>
        </w:rPr>
        <w:t> </w:t>
      </w:r>
      <w:r w:rsidR="00371DFE" w:rsidRPr="00702E8F">
        <w:rPr>
          <w:rFonts w:eastAsiaTheme="majorEastAsia"/>
          <w:sz w:val="22"/>
          <w:szCs w:val="22"/>
          <w:lang w:val="fr-CA" w:eastAsia="en-GB"/>
        </w:rPr>
        <w:t xml:space="preserve">III porte </w:t>
      </w:r>
      <w:r w:rsidR="00434277" w:rsidRPr="00702E8F">
        <w:rPr>
          <w:rFonts w:eastAsiaTheme="majorEastAsia"/>
          <w:sz w:val="22"/>
          <w:szCs w:val="22"/>
          <w:lang w:val="fr-CA" w:eastAsia="en-GB"/>
        </w:rPr>
        <w:t>sur la r</w:t>
      </w:r>
      <w:r w:rsidR="00371DFE" w:rsidRPr="00702E8F">
        <w:rPr>
          <w:rFonts w:eastAsiaTheme="majorEastAsia"/>
          <w:sz w:val="22"/>
          <w:szCs w:val="22"/>
          <w:lang w:val="fr-CA" w:eastAsia="en-GB"/>
        </w:rPr>
        <w:t xml:space="preserve">éduction ou la réallocation des ressources qui ont des effets </w:t>
      </w:r>
      <w:r w:rsidR="00E0284D" w:rsidRPr="00702E8F">
        <w:rPr>
          <w:rFonts w:eastAsiaTheme="majorEastAsia"/>
          <w:sz w:val="22"/>
          <w:szCs w:val="22"/>
          <w:lang w:val="fr-CA" w:eastAsia="en-GB"/>
        </w:rPr>
        <w:t>nuisibles</w:t>
      </w:r>
      <w:r w:rsidR="00371DFE" w:rsidRPr="00702E8F">
        <w:rPr>
          <w:rFonts w:eastAsiaTheme="majorEastAsia"/>
          <w:sz w:val="22"/>
          <w:szCs w:val="22"/>
          <w:lang w:val="fr-CA" w:eastAsia="en-GB"/>
        </w:rPr>
        <w:t xml:space="preserve"> sur la biodiversité, la partie</w:t>
      </w:r>
      <w:r w:rsidR="00E453D1">
        <w:rPr>
          <w:rFonts w:eastAsiaTheme="majorEastAsia"/>
          <w:sz w:val="22"/>
          <w:szCs w:val="22"/>
          <w:lang w:val="fr-CA" w:eastAsia="en-GB"/>
        </w:rPr>
        <w:t> </w:t>
      </w:r>
      <w:r w:rsidR="00371DFE" w:rsidRPr="00702E8F">
        <w:rPr>
          <w:rFonts w:eastAsiaTheme="majorEastAsia"/>
          <w:sz w:val="22"/>
          <w:szCs w:val="22"/>
          <w:lang w:val="fr-CA" w:eastAsia="en-GB"/>
        </w:rPr>
        <w:t xml:space="preserve">IV donne les grandes lignes de </w:t>
      </w:r>
      <w:r w:rsidR="00A24E94" w:rsidRPr="00702E8F">
        <w:rPr>
          <w:rFonts w:eastAsiaTheme="majorEastAsia"/>
          <w:sz w:val="22"/>
          <w:szCs w:val="22"/>
          <w:lang w:val="fr-CA" w:eastAsia="en-GB"/>
        </w:rPr>
        <w:t>la générati</w:t>
      </w:r>
      <w:r w:rsidR="0012203D" w:rsidRPr="00702E8F">
        <w:rPr>
          <w:rFonts w:eastAsiaTheme="majorEastAsia"/>
          <w:sz w:val="22"/>
          <w:szCs w:val="22"/>
          <w:lang w:val="fr-CA" w:eastAsia="en-GB"/>
        </w:rPr>
        <w:t>on</w:t>
      </w:r>
      <w:r w:rsidR="00371DFE" w:rsidRPr="00702E8F">
        <w:rPr>
          <w:rFonts w:eastAsiaTheme="majorEastAsia"/>
          <w:sz w:val="22"/>
          <w:szCs w:val="22"/>
          <w:lang w:val="fr-CA" w:eastAsia="en-GB"/>
        </w:rPr>
        <w:t xml:space="preserve"> de ressou</w:t>
      </w:r>
      <w:r w:rsidR="00434277" w:rsidRPr="00702E8F">
        <w:rPr>
          <w:rFonts w:eastAsiaTheme="majorEastAsia"/>
          <w:sz w:val="22"/>
          <w:szCs w:val="22"/>
          <w:lang w:val="fr-CA" w:eastAsia="en-GB"/>
        </w:rPr>
        <w:t>r</w:t>
      </w:r>
      <w:r w:rsidR="00371DFE" w:rsidRPr="00702E8F">
        <w:rPr>
          <w:rFonts w:eastAsiaTheme="majorEastAsia"/>
          <w:sz w:val="22"/>
          <w:szCs w:val="22"/>
          <w:lang w:val="fr-CA" w:eastAsia="en-GB"/>
        </w:rPr>
        <w:t>ces supplémentaires auprès de toutes les sources et la partie</w:t>
      </w:r>
      <w:r w:rsidR="00E453D1">
        <w:rPr>
          <w:rFonts w:eastAsiaTheme="majorEastAsia"/>
          <w:sz w:val="22"/>
          <w:szCs w:val="22"/>
          <w:lang w:val="fr-CA" w:eastAsia="en-GB"/>
        </w:rPr>
        <w:t> </w:t>
      </w:r>
      <w:r w:rsidR="00371DFE" w:rsidRPr="00702E8F">
        <w:rPr>
          <w:rFonts w:eastAsiaTheme="majorEastAsia"/>
          <w:sz w:val="22"/>
          <w:szCs w:val="22"/>
          <w:lang w:val="fr-CA" w:eastAsia="en-GB"/>
        </w:rPr>
        <w:t xml:space="preserve">V </w:t>
      </w:r>
      <w:r w:rsidR="00434277" w:rsidRPr="00702E8F">
        <w:rPr>
          <w:rFonts w:eastAsiaTheme="majorEastAsia"/>
          <w:sz w:val="22"/>
          <w:szCs w:val="22"/>
          <w:lang w:val="fr-CA" w:eastAsia="en-GB"/>
        </w:rPr>
        <w:t>porte sur l’augmentation de l’efficacité et l’efficience de l’utilisation des ressources</w:t>
      </w:r>
      <w:r w:rsidR="0034451A" w:rsidRPr="00702E8F">
        <w:rPr>
          <w:sz w:val="22"/>
          <w:szCs w:val="22"/>
          <w:lang w:val="fr-CA" w:eastAsia="en-GB"/>
        </w:rPr>
        <w:t>.</w:t>
      </w:r>
      <w:r w:rsidR="00746D90" w:rsidRPr="00702E8F">
        <w:rPr>
          <w:sz w:val="22"/>
          <w:szCs w:val="22"/>
          <w:vertAlign w:val="superscript"/>
          <w:lang w:eastAsia="en-GB"/>
        </w:rPr>
        <w:footnoteReference w:id="7"/>
      </w:r>
      <w:r w:rsidR="00746D90" w:rsidRPr="00702E8F">
        <w:rPr>
          <w:sz w:val="22"/>
          <w:szCs w:val="22"/>
          <w:lang w:val="fr-CA" w:eastAsia="en-GB"/>
        </w:rPr>
        <w:t xml:space="preserve"> La partie</w:t>
      </w:r>
      <w:r w:rsidR="00E453D1">
        <w:rPr>
          <w:sz w:val="22"/>
          <w:szCs w:val="22"/>
          <w:lang w:val="fr-CA" w:eastAsia="en-GB"/>
        </w:rPr>
        <w:t> </w:t>
      </w:r>
      <w:r w:rsidR="00746D90" w:rsidRPr="00702E8F">
        <w:rPr>
          <w:sz w:val="22"/>
          <w:szCs w:val="22"/>
          <w:lang w:val="fr-CA" w:eastAsia="en-GB"/>
        </w:rPr>
        <w:t xml:space="preserve">VI fournir une première contribution aux </w:t>
      </w:r>
      <w:r w:rsidR="007A698A">
        <w:rPr>
          <w:sz w:val="22"/>
          <w:szCs w:val="22"/>
          <w:lang w:val="fr-CA" w:eastAsia="en-GB"/>
        </w:rPr>
        <w:t>objectifs</w:t>
      </w:r>
      <w:r w:rsidR="00746D90" w:rsidRPr="00702E8F">
        <w:rPr>
          <w:sz w:val="22"/>
          <w:szCs w:val="22"/>
          <w:lang w:val="fr-CA" w:eastAsia="en-GB"/>
        </w:rPr>
        <w:t xml:space="preserve"> et décisions possibles que les Parties pourraient examiner pour la mobilisation des ressources. La parti</w:t>
      </w:r>
      <w:r w:rsidR="007A698A">
        <w:rPr>
          <w:sz w:val="22"/>
          <w:szCs w:val="22"/>
          <w:lang w:val="fr-CA" w:eastAsia="en-GB"/>
        </w:rPr>
        <w:t>e</w:t>
      </w:r>
      <w:r w:rsidR="00E453D1">
        <w:rPr>
          <w:sz w:val="22"/>
          <w:szCs w:val="22"/>
          <w:lang w:val="fr-CA" w:eastAsia="en-GB"/>
        </w:rPr>
        <w:t> </w:t>
      </w:r>
      <w:r w:rsidR="00746D90" w:rsidRPr="00702E8F">
        <w:rPr>
          <w:sz w:val="22"/>
          <w:szCs w:val="22"/>
          <w:lang w:val="fr-CA" w:eastAsia="en-GB"/>
        </w:rPr>
        <w:t>VII conclut le tout en transmettant les principaux messages du Groupe d’experts.</w:t>
      </w:r>
    </w:p>
    <w:p w14:paraId="1CF7763E" w14:textId="4A215DCE" w:rsidR="009C18A0" w:rsidRPr="00702E8F" w:rsidRDefault="00284915" w:rsidP="00BB36C7">
      <w:pPr>
        <w:pStyle w:val="HEADINGNOTFORTOC"/>
        <w:tabs>
          <w:tab w:val="clear" w:pos="720"/>
          <w:tab w:val="left" w:pos="426"/>
        </w:tabs>
        <w:spacing w:before="120"/>
        <w:ind w:left="1276" w:hanging="851"/>
        <w:jc w:val="left"/>
        <w:rPr>
          <w:sz w:val="22"/>
          <w:szCs w:val="22"/>
          <w:lang w:val="fr-CA" w:eastAsia="en-GB"/>
        </w:rPr>
      </w:pPr>
      <w:r w:rsidRPr="00702E8F">
        <w:rPr>
          <w:sz w:val="22"/>
          <w:szCs w:val="22"/>
          <w:lang w:val="fr-CA" w:eastAsia="en-GB"/>
        </w:rPr>
        <w:t>II.</w:t>
      </w:r>
      <w:r w:rsidRPr="00702E8F">
        <w:rPr>
          <w:sz w:val="22"/>
          <w:szCs w:val="22"/>
          <w:lang w:val="fr-CA" w:eastAsia="en-GB"/>
        </w:rPr>
        <w:tab/>
      </w:r>
      <w:r w:rsidR="006818DE" w:rsidRPr="00702E8F">
        <w:rPr>
          <w:sz w:val="22"/>
          <w:szCs w:val="22"/>
          <w:lang w:val="fr-CA" w:eastAsia="en-GB"/>
        </w:rPr>
        <w:t>DÉMARChe stratégique de la mobilisation des ressources</w:t>
      </w:r>
      <w:r w:rsidR="009C18A0" w:rsidRPr="00702E8F">
        <w:rPr>
          <w:sz w:val="22"/>
          <w:szCs w:val="22"/>
          <w:lang w:val="fr-CA" w:eastAsia="en-GB"/>
        </w:rPr>
        <w:t xml:space="preserve"> </w:t>
      </w:r>
      <w:r w:rsidR="006818DE" w:rsidRPr="00702E8F">
        <w:rPr>
          <w:sz w:val="22"/>
          <w:szCs w:val="22"/>
          <w:lang w:val="fr-CA" w:eastAsia="en-GB"/>
        </w:rPr>
        <w:t>en appui au cadre mondial de la biodiversité pour l</w:t>
      </w:r>
      <w:r w:rsidR="00E453D1">
        <w:rPr>
          <w:sz w:val="22"/>
          <w:szCs w:val="22"/>
          <w:lang w:val="fr-CA" w:eastAsia="en-GB"/>
        </w:rPr>
        <w:t>’</w:t>
      </w:r>
      <w:r w:rsidR="006818DE" w:rsidRPr="00702E8F">
        <w:rPr>
          <w:sz w:val="22"/>
          <w:szCs w:val="22"/>
          <w:lang w:val="fr-CA" w:eastAsia="en-GB"/>
        </w:rPr>
        <w:t>après-2020</w:t>
      </w:r>
    </w:p>
    <w:p w14:paraId="5C7FE0B8" w14:textId="785E22A8" w:rsidR="009C18A0" w:rsidRPr="00702E8F" w:rsidRDefault="006818DE"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 xml:space="preserve">Le </w:t>
      </w:r>
      <w:r w:rsidRPr="00702E8F">
        <w:rPr>
          <w:i/>
          <w:sz w:val="22"/>
          <w:szCs w:val="22"/>
          <w:lang w:val="fr-CA" w:eastAsia="en-GB"/>
        </w:rPr>
        <w:t>Rap</w:t>
      </w:r>
      <w:r w:rsidR="00746D90" w:rsidRPr="00702E8F">
        <w:rPr>
          <w:i/>
          <w:sz w:val="22"/>
          <w:szCs w:val="22"/>
          <w:lang w:val="fr-CA" w:eastAsia="en-GB"/>
        </w:rPr>
        <w:t>p</w:t>
      </w:r>
      <w:r w:rsidRPr="00702E8F">
        <w:rPr>
          <w:i/>
          <w:sz w:val="22"/>
          <w:szCs w:val="22"/>
          <w:lang w:val="fr-CA" w:eastAsia="en-GB"/>
        </w:rPr>
        <w:t>ort d’évaluation mondiale</w:t>
      </w:r>
      <w:r w:rsidR="00746D90" w:rsidRPr="00702E8F">
        <w:rPr>
          <w:i/>
          <w:sz w:val="22"/>
          <w:szCs w:val="22"/>
          <w:lang w:val="fr-CA" w:eastAsia="en-GB"/>
        </w:rPr>
        <w:t xml:space="preserve"> sur la biodiversité et les services écosystémiques</w:t>
      </w:r>
      <w:r w:rsidR="00746D90" w:rsidRPr="00702E8F">
        <w:rPr>
          <w:sz w:val="22"/>
          <w:szCs w:val="22"/>
          <w:lang w:val="fr-CA" w:eastAsia="en-GB"/>
        </w:rPr>
        <w:t xml:space="preserve"> publié par la Plateforme intergouvernementale scientifique et politique sur la biodiversité et les services écosystémiques en 2019 </w:t>
      </w:r>
      <w:r w:rsidR="003579B6" w:rsidRPr="00702E8F">
        <w:rPr>
          <w:sz w:val="22"/>
          <w:szCs w:val="22"/>
          <w:lang w:val="fr-CA" w:eastAsia="en-GB"/>
        </w:rPr>
        <w:t xml:space="preserve">demande une réorganisation fondamentale à l’échelle du système et des facteurs technologiques, économiques et sociaux, comprenant les paradigmes, les buts et les valeurs, afin de freiner </w:t>
      </w:r>
      <w:r w:rsidR="006E0A64">
        <w:rPr>
          <w:sz w:val="22"/>
          <w:szCs w:val="22"/>
          <w:lang w:val="fr-CA" w:eastAsia="en-GB"/>
        </w:rPr>
        <w:t>la perte</w:t>
      </w:r>
      <w:r w:rsidR="003579B6" w:rsidRPr="00702E8F">
        <w:rPr>
          <w:sz w:val="22"/>
          <w:szCs w:val="22"/>
          <w:lang w:val="fr-CA" w:eastAsia="en-GB"/>
        </w:rPr>
        <w:t xml:space="preserve"> de la diversité biologique et des fonctions écosystémiques</w:t>
      </w:r>
      <w:r w:rsidR="009C18A0" w:rsidRPr="00702E8F">
        <w:rPr>
          <w:sz w:val="22"/>
          <w:szCs w:val="22"/>
          <w:lang w:val="fr-CA" w:eastAsia="en-GB"/>
        </w:rPr>
        <w:t>.</w:t>
      </w:r>
      <w:r w:rsidR="003579B6" w:rsidRPr="00702E8F">
        <w:rPr>
          <w:sz w:val="22"/>
          <w:szCs w:val="22"/>
          <w:vertAlign w:val="superscript"/>
          <w:lang w:val="en-ZA" w:eastAsia="en-GB"/>
        </w:rPr>
        <w:footnoteReference w:id="8"/>
      </w:r>
      <w:r w:rsidR="003579B6" w:rsidRPr="00702E8F">
        <w:rPr>
          <w:sz w:val="22"/>
          <w:szCs w:val="22"/>
          <w:lang w:val="fr-CA" w:eastAsia="en-GB"/>
        </w:rPr>
        <w:t xml:space="preserve"> Il est </w:t>
      </w:r>
      <w:r w:rsidR="00AA4BF2" w:rsidRPr="00702E8F">
        <w:rPr>
          <w:sz w:val="22"/>
          <w:szCs w:val="22"/>
          <w:lang w:val="fr-CA" w:eastAsia="en-GB"/>
        </w:rPr>
        <w:t>largement</w:t>
      </w:r>
      <w:r w:rsidR="003579B6" w:rsidRPr="00702E8F">
        <w:rPr>
          <w:sz w:val="22"/>
          <w:szCs w:val="22"/>
          <w:lang w:val="fr-CA" w:eastAsia="en-GB"/>
        </w:rPr>
        <w:t xml:space="preserve"> reconnu qu’il faut ap</w:t>
      </w:r>
      <w:r w:rsidR="00AA4BF2" w:rsidRPr="00702E8F">
        <w:rPr>
          <w:sz w:val="22"/>
          <w:szCs w:val="22"/>
          <w:lang w:val="fr-CA" w:eastAsia="en-GB"/>
        </w:rPr>
        <w:t>p</w:t>
      </w:r>
      <w:r w:rsidR="003579B6" w:rsidRPr="00702E8F">
        <w:rPr>
          <w:sz w:val="22"/>
          <w:szCs w:val="22"/>
          <w:lang w:val="fr-CA" w:eastAsia="en-GB"/>
        </w:rPr>
        <w:t xml:space="preserve">orter des changements </w:t>
      </w:r>
      <w:r w:rsidR="00AA4BF2" w:rsidRPr="00702E8F">
        <w:rPr>
          <w:sz w:val="22"/>
          <w:szCs w:val="22"/>
          <w:lang w:val="fr-CA" w:eastAsia="en-GB"/>
        </w:rPr>
        <w:t>transformationnels</w:t>
      </w:r>
      <w:r w:rsidR="003579B6" w:rsidRPr="00702E8F">
        <w:rPr>
          <w:sz w:val="22"/>
          <w:szCs w:val="22"/>
          <w:lang w:val="fr-CA" w:eastAsia="en-GB"/>
        </w:rPr>
        <w:t xml:space="preserve"> afin de freiner et de renverser la perte de l</w:t>
      </w:r>
      <w:r w:rsidR="00F14544" w:rsidRPr="00702E8F">
        <w:rPr>
          <w:sz w:val="22"/>
          <w:szCs w:val="22"/>
          <w:lang w:val="fr-CA" w:eastAsia="en-GB"/>
        </w:rPr>
        <w:t>a</w:t>
      </w:r>
      <w:r w:rsidR="003579B6" w:rsidRPr="00702E8F">
        <w:rPr>
          <w:sz w:val="22"/>
          <w:szCs w:val="22"/>
          <w:lang w:val="fr-CA" w:eastAsia="en-GB"/>
        </w:rPr>
        <w:t xml:space="preserve"> diversité biologique et d’atteindre les </w:t>
      </w:r>
      <w:r w:rsidR="006E0A64">
        <w:rPr>
          <w:sz w:val="22"/>
          <w:szCs w:val="22"/>
          <w:lang w:val="fr-CA" w:eastAsia="en-GB"/>
        </w:rPr>
        <w:t>objectifs</w:t>
      </w:r>
      <w:r w:rsidR="003579B6" w:rsidRPr="00702E8F">
        <w:rPr>
          <w:sz w:val="22"/>
          <w:szCs w:val="22"/>
          <w:lang w:val="fr-CA" w:eastAsia="en-GB"/>
        </w:rPr>
        <w:t xml:space="preserve"> pour la diversité biologique ainsi que </w:t>
      </w:r>
      <w:r w:rsidR="00441863">
        <w:rPr>
          <w:sz w:val="22"/>
          <w:szCs w:val="22"/>
          <w:lang w:val="fr-CA" w:eastAsia="en-GB"/>
        </w:rPr>
        <w:t>d’un plus grand nombre</w:t>
      </w:r>
      <w:r w:rsidR="003579B6" w:rsidRPr="00702E8F">
        <w:rPr>
          <w:sz w:val="22"/>
          <w:szCs w:val="22"/>
          <w:lang w:val="fr-CA" w:eastAsia="en-GB"/>
        </w:rPr>
        <w:t xml:space="preserve"> </w:t>
      </w:r>
      <w:r w:rsidR="00441863">
        <w:rPr>
          <w:sz w:val="22"/>
          <w:szCs w:val="22"/>
          <w:lang w:val="fr-CA" w:eastAsia="en-GB"/>
        </w:rPr>
        <w:t>d’</w:t>
      </w:r>
      <w:r w:rsidR="003579B6" w:rsidRPr="00702E8F">
        <w:rPr>
          <w:sz w:val="22"/>
          <w:szCs w:val="22"/>
          <w:lang w:val="fr-CA" w:eastAsia="en-GB"/>
        </w:rPr>
        <w:t>Objectifs de développement durables</w:t>
      </w:r>
      <w:r w:rsidR="00AA4BF2" w:rsidRPr="00702E8F">
        <w:rPr>
          <w:sz w:val="22"/>
          <w:szCs w:val="22"/>
          <w:lang w:val="fr-CA" w:eastAsia="en-GB"/>
        </w:rPr>
        <w:t>. Cette démarche exigera une approche pangouvernementale, de l’ensemble de l’économie et de la société tout entière</w:t>
      </w:r>
      <w:r w:rsidR="006E0A64">
        <w:rPr>
          <w:sz w:val="22"/>
          <w:szCs w:val="22"/>
          <w:lang w:val="fr-CA" w:eastAsia="en-GB"/>
        </w:rPr>
        <w:t>,</w:t>
      </w:r>
      <w:r w:rsidR="00AA4BF2" w:rsidRPr="00702E8F">
        <w:rPr>
          <w:sz w:val="22"/>
          <w:szCs w:val="22"/>
          <w:lang w:val="fr-CA" w:eastAsia="en-GB"/>
        </w:rPr>
        <w:t xml:space="preserve"> afin de lutter contre les moteurs de </w:t>
      </w:r>
      <w:r w:rsidR="00F14544" w:rsidRPr="00702E8F">
        <w:rPr>
          <w:sz w:val="22"/>
          <w:szCs w:val="22"/>
          <w:lang w:val="fr-CA" w:eastAsia="en-GB"/>
        </w:rPr>
        <w:t>la perte</w:t>
      </w:r>
      <w:r w:rsidR="00AA4BF2" w:rsidRPr="00702E8F">
        <w:rPr>
          <w:sz w:val="22"/>
          <w:szCs w:val="22"/>
          <w:lang w:val="fr-CA" w:eastAsia="en-GB"/>
        </w:rPr>
        <w:t xml:space="preserve"> de la diversité biologique et des fonctions écosystémiques.</w:t>
      </w:r>
    </w:p>
    <w:p w14:paraId="2C544460" w14:textId="4F215926" w:rsidR="009C18A0" w:rsidRPr="00702E8F" w:rsidRDefault="00F14544"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La mobilisation des ressources est au cœur du changement transformationnel et du succès du cadre mondial de la biodiversité pour l</w:t>
      </w:r>
      <w:r w:rsidR="00E453D1">
        <w:rPr>
          <w:sz w:val="22"/>
          <w:szCs w:val="22"/>
          <w:lang w:val="fr-CA" w:eastAsia="en-GB"/>
        </w:rPr>
        <w:t>’</w:t>
      </w:r>
      <w:r w:rsidRPr="00702E8F">
        <w:rPr>
          <w:sz w:val="22"/>
          <w:szCs w:val="22"/>
          <w:lang w:val="fr-CA" w:eastAsia="en-GB"/>
        </w:rPr>
        <w:t>après-2020. Le groupe d’experts propose l’adoption d’une démarche à trois volets composée de trois éléments complémentaires, qui abordent le besoin de</w:t>
      </w:r>
      <w:r w:rsidR="00E453D1">
        <w:rPr>
          <w:sz w:val="22"/>
          <w:szCs w:val="22"/>
          <w:lang w:val="fr-CA" w:eastAsia="en-GB"/>
        </w:rPr>
        <w:t> </w:t>
      </w:r>
      <w:r w:rsidR="009C18A0" w:rsidRPr="00702E8F">
        <w:rPr>
          <w:sz w:val="22"/>
          <w:szCs w:val="22"/>
          <w:lang w:val="fr-CA" w:eastAsia="en-GB"/>
        </w:rPr>
        <w:t>:</w:t>
      </w:r>
    </w:p>
    <w:p w14:paraId="37CFEAF2" w14:textId="59875EAE" w:rsidR="009C18A0" w:rsidRPr="00702E8F" w:rsidRDefault="00F14544" w:rsidP="00F14544">
      <w:pPr>
        <w:pStyle w:val="Paragraphedeliste"/>
        <w:numPr>
          <w:ilvl w:val="0"/>
          <w:numId w:val="13"/>
        </w:numPr>
        <w:spacing w:before="120" w:after="120"/>
        <w:jc w:val="both"/>
        <w:rPr>
          <w:bCs/>
          <w:sz w:val="22"/>
          <w:szCs w:val="22"/>
          <w:lang w:val="fr-CA" w:eastAsia="en-GB"/>
        </w:rPr>
      </w:pPr>
      <w:r w:rsidRPr="00702E8F">
        <w:rPr>
          <w:bCs/>
          <w:sz w:val="22"/>
          <w:szCs w:val="22"/>
          <w:lang w:val="fr-CA" w:eastAsia="en-GB"/>
        </w:rPr>
        <w:t>R</w:t>
      </w:r>
      <w:r w:rsidR="00A24E94" w:rsidRPr="00702E8F">
        <w:rPr>
          <w:bCs/>
          <w:sz w:val="22"/>
          <w:szCs w:val="22"/>
          <w:lang w:val="fr-CA" w:eastAsia="en-GB"/>
        </w:rPr>
        <w:t xml:space="preserve">éduire ou réallouer les ressources qui ont des effets </w:t>
      </w:r>
      <w:r w:rsidR="00E0284D" w:rsidRPr="00702E8F">
        <w:rPr>
          <w:bCs/>
          <w:sz w:val="22"/>
          <w:szCs w:val="22"/>
          <w:lang w:val="fr-CA" w:eastAsia="en-GB"/>
        </w:rPr>
        <w:t>nuisibles</w:t>
      </w:r>
      <w:r w:rsidR="00A24E94" w:rsidRPr="00702E8F">
        <w:rPr>
          <w:bCs/>
          <w:sz w:val="22"/>
          <w:szCs w:val="22"/>
          <w:lang w:val="fr-CA" w:eastAsia="en-GB"/>
        </w:rPr>
        <w:t xml:space="preserve"> sur la biodiversité</w:t>
      </w:r>
      <w:r w:rsidR="00E453D1">
        <w:rPr>
          <w:bCs/>
          <w:sz w:val="22"/>
          <w:szCs w:val="22"/>
          <w:lang w:val="fr-CA" w:eastAsia="en-GB"/>
        </w:rPr>
        <w:t> </w:t>
      </w:r>
      <w:r w:rsidR="005C6BD4" w:rsidRPr="00702E8F">
        <w:rPr>
          <w:bCs/>
          <w:sz w:val="22"/>
          <w:szCs w:val="22"/>
          <w:lang w:val="fr-CA" w:eastAsia="en-GB"/>
        </w:rPr>
        <w:t>;</w:t>
      </w:r>
    </w:p>
    <w:p w14:paraId="3E75181C" w14:textId="39481C7E" w:rsidR="009C18A0" w:rsidRPr="00702E8F" w:rsidRDefault="00682D17" w:rsidP="00EC07F9">
      <w:pPr>
        <w:numPr>
          <w:ilvl w:val="0"/>
          <w:numId w:val="13"/>
        </w:numPr>
        <w:spacing w:before="120" w:after="120"/>
        <w:ind w:left="0" w:firstLine="720"/>
        <w:jc w:val="both"/>
        <w:rPr>
          <w:bCs/>
          <w:sz w:val="22"/>
          <w:szCs w:val="22"/>
          <w:lang w:val="fr-CA" w:eastAsia="en-GB"/>
        </w:rPr>
      </w:pPr>
      <w:r w:rsidRPr="00702E8F">
        <w:rPr>
          <w:bCs/>
          <w:sz w:val="22"/>
          <w:szCs w:val="22"/>
          <w:lang w:val="fr-CA" w:eastAsia="en-GB"/>
        </w:rPr>
        <w:t>Générer</w:t>
      </w:r>
      <w:r w:rsidR="00A24E94" w:rsidRPr="00702E8F">
        <w:rPr>
          <w:bCs/>
          <w:sz w:val="22"/>
          <w:szCs w:val="22"/>
          <w:lang w:val="fr-CA" w:eastAsia="en-GB"/>
        </w:rPr>
        <w:t xml:space="preserve"> des ressources supplémentaires de toutes les sources afin de réaliser les trois objectifs de la Convention</w:t>
      </w:r>
      <w:r w:rsidR="00E453D1">
        <w:rPr>
          <w:bCs/>
          <w:sz w:val="22"/>
          <w:szCs w:val="22"/>
          <w:lang w:val="fr-CA" w:eastAsia="en-GB"/>
        </w:rPr>
        <w:t> </w:t>
      </w:r>
      <w:r w:rsidR="005C6BD4" w:rsidRPr="00702E8F">
        <w:rPr>
          <w:bCs/>
          <w:sz w:val="22"/>
          <w:szCs w:val="22"/>
          <w:lang w:val="fr-CA" w:eastAsia="en-GB"/>
        </w:rPr>
        <w:t>;</w:t>
      </w:r>
    </w:p>
    <w:p w14:paraId="2D2ACDFA" w14:textId="1E79DB1A" w:rsidR="009C18A0" w:rsidRPr="00702E8F" w:rsidRDefault="00A24E94" w:rsidP="00EC07F9">
      <w:pPr>
        <w:numPr>
          <w:ilvl w:val="0"/>
          <w:numId w:val="13"/>
        </w:numPr>
        <w:spacing w:before="120" w:after="120"/>
        <w:ind w:left="0" w:firstLine="720"/>
        <w:jc w:val="both"/>
        <w:rPr>
          <w:bCs/>
          <w:sz w:val="22"/>
          <w:szCs w:val="22"/>
          <w:lang w:val="fr-CA" w:eastAsia="en-GB"/>
        </w:rPr>
      </w:pPr>
      <w:r w:rsidRPr="00702E8F">
        <w:rPr>
          <w:bCs/>
          <w:sz w:val="22"/>
          <w:szCs w:val="22"/>
          <w:lang w:val="fr-CA" w:eastAsia="en-GB"/>
        </w:rPr>
        <w:t>Améliorer l’efficacité et l’efficience de l’utilisation des ressources</w:t>
      </w:r>
      <w:r w:rsidR="005C6BD4" w:rsidRPr="00702E8F">
        <w:rPr>
          <w:bCs/>
          <w:sz w:val="22"/>
          <w:szCs w:val="22"/>
          <w:lang w:val="fr-CA" w:eastAsia="en-GB"/>
        </w:rPr>
        <w:t>.</w:t>
      </w:r>
    </w:p>
    <w:p w14:paraId="50204508" w14:textId="4F76A565" w:rsidR="003B04C0" w:rsidRPr="00702E8F" w:rsidRDefault="00A13104" w:rsidP="00F609C7">
      <w:pPr>
        <w:pStyle w:val="Para1"/>
        <w:numPr>
          <w:ilvl w:val="0"/>
          <w:numId w:val="49"/>
        </w:numPr>
        <w:suppressLineNumbers/>
        <w:suppressAutoHyphens/>
        <w:spacing w:before="120"/>
        <w:ind w:left="0" w:firstLine="0"/>
        <w:jc w:val="both"/>
        <w:rPr>
          <w:sz w:val="22"/>
          <w:szCs w:val="22"/>
          <w:lang w:val="fr-CA" w:eastAsia="en-GB"/>
        </w:rPr>
      </w:pPr>
      <w:r w:rsidRPr="00702E8F">
        <w:rPr>
          <w:bCs/>
          <w:sz w:val="22"/>
          <w:szCs w:val="22"/>
          <w:lang w:val="fr-CA" w:eastAsia="en-GB"/>
        </w:rPr>
        <w:t>Le volet</w:t>
      </w:r>
      <w:r w:rsidRPr="00702E8F">
        <w:rPr>
          <w:b/>
          <w:bCs/>
          <w:sz w:val="22"/>
          <w:szCs w:val="22"/>
          <w:lang w:val="fr-CA" w:eastAsia="en-GB"/>
        </w:rPr>
        <w:t xml:space="preserve"> </w:t>
      </w:r>
      <w:r w:rsidRPr="00DE2169">
        <w:rPr>
          <w:bCs/>
          <w:i/>
          <w:sz w:val="22"/>
          <w:szCs w:val="22"/>
          <w:lang w:val="fr-CA" w:eastAsia="en-GB"/>
        </w:rPr>
        <w:t xml:space="preserve">Réduire ou réallouer les ressources qui ont des effets </w:t>
      </w:r>
      <w:r w:rsidR="00E0284D" w:rsidRPr="00DE2169">
        <w:rPr>
          <w:bCs/>
          <w:i/>
          <w:sz w:val="22"/>
          <w:szCs w:val="22"/>
          <w:lang w:val="fr-CA" w:eastAsia="en-GB"/>
        </w:rPr>
        <w:t>nuisibles</w:t>
      </w:r>
      <w:r w:rsidRPr="00DE2169">
        <w:rPr>
          <w:bCs/>
          <w:i/>
          <w:sz w:val="22"/>
          <w:szCs w:val="22"/>
          <w:lang w:val="fr-CA" w:eastAsia="en-GB"/>
        </w:rPr>
        <w:t xml:space="preserve"> sur la biodiversité</w:t>
      </w:r>
      <w:r w:rsidRPr="00702E8F">
        <w:rPr>
          <w:b/>
          <w:bCs/>
          <w:sz w:val="22"/>
          <w:szCs w:val="22"/>
          <w:lang w:val="fr-CA" w:eastAsia="en-GB"/>
        </w:rPr>
        <w:t xml:space="preserve"> </w:t>
      </w:r>
      <w:r w:rsidRPr="00702E8F">
        <w:rPr>
          <w:bCs/>
          <w:sz w:val="22"/>
          <w:szCs w:val="22"/>
          <w:lang w:val="fr-CA" w:eastAsia="en-GB"/>
        </w:rPr>
        <w:t xml:space="preserve">s’attaque aux principaux moteurs des activités et investissements ayant des effets </w:t>
      </w:r>
      <w:r w:rsidR="00E0284D" w:rsidRPr="00702E8F">
        <w:rPr>
          <w:bCs/>
          <w:sz w:val="22"/>
          <w:szCs w:val="22"/>
          <w:lang w:val="fr-CA" w:eastAsia="en-GB"/>
        </w:rPr>
        <w:t>nuisibles</w:t>
      </w:r>
      <w:r w:rsidRPr="00702E8F">
        <w:rPr>
          <w:bCs/>
          <w:sz w:val="22"/>
          <w:szCs w:val="22"/>
          <w:lang w:val="fr-CA" w:eastAsia="en-GB"/>
        </w:rPr>
        <w:t xml:space="preserve"> sur la diversité biologique </w:t>
      </w:r>
      <w:r w:rsidR="00B61DFA">
        <w:rPr>
          <w:bCs/>
          <w:sz w:val="22"/>
          <w:szCs w:val="22"/>
          <w:lang w:val="fr-CA" w:eastAsia="en-GB"/>
        </w:rPr>
        <w:t>au moyen de</w:t>
      </w:r>
      <w:r w:rsidRPr="00702E8F">
        <w:rPr>
          <w:bCs/>
          <w:sz w:val="22"/>
          <w:szCs w:val="22"/>
          <w:lang w:val="fr-CA" w:eastAsia="en-GB"/>
        </w:rPr>
        <w:t xml:space="preserve"> normes et de lignes directrices</w:t>
      </w:r>
      <w:r w:rsidR="00B61DFA">
        <w:rPr>
          <w:bCs/>
          <w:sz w:val="22"/>
          <w:szCs w:val="22"/>
          <w:lang w:val="fr-CA" w:eastAsia="en-GB"/>
        </w:rPr>
        <w:t>, ainsi que d’</w:t>
      </w:r>
      <w:r w:rsidR="006D7C7B" w:rsidRPr="00702E8F">
        <w:rPr>
          <w:bCs/>
          <w:sz w:val="22"/>
          <w:szCs w:val="22"/>
          <w:lang w:val="fr-CA" w:eastAsia="en-GB"/>
        </w:rPr>
        <w:t xml:space="preserve">instruments réglementaires et économiques. </w:t>
      </w:r>
      <w:r w:rsidR="00B61DFA">
        <w:rPr>
          <w:bCs/>
          <w:sz w:val="22"/>
          <w:szCs w:val="22"/>
          <w:lang w:val="fr-CA" w:eastAsia="en-GB"/>
        </w:rPr>
        <w:t xml:space="preserve">Il </w:t>
      </w:r>
      <w:r w:rsidR="00B61DFA">
        <w:rPr>
          <w:bCs/>
          <w:sz w:val="22"/>
          <w:szCs w:val="22"/>
          <w:lang w:val="fr-CA" w:eastAsia="en-GB"/>
        </w:rPr>
        <w:lastRenderedPageBreak/>
        <w:t>exige</w:t>
      </w:r>
      <w:r w:rsidR="006D7C7B" w:rsidRPr="00702E8F">
        <w:rPr>
          <w:bCs/>
          <w:sz w:val="22"/>
          <w:szCs w:val="22"/>
          <w:lang w:val="fr-CA" w:eastAsia="en-GB"/>
        </w:rPr>
        <w:t xml:space="preserve"> l’évitement, la ré</w:t>
      </w:r>
      <w:r w:rsidR="00B61DFA">
        <w:rPr>
          <w:bCs/>
          <w:sz w:val="22"/>
          <w:szCs w:val="22"/>
          <w:lang w:val="fr-CA" w:eastAsia="en-GB"/>
        </w:rPr>
        <w:t>duction</w:t>
      </w:r>
      <w:r w:rsidR="006D7C7B" w:rsidRPr="00702E8F">
        <w:rPr>
          <w:bCs/>
          <w:sz w:val="22"/>
          <w:szCs w:val="22"/>
          <w:lang w:val="fr-CA" w:eastAsia="en-GB"/>
        </w:rPr>
        <w:t xml:space="preserve"> et la réaffectation des dépenses qui ont des effets </w:t>
      </w:r>
      <w:r w:rsidR="00E0284D" w:rsidRPr="00702E8F">
        <w:rPr>
          <w:bCs/>
          <w:sz w:val="22"/>
          <w:szCs w:val="22"/>
          <w:lang w:val="fr-CA" w:eastAsia="en-GB"/>
        </w:rPr>
        <w:t>nuisibles</w:t>
      </w:r>
      <w:r w:rsidR="006D7C7B" w:rsidRPr="00702E8F">
        <w:rPr>
          <w:bCs/>
          <w:sz w:val="22"/>
          <w:szCs w:val="22"/>
          <w:lang w:val="fr-CA" w:eastAsia="en-GB"/>
        </w:rPr>
        <w:t xml:space="preserve"> sur la biodiversité, comprenant notamment les subventions nuisibles</w:t>
      </w:r>
      <w:r w:rsidR="00B61DFA">
        <w:rPr>
          <w:bCs/>
          <w:sz w:val="22"/>
          <w:szCs w:val="22"/>
          <w:lang w:val="fr-CA" w:eastAsia="en-GB"/>
        </w:rPr>
        <w:t xml:space="preserve">, ce qui </w:t>
      </w:r>
      <w:r w:rsidR="006D7C7B" w:rsidRPr="00702E8F">
        <w:rPr>
          <w:bCs/>
          <w:sz w:val="22"/>
          <w:szCs w:val="22"/>
          <w:lang w:val="fr-CA" w:eastAsia="en-GB"/>
        </w:rPr>
        <w:t>aura comme conséquence de réduire le besoin de ressources pour conserver et rétablir la biodiversité. De récentes analyses de l’Organisation de coopération et de développement économiques (OCDE)</w:t>
      </w:r>
      <w:r w:rsidR="006D7C7B" w:rsidRPr="00702E8F">
        <w:rPr>
          <w:sz w:val="22"/>
          <w:szCs w:val="22"/>
          <w:vertAlign w:val="superscript"/>
          <w:lang w:val="en-ZA" w:eastAsia="en-GB"/>
        </w:rPr>
        <w:footnoteReference w:id="9"/>
      </w:r>
      <w:r w:rsidR="006D7C7B" w:rsidRPr="00702E8F">
        <w:rPr>
          <w:sz w:val="22"/>
          <w:szCs w:val="22"/>
          <w:lang w:val="fr-CA" w:eastAsia="en-GB"/>
        </w:rPr>
        <w:t xml:space="preserve"> d</w:t>
      </w:r>
      <w:r w:rsidR="005872FE" w:rsidRPr="00702E8F">
        <w:rPr>
          <w:sz w:val="22"/>
          <w:szCs w:val="22"/>
          <w:lang w:val="fr-CA" w:eastAsia="en-GB"/>
        </w:rPr>
        <w:t>é</w:t>
      </w:r>
      <w:r w:rsidR="006D7C7B" w:rsidRPr="00702E8F">
        <w:rPr>
          <w:sz w:val="22"/>
          <w:szCs w:val="22"/>
          <w:lang w:val="fr-CA" w:eastAsia="en-GB"/>
        </w:rPr>
        <w:t>montrent que les subventions (</w:t>
      </w:r>
      <w:r w:rsidR="005872FE" w:rsidRPr="00702E8F">
        <w:rPr>
          <w:sz w:val="22"/>
          <w:szCs w:val="22"/>
          <w:lang w:val="fr-CA" w:eastAsia="en-GB"/>
        </w:rPr>
        <w:t>pour les combustibles fossiles, ainsi que pour l’agriculture et la pêche) sont nuisibles pour la biodiversité et s’élèvent à 500</w:t>
      </w:r>
      <w:r w:rsidR="00E453D1">
        <w:rPr>
          <w:sz w:val="22"/>
          <w:szCs w:val="22"/>
          <w:lang w:val="fr-CA" w:eastAsia="en-GB"/>
        </w:rPr>
        <w:t> </w:t>
      </w:r>
      <w:r w:rsidR="005872FE" w:rsidRPr="00702E8F">
        <w:rPr>
          <w:sz w:val="22"/>
          <w:szCs w:val="22"/>
          <w:lang w:val="fr-CA" w:eastAsia="en-GB"/>
        </w:rPr>
        <w:t>milliards $US par année, tandis que l’ensemble des ressources consacrées à la promotion de la conservation et de l’utilisation durable de l</w:t>
      </w:r>
      <w:r w:rsidR="00276C67">
        <w:rPr>
          <w:sz w:val="22"/>
          <w:szCs w:val="22"/>
          <w:lang w:val="fr-CA" w:eastAsia="en-GB"/>
        </w:rPr>
        <w:t>a diversité biologique est de 78</w:t>
      </w:r>
      <w:r w:rsidR="00E453D1">
        <w:rPr>
          <w:sz w:val="22"/>
          <w:szCs w:val="22"/>
          <w:lang w:val="fr-CA" w:eastAsia="en-GB"/>
        </w:rPr>
        <w:t> </w:t>
      </w:r>
      <w:r w:rsidR="005872FE" w:rsidRPr="00702E8F">
        <w:rPr>
          <w:sz w:val="22"/>
          <w:szCs w:val="22"/>
          <w:lang w:val="fr-CA" w:eastAsia="en-GB"/>
        </w:rPr>
        <w:t xml:space="preserve">milliards </w:t>
      </w:r>
      <w:r w:rsidR="009342F0">
        <w:rPr>
          <w:sz w:val="22"/>
          <w:szCs w:val="22"/>
          <w:lang w:val="fr-CA" w:eastAsia="en-GB"/>
        </w:rPr>
        <w:t xml:space="preserve">$US à </w:t>
      </w:r>
      <w:r w:rsidR="00276C67">
        <w:rPr>
          <w:sz w:val="22"/>
          <w:szCs w:val="22"/>
          <w:lang w:val="fr-CA" w:eastAsia="en-GB"/>
        </w:rPr>
        <w:t>91</w:t>
      </w:r>
      <w:r w:rsidR="009342F0">
        <w:rPr>
          <w:sz w:val="22"/>
          <w:szCs w:val="22"/>
          <w:lang w:val="fr-CA" w:eastAsia="en-GB"/>
        </w:rPr>
        <w:t> milliards </w:t>
      </w:r>
      <w:r w:rsidR="00942039" w:rsidRPr="00702E8F">
        <w:rPr>
          <w:sz w:val="22"/>
          <w:szCs w:val="22"/>
          <w:lang w:val="fr-CA" w:eastAsia="en-GB"/>
        </w:rPr>
        <w:t>$US par année. Cette différence importante révèle que tenter de réaliser le</w:t>
      </w:r>
      <w:r w:rsidR="009342F0">
        <w:rPr>
          <w:sz w:val="22"/>
          <w:szCs w:val="22"/>
          <w:lang w:val="fr-CA" w:eastAsia="en-GB"/>
        </w:rPr>
        <w:t>s</w:t>
      </w:r>
      <w:r w:rsidR="00942039" w:rsidRPr="00702E8F">
        <w:rPr>
          <w:sz w:val="22"/>
          <w:szCs w:val="22"/>
          <w:lang w:val="fr-CA" w:eastAsia="en-GB"/>
        </w:rPr>
        <w:t xml:space="preserve"> deuxième et troisième volets de la mobilisation des ressources</w:t>
      </w:r>
      <w:r w:rsidR="009342F0">
        <w:rPr>
          <w:sz w:val="22"/>
          <w:szCs w:val="22"/>
          <w:lang w:val="fr-CA" w:eastAsia="en-GB"/>
        </w:rPr>
        <w:t xml:space="preserve"> s</w:t>
      </w:r>
      <w:r w:rsidR="00942039" w:rsidRPr="00702E8F">
        <w:rPr>
          <w:sz w:val="22"/>
          <w:szCs w:val="22"/>
          <w:lang w:val="fr-CA" w:eastAsia="en-GB"/>
        </w:rPr>
        <w:t>ans d’abord se consacrer au premier empêcher</w:t>
      </w:r>
      <w:r w:rsidR="009342F0">
        <w:rPr>
          <w:sz w:val="22"/>
          <w:szCs w:val="22"/>
          <w:lang w:val="fr-CA" w:eastAsia="en-GB"/>
        </w:rPr>
        <w:t>a</w:t>
      </w:r>
      <w:r w:rsidR="00942039" w:rsidRPr="00702E8F">
        <w:rPr>
          <w:sz w:val="22"/>
          <w:szCs w:val="22"/>
          <w:lang w:val="fr-CA" w:eastAsia="en-GB"/>
        </w:rPr>
        <w:t xml:space="preserve"> de resserrer l’écart financier dans les moyens d’atteindre les </w:t>
      </w:r>
      <w:r w:rsidR="009342F0">
        <w:rPr>
          <w:sz w:val="22"/>
          <w:szCs w:val="22"/>
          <w:lang w:val="fr-CA" w:eastAsia="en-GB"/>
        </w:rPr>
        <w:t>objectifs</w:t>
      </w:r>
      <w:r w:rsidR="00942039" w:rsidRPr="00702E8F">
        <w:rPr>
          <w:sz w:val="22"/>
          <w:szCs w:val="22"/>
          <w:lang w:val="fr-CA" w:eastAsia="en-GB"/>
        </w:rPr>
        <w:t xml:space="preserve"> pour la biodiversité envisagés dans le cadre mondial de la biodiversité pour l</w:t>
      </w:r>
      <w:r w:rsidR="00E453D1">
        <w:rPr>
          <w:sz w:val="22"/>
          <w:szCs w:val="22"/>
          <w:lang w:val="fr-CA" w:eastAsia="en-GB"/>
        </w:rPr>
        <w:t>’</w:t>
      </w:r>
      <w:r w:rsidR="00942039" w:rsidRPr="00702E8F">
        <w:rPr>
          <w:sz w:val="22"/>
          <w:szCs w:val="22"/>
          <w:lang w:val="fr-CA" w:eastAsia="en-GB"/>
        </w:rPr>
        <w:t>après-2020</w:t>
      </w:r>
      <w:r w:rsidR="009C18A0" w:rsidRPr="00702E8F">
        <w:rPr>
          <w:sz w:val="22"/>
          <w:szCs w:val="22"/>
          <w:lang w:val="fr-CA" w:eastAsia="en-GB"/>
        </w:rPr>
        <w:t>.</w:t>
      </w:r>
      <w:r w:rsidR="009C18A0" w:rsidRPr="00702E8F">
        <w:rPr>
          <w:sz w:val="22"/>
          <w:szCs w:val="22"/>
          <w:vertAlign w:val="superscript"/>
          <w:lang w:val="fr-CA" w:eastAsia="en-GB"/>
        </w:rPr>
        <w:footnoteReference w:id="10"/>
      </w:r>
    </w:p>
    <w:p w14:paraId="708B6E4C" w14:textId="294F07FA" w:rsidR="009C18A0" w:rsidRPr="00E07848" w:rsidRDefault="009342F0" w:rsidP="00F609C7">
      <w:pPr>
        <w:pStyle w:val="Para1"/>
        <w:numPr>
          <w:ilvl w:val="0"/>
          <w:numId w:val="49"/>
        </w:numPr>
        <w:suppressLineNumbers/>
        <w:suppressAutoHyphens/>
        <w:spacing w:before="120"/>
        <w:ind w:left="0" w:firstLine="0"/>
        <w:jc w:val="both"/>
        <w:rPr>
          <w:sz w:val="22"/>
          <w:szCs w:val="22"/>
          <w:lang w:val="fr-CA" w:eastAsia="en-GB"/>
        </w:rPr>
      </w:pPr>
      <w:r w:rsidRPr="00276C67">
        <w:rPr>
          <w:bCs/>
          <w:i/>
          <w:sz w:val="22"/>
          <w:szCs w:val="22"/>
          <w:lang w:val="fr-CA" w:eastAsia="en-GB"/>
        </w:rPr>
        <w:t>Générer</w:t>
      </w:r>
      <w:r w:rsidR="0012203D" w:rsidRPr="00276C67">
        <w:rPr>
          <w:bCs/>
          <w:i/>
          <w:sz w:val="22"/>
          <w:szCs w:val="22"/>
          <w:lang w:val="fr-CA" w:eastAsia="en-GB"/>
        </w:rPr>
        <w:t xml:space="preserve"> des ressources supplémentaires de toutes les sources</w:t>
      </w:r>
      <w:r w:rsidRPr="00276C67">
        <w:rPr>
          <w:bCs/>
          <w:i/>
          <w:sz w:val="22"/>
          <w:szCs w:val="22"/>
          <w:lang w:val="fr-CA" w:eastAsia="en-GB"/>
        </w:rPr>
        <w:t>,</w:t>
      </w:r>
      <w:r w:rsidR="0012203D" w:rsidRPr="00702E8F">
        <w:rPr>
          <w:bCs/>
          <w:sz w:val="22"/>
          <w:szCs w:val="22"/>
          <w:lang w:val="fr-CA" w:eastAsia="en-GB"/>
        </w:rPr>
        <w:t xml:space="preserve"> </w:t>
      </w:r>
      <w:r w:rsidRPr="00702E8F">
        <w:rPr>
          <w:bCs/>
          <w:sz w:val="22"/>
          <w:szCs w:val="22"/>
          <w:lang w:val="fr-CA" w:eastAsia="en-GB"/>
        </w:rPr>
        <w:t>y compris les sources intérieures et internationales,</w:t>
      </w:r>
      <w:r w:rsidRPr="00702E8F">
        <w:rPr>
          <w:sz w:val="22"/>
          <w:szCs w:val="22"/>
          <w:vertAlign w:val="superscript"/>
          <w:lang w:val="en-ZA" w:eastAsia="en-GB"/>
        </w:rPr>
        <w:footnoteReference w:id="11"/>
      </w:r>
      <w:r w:rsidRPr="00702E8F">
        <w:rPr>
          <w:sz w:val="22"/>
          <w:szCs w:val="22"/>
          <w:lang w:val="fr-CA" w:eastAsia="en-GB"/>
        </w:rPr>
        <w:t xml:space="preserve"> </w:t>
      </w:r>
      <w:r w:rsidRPr="00702E8F">
        <w:rPr>
          <w:bCs/>
          <w:sz w:val="22"/>
          <w:szCs w:val="22"/>
          <w:lang w:val="fr-CA" w:eastAsia="en-GB"/>
        </w:rPr>
        <w:t xml:space="preserve">privées et publiques, </w:t>
      </w:r>
      <w:r w:rsidR="0012203D" w:rsidRPr="00702E8F">
        <w:rPr>
          <w:bCs/>
          <w:sz w:val="22"/>
          <w:szCs w:val="22"/>
          <w:lang w:val="fr-CA" w:eastAsia="en-GB"/>
        </w:rPr>
        <w:t xml:space="preserve">afin de réaliser les trois objectifs de la Convention, demeure un aspect essentiel de la mobilisation des ressources. L’augmentation à plus grande échelle des ressources </w:t>
      </w:r>
      <w:r w:rsidR="00B035AF" w:rsidRPr="00702E8F">
        <w:rPr>
          <w:bCs/>
          <w:sz w:val="22"/>
          <w:szCs w:val="22"/>
          <w:lang w:val="fr-CA" w:eastAsia="en-GB"/>
        </w:rPr>
        <w:t xml:space="preserve">comprend l’augmentation du flux de </w:t>
      </w:r>
      <w:r w:rsidR="00124A24" w:rsidRPr="00702E8F">
        <w:rPr>
          <w:bCs/>
          <w:sz w:val="22"/>
          <w:szCs w:val="22"/>
          <w:lang w:val="fr-CA" w:eastAsia="en-GB"/>
        </w:rPr>
        <w:t>ressources</w:t>
      </w:r>
      <w:r w:rsidR="00B035AF" w:rsidRPr="00702E8F">
        <w:rPr>
          <w:bCs/>
          <w:sz w:val="22"/>
          <w:szCs w:val="22"/>
          <w:lang w:val="fr-CA" w:eastAsia="en-GB"/>
        </w:rPr>
        <w:t xml:space="preserve"> dirigées surtout vers la biodiversité, ainsi que le </w:t>
      </w:r>
      <w:r w:rsidR="00E07848">
        <w:rPr>
          <w:bCs/>
          <w:sz w:val="22"/>
          <w:szCs w:val="22"/>
          <w:lang w:val="fr-CA" w:eastAsia="en-GB"/>
        </w:rPr>
        <w:t>repérage</w:t>
      </w:r>
      <w:r w:rsidR="00B035AF" w:rsidRPr="00702E8F">
        <w:rPr>
          <w:bCs/>
          <w:sz w:val="22"/>
          <w:szCs w:val="22"/>
          <w:lang w:val="fr-CA" w:eastAsia="en-GB"/>
        </w:rPr>
        <w:t xml:space="preserve"> et l’</w:t>
      </w:r>
      <w:r w:rsidR="00124A24" w:rsidRPr="00702E8F">
        <w:rPr>
          <w:bCs/>
          <w:sz w:val="22"/>
          <w:szCs w:val="22"/>
          <w:lang w:val="fr-CA" w:eastAsia="en-GB"/>
        </w:rPr>
        <w:t>augmentatio</w:t>
      </w:r>
      <w:r w:rsidR="00B035AF" w:rsidRPr="00702E8F">
        <w:rPr>
          <w:bCs/>
          <w:sz w:val="22"/>
          <w:szCs w:val="22"/>
          <w:lang w:val="fr-CA" w:eastAsia="en-GB"/>
        </w:rPr>
        <w:t>n des retombées positives pour la diversité biologique associé</w:t>
      </w:r>
      <w:r w:rsidR="00E07848">
        <w:rPr>
          <w:bCs/>
          <w:sz w:val="22"/>
          <w:szCs w:val="22"/>
          <w:lang w:val="fr-CA" w:eastAsia="en-GB"/>
        </w:rPr>
        <w:t>es au financement</w:t>
      </w:r>
      <w:r w:rsidR="00B035AF" w:rsidRPr="00702E8F">
        <w:rPr>
          <w:bCs/>
          <w:sz w:val="22"/>
          <w:szCs w:val="22"/>
          <w:lang w:val="fr-CA" w:eastAsia="en-GB"/>
        </w:rPr>
        <w:t xml:space="preserve"> principalement destiné à la réalisation</w:t>
      </w:r>
      <w:r w:rsidR="00124A24" w:rsidRPr="00702E8F">
        <w:rPr>
          <w:bCs/>
          <w:sz w:val="22"/>
          <w:szCs w:val="22"/>
          <w:lang w:val="fr-CA" w:eastAsia="en-GB"/>
        </w:rPr>
        <w:t xml:space="preserve"> </w:t>
      </w:r>
      <w:r w:rsidR="00B035AF" w:rsidRPr="00702E8F">
        <w:rPr>
          <w:bCs/>
          <w:sz w:val="22"/>
          <w:szCs w:val="22"/>
          <w:lang w:val="fr-CA" w:eastAsia="en-GB"/>
        </w:rPr>
        <w:t xml:space="preserve">d’autres objectifs, par exemple inclure l’intégration des solutions fondées sur la nature à l’atténuation des changements climatiques et l’adaptation à ceux-ci, et la réalisation </w:t>
      </w:r>
      <w:r w:rsidR="00B035AF" w:rsidRPr="00E07848">
        <w:rPr>
          <w:bCs/>
          <w:sz w:val="22"/>
          <w:szCs w:val="22"/>
          <w:lang w:val="fr-CA" w:eastAsia="en-GB"/>
        </w:rPr>
        <w:t xml:space="preserve">d’autres objectifs de développement durable. </w:t>
      </w:r>
      <w:r w:rsidR="00E07848" w:rsidRPr="00E07848">
        <w:rPr>
          <w:bCs/>
          <w:sz w:val="22"/>
          <w:szCs w:val="22"/>
          <w:lang w:val="fr-CA" w:eastAsia="en-GB"/>
        </w:rPr>
        <w:t>Ces</w:t>
      </w:r>
      <w:r w:rsidR="00124A24" w:rsidRPr="00E07848">
        <w:rPr>
          <w:bCs/>
          <w:sz w:val="22"/>
          <w:szCs w:val="22"/>
          <w:lang w:val="fr-CA" w:eastAsia="en-GB"/>
        </w:rPr>
        <w:t xml:space="preserve"> </w:t>
      </w:r>
      <w:r w:rsidR="00B035AF" w:rsidRPr="00E07848">
        <w:rPr>
          <w:bCs/>
          <w:sz w:val="22"/>
          <w:szCs w:val="22"/>
          <w:lang w:val="fr-CA" w:eastAsia="en-GB"/>
        </w:rPr>
        <w:t>ressour</w:t>
      </w:r>
      <w:r w:rsidR="00124A24" w:rsidRPr="00E07848">
        <w:rPr>
          <w:bCs/>
          <w:sz w:val="22"/>
          <w:szCs w:val="22"/>
          <w:lang w:val="fr-CA" w:eastAsia="en-GB"/>
        </w:rPr>
        <w:t xml:space="preserve">ces ou de dépenses </w:t>
      </w:r>
      <w:r w:rsidR="00E07848" w:rsidRPr="00E07848">
        <w:rPr>
          <w:bCs/>
          <w:sz w:val="22"/>
          <w:szCs w:val="22"/>
          <w:lang w:val="fr-CA" w:eastAsia="en-GB"/>
        </w:rPr>
        <w:t>sont qualifiées d’</w:t>
      </w:r>
      <w:r w:rsidR="00124A24" w:rsidRPr="00E07848">
        <w:rPr>
          <w:bCs/>
          <w:sz w:val="22"/>
          <w:szCs w:val="22"/>
          <w:lang w:val="fr-CA" w:eastAsia="en-GB"/>
        </w:rPr>
        <w:t>« indirect</w:t>
      </w:r>
      <w:r w:rsidR="00B035AF" w:rsidRPr="00E07848">
        <w:rPr>
          <w:bCs/>
          <w:sz w:val="22"/>
          <w:szCs w:val="22"/>
          <w:lang w:val="fr-CA" w:eastAsia="en-GB"/>
        </w:rPr>
        <w:t>es</w:t>
      </w:r>
      <w:r w:rsidR="00E07848" w:rsidRPr="00E07848">
        <w:rPr>
          <w:bCs/>
          <w:sz w:val="22"/>
          <w:szCs w:val="22"/>
          <w:lang w:val="fr-CA" w:eastAsia="en-GB"/>
        </w:rPr>
        <w:t> </w:t>
      </w:r>
      <w:r w:rsidR="00124A24" w:rsidRPr="00E07848">
        <w:rPr>
          <w:sz w:val="22"/>
          <w:szCs w:val="22"/>
          <w:lang w:val="fr-CA"/>
        </w:rPr>
        <w:t>»</w:t>
      </w:r>
      <w:r w:rsidR="00E07848" w:rsidRPr="00E07848">
        <w:rPr>
          <w:sz w:val="22"/>
          <w:szCs w:val="22"/>
          <w:lang w:val="fr-CA"/>
        </w:rPr>
        <w:t xml:space="preserve"> dans le présent rapport</w:t>
      </w:r>
      <w:r w:rsidR="009C18A0" w:rsidRPr="00E07848">
        <w:rPr>
          <w:sz w:val="22"/>
          <w:szCs w:val="22"/>
          <w:lang w:val="fr-CA" w:eastAsia="en-GB"/>
        </w:rPr>
        <w:t>.</w:t>
      </w:r>
    </w:p>
    <w:p w14:paraId="6DDFDAF8" w14:textId="0C649513" w:rsidR="009C18A0" w:rsidRPr="00702E8F" w:rsidRDefault="001A2BA9" w:rsidP="00F609C7">
      <w:pPr>
        <w:pStyle w:val="Para1"/>
        <w:numPr>
          <w:ilvl w:val="0"/>
          <w:numId w:val="49"/>
        </w:numPr>
        <w:suppressLineNumbers/>
        <w:suppressAutoHyphens/>
        <w:spacing w:before="120"/>
        <w:ind w:left="0" w:firstLine="0"/>
        <w:jc w:val="both"/>
        <w:rPr>
          <w:sz w:val="22"/>
          <w:szCs w:val="22"/>
          <w:lang w:val="fr-CA" w:eastAsia="en-GB"/>
        </w:rPr>
      </w:pPr>
      <w:r w:rsidRPr="00276C67">
        <w:rPr>
          <w:bCs/>
          <w:i/>
          <w:sz w:val="22"/>
          <w:szCs w:val="22"/>
          <w:lang w:val="fr-CA" w:eastAsia="en-GB"/>
        </w:rPr>
        <w:t>Améliorer</w:t>
      </w:r>
      <w:r w:rsidR="00124A24" w:rsidRPr="00276C67">
        <w:rPr>
          <w:bCs/>
          <w:i/>
          <w:sz w:val="22"/>
          <w:szCs w:val="22"/>
          <w:lang w:val="fr-CA" w:eastAsia="en-GB"/>
        </w:rPr>
        <w:t xml:space="preserve"> l’efficacité et l’efficience</w:t>
      </w:r>
      <w:r w:rsidR="00124A24" w:rsidRPr="00702E8F">
        <w:rPr>
          <w:b/>
          <w:bCs/>
          <w:sz w:val="22"/>
          <w:szCs w:val="22"/>
          <w:lang w:val="fr-CA" w:eastAsia="en-GB"/>
        </w:rPr>
        <w:t xml:space="preserve"> </w:t>
      </w:r>
      <w:r w:rsidRPr="00702E8F">
        <w:rPr>
          <w:bCs/>
          <w:sz w:val="22"/>
          <w:szCs w:val="22"/>
          <w:lang w:val="fr-CA" w:eastAsia="en-GB"/>
        </w:rPr>
        <w:t>d’acquérir</w:t>
      </w:r>
      <w:r w:rsidR="00124A24" w:rsidRPr="00702E8F">
        <w:rPr>
          <w:bCs/>
          <w:sz w:val="22"/>
          <w:szCs w:val="22"/>
          <w:lang w:val="fr-CA" w:eastAsia="en-GB"/>
        </w:rPr>
        <w:t xml:space="preserve"> (c.-à-d., la capacité d’accéder) et </w:t>
      </w:r>
      <w:r w:rsidRPr="00702E8F">
        <w:rPr>
          <w:bCs/>
          <w:sz w:val="22"/>
          <w:szCs w:val="22"/>
          <w:lang w:val="fr-CA" w:eastAsia="en-GB"/>
        </w:rPr>
        <w:t>d’utiliser</w:t>
      </w:r>
      <w:r w:rsidR="00F40AAB" w:rsidRPr="00702E8F">
        <w:rPr>
          <w:bCs/>
          <w:sz w:val="22"/>
          <w:szCs w:val="22"/>
          <w:lang w:val="fr-CA" w:eastAsia="en-GB"/>
        </w:rPr>
        <w:t xml:space="preserve"> des ressources à tous les niveaux reconnaît</w:t>
      </w:r>
      <w:r w:rsidR="00F40AAB" w:rsidRPr="00702E8F">
        <w:rPr>
          <w:sz w:val="22"/>
          <w:szCs w:val="22"/>
          <w:lang w:val="fr-CA" w:eastAsia="en-GB"/>
        </w:rPr>
        <w:t xml:space="preserve"> l’importance de facteurs tels que la bonne gouvernance et la planification, le renforcement des capacités, la création de plateformes et de partenariats, la conception et </w:t>
      </w:r>
      <w:r w:rsidR="00594514">
        <w:rPr>
          <w:sz w:val="22"/>
          <w:szCs w:val="22"/>
          <w:lang w:val="fr-CA" w:eastAsia="en-GB"/>
        </w:rPr>
        <w:t xml:space="preserve">l’acquisition efficaces du financement international </w:t>
      </w:r>
      <w:r w:rsidR="00F40AAB" w:rsidRPr="00702E8F">
        <w:rPr>
          <w:sz w:val="22"/>
          <w:szCs w:val="22"/>
          <w:lang w:val="fr-CA" w:eastAsia="en-GB"/>
        </w:rPr>
        <w:t xml:space="preserve">pour le développement, </w:t>
      </w:r>
      <w:r w:rsidR="00F5000B" w:rsidRPr="00702E8F">
        <w:rPr>
          <w:sz w:val="22"/>
          <w:szCs w:val="22"/>
          <w:lang w:val="fr-CA" w:eastAsia="en-GB"/>
        </w:rPr>
        <w:t>ainsi que</w:t>
      </w:r>
      <w:r w:rsidR="00F40AAB" w:rsidRPr="00702E8F">
        <w:rPr>
          <w:sz w:val="22"/>
          <w:szCs w:val="22"/>
          <w:lang w:val="fr-CA" w:eastAsia="en-GB"/>
        </w:rPr>
        <w:t xml:space="preserve"> le suivi, l’établissement de rapports et l’examen des résultats efficaces. </w:t>
      </w:r>
      <w:r w:rsidR="00594514">
        <w:rPr>
          <w:sz w:val="22"/>
          <w:szCs w:val="22"/>
          <w:lang w:val="fr-CA" w:eastAsia="en-GB"/>
        </w:rPr>
        <w:t>C</w:t>
      </w:r>
      <w:r w:rsidR="00F40AAB" w:rsidRPr="00702E8F">
        <w:rPr>
          <w:sz w:val="22"/>
          <w:szCs w:val="22"/>
          <w:lang w:val="fr-CA" w:eastAsia="en-GB"/>
        </w:rPr>
        <w:t xml:space="preserve">es actions habilitantes garantissent que les ressources mobilisées sont utilisées à grande échelle et intelligemment, et soutiennent les efforts pour réduire ou </w:t>
      </w:r>
      <w:r w:rsidRPr="00702E8F">
        <w:rPr>
          <w:sz w:val="22"/>
          <w:szCs w:val="22"/>
          <w:lang w:val="fr-CA" w:eastAsia="en-GB"/>
        </w:rPr>
        <w:t>réallouer</w:t>
      </w:r>
      <w:r w:rsidR="00F40AAB" w:rsidRPr="00702E8F">
        <w:rPr>
          <w:sz w:val="22"/>
          <w:szCs w:val="22"/>
          <w:lang w:val="fr-CA" w:eastAsia="en-GB"/>
        </w:rPr>
        <w:t xml:space="preserve"> les ressources nuisibles pour la biodiversité.</w:t>
      </w:r>
    </w:p>
    <w:bookmarkEnd w:id="2"/>
    <w:p w14:paraId="13CFFD50" w14:textId="5EB52884" w:rsidR="009C18A0" w:rsidRPr="00702E8F" w:rsidRDefault="00F507AA" w:rsidP="00F609C7">
      <w:pPr>
        <w:pStyle w:val="Para1"/>
        <w:numPr>
          <w:ilvl w:val="0"/>
          <w:numId w:val="49"/>
        </w:numPr>
        <w:suppressLineNumbers/>
        <w:suppressAutoHyphens/>
        <w:spacing w:before="120"/>
        <w:ind w:left="0" w:firstLine="0"/>
        <w:jc w:val="both"/>
        <w:rPr>
          <w:sz w:val="22"/>
          <w:szCs w:val="22"/>
          <w:lang w:val="fr-CA" w:eastAsia="en-GB"/>
        </w:rPr>
      </w:pPr>
      <w:r w:rsidRPr="00702E8F">
        <w:rPr>
          <w:bCs/>
          <w:sz w:val="22"/>
          <w:szCs w:val="22"/>
          <w:lang w:val="fr-CA" w:eastAsia="en-GB"/>
        </w:rPr>
        <w:t>L’étendue et le nombre d’instruments et de mécanismes financiers offerts pour réaliser ces volets de mobilisation des ressources n’ont jamais été aussi vastes. Ils s’appliquent à différents secteurs, à différentes échelles et dans différents con</w:t>
      </w:r>
      <w:r w:rsidR="00206890" w:rsidRPr="00702E8F">
        <w:rPr>
          <w:bCs/>
          <w:sz w:val="22"/>
          <w:szCs w:val="22"/>
          <w:lang w:val="fr-CA" w:eastAsia="en-GB"/>
        </w:rPr>
        <w:t>t</w:t>
      </w:r>
      <w:r w:rsidRPr="00702E8F">
        <w:rPr>
          <w:bCs/>
          <w:sz w:val="22"/>
          <w:szCs w:val="22"/>
          <w:lang w:val="fr-CA" w:eastAsia="en-GB"/>
        </w:rPr>
        <w:t>extes. Ce rapport s’intéresse aux principal</w:t>
      </w:r>
      <w:r w:rsidR="00206890" w:rsidRPr="00702E8F">
        <w:rPr>
          <w:bCs/>
          <w:sz w:val="22"/>
          <w:szCs w:val="22"/>
          <w:lang w:val="fr-CA" w:eastAsia="en-GB"/>
        </w:rPr>
        <w:t>e</w:t>
      </w:r>
      <w:r w:rsidRPr="00702E8F">
        <w:rPr>
          <w:bCs/>
          <w:sz w:val="22"/>
          <w:szCs w:val="22"/>
          <w:lang w:val="fr-CA" w:eastAsia="en-GB"/>
        </w:rPr>
        <w:t xml:space="preserve">s actions </w:t>
      </w:r>
      <w:r w:rsidR="00206890" w:rsidRPr="00702E8F">
        <w:rPr>
          <w:bCs/>
          <w:sz w:val="22"/>
          <w:szCs w:val="22"/>
          <w:lang w:val="fr-CA" w:eastAsia="en-GB"/>
        </w:rPr>
        <w:t>à prendre pour réal</w:t>
      </w:r>
      <w:r w:rsidRPr="00702E8F">
        <w:rPr>
          <w:bCs/>
          <w:sz w:val="22"/>
          <w:szCs w:val="22"/>
          <w:lang w:val="fr-CA" w:eastAsia="en-GB"/>
        </w:rPr>
        <w:t>iser les trois volets de la mobilisation des res</w:t>
      </w:r>
      <w:r w:rsidR="00206890" w:rsidRPr="00702E8F">
        <w:rPr>
          <w:bCs/>
          <w:sz w:val="22"/>
          <w:szCs w:val="22"/>
          <w:lang w:val="fr-CA" w:eastAsia="en-GB"/>
        </w:rPr>
        <w:t>sources</w:t>
      </w:r>
      <w:r w:rsidR="00681F66">
        <w:rPr>
          <w:bCs/>
          <w:sz w:val="22"/>
          <w:szCs w:val="22"/>
          <w:lang w:val="fr-CA" w:eastAsia="en-GB"/>
        </w:rPr>
        <w:t>; il</w:t>
      </w:r>
      <w:r w:rsidR="00206890" w:rsidRPr="00702E8F">
        <w:rPr>
          <w:bCs/>
          <w:sz w:val="22"/>
          <w:szCs w:val="22"/>
          <w:lang w:val="fr-CA" w:eastAsia="en-GB"/>
        </w:rPr>
        <w:t xml:space="preserve"> n’offre pas un aperç</w:t>
      </w:r>
      <w:r w:rsidRPr="00702E8F">
        <w:rPr>
          <w:bCs/>
          <w:sz w:val="22"/>
          <w:szCs w:val="22"/>
          <w:lang w:val="fr-CA" w:eastAsia="en-GB"/>
        </w:rPr>
        <w:t>u détaillé de tous les mécanismes possibles. Il existe plusieurs ressources offrant une orientation plus détaillée sur les outils et mécanismes financiers individuels</w:t>
      </w:r>
      <w:r w:rsidR="009C18A0" w:rsidRPr="00702E8F">
        <w:rPr>
          <w:sz w:val="22"/>
          <w:szCs w:val="22"/>
          <w:lang w:val="fr-CA" w:eastAsia="en-GB"/>
        </w:rPr>
        <w:t>.</w:t>
      </w:r>
      <w:r w:rsidR="009C18A0" w:rsidRPr="00702E8F">
        <w:rPr>
          <w:sz w:val="22"/>
          <w:szCs w:val="22"/>
          <w:vertAlign w:val="superscript"/>
          <w:lang w:val="fr-CA" w:eastAsia="en-GB"/>
        </w:rPr>
        <w:footnoteReference w:id="12"/>
      </w:r>
    </w:p>
    <w:p w14:paraId="7DCB83BB" w14:textId="74AFD220" w:rsidR="009C18A0" w:rsidRPr="00702E8F" w:rsidRDefault="00AD3CFB" w:rsidP="00F609C7">
      <w:pPr>
        <w:pStyle w:val="Heading2-center"/>
        <w:rPr>
          <w:i w:val="0"/>
          <w:iCs w:val="0"/>
          <w:sz w:val="22"/>
          <w:szCs w:val="22"/>
          <w:lang w:val="fr-CA" w:eastAsia="en-GB"/>
        </w:rPr>
      </w:pPr>
      <w:r w:rsidRPr="00702E8F">
        <w:rPr>
          <w:rStyle w:val="Heading2CharChar"/>
          <w:rFonts w:ascii="Times New Roman" w:hAnsi="Times New Roman" w:cs="Times New Roman"/>
          <w:b/>
          <w:bCs/>
          <w:sz w:val="22"/>
          <w:szCs w:val="22"/>
          <w:lang w:val="fr-CA"/>
        </w:rPr>
        <w:t>A.</w:t>
      </w:r>
      <w:r w:rsidRPr="00702E8F">
        <w:rPr>
          <w:rStyle w:val="Heading2CharChar"/>
          <w:rFonts w:ascii="Times New Roman" w:hAnsi="Times New Roman" w:cs="Times New Roman"/>
          <w:b/>
          <w:bCs/>
          <w:sz w:val="22"/>
          <w:szCs w:val="22"/>
          <w:lang w:val="fr-CA"/>
        </w:rPr>
        <w:tab/>
      </w:r>
      <w:r w:rsidR="00355CA7" w:rsidRPr="00702E8F">
        <w:rPr>
          <w:rStyle w:val="Heading2CharChar"/>
          <w:rFonts w:ascii="Times New Roman" w:hAnsi="Times New Roman" w:cs="Times New Roman"/>
          <w:b/>
          <w:bCs/>
          <w:sz w:val="22"/>
          <w:szCs w:val="22"/>
          <w:lang w:val="fr-CA"/>
        </w:rPr>
        <w:t>Principe fondamental : Garantir un changement transformationnel inclusif et équitable</w:t>
      </w:r>
    </w:p>
    <w:p w14:paraId="038995CC" w14:textId="7460289A" w:rsidR="009C18A0" w:rsidRPr="00702E8F" w:rsidRDefault="00355CA7" w:rsidP="00355CA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La mobilisation efficace des ressources en appui au cadre mondial de la biodiversité pour l</w:t>
      </w:r>
      <w:r w:rsidR="00E453D1">
        <w:rPr>
          <w:sz w:val="22"/>
          <w:szCs w:val="22"/>
          <w:lang w:val="fr-CA" w:eastAsia="en-GB"/>
        </w:rPr>
        <w:t>’</w:t>
      </w:r>
      <w:r w:rsidRPr="00702E8F">
        <w:rPr>
          <w:sz w:val="22"/>
          <w:szCs w:val="22"/>
          <w:lang w:val="fr-CA" w:eastAsia="en-GB"/>
        </w:rPr>
        <w:t xml:space="preserve">après-2020 exigera </w:t>
      </w:r>
      <w:r w:rsidR="00681F66">
        <w:rPr>
          <w:sz w:val="22"/>
          <w:szCs w:val="22"/>
          <w:lang w:val="fr-CA" w:eastAsia="en-GB"/>
        </w:rPr>
        <w:t>un</w:t>
      </w:r>
      <w:r w:rsidRPr="00702E8F">
        <w:rPr>
          <w:sz w:val="22"/>
          <w:szCs w:val="22"/>
          <w:lang w:val="fr-CA" w:eastAsia="en-GB"/>
        </w:rPr>
        <w:t xml:space="preserve"> changement</w:t>
      </w:r>
      <w:r w:rsidR="00681F66">
        <w:rPr>
          <w:sz w:val="22"/>
          <w:szCs w:val="22"/>
          <w:lang w:val="fr-CA" w:eastAsia="en-GB"/>
        </w:rPr>
        <w:t xml:space="preserve"> fondamental</w:t>
      </w:r>
      <w:r w:rsidRPr="00702E8F">
        <w:rPr>
          <w:sz w:val="22"/>
          <w:szCs w:val="22"/>
          <w:lang w:val="fr-CA" w:eastAsia="en-GB"/>
        </w:rPr>
        <w:t xml:space="preserve"> des systèmes économiques, comme indiqué ci-dessous. Ce changement transformationnel doit être inclusif et équitable. Une attention particulière doit </w:t>
      </w:r>
      <w:r w:rsidR="00E87620" w:rsidRPr="00702E8F">
        <w:rPr>
          <w:sz w:val="22"/>
          <w:szCs w:val="22"/>
          <w:lang w:val="fr-CA" w:eastAsia="en-GB"/>
        </w:rPr>
        <w:t>ê</w:t>
      </w:r>
      <w:r w:rsidRPr="00702E8F">
        <w:rPr>
          <w:sz w:val="22"/>
          <w:szCs w:val="22"/>
          <w:lang w:val="fr-CA" w:eastAsia="en-GB"/>
        </w:rPr>
        <w:t>tre accordée à la par</w:t>
      </w:r>
      <w:r w:rsidR="00681F66">
        <w:rPr>
          <w:sz w:val="22"/>
          <w:szCs w:val="22"/>
          <w:lang w:val="fr-CA" w:eastAsia="en-GB"/>
        </w:rPr>
        <w:t>ticipation publique, y compris d</w:t>
      </w:r>
      <w:r w:rsidRPr="00702E8F">
        <w:rPr>
          <w:sz w:val="22"/>
          <w:szCs w:val="22"/>
          <w:lang w:val="fr-CA" w:eastAsia="en-GB"/>
        </w:rPr>
        <w:t xml:space="preserve">es </w:t>
      </w:r>
      <w:r w:rsidR="00681F66">
        <w:rPr>
          <w:sz w:val="22"/>
          <w:szCs w:val="22"/>
          <w:lang w:val="fr-CA" w:eastAsia="en-GB"/>
        </w:rPr>
        <w:t>peuples autochtones et des communautés locales, des jeunes, d</w:t>
      </w:r>
      <w:r w:rsidR="00E87620" w:rsidRPr="00702E8F">
        <w:rPr>
          <w:sz w:val="22"/>
          <w:szCs w:val="22"/>
          <w:lang w:val="fr-CA" w:eastAsia="en-GB"/>
        </w:rPr>
        <w:t xml:space="preserve">es femmes, </w:t>
      </w:r>
      <w:r w:rsidR="00681F66">
        <w:rPr>
          <w:sz w:val="22"/>
          <w:szCs w:val="22"/>
          <w:lang w:val="fr-CA" w:eastAsia="en-GB"/>
        </w:rPr>
        <w:t>de la société civile, d</w:t>
      </w:r>
      <w:r w:rsidR="00E87620" w:rsidRPr="00702E8F">
        <w:rPr>
          <w:sz w:val="22"/>
          <w:szCs w:val="22"/>
          <w:lang w:val="fr-CA" w:eastAsia="en-GB"/>
        </w:rPr>
        <w:t>es m</w:t>
      </w:r>
      <w:r w:rsidR="00681F66">
        <w:rPr>
          <w:sz w:val="22"/>
          <w:szCs w:val="22"/>
          <w:lang w:val="fr-CA" w:eastAsia="en-GB"/>
        </w:rPr>
        <w:t>énages à plus faible revenu et d</w:t>
      </w:r>
      <w:r w:rsidR="00E87620" w:rsidRPr="00702E8F">
        <w:rPr>
          <w:sz w:val="22"/>
          <w:szCs w:val="22"/>
          <w:lang w:val="fr-CA" w:eastAsia="en-GB"/>
        </w:rPr>
        <w:t>es personnes les plus touchées. Il</w:t>
      </w:r>
      <w:r w:rsidR="00FB241E" w:rsidRPr="00702E8F">
        <w:rPr>
          <w:sz w:val="22"/>
          <w:szCs w:val="22"/>
          <w:lang w:val="fr-CA" w:eastAsia="en-GB"/>
        </w:rPr>
        <w:t xml:space="preserve"> doit reposer sur la prise de me</w:t>
      </w:r>
      <w:r w:rsidR="00E87620" w:rsidRPr="00702E8F">
        <w:rPr>
          <w:sz w:val="22"/>
          <w:szCs w:val="22"/>
          <w:lang w:val="fr-CA" w:eastAsia="en-GB"/>
        </w:rPr>
        <w:t>sures cibl</w:t>
      </w:r>
      <w:r w:rsidR="00B94593" w:rsidRPr="00702E8F">
        <w:rPr>
          <w:sz w:val="22"/>
          <w:szCs w:val="22"/>
          <w:lang w:val="fr-CA" w:eastAsia="en-GB"/>
        </w:rPr>
        <w:t>é</w:t>
      </w:r>
      <w:r w:rsidR="00E87620" w:rsidRPr="00702E8F">
        <w:rPr>
          <w:sz w:val="22"/>
          <w:szCs w:val="22"/>
          <w:lang w:val="fr-CA" w:eastAsia="en-GB"/>
        </w:rPr>
        <w:t>es pour faire face à toute conséquence rétrograde sur la répartition des revenus et des actifs, mises en œuvre avec des politiques générales pour la cons</w:t>
      </w:r>
      <w:r w:rsidR="00B94593" w:rsidRPr="00702E8F">
        <w:rPr>
          <w:sz w:val="22"/>
          <w:szCs w:val="22"/>
          <w:lang w:val="fr-CA" w:eastAsia="en-GB"/>
        </w:rPr>
        <w:t>ervation</w:t>
      </w:r>
      <w:r w:rsidR="00E87620" w:rsidRPr="00702E8F">
        <w:rPr>
          <w:sz w:val="22"/>
          <w:szCs w:val="22"/>
          <w:lang w:val="fr-CA" w:eastAsia="en-GB"/>
        </w:rPr>
        <w:t xml:space="preserve">, l’utilisation durable </w:t>
      </w:r>
      <w:r w:rsidR="00E87620" w:rsidRPr="00702E8F">
        <w:rPr>
          <w:sz w:val="22"/>
          <w:szCs w:val="22"/>
          <w:lang w:val="fr-CA" w:eastAsia="en-GB"/>
        </w:rPr>
        <w:lastRenderedPageBreak/>
        <w:t xml:space="preserve">et la restauration </w:t>
      </w:r>
      <w:r w:rsidR="00B94593" w:rsidRPr="00702E8F">
        <w:rPr>
          <w:sz w:val="22"/>
          <w:szCs w:val="22"/>
          <w:lang w:val="fr-CA" w:eastAsia="en-GB"/>
        </w:rPr>
        <w:t>de la diversité biologique. La diversité biologique et les avantages écosystémiques doivent être partagés équitablement à l’ensemble de la société, tout en protégeant les droits des futures générations.</w:t>
      </w:r>
    </w:p>
    <w:p w14:paraId="6B0F1AF0" w14:textId="0E224B45" w:rsidR="009C18A0" w:rsidRPr="00702E8F" w:rsidRDefault="00AD3CFB" w:rsidP="00EC07F9">
      <w:pPr>
        <w:pStyle w:val="Heading2-center"/>
        <w:ind w:left="1440" w:hanging="720"/>
        <w:jc w:val="left"/>
        <w:rPr>
          <w:rStyle w:val="Heading2CharChar"/>
          <w:rFonts w:ascii="Times New Roman" w:hAnsi="Times New Roman" w:cs="Times New Roman"/>
          <w:b/>
          <w:bCs/>
          <w:sz w:val="22"/>
          <w:szCs w:val="22"/>
          <w:lang w:val="fr-CA"/>
        </w:rPr>
      </w:pPr>
      <w:r w:rsidRPr="00702E8F">
        <w:rPr>
          <w:rStyle w:val="Heading2CharChar"/>
          <w:rFonts w:ascii="Times New Roman" w:hAnsi="Times New Roman" w:cs="Times New Roman"/>
          <w:b/>
          <w:bCs/>
          <w:sz w:val="22"/>
          <w:szCs w:val="22"/>
          <w:lang w:val="fr-CA"/>
        </w:rPr>
        <w:t>B.</w:t>
      </w:r>
      <w:r w:rsidRPr="00702E8F">
        <w:rPr>
          <w:rStyle w:val="Heading2CharChar"/>
          <w:rFonts w:ascii="Times New Roman" w:hAnsi="Times New Roman" w:cs="Times New Roman"/>
          <w:b/>
          <w:bCs/>
          <w:sz w:val="22"/>
          <w:szCs w:val="22"/>
          <w:lang w:val="fr-CA"/>
        </w:rPr>
        <w:tab/>
      </w:r>
      <w:r w:rsidR="00396247" w:rsidRPr="00EC11DC">
        <w:rPr>
          <w:rStyle w:val="Heading2CharChar"/>
          <w:rFonts w:ascii="Times New Roman" w:hAnsi="Times New Roman" w:cs="Times New Roman"/>
          <w:b/>
          <w:bCs/>
          <w:sz w:val="22"/>
          <w:szCs w:val="22"/>
          <w:lang w:val="fr-CA"/>
        </w:rPr>
        <w:t>Thème</w:t>
      </w:r>
      <w:r w:rsidR="00396247" w:rsidRPr="00702E8F">
        <w:rPr>
          <w:rStyle w:val="Heading2CharChar"/>
          <w:rFonts w:ascii="Times New Roman" w:hAnsi="Times New Roman" w:cs="Times New Roman"/>
          <w:b/>
          <w:bCs/>
          <w:sz w:val="22"/>
          <w:szCs w:val="22"/>
          <w:lang w:val="fr-CA"/>
        </w:rPr>
        <w:t xml:space="preserve"> intersectoriel</w:t>
      </w:r>
      <w:r w:rsidR="00E453D1">
        <w:rPr>
          <w:rStyle w:val="Heading2CharChar"/>
          <w:rFonts w:ascii="Times New Roman" w:hAnsi="Times New Roman" w:cs="Times New Roman"/>
          <w:b/>
          <w:bCs/>
          <w:sz w:val="22"/>
          <w:szCs w:val="22"/>
          <w:lang w:val="fr-CA"/>
        </w:rPr>
        <w:t> </w:t>
      </w:r>
      <w:r w:rsidR="00396247" w:rsidRPr="00702E8F">
        <w:rPr>
          <w:rStyle w:val="Heading2CharChar"/>
          <w:rFonts w:ascii="Times New Roman" w:hAnsi="Times New Roman" w:cs="Times New Roman"/>
          <w:b/>
          <w:bCs/>
          <w:sz w:val="22"/>
          <w:szCs w:val="22"/>
          <w:lang w:val="fr-CA"/>
        </w:rPr>
        <w:t>: L’intégration est une approche fondamentale aux trois volets de la mobilisation des ressources</w:t>
      </w:r>
    </w:p>
    <w:p w14:paraId="3D895B4E" w14:textId="147BD80B" w:rsidR="009C18A0" w:rsidRPr="00702E8F" w:rsidRDefault="00396247"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L’intégration est au cœur de l’approche pangouvernementale, de l’ensemble de l’économie et de la société tout entière</w:t>
      </w:r>
      <w:r w:rsidR="007F0061" w:rsidRPr="00702E8F">
        <w:rPr>
          <w:sz w:val="22"/>
          <w:szCs w:val="22"/>
          <w:lang w:val="fr-CA" w:eastAsia="en-GB"/>
        </w:rPr>
        <w:t xml:space="preserve">, qui est </w:t>
      </w:r>
      <w:r w:rsidR="00C47B6A">
        <w:rPr>
          <w:sz w:val="22"/>
          <w:szCs w:val="22"/>
          <w:lang w:val="fr-CA" w:eastAsia="en-GB"/>
        </w:rPr>
        <w:t>essentielle au processus de l’aprè</w:t>
      </w:r>
      <w:r w:rsidR="007F0061" w:rsidRPr="00702E8F">
        <w:rPr>
          <w:sz w:val="22"/>
          <w:szCs w:val="22"/>
          <w:lang w:val="fr-CA" w:eastAsia="en-GB"/>
        </w:rPr>
        <w:t>s-2020 et sa théorie du changement apparentée. La décision 14</w:t>
      </w:r>
      <w:r w:rsidR="00E453D1">
        <w:rPr>
          <w:sz w:val="22"/>
          <w:szCs w:val="22"/>
          <w:lang w:val="fr-CA" w:eastAsia="en-GB"/>
        </w:rPr>
        <w:t> avril</w:t>
      </w:r>
      <w:r w:rsidR="007F0061" w:rsidRPr="00702E8F">
        <w:rPr>
          <w:sz w:val="22"/>
          <w:szCs w:val="22"/>
          <w:lang w:val="fr-CA" w:eastAsia="en-GB"/>
        </w:rPr>
        <w:t xml:space="preserve"> demande la création d’un Groupe consultatif </w:t>
      </w:r>
      <w:r w:rsidR="00CB6812" w:rsidRPr="00702E8F">
        <w:rPr>
          <w:sz w:val="22"/>
          <w:szCs w:val="22"/>
          <w:lang w:val="fr-CA" w:eastAsia="en-GB"/>
        </w:rPr>
        <w:t xml:space="preserve">informel </w:t>
      </w:r>
      <w:r w:rsidR="007F0061" w:rsidRPr="00702E8F">
        <w:rPr>
          <w:sz w:val="22"/>
          <w:szCs w:val="22"/>
          <w:lang w:val="fr-CA" w:eastAsia="en-GB"/>
        </w:rPr>
        <w:t xml:space="preserve">sur l’intégration de la biodiversité, qui soutient actuellement le développement d’une stratégie à long terme pour </w:t>
      </w:r>
      <w:r w:rsidR="00C47B6A">
        <w:rPr>
          <w:sz w:val="22"/>
          <w:szCs w:val="22"/>
          <w:lang w:val="fr-CA" w:eastAsia="en-GB"/>
        </w:rPr>
        <w:t xml:space="preserve">l’intégration de </w:t>
      </w:r>
      <w:r w:rsidR="007F0061" w:rsidRPr="00702E8F">
        <w:rPr>
          <w:sz w:val="22"/>
          <w:szCs w:val="22"/>
          <w:lang w:val="fr-CA" w:eastAsia="en-GB"/>
        </w:rPr>
        <w:t>la diversité biologique</w:t>
      </w:r>
      <w:r w:rsidR="00CB6812" w:rsidRPr="00702E8F">
        <w:rPr>
          <w:sz w:val="22"/>
          <w:szCs w:val="22"/>
          <w:lang w:val="fr-CA" w:eastAsia="en-GB"/>
        </w:rPr>
        <w:t>. Ce groupe consultatif informel</w:t>
      </w:r>
      <w:r w:rsidR="007F0061" w:rsidRPr="00702E8F">
        <w:rPr>
          <w:sz w:val="22"/>
          <w:szCs w:val="22"/>
          <w:lang w:val="fr-CA" w:eastAsia="en-GB"/>
        </w:rPr>
        <w:t xml:space="preserve"> </w:t>
      </w:r>
      <w:r w:rsidR="00CB6812" w:rsidRPr="00702E8F">
        <w:rPr>
          <w:sz w:val="22"/>
          <w:szCs w:val="22"/>
          <w:lang w:val="fr-CA" w:eastAsia="en-GB"/>
        </w:rPr>
        <w:t>est d’avis que l’intégration</w:t>
      </w:r>
      <w:r w:rsidR="007F0061" w:rsidRPr="00702E8F">
        <w:rPr>
          <w:sz w:val="22"/>
          <w:szCs w:val="22"/>
          <w:lang w:val="fr-CA" w:eastAsia="en-GB"/>
        </w:rPr>
        <w:t xml:space="preserve"> </w:t>
      </w:r>
      <w:r w:rsidR="00CB6812" w:rsidRPr="00702E8F">
        <w:rPr>
          <w:sz w:val="22"/>
          <w:szCs w:val="22"/>
          <w:lang w:val="fr-CA" w:eastAsia="en-GB"/>
        </w:rPr>
        <w:t>est un outil, une solution et une approche globale au cadre mondial de la biodiversité pour l</w:t>
      </w:r>
      <w:r w:rsidR="00E453D1">
        <w:rPr>
          <w:sz w:val="22"/>
          <w:szCs w:val="22"/>
          <w:lang w:val="fr-CA" w:eastAsia="en-GB"/>
        </w:rPr>
        <w:t>’</w:t>
      </w:r>
      <w:r w:rsidR="00CB6812" w:rsidRPr="00702E8F">
        <w:rPr>
          <w:sz w:val="22"/>
          <w:szCs w:val="22"/>
          <w:lang w:val="fr-CA" w:eastAsia="en-GB"/>
        </w:rPr>
        <w:t>après-2020, un point de vue que partage le Groupe d’experts sur la mobilisation des ressources. De plus, le Groupe d’experts estime que le thème de l’intégration a plusieurs points en commun avec le thème de la mobilisation des ressources</w:t>
      </w:r>
      <w:r w:rsidR="009C18A0" w:rsidRPr="00702E8F">
        <w:rPr>
          <w:sz w:val="22"/>
          <w:szCs w:val="22"/>
          <w:lang w:val="fr-CA" w:eastAsia="en-GB"/>
        </w:rPr>
        <w:t>.</w:t>
      </w:r>
    </w:p>
    <w:p w14:paraId="5BF09C2D" w14:textId="6E1BD464" w:rsidR="00A367E8" w:rsidRPr="00702E8F" w:rsidRDefault="00BB4063" w:rsidP="00EC07F9">
      <w:pPr>
        <w:pStyle w:val="Para1"/>
        <w:keepNext/>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L’intégration est une approche fondamentale aux trois volets de la mobilisation des ressources</w:t>
      </w:r>
      <w:r w:rsidR="00C47B6A">
        <w:rPr>
          <w:sz w:val="22"/>
          <w:szCs w:val="22"/>
          <w:lang w:val="fr-CA" w:eastAsia="en-GB"/>
        </w:rPr>
        <w:t>.</w:t>
      </w:r>
      <w:r w:rsidRPr="00702E8F">
        <w:rPr>
          <w:sz w:val="22"/>
          <w:szCs w:val="22"/>
          <w:lang w:val="fr-CA" w:eastAsia="en-GB"/>
        </w:rPr>
        <w:t xml:space="preserve"> En voici quelques illustration</w:t>
      </w:r>
      <w:r w:rsidR="00E453D1">
        <w:rPr>
          <w:sz w:val="22"/>
          <w:szCs w:val="22"/>
          <w:lang w:val="fr-CA" w:eastAsia="en-GB"/>
        </w:rPr>
        <w:t>s</w:t>
      </w:r>
      <w:r w:rsidRPr="00702E8F">
        <w:rPr>
          <w:sz w:val="22"/>
          <w:szCs w:val="22"/>
          <w:lang w:val="fr-CA" w:eastAsia="en-GB"/>
        </w:rPr>
        <w:t xml:space="preserve"> stylisées</w:t>
      </w:r>
      <w:r w:rsidR="00E453D1">
        <w:rPr>
          <w:sz w:val="22"/>
          <w:szCs w:val="22"/>
          <w:lang w:val="fr-CA" w:eastAsia="en-GB"/>
        </w:rPr>
        <w:t> </w:t>
      </w:r>
      <w:r w:rsidR="009C18A0" w:rsidRPr="00702E8F">
        <w:rPr>
          <w:sz w:val="22"/>
          <w:szCs w:val="22"/>
          <w:lang w:val="fr-CA" w:eastAsia="en-GB"/>
        </w:rPr>
        <w:t>:</w:t>
      </w:r>
    </w:p>
    <w:p w14:paraId="6535637A" w14:textId="292862B0" w:rsidR="00A367E8" w:rsidRPr="00702E8F" w:rsidRDefault="00E66148" w:rsidP="00F609C7">
      <w:pPr>
        <w:spacing w:before="120" w:after="120"/>
        <w:ind w:firstLine="720"/>
        <w:jc w:val="both"/>
        <w:rPr>
          <w:sz w:val="22"/>
          <w:szCs w:val="22"/>
          <w:lang w:val="fr-CA" w:eastAsia="en-GB"/>
        </w:rPr>
      </w:pPr>
      <w:r w:rsidRPr="00702E8F">
        <w:rPr>
          <w:sz w:val="22"/>
          <w:szCs w:val="22"/>
          <w:lang w:val="fr-CA" w:eastAsia="en-GB"/>
        </w:rPr>
        <w:t>a</w:t>
      </w:r>
      <w:r w:rsidR="00E52D64" w:rsidRPr="00702E8F">
        <w:rPr>
          <w:sz w:val="22"/>
          <w:szCs w:val="22"/>
          <w:lang w:val="fr-CA" w:eastAsia="en-GB"/>
        </w:rPr>
        <w:t>)</w:t>
      </w:r>
      <w:r w:rsidR="00BB4063" w:rsidRPr="00702E8F">
        <w:rPr>
          <w:sz w:val="22"/>
          <w:szCs w:val="22"/>
          <w:lang w:val="fr-CA" w:eastAsia="en-GB"/>
        </w:rPr>
        <w:tab/>
      </w:r>
      <w:r w:rsidR="0067281A" w:rsidRPr="00702E8F">
        <w:rPr>
          <w:sz w:val="22"/>
          <w:szCs w:val="22"/>
          <w:lang w:val="fr-CA" w:eastAsia="en-GB"/>
        </w:rPr>
        <w:t>L’intégration de</w:t>
      </w:r>
      <w:r w:rsidR="00BB4063" w:rsidRPr="00702E8F">
        <w:rPr>
          <w:sz w:val="22"/>
          <w:szCs w:val="22"/>
          <w:lang w:val="fr-CA" w:eastAsia="en-GB"/>
        </w:rPr>
        <w:t xml:space="preserve"> la biodiversité au secteur financier, </w:t>
      </w:r>
      <w:r w:rsidR="00EE584A">
        <w:rPr>
          <w:sz w:val="22"/>
          <w:szCs w:val="22"/>
          <w:lang w:val="fr-CA" w:eastAsia="en-GB"/>
        </w:rPr>
        <w:t>par le biais</w:t>
      </w:r>
      <w:r w:rsidR="00BB4063" w:rsidRPr="00702E8F">
        <w:rPr>
          <w:sz w:val="22"/>
          <w:szCs w:val="22"/>
          <w:lang w:val="fr-CA" w:eastAsia="en-GB"/>
        </w:rPr>
        <w:t xml:space="preserve"> d’évaluations des dépendances, des impacts et des risques, aide à réduire la perte de la biodiversité et les coûts subséquents (expliqué</w:t>
      </w:r>
      <w:r w:rsidR="00EE584A">
        <w:rPr>
          <w:sz w:val="22"/>
          <w:szCs w:val="22"/>
          <w:lang w:val="fr-CA" w:eastAsia="en-GB"/>
        </w:rPr>
        <w:t>e</w:t>
      </w:r>
      <w:r w:rsidR="00BB4063" w:rsidRPr="00702E8F">
        <w:rPr>
          <w:sz w:val="22"/>
          <w:szCs w:val="22"/>
          <w:lang w:val="fr-CA" w:eastAsia="en-GB"/>
        </w:rPr>
        <w:t xml:space="preserve"> </w:t>
      </w:r>
      <w:r w:rsidR="0067281A" w:rsidRPr="00702E8F">
        <w:rPr>
          <w:sz w:val="22"/>
          <w:szCs w:val="22"/>
          <w:lang w:val="fr-CA" w:eastAsia="en-GB"/>
        </w:rPr>
        <w:t xml:space="preserve">en détail </w:t>
      </w:r>
      <w:r w:rsidR="00BB4063" w:rsidRPr="00702E8F">
        <w:rPr>
          <w:sz w:val="22"/>
          <w:szCs w:val="22"/>
          <w:lang w:val="fr-CA" w:eastAsia="en-GB"/>
        </w:rPr>
        <w:t>sous le volet I, ci-dessous)</w:t>
      </w:r>
      <w:r w:rsidR="00E453D1">
        <w:rPr>
          <w:sz w:val="22"/>
          <w:szCs w:val="22"/>
          <w:lang w:val="fr-CA" w:eastAsia="en-GB"/>
        </w:rPr>
        <w:t> </w:t>
      </w:r>
      <w:r w:rsidR="009C18A0" w:rsidRPr="00702E8F">
        <w:rPr>
          <w:sz w:val="22"/>
          <w:szCs w:val="22"/>
          <w:lang w:val="fr-CA" w:eastAsia="en-GB"/>
        </w:rPr>
        <w:t>;</w:t>
      </w:r>
    </w:p>
    <w:p w14:paraId="1F5D70EC" w14:textId="07CD238A" w:rsidR="00A367E8" w:rsidRPr="00702E8F" w:rsidRDefault="00E66148" w:rsidP="00F609C7">
      <w:pPr>
        <w:spacing w:before="120" w:after="120"/>
        <w:ind w:firstLine="720"/>
        <w:jc w:val="both"/>
        <w:rPr>
          <w:sz w:val="22"/>
          <w:szCs w:val="22"/>
          <w:lang w:val="fr-CA" w:eastAsia="en-GB"/>
        </w:rPr>
      </w:pPr>
      <w:r w:rsidRPr="00702E8F">
        <w:rPr>
          <w:sz w:val="22"/>
          <w:szCs w:val="22"/>
          <w:lang w:val="fr-CA" w:eastAsia="en-GB"/>
        </w:rPr>
        <w:t>b</w:t>
      </w:r>
      <w:r w:rsidR="00E52D64" w:rsidRPr="00702E8F">
        <w:rPr>
          <w:sz w:val="22"/>
          <w:szCs w:val="22"/>
          <w:lang w:val="fr-CA" w:eastAsia="en-GB"/>
        </w:rPr>
        <w:t xml:space="preserve">) </w:t>
      </w:r>
      <w:r w:rsidR="000B1117" w:rsidRPr="00702E8F">
        <w:rPr>
          <w:sz w:val="22"/>
          <w:szCs w:val="22"/>
          <w:lang w:val="fr-CA" w:eastAsia="en-GB"/>
        </w:rPr>
        <w:tab/>
      </w:r>
      <w:r w:rsidR="00BB4063" w:rsidRPr="00702E8F">
        <w:rPr>
          <w:sz w:val="22"/>
          <w:szCs w:val="22"/>
          <w:lang w:val="fr-CA" w:eastAsia="en-GB"/>
        </w:rPr>
        <w:t xml:space="preserve">L’intégration de la biodiversité aux budgets et politiques </w:t>
      </w:r>
      <w:r w:rsidR="0067281A" w:rsidRPr="00702E8F">
        <w:rPr>
          <w:sz w:val="22"/>
          <w:szCs w:val="22"/>
          <w:lang w:val="fr-CA" w:eastAsia="en-GB"/>
        </w:rPr>
        <w:t>sectorielles gouvernementales p</w:t>
      </w:r>
      <w:r w:rsidR="00BB4063" w:rsidRPr="00702E8F">
        <w:rPr>
          <w:sz w:val="22"/>
          <w:szCs w:val="22"/>
          <w:lang w:val="fr-CA" w:eastAsia="en-GB"/>
        </w:rPr>
        <w:t xml:space="preserve">eut garantir des </w:t>
      </w:r>
      <w:r w:rsidR="0067281A" w:rsidRPr="00702E8F">
        <w:rPr>
          <w:sz w:val="22"/>
          <w:szCs w:val="22"/>
          <w:lang w:val="fr-CA" w:eastAsia="en-GB"/>
        </w:rPr>
        <w:t>retombées positives qui entraînent une augmentation des ressources pour la biodiversité (expliqué</w:t>
      </w:r>
      <w:r w:rsidR="00EE584A">
        <w:rPr>
          <w:sz w:val="22"/>
          <w:szCs w:val="22"/>
          <w:lang w:val="fr-CA" w:eastAsia="en-GB"/>
        </w:rPr>
        <w:t>e</w:t>
      </w:r>
      <w:r w:rsidR="0067281A" w:rsidRPr="00702E8F">
        <w:rPr>
          <w:sz w:val="22"/>
          <w:szCs w:val="22"/>
          <w:lang w:val="fr-CA" w:eastAsia="en-GB"/>
        </w:rPr>
        <w:t xml:space="preserve"> en détail sous le volet II, ci-dessous)</w:t>
      </w:r>
      <w:r w:rsidR="00E453D1">
        <w:rPr>
          <w:sz w:val="22"/>
          <w:szCs w:val="22"/>
          <w:lang w:val="fr-CA" w:eastAsia="en-GB"/>
        </w:rPr>
        <w:t> </w:t>
      </w:r>
      <w:r w:rsidR="009C18A0" w:rsidRPr="00702E8F">
        <w:rPr>
          <w:sz w:val="22"/>
          <w:szCs w:val="22"/>
          <w:lang w:val="fr-CA" w:eastAsia="en-GB"/>
        </w:rPr>
        <w:t>;</w:t>
      </w:r>
    </w:p>
    <w:p w14:paraId="33703CD1" w14:textId="63D927E4" w:rsidR="009C18A0" w:rsidRPr="00702E8F" w:rsidRDefault="00E66148" w:rsidP="00EC07F9">
      <w:pPr>
        <w:spacing w:before="120" w:after="120"/>
        <w:ind w:firstLine="720"/>
        <w:jc w:val="both"/>
        <w:rPr>
          <w:sz w:val="22"/>
          <w:szCs w:val="22"/>
          <w:lang w:val="fr-CA" w:eastAsia="en-GB"/>
        </w:rPr>
      </w:pPr>
      <w:r w:rsidRPr="00702E8F">
        <w:rPr>
          <w:sz w:val="22"/>
          <w:szCs w:val="22"/>
          <w:lang w:val="fr-CA" w:eastAsia="en-GB"/>
        </w:rPr>
        <w:t>c</w:t>
      </w:r>
      <w:r w:rsidR="00E52D64" w:rsidRPr="00702E8F">
        <w:rPr>
          <w:sz w:val="22"/>
          <w:szCs w:val="22"/>
          <w:lang w:val="fr-CA" w:eastAsia="en-GB"/>
        </w:rPr>
        <w:t>)</w:t>
      </w:r>
      <w:r w:rsidR="000B1117" w:rsidRPr="00702E8F">
        <w:rPr>
          <w:sz w:val="22"/>
          <w:szCs w:val="22"/>
          <w:lang w:val="fr-CA" w:eastAsia="en-GB"/>
        </w:rPr>
        <w:tab/>
      </w:r>
      <w:r w:rsidR="0067281A" w:rsidRPr="00702E8F">
        <w:rPr>
          <w:sz w:val="22"/>
          <w:szCs w:val="22"/>
          <w:lang w:val="fr-CA" w:eastAsia="en-GB"/>
        </w:rPr>
        <w:t>L’intégration de la biodiversité aux plans nationaux de développement crée un point de départ solide pour la réalisation d’une plus grande cohérence des politiques et, par voie de conséquence, d’</w:t>
      </w:r>
      <w:r w:rsidR="00C64E2C" w:rsidRPr="00702E8F">
        <w:rPr>
          <w:sz w:val="22"/>
          <w:szCs w:val="22"/>
          <w:lang w:val="fr-CA" w:eastAsia="en-GB"/>
        </w:rPr>
        <w:t>une plus grande efficacit</w:t>
      </w:r>
      <w:r w:rsidR="0067281A" w:rsidRPr="00702E8F">
        <w:rPr>
          <w:sz w:val="22"/>
          <w:szCs w:val="22"/>
          <w:lang w:val="fr-CA" w:eastAsia="en-GB"/>
        </w:rPr>
        <w:t>é dans l’utilisation des ressources, grâce à l’approche pango</w:t>
      </w:r>
      <w:r w:rsidR="00C64E2C" w:rsidRPr="00702E8F">
        <w:rPr>
          <w:sz w:val="22"/>
          <w:szCs w:val="22"/>
          <w:lang w:val="fr-CA" w:eastAsia="en-GB"/>
        </w:rPr>
        <w:t>u</w:t>
      </w:r>
      <w:r w:rsidR="0067281A" w:rsidRPr="00702E8F">
        <w:rPr>
          <w:sz w:val="22"/>
          <w:szCs w:val="22"/>
          <w:lang w:val="fr-CA" w:eastAsia="en-GB"/>
        </w:rPr>
        <w:t>vernementale (expliquée en détail sous le volet III, ci-dessous</w:t>
      </w:r>
      <w:r w:rsidR="009C18A0" w:rsidRPr="00702E8F">
        <w:rPr>
          <w:sz w:val="22"/>
          <w:szCs w:val="22"/>
          <w:lang w:val="fr-CA" w:eastAsia="en-GB"/>
        </w:rPr>
        <w:t>).</w:t>
      </w:r>
    </w:p>
    <w:p w14:paraId="0A98BC2C" w14:textId="6AB93AC3" w:rsidR="009C18A0" w:rsidRPr="00702E8F" w:rsidRDefault="00C64E2C"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Bien que les parties</w:t>
      </w:r>
      <w:r w:rsidR="00E453D1">
        <w:rPr>
          <w:sz w:val="22"/>
          <w:szCs w:val="22"/>
          <w:lang w:val="fr-CA" w:eastAsia="en-GB"/>
        </w:rPr>
        <w:t> III,</w:t>
      </w:r>
      <w:r w:rsidRPr="00702E8F">
        <w:rPr>
          <w:sz w:val="22"/>
          <w:szCs w:val="22"/>
          <w:lang w:val="fr-CA" w:eastAsia="en-GB"/>
        </w:rPr>
        <w:t xml:space="preserve"> IV et</w:t>
      </w:r>
      <w:r w:rsidR="00E453D1">
        <w:rPr>
          <w:sz w:val="22"/>
          <w:szCs w:val="22"/>
          <w:lang w:val="fr-CA" w:eastAsia="en-GB"/>
        </w:rPr>
        <w:t> </w:t>
      </w:r>
      <w:r w:rsidRPr="00702E8F">
        <w:rPr>
          <w:sz w:val="22"/>
          <w:szCs w:val="22"/>
          <w:lang w:val="fr-CA" w:eastAsia="en-GB"/>
        </w:rPr>
        <w:t xml:space="preserve">V mentionnent plusieurs </w:t>
      </w:r>
      <w:r w:rsidR="00EE584A">
        <w:rPr>
          <w:sz w:val="22"/>
          <w:szCs w:val="22"/>
          <w:lang w:val="fr-CA" w:eastAsia="en-GB"/>
        </w:rPr>
        <w:t>actions pour</w:t>
      </w:r>
      <w:r w:rsidRPr="00702E8F">
        <w:rPr>
          <w:sz w:val="22"/>
          <w:szCs w:val="22"/>
          <w:lang w:val="fr-CA" w:eastAsia="en-GB"/>
        </w:rPr>
        <w:t xml:space="preserve"> </w:t>
      </w:r>
      <w:r w:rsidR="00EE584A">
        <w:rPr>
          <w:sz w:val="22"/>
          <w:szCs w:val="22"/>
          <w:lang w:val="fr-CA" w:eastAsia="en-GB"/>
        </w:rPr>
        <w:t>l</w:t>
      </w:r>
      <w:r w:rsidRPr="00702E8F">
        <w:rPr>
          <w:sz w:val="22"/>
          <w:szCs w:val="22"/>
          <w:lang w:val="fr-CA" w:eastAsia="en-GB"/>
        </w:rPr>
        <w:t xml:space="preserve">’intégration, les trois mesures ci-dessous devraient être mises en œuvre et augmentées à plus grande échelle en appui à chacun des </w:t>
      </w:r>
      <w:r w:rsidR="00EE584A">
        <w:rPr>
          <w:sz w:val="22"/>
          <w:szCs w:val="22"/>
          <w:lang w:val="fr-CA" w:eastAsia="en-GB"/>
        </w:rPr>
        <w:t>éléments</w:t>
      </w:r>
      <w:r w:rsidRPr="00702E8F">
        <w:rPr>
          <w:sz w:val="22"/>
          <w:szCs w:val="22"/>
          <w:lang w:val="fr-CA" w:eastAsia="en-GB"/>
        </w:rPr>
        <w:t xml:space="preserve"> décrits dans ces sections. Ces mesures importantes sont établies ci-dessous afin d’éviter les doublons inutiles</w:t>
      </w:r>
      <w:r w:rsidR="00E453D1">
        <w:rPr>
          <w:sz w:val="22"/>
          <w:szCs w:val="22"/>
          <w:lang w:val="fr-CA" w:eastAsia="en-GB"/>
        </w:rPr>
        <w:t> </w:t>
      </w:r>
      <w:r w:rsidR="009C18A0" w:rsidRPr="00702E8F">
        <w:rPr>
          <w:sz w:val="22"/>
          <w:szCs w:val="22"/>
          <w:lang w:val="fr-CA" w:eastAsia="en-GB"/>
        </w:rPr>
        <w:t>:</w:t>
      </w:r>
    </w:p>
    <w:p w14:paraId="52D6B317" w14:textId="3DDCCB9E" w:rsidR="00E61EB6" w:rsidRPr="00702E8F" w:rsidRDefault="00E61EB6" w:rsidP="00EC07F9">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bookmarkStart w:id="4" w:name="_Hlk39074411"/>
      <w:r w:rsidR="00C64E2C" w:rsidRPr="00702E8F">
        <w:rPr>
          <w:sz w:val="22"/>
          <w:szCs w:val="22"/>
          <w:lang w:val="fr-CA" w:eastAsia="en-GB"/>
        </w:rPr>
        <w:t>Entreprendre des études afin d’évaluer les différentes valeurs</w:t>
      </w:r>
      <w:r w:rsidR="00C64E2C" w:rsidRPr="00702E8F">
        <w:rPr>
          <w:sz w:val="22"/>
          <w:szCs w:val="22"/>
          <w:vertAlign w:val="superscript"/>
          <w:lang w:val="en-ZA" w:eastAsia="en-GB"/>
        </w:rPr>
        <w:footnoteReference w:id="13"/>
      </w:r>
      <w:r w:rsidR="00C64E2C" w:rsidRPr="00702E8F">
        <w:rPr>
          <w:sz w:val="22"/>
          <w:szCs w:val="22"/>
          <w:lang w:val="fr-CA" w:eastAsia="en-GB"/>
        </w:rPr>
        <w:t xml:space="preserve"> de la biodiversité</w:t>
      </w:r>
      <w:r w:rsidR="003B6963" w:rsidRPr="00702E8F">
        <w:rPr>
          <w:sz w:val="22"/>
          <w:szCs w:val="22"/>
          <w:lang w:val="fr-CA" w:eastAsia="en-GB"/>
        </w:rPr>
        <w:t xml:space="preserve"> d</w:t>
      </w:r>
      <w:r w:rsidR="00EE584A">
        <w:rPr>
          <w:sz w:val="22"/>
          <w:szCs w:val="22"/>
          <w:lang w:val="fr-CA" w:eastAsia="en-GB"/>
        </w:rPr>
        <w:t>ans les contextes international, national et infranational</w:t>
      </w:r>
      <w:r w:rsidR="003B6963" w:rsidRPr="00702E8F">
        <w:rPr>
          <w:sz w:val="22"/>
          <w:szCs w:val="22"/>
          <w:lang w:val="fr-CA" w:eastAsia="en-GB"/>
        </w:rPr>
        <w:t xml:space="preserve">, et communiquer les conclusions de ces études aux décideurs concernés en tenant compte des évaluations </w:t>
      </w:r>
      <w:r w:rsidR="00EE584A">
        <w:rPr>
          <w:sz w:val="22"/>
          <w:szCs w:val="22"/>
          <w:lang w:val="fr-CA" w:eastAsia="en-GB"/>
        </w:rPr>
        <w:t>mondiales te</w:t>
      </w:r>
      <w:r w:rsidR="00A40FB2">
        <w:rPr>
          <w:sz w:val="22"/>
          <w:szCs w:val="22"/>
          <w:lang w:val="fr-CA" w:eastAsia="en-GB"/>
        </w:rPr>
        <w:t>l</w:t>
      </w:r>
      <w:r w:rsidR="00EE584A">
        <w:rPr>
          <w:sz w:val="22"/>
          <w:szCs w:val="22"/>
          <w:lang w:val="fr-CA" w:eastAsia="en-GB"/>
        </w:rPr>
        <w:t>l</w:t>
      </w:r>
      <w:r w:rsidR="00A40FB2">
        <w:rPr>
          <w:sz w:val="22"/>
          <w:szCs w:val="22"/>
          <w:lang w:val="fr-CA" w:eastAsia="en-GB"/>
        </w:rPr>
        <w:t>e</w:t>
      </w:r>
      <w:r w:rsidR="00EE584A">
        <w:rPr>
          <w:sz w:val="22"/>
          <w:szCs w:val="22"/>
          <w:lang w:val="fr-CA" w:eastAsia="en-GB"/>
        </w:rPr>
        <w:t>s que les prochain</w:t>
      </w:r>
      <w:r w:rsidR="003B6963" w:rsidRPr="00702E8F">
        <w:rPr>
          <w:sz w:val="22"/>
          <w:szCs w:val="22"/>
          <w:lang w:val="fr-CA" w:eastAsia="en-GB"/>
        </w:rPr>
        <w:t xml:space="preserve">s résultats de l’examen de </w:t>
      </w:r>
      <w:proofErr w:type="spellStart"/>
      <w:r w:rsidR="003B6963" w:rsidRPr="00702E8F">
        <w:rPr>
          <w:sz w:val="22"/>
          <w:szCs w:val="22"/>
          <w:lang w:val="fr-CA" w:eastAsia="en-GB"/>
        </w:rPr>
        <w:t>Dasgupta</w:t>
      </w:r>
      <w:proofErr w:type="spellEnd"/>
      <w:r w:rsidR="003B6963" w:rsidRPr="00702E8F">
        <w:rPr>
          <w:sz w:val="22"/>
          <w:szCs w:val="22"/>
          <w:lang w:val="fr-CA" w:eastAsia="en-GB"/>
        </w:rPr>
        <w:t xml:space="preserve"> sur l’économie de la biodiversité et les rapports antérieurs sur l’Économie des écosystèmes et de la biodiversité</w:t>
      </w:r>
      <w:r w:rsidR="00E453D1">
        <w:rPr>
          <w:sz w:val="22"/>
          <w:szCs w:val="22"/>
          <w:lang w:val="fr-CA" w:eastAsia="en-GB"/>
        </w:rPr>
        <w:t> </w:t>
      </w:r>
      <w:r w:rsidRPr="00702E8F">
        <w:rPr>
          <w:sz w:val="22"/>
          <w:szCs w:val="22"/>
          <w:lang w:val="fr-CA" w:eastAsia="en-GB"/>
        </w:rPr>
        <w:t>;</w:t>
      </w:r>
    </w:p>
    <w:p w14:paraId="38FD573F" w14:textId="23D52285" w:rsidR="009C18A0" w:rsidRPr="00702E8F" w:rsidRDefault="00E61EB6" w:rsidP="00EC07F9">
      <w:pPr>
        <w:spacing w:before="120" w:after="120"/>
        <w:ind w:firstLine="720"/>
        <w:jc w:val="both"/>
        <w:rPr>
          <w:i/>
          <w:iCs/>
          <w:sz w:val="22"/>
          <w:szCs w:val="22"/>
          <w:lang w:val="fr-CA" w:eastAsia="en-GB"/>
        </w:rPr>
      </w:pPr>
      <w:r w:rsidRPr="00702E8F">
        <w:rPr>
          <w:sz w:val="22"/>
          <w:szCs w:val="22"/>
          <w:lang w:val="fr-CA" w:eastAsia="en-GB"/>
        </w:rPr>
        <w:t>b)</w:t>
      </w:r>
      <w:r w:rsidRPr="00702E8F">
        <w:rPr>
          <w:sz w:val="22"/>
          <w:szCs w:val="22"/>
          <w:lang w:val="fr-CA" w:eastAsia="en-GB"/>
        </w:rPr>
        <w:tab/>
      </w:r>
      <w:bookmarkEnd w:id="4"/>
      <w:r w:rsidR="003B6963" w:rsidRPr="00702E8F">
        <w:rPr>
          <w:sz w:val="22"/>
          <w:szCs w:val="22"/>
          <w:lang w:val="fr-CA" w:eastAsia="en-GB"/>
        </w:rPr>
        <w:t xml:space="preserve">Continuer à démontrer la contribution </w:t>
      </w:r>
      <w:r w:rsidR="00DD462B" w:rsidRPr="00702E8F">
        <w:rPr>
          <w:sz w:val="22"/>
          <w:szCs w:val="22"/>
          <w:lang w:val="fr-CA" w:eastAsia="en-GB"/>
        </w:rPr>
        <w:t>de</w:t>
      </w:r>
      <w:r w:rsidR="003B6963" w:rsidRPr="00702E8F">
        <w:rPr>
          <w:sz w:val="22"/>
          <w:szCs w:val="22"/>
          <w:lang w:val="fr-CA" w:eastAsia="en-GB"/>
        </w:rPr>
        <w:t xml:space="preserve"> la biodiversité et</w:t>
      </w:r>
      <w:r w:rsidR="00DD462B" w:rsidRPr="00702E8F">
        <w:rPr>
          <w:sz w:val="22"/>
          <w:szCs w:val="22"/>
          <w:lang w:val="fr-CA" w:eastAsia="en-GB"/>
        </w:rPr>
        <w:t xml:space="preserve"> de l’infrastructure biologique à la réalisation des Objectifs de développement durable, la Convention des Nations Unies sur la lutte contre la désertification, le Convention-cadre des Nations sur les changements climatiques et le Cadre de Sendai pour la réduction des risques de catastrophe 2015-2030</w:t>
      </w:r>
      <w:r w:rsidR="00E453D1">
        <w:rPr>
          <w:sz w:val="22"/>
          <w:szCs w:val="22"/>
          <w:lang w:val="fr-CA" w:eastAsia="en-GB"/>
        </w:rPr>
        <w:t> </w:t>
      </w:r>
      <w:r w:rsidRPr="00702E8F">
        <w:rPr>
          <w:sz w:val="22"/>
          <w:szCs w:val="22"/>
          <w:lang w:val="fr-CA" w:eastAsia="en-GB"/>
        </w:rPr>
        <w:t>;</w:t>
      </w:r>
      <w:r w:rsidR="00F46D13" w:rsidRPr="00702E8F">
        <w:rPr>
          <w:rStyle w:val="Appelnotedebasdep"/>
          <w:sz w:val="22"/>
          <w:szCs w:val="22"/>
          <w:u w:val="none"/>
          <w:vertAlign w:val="superscript"/>
          <w:lang w:val="fr-CA" w:eastAsia="en-GB"/>
        </w:rPr>
        <w:footnoteReference w:id="14"/>
      </w:r>
    </w:p>
    <w:p w14:paraId="728FE02C" w14:textId="5851AC6C" w:rsidR="009C18A0" w:rsidRPr="00702E8F" w:rsidRDefault="00E61EB6" w:rsidP="00EC07F9">
      <w:pPr>
        <w:spacing w:before="120" w:after="120"/>
        <w:ind w:firstLine="720"/>
        <w:jc w:val="both"/>
        <w:rPr>
          <w:i/>
          <w:iCs/>
          <w:sz w:val="22"/>
          <w:szCs w:val="22"/>
          <w:lang w:val="fr-CA" w:eastAsia="en-GB"/>
        </w:rPr>
      </w:pPr>
      <w:r w:rsidRPr="00702E8F">
        <w:rPr>
          <w:sz w:val="22"/>
          <w:szCs w:val="22"/>
          <w:lang w:val="fr-CA" w:eastAsia="en-GB"/>
        </w:rPr>
        <w:t>c)</w:t>
      </w:r>
      <w:r w:rsidRPr="00702E8F">
        <w:rPr>
          <w:sz w:val="22"/>
          <w:szCs w:val="22"/>
          <w:lang w:val="fr-CA" w:eastAsia="en-GB"/>
        </w:rPr>
        <w:tab/>
      </w:r>
      <w:r w:rsidR="00DD462B" w:rsidRPr="00702E8F">
        <w:rPr>
          <w:sz w:val="22"/>
          <w:szCs w:val="22"/>
          <w:lang w:val="fr-CA" w:eastAsia="en-GB"/>
        </w:rPr>
        <w:t xml:space="preserve">Affecter des ressources au développement et </w:t>
      </w:r>
      <w:r w:rsidR="00AB0E4A" w:rsidRPr="00702E8F">
        <w:rPr>
          <w:sz w:val="22"/>
          <w:szCs w:val="22"/>
          <w:lang w:val="fr-CA" w:eastAsia="en-GB"/>
        </w:rPr>
        <w:t xml:space="preserve">à l’acquisition de comptes d’écosystèmes en utilisant le Système de comptabilité économique et environnementale </w:t>
      </w:r>
      <w:r w:rsidR="00F021E6" w:rsidRPr="00702E8F">
        <w:rPr>
          <w:sz w:val="22"/>
          <w:szCs w:val="22"/>
          <w:lang w:val="fr-CA" w:eastAsia="en-GB"/>
        </w:rPr>
        <w:t>(</w:t>
      </w:r>
      <w:proofErr w:type="spellStart"/>
      <w:r w:rsidR="00F021E6" w:rsidRPr="00702E8F">
        <w:rPr>
          <w:sz w:val="22"/>
          <w:szCs w:val="22"/>
          <w:lang w:val="fr-CA" w:eastAsia="en-GB"/>
        </w:rPr>
        <w:t>SCEEI</w:t>
      </w:r>
      <w:proofErr w:type="spellEnd"/>
      <w:r w:rsidR="00F021E6" w:rsidRPr="00702E8F">
        <w:rPr>
          <w:sz w:val="22"/>
          <w:szCs w:val="22"/>
          <w:lang w:val="fr-CA" w:eastAsia="en-GB"/>
        </w:rPr>
        <w:t>) en tant que cadre de mesure et en facilitant l’intégration des données environnementales, sociales et économiques en appui au</w:t>
      </w:r>
      <w:r w:rsidR="002D306C">
        <w:rPr>
          <w:sz w:val="22"/>
          <w:szCs w:val="22"/>
          <w:lang w:val="fr-CA" w:eastAsia="en-GB"/>
        </w:rPr>
        <w:t>x</w:t>
      </w:r>
      <w:r w:rsidR="00F021E6" w:rsidRPr="00702E8F">
        <w:rPr>
          <w:sz w:val="22"/>
          <w:szCs w:val="22"/>
          <w:lang w:val="fr-CA" w:eastAsia="en-GB"/>
        </w:rPr>
        <w:t xml:space="preserve"> </w:t>
      </w:r>
      <w:r w:rsidR="00F021E6" w:rsidRPr="00702E8F">
        <w:rPr>
          <w:sz w:val="22"/>
          <w:szCs w:val="22"/>
          <w:lang w:val="fr-CA" w:eastAsia="en-GB"/>
        </w:rPr>
        <w:lastRenderedPageBreak/>
        <w:t>processus décisionnel</w:t>
      </w:r>
      <w:r w:rsidR="002D306C">
        <w:rPr>
          <w:sz w:val="22"/>
          <w:szCs w:val="22"/>
          <w:lang w:val="fr-CA" w:eastAsia="en-GB"/>
        </w:rPr>
        <w:t>s</w:t>
      </w:r>
      <w:r w:rsidR="00F021E6" w:rsidRPr="00702E8F">
        <w:rPr>
          <w:sz w:val="22"/>
          <w:szCs w:val="22"/>
          <w:lang w:val="fr-CA" w:eastAsia="en-GB"/>
        </w:rPr>
        <w:t xml:space="preserve"> des gouvernements et du secteur privé. La comptabilité des écosystèmes comprend la comptabilité de la biodiversité fondée sur le Système de comptabilité en</w:t>
      </w:r>
      <w:r w:rsidR="001E2B3C" w:rsidRPr="00702E8F">
        <w:rPr>
          <w:sz w:val="22"/>
          <w:szCs w:val="22"/>
          <w:lang w:val="fr-CA" w:eastAsia="en-GB"/>
        </w:rPr>
        <w:t xml:space="preserve">vironnementale pour les écosystèmes (comptabilité expérimentale) du </w:t>
      </w:r>
      <w:proofErr w:type="spellStart"/>
      <w:r w:rsidR="001E2B3C" w:rsidRPr="00702E8F">
        <w:rPr>
          <w:sz w:val="22"/>
          <w:szCs w:val="22"/>
          <w:lang w:val="fr-CA" w:eastAsia="en-GB"/>
        </w:rPr>
        <w:t>SCEEI</w:t>
      </w:r>
      <w:proofErr w:type="spellEnd"/>
      <w:r w:rsidR="001E2B3C" w:rsidRPr="00702E8F">
        <w:rPr>
          <w:sz w:val="22"/>
          <w:szCs w:val="22"/>
          <w:lang w:val="fr-CA" w:eastAsia="en-GB"/>
        </w:rPr>
        <w:t>, actuellement à l’étude</w:t>
      </w:r>
      <w:r w:rsidR="009C18A0" w:rsidRPr="00702E8F">
        <w:rPr>
          <w:sz w:val="22"/>
          <w:szCs w:val="22"/>
          <w:lang w:val="fr-CA" w:eastAsia="en-GB"/>
        </w:rPr>
        <w:t>.</w:t>
      </w:r>
    </w:p>
    <w:p w14:paraId="20E60B8E" w14:textId="60001947" w:rsidR="009C18A0" w:rsidRPr="00702E8F" w:rsidRDefault="00AD3CFB" w:rsidP="00F609C7">
      <w:pPr>
        <w:pStyle w:val="Heading2-center"/>
        <w:rPr>
          <w:rStyle w:val="Heading2CharChar"/>
          <w:rFonts w:ascii="Times New Roman" w:hAnsi="Times New Roman" w:cs="Times New Roman"/>
          <w:b/>
          <w:bCs/>
          <w:sz w:val="22"/>
          <w:szCs w:val="22"/>
          <w:lang w:val="fr-CA"/>
        </w:rPr>
      </w:pPr>
      <w:r w:rsidRPr="00702E8F">
        <w:rPr>
          <w:rStyle w:val="Heading2CharChar"/>
          <w:rFonts w:ascii="Times New Roman" w:hAnsi="Times New Roman" w:cs="Times New Roman"/>
          <w:b/>
          <w:bCs/>
          <w:sz w:val="22"/>
          <w:szCs w:val="22"/>
          <w:lang w:val="en-CA"/>
        </w:rPr>
        <w:t>C.</w:t>
      </w:r>
      <w:r w:rsidRPr="00702E8F">
        <w:rPr>
          <w:rStyle w:val="Heading2CharChar"/>
          <w:rFonts w:ascii="Times New Roman" w:hAnsi="Times New Roman" w:cs="Times New Roman"/>
          <w:b/>
          <w:bCs/>
          <w:sz w:val="22"/>
          <w:szCs w:val="22"/>
          <w:lang w:val="en-CA"/>
        </w:rPr>
        <w:tab/>
      </w:r>
      <w:r w:rsidR="00F85448" w:rsidRPr="00702E8F">
        <w:rPr>
          <w:rStyle w:val="Heading2CharChar"/>
          <w:rFonts w:ascii="Times New Roman" w:hAnsi="Times New Roman" w:cs="Times New Roman"/>
          <w:b/>
          <w:bCs/>
          <w:sz w:val="22"/>
          <w:szCs w:val="22"/>
          <w:lang w:val="fr-CA"/>
        </w:rPr>
        <w:t>Principaux acteurs</w:t>
      </w:r>
    </w:p>
    <w:p w14:paraId="34560753" w14:textId="628421BE" w:rsidR="009C18A0" w:rsidRPr="00702E8F" w:rsidRDefault="00F85448"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Tous les acteurs sociétaux ont un rôle à jouer dans la mobilisation des ressources</w:t>
      </w:r>
      <w:r w:rsidR="00A40FB2">
        <w:rPr>
          <w:sz w:val="22"/>
          <w:szCs w:val="22"/>
          <w:lang w:val="fr-CA" w:eastAsia="en-GB"/>
        </w:rPr>
        <w:t>,</w:t>
      </w:r>
      <w:r w:rsidRPr="00702E8F">
        <w:rPr>
          <w:sz w:val="22"/>
          <w:szCs w:val="22"/>
          <w:lang w:val="fr-CA" w:eastAsia="en-GB"/>
        </w:rPr>
        <w:t xml:space="preserve"> et le</w:t>
      </w:r>
      <w:r w:rsidR="002878FE" w:rsidRPr="00702E8F">
        <w:rPr>
          <w:sz w:val="22"/>
          <w:szCs w:val="22"/>
          <w:lang w:val="fr-CA" w:eastAsia="en-GB"/>
        </w:rPr>
        <w:t>s</w:t>
      </w:r>
      <w:r w:rsidRPr="00702E8F">
        <w:rPr>
          <w:sz w:val="22"/>
          <w:szCs w:val="22"/>
          <w:lang w:val="fr-CA" w:eastAsia="en-GB"/>
        </w:rPr>
        <w:t xml:space="preserve"> secteur</w:t>
      </w:r>
      <w:r w:rsidR="002878FE" w:rsidRPr="00702E8F">
        <w:rPr>
          <w:sz w:val="22"/>
          <w:szCs w:val="22"/>
          <w:lang w:val="fr-CA" w:eastAsia="en-GB"/>
        </w:rPr>
        <w:t xml:space="preserve">s public et privé, à savoir les entreprises, la société civile, le secteur </w:t>
      </w:r>
      <w:r w:rsidR="00A40FB2">
        <w:rPr>
          <w:sz w:val="22"/>
          <w:szCs w:val="22"/>
          <w:lang w:val="fr-CA" w:eastAsia="en-GB"/>
        </w:rPr>
        <w:t>universitaire</w:t>
      </w:r>
      <w:r w:rsidR="002878FE" w:rsidRPr="00702E8F">
        <w:rPr>
          <w:sz w:val="22"/>
          <w:szCs w:val="22"/>
          <w:lang w:val="fr-CA" w:eastAsia="en-GB"/>
        </w:rPr>
        <w:t>, les organisations non gouvernementales, les organismes de bienfaisance et les fondations, les individus et les communautés,</w:t>
      </w:r>
      <w:r w:rsidRPr="00702E8F">
        <w:rPr>
          <w:sz w:val="22"/>
          <w:szCs w:val="22"/>
          <w:lang w:val="fr-CA" w:eastAsia="en-GB"/>
        </w:rPr>
        <w:t xml:space="preserve"> joue</w:t>
      </w:r>
      <w:r w:rsidR="002878FE" w:rsidRPr="00702E8F">
        <w:rPr>
          <w:sz w:val="22"/>
          <w:szCs w:val="22"/>
          <w:lang w:val="fr-CA" w:eastAsia="en-GB"/>
        </w:rPr>
        <w:t>nt</w:t>
      </w:r>
      <w:r w:rsidRPr="00702E8F">
        <w:rPr>
          <w:sz w:val="22"/>
          <w:szCs w:val="22"/>
          <w:lang w:val="fr-CA" w:eastAsia="en-GB"/>
        </w:rPr>
        <w:t xml:space="preserve"> un rôle important à tous les niveaux</w:t>
      </w:r>
      <w:r w:rsidR="009C18A0" w:rsidRPr="00702E8F">
        <w:rPr>
          <w:sz w:val="22"/>
          <w:szCs w:val="22"/>
          <w:lang w:val="fr-CA" w:eastAsia="en-GB"/>
        </w:rPr>
        <w:t>.</w:t>
      </w:r>
      <w:r w:rsidR="002878FE" w:rsidRPr="00702E8F">
        <w:rPr>
          <w:sz w:val="22"/>
          <w:szCs w:val="22"/>
          <w:lang w:val="fr-CA" w:eastAsia="en-GB"/>
        </w:rPr>
        <w:t xml:space="preserve"> Plusieurs mesures devront être entreprises collectivement ou en partenariat afin de réaliser les trois volets stratégiques de la mobilisation des ressources. Le</w:t>
      </w:r>
      <w:r w:rsidR="002D306C">
        <w:rPr>
          <w:sz w:val="22"/>
          <w:szCs w:val="22"/>
          <w:lang w:val="fr-CA" w:eastAsia="en-GB"/>
        </w:rPr>
        <w:t xml:space="preserve"> présent</w:t>
      </w:r>
      <w:r w:rsidR="002878FE" w:rsidRPr="00702E8F">
        <w:rPr>
          <w:sz w:val="22"/>
          <w:szCs w:val="22"/>
          <w:lang w:val="fr-CA" w:eastAsia="en-GB"/>
        </w:rPr>
        <w:t xml:space="preserve"> rapport porte une attention particulière aux mesures que doivent prendre les gouvernements, le secteur des affaires et le secteur financier, en faisant référence aux rôles que peuvent jouer les communautés, les </w:t>
      </w:r>
      <w:r w:rsidR="002D306C">
        <w:rPr>
          <w:sz w:val="22"/>
          <w:szCs w:val="22"/>
          <w:lang w:val="fr-CA" w:eastAsia="en-GB"/>
        </w:rPr>
        <w:t>individus</w:t>
      </w:r>
      <w:r w:rsidR="002878FE" w:rsidRPr="00702E8F">
        <w:rPr>
          <w:sz w:val="22"/>
          <w:szCs w:val="22"/>
          <w:lang w:val="fr-CA" w:eastAsia="en-GB"/>
        </w:rPr>
        <w:t xml:space="preserve"> et les organismes sans but lucratif. Cette partie aborde brièvement certaines caractéristiques déterminantes du gouvernement, du secteur des affaires, du secteur financier et </w:t>
      </w:r>
      <w:r w:rsidR="002D306C">
        <w:rPr>
          <w:sz w:val="22"/>
          <w:szCs w:val="22"/>
          <w:lang w:val="fr-CA" w:eastAsia="en-GB"/>
        </w:rPr>
        <w:t>du financement international</w:t>
      </w:r>
      <w:r w:rsidR="002878FE" w:rsidRPr="00702E8F">
        <w:rPr>
          <w:sz w:val="22"/>
          <w:szCs w:val="22"/>
          <w:lang w:val="fr-CA" w:eastAsia="en-GB"/>
        </w:rPr>
        <w:t xml:space="preserve"> pour le développement.</w:t>
      </w:r>
    </w:p>
    <w:p w14:paraId="2A2B11CE" w14:textId="65F8E178" w:rsidR="009C18A0" w:rsidRPr="00702E8F" w:rsidRDefault="002878FE" w:rsidP="00F609C7">
      <w:pPr>
        <w:pStyle w:val="Para1"/>
        <w:numPr>
          <w:ilvl w:val="0"/>
          <w:numId w:val="49"/>
        </w:numPr>
        <w:suppressLineNumbers/>
        <w:suppressAutoHyphens/>
        <w:spacing w:before="120"/>
        <w:ind w:left="0" w:firstLine="0"/>
        <w:jc w:val="both"/>
        <w:rPr>
          <w:sz w:val="22"/>
          <w:szCs w:val="22"/>
          <w:lang w:val="fr-CA" w:eastAsia="en-GB"/>
        </w:rPr>
      </w:pPr>
      <w:r w:rsidRPr="00EC11DC">
        <w:rPr>
          <w:bCs/>
          <w:i/>
          <w:sz w:val="22"/>
          <w:szCs w:val="22"/>
          <w:lang w:val="fr-CA" w:eastAsia="en-GB"/>
        </w:rPr>
        <w:t>Gouvernements nationaux et infranationaux</w:t>
      </w:r>
      <w:r w:rsidR="00E453D1" w:rsidRPr="00EC11DC">
        <w:rPr>
          <w:bCs/>
          <w:i/>
          <w:sz w:val="22"/>
          <w:szCs w:val="22"/>
          <w:lang w:val="fr-CA" w:eastAsia="en-GB"/>
        </w:rPr>
        <w:t> </w:t>
      </w:r>
      <w:r w:rsidR="00382788" w:rsidRPr="00EC11DC">
        <w:rPr>
          <w:bCs/>
          <w:i/>
          <w:sz w:val="22"/>
          <w:szCs w:val="22"/>
          <w:lang w:val="fr-CA" w:eastAsia="en-GB"/>
        </w:rPr>
        <w:t>:</w:t>
      </w:r>
      <w:r w:rsidR="00382788" w:rsidRPr="00702E8F">
        <w:rPr>
          <w:b/>
          <w:bCs/>
          <w:sz w:val="22"/>
          <w:szCs w:val="22"/>
          <w:lang w:val="fr-CA" w:eastAsia="en-GB"/>
        </w:rPr>
        <w:t xml:space="preserve"> </w:t>
      </w:r>
      <w:r w:rsidRPr="00702E8F">
        <w:rPr>
          <w:sz w:val="22"/>
          <w:szCs w:val="22"/>
          <w:lang w:val="fr-CA" w:eastAsia="en-GB"/>
        </w:rPr>
        <w:t>Le secteur public</w:t>
      </w:r>
      <w:r w:rsidR="00FD487C">
        <w:rPr>
          <w:sz w:val="22"/>
          <w:szCs w:val="22"/>
          <w:lang w:val="fr-CA" w:eastAsia="en-GB"/>
        </w:rPr>
        <w:t xml:space="preserve"> dirige</w:t>
      </w:r>
      <w:r w:rsidR="003061C9" w:rsidRPr="00702E8F">
        <w:rPr>
          <w:sz w:val="22"/>
          <w:szCs w:val="22"/>
          <w:lang w:val="fr-CA" w:eastAsia="en-GB"/>
        </w:rPr>
        <w:t xml:space="preserve"> les finances et les politiques qui forment l’épine dorsale de la </w:t>
      </w:r>
      <w:r w:rsidR="00927FBE" w:rsidRPr="00702E8F">
        <w:rPr>
          <w:sz w:val="22"/>
          <w:szCs w:val="22"/>
          <w:lang w:val="fr-CA" w:eastAsia="en-GB"/>
        </w:rPr>
        <w:t>mobilisation des ressources pou</w:t>
      </w:r>
      <w:r w:rsidR="003061C9" w:rsidRPr="00702E8F">
        <w:rPr>
          <w:sz w:val="22"/>
          <w:szCs w:val="22"/>
          <w:lang w:val="fr-CA" w:eastAsia="en-GB"/>
        </w:rPr>
        <w:t xml:space="preserve">r la biodiversité, tant pour garantir un </w:t>
      </w:r>
      <w:r w:rsidR="00927FBE" w:rsidRPr="00702E8F">
        <w:rPr>
          <w:sz w:val="22"/>
          <w:szCs w:val="22"/>
          <w:lang w:val="fr-CA" w:eastAsia="en-GB"/>
        </w:rPr>
        <w:t>flux continu</w:t>
      </w:r>
      <w:r w:rsidR="003061C9" w:rsidRPr="00702E8F">
        <w:rPr>
          <w:sz w:val="22"/>
          <w:szCs w:val="22"/>
          <w:lang w:val="fr-CA" w:eastAsia="en-GB"/>
        </w:rPr>
        <w:t xml:space="preserve"> et prévisible de fonds pour la biodiversité que pour créer les cadres de réglementation et les conditions nécessaires</w:t>
      </w:r>
      <w:r w:rsidR="00C738C2" w:rsidRPr="00702E8F">
        <w:rPr>
          <w:sz w:val="22"/>
          <w:szCs w:val="22"/>
          <w:lang w:val="fr-CA" w:eastAsia="en-GB"/>
        </w:rPr>
        <w:t xml:space="preserve"> </w:t>
      </w:r>
      <w:r w:rsidR="00FD487C">
        <w:rPr>
          <w:sz w:val="22"/>
          <w:szCs w:val="22"/>
          <w:lang w:val="fr-CA" w:eastAsia="en-GB"/>
        </w:rPr>
        <w:t>afin de</w:t>
      </w:r>
      <w:r w:rsidR="00C738C2" w:rsidRPr="00702E8F">
        <w:rPr>
          <w:sz w:val="22"/>
          <w:szCs w:val="22"/>
          <w:lang w:val="fr-CA" w:eastAsia="en-GB"/>
        </w:rPr>
        <w:t xml:space="preserve"> catalyser les actions et les investissements du secteur privé. Les autorités gouvernementales de tous les niveaux, national, infranational et local, jouent un rôle fondamental dans la mobilisation des ressources. Un changement transformationnel exige une approche pan</w:t>
      </w:r>
      <w:r w:rsidR="00927FBE" w:rsidRPr="00702E8F">
        <w:rPr>
          <w:sz w:val="22"/>
          <w:szCs w:val="22"/>
          <w:lang w:val="fr-CA" w:eastAsia="en-GB"/>
        </w:rPr>
        <w:t>gouvernementale, qui comprend l</w:t>
      </w:r>
      <w:r w:rsidR="00C738C2" w:rsidRPr="00702E8F">
        <w:rPr>
          <w:sz w:val="22"/>
          <w:szCs w:val="22"/>
          <w:lang w:val="fr-CA" w:eastAsia="en-GB"/>
        </w:rPr>
        <w:t>a participatio</w:t>
      </w:r>
      <w:r w:rsidR="00927FBE" w:rsidRPr="00702E8F">
        <w:rPr>
          <w:sz w:val="22"/>
          <w:szCs w:val="22"/>
          <w:lang w:val="fr-CA" w:eastAsia="en-GB"/>
        </w:rPr>
        <w:t>n et le leadersh</w:t>
      </w:r>
      <w:r w:rsidR="00C738C2" w:rsidRPr="00702E8F">
        <w:rPr>
          <w:sz w:val="22"/>
          <w:szCs w:val="22"/>
          <w:lang w:val="fr-CA" w:eastAsia="en-GB"/>
        </w:rPr>
        <w:t>ip des chefs d’État ainsi que des ministères responsables de l’environnement</w:t>
      </w:r>
      <w:r w:rsidR="00FD487C">
        <w:rPr>
          <w:sz w:val="22"/>
          <w:szCs w:val="22"/>
          <w:lang w:val="fr-CA" w:eastAsia="en-GB"/>
        </w:rPr>
        <w:t>, d</w:t>
      </w:r>
      <w:r w:rsidR="00927FBE" w:rsidRPr="00702E8F">
        <w:rPr>
          <w:sz w:val="22"/>
          <w:szCs w:val="22"/>
          <w:lang w:val="fr-CA" w:eastAsia="en-GB"/>
        </w:rPr>
        <w:t>e</w:t>
      </w:r>
      <w:r w:rsidR="00C738C2" w:rsidRPr="00702E8F">
        <w:rPr>
          <w:sz w:val="22"/>
          <w:szCs w:val="22"/>
          <w:lang w:val="fr-CA" w:eastAsia="en-GB"/>
        </w:rPr>
        <w:t>s</w:t>
      </w:r>
      <w:r w:rsidR="00927FBE" w:rsidRPr="00702E8F">
        <w:rPr>
          <w:sz w:val="22"/>
          <w:szCs w:val="22"/>
          <w:lang w:val="fr-CA" w:eastAsia="en-GB"/>
        </w:rPr>
        <w:t xml:space="preserve"> </w:t>
      </w:r>
      <w:r w:rsidR="00C738C2" w:rsidRPr="00702E8F">
        <w:rPr>
          <w:sz w:val="22"/>
          <w:szCs w:val="22"/>
          <w:lang w:val="fr-CA" w:eastAsia="en-GB"/>
        </w:rPr>
        <w:t xml:space="preserve">finances, </w:t>
      </w:r>
      <w:r w:rsidR="00FD487C">
        <w:rPr>
          <w:sz w:val="22"/>
          <w:szCs w:val="22"/>
          <w:lang w:val="fr-CA" w:eastAsia="en-GB"/>
        </w:rPr>
        <w:t xml:space="preserve">de </w:t>
      </w:r>
      <w:r w:rsidR="00C738C2" w:rsidRPr="00702E8F">
        <w:rPr>
          <w:sz w:val="22"/>
          <w:szCs w:val="22"/>
          <w:lang w:val="fr-CA" w:eastAsia="en-GB"/>
        </w:rPr>
        <w:t xml:space="preserve">l’économie et </w:t>
      </w:r>
      <w:r w:rsidR="00FD487C">
        <w:rPr>
          <w:sz w:val="22"/>
          <w:szCs w:val="22"/>
          <w:lang w:val="fr-CA" w:eastAsia="en-GB"/>
        </w:rPr>
        <w:t>du</w:t>
      </w:r>
      <w:r w:rsidR="00C738C2" w:rsidRPr="00702E8F">
        <w:rPr>
          <w:sz w:val="22"/>
          <w:szCs w:val="22"/>
          <w:lang w:val="fr-CA" w:eastAsia="en-GB"/>
        </w:rPr>
        <w:t xml:space="preserve"> développ</w:t>
      </w:r>
      <w:r w:rsidR="00927FBE" w:rsidRPr="00702E8F">
        <w:rPr>
          <w:sz w:val="22"/>
          <w:szCs w:val="22"/>
          <w:lang w:val="fr-CA" w:eastAsia="en-GB"/>
        </w:rPr>
        <w:t xml:space="preserve">ement économique, </w:t>
      </w:r>
      <w:r w:rsidR="00FD487C">
        <w:rPr>
          <w:sz w:val="22"/>
          <w:szCs w:val="22"/>
          <w:lang w:val="fr-CA" w:eastAsia="en-GB"/>
        </w:rPr>
        <w:t xml:space="preserve">de </w:t>
      </w:r>
      <w:r w:rsidR="00927FBE" w:rsidRPr="00702E8F">
        <w:rPr>
          <w:sz w:val="22"/>
          <w:szCs w:val="22"/>
          <w:lang w:val="fr-CA" w:eastAsia="en-GB"/>
        </w:rPr>
        <w:t>la planificati</w:t>
      </w:r>
      <w:r w:rsidR="00C738C2" w:rsidRPr="00702E8F">
        <w:rPr>
          <w:sz w:val="22"/>
          <w:szCs w:val="22"/>
          <w:lang w:val="fr-CA" w:eastAsia="en-GB"/>
        </w:rPr>
        <w:t xml:space="preserve">on et </w:t>
      </w:r>
      <w:r w:rsidR="00FD487C">
        <w:rPr>
          <w:sz w:val="22"/>
          <w:szCs w:val="22"/>
          <w:lang w:val="fr-CA" w:eastAsia="en-GB"/>
        </w:rPr>
        <w:t>du</w:t>
      </w:r>
      <w:r w:rsidR="00C738C2" w:rsidRPr="00702E8F">
        <w:rPr>
          <w:sz w:val="22"/>
          <w:szCs w:val="22"/>
          <w:lang w:val="fr-CA" w:eastAsia="en-GB"/>
        </w:rPr>
        <w:t xml:space="preserve"> développement urbains et ruraux, </w:t>
      </w:r>
      <w:r w:rsidR="00EC11DC">
        <w:rPr>
          <w:sz w:val="22"/>
          <w:szCs w:val="22"/>
          <w:lang w:val="fr-CA" w:eastAsia="en-GB"/>
        </w:rPr>
        <w:t xml:space="preserve">de la santé, </w:t>
      </w:r>
      <w:r w:rsidR="00FD487C">
        <w:rPr>
          <w:sz w:val="22"/>
          <w:szCs w:val="22"/>
          <w:lang w:val="fr-CA" w:eastAsia="en-GB"/>
        </w:rPr>
        <w:t xml:space="preserve">de </w:t>
      </w:r>
      <w:r w:rsidR="00C738C2" w:rsidRPr="00702E8F">
        <w:rPr>
          <w:sz w:val="22"/>
          <w:szCs w:val="22"/>
          <w:lang w:val="fr-CA" w:eastAsia="en-GB"/>
        </w:rPr>
        <w:t xml:space="preserve">l’agriculture, </w:t>
      </w:r>
      <w:r w:rsidR="00FD487C">
        <w:rPr>
          <w:sz w:val="22"/>
          <w:szCs w:val="22"/>
          <w:lang w:val="fr-CA" w:eastAsia="en-GB"/>
        </w:rPr>
        <w:t xml:space="preserve">de </w:t>
      </w:r>
      <w:r w:rsidR="00C738C2" w:rsidRPr="00702E8F">
        <w:rPr>
          <w:sz w:val="22"/>
          <w:szCs w:val="22"/>
          <w:lang w:val="fr-CA" w:eastAsia="en-GB"/>
        </w:rPr>
        <w:t>la p</w:t>
      </w:r>
      <w:r w:rsidR="00FD487C">
        <w:rPr>
          <w:sz w:val="22"/>
          <w:szCs w:val="22"/>
          <w:lang w:val="fr-CA" w:eastAsia="en-GB"/>
        </w:rPr>
        <w:t>êche et d</w:t>
      </w:r>
      <w:r w:rsidR="00927FBE" w:rsidRPr="00702E8F">
        <w:rPr>
          <w:sz w:val="22"/>
          <w:szCs w:val="22"/>
          <w:lang w:val="fr-CA" w:eastAsia="en-GB"/>
        </w:rPr>
        <w:t>e</w:t>
      </w:r>
      <w:r w:rsidR="00C738C2" w:rsidRPr="00702E8F">
        <w:rPr>
          <w:sz w:val="22"/>
          <w:szCs w:val="22"/>
          <w:lang w:val="fr-CA" w:eastAsia="en-GB"/>
        </w:rPr>
        <w:t>s</w:t>
      </w:r>
      <w:r w:rsidR="00927FBE" w:rsidRPr="00702E8F">
        <w:rPr>
          <w:sz w:val="22"/>
          <w:szCs w:val="22"/>
          <w:lang w:val="fr-CA" w:eastAsia="en-GB"/>
        </w:rPr>
        <w:t xml:space="preserve"> </w:t>
      </w:r>
      <w:r w:rsidR="00C738C2" w:rsidRPr="00702E8F">
        <w:rPr>
          <w:sz w:val="22"/>
          <w:szCs w:val="22"/>
          <w:lang w:val="fr-CA" w:eastAsia="en-GB"/>
        </w:rPr>
        <w:t xml:space="preserve">forêts, et </w:t>
      </w:r>
      <w:r w:rsidR="00FD487C">
        <w:rPr>
          <w:sz w:val="22"/>
          <w:szCs w:val="22"/>
          <w:lang w:val="fr-CA" w:eastAsia="en-GB"/>
        </w:rPr>
        <w:t>de l’énergie et d</w:t>
      </w:r>
      <w:r w:rsidR="00C738C2" w:rsidRPr="00702E8F">
        <w:rPr>
          <w:sz w:val="22"/>
          <w:szCs w:val="22"/>
          <w:lang w:val="fr-CA" w:eastAsia="en-GB"/>
        </w:rPr>
        <w:t>es industries extractives, entre autres</w:t>
      </w:r>
      <w:r w:rsidR="009C18A0" w:rsidRPr="00702E8F">
        <w:rPr>
          <w:sz w:val="22"/>
          <w:szCs w:val="22"/>
          <w:lang w:val="fr-CA" w:eastAsia="en-GB"/>
        </w:rPr>
        <w:t>.</w:t>
      </w:r>
    </w:p>
    <w:p w14:paraId="670E4F25" w14:textId="71CA5E10" w:rsidR="009C18A0" w:rsidRPr="00702E8F" w:rsidRDefault="00927FBE" w:rsidP="00F609C7">
      <w:pPr>
        <w:pStyle w:val="Para1"/>
        <w:numPr>
          <w:ilvl w:val="0"/>
          <w:numId w:val="49"/>
        </w:numPr>
        <w:suppressLineNumbers/>
        <w:suppressAutoHyphens/>
        <w:spacing w:before="120"/>
        <w:ind w:left="0" w:firstLine="0"/>
        <w:jc w:val="both"/>
        <w:rPr>
          <w:sz w:val="22"/>
          <w:szCs w:val="22"/>
          <w:lang w:val="fr-CA" w:eastAsia="en-GB"/>
        </w:rPr>
      </w:pPr>
      <w:r w:rsidRPr="00EC11DC">
        <w:rPr>
          <w:bCs/>
          <w:i/>
          <w:sz w:val="22"/>
          <w:szCs w:val="22"/>
          <w:lang w:val="fr-CA" w:eastAsia="en-GB"/>
        </w:rPr>
        <w:t>Le secteur des affaires</w:t>
      </w:r>
      <w:r w:rsidR="00E453D1" w:rsidRPr="00EC11DC">
        <w:rPr>
          <w:bCs/>
          <w:i/>
          <w:sz w:val="22"/>
          <w:szCs w:val="22"/>
          <w:lang w:val="fr-CA" w:eastAsia="en-GB"/>
        </w:rPr>
        <w:t> </w:t>
      </w:r>
      <w:r w:rsidR="00382788" w:rsidRPr="00EC11DC">
        <w:rPr>
          <w:bCs/>
          <w:i/>
          <w:sz w:val="22"/>
          <w:szCs w:val="22"/>
          <w:lang w:val="fr-CA" w:eastAsia="en-GB"/>
        </w:rPr>
        <w:t>:</w:t>
      </w:r>
      <w:r w:rsidR="00382788" w:rsidRPr="00702E8F">
        <w:rPr>
          <w:sz w:val="22"/>
          <w:szCs w:val="22"/>
          <w:lang w:val="fr-CA" w:eastAsia="en-GB"/>
        </w:rPr>
        <w:t xml:space="preserve"> </w:t>
      </w:r>
      <w:r w:rsidRPr="00702E8F">
        <w:rPr>
          <w:sz w:val="22"/>
          <w:szCs w:val="22"/>
          <w:lang w:val="fr-CA" w:eastAsia="en-GB"/>
        </w:rPr>
        <w:t xml:space="preserve">Composé </w:t>
      </w:r>
      <w:r w:rsidR="00FD487C">
        <w:rPr>
          <w:sz w:val="22"/>
          <w:szCs w:val="22"/>
          <w:lang w:val="fr-CA" w:eastAsia="en-GB"/>
        </w:rPr>
        <w:t>sociétés</w:t>
      </w:r>
      <w:r w:rsidRPr="00702E8F">
        <w:rPr>
          <w:sz w:val="22"/>
          <w:szCs w:val="22"/>
          <w:lang w:val="fr-CA" w:eastAsia="en-GB"/>
        </w:rPr>
        <w:t xml:space="preserve"> et d’organisations d’entreprises des secteurs primaire, sec</w:t>
      </w:r>
      <w:r w:rsidR="008D733D" w:rsidRPr="00702E8F">
        <w:rPr>
          <w:sz w:val="22"/>
          <w:szCs w:val="22"/>
          <w:lang w:val="fr-CA" w:eastAsia="en-GB"/>
        </w:rPr>
        <w:t>ondaire et ter</w:t>
      </w:r>
      <w:r w:rsidRPr="00702E8F">
        <w:rPr>
          <w:sz w:val="22"/>
          <w:szCs w:val="22"/>
          <w:lang w:val="fr-CA" w:eastAsia="en-GB"/>
        </w:rPr>
        <w:t>tiaire de l’économie ayant pour objectif principal de faire de l’argent, le secteur des affaires peut être motivé à participer aux services de la biodiversité et des écosystèmes pour deux grandes raisons fondamentales</w:t>
      </w:r>
      <w:r w:rsidR="00E453D1">
        <w:rPr>
          <w:sz w:val="22"/>
          <w:szCs w:val="22"/>
          <w:lang w:val="fr-CA" w:eastAsia="en-GB"/>
        </w:rPr>
        <w:t> </w:t>
      </w:r>
      <w:r w:rsidR="009C18A0" w:rsidRPr="00702E8F">
        <w:rPr>
          <w:sz w:val="22"/>
          <w:szCs w:val="22"/>
          <w:lang w:val="fr-CA" w:eastAsia="en-GB"/>
        </w:rPr>
        <w:t>:</w:t>
      </w:r>
      <w:r w:rsidR="009C18A0" w:rsidRPr="00702E8F">
        <w:rPr>
          <w:sz w:val="22"/>
          <w:szCs w:val="22"/>
          <w:vertAlign w:val="superscript"/>
          <w:lang w:val="fr-CA" w:eastAsia="en-GB"/>
        </w:rPr>
        <w:footnoteReference w:id="15"/>
      </w:r>
      <w:r w:rsidR="009C18A0" w:rsidRPr="00702E8F">
        <w:rPr>
          <w:sz w:val="22"/>
          <w:szCs w:val="22"/>
          <w:vertAlign w:val="superscript"/>
          <w:lang w:val="fr-CA" w:eastAsia="en-GB"/>
        </w:rPr>
        <w:t>,</w:t>
      </w:r>
      <w:r w:rsidR="004A3487" w:rsidRPr="00702E8F">
        <w:rPr>
          <w:sz w:val="22"/>
          <w:szCs w:val="22"/>
          <w:vertAlign w:val="superscript"/>
          <w:lang w:val="fr-CA" w:eastAsia="en-GB"/>
        </w:rPr>
        <w:t xml:space="preserve"> </w:t>
      </w:r>
      <w:r w:rsidR="009C18A0" w:rsidRPr="00702E8F">
        <w:rPr>
          <w:sz w:val="22"/>
          <w:szCs w:val="22"/>
          <w:vertAlign w:val="superscript"/>
          <w:lang w:val="fr-CA" w:eastAsia="en-GB"/>
        </w:rPr>
        <w:footnoteReference w:id="16"/>
      </w:r>
      <w:r w:rsidR="00382788" w:rsidRPr="00702E8F">
        <w:rPr>
          <w:sz w:val="22"/>
          <w:szCs w:val="22"/>
          <w:vertAlign w:val="superscript"/>
          <w:lang w:val="fr-CA" w:eastAsia="en-GB"/>
        </w:rPr>
        <w:t xml:space="preserve"> </w:t>
      </w:r>
      <w:r w:rsidR="00AD502B" w:rsidRPr="00702E8F">
        <w:rPr>
          <w:sz w:val="22"/>
          <w:szCs w:val="22"/>
          <w:lang w:val="fr-CA" w:eastAsia="en-GB"/>
        </w:rPr>
        <w:t>a</w:t>
      </w:r>
      <w:r w:rsidR="009C18A0" w:rsidRPr="00702E8F">
        <w:rPr>
          <w:sz w:val="22"/>
          <w:szCs w:val="22"/>
          <w:lang w:val="fr-CA" w:eastAsia="en-GB"/>
        </w:rPr>
        <w:t xml:space="preserve">) </w:t>
      </w:r>
      <w:r w:rsidRPr="00702E8F">
        <w:rPr>
          <w:sz w:val="22"/>
          <w:szCs w:val="22"/>
          <w:lang w:val="fr-CA" w:eastAsia="en-GB"/>
        </w:rPr>
        <w:t>comme moyen de gérer les risques (à</w:t>
      </w:r>
      <w:r w:rsidR="008D733D" w:rsidRPr="00702E8F">
        <w:rPr>
          <w:sz w:val="22"/>
          <w:szCs w:val="22"/>
          <w:lang w:val="fr-CA" w:eastAsia="en-GB"/>
        </w:rPr>
        <w:t xml:space="preserve"> la réputation, sociétaux, léga</w:t>
      </w:r>
      <w:r w:rsidRPr="00702E8F">
        <w:rPr>
          <w:sz w:val="22"/>
          <w:szCs w:val="22"/>
          <w:lang w:val="fr-CA" w:eastAsia="en-GB"/>
        </w:rPr>
        <w:t xml:space="preserve">ux et réglementaires, </w:t>
      </w:r>
      <w:r w:rsidR="008D733D" w:rsidRPr="00702E8F">
        <w:rPr>
          <w:sz w:val="22"/>
          <w:szCs w:val="22"/>
          <w:lang w:val="fr-CA" w:eastAsia="en-GB"/>
        </w:rPr>
        <w:t>f</w:t>
      </w:r>
      <w:r w:rsidRPr="00702E8F">
        <w:rPr>
          <w:sz w:val="22"/>
          <w:szCs w:val="22"/>
          <w:lang w:val="fr-CA" w:eastAsia="en-GB"/>
        </w:rPr>
        <w:t xml:space="preserve">inanciers et opérationnels liés aux pratiques qui nuisent à l’environnement) de la </w:t>
      </w:r>
      <w:r w:rsidR="008D733D" w:rsidRPr="00702E8F">
        <w:rPr>
          <w:sz w:val="22"/>
          <w:szCs w:val="22"/>
          <w:lang w:val="fr-CA" w:eastAsia="en-GB"/>
        </w:rPr>
        <w:t>chaîne</w:t>
      </w:r>
      <w:r w:rsidRPr="00702E8F">
        <w:rPr>
          <w:sz w:val="22"/>
          <w:szCs w:val="22"/>
          <w:lang w:val="fr-CA" w:eastAsia="en-GB"/>
        </w:rPr>
        <w:t xml:space="preserve"> des valeurs et des </w:t>
      </w:r>
      <w:r w:rsidR="00D1461C">
        <w:rPr>
          <w:sz w:val="22"/>
          <w:szCs w:val="22"/>
          <w:lang w:val="fr-CA" w:eastAsia="en-GB"/>
        </w:rPr>
        <w:t>secteurs productifs</w:t>
      </w:r>
      <w:r w:rsidRPr="00702E8F">
        <w:rPr>
          <w:sz w:val="22"/>
          <w:szCs w:val="22"/>
          <w:lang w:val="fr-CA" w:eastAsia="en-GB"/>
        </w:rPr>
        <w:t xml:space="preserve"> et b) comme moyen de profiter des occasions et de générer des profits. L</w:t>
      </w:r>
      <w:r w:rsidR="008D733D" w:rsidRPr="00702E8F">
        <w:rPr>
          <w:sz w:val="22"/>
          <w:szCs w:val="22"/>
          <w:lang w:val="fr-CA" w:eastAsia="en-GB"/>
        </w:rPr>
        <w:t xml:space="preserve">e </w:t>
      </w:r>
      <w:r w:rsidR="008D733D" w:rsidRPr="00D1461C">
        <w:rPr>
          <w:i/>
          <w:sz w:val="22"/>
          <w:szCs w:val="22"/>
          <w:lang w:val="fr-CA" w:eastAsia="en-GB"/>
        </w:rPr>
        <w:t xml:space="preserve">Global </w:t>
      </w:r>
      <w:proofErr w:type="spellStart"/>
      <w:r w:rsidR="008D733D" w:rsidRPr="00D1461C">
        <w:rPr>
          <w:i/>
          <w:sz w:val="22"/>
          <w:szCs w:val="22"/>
          <w:lang w:val="fr-CA" w:eastAsia="en-GB"/>
        </w:rPr>
        <w:t>Risks</w:t>
      </w:r>
      <w:proofErr w:type="spellEnd"/>
      <w:r w:rsidR="008D733D" w:rsidRPr="00D1461C">
        <w:rPr>
          <w:i/>
          <w:sz w:val="22"/>
          <w:szCs w:val="22"/>
          <w:lang w:val="fr-CA" w:eastAsia="en-GB"/>
        </w:rPr>
        <w:t xml:space="preserve"> Report</w:t>
      </w:r>
      <w:r w:rsidR="008D733D" w:rsidRPr="00702E8F">
        <w:rPr>
          <w:sz w:val="22"/>
          <w:szCs w:val="22"/>
          <w:lang w:val="fr-CA" w:eastAsia="en-GB"/>
        </w:rPr>
        <w:t xml:space="preserve"> de 2020 </w:t>
      </w:r>
      <w:r w:rsidR="009C18A0" w:rsidRPr="00702E8F">
        <w:rPr>
          <w:sz w:val="22"/>
          <w:szCs w:val="22"/>
          <w:vertAlign w:val="superscript"/>
          <w:lang w:val="fr-CA" w:eastAsia="en-GB"/>
        </w:rPr>
        <w:footnoteReference w:id="17"/>
      </w:r>
      <w:r w:rsidR="009C18A0" w:rsidRPr="00702E8F">
        <w:rPr>
          <w:sz w:val="22"/>
          <w:szCs w:val="22"/>
          <w:lang w:val="fr-CA" w:eastAsia="en-GB"/>
        </w:rPr>
        <w:t xml:space="preserve"> </w:t>
      </w:r>
      <w:r w:rsidR="008D733D" w:rsidRPr="00702E8F">
        <w:rPr>
          <w:sz w:val="22"/>
          <w:szCs w:val="22"/>
          <w:lang w:val="fr-CA" w:eastAsia="en-GB"/>
        </w:rPr>
        <w:t>du Forum économique mondial a nommé la perte de la biodiversité et l’</w:t>
      </w:r>
      <w:r w:rsidR="008E78F2" w:rsidRPr="00702E8F">
        <w:rPr>
          <w:sz w:val="22"/>
          <w:szCs w:val="22"/>
          <w:lang w:val="fr-CA" w:eastAsia="en-GB"/>
        </w:rPr>
        <w:t>e</w:t>
      </w:r>
      <w:r w:rsidR="008D733D" w:rsidRPr="00702E8F">
        <w:rPr>
          <w:sz w:val="22"/>
          <w:szCs w:val="22"/>
          <w:lang w:val="fr-CA" w:eastAsia="en-GB"/>
        </w:rPr>
        <w:t>ffondrement des écosystèmes parmi les cinq plus grands risques, les quatre autres étant liés aux changements climatiques</w:t>
      </w:r>
      <w:r w:rsidR="008E78F2" w:rsidRPr="00702E8F">
        <w:rPr>
          <w:sz w:val="22"/>
          <w:szCs w:val="22"/>
          <w:lang w:val="fr-CA" w:eastAsia="en-GB"/>
        </w:rPr>
        <w:t xml:space="preserve">. Les secteurs des affaires liés à la production alimentaire et de fibres (agriculture, forêts et pêche), </w:t>
      </w:r>
      <w:r w:rsidR="00D1461C">
        <w:rPr>
          <w:sz w:val="22"/>
          <w:szCs w:val="22"/>
          <w:lang w:val="fr-CA" w:eastAsia="en-GB"/>
        </w:rPr>
        <w:t>à l’</w:t>
      </w:r>
      <w:r w:rsidR="008E78F2" w:rsidRPr="00702E8F">
        <w:rPr>
          <w:sz w:val="22"/>
          <w:szCs w:val="22"/>
          <w:lang w:val="fr-CA" w:eastAsia="en-GB"/>
        </w:rPr>
        <w:t xml:space="preserve">énergie, </w:t>
      </w:r>
      <w:r w:rsidR="00D1461C">
        <w:rPr>
          <w:sz w:val="22"/>
          <w:szCs w:val="22"/>
          <w:lang w:val="fr-CA" w:eastAsia="en-GB"/>
        </w:rPr>
        <w:t>aux</w:t>
      </w:r>
      <w:r w:rsidR="008E78F2" w:rsidRPr="00702E8F">
        <w:rPr>
          <w:sz w:val="22"/>
          <w:szCs w:val="22"/>
          <w:lang w:val="fr-CA" w:eastAsia="en-GB"/>
        </w:rPr>
        <w:t xml:space="preserve"> infrastructures et </w:t>
      </w:r>
      <w:r w:rsidR="00D1461C">
        <w:rPr>
          <w:sz w:val="22"/>
          <w:szCs w:val="22"/>
          <w:lang w:val="fr-CA" w:eastAsia="en-GB"/>
        </w:rPr>
        <w:t>aux</w:t>
      </w:r>
      <w:r w:rsidR="008E78F2" w:rsidRPr="00702E8F">
        <w:rPr>
          <w:sz w:val="22"/>
          <w:szCs w:val="22"/>
          <w:lang w:val="fr-CA" w:eastAsia="en-GB"/>
        </w:rPr>
        <w:t xml:space="preserve"> secteurs de l’extraction, </w:t>
      </w:r>
      <w:r w:rsidR="00D1461C">
        <w:rPr>
          <w:sz w:val="22"/>
          <w:szCs w:val="22"/>
          <w:lang w:val="fr-CA" w:eastAsia="en-GB"/>
        </w:rPr>
        <w:t>au</w:t>
      </w:r>
      <w:r w:rsidR="008E78F2" w:rsidRPr="00702E8F">
        <w:rPr>
          <w:sz w:val="22"/>
          <w:szCs w:val="22"/>
          <w:lang w:val="fr-CA" w:eastAsia="en-GB"/>
        </w:rPr>
        <w:t xml:space="preserve"> transport, </w:t>
      </w:r>
      <w:r w:rsidR="00D1461C">
        <w:rPr>
          <w:sz w:val="22"/>
          <w:szCs w:val="22"/>
          <w:lang w:val="fr-CA" w:eastAsia="en-GB"/>
        </w:rPr>
        <w:t>au</w:t>
      </w:r>
      <w:r w:rsidR="008E78F2" w:rsidRPr="00702E8F">
        <w:rPr>
          <w:sz w:val="22"/>
          <w:szCs w:val="22"/>
          <w:lang w:val="fr-CA" w:eastAsia="en-GB"/>
        </w:rPr>
        <w:t xml:space="preserve"> développement urbain et </w:t>
      </w:r>
      <w:r w:rsidR="00D1461C">
        <w:rPr>
          <w:sz w:val="22"/>
          <w:szCs w:val="22"/>
          <w:lang w:val="fr-CA" w:eastAsia="en-GB"/>
        </w:rPr>
        <w:t>au</w:t>
      </w:r>
      <w:r w:rsidR="008E78F2" w:rsidRPr="00702E8F">
        <w:rPr>
          <w:sz w:val="22"/>
          <w:szCs w:val="22"/>
          <w:lang w:val="fr-CA" w:eastAsia="en-GB"/>
        </w:rPr>
        <w:t xml:space="preserve"> tourisme, entre autres, sont d’une importance particulière pour la biodiversité.</w:t>
      </w:r>
      <w:r w:rsidR="009C18A0" w:rsidRPr="00702E8F">
        <w:rPr>
          <w:sz w:val="22"/>
          <w:szCs w:val="22"/>
          <w:vertAlign w:val="superscript"/>
          <w:lang w:val="fr-CA" w:eastAsia="en-GB"/>
        </w:rPr>
        <w:footnoteReference w:id="18"/>
      </w:r>
    </w:p>
    <w:p w14:paraId="6E3B4EA2" w14:textId="06F98D5D" w:rsidR="009C18A0" w:rsidRPr="00702E8F" w:rsidRDefault="008E78F2" w:rsidP="00F609C7">
      <w:pPr>
        <w:pStyle w:val="Para1"/>
        <w:numPr>
          <w:ilvl w:val="0"/>
          <w:numId w:val="49"/>
        </w:numPr>
        <w:suppressLineNumbers/>
        <w:suppressAutoHyphens/>
        <w:spacing w:before="120"/>
        <w:ind w:left="0" w:firstLine="0"/>
        <w:jc w:val="both"/>
        <w:rPr>
          <w:sz w:val="22"/>
          <w:szCs w:val="22"/>
          <w:lang w:val="fr-CA" w:eastAsia="en-GB"/>
        </w:rPr>
      </w:pPr>
      <w:r w:rsidRPr="00EC11DC">
        <w:rPr>
          <w:bCs/>
          <w:i/>
          <w:sz w:val="22"/>
          <w:szCs w:val="22"/>
          <w:lang w:val="fr-CA" w:eastAsia="en-GB"/>
        </w:rPr>
        <w:t>Le secteur financier</w:t>
      </w:r>
      <w:r w:rsidR="00E453D1" w:rsidRPr="00EC11DC">
        <w:rPr>
          <w:bCs/>
          <w:i/>
          <w:sz w:val="22"/>
          <w:szCs w:val="22"/>
          <w:lang w:val="fr-CA" w:eastAsia="en-GB"/>
        </w:rPr>
        <w:t> </w:t>
      </w:r>
      <w:r w:rsidRPr="00EC11DC">
        <w:rPr>
          <w:bCs/>
          <w:i/>
          <w:sz w:val="22"/>
          <w:szCs w:val="22"/>
          <w:lang w:val="fr-CA" w:eastAsia="en-GB"/>
        </w:rPr>
        <w:t>:</w:t>
      </w:r>
      <w:r w:rsidRPr="00702E8F">
        <w:rPr>
          <w:b/>
          <w:bCs/>
          <w:sz w:val="22"/>
          <w:szCs w:val="22"/>
          <w:lang w:val="fr-CA" w:eastAsia="en-GB"/>
        </w:rPr>
        <w:t xml:space="preserve"> </w:t>
      </w:r>
      <w:r w:rsidR="00B13250">
        <w:rPr>
          <w:bCs/>
          <w:sz w:val="22"/>
          <w:szCs w:val="22"/>
          <w:lang w:val="fr-CA" w:eastAsia="en-GB"/>
        </w:rPr>
        <w:t>Le</w:t>
      </w:r>
      <w:r w:rsidRPr="00702E8F">
        <w:rPr>
          <w:bCs/>
          <w:sz w:val="22"/>
          <w:szCs w:val="22"/>
          <w:lang w:val="fr-CA" w:eastAsia="en-GB"/>
        </w:rPr>
        <w:t xml:space="preserve"> secteur financier </w:t>
      </w:r>
      <w:r w:rsidR="00B13250">
        <w:rPr>
          <w:bCs/>
          <w:sz w:val="22"/>
          <w:szCs w:val="22"/>
          <w:lang w:val="fr-CA" w:eastAsia="en-GB"/>
        </w:rPr>
        <w:t>regroupe d’importants acteurs tels</w:t>
      </w:r>
      <w:r w:rsidRPr="00702E8F">
        <w:rPr>
          <w:bCs/>
          <w:sz w:val="22"/>
          <w:szCs w:val="22"/>
          <w:lang w:val="fr-CA" w:eastAsia="en-GB"/>
        </w:rPr>
        <w:t xml:space="preserve"> les banques centrales et autres organes de réglementation, les banques com</w:t>
      </w:r>
      <w:r w:rsidR="00FC2F39" w:rsidRPr="00702E8F">
        <w:rPr>
          <w:bCs/>
          <w:sz w:val="22"/>
          <w:szCs w:val="22"/>
          <w:lang w:val="fr-CA" w:eastAsia="en-GB"/>
        </w:rPr>
        <w:t>m</w:t>
      </w:r>
      <w:r w:rsidRPr="00702E8F">
        <w:rPr>
          <w:bCs/>
          <w:sz w:val="22"/>
          <w:szCs w:val="22"/>
          <w:lang w:val="fr-CA" w:eastAsia="en-GB"/>
        </w:rPr>
        <w:t>e</w:t>
      </w:r>
      <w:r w:rsidR="00FC2F39" w:rsidRPr="00702E8F">
        <w:rPr>
          <w:bCs/>
          <w:sz w:val="22"/>
          <w:szCs w:val="22"/>
          <w:lang w:val="fr-CA" w:eastAsia="en-GB"/>
        </w:rPr>
        <w:t>r</w:t>
      </w:r>
      <w:r w:rsidRPr="00702E8F">
        <w:rPr>
          <w:bCs/>
          <w:sz w:val="22"/>
          <w:szCs w:val="22"/>
          <w:lang w:val="fr-CA" w:eastAsia="en-GB"/>
        </w:rPr>
        <w:t xml:space="preserve">ciales, les </w:t>
      </w:r>
      <w:r w:rsidR="00847684" w:rsidRPr="00702E8F">
        <w:rPr>
          <w:bCs/>
          <w:sz w:val="22"/>
          <w:szCs w:val="22"/>
          <w:lang w:val="fr-CA" w:eastAsia="en-GB"/>
        </w:rPr>
        <w:t>investisseurs institutionnels</w:t>
      </w:r>
      <w:r w:rsidR="00FC2F39" w:rsidRPr="00702E8F">
        <w:rPr>
          <w:bCs/>
          <w:sz w:val="22"/>
          <w:szCs w:val="22"/>
          <w:lang w:val="fr-CA" w:eastAsia="en-GB"/>
        </w:rPr>
        <w:t xml:space="preserve"> et les gestionnaires d’actifs (dont les fonds de retraite), l’industrie de l’assurance et les banques de développement nationales, régionales et internationales. </w:t>
      </w:r>
      <w:r w:rsidR="00B13250">
        <w:rPr>
          <w:bCs/>
          <w:sz w:val="22"/>
          <w:szCs w:val="22"/>
          <w:lang w:val="fr-CA" w:eastAsia="en-GB"/>
        </w:rPr>
        <w:t>Il offre</w:t>
      </w:r>
      <w:r w:rsidR="00FC2F39" w:rsidRPr="00702E8F">
        <w:rPr>
          <w:bCs/>
          <w:sz w:val="22"/>
          <w:szCs w:val="22"/>
          <w:lang w:val="fr-CA" w:eastAsia="en-GB"/>
        </w:rPr>
        <w:t xml:space="preserve"> des services financiers aux entreprises, aux particuliers et aux gouvernements. À l’instar du secteur des affaires, le secteur financier est motivé à s’engager </w:t>
      </w:r>
      <w:r w:rsidR="00DD3B2C">
        <w:rPr>
          <w:bCs/>
          <w:sz w:val="22"/>
          <w:szCs w:val="22"/>
          <w:lang w:val="fr-CA" w:eastAsia="en-GB"/>
        </w:rPr>
        <w:t>dans le domaine de</w:t>
      </w:r>
      <w:r w:rsidR="00FC2F39" w:rsidRPr="00702E8F">
        <w:rPr>
          <w:bCs/>
          <w:sz w:val="22"/>
          <w:szCs w:val="22"/>
          <w:lang w:val="fr-CA" w:eastAsia="en-GB"/>
        </w:rPr>
        <w:t xml:space="preserve"> la biodiversité et des services écosystémiques pour les deux raisons fond</w:t>
      </w:r>
      <w:r w:rsidR="006C734D" w:rsidRPr="00702E8F">
        <w:rPr>
          <w:bCs/>
          <w:sz w:val="22"/>
          <w:szCs w:val="22"/>
          <w:lang w:val="fr-CA" w:eastAsia="en-GB"/>
        </w:rPr>
        <w:t>a</w:t>
      </w:r>
      <w:r w:rsidR="00FC2F39" w:rsidRPr="00702E8F">
        <w:rPr>
          <w:bCs/>
          <w:sz w:val="22"/>
          <w:szCs w:val="22"/>
          <w:lang w:val="fr-CA" w:eastAsia="en-GB"/>
        </w:rPr>
        <w:t xml:space="preserve">mentales indiquées </w:t>
      </w:r>
      <w:r w:rsidR="00FC2F39" w:rsidRPr="00702E8F">
        <w:rPr>
          <w:bCs/>
          <w:sz w:val="22"/>
          <w:szCs w:val="22"/>
          <w:lang w:val="fr-CA" w:eastAsia="en-GB"/>
        </w:rPr>
        <w:lastRenderedPageBreak/>
        <w:t>ci-dessus : gérer les risques et générer des profits</w:t>
      </w:r>
      <w:r w:rsidR="009C18A0" w:rsidRPr="00702E8F">
        <w:rPr>
          <w:sz w:val="22"/>
          <w:szCs w:val="22"/>
          <w:lang w:val="fr-CA" w:eastAsia="en-GB"/>
        </w:rPr>
        <w:t>.</w:t>
      </w:r>
      <w:r w:rsidR="009C18A0" w:rsidRPr="00702E8F">
        <w:rPr>
          <w:sz w:val="22"/>
          <w:szCs w:val="22"/>
          <w:vertAlign w:val="superscript"/>
          <w:lang w:val="fr-CA" w:eastAsia="en-GB"/>
        </w:rPr>
        <w:footnoteReference w:id="19"/>
      </w:r>
      <w:r w:rsidR="009C18A0" w:rsidRPr="00702E8F">
        <w:rPr>
          <w:sz w:val="22"/>
          <w:szCs w:val="22"/>
          <w:vertAlign w:val="superscript"/>
          <w:lang w:val="fr-CA" w:eastAsia="en-GB"/>
        </w:rPr>
        <w:t>,</w:t>
      </w:r>
      <w:r w:rsidR="00046221" w:rsidRPr="00702E8F">
        <w:rPr>
          <w:sz w:val="22"/>
          <w:szCs w:val="22"/>
          <w:vertAlign w:val="superscript"/>
          <w:lang w:val="fr-CA" w:eastAsia="en-GB"/>
        </w:rPr>
        <w:t xml:space="preserve"> </w:t>
      </w:r>
      <w:r w:rsidR="009C18A0" w:rsidRPr="00702E8F">
        <w:rPr>
          <w:sz w:val="22"/>
          <w:szCs w:val="22"/>
          <w:vertAlign w:val="superscript"/>
          <w:lang w:val="fr-CA" w:eastAsia="en-GB"/>
        </w:rPr>
        <w:footnoteReference w:id="20"/>
      </w:r>
      <w:r w:rsidR="00EC11DC">
        <w:rPr>
          <w:sz w:val="22"/>
          <w:szCs w:val="22"/>
          <w:vertAlign w:val="superscript"/>
          <w:lang w:val="fr-CA" w:eastAsia="en-GB"/>
        </w:rPr>
        <w:t xml:space="preserve"> </w:t>
      </w:r>
      <w:r w:rsidR="00EC11DC">
        <w:rPr>
          <w:sz w:val="22"/>
          <w:szCs w:val="22"/>
          <w:lang w:val="fr-CA" w:eastAsia="en-GB"/>
        </w:rPr>
        <w:t xml:space="preserve">Les risques macroéconomiques doivent être gérés, dans le cas des banques centrales et autres </w:t>
      </w:r>
      <w:r w:rsidR="00AA20EA">
        <w:rPr>
          <w:sz w:val="22"/>
          <w:szCs w:val="22"/>
          <w:lang w:val="fr-CA" w:eastAsia="en-GB"/>
        </w:rPr>
        <w:t>organes de réglementation, et les profits ainsi que le</w:t>
      </w:r>
      <w:r w:rsidR="00DD3B2C">
        <w:rPr>
          <w:sz w:val="22"/>
          <w:szCs w:val="22"/>
          <w:lang w:val="fr-CA" w:eastAsia="en-GB"/>
        </w:rPr>
        <w:t>s</w:t>
      </w:r>
      <w:r w:rsidR="00AA20EA">
        <w:rPr>
          <w:sz w:val="22"/>
          <w:szCs w:val="22"/>
          <w:lang w:val="fr-CA" w:eastAsia="en-GB"/>
        </w:rPr>
        <w:t xml:space="preserve"> risque</w:t>
      </w:r>
      <w:r w:rsidR="00DD3B2C">
        <w:rPr>
          <w:sz w:val="22"/>
          <w:szCs w:val="22"/>
          <w:lang w:val="fr-CA" w:eastAsia="en-GB"/>
        </w:rPr>
        <w:t>s</w:t>
      </w:r>
      <w:r w:rsidR="00AA20EA">
        <w:rPr>
          <w:sz w:val="22"/>
          <w:szCs w:val="22"/>
          <w:lang w:val="fr-CA" w:eastAsia="en-GB"/>
        </w:rPr>
        <w:t xml:space="preserve"> que courent les entités financières réglementées deviennent la principale préoccupation.</w:t>
      </w:r>
    </w:p>
    <w:p w14:paraId="64E99366" w14:textId="3D811D9D" w:rsidR="008E78D2" w:rsidRPr="00702E8F" w:rsidRDefault="008A7E1A"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 xml:space="preserve">Les ministères gouvernementaux, les agences de développement, les banques de développement, les fondations philanthropiques et les </w:t>
      </w:r>
      <w:r w:rsidR="00B13250">
        <w:rPr>
          <w:sz w:val="22"/>
          <w:szCs w:val="22"/>
          <w:lang w:val="fr-CA" w:eastAsia="en-GB"/>
        </w:rPr>
        <w:t>sources de financement privé</w:t>
      </w:r>
      <w:r w:rsidRPr="00702E8F">
        <w:rPr>
          <w:sz w:val="22"/>
          <w:szCs w:val="22"/>
          <w:lang w:val="fr-CA" w:eastAsia="en-GB"/>
        </w:rPr>
        <w:t xml:space="preserve"> mobilisé</w:t>
      </w:r>
      <w:r w:rsidR="00A73156">
        <w:rPr>
          <w:sz w:val="22"/>
          <w:szCs w:val="22"/>
          <w:lang w:val="fr-CA" w:eastAsia="en-GB"/>
        </w:rPr>
        <w:t>e</w:t>
      </w:r>
      <w:r w:rsidRPr="00702E8F">
        <w:rPr>
          <w:sz w:val="22"/>
          <w:szCs w:val="22"/>
          <w:lang w:val="fr-CA" w:eastAsia="en-GB"/>
        </w:rPr>
        <w:t>s par le financement du développement public</w:t>
      </w:r>
      <w:r w:rsidR="00EB15E9">
        <w:rPr>
          <w:sz w:val="22"/>
          <w:szCs w:val="22"/>
          <w:lang w:val="fr-CA" w:eastAsia="en-GB"/>
        </w:rPr>
        <w:t>, ainsi que la société civile,</w:t>
      </w:r>
      <w:r w:rsidRPr="00702E8F">
        <w:rPr>
          <w:sz w:val="22"/>
          <w:szCs w:val="22"/>
          <w:lang w:val="fr-CA" w:eastAsia="en-GB"/>
        </w:rPr>
        <w:t xml:space="preserve"> sont les </w:t>
      </w:r>
      <w:r w:rsidR="006C734D" w:rsidRPr="00702E8F">
        <w:rPr>
          <w:sz w:val="22"/>
          <w:szCs w:val="22"/>
          <w:lang w:val="fr-CA" w:eastAsia="en-GB"/>
        </w:rPr>
        <w:t xml:space="preserve">principaux acteurs </w:t>
      </w:r>
      <w:r w:rsidR="00B13250">
        <w:rPr>
          <w:sz w:val="22"/>
          <w:szCs w:val="22"/>
          <w:lang w:val="fr-CA" w:eastAsia="en-GB"/>
        </w:rPr>
        <w:t>de la</w:t>
      </w:r>
      <w:r w:rsidRPr="00702E8F">
        <w:rPr>
          <w:sz w:val="22"/>
          <w:szCs w:val="22"/>
          <w:lang w:val="fr-CA" w:eastAsia="en-GB"/>
        </w:rPr>
        <w:t xml:space="preserve"> mobilisation de </w:t>
      </w:r>
      <w:r w:rsidR="005F5947" w:rsidRPr="00AA20EA">
        <w:rPr>
          <w:i/>
          <w:sz w:val="22"/>
          <w:szCs w:val="22"/>
          <w:lang w:val="fr-CA" w:eastAsia="en-GB"/>
        </w:rPr>
        <w:t>financement international</w:t>
      </w:r>
      <w:r w:rsidRPr="00AA20EA">
        <w:rPr>
          <w:i/>
          <w:sz w:val="22"/>
          <w:szCs w:val="22"/>
          <w:lang w:val="fr-CA" w:eastAsia="en-GB"/>
        </w:rPr>
        <w:t xml:space="preserve"> pour le développement</w:t>
      </w:r>
      <w:r w:rsidR="00445B12" w:rsidRPr="00702E8F">
        <w:rPr>
          <w:sz w:val="22"/>
          <w:szCs w:val="22"/>
          <w:lang w:val="fr-CA" w:eastAsia="en-GB"/>
        </w:rPr>
        <w:t xml:space="preserve">. </w:t>
      </w:r>
      <w:r w:rsidR="0022053B">
        <w:rPr>
          <w:sz w:val="22"/>
          <w:szCs w:val="22"/>
          <w:lang w:val="fr-CA" w:eastAsia="en-GB"/>
        </w:rPr>
        <w:t>L</w:t>
      </w:r>
      <w:r w:rsidR="00445B12" w:rsidRPr="00702E8F">
        <w:rPr>
          <w:sz w:val="22"/>
          <w:szCs w:val="22"/>
          <w:lang w:val="fr-CA" w:eastAsia="en-GB"/>
        </w:rPr>
        <w:t>e flux d’aide publique au développement (APD), d’autres apports du secteur pu</w:t>
      </w:r>
      <w:r w:rsidR="005F5947" w:rsidRPr="00702E8F">
        <w:rPr>
          <w:sz w:val="22"/>
          <w:szCs w:val="22"/>
          <w:lang w:val="fr-CA" w:eastAsia="en-GB"/>
        </w:rPr>
        <w:t>b</w:t>
      </w:r>
      <w:r w:rsidR="00445B12" w:rsidRPr="00702E8F">
        <w:rPr>
          <w:sz w:val="22"/>
          <w:szCs w:val="22"/>
          <w:lang w:val="fr-CA" w:eastAsia="en-GB"/>
        </w:rPr>
        <w:t>lic (</w:t>
      </w:r>
      <w:proofErr w:type="spellStart"/>
      <w:r w:rsidR="005F5947" w:rsidRPr="00702E8F">
        <w:rPr>
          <w:sz w:val="22"/>
          <w:szCs w:val="22"/>
          <w:lang w:val="fr-CA" w:eastAsia="en-GB"/>
        </w:rPr>
        <w:t>AA</w:t>
      </w:r>
      <w:r w:rsidR="00445B12" w:rsidRPr="00702E8F">
        <w:rPr>
          <w:sz w:val="22"/>
          <w:szCs w:val="22"/>
          <w:lang w:val="fr-CA" w:eastAsia="en-GB"/>
        </w:rPr>
        <w:t>SP</w:t>
      </w:r>
      <w:proofErr w:type="spellEnd"/>
      <w:r w:rsidR="00445B12" w:rsidRPr="00702E8F">
        <w:rPr>
          <w:sz w:val="22"/>
          <w:szCs w:val="22"/>
          <w:lang w:val="fr-CA" w:eastAsia="en-GB"/>
        </w:rPr>
        <w:t>) et la coopération Sud-Sud</w:t>
      </w:r>
      <w:r w:rsidR="0022053B">
        <w:rPr>
          <w:sz w:val="22"/>
          <w:szCs w:val="22"/>
          <w:lang w:val="fr-CA" w:eastAsia="en-GB"/>
        </w:rPr>
        <w:t xml:space="preserve"> sont des</w:t>
      </w:r>
      <w:r w:rsidR="0022053B" w:rsidRPr="00702E8F">
        <w:rPr>
          <w:sz w:val="22"/>
          <w:szCs w:val="22"/>
          <w:lang w:val="fr-CA" w:eastAsia="en-GB"/>
        </w:rPr>
        <w:t xml:space="preserve"> instruments de financement international pour le développement, tant bilatéraux que multilatéraux (p. ex., le Fonds pour l’env</w:t>
      </w:r>
      <w:r w:rsidR="0022053B">
        <w:rPr>
          <w:sz w:val="22"/>
          <w:szCs w:val="22"/>
          <w:lang w:val="fr-CA" w:eastAsia="en-GB"/>
        </w:rPr>
        <w:t>ironnement mondial)</w:t>
      </w:r>
      <w:r w:rsidR="00615F86" w:rsidRPr="00702E8F">
        <w:rPr>
          <w:sz w:val="22"/>
          <w:szCs w:val="22"/>
          <w:lang w:val="fr-CA" w:eastAsia="en-GB"/>
        </w:rPr>
        <w:t>.</w:t>
      </w:r>
      <w:r w:rsidR="009C18A0" w:rsidRPr="00702E8F">
        <w:rPr>
          <w:sz w:val="22"/>
          <w:szCs w:val="22"/>
          <w:vertAlign w:val="superscript"/>
          <w:lang w:val="fr-CA" w:eastAsia="en-GB"/>
        </w:rPr>
        <w:footnoteReference w:id="21"/>
      </w:r>
    </w:p>
    <w:p w14:paraId="60354C0B" w14:textId="2E121A9C" w:rsidR="009C18A0" w:rsidRPr="00702E8F" w:rsidRDefault="008C2E52" w:rsidP="00DB3155">
      <w:pPr>
        <w:pStyle w:val="HEADINGNOTFORTOC"/>
        <w:tabs>
          <w:tab w:val="clear" w:pos="720"/>
          <w:tab w:val="left" w:pos="426"/>
        </w:tabs>
        <w:spacing w:before="120"/>
        <w:ind w:left="1276" w:hanging="851"/>
        <w:jc w:val="left"/>
        <w:rPr>
          <w:sz w:val="22"/>
          <w:szCs w:val="22"/>
          <w:lang w:val="fr-CA" w:eastAsia="en-GB"/>
        </w:rPr>
      </w:pPr>
      <w:r w:rsidRPr="00702E8F">
        <w:rPr>
          <w:sz w:val="22"/>
          <w:szCs w:val="22"/>
          <w:lang w:val="fr-CA" w:eastAsia="en-GB"/>
        </w:rPr>
        <w:t>III.</w:t>
      </w:r>
      <w:r w:rsidRPr="00702E8F">
        <w:rPr>
          <w:sz w:val="22"/>
          <w:szCs w:val="22"/>
          <w:lang w:val="fr-CA" w:eastAsia="en-GB"/>
        </w:rPr>
        <w:tab/>
      </w:r>
      <w:r w:rsidR="00E0284D" w:rsidRPr="00702E8F">
        <w:rPr>
          <w:sz w:val="22"/>
          <w:szCs w:val="22"/>
          <w:lang w:val="fr-CA" w:eastAsia="en-GB"/>
        </w:rPr>
        <w:t>VOLET I DE LA MOBILISATION DES RESSOURCES : RÉDUIRE OU RÉALLOUER LES RESSOURCES QUI ONT DES EFFETS NUISIBLES SUR LA BIODIVERSITÉ</w:t>
      </w:r>
    </w:p>
    <w:p w14:paraId="72656B62" w14:textId="16440F39" w:rsidR="001E5F73" w:rsidRPr="00702E8F" w:rsidRDefault="00694AA6"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Les principales mesures à prendre pour réaliser ce volet de la mobilisation des ressources sont recommandées dans les paragraphes ci-dessous</w:t>
      </w:r>
      <w:r w:rsidR="001E5F73" w:rsidRPr="00702E8F">
        <w:rPr>
          <w:sz w:val="22"/>
          <w:szCs w:val="22"/>
          <w:lang w:val="fr-CA" w:eastAsia="en-GB"/>
        </w:rPr>
        <w:t>.</w:t>
      </w:r>
    </w:p>
    <w:p w14:paraId="77B33B27" w14:textId="509F2895" w:rsidR="009C18A0" w:rsidRPr="00702E8F" w:rsidRDefault="00EB15E9" w:rsidP="00DB3155">
      <w:pPr>
        <w:pStyle w:val="Para1"/>
        <w:numPr>
          <w:ilvl w:val="0"/>
          <w:numId w:val="49"/>
        </w:numPr>
        <w:suppressLineNumbers/>
        <w:suppressAutoHyphens/>
        <w:spacing w:before="120"/>
        <w:ind w:left="0" w:firstLine="0"/>
        <w:jc w:val="both"/>
        <w:rPr>
          <w:sz w:val="22"/>
          <w:szCs w:val="22"/>
          <w:lang w:val="fr-CA" w:eastAsia="en-GB"/>
        </w:rPr>
      </w:pPr>
      <w:r>
        <w:rPr>
          <w:b/>
          <w:bCs/>
          <w:sz w:val="22"/>
          <w:szCs w:val="22"/>
          <w:lang w:val="fr-CA"/>
        </w:rPr>
        <w:t>Réviser</w:t>
      </w:r>
      <w:r w:rsidR="00A73156">
        <w:rPr>
          <w:b/>
          <w:bCs/>
          <w:sz w:val="22"/>
          <w:szCs w:val="22"/>
          <w:lang w:val="fr-CA"/>
        </w:rPr>
        <w:t xml:space="preserve"> </w:t>
      </w:r>
      <w:r w:rsidR="00694AA6" w:rsidRPr="00702E8F">
        <w:rPr>
          <w:b/>
          <w:bCs/>
          <w:sz w:val="22"/>
          <w:szCs w:val="22"/>
          <w:lang w:val="fr-CA"/>
        </w:rPr>
        <w:t>les budgets gouvernementaux de tous les secteurs et à tous les niveaux</w:t>
      </w:r>
      <w:r>
        <w:rPr>
          <w:b/>
          <w:bCs/>
          <w:sz w:val="22"/>
          <w:szCs w:val="22"/>
          <w:lang w:val="fr-CA"/>
        </w:rPr>
        <w:t>, afin qu’au moins, ils ne nuisent pas</w:t>
      </w:r>
      <w:r w:rsidR="00694AA6" w:rsidRPr="00702E8F">
        <w:rPr>
          <w:b/>
          <w:bCs/>
          <w:sz w:val="22"/>
          <w:szCs w:val="22"/>
          <w:lang w:val="fr-CA"/>
        </w:rPr>
        <w:t xml:space="preserve"> à la biodiversité</w:t>
      </w:r>
      <w:r w:rsidR="00E453D1">
        <w:rPr>
          <w:b/>
          <w:bCs/>
          <w:sz w:val="22"/>
          <w:szCs w:val="22"/>
          <w:lang w:val="fr-CA"/>
        </w:rPr>
        <w:t> </w:t>
      </w:r>
      <w:r w:rsidR="00150EEC" w:rsidRPr="00702E8F">
        <w:rPr>
          <w:b/>
          <w:bCs/>
          <w:sz w:val="22"/>
          <w:szCs w:val="22"/>
          <w:lang w:val="fr-CA"/>
        </w:rPr>
        <w:t>:</w:t>
      </w:r>
    </w:p>
    <w:p w14:paraId="4A66A099" w14:textId="64CE2284" w:rsidR="00975963" w:rsidRPr="00702E8F" w:rsidRDefault="00975963" w:rsidP="00EC07F9">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694AA6" w:rsidRPr="00702E8F">
        <w:rPr>
          <w:sz w:val="22"/>
          <w:szCs w:val="22"/>
          <w:lang w:val="fr-CA" w:eastAsia="en-GB"/>
        </w:rPr>
        <w:t xml:space="preserve">Des mesures de protection doivent être mises en place afin de garantir que les budgets gouvernementaux de tous les </w:t>
      </w:r>
      <w:r w:rsidR="00F11D64" w:rsidRPr="00702E8F">
        <w:rPr>
          <w:sz w:val="22"/>
          <w:szCs w:val="22"/>
          <w:lang w:val="fr-CA" w:eastAsia="en-GB"/>
        </w:rPr>
        <w:t>niveaux</w:t>
      </w:r>
      <w:r w:rsidR="00694AA6" w:rsidRPr="00702E8F">
        <w:rPr>
          <w:sz w:val="22"/>
          <w:szCs w:val="22"/>
          <w:lang w:val="fr-CA" w:eastAsia="en-GB"/>
        </w:rPr>
        <w:t xml:space="preserve"> (nationaux, infranationaux et locaux)</w:t>
      </w:r>
      <w:r w:rsidR="00F11D64" w:rsidRPr="00702E8F">
        <w:rPr>
          <w:sz w:val="22"/>
          <w:szCs w:val="22"/>
          <w:lang w:val="fr-CA" w:eastAsia="en-GB"/>
        </w:rPr>
        <w:t xml:space="preserve"> et de tous les secteurs ont </w:t>
      </w:r>
      <w:r w:rsidR="00CB7947">
        <w:rPr>
          <w:sz w:val="22"/>
          <w:szCs w:val="22"/>
          <w:lang w:val="fr-CA" w:eastAsia="en-GB"/>
        </w:rPr>
        <w:t>au moins</w:t>
      </w:r>
      <w:r w:rsidR="00F11D64" w:rsidRPr="00702E8F">
        <w:rPr>
          <w:sz w:val="22"/>
          <w:szCs w:val="22"/>
          <w:lang w:val="fr-CA" w:eastAsia="en-GB"/>
        </w:rPr>
        <w:t xml:space="preserve"> comme </w:t>
      </w:r>
      <w:r w:rsidR="00CB7947">
        <w:rPr>
          <w:sz w:val="22"/>
          <w:szCs w:val="22"/>
          <w:lang w:val="fr-CA" w:eastAsia="en-GB"/>
        </w:rPr>
        <w:t>conséquence</w:t>
      </w:r>
      <w:r w:rsidR="00F11D64" w:rsidRPr="00702E8F">
        <w:rPr>
          <w:sz w:val="22"/>
          <w:szCs w:val="22"/>
          <w:lang w:val="fr-CA" w:eastAsia="en-GB"/>
        </w:rPr>
        <w:t xml:space="preserve"> de ne pas nuire à la biodiversité. Comme les budgets gouvernementaux sont élaborés en fonction des politiques et des plans gouvernementaux</w:t>
      </w:r>
      <w:r w:rsidR="00CB7947">
        <w:rPr>
          <w:sz w:val="22"/>
          <w:szCs w:val="22"/>
          <w:lang w:val="fr-CA" w:eastAsia="en-GB"/>
        </w:rPr>
        <w:t>,</w:t>
      </w:r>
      <w:r w:rsidR="00F11D64" w:rsidRPr="00702E8F">
        <w:rPr>
          <w:sz w:val="22"/>
          <w:szCs w:val="22"/>
          <w:lang w:val="fr-CA" w:eastAsia="en-GB"/>
        </w:rPr>
        <w:t xml:space="preserve"> la garantie que ces budgets ne nuisent pas à la biodiversité est étroitement liée </w:t>
      </w:r>
      <w:r w:rsidR="00A73156">
        <w:rPr>
          <w:sz w:val="22"/>
          <w:szCs w:val="22"/>
          <w:lang w:val="fr-CA" w:eastAsia="en-GB"/>
        </w:rPr>
        <w:t>à</w:t>
      </w:r>
      <w:r w:rsidR="00F11D64" w:rsidRPr="00702E8F">
        <w:rPr>
          <w:sz w:val="22"/>
          <w:szCs w:val="22"/>
          <w:lang w:val="fr-CA" w:eastAsia="en-GB"/>
        </w:rPr>
        <w:t xml:space="preserve"> la plus vaste démarche d’intégrer la biodiversité à l’échelle du gouvernement et dans ses politiques</w:t>
      </w:r>
      <w:r w:rsidR="00A73156">
        <w:rPr>
          <w:sz w:val="22"/>
          <w:szCs w:val="22"/>
          <w:lang w:val="fr-CA" w:eastAsia="en-GB"/>
        </w:rPr>
        <w:t>, et en dépend</w:t>
      </w:r>
      <w:r w:rsidR="00E453D1">
        <w:rPr>
          <w:sz w:val="22"/>
          <w:szCs w:val="22"/>
          <w:lang w:val="fr-CA" w:eastAsia="en-GB"/>
        </w:rPr>
        <w:t> </w:t>
      </w:r>
      <w:r w:rsidRPr="00702E8F">
        <w:rPr>
          <w:sz w:val="22"/>
          <w:szCs w:val="22"/>
          <w:lang w:val="fr-CA" w:eastAsia="en-GB"/>
        </w:rPr>
        <w:t>;</w:t>
      </w:r>
      <w:r w:rsidR="009C18A0" w:rsidRPr="00702E8F">
        <w:rPr>
          <w:sz w:val="22"/>
          <w:szCs w:val="22"/>
          <w:vertAlign w:val="superscript"/>
          <w:lang w:val="fr-CA" w:eastAsia="en-GB"/>
        </w:rPr>
        <w:footnoteReference w:id="22"/>
      </w:r>
    </w:p>
    <w:p w14:paraId="31F13C5B" w14:textId="5F103F94" w:rsidR="009C18A0" w:rsidRPr="00702E8F" w:rsidRDefault="00975963"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E43017" w:rsidRPr="00702E8F">
        <w:rPr>
          <w:sz w:val="22"/>
          <w:szCs w:val="22"/>
          <w:lang w:val="fr-CA" w:eastAsia="en-GB"/>
        </w:rPr>
        <w:t xml:space="preserve">Les mesures de protection doivent être appliquées aux budgets du gouvernement en matière de finances, d’économie et de commerce, d’atténuation de la pauvreté et secteurs connexes, </w:t>
      </w:r>
      <w:r w:rsidR="00F03941">
        <w:rPr>
          <w:sz w:val="22"/>
          <w:szCs w:val="22"/>
          <w:lang w:val="fr-CA" w:eastAsia="en-GB"/>
        </w:rPr>
        <w:t xml:space="preserve">de </w:t>
      </w:r>
      <w:r w:rsidR="00E43017" w:rsidRPr="00702E8F">
        <w:rPr>
          <w:sz w:val="22"/>
          <w:szCs w:val="22"/>
          <w:lang w:val="fr-CA" w:eastAsia="en-GB"/>
        </w:rPr>
        <w:t xml:space="preserve">la santé, </w:t>
      </w:r>
      <w:r w:rsidR="00F03941">
        <w:rPr>
          <w:sz w:val="22"/>
          <w:szCs w:val="22"/>
          <w:lang w:val="fr-CA" w:eastAsia="en-GB"/>
        </w:rPr>
        <w:t xml:space="preserve">de </w:t>
      </w:r>
      <w:r w:rsidR="00E43017" w:rsidRPr="00702E8F">
        <w:rPr>
          <w:sz w:val="22"/>
          <w:szCs w:val="22"/>
          <w:lang w:val="fr-CA" w:eastAsia="en-GB"/>
        </w:rPr>
        <w:t xml:space="preserve">la production primaire, </w:t>
      </w:r>
      <w:r w:rsidR="00F03941">
        <w:rPr>
          <w:sz w:val="22"/>
          <w:szCs w:val="22"/>
          <w:lang w:val="fr-CA" w:eastAsia="en-GB"/>
        </w:rPr>
        <w:t xml:space="preserve">de </w:t>
      </w:r>
      <w:r w:rsidR="00E43017" w:rsidRPr="00702E8F">
        <w:rPr>
          <w:sz w:val="22"/>
          <w:szCs w:val="22"/>
          <w:lang w:val="fr-CA" w:eastAsia="en-GB"/>
        </w:rPr>
        <w:t xml:space="preserve">la recherche, </w:t>
      </w:r>
      <w:r w:rsidR="00F03941">
        <w:rPr>
          <w:sz w:val="22"/>
          <w:szCs w:val="22"/>
          <w:lang w:val="fr-CA" w:eastAsia="en-GB"/>
        </w:rPr>
        <w:t xml:space="preserve">de </w:t>
      </w:r>
      <w:r w:rsidR="00E43017" w:rsidRPr="00702E8F">
        <w:rPr>
          <w:sz w:val="22"/>
          <w:szCs w:val="22"/>
          <w:lang w:val="fr-CA" w:eastAsia="en-GB"/>
        </w:rPr>
        <w:t xml:space="preserve">l’innovation et </w:t>
      </w:r>
      <w:r w:rsidR="00F03941">
        <w:rPr>
          <w:sz w:val="22"/>
          <w:szCs w:val="22"/>
          <w:lang w:val="fr-CA" w:eastAsia="en-GB"/>
        </w:rPr>
        <w:t>de la technologie, et d</w:t>
      </w:r>
      <w:r w:rsidR="00E43017" w:rsidRPr="00702E8F">
        <w:rPr>
          <w:sz w:val="22"/>
          <w:szCs w:val="22"/>
          <w:lang w:val="fr-CA" w:eastAsia="en-GB"/>
        </w:rPr>
        <w:t>es changements climatiques, entre autres, et garantir que les pratiques d’achat du gouvernement tiennent compte de la biodiversité</w:t>
      </w:r>
      <w:r w:rsidR="009C18A0" w:rsidRPr="00702E8F">
        <w:rPr>
          <w:sz w:val="22"/>
          <w:szCs w:val="22"/>
          <w:lang w:val="fr-CA" w:eastAsia="en-GB"/>
        </w:rPr>
        <w:t>.</w:t>
      </w:r>
    </w:p>
    <w:p w14:paraId="2F0B2117" w14:textId="3456011A" w:rsidR="009C18A0" w:rsidRPr="00702E8F" w:rsidRDefault="00E43017" w:rsidP="00F609C7">
      <w:pPr>
        <w:pStyle w:val="Para1"/>
        <w:numPr>
          <w:ilvl w:val="0"/>
          <w:numId w:val="49"/>
        </w:numPr>
        <w:suppressLineNumbers/>
        <w:suppressAutoHyphens/>
        <w:spacing w:before="120"/>
        <w:ind w:left="0" w:firstLine="0"/>
        <w:jc w:val="both"/>
        <w:rPr>
          <w:sz w:val="22"/>
          <w:szCs w:val="22"/>
          <w:lang w:val="fr-CA" w:eastAsia="en-GB"/>
        </w:rPr>
      </w:pPr>
      <w:r w:rsidRPr="00702E8F">
        <w:rPr>
          <w:b/>
          <w:bCs/>
          <w:sz w:val="22"/>
          <w:szCs w:val="22"/>
          <w:lang w:val="fr-CA" w:eastAsia="en-GB"/>
        </w:rPr>
        <w:t>Éliminer ou restructurer les mesures d’encouragement, y compris les subventions, qui nuisent à la biodiversité</w:t>
      </w:r>
      <w:r w:rsidR="00A73156">
        <w:rPr>
          <w:b/>
          <w:bCs/>
          <w:sz w:val="22"/>
          <w:szCs w:val="22"/>
          <w:lang w:val="fr-CA" w:eastAsia="en-GB"/>
        </w:rPr>
        <w:t>,</w:t>
      </w:r>
      <w:r w:rsidRPr="00702E8F">
        <w:rPr>
          <w:b/>
          <w:bCs/>
          <w:sz w:val="22"/>
          <w:szCs w:val="22"/>
          <w:lang w:val="fr-CA" w:eastAsia="en-GB"/>
        </w:rPr>
        <w:t xml:space="preserve"> élaborer et augmenter à </w:t>
      </w:r>
      <w:r w:rsidR="003D1FB1" w:rsidRPr="00702E8F">
        <w:rPr>
          <w:b/>
          <w:bCs/>
          <w:sz w:val="22"/>
          <w:szCs w:val="22"/>
          <w:lang w:val="fr-CA" w:eastAsia="en-GB"/>
        </w:rPr>
        <w:t xml:space="preserve">plus grande échelle des mesures de </w:t>
      </w:r>
      <w:r w:rsidR="00A465F6" w:rsidRPr="00702E8F">
        <w:rPr>
          <w:b/>
          <w:bCs/>
          <w:sz w:val="22"/>
          <w:szCs w:val="22"/>
          <w:lang w:val="fr-CA" w:eastAsia="en-GB"/>
        </w:rPr>
        <w:t>dissuasion</w:t>
      </w:r>
      <w:r w:rsidR="003D1FB1" w:rsidRPr="00702E8F">
        <w:rPr>
          <w:b/>
          <w:bCs/>
          <w:sz w:val="22"/>
          <w:szCs w:val="22"/>
          <w:lang w:val="fr-CA" w:eastAsia="en-GB"/>
        </w:rPr>
        <w:t xml:space="preserve"> pour les gestes qui nuisent à la biodiversité, et élaborer et augmenter à plus grande échelle les mesures positives pour la biodiversité.</w:t>
      </w:r>
      <w:r w:rsidR="003D1FB1" w:rsidRPr="00702E8F">
        <w:rPr>
          <w:bCs/>
          <w:sz w:val="22"/>
          <w:szCs w:val="22"/>
          <w:lang w:val="fr-CA" w:eastAsia="en-GB"/>
        </w:rPr>
        <w:t xml:space="preserve"> Les mesures d’encouragement économique</w:t>
      </w:r>
      <w:r w:rsidR="00F03941">
        <w:rPr>
          <w:bCs/>
          <w:sz w:val="22"/>
          <w:szCs w:val="22"/>
          <w:lang w:val="fr-CA" w:eastAsia="en-GB"/>
        </w:rPr>
        <w:t>s</w:t>
      </w:r>
      <w:r w:rsidR="003D1FB1" w:rsidRPr="00702E8F">
        <w:rPr>
          <w:bCs/>
          <w:sz w:val="22"/>
          <w:szCs w:val="22"/>
          <w:lang w:val="fr-CA" w:eastAsia="en-GB"/>
        </w:rPr>
        <w:t xml:space="preserve">, de </w:t>
      </w:r>
      <w:r w:rsidR="00A465F6" w:rsidRPr="00702E8F">
        <w:rPr>
          <w:bCs/>
          <w:sz w:val="22"/>
          <w:szCs w:val="22"/>
          <w:lang w:val="fr-CA" w:eastAsia="en-GB"/>
        </w:rPr>
        <w:t>dissuasion</w:t>
      </w:r>
      <w:r w:rsidR="003D1FB1" w:rsidRPr="00702E8F">
        <w:rPr>
          <w:bCs/>
          <w:sz w:val="22"/>
          <w:szCs w:val="22"/>
          <w:lang w:val="fr-CA" w:eastAsia="en-GB"/>
        </w:rPr>
        <w:t xml:space="preserve"> et à effet pervers ont des conséquences profondes sur l’économie et influencent la prise de décisions économiques aux échelles locale, nationale et mondiale</w:t>
      </w:r>
      <w:r w:rsidR="009C18A0" w:rsidRPr="00702E8F">
        <w:rPr>
          <w:sz w:val="22"/>
          <w:szCs w:val="22"/>
          <w:lang w:val="fr-CA" w:eastAsia="en-GB"/>
        </w:rPr>
        <w:t>.</w:t>
      </w:r>
      <w:r w:rsidR="009C18A0" w:rsidRPr="00702E8F">
        <w:rPr>
          <w:sz w:val="22"/>
          <w:szCs w:val="22"/>
          <w:vertAlign w:val="superscript"/>
          <w:lang w:val="fr-CA" w:eastAsia="en-GB"/>
        </w:rPr>
        <w:footnoteReference w:id="23"/>
      </w:r>
      <w:r w:rsidR="00150EEC" w:rsidRPr="00702E8F">
        <w:rPr>
          <w:sz w:val="22"/>
          <w:szCs w:val="22"/>
          <w:lang w:val="fr-CA" w:eastAsia="en-GB"/>
        </w:rPr>
        <w:t xml:space="preserve"> </w:t>
      </w:r>
      <w:r w:rsidR="003D1FB1" w:rsidRPr="00702E8F">
        <w:rPr>
          <w:sz w:val="22"/>
          <w:szCs w:val="22"/>
          <w:lang w:val="fr-CA" w:eastAsia="en-GB"/>
        </w:rPr>
        <w:t>Ainsi</w:t>
      </w:r>
      <w:r w:rsidR="00E453D1">
        <w:rPr>
          <w:sz w:val="22"/>
          <w:szCs w:val="22"/>
          <w:lang w:val="fr-CA" w:eastAsia="en-GB"/>
        </w:rPr>
        <w:t> </w:t>
      </w:r>
      <w:r w:rsidR="00F96748" w:rsidRPr="00702E8F">
        <w:rPr>
          <w:sz w:val="22"/>
          <w:szCs w:val="22"/>
          <w:lang w:val="fr-CA" w:eastAsia="en-GB"/>
        </w:rPr>
        <w:t>:</w:t>
      </w:r>
    </w:p>
    <w:p w14:paraId="201743B6" w14:textId="19906113" w:rsidR="009C18A0" w:rsidRPr="00702E8F" w:rsidRDefault="00FF2501" w:rsidP="00EC07F9">
      <w:pPr>
        <w:spacing w:before="120" w:after="120"/>
        <w:ind w:firstLine="720"/>
        <w:jc w:val="both"/>
        <w:rPr>
          <w:sz w:val="22"/>
          <w:szCs w:val="22"/>
          <w:lang w:val="fr-CA" w:eastAsia="en-GB"/>
        </w:rPr>
      </w:pPr>
      <w:r w:rsidRPr="00702E8F">
        <w:rPr>
          <w:sz w:val="22"/>
          <w:szCs w:val="22"/>
          <w:lang w:val="fr-CA" w:eastAsia="en-GB"/>
        </w:rPr>
        <w:lastRenderedPageBreak/>
        <w:t>a)</w:t>
      </w:r>
      <w:r w:rsidRPr="00702E8F">
        <w:rPr>
          <w:sz w:val="22"/>
          <w:szCs w:val="22"/>
          <w:lang w:val="fr-CA" w:eastAsia="en-GB"/>
        </w:rPr>
        <w:tab/>
      </w:r>
      <w:r w:rsidR="00D85AD3" w:rsidRPr="00702E8F">
        <w:rPr>
          <w:sz w:val="22"/>
          <w:szCs w:val="22"/>
          <w:lang w:val="fr-CA" w:eastAsia="en-GB"/>
        </w:rPr>
        <w:t xml:space="preserve">Les gouvernements doivent s’efforcer d’éliminer ou </w:t>
      </w:r>
      <w:r w:rsidR="004536CC">
        <w:rPr>
          <w:sz w:val="22"/>
          <w:szCs w:val="22"/>
          <w:lang w:val="fr-CA" w:eastAsia="en-GB"/>
        </w:rPr>
        <w:t xml:space="preserve">de </w:t>
      </w:r>
      <w:r w:rsidR="00D85AD3" w:rsidRPr="00702E8F">
        <w:rPr>
          <w:sz w:val="22"/>
          <w:szCs w:val="22"/>
          <w:lang w:val="fr-CA" w:eastAsia="en-GB"/>
        </w:rPr>
        <w:t>restructurer leurs mesures d’encouragement, y compris les subventions et les taxes, qui sont nuisibles pour la biodiversi</w:t>
      </w:r>
      <w:r w:rsidR="0085595C" w:rsidRPr="00702E8F">
        <w:rPr>
          <w:sz w:val="22"/>
          <w:szCs w:val="22"/>
          <w:lang w:val="fr-CA" w:eastAsia="en-GB"/>
        </w:rPr>
        <w:t>té, en tenant compte des situati</w:t>
      </w:r>
      <w:r w:rsidR="00D85AD3" w:rsidRPr="00702E8F">
        <w:rPr>
          <w:sz w:val="22"/>
          <w:szCs w:val="22"/>
          <w:lang w:val="fr-CA" w:eastAsia="en-GB"/>
        </w:rPr>
        <w:t xml:space="preserve">ons </w:t>
      </w:r>
      <w:r w:rsidR="0085595C" w:rsidRPr="00702E8F">
        <w:rPr>
          <w:sz w:val="22"/>
          <w:szCs w:val="22"/>
          <w:lang w:val="fr-CA" w:eastAsia="en-GB"/>
        </w:rPr>
        <w:t>socio</w:t>
      </w:r>
      <w:r w:rsidR="00D85AD3" w:rsidRPr="00702E8F">
        <w:rPr>
          <w:sz w:val="22"/>
          <w:szCs w:val="22"/>
          <w:lang w:val="fr-CA" w:eastAsia="en-GB"/>
        </w:rPr>
        <w:t>é</w:t>
      </w:r>
      <w:r w:rsidR="0085595C" w:rsidRPr="00702E8F">
        <w:rPr>
          <w:sz w:val="22"/>
          <w:szCs w:val="22"/>
          <w:lang w:val="fr-CA" w:eastAsia="en-GB"/>
        </w:rPr>
        <w:t>c</w:t>
      </w:r>
      <w:r w:rsidR="00D85AD3" w:rsidRPr="00702E8F">
        <w:rPr>
          <w:sz w:val="22"/>
          <w:szCs w:val="22"/>
          <w:lang w:val="fr-CA" w:eastAsia="en-GB"/>
        </w:rPr>
        <w:t>onomiques nationales. Les mesures d’encourag</w:t>
      </w:r>
      <w:r w:rsidR="0085595C" w:rsidRPr="00702E8F">
        <w:rPr>
          <w:sz w:val="22"/>
          <w:szCs w:val="22"/>
          <w:lang w:val="fr-CA" w:eastAsia="en-GB"/>
        </w:rPr>
        <w:t>emen</w:t>
      </w:r>
      <w:r w:rsidR="00D85AD3" w:rsidRPr="00702E8F">
        <w:rPr>
          <w:sz w:val="22"/>
          <w:szCs w:val="22"/>
          <w:lang w:val="fr-CA" w:eastAsia="en-GB"/>
        </w:rPr>
        <w:t xml:space="preserve">t publiques et réglementaires, dont </w:t>
      </w:r>
      <w:r w:rsidR="004536CC">
        <w:rPr>
          <w:sz w:val="22"/>
          <w:szCs w:val="22"/>
          <w:lang w:val="fr-CA" w:eastAsia="en-GB"/>
        </w:rPr>
        <w:t>les</w:t>
      </w:r>
      <w:r w:rsidR="00D85AD3" w:rsidRPr="00702E8F">
        <w:rPr>
          <w:sz w:val="22"/>
          <w:szCs w:val="22"/>
          <w:lang w:val="fr-CA" w:eastAsia="en-GB"/>
        </w:rPr>
        <w:t xml:space="preserve"> subventions, doiven</w:t>
      </w:r>
      <w:r w:rsidR="0085595C" w:rsidRPr="00702E8F">
        <w:rPr>
          <w:sz w:val="22"/>
          <w:szCs w:val="22"/>
          <w:lang w:val="fr-CA" w:eastAsia="en-GB"/>
        </w:rPr>
        <w:t>t avoir des conséquences positiv</w:t>
      </w:r>
      <w:r w:rsidR="00D85AD3" w:rsidRPr="00702E8F">
        <w:rPr>
          <w:sz w:val="22"/>
          <w:szCs w:val="22"/>
          <w:lang w:val="fr-CA" w:eastAsia="en-GB"/>
        </w:rPr>
        <w:t xml:space="preserve">es ou neutres pour la biodiversité et </w:t>
      </w:r>
      <w:r w:rsidR="004536CC">
        <w:rPr>
          <w:sz w:val="22"/>
          <w:szCs w:val="22"/>
          <w:lang w:val="fr-CA" w:eastAsia="en-GB"/>
        </w:rPr>
        <w:t xml:space="preserve">être </w:t>
      </w:r>
      <w:r w:rsidR="00D85AD3" w:rsidRPr="00702E8F">
        <w:rPr>
          <w:sz w:val="22"/>
          <w:szCs w:val="22"/>
          <w:lang w:val="fr-CA" w:eastAsia="en-GB"/>
        </w:rPr>
        <w:t xml:space="preserve">harmonisées aux objectifs de la Convention ainsi qu’aux Objectifs de développement durables. Pour ce faire, </w:t>
      </w:r>
      <w:r w:rsidR="004536CC">
        <w:rPr>
          <w:sz w:val="22"/>
          <w:szCs w:val="22"/>
          <w:lang w:val="fr-CA" w:eastAsia="en-GB"/>
        </w:rPr>
        <w:t>il faut</w:t>
      </w:r>
      <w:r w:rsidR="0085595C" w:rsidRPr="00702E8F">
        <w:rPr>
          <w:sz w:val="22"/>
          <w:szCs w:val="22"/>
          <w:lang w:val="fr-CA" w:eastAsia="en-GB"/>
        </w:rPr>
        <w:t xml:space="preserve"> recenser et évaluer les mesures d’encouragement nuisibles à la biodiversité, surtout</w:t>
      </w:r>
      <w:r w:rsidR="004536CC">
        <w:rPr>
          <w:sz w:val="22"/>
          <w:szCs w:val="22"/>
          <w:lang w:val="fr-CA" w:eastAsia="en-GB"/>
        </w:rPr>
        <w:t>,</w:t>
      </w:r>
      <w:r w:rsidR="0085595C" w:rsidRPr="00702E8F">
        <w:rPr>
          <w:sz w:val="22"/>
          <w:szCs w:val="22"/>
          <w:lang w:val="fr-CA" w:eastAsia="en-GB"/>
        </w:rPr>
        <w:t xml:space="preserve"> sans s’y limiter, dans les secteurs de l’agriculture, de la pêche, des forêts, de l’infrastructure touristique et des industries de l’énergie et de l’extraction</w:t>
      </w:r>
      <w:r w:rsidR="00E453D1">
        <w:rPr>
          <w:sz w:val="22"/>
          <w:szCs w:val="22"/>
          <w:lang w:val="fr-CA" w:eastAsia="en-GB"/>
        </w:rPr>
        <w:t> </w:t>
      </w:r>
      <w:r w:rsidR="00854A77" w:rsidRPr="00702E8F">
        <w:rPr>
          <w:sz w:val="22"/>
          <w:szCs w:val="22"/>
          <w:lang w:val="fr-CA" w:eastAsia="en-GB"/>
        </w:rPr>
        <w:t>;</w:t>
      </w:r>
    </w:p>
    <w:p w14:paraId="378D5DB5" w14:textId="52E8E746" w:rsidR="009C18A0" w:rsidRPr="00702E8F" w:rsidRDefault="00FF2501"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85595C" w:rsidRPr="00702E8F">
        <w:rPr>
          <w:sz w:val="22"/>
          <w:szCs w:val="22"/>
          <w:lang w:val="fr-CA" w:eastAsia="en-GB"/>
        </w:rPr>
        <w:t xml:space="preserve">Les gouvernements doivent développer, augmenter à plus grande échelle et améliorer le rendement des mesures de </w:t>
      </w:r>
      <w:r w:rsidR="00A465F6" w:rsidRPr="00702E8F">
        <w:rPr>
          <w:sz w:val="22"/>
          <w:szCs w:val="22"/>
          <w:lang w:val="fr-CA" w:eastAsia="en-GB"/>
        </w:rPr>
        <w:t>dissuasion</w:t>
      </w:r>
      <w:r w:rsidR="0085595C" w:rsidRPr="00702E8F">
        <w:rPr>
          <w:sz w:val="22"/>
          <w:szCs w:val="22"/>
          <w:lang w:val="fr-CA" w:eastAsia="en-GB"/>
        </w:rPr>
        <w:t xml:space="preserve"> économiques pertinentes, dont les taxes et les amendes, afin de décourager les mesures qui nuisent à la biodiversité. Cela aidera à</w:t>
      </w:r>
      <w:r w:rsidR="00A97357" w:rsidRPr="00702E8F">
        <w:rPr>
          <w:sz w:val="22"/>
          <w:szCs w:val="22"/>
          <w:lang w:val="fr-CA" w:eastAsia="en-GB"/>
        </w:rPr>
        <w:t xml:space="preserve"> intégrer les véritables coûts de la biodiversité dans les chaînes de valeur et </w:t>
      </w:r>
      <w:r w:rsidR="00463EBB">
        <w:rPr>
          <w:sz w:val="22"/>
          <w:szCs w:val="22"/>
          <w:lang w:val="fr-CA" w:eastAsia="en-GB"/>
        </w:rPr>
        <w:t>à en tenir compte</w:t>
      </w:r>
      <w:r w:rsidR="00A97357" w:rsidRPr="00702E8F">
        <w:rPr>
          <w:sz w:val="22"/>
          <w:szCs w:val="22"/>
          <w:lang w:val="fr-CA" w:eastAsia="en-GB"/>
        </w:rPr>
        <w:t xml:space="preserve"> dans le prix des services, des biens et des produits de consommation, et à prévenir toute perte subséquente de la biodiversité et des écosystèmes</w:t>
      </w:r>
      <w:r w:rsidR="00E453D1">
        <w:rPr>
          <w:sz w:val="22"/>
          <w:szCs w:val="22"/>
          <w:lang w:val="fr-CA" w:eastAsia="en-GB"/>
        </w:rPr>
        <w:t> </w:t>
      </w:r>
      <w:r w:rsidR="00854A77" w:rsidRPr="00702E8F">
        <w:rPr>
          <w:sz w:val="22"/>
          <w:szCs w:val="22"/>
          <w:lang w:val="fr-CA" w:eastAsia="en-GB"/>
        </w:rPr>
        <w:t>;</w:t>
      </w:r>
    </w:p>
    <w:p w14:paraId="4550B242" w14:textId="4E42260C" w:rsidR="009C18A0" w:rsidRPr="00702E8F" w:rsidRDefault="00854A77" w:rsidP="00EC07F9">
      <w:pPr>
        <w:spacing w:before="120" w:after="120"/>
        <w:ind w:firstLine="720"/>
        <w:jc w:val="both"/>
        <w:rPr>
          <w:sz w:val="22"/>
          <w:szCs w:val="22"/>
          <w:lang w:val="fr-CA" w:eastAsia="en-GB"/>
        </w:rPr>
      </w:pPr>
      <w:r w:rsidRPr="00702E8F">
        <w:rPr>
          <w:sz w:val="22"/>
          <w:szCs w:val="22"/>
          <w:lang w:val="fr-CA" w:eastAsia="en-GB"/>
        </w:rPr>
        <w:t>c)</w:t>
      </w:r>
      <w:r w:rsidRPr="00702E8F">
        <w:rPr>
          <w:sz w:val="22"/>
          <w:szCs w:val="22"/>
          <w:lang w:val="fr-CA" w:eastAsia="en-GB"/>
        </w:rPr>
        <w:tab/>
      </w:r>
      <w:r w:rsidR="00A97357" w:rsidRPr="00702E8F">
        <w:rPr>
          <w:sz w:val="22"/>
          <w:szCs w:val="22"/>
          <w:lang w:val="fr-CA" w:eastAsia="en-GB"/>
        </w:rPr>
        <w:t>Les gouvernements doivent concevoir, mettre en œuvre et améliorer l</w:t>
      </w:r>
      <w:r w:rsidR="00E453D1">
        <w:rPr>
          <w:sz w:val="22"/>
          <w:szCs w:val="22"/>
          <w:lang w:val="fr-CA" w:eastAsia="en-GB"/>
        </w:rPr>
        <w:t>e</w:t>
      </w:r>
      <w:r w:rsidR="00A97357" w:rsidRPr="00702E8F">
        <w:rPr>
          <w:sz w:val="22"/>
          <w:szCs w:val="22"/>
          <w:lang w:val="fr-CA" w:eastAsia="en-GB"/>
        </w:rPr>
        <w:t xml:space="preserve"> rendement des mesures d’encouragement économique positives, y compris les subvention</w:t>
      </w:r>
      <w:r w:rsidR="00463EBB">
        <w:rPr>
          <w:sz w:val="22"/>
          <w:szCs w:val="22"/>
          <w:lang w:val="fr-CA" w:eastAsia="en-GB"/>
        </w:rPr>
        <w:t>s</w:t>
      </w:r>
      <w:r w:rsidR="00A97357" w:rsidRPr="00702E8F">
        <w:rPr>
          <w:sz w:val="22"/>
          <w:szCs w:val="22"/>
          <w:lang w:val="fr-CA" w:eastAsia="en-GB"/>
        </w:rPr>
        <w:t xml:space="preserve"> motivées par la biodiversité et les paiements pour les services écosy</w:t>
      </w:r>
      <w:r w:rsidR="005B2505" w:rsidRPr="00702E8F">
        <w:rPr>
          <w:sz w:val="22"/>
          <w:szCs w:val="22"/>
          <w:lang w:val="fr-CA" w:eastAsia="en-GB"/>
        </w:rPr>
        <w:t>stémiques, afin d’indiquer aux consommateurs et aux producteurs de se comporter d’une manière plus positive pour la biodiversité</w:t>
      </w:r>
      <w:r w:rsidR="00E453D1">
        <w:rPr>
          <w:sz w:val="22"/>
          <w:szCs w:val="22"/>
          <w:lang w:val="fr-CA" w:eastAsia="en-GB"/>
        </w:rPr>
        <w:t> </w:t>
      </w:r>
      <w:r w:rsidRPr="00702E8F">
        <w:rPr>
          <w:sz w:val="22"/>
          <w:szCs w:val="22"/>
          <w:lang w:val="fr-CA" w:eastAsia="en-GB"/>
        </w:rPr>
        <w:t>;</w:t>
      </w:r>
      <w:r w:rsidR="009C18A0" w:rsidRPr="00702E8F">
        <w:rPr>
          <w:sz w:val="22"/>
          <w:szCs w:val="22"/>
          <w:vertAlign w:val="superscript"/>
          <w:lang w:val="fr-CA" w:eastAsia="en-GB"/>
        </w:rPr>
        <w:footnoteReference w:id="24"/>
      </w:r>
    </w:p>
    <w:p w14:paraId="2159620E" w14:textId="4F655168" w:rsidR="009C18A0" w:rsidRPr="00702E8F" w:rsidRDefault="00854A77" w:rsidP="00EC07F9">
      <w:pPr>
        <w:spacing w:before="120" w:after="120"/>
        <w:ind w:firstLine="720"/>
        <w:jc w:val="both"/>
        <w:rPr>
          <w:sz w:val="22"/>
          <w:szCs w:val="22"/>
          <w:lang w:val="fr-CA" w:eastAsia="en-GB"/>
        </w:rPr>
      </w:pPr>
      <w:r w:rsidRPr="00702E8F">
        <w:rPr>
          <w:sz w:val="22"/>
          <w:szCs w:val="22"/>
          <w:lang w:val="fr-CA" w:eastAsia="en-GB"/>
        </w:rPr>
        <w:t>d)</w:t>
      </w:r>
      <w:r w:rsidRPr="00702E8F">
        <w:rPr>
          <w:sz w:val="22"/>
          <w:szCs w:val="22"/>
          <w:lang w:val="fr-CA" w:eastAsia="en-GB"/>
        </w:rPr>
        <w:tab/>
      </w:r>
      <w:r w:rsidR="005B2505" w:rsidRPr="00702E8F">
        <w:rPr>
          <w:sz w:val="22"/>
          <w:szCs w:val="22"/>
          <w:lang w:val="fr-CA" w:eastAsia="en-GB"/>
        </w:rPr>
        <w:t>Le renforcement de capacités spécifiques, l’assistance techniqu</w:t>
      </w:r>
      <w:r w:rsidR="00463EBB">
        <w:rPr>
          <w:sz w:val="22"/>
          <w:szCs w:val="22"/>
          <w:lang w:val="fr-CA" w:eastAsia="en-GB"/>
        </w:rPr>
        <w:t>e, l’allocation de ressources, l</w:t>
      </w:r>
      <w:r w:rsidR="005B2505" w:rsidRPr="00702E8F">
        <w:rPr>
          <w:sz w:val="22"/>
          <w:szCs w:val="22"/>
          <w:lang w:val="fr-CA" w:eastAsia="en-GB"/>
        </w:rPr>
        <w:t>es plans d’action d’applica</w:t>
      </w:r>
      <w:r w:rsidR="00463EBB">
        <w:rPr>
          <w:sz w:val="22"/>
          <w:szCs w:val="22"/>
          <w:lang w:val="fr-CA" w:eastAsia="en-GB"/>
        </w:rPr>
        <w:t>tion limitée dans le temps, et l</w:t>
      </w:r>
      <w:r w:rsidR="005B2505" w:rsidRPr="00702E8F">
        <w:rPr>
          <w:sz w:val="22"/>
          <w:szCs w:val="22"/>
          <w:lang w:val="fr-CA" w:eastAsia="en-GB"/>
        </w:rPr>
        <w:t>es programmes de suivi et d’évaluation pourraient être nécessaires en appui à ces efforts, compte tenu de la complexité des activités requises et de l’absence de progrès à ce jour</w:t>
      </w:r>
      <w:r w:rsidR="009C18A0" w:rsidRPr="00702E8F">
        <w:rPr>
          <w:sz w:val="22"/>
          <w:szCs w:val="22"/>
          <w:lang w:val="fr-CA" w:eastAsia="en-GB"/>
        </w:rPr>
        <w:t>.</w:t>
      </w:r>
    </w:p>
    <w:p w14:paraId="6F96EE59" w14:textId="681C7589" w:rsidR="009C18A0" w:rsidRPr="00702E8F" w:rsidRDefault="00B70C0C" w:rsidP="00F609C7">
      <w:pPr>
        <w:pStyle w:val="Para1"/>
        <w:numPr>
          <w:ilvl w:val="0"/>
          <w:numId w:val="49"/>
        </w:numPr>
        <w:suppressLineNumbers/>
        <w:suppressAutoHyphens/>
        <w:spacing w:before="120"/>
        <w:ind w:left="0" w:firstLine="0"/>
        <w:jc w:val="both"/>
        <w:rPr>
          <w:sz w:val="22"/>
          <w:szCs w:val="22"/>
          <w:lang w:val="fr-CA" w:eastAsia="en-GB"/>
        </w:rPr>
      </w:pPr>
      <w:r>
        <w:rPr>
          <w:b/>
          <w:bCs/>
          <w:sz w:val="22"/>
          <w:szCs w:val="22"/>
          <w:lang w:val="fr-CA" w:eastAsia="en-GB"/>
        </w:rPr>
        <w:t>Reconnaître et i</w:t>
      </w:r>
      <w:r w:rsidR="005B2505" w:rsidRPr="00702E8F">
        <w:rPr>
          <w:b/>
          <w:bCs/>
          <w:sz w:val="22"/>
          <w:szCs w:val="22"/>
          <w:lang w:val="fr-CA" w:eastAsia="en-GB"/>
        </w:rPr>
        <w:t xml:space="preserve">ntégrer les impacts, les dépendances et les risques pour la biodiversité </w:t>
      </w:r>
      <w:r>
        <w:rPr>
          <w:b/>
          <w:bCs/>
          <w:sz w:val="22"/>
          <w:szCs w:val="22"/>
          <w:lang w:val="fr-CA" w:eastAsia="en-GB"/>
        </w:rPr>
        <w:t>aux stratégies, opérations et processus du</w:t>
      </w:r>
      <w:r w:rsidR="005B2505" w:rsidRPr="00702E8F">
        <w:rPr>
          <w:b/>
          <w:bCs/>
          <w:sz w:val="22"/>
          <w:szCs w:val="22"/>
          <w:lang w:val="fr-CA" w:eastAsia="en-GB"/>
        </w:rPr>
        <w:t xml:space="preserve"> secteur financier</w:t>
      </w:r>
      <w:r w:rsidR="005241FE">
        <w:rPr>
          <w:b/>
          <w:bCs/>
          <w:sz w:val="22"/>
          <w:szCs w:val="22"/>
          <w:lang w:val="fr-CA" w:eastAsia="en-GB"/>
        </w:rPr>
        <w:t>,</w:t>
      </w:r>
      <w:r w:rsidR="005B2505" w:rsidRPr="00702E8F">
        <w:rPr>
          <w:b/>
          <w:bCs/>
          <w:sz w:val="22"/>
          <w:szCs w:val="22"/>
          <w:lang w:val="fr-CA" w:eastAsia="en-GB"/>
        </w:rPr>
        <w:t xml:space="preserve"> afin </w:t>
      </w:r>
      <w:r w:rsidR="005241FE">
        <w:rPr>
          <w:b/>
          <w:bCs/>
          <w:sz w:val="22"/>
          <w:szCs w:val="22"/>
          <w:lang w:val="fr-CA" w:eastAsia="en-GB"/>
        </w:rPr>
        <w:t>d’éliminer ou de</w:t>
      </w:r>
      <w:r w:rsidR="005B2505" w:rsidRPr="00702E8F">
        <w:rPr>
          <w:b/>
          <w:bCs/>
          <w:sz w:val="22"/>
          <w:szCs w:val="22"/>
          <w:lang w:val="fr-CA" w:eastAsia="en-GB"/>
        </w:rPr>
        <w:t xml:space="preserve"> réduire</w:t>
      </w:r>
      <w:r w:rsidR="005241FE">
        <w:rPr>
          <w:b/>
          <w:bCs/>
          <w:sz w:val="22"/>
          <w:szCs w:val="22"/>
          <w:lang w:val="fr-CA" w:eastAsia="en-GB"/>
        </w:rPr>
        <w:t xml:space="preserve"> au minimum </w:t>
      </w:r>
      <w:r w:rsidR="00962605" w:rsidRPr="00702E8F">
        <w:rPr>
          <w:b/>
          <w:bCs/>
          <w:sz w:val="22"/>
          <w:szCs w:val="22"/>
          <w:lang w:val="fr-CA" w:eastAsia="en-GB"/>
        </w:rPr>
        <w:t xml:space="preserve">les impacts négatifs des décisions </w:t>
      </w:r>
      <w:r w:rsidR="00DD3B2C">
        <w:rPr>
          <w:b/>
          <w:bCs/>
          <w:sz w:val="22"/>
          <w:szCs w:val="22"/>
          <w:lang w:val="fr-CA" w:eastAsia="en-GB"/>
        </w:rPr>
        <w:t>en matière d’investissement</w:t>
      </w:r>
      <w:r w:rsidR="005241FE">
        <w:rPr>
          <w:b/>
          <w:bCs/>
          <w:sz w:val="22"/>
          <w:szCs w:val="22"/>
          <w:lang w:val="fr-CA" w:eastAsia="en-GB"/>
        </w:rPr>
        <w:t xml:space="preserve"> sur la biodiversité et les écosystèmes</w:t>
      </w:r>
      <w:r w:rsidR="00962605" w:rsidRPr="00702E8F">
        <w:rPr>
          <w:b/>
          <w:bCs/>
          <w:sz w:val="22"/>
          <w:szCs w:val="22"/>
          <w:lang w:val="fr-CA" w:eastAsia="en-GB"/>
        </w:rPr>
        <w:t xml:space="preserve">. </w:t>
      </w:r>
      <w:r w:rsidR="00962605" w:rsidRPr="00702E8F">
        <w:rPr>
          <w:bCs/>
          <w:sz w:val="22"/>
          <w:szCs w:val="22"/>
          <w:lang w:val="fr-CA" w:eastAsia="en-GB"/>
        </w:rPr>
        <w:t xml:space="preserve">Le secteur financier, </w:t>
      </w:r>
      <w:r w:rsidR="00A0106B">
        <w:rPr>
          <w:bCs/>
          <w:sz w:val="22"/>
          <w:szCs w:val="22"/>
          <w:lang w:val="fr-CA" w:eastAsia="en-GB"/>
        </w:rPr>
        <w:t>à savoir</w:t>
      </w:r>
      <w:r w:rsidR="00962605" w:rsidRPr="00702E8F">
        <w:rPr>
          <w:bCs/>
          <w:sz w:val="22"/>
          <w:szCs w:val="22"/>
          <w:lang w:val="fr-CA" w:eastAsia="en-GB"/>
        </w:rPr>
        <w:t xml:space="preserve"> les banques</w:t>
      </w:r>
      <w:r w:rsidR="005241FE">
        <w:rPr>
          <w:bCs/>
          <w:sz w:val="22"/>
          <w:szCs w:val="22"/>
          <w:lang w:val="fr-CA" w:eastAsia="en-GB"/>
        </w:rPr>
        <w:t xml:space="preserve"> commerciales et de développement</w:t>
      </w:r>
      <w:r w:rsidR="00962605" w:rsidRPr="00702E8F">
        <w:rPr>
          <w:bCs/>
          <w:sz w:val="22"/>
          <w:szCs w:val="22"/>
          <w:lang w:val="fr-CA" w:eastAsia="en-GB"/>
        </w:rPr>
        <w:t>, les investisseurs institutionnels, les organes de réglementation et de supervision financière,</w:t>
      </w:r>
      <w:r w:rsidR="00A0106B">
        <w:rPr>
          <w:bCs/>
          <w:sz w:val="22"/>
          <w:szCs w:val="22"/>
          <w:lang w:val="fr-CA" w:eastAsia="en-GB"/>
        </w:rPr>
        <w:t xml:space="preserve"> et</w:t>
      </w:r>
      <w:r w:rsidR="00962605" w:rsidRPr="00702E8F">
        <w:rPr>
          <w:bCs/>
          <w:sz w:val="22"/>
          <w:szCs w:val="22"/>
          <w:lang w:val="fr-CA" w:eastAsia="en-GB"/>
        </w:rPr>
        <w:t xml:space="preserve"> les agences de notation, ont une influence profonde sur le comportement des acteurs priv</w:t>
      </w:r>
      <w:r w:rsidR="00A0106B">
        <w:rPr>
          <w:bCs/>
          <w:sz w:val="22"/>
          <w:szCs w:val="22"/>
          <w:lang w:val="fr-CA" w:eastAsia="en-GB"/>
        </w:rPr>
        <w:t>és, dont les entreprises. Ainsi </w:t>
      </w:r>
      <w:r w:rsidR="00A75653" w:rsidRPr="00702E8F">
        <w:rPr>
          <w:sz w:val="22"/>
          <w:szCs w:val="22"/>
          <w:lang w:val="fr-CA" w:eastAsia="en-GB"/>
        </w:rPr>
        <w:t>:</w:t>
      </w:r>
    </w:p>
    <w:p w14:paraId="5CE880C9" w14:textId="2A113E37" w:rsidR="005241FE" w:rsidRPr="00D10B2C" w:rsidRDefault="005241FE" w:rsidP="00C72D93">
      <w:pPr>
        <w:pStyle w:val="Paragraphedeliste"/>
        <w:numPr>
          <w:ilvl w:val="0"/>
          <w:numId w:val="55"/>
        </w:numPr>
        <w:spacing w:before="120" w:after="120"/>
        <w:ind w:left="0" w:firstLine="720"/>
        <w:jc w:val="both"/>
        <w:rPr>
          <w:sz w:val="22"/>
          <w:szCs w:val="22"/>
          <w:lang w:val="fr-CA" w:eastAsia="en-GB"/>
        </w:rPr>
      </w:pPr>
      <w:r w:rsidRPr="00D10B2C">
        <w:rPr>
          <w:sz w:val="22"/>
          <w:szCs w:val="22"/>
          <w:lang w:val="fr-CA" w:eastAsia="en-GB"/>
        </w:rPr>
        <w:t xml:space="preserve">Les principaux acteurs, notamment au sein du gouvernement, du secteur financier et des organisations internationales, devraient collaborer à l’élaboration de normes, de paramètres, d’indicateurs et de méthodes pour communiquer les dépendances liées à la biodiversité, les impacts et les risques. </w:t>
      </w:r>
      <w:r w:rsidR="004E4CC6" w:rsidRPr="00702E8F">
        <w:rPr>
          <w:sz w:val="22"/>
          <w:szCs w:val="22"/>
          <w:lang w:val="fr-CA" w:eastAsia="en-GB"/>
        </w:rPr>
        <w:t xml:space="preserve">Ceci pourrait être facilité par un groupe consultatif ou un groupe de travail sur les impacts liés à la nature, les dépendances, les risques et la divulgation </w:t>
      </w:r>
      <w:r w:rsidR="004E4CC6">
        <w:rPr>
          <w:sz w:val="22"/>
          <w:szCs w:val="22"/>
          <w:lang w:val="fr-CA" w:eastAsia="en-GB"/>
        </w:rPr>
        <w:t>de renseignements financiers</w:t>
      </w:r>
      <w:r w:rsidR="004E4CC6" w:rsidRPr="00702E8F">
        <w:rPr>
          <w:sz w:val="22"/>
          <w:szCs w:val="22"/>
          <w:lang w:val="fr-CA" w:eastAsia="en-GB"/>
        </w:rPr>
        <w:t xml:space="preserve">. L’utilisation de données spatiales et de paramètres liés aux espaces dans les décisions financières pourrait être </w:t>
      </w:r>
      <w:r w:rsidR="004E4CC6">
        <w:rPr>
          <w:sz w:val="22"/>
          <w:szCs w:val="22"/>
          <w:lang w:val="fr-CA" w:eastAsia="en-GB"/>
        </w:rPr>
        <w:t>développée</w:t>
      </w:r>
      <w:r w:rsidR="004E4CC6" w:rsidRPr="00702E8F">
        <w:rPr>
          <w:sz w:val="22"/>
          <w:szCs w:val="22"/>
          <w:lang w:val="fr-CA" w:eastAsia="en-GB"/>
        </w:rPr>
        <w:t xml:space="preserve"> davantage afin d’améliorer la communication de données sur les impacts pour la biodiversité</w:t>
      </w:r>
      <w:r w:rsidR="00683FF6" w:rsidRPr="00D10B2C">
        <w:rPr>
          <w:sz w:val="22"/>
          <w:szCs w:val="22"/>
          <w:lang w:val="fr-CA" w:eastAsia="en-GB"/>
        </w:rPr>
        <w:t>;</w:t>
      </w:r>
    </w:p>
    <w:p w14:paraId="382FD0BC" w14:textId="37C07354" w:rsidR="00D10B2C" w:rsidRPr="00D10B2C" w:rsidRDefault="00D10B2C" w:rsidP="00C72D93">
      <w:pPr>
        <w:pStyle w:val="Paragraphedeliste"/>
        <w:numPr>
          <w:ilvl w:val="0"/>
          <w:numId w:val="55"/>
        </w:numPr>
        <w:spacing w:before="120" w:after="120"/>
        <w:ind w:left="0" w:firstLine="720"/>
        <w:jc w:val="both"/>
        <w:rPr>
          <w:sz w:val="22"/>
          <w:szCs w:val="22"/>
          <w:lang w:val="fr-CA" w:eastAsia="en-GB"/>
        </w:rPr>
      </w:pPr>
      <w:r>
        <w:rPr>
          <w:sz w:val="22"/>
          <w:szCs w:val="22"/>
          <w:lang w:val="fr-CA" w:eastAsia="en-GB"/>
        </w:rPr>
        <w:t>Les gouvernements devraient communiquer de puissants messages au moyen de normes législatives et de réglementation</w:t>
      </w:r>
      <w:r w:rsidR="00DD3B2C">
        <w:rPr>
          <w:sz w:val="22"/>
          <w:szCs w:val="22"/>
          <w:lang w:val="fr-CA" w:eastAsia="en-GB"/>
        </w:rPr>
        <w:t>s</w:t>
      </w:r>
      <w:r>
        <w:rPr>
          <w:sz w:val="22"/>
          <w:szCs w:val="22"/>
          <w:lang w:val="fr-CA" w:eastAsia="en-GB"/>
        </w:rPr>
        <w:t>, indiquant que les flux financiers mondiaux devraient être harmonisés à la conservation, l’utilisation dura</w:t>
      </w:r>
      <w:r w:rsidR="00C72D93">
        <w:rPr>
          <w:sz w:val="22"/>
          <w:szCs w:val="22"/>
          <w:lang w:val="fr-CA" w:eastAsia="en-GB"/>
        </w:rPr>
        <w:t>ble et la restauration de la bi</w:t>
      </w:r>
      <w:r>
        <w:rPr>
          <w:sz w:val="22"/>
          <w:szCs w:val="22"/>
          <w:lang w:val="fr-CA" w:eastAsia="en-GB"/>
        </w:rPr>
        <w:t>odiversité. Les gouve</w:t>
      </w:r>
      <w:r w:rsidR="004E4CC6">
        <w:rPr>
          <w:sz w:val="22"/>
          <w:szCs w:val="22"/>
          <w:lang w:val="fr-CA" w:eastAsia="en-GB"/>
        </w:rPr>
        <w:t>rnements devraient modifier le</w:t>
      </w:r>
      <w:r>
        <w:rPr>
          <w:sz w:val="22"/>
          <w:szCs w:val="22"/>
          <w:lang w:val="fr-CA" w:eastAsia="en-GB"/>
        </w:rPr>
        <w:t xml:space="preserve">s subventions </w:t>
      </w:r>
      <w:r w:rsidR="004E4CC6">
        <w:rPr>
          <w:sz w:val="22"/>
          <w:szCs w:val="22"/>
          <w:lang w:val="fr-CA" w:eastAsia="en-GB"/>
        </w:rPr>
        <w:t>qui</w:t>
      </w:r>
      <w:r w:rsidR="00C72D93">
        <w:rPr>
          <w:sz w:val="22"/>
          <w:szCs w:val="22"/>
          <w:lang w:val="fr-CA" w:eastAsia="en-GB"/>
        </w:rPr>
        <w:t xml:space="preserve"> </w:t>
      </w:r>
      <w:r>
        <w:rPr>
          <w:sz w:val="22"/>
          <w:szCs w:val="22"/>
          <w:lang w:val="fr-CA" w:eastAsia="en-GB"/>
        </w:rPr>
        <w:t>encouragent</w:t>
      </w:r>
      <w:r w:rsidR="00C72D93">
        <w:rPr>
          <w:sz w:val="22"/>
          <w:szCs w:val="22"/>
          <w:lang w:val="fr-CA" w:eastAsia="en-GB"/>
        </w:rPr>
        <w:t xml:space="preserve"> </w:t>
      </w:r>
      <w:r w:rsidR="004E4CC6">
        <w:rPr>
          <w:sz w:val="22"/>
          <w:szCs w:val="22"/>
          <w:lang w:val="fr-CA" w:eastAsia="en-GB"/>
        </w:rPr>
        <w:t xml:space="preserve">actuellement </w:t>
      </w:r>
      <w:r w:rsidR="00A9678F">
        <w:rPr>
          <w:sz w:val="22"/>
          <w:szCs w:val="22"/>
          <w:lang w:val="fr-CA" w:eastAsia="en-GB"/>
        </w:rPr>
        <w:t>les investissements dans d</w:t>
      </w:r>
      <w:r w:rsidR="00C72D93">
        <w:rPr>
          <w:sz w:val="22"/>
          <w:szCs w:val="22"/>
          <w:lang w:val="fr-CA" w:eastAsia="en-GB"/>
        </w:rPr>
        <w:t xml:space="preserve">es activités nuisibles pour la biodiversité et </w:t>
      </w:r>
      <w:r w:rsidR="004E4CC6" w:rsidRPr="00702E8F">
        <w:rPr>
          <w:sz w:val="22"/>
          <w:szCs w:val="22"/>
          <w:lang w:val="fr-CA" w:eastAsia="en-GB"/>
        </w:rPr>
        <w:t>établir des règles et réglementations claires pour diriger les investissements</w:t>
      </w:r>
      <w:r w:rsidR="004E4CC6">
        <w:rPr>
          <w:sz w:val="22"/>
          <w:szCs w:val="22"/>
          <w:lang w:val="fr-CA" w:eastAsia="en-GB"/>
        </w:rPr>
        <w:t> </w:t>
      </w:r>
      <w:r w:rsidR="008F18B7">
        <w:rPr>
          <w:sz w:val="22"/>
          <w:szCs w:val="22"/>
          <w:lang w:val="fr-CA" w:eastAsia="en-GB"/>
        </w:rPr>
        <w:t>;</w:t>
      </w:r>
    </w:p>
    <w:p w14:paraId="0C42C233" w14:textId="2D6FCA93" w:rsidR="009C18A0" w:rsidRPr="00702E8F" w:rsidRDefault="00C72D93" w:rsidP="008F18B7">
      <w:pPr>
        <w:spacing w:before="120" w:after="120"/>
        <w:ind w:firstLine="720"/>
        <w:jc w:val="both"/>
        <w:rPr>
          <w:sz w:val="22"/>
          <w:szCs w:val="22"/>
          <w:lang w:val="fr-CA" w:eastAsia="en-GB"/>
        </w:rPr>
      </w:pPr>
      <w:r>
        <w:rPr>
          <w:sz w:val="22"/>
          <w:szCs w:val="22"/>
          <w:lang w:val="fr-CA" w:eastAsia="en-GB"/>
        </w:rPr>
        <w:lastRenderedPageBreak/>
        <w:t>c)</w:t>
      </w:r>
      <w:r>
        <w:rPr>
          <w:sz w:val="22"/>
          <w:szCs w:val="22"/>
          <w:lang w:val="fr-CA" w:eastAsia="en-GB"/>
        </w:rPr>
        <w:tab/>
      </w:r>
      <w:r w:rsidR="00962605" w:rsidRPr="00702E8F">
        <w:rPr>
          <w:sz w:val="22"/>
          <w:szCs w:val="22"/>
          <w:lang w:val="fr-CA" w:eastAsia="en-GB"/>
        </w:rPr>
        <w:t xml:space="preserve">Le secteur financier doit </w:t>
      </w:r>
      <w:r w:rsidR="00A0106B">
        <w:rPr>
          <w:sz w:val="22"/>
          <w:szCs w:val="22"/>
          <w:lang w:val="fr-CA" w:eastAsia="en-GB"/>
        </w:rPr>
        <w:t>avoir la possibilité</w:t>
      </w:r>
      <w:r w:rsidR="00962605" w:rsidRPr="00702E8F">
        <w:rPr>
          <w:sz w:val="22"/>
          <w:szCs w:val="22"/>
          <w:lang w:val="fr-CA" w:eastAsia="en-GB"/>
        </w:rPr>
        <w:t xml:space="preserve">, et </w:t>
      </w:r>
      <w:r w:rsidR="00A0106B">
        <w:rPr>
          <w:sz w:val="22"/>
          <w:szCs w:val="22"/>
          <w:lang w:val="fr-CA" w:eastAsia="en-GB"/>
        </w:rPr>
        <w:t>même l’obligation,</w:t>
      </w:r>
      <w:r w:rsidR="00962605" w:rsidRPr="00702E8F">
        <w:rPr>
          <w:sz w:val="22"/>
          <w:szCs w:val="22"/>
          <w:lang w:val="fr-CA" w:eastAsia="en-GB"/>
        </w:rPr>
        <w:t xml:space="preserve"> de </w:t>
      </w:r>
      <w:r w:rsidR="00A0106B">
        <w:rPr>
          <w:sz w:val="22"/>
          <w:szCs w:val="22"/>
          <w:lang w:val="fr-CA" w:eastAsia="en-GB"/>
        </w:rPr>
        <w:t xml:space="preserve">tenir </w:t>
      </w:r>
      <w:r w:rsidR="00CD7054" w:rsidRPr="00702E8F">
        <w:rPr>
          <w:sz w:val="22"/>
          <w:szCs w:val="22"/>
          <w:lang w:val="fr-CA" w:eastAsia="en-GB"/>
        </w:rPr>
        <w:t xml:space="preserve">compte des dépendances, des impacts et des risques associés à la perte de la biodiversité, et </w:t>
      </w:r>
      <w:r w:rsidR="00A46463">
        <w:rPr>
          <w:sz w:val="22"/>
          <w:szCs w:val="22"/>
          <w:lang w:val="fr-CA" w:eastAsia="en-GB"/>
        </w:rPr>
        <w:t xml:space="preserve">de </w:t>
      </w:r>
      <w:r w:rsidR="00CD7054" w:rsidRPr="00702E8F">
        <w:rPr>
          <w:sz w:val="22"/>
          <w:szCs w:val="22"/>
          <w:lang w:val="fr-CA" w:eastAsia="en-GB"/>
        </w:rPr>
        <w:t xml:space="preserve">les intégrer dans les décisions sur les investissements. </w:t>
      </w:r>
      <w:r w:rsidR="008F18B7" w:rsidRPr="00702E8F">
        <w:rPr>
          <w:sz w:val="22"/>
          <w:szCs w:val="22"/>
          <w:lang w:val="fr-CA" w:eastAsia="en-GB"/>
        </w:rPr>
        <w:t>Les gouvernements devraient exiger que le secteur financier rende des comptes sur les mesures qu’il a prises et les risques pour la biodiversité, comme l’a fait la France en 2019 grâce à sa loi sur l’énergie et le climat.</w:t>
      </w:r>
      <w:r w:rsidR="008F18B7" w:rsidRPr="00702E8F">
        <w:rPr>
          <w:sz w:val="22"/>
          <w:szCs w:val="22"/>
          <w:vertAlign w:val="superscript"/>
          <w:lang w:val="fr-CA" w:eastAsia="en-GB"/>
        </w:rPr>
        <w:footnoteReference w:id="25"/>
      </w:r>
      <w:r w:rsidR="008F18B7">
        <w:rPr>
          <w:sz w:val="22"/>
          <w:szCs w:val="22"/>
          <w:lang w:val="fr-CA" w:eastAsia="en-GB"/>
        </w:rPr>
        <w:t xml:space="preserve"> </w:t>
      </w:r>
      <w:r w:rsidR="00CD7054" w:rsidRPr="00702E8F">
        <w:rPr>
          <w:sz w:val="22"/>
          <w:szCs w:val="22"/>
          <w:lang w:val="fr-CA" w:eastAsia="en-GB"/>
        </w:rPr>
        <w:t xml:space="preserve">Les risques pour la biodiversité doivent être intégrés dans les processus </w:t>
      </w:r>
      <w:r w:rsidR="00A0106B">
        <w:rPr>
          <w:sz w:val="22"/>
          <w:szCs w:val="22"/>
          <w:lang w:val="fr-CA" w:eastAsia="en-GB"/>
        </w:rPr>
        <w:t xml:space="preserve">conventionnels </w:t>
      </w:r>
      <w:r w:rsidR="00CD7054" w:rsidRPr="00702E8F">
        <w:rPr>
          <w:sz w:val="22"/>
          <w:szCs w:val="22"/>
          <w:lang w:val="fr-CA" w:eastAsia="en-GB"/>
        </w:rPr>
        <w:t>de gestion des risques des marchés financiers</w:t>
      </w:r>
      <w:r w:rsidR="00E453D1">
        <w:rPr>
          <w:sz w:val="22"/>
          <w:szCs w:val="22"/>
          <w:lang w:val="fr-CA" w:eastAsia="en-GB"/>
        </w:rPr>
        <w:t> </w:t>
      </w:r>
      <w:r w:rsidR="00C24D71" w:rsidRPr="00702E8F">
        <w:rPr>
          <w:sz w:val="22"/>
          <w:szCs w:val="22"/>
          <w:lang w:val="fr-CA" w:eastAsia="en-GB"/>
        </w:rPr>
        <w:t>;</w:t>
      </w:r>
    </w:p>
    <w:p w14:paraId="1C8D1467" w14:textId="3425D6DD" w:rsidR="009C18A0" w:rsidRPr="00702E8F" w:rsidRDefault="00C72D93" w:rsidP="00EC07F9">
      <w:pPr>
        <w:spacing w:before="120" w:after="120"/>
        <w:ind w:firstLine="720"/>
        <w:jc w:val="both"/>
        <w:rPr>
          <w:sz w:val="22"/>
          <w:szCs w:val="22"/>
          <w:lang w:val="fr-CA" w:eastAsia="en-GB"/>
        </w:rPr>
      </w:pPr>
      <w:r>
        <w:rPr>
          <w:sz w:val="22"/>
          <w:szCs w:val="22"/>
          <w:lang w:val="fr-CA" w:eastAsia="en-GB"/>
        </w:rPr>
        <w:t>d)</w:t>
      </w:r>
      <w:r>
        <w:rPr>
          <w:sz w:val="22"/>
          <w:szCs w:val="22"/>
          <w:lang w:val="fr-CA" w:eastAsia="en-GB"/>
        </w:rPr>
        <w:tab/>
      </w:r>
      <w:r w:rsidR="00CD7054" w:rsidRPr="00702E8F">
        <w:rPr>
          <w:sz w:val="22"/>
          <w:szCs w:val="22"/>
          <w:lang w:val="fr-CA" w:eastAsia="en-GB"/>
        </w:rPr>
        <w:t>Le risque d’effondrement environnemental est un risque systémique</w:t>
      </w:r>
      <w:r w:rsidR="00E453D1">
        <w:rPr>
          <w:sz w:val="22"/>
          <w:szCs w:val="22"/>
          <w:lang w:val="fr-CA" w:eastAsia="en-GB"/>
        </w:rPr>
        <w:t> </w:t>
      </w:r>
      <w:r w:rsidR="00CD7054" w:rsidRPr="00702E8F">
        <w:rPr>
          <w:sz w:val="22"/>
          <w:szCs w:val="22"/>
          <w:lang w:val="fr-CA" w:eastAsia="en-GB"/>
        </w:rPr>
        <w:t>; par conséquent, les banques centrales et autres organes de réglementation ont un rôle déterminant à jouer dans l’évaluation de ces risques et leur atténuation</w:t>
      </w:r>
      <w:r w:rsidR="00A0106B">
        <w:rPr>
          <w:sz w:val="22"/>
          <w:szCs w:val="22"/>
          <w:lang w:val="fr-CA" w:eastAsia="en-GB"/>
        </w:rPr>
        <w:t>,</w:t>
      </w:r>
      <w:r w:rsidR="00CD7054" w:rsidRPr="00702E8F">
        <w:rPr>
          <w:sz w:val="22"/>
          <w:szCs w:val="22"/>
          <w:lang w:val="fr-CA" w:eastAsia="en-GB"/>
        </w:rPr>
        <w:t xml:space="preserve"> en </w:t>
      </w:r>
      <w:r w:rsidR="00A0106B">
        <w:rPr>
          <w:sz w:val="22"/>
          <w:szCs w:val="22"/>
          <w:lang w:val="fr-CA" w:eastAsia="en-GB"/>
        </w:rPr>
        <w:t>agissant</w:t>
      </w:r>
      <w:r w:rsidR="00CD7054" w:rsidRPr="00702E8F">
        <w:rPr>
          <w:sz w:val="22"/>
          <w:szCs w:val="22"/>
          <w:lang w:val="fr-CA" w:eastAsia="en-GB"/>
        </w:rPr>
        <w:t xml:space="preserve"> sur les causes d’une manière systémique</w:t>
      </w:r>
      <w:r w:rsidR="00AF745A" w:rsidRPr="00702E8F">
        <w:rPr>
          <w:sz w:val="22"/>
          <w:szCs w:val="22"/>
          <w:lang w:val="fr-CA" w:eastAsia="en-GB"/>
        </w:rPr>
        <w:t xml:space="preserve">. Les banques centrales et les organes de réglementation financiers doivent inclure les impacts négatifs possibles sur la biodiversité et les services écosystémiques dans leurs tests de tension. </w:t>
      </w:r>
      <w:r w:rsidR="00E5244C" w:rsidRPr="00702E8F">
        <w:rPr>
          <w:sz w:val="22"/>
          <w:szCs w:val="22"/>
          <w:lang w:val="fr-CA" w:eastAsia="en-GB"/>
        </w:rPr>
        <w:t>Cela permettra d’analyser</w:t>
      </w:r>
      <w:r w:rsidR="00AF745A" w:rsidRPr="00702E8F">
        <w:rPr>
          <w:sz w:val="22"/>
          <w:szCs w:val="22"/>
          <w:lang w:val="fr-CA" w:eastAsia="en-GB"/>
        </w:rPr>
        <w:t xml:space="preserve"> les impacts des risques découlant de la perte de la biodiversité sur l’ensemble du secteur financier, sur certains secteurs précis et sur les différentes institutions financières. Les banques cent</w:t>
      </w:r>
      <w:r w:rsidR="00E5244C" w:rsidRPr="00702E8F">
        <w:rPr>
          <w:sz w:val="22"/>
          <w:szCs w:val="22"/>
          <w:lang w:val="fr-CA" w:eastAsia="en-GB"/>
        </w:rPr>
        <w:t>r</w:t>
      </w:r>
      <w:r w:rsidR="00AF745A" w:rsidRPr="00702E8F">
        <w:rPr>
          <w:sz w:val="22"/>
          <w:szCs w:val="22"/>
          <w:lang w:val="fr-CA" w:eastAsia="en-GB"/>
        </w:rPr>
        <w:t>ales devraient exiger</w:t>
      </w:r>
      <w:r w:rsidR="00E5244C" w:rsidRPr="00702E8F">
        <w:rPr>
          <w:sz w:val="22"/>
          <w:szCs w:val="22"/>
          <w:lang w:val="fr-CA" w:eastAsia="en-GB"/>
        </w:rPr>
        <w:t xml:space="preserve"> que les entités réglementées di</w:t>
      </w:r>
      <w:r w:rsidR="00E80551">
        <w:rPr>
          <w:sz w:val="22"/>
          <w:szCs w:val="22"/>
          <w:lang w:val="fr-CA" w:eastAsia="en-GB"/>
        </w:rPr>
        <w:t>vulguent leur</w:t>
      </w:r>
      <w:r w:rsidR="00E453D1">
        <w:rPr>
          <w:sz w:val="22"/>
          <w:szCs w:val="22"/>
          <w:lang w:val="fr-CA" w:eastAsia="en-GB"/>
        </w:rPr>
        <w:t>s</w:t>
      </w:r>
      <w:r w:rsidR="00E80551">
        <w:rPr>
          <w:sz w:val="22"/>
          <w:szCs w:val="22"/>
          <w:lang w:val="fr-CA" w:eastAsia="en-GB"/>
        </w:rPr>
        <w:t xml:space="preserve"> </w:t>
      </w:r>
      <w:r w:rsidR="00AF745A" w:rsidRPr="00702E8F">
        <w:rPr>
          <w:sz w:val="22"/>
          <w:szCs w:val="22"/>
          <w:lang w:val="fr-CA" w:eastAsia="en-GB"/>
        </w:rPr>
        <w:t>risques financiers liés à la biodi</w:t>
      </w:r>
      <w:r w:rsidR="00E5244C" w:rsidRPr="00702E8F">
        <w:rPr>
          <w:sz w:val="22"/>
          <w:szCs w:val="22"/>
          <w:lang w:val="fr-CA" w:eastAsia="en-GB"/>
        </w:rPr>
        <w:t>v</w:t>
      </w:r>
      <w:r w:rsidR="00AF745A" w:rsidRPr="00702E8F">
        <w:rPr>
          <w:sz w:val="22"/>
          <w:szCs w:val="22"/>
          <w:lang w:val="fr-CA" w:eastAsia="en-GB"/>
        </w:rPr>
        <w:t>e</w:t>
      </w:r>
      <w:r w:rsidR="00E5244C" w:rsidRPr="00702E8F">
        <w:rPr>
          <w:sz w:val="22"/>
          <w:szCs w:val="22"/>
          <w:lang w:val="fr-CA" w:eastAsia="en-GB"/>
        </w:rPr>
        <w:t>r</w:t>
      </w:r>
      <w:r w:rsidR="00AF745A" w:rsidRPr="00702E8F">
        <w:rPr>
          <w:sz w:val="22"/>
          <w:szCs w:val="22"/>
          <w:lang w:val="fr-CA" w:eastAsia="en-GB"/>
        </w:rPr>
        <w:t>sité et s’efforcer d’intég</w:t>
      </w:r>
      <w:r w:rsidR="00E5244C" w:rsidRPr="00702E8F">
        <w:rPr>
          <w:sz w:val="22"/>
          <w:szCs w:val="22"/>
          <w:lang w:val="fr-CA" w:eastAsia="en-GB"/>
        </w:rPr>
        <w:t>r</w:t>
      </w:r>
      <w:r w:rsidR="00AF745A" w:rsidRPr="00702E8F">
        <w:rPr>
          <w:sz w:val="22"/>
          <w:szCs w:val="22"/>
          <w:lang w:val="fr-CA" w:eastAsia="en-GB"/>
        </w:rPr>
        <w:t xml:space="preserve">er les risques financiers </w:t>
      </w:r>
      <w:r w:rsidR="00E5244C" w:rsidRPr="00702E8F">
        <w:rPr>
          <w:sz w:val="22"/>
          <w:szCs w:val="22"/>
          <w:lang w:val="fr-CA" w:eastAsia="en-GB"/>
        </w:rPr>
        <w:t>liés</w:t>
      </w:r>
      <w:r w:rsidR="00AF745A" w:rsidRPr="00702E8F">
        <w:rPr>
          <w:sz w:val="22"/>
          <w:szCs w:val="22"/>
          <w:lang w:val="fr-CA" w:eastAsia="en-GB"/>
        </w:rPr>
        <w:t xml:space="preserve"> à la diversité </w:t>
      </w:r>
      <w:r w:rsidR="00E5244C" w:rsidRPr="00702E8F">
        <w:rPr>
          <w:sz w:val="22"/>
          <w:szCs w:val="22"/>
          <w:lang w:val="fr-CA" w:eastAsia="en-GB"/>
        </w:rPr>
        <w:t>biologique</w:t>
      </w:r>
      <w:r w:rsidR="00AF745A" w:rsidRPr="00702E8F">
        <w:rPr>
          <w:sz w:val="22"/>
          <w:szCs w:val="22"/>
          <w:lang w:val="fr-CA" w:eastAsia="en-GB"/>
        </w:rPr>
        <w:t xml:space="preserve"> dans leurs exigences</w:t>
      </w:r>
      <w:r w:rsidR="00E5244C" w:rsidRPr="00702E8F">
        <w:rPr>
          <w:sz w:val="22"/>
          <w:szCs w:val="22"/>
          <w:lang w:val="fr-CA" w:eastAsia="en-GB"/>
        </w:rPr>
        <w:t xml:space="preserve"> de capital et de solvabilité. Les banques centrales pourraient aussi imposer des limites maximales aux activités nuisibles pour la biodiversité</w:t>
      </w:r>
      <w:r w:rsidR="00E453D1">
        <w:rPr>
          <w:sz w:val="22"/>
          <w:szCs w:val="22"/>
          <w:lang w:val="fr-CA" w:eastAsia="en-GB"/>
        </w:rPr>
        <w:t> </w:t>
      </w:r>
      <w:r w:rsidR="00C24D71" w:rsidRPr="00702E8F">
        <w:rPr>
          <w:sz w:val="22"/>
          <w:szCs w:val="22"/>
          <w:lang w:val="fr-CA" w:eastAsia="en-GB"/>
        </w:rPr>
        <w:t>;</w:t>
      </w:r>
    </w:p>
    <w:p w14:paraId="2160A0D4" w14:textId="58F43389" w:rsidR="009C18A0" w:rsidRPr="00702E8F" w:rsidRDefault="00C72D93" w:rsidP="00EC07F9">
      <w:pPr>
        <w:spacing w:before="120" w:after="120"/>
        <w:ind w:firstLine="720"/>
        <w:jc w:val="both"/>
        <w:rPr>
          <w:sz w:val="22"/>
          <w:szCs w:val="22"/>
          <w:lang w:val="fr-CA" w:eastAsia="en-GB"/>
        </w:rPr>
      </w:pPr>
      <w:r>
        <w:rPr>
          <w:sz w:val="22"/>
          <w:szCs w:val="22"/>
          <w:lang w:val="fr-CA" w:eastAsia="en-GB"/>
        </w:rPr>
        <w:t>e)</w:t>
      </w:r>
      <w:r>
        <w:rPr>
          <w:sz w:val="22"/>
          <w:szCs w:val="22"/>
          <w:lang w:val="fr-CA" w:eastAsia="en-GB"/>
        </w:rPr>
        <w:tab/>
      </w:r>
      <w:r w:rsidR="007C295B" w:rsidRPr="00702E8F">
        <w:rPr>
          <w:sz w:val="22"/>
          <w:szCs w:val="22"/>
          <w:lang w:val="fr-CA" w:eastAsia="en-GB"/>
        </w:rPr>
        <w:t>Les banques commerciales répondent aux signaux des banques centrales et des organes de réglementation (dont les gouvernements), ainsi que du marché en général, et elles ont une influence directe et indirecte sur le comportement des producteurs, des propriétaires fonciers et des consommateurs. Les acteurs financiers commerciaux devraient intégrer les impacts</w:t>
      </w:r>
      <w:r w:rsidR="00406197" w:rsidRPr="00702E8F">
        <w:rPr>
          <w:sz w:val="22"/>
          <w:szCs w:val="22"/>
          <w:lang w:val="fr-CA" w:eastAsia="en-GB"/>
        </w:rPr>
        <w:t>, les dépendances et les risques pour</w:t>
      </w:r>
      <w:r w:rsidR="007C295B" w:rsidRPr="00702E8F">
        <w:rPr>
          <w:sz w:val="22"/>
          <w:szCs w:val="22"/>
          <w:lang w:val="fr-CA" w:eastAsia="en-GB"/>
        </w:rPr>
        <w:t xml:space="preserve"> la biodiversité</w:t>
      </w:r>
      <w:r w:rsidR="00406197" w:rsidRPr="00702E8F">
        <w:rPr>
          <w:sz w:val="22"/>
          <w:szCs w:val="22"/>
          <w:lang w:val="fr-CA" w:eastAsia="en-GB"/>
        </w:rPr>
        <w:t xml:space="preserve"> aux stratégies et politiques de risque, et ils devraient envi</w:t>
      </w:r>
      <w:r w:rsidR="00A73BDA">
        <w:rPr>
          <w:sz w:val="22"/>
          <w:szCs w:val="22"/>
          <w:lang w:val="fr-CA" w:eastAsia="en-GB"/>
        </w:rPr>
        <w:t>sager d’intégrer explicitement l</w:t>
      </w:r>
      <w:r w:rsidR="00406197" w:rsidRPr="00702E8F">
        <w:rPr>
          <w:sz w:val="22"/>
          <w:szCs w:val="22"/>
          <w:lang w:val="fr-CA" w:eastAsia="en-GB"/>
        </w:rPr>
        <w:t xml:space="preserve">es risques financiers liés à la diversité biologique au devoir </w:t>
      </w:r>
      <w:r w:rsidR="00A73BDA">
        <w:rPr>
          <w:sz w:val="22"/>
          <w:szCs w:val="22"/>
          <w:lang w:val="fr-CA" w:eastAsia="en-GB"/>
        </w:rPr>
        <w:t>fiduciaire</w:t>
      </w:r>
      <w:r w:rsidR="00406197" w:rsidRPr="00702E8F">
        <w:rPr>
          <w:sz w:val="22"/>
          <w:szCs w:val="22"/>
          <w:lang w:val="fr-CA" w:eastAsia="en-GB"/>
        </w:rPr>
        <w:t xml:space="preserve"> des institutions financières</w:t>
      </w:r>
      <w:r w:rsidR="00E453D1">
        <w:rPr>
          <w:sz w:val="22"/>
          <w:szCs w:val="22"/>
          <w:lang w:val="fr-CA" w:eastAsia="en-GB"/>
        </w:rPr>
        <w:t> </w:t>
      </w:r>
      <w:r w:rsidR="00C24D71" w:rsidRPr="00702E8F">
        <w:rPr>
          <w:sz w:val="22"/>
          <w:szCs w:val="22"/>
          <w:lang w:val="fr-CA" w:eastAsia="en-GB"/>
        </w:rPr>
        <w:t>;</w:t>
      </w:r>
    </w:p>
    <w:p w14:paraId="02F1BEF6" w14:textId="1C2C9665" w:rsidR="009C18A0" w:rsidRPr="00702E8F" w:rsidRDefault="00C72D93" w:rsidP="00EC07F9">
      <w:pPr>
        <w:spacing w:before="120" w:after="120"/>
        <w:ind w:firstLine="720"/>
        <w:jc w:val="both"/>
        <w:rPr>
          <w:sz w:val="22"/>
          <w:szCs w:val="22"/>
          <w:lang w:val="fr-CA" w:eastAsia="en-GB"/>
        </w:rPr>
      </w:pPr>
      <w:r>
        <w:rPr>
          <w:sz w:val="22"/>
          <w:szCs w:val="22"/>
          <w:lang w:val="fr-CA" w:eastAsia="en-GB"/>
        </w:rPr>
        <w:t>f)</w:t>
      </w:r>
      <w:r>
        <w:rPr>
          <w:sz w:val="22"/>
          <w:szCs w:val="22"/>
          <w:lang w:val="fr-CA" w:eastAsia="en-GB"/>
        </w:rPr>
        <w:tab/>
      </w:r>
      <w:r w:rsidR="00847684" w:rsidRPr="00702E8F">
        <w:rPr>
          <w:sz w:val="22"/>
          <w:szCs w:val="22"/>
          <w:lang w:val="fr-CA" w:eastAsia="en-GB"/>
        </w:rPr>
        <w:t>La responsabilité des investisseurs institutionnels</w:t>
      </w:r>
      <w:r w:rsidR="00596B91" w:rsidRPr="00702E8F">
        <w:rPr>
          <w:sz w:val="22"/>
          <w:szCs w:val="22"/>
          <w:lang w:val="fr-CA" w:eastAsia="en-GB"/>
        </w:rPr>
        <w:t xml:space="preserve"> et</w:t>
      </w:r>
      <w:r w:rsidR="00847684" w:rsidRPr="00702E8F">
        <w:rPr>
          <w:sz w:val="22"/>
          <w:szCs w:val="22"/>
          <w:lang w:val="fr-CA" w:eastAsia="en-GB"/>
        </w:rPr>
        <w:t xml:space="preserve"> des gestionnaires d’actif</w:t>
      </w:r>
      <w:r w:rsidR="000A12C6">
        <w:rPr>
          <w:sz w:val="22"/>
          <w:szCs w:val="22"/>
          <w:lang w:val="fr-CA" w:eastAsia="en-GB"/>
        </w:rPr>
        <w:t>s</w:t>
      </w:r>
      <w:r w:rsidR="00847684" w:rsidRPr="00702E8F">
        <w:rPr>
          <w:sz w:val="22"/>
          <w:szCs w:val="22"/>
          <w:lang w:val="fr-CA" w:eastAsia="en-GB"/>
        </w:rPr>
        <w:t xml:space="preserve"> s’étend so</w:t>
      </w:r>
      <w:r w:rsidR="00596B91" w:rsidRPr="00702E8F">
        <w:rPr>
          <w:sz w:val="22"/>
          <w:szCs w:val="22"/>
          <w:lang w:val="fr-CA" w:eastAsia="en-GB"/>
        </w:rPr>
        <w:t>uvent sur plu</w:t>
      </w:r>
      <w:r w:rsidR="00847684" w:rsidRPr="00702E8F">
        <w:rPr>
          <w:sz w:val="22"/>
          <w:szCs w:val="22"/>
          <w:lang w:val="fr-CA" w:eastAsia="en-GB"/>
        </w:rPr>
        <w:t>s de 20 ou 30 ans, mais</w:t>
      </w:r>
      <w:r w:rsidR="00596B91" w:rsidRPr="00702E8F">
        <w:rPr>
          <w:sz w:val="22"/>
          <w:szCs w:val="22"/>
          <w:lang w:val="fr-CA" w:eastAsia="en-GB"/>
        </w:rPr>
        <w:t xml:space="preserve"> leurs investissements et les évaluations des risques sont habituellement d’une durée beaucoup plus courte</w:t>
      </w:r>
      <w:r w:rsidR="00E453D1">
        <w:rPr>
          <w:sz w:val="22"/>
          <w:szCs w:val="22"/>
          <w:lang w:val="fr-CA" w:eastAsia="en-GB"/>
        </w:rPr>
        <w:t> </w:t>
      </w:r>
      <w:r w:rsidR="00596B91" w:rsidRPr="00702E8F">
        <w:rPr>
          <w:sz w:val="22"/>
          <w:szCs w:val="22"/>
          <w:lang w:val="fr-CA" w:eastAsia="en-GB"/>
        </w:rPr>
        <w:t xml:space="preserve">; même les investisseurs à long terme échangent leurs actifs à beaucoup plus brève échéance. </w:t>
      </w:r>
      <w:r w:rsidR="009C18A0" w:rsidRPr="00702E8F">
        <w:rPr>
          <w:sz w:val="22"/>
          <w:szCs w:val="22"/>
          <w:vertAlign w:val="superscript"/>
          <w:lang w:val="fr-CA" w:eastAsia="en-GB"/>
        </w:rPr>
        <w:footnoteReference w:id="26"/>
      </w:r>
      <w:r w:rsidR="009C18A0" w:rsidRPr="00702E8F">
        <w:rPr>
          <w:sz w:val="22"/>
          <w:szCs w:val="22"/>
          <w:lang w:val="fr-CA" w:eastAsia="en-GB"/>
        </w:rPr>
        <w:t xml:space="preserve"> </w:t>
      </w:r>
      <w:r w:rsidR="007A496F" w:rsidRPr="00702E8F">
        <w:rPr>
          <w:sz w:val="22"/>
          <w:szCs w:val="22"/>
          <w:lang w:val="fr-CA" w:eastAsia="en-GB"/>
        </w:rPr>
        <w:t>Ainsi, les institutions financières ne sont pas encourag</w:t>
      </w:r>
      <w:r w:rsidR="000A12C6">
        <w:rPr>
          <w:sz w:val="22"/>
          <w:szCs w:val="22"/>
          <w:lang w:val="fr-CA" w:eastAsia="en-GB"/>
        </w:rPr>
        <w:t>é</w:t>
      </w:r>
      <w:r w:rsidR="007A496F" w:rsidRPr="00702E8F">
        <w:rPr>
          <w:sz w:val="22"/>
          <w:szCs w:val="22"/>
          <w:lang w:val="fr-CA" w:eastAsia="en-GB"/>
        </w:rPr>
        <w:t xml:space="preserve">es à tenir compte de la biodiversité (et des autres risques environnementaux et pour le climat), même lorsque les mesures pour le faire existent. Les mesures d’encouragement gouvernementales fiscales et de gouvernance pour des périodes de propriété plus longues, de </w:t>
      </w:r>
      <w:r w:rsidR="007D6660" w:rsidRPr="00702E8F">
        <w:rPr>
          <w:sz w:val="22"/>
          <w:szCs w:val="22"/>
          <w:lang w:val="fr-CA" w:eastAsia="en-GB"/>
        </w:rPr>
        <w:t>structure</w:t>
      </w:r>
      <w:r w:rsidR="007A496F" w:rsidRPr="00702E8F">
        <w:rPr>
          <w:sz w:val="22"/>
          <w:szCs w:val="22"/>
          <w:lang w:val="fr-CA" w:eastAsia="en-GB"/>
        </w:rPr>
        <w:t xml:space="preserve"> de rémuné</w:t>
      </w:r>
      <w:r w:rsidR="007D6660" w:rsidRPr="00702E8F">
        <w:rPr>
          <w:sz w:val="22"/>
          <w:szCs w:val="22"/>
          <w:lang w:val="fr-CA" w:eastAsia="en-GB"/>
        </w:rPr>
        <w:t>r</w:t>
      </w:r>
      <w:r w:rsidR="007A496F" w:rsidRPr="00702E8F">
        <w:rPr>
          <w:sz w:val="22"/>
          <w:szCs w:val="22"/>
          <w:lang w:val="fr-CA" w:eastAsia="en-GB"/>
        </w:rPr>
        <w:t xml:space="preserve">ation </w:t>
      </w:r>
      <w:r w:rsidR="007D6660" w:rsidRPr="00702E8F">
        <w:rPr>
          <w:sz w:val="22"/>
          <w:szCs w:val="22"/>
          <w:lang w:val="fr-CA" w:eastAsia="en-GB"/>
        </w:rPr>
        <w:t>à plus long</w:t>
      </w:r>
      <w:r w:rsidR="007A496F" w:rsidRPr="00702E8F">
        <w:rPr>
          <w:sz w:val="22"/>
          <w:szCs w:val="22"/>
          <w:lang w:val="fr-CA" w:eastAsia="en-GB"/>
        </w:rPr>
        <w:t xml:space="preserve"> terme pour les directeurs d’entreprises et les gestionnaires d’actifs, </w:t>
      </w:r>
      <w:r w:rsidR="000A12C6">
        <w:rPr>
          <w:sz w:val="22"/>
          <w:szCs w:val="22"/>
          <w:lang w:val="fr-CA" w:eastAsia="en-GB"/>
        </w:rPr>
        <w:t>l</w:t>
      </w:r>
      <w:r w:rsidR="007D6660" w:rsidRPr="00702E8F">
        <w:rPr>
          <w:sz w:val="22"/>
          <w:szCs w:val="22"/>
          <w:lang w:val="fr-CA" w:eastAsia="en-GB"/>
        </w:rPr>
        <w:t>es obligations réduit</w:t>
      </w:r>
      <w:r w:rsidR="007A496F" w:rsidRPr="00702E8F">
        <w:rPr>
          <w:sz w:val="22"/>
          <w:szCs w:val="22"/>
          <w:lang w:val="fr-CA" w:eastAsia="en-GB"/>
        </w:rPr>
        <w:t>es de produire des rapp</w:t>
      </w:r>
      <w:r w:rsidR="007D6660" w:rsidRPr="00702E8F">
        <w:rPr>
          <w:sz w:val="22"/>
          <w:szCs w:val="22"/>
          <w:lang w:val="fr-CA" w:eastAsia="en-GB"/>
        </w:rPr>
        <w:t>o</w:t>
      </w:r>
      <w:r w:rsidR="007A496F" w:rsidRPr="00702E8F">
        <w:rPr>
          <w:sz w:val="22"/>
          <w:szCs w:val="22"/>
          <w:lang w:val="fr-CA" w:eastAsia="en-GB"/>
        </w:rPr>
        <w:t>rts t</w:t>
      </w:r>
      <w:r w:rsidR="007D6660" w:rsidRPr="00702E8F">
        <w:rPr>
          <w:sz w:val="22"/>
          <w:szCs w:val="22"/>
          <w:lang w:val="fr-CA" w:eastAsia="en-GB"/>
        </w:rPr>
        <w:t>r</w:t>
      </w:r>
      <w:r w:rsidR="007A496F" w:rsidRPr="00702E8F">
        <w:rPr>
          <w:sz w:val="22"/>
          <w:szCs w:val="22"/>
          <w:lang w:val="fr-CA" w:eastAsia="en-GB"/>
        </w:rPr>
        <w:t xml:space="preserve">imestriels pour les entreprises, </w:t>
      </w:r>
      <w:r w:rsidR="00BF0954" w:rsidRPr="00702E8F">
        <w:rPr>
          <w:sz w:val="22"/>
          <w:szCs w:val="22"/>
          <w:lang w:val="fr-CA" w:eastAsia="en-GB"/>
        </w:rPr>
        <w:t>la réduction des analyses comparatives annuelles</w:t>
      </w:r>
      <w:r w:rsidR="007D6660" w:rsidRPr="00702E8F">
        <w:rPr>
          <w:sz w:val="22"/>
          <w:szCs w:val="22"/>
          <w:lang w:val="fr-CA" w:eastAsia="en-GB"/>
        </w:rPr>
        <w:t xml:space="preserve"> pour les gestionnaires d’actifs, la révision des normes de comptabilité et la modification de la boîte d’outils de supervision, </w:t>
      </w:r>
      <w:r w:rsidR="000A12C6">
        <w:rPr>
          <w:sz w:val="22"/>
          <w:szCs w:val="22"/>
          <w:lang w:val="fr-CA" w:eastAsia="en-GB"/>
        </w:rPr>
        <w:t>dont</w:t>
      </w:r>
      <w:r w:rsidR="007D6660" w:rsidRPr="00702E8F">
        <w:rPr>
          <w:sz w:val="22"/>
          <w:szCs w:val="22"/>
          <w:lang w:val="fr-CA" w:eastAsia="en-GB"/>
        </w:rPr>
        <w:t xml:space="preserve"> le prolongement de la durée des tests de tension, pourraient corriger la tendance au court terme</w:t>
      </w:r>
      <w:r w:rsidR="00E453D1">
        <w:rPr>
          <w:sz w:val="22"/>
          <w:szCs w:val="22"/>
          <w:lang w:val="fr-CA" w:eastAsia="en-GB"/>
        </w:rPr>
        <w:t> </w:t>
      </w:r>
      <w:r w:rsidR="00C24D71" w:rsidRPr="00702E8F">
        <w:rPr>
          <w:sz w:val="22"/>
          <w:szCs w:val="22"/>
          <w:lang w:val="fr-CA" w:eastAsia="en-GB"/>
        </w:rPr>
        <w:t>;</w:t>
      </w:r>
      <w:r w:rsidR="009C18A0" w:rsidRPr="00702E8F">
        <w:rPr>
          <w:sz w:val="22"/>
          <w:szCs w:val="22"/>
          <w:vertAlign w:val="superscript"/>
          <w:lang w:val="fr-CA" w:eastAsia="en-GB"/>
        </w:rPr>
        <w:footnoteReference w:id="27"/>
      </w:r>
    </w:p>
    <w:p w14:paraId="62D66BD0" w14:textId="0A6BBF05" w:rsidR="009C18A0" w:rsidRPr="00702E8F" w:rsidRDefault="00C72D93" w:rsidP="00EC07F9">
      <w:pPr>
        <w:spacing w:before="120" w:after="120"/>
        <w:ind w:firstLine="720"/>
        <w:jc w:val="both"/>
        <w:rPr>
          <w:sz w:val="22"/>
          <w:szCs w:val="22"/>
          <w:lang w:val="fr-CA" w:eastAsia="en-GB"/>
        </w:rPr>
      </w:pPr>
      <w:r>
        <w:rPr>
          <w:sz w:val="22"/>
          <w:szCs w:val="22"/>
          <w:lang w:val="fr-CA" w:eastAsia="en-GB"/>
        </w:rPr>
        <w:t>g)</w:t>
      </w:r>
      <w:r>
        <w:rPr>
          <w:sz w:val="22"/>
          <w:szCs w:val="22"/>
          <w:lang w:val="fr-CA" w:eastAsia="en-GB"/>
        </w:rPr>
        <w:tab/>
      </w:r>
      <w:r w:rsidR="00BF0954" w:rsidRPr="00702E8F">
        <w:rPr>
          <w:sz w:val="22"/>
          <w:szCs w:val="22"/>
          <w:lang w:val="fr-CA" w:eastAsia="en-GB"/>
        </w:rPr>
        <w:t xml:space="preserve">Les banques de développement, qui peuvent fonctionner dans des segments de marché de crédit dans lesquels les banques commerciales ne sont pas pleinement engagées, jouent un rôle unique d’appui aux investissements positifs pour la biodiversité et l’intégration de la biodiversité </w:t>
      </w:r>
      <w:r w:rsidR="00CC24B6">
        <w:rPr>
          <w:sz w:val="22"/>
          <w:szCs w:val="22"/>
          <w:lang w:val="fr-CA" w:eastAsia="en-GB"/>
        </w:rPr>
        <w:t>à</w:t>
      </w:r>
      <w:r w:rsidR="00BF0954" w:rsidRPr="00702E8F">
        <w:rPr>
          <w:sz w:val="22"/>
          <w:szCs w:val="22"/>
          <w:lang w:val="fr-CA" w:eastAsia="en-GB"/>
        </w:rPr>
        <w:t xml:space="preserve"> l’évaluation des risques. Les banques de développement devraient intégrer les risques et occasions pour la biodiversité </w:t>
      </w:r>
      <w:r w:rsidR="00CC24B6">
        <w:rPr>
          <w:sz w:val="22"/>
          <w:szCs w:val="22"/>
          <w:lang w:val="fr-CA" w:eastAsia="en-GB"/>
        </w:rPr>
        <w:t>aux</w:t>
      </w:r>
      <w:r w:rsidR="00BF0954" w:rsidRPr="00702E8F">
        <w:rPr>
          <w:sz w:val="22"/>
          <w:szCs w:val="22"/>
          <w:lang w:val="fr-CA" w:eastAsia="en-GB"/>
        </w:rPr>
        <w:t xml:space="preserve"> stratégies et politiques, et </w:t>
      </w:r>
      <w:r w:rsidR="003D1A98" w:rsidRPr="00702E8F">
        <w:rPr>
          <w:sz w:val="22"/>
          <w:szCs w:val="22"/>
          <w:lang w:val="fr-CA" w:eastAsia="en-GB"/>
        </w:rPr>
        <w:t xml:space="preserve">faire en sorte que les prêts aient des conséquences positives ou neutres sur la biodiversité qui respectent les objectifs de la Convention. Toutes les banques de développement devraient respecter des cadres régissant </w:t>
      </w:r>
      <w:r w:rsidR="008B6F93">
        <w:rPr>
          <w:sz w:val="22"/>
          <w:szCs w:val="22"/>
          <w:lang w:val="fr-CA" w:eastAsia="en-GB"/>
        </w:rPr>
        <w:t>l</w:t>
      </w:r>
      <w:r w:rsidR="003D1A98" w:rsidRPr="00702E8F">
        <w:rPr>
          <w:sz w:val="22"/>
          <w:szCs w:val="22"/>
          <w:lang w:val="fr-CA" w:eastAsia="en-GB"/>
        </w:rPr>
        <w:t xml:space="preserve">es prêts et de conformité solides pour lesquels il existe des mesures de </w:t>
      </w:r>
      <w:r w:rsidR="003D1A98" w:rsidRPr="00702E8F">
        <w:rPr>
          <w:sz w:val="22"/>
          <w:szCs w:val="22"/>
          <w:lang w:val="fr-CA" w:eastAsia="en-GB"/>
        </w:rPr>
        <w:lastRenderedPageBreak/>
        <w:t>protection sociales et environneme</w:t>
      </w:r>
      <w:r w:rsidR="00CC24B6">
        <w:rPr>
          <w:sz w:val="22"/>
          <w:szCs w:val="22"/>
          <w:lang w:val="fr-CA" w:eastAsia="en-GB"/>
        </w:rPr>
        <w:t>ntales, tel</w:t>
      </w:r>
      <w:r w:rsidR="008B6F93">
        <w:rPr>
          <w:sz w:val="22"/>
          <w:szCs w:val="22"/>
          <w:lang w:val="fr-CA" w:eastAsia="en-GB"/>
        </w:rPr>
        <w:t>le</w:t>
      </w:r>
      <w:r w:rsidR="003D1A98" w:rsidRPr="00702E8F">
        <w:rPr>
          <w:sz w:val="22"/>
          <w:szCs w:val="22"/>
          <w:lang w:val="fr-CA" w:eastAsia="en-GB"/>
        </w:rPr>
        <w:t xml:space="preserve">s que la Normes de performance en matière de durabilité et sociale 6 </w:t>
      </w:r>
      <w:r w:rsidR="007341BD" w:rsidRPr="00702E8F">
        <w:rPr>
          <w:sz w:val="22"/>
          <w:szCs w:val="22"/>
          <w:lang w:val="fr-CA" w:eastAsia="en-GB"/>
        </w:rPr>
        <w:t xml:space="preserve">(NPDS6) </w:t>
      </w:r>
      <w:r w:rsidR="003D1A98" w:rsidRPr="00702E8F">
        <w:rPr>
          <w:sz w:val="22"/>
          <w:szCs w:val="22"/>
          <w:lang w:val="fr-CA" w:eastAsia="en-GB"/>
        </w:rPr>
        <w:t>de la Banque mondiale</w:t>
      </w:r>
      <w:r w:rsidR="009C18A0" w:rsidRPr="00702E8F">
        <w:rPr>
          <w:sz w:val="22"/>
          <w:szCs w:val="22"/>
          <w:vertAlign w:val="superscript"/>
          <w:lang w:val="fr-CA" w:eastAsia="en-GB"/>
        </w:rPr>
        <w:footnoteReference w:id="28"/>
      </w:r>
      <w:r w:rsidR="009C18A0" w:rsidRPr="00702E8F">
        <w:rPr>
          <w:sz w:val="22"/>
          <w:szCs w:val="22"/>
          <w:lang w:val="fr-CA" w:eastAsia="en-GB"/>
        </w:rPr>
        <w:t xml:space="preserve"> </w:t>
      </w:r>
      <w:r w:rsidR="007341BD" w:rsidRPr="00702E8F">
        <w:rPr>
          <w:sz w:val="22"/>
          <w:szCs w:val="22"/>
          <w:lang w:val="fr-CA" w:eastAsia="en-GB"/>
        </w:rPr>
        <w:t>ou la norme de rendement 6 de la Société financière internationale (</w:t>
      </w:r>
      <w:proofErr w:type="spellStart"/>
      <w:r w:rsidR="007341BD" w:rsidRPr="00702E8F">
        <w:rPr>
          <w:sz w:val="22"/>
          <w:szCs w:val="22"/>
          <w:lang w:val="fr-CA" w:eastAsia="en-GB"/>
        </w:rPr>
        <w:t>SFI</w:t>
      </w:r>
      <w:proofErr w:type="spellEnd"/>
      <w:r w:rsidR="007341BD" w:rsidRPr="00702E8F">
        <w:rPr>
          <w:sz w:val="22"/>
          <w:szCs w:val="22"/>
          <w:lang w:val="fr-CA" w:eastAsia="en-GB"/>
        </w:rPr>
        <w:t>)</w:t>
      </w:r>
      <w:r w:rsidR="009C18A0" w:rsidRPr="00702E8F">
        <w:rPr>
          <w:sz w:val="22"/>
          <w:szCs w:val="22"/>
          <w:lang w:val="fr-CA" w:eastAsia="en-GB"/>
        </w:rPr>
        <w:t>,</w:t>
      </w:r>
      <w:r w:rsidR="009C18A0" w:rsidRPr="00702E8F">
        <w:rPr>
          <w:sz w:val="22"/>
          <w:szCs w:val="22"/>
          <w:vertAlign w:val="superscript"/>
          <w:lang w:val="fr-CA" w:eastAsia="en-GB"/>
        </w:rPr>
        <w:footnoteReference w:id="29"/>
      </w:r>
      <w:r w:rsidR="009C18A0" w:rsidRPr="00702E8F">
        <w:rPr>
          <w:sz w:val="22"/>
          <w:szCs w:val="22"/>
          <w:lang w:val="fr-CA" w:eastAsia="en-GB"/>
        </w:rPr>
        <w:t xml:space="preserve"> </w:t>
      </w:r>
      <w:r w:rsidR="007341BD" w:rsidRPr="00702E8F">
        <w:rPr>
          <w:sz w:val="22"/>
          <w:szCs w:val="22"/>
          <w:lang w:val="fr-CA" w:eastAsia="en-GB"/>
        </w:rPr>
        <w:t xml:space="preserve">qui a pour but de protéger et de conserver la biodiversité et ses habitats, </w:t>
      </w:r>
      <w:r w:rsidR="00CC24B6">
        <w:rPr>
          <w:sz w:val="22"/>
          <w:szCs w:val="22"/>
          <w:lang w:val="fr-CA" w:eastAsia="en-GB"/>
        </w:rPr>
        <w:t>d’</w:t>
      </w:r>
      <w:r w:rsidR="007341BD" w:rsidRPr="00702E8F">
        <w:rPr>
          <w:sz w:val="22"/>
          <w:szCs w:val="22"/>
          <w:lang w:val="fr-CA" w:eastAsia="en-GB"/>
        </w:rPr>
        <w:t>encourager la mise en œuvre de la hiérarchie d</w:t>
      </w:r>
      <w:r w:rsidR="009F7A75" w:rsidRPr="00702E8F">
        <w:rPr>
          <w:sz w:val="22"/>
          <w:szCs w:val="22"/>
          <w:lang w:val="fr-CA" w:eastAsia="en-GB"/>
        </w:rPr>
        <w:t>e l</w:t>
      </w:r>
      <w:r w:rsidR="007341BD" w:rsidRPr="00702E8F">
        <w:rPr>
          <w:sz w:val="22"/>
          <w:szCs w:val="22"/>
          <w:lang w:val="fr-CA" w:eastAsia="en-GB"/>
        </w:rPr>
        <w:t xml:space="preserve">’atténuation et de promouvoir la gestion durable des ressources naturelles vivantes. De plus, </w:t>
      </w:r>
      <w:r w:rsidR="009F7A75" w:rsidRPr="00702E8F">
        <w:rPr>
          <w:sz w:val="22"/>
          <w:szCs w:val="22"/>
          <w:lang w:val="fr-CA" w:eastAsia="en-GB"/>
        </w:rPr>
        <w:t>les banques de développement devraient réaliser des vérifications et remettre des rapports sur la conformité en lien avec ces mesures de protection, notamment la mise en</w:t>
      </w:r>
      <w:r w:rsidR="00D81362" w:rsidRPr="00702E8F">
        <w:rPr>
          <w:sz w:val="22"/>
          <w:szCs w:val="22"/>
          <w:lang w:val="fr-CA" w:eastAsia="en-GB"/>
        </w:rPr>
        <w:t xml:space="preserve"> œuvre </w:t>
      </w:r>
      <w:r w:rsidR="009F7A75" w:rsidRPr="00702E8F">
        <w:rPr>
          <w:sz w:val="22"/>
          <w:szCs w:val="22"/>
          <w:lang w:val="fr-CA" w:eastAsia="en-GB"/>
        </w:rPr>
        <w:t xml:space="preserve">de mesures de compensation. Finalement, les </w:t>
      </w:r>
      <w:r w:rsidR="00D81362" w:rsidRPr="00702E8F">
        <w:rPr>
          <w:sz w:val="22"/>
          <w:szCs w:val="22"/>
          <w:lang w:val="fr-CA" w:eastAsia="en-GB"/>
        </w:rPr>
        <w:t>banques de développement pourrai</w:t>
      </w:r>
      <w:r w:rsidR="009F7A75" w:rsidRPr="00702E8F">
        <w:rPr>
          <w:sz w:val="22"/>
          <w:szCs w:val="22"/>
          <w:lang w:val="fr-CA" w:eastAsia="en-GB"/>
        </w:rPr>
        <w:t xml:space="preserve">ent, </w:t>
      </w:r>
      <w:r w:rsidR="00D81362" w:rsidRPr="00702E8F">
        <w:rPr>
          <w:sz w:val="22"/>
          <w:szCs w:val="22"/>
          <w:lang w:val="fr-CA" w:eastAsia="en-GB"/>
        </w:rPr>
        <w:t>lorsque</w:t>
      </w:r>
      <w:r w:rsidR="009F7A75" w:rsidRPr="00702E8F">
        <w:rPr>
          <w:sz w:val="22"/>
          <w:szCs w:val="22"/>
          <w:lang w:val="fr-CA" w:eastAsia="en-GB"/>
        </w:rPr>
        <w:t xml:space="preserve"> possible, </w:t>
      </w:r>
      <w:r w:rsidR="00CC24B6">
        <w:rPr>
          <w:sz w:val="22"/>
          <w:szCs w:val="22"/>
          <w:lang w:val="fr-CA" w:eastAsia="en-GB"/>
        </w:rPr>
        <w:t>effectuer</w:t>
      </w:r>
      <w:r w:rsidR="009F7A75" w:rsidRPr="00702E8F">
        <w:rPr>
          <w:sz w:val="22"/>
          <w:szCs w:val="22"/>
          <w:lang w:val="fr-CA" w:eastAsia="en-GB"/>
        </w:rPr>
        <w:t xml:space="preserve"> des évaluati</w:t>
      </w:r>
      <w:r w:rsidR="00D81362" w:rsidRPr="00702E8F">
        <w:rPr>
          <w:sz w:val="22"/>
          <w:szCs w:val="22"/>
          <w:lang w:val="fr-CA" w:eastAsia="en-GB"/>
        </w:rPr>
        <w:t>ons environnementales straté</w:t>
      </w:r>
      <w:r w:rsidR="009F7A75" w:rsidRPr="00702E8F">
        <w:rPr>
          <w:sz w:val="22"/>
          <w:szCs w:val="22"/>
          <w:lang w:val="fr-CA" w:eastAsia="en-GB"/>
        </w:rPr>
        <w:t>giques et</w:t>
      </w:r>
      <w:r w:rsidR="00D81362" w:rsidRPr="00702E8F">
        <w:rPr>
          <w:sz w:val="22"/>
          <w:szCs w:val="22"/>
          <w:lang w:val="fr-CA" w:eastAsia="en-GB"/>
        </w:rPr>
        <w:t xml:space="preserve"> une planificati</w:t>
      </w:r>
      <w:r w:rsidR="009F7A75" w:rsidRPr="00702E8F">
        <w:rPr>
          <w:sz w:val="22"/>
          <w:szCs w:val="22"/>
          <w:lang w:val="fr-CA" w:eastAsia="en-GB"/>
        </w:rPr>
        <w:t>on spatiale intégrée, conformément au paragraphe</w:t>
      </w:r>
      <w:r w:rsidR="00E453D1">
        <w:rPr>
          <w:sz w:val="22"/>
          <w:szCs w:val="22"/>
          <w:lang w:val="fr-CA" w:eastAsia="en-GB"/>
        </w:rPr>
        <w:t> </w:t>
      </w:r>
      <w:r w:rsidR="00646489">
        <w:rPr>
          <w:sz w:val="22"/>
          <w:szCs w:val="22"/>
          <w:lang w:val="fr-CA" w:eastAsia="en-GB"/>
        </w:rPr>
        <w:t>13 b) de la décision 14/3</w:t>
      </w:r>
      <w:r w:rsidR="009F7A75" w:rsidRPr="00702E8F">
        <w:rPr>
          <w:sz w:val="22"/>
          <w:szCs w:val="22"/>
          <w:lang w:val="fr-CA" w:eastAsia="en-GB"/>
        </w:rPr>
        <w:t xml:space="preserve">, </w:t>
      </w:r>
      <w:r w:rsidR="00D81362" w:rsidRPr="00702E8F">
        <w:rPr>
          <w:sz w:val="22"/>
          <w:szCs w:val="22"/>
          <w:lang w:val="fr-CA" w:eastAsia="en-GB"/>
        </w:rPr>
        <w:t>afin que les investissement</w:t>
      </w:r>
      <w:r w:rsidR="00E453D1">
        <w:rPr>
          <w:sz w:val="22"/>
          <w:szCs w:val="22"/>
          <w:lang w:val="fr-CA" w:eastAsia="en-GB"/>
        </w:rPr>
        <w:t>s</w:t>
      </w:r>
      <w:r w:rsidR="00D81362" w:rsidRPr="00702E8F">
        <w:rPr>
          <w:sz w:val="22"/>
          <w:szCs w:val="22"/>
          <w:lang w:val="fr-CA" w:eastAsia="en-GB"/>
        </w:rPr>
        <w:t xml:space="preserve"> tiennent</w:t>
      </w:r>
      <w:r w:rsidR="00BF6858" w:rsidRPr="00702E8F">
        <w:rPr>
          <w:sz w:val="22"/>
          <w:szCs w:val="22"/>
          <w:lang w:val="fr-CA" w:eastAsia="en-GB"/>
        </w:rPr>
        <w:t xml:space="preserve"> compte</w:t>
      </w:r>
      <w:r w:rsidR="00D81362" w:rsidRPr="00702E8F">
        <w:rPr>
          <w:sz w:val="22"/>
          <w:szCs w:val="22"/>
          <w:lang w:val="fr-CA" w:eastAsia="en-GB"/>
        </w:rPr>
        <w:t xml:space="preserve"> de la biodiversité</w:t>
      </w:r>
      <w:r w:rsidR="00E453D1">
        <w:rPr>
          <w:sz w:val="22"/>
          <w:szCs w:val="22"/>
          <w:lang w:val="fr-CA" w:eastAsia="en-GB"/>
        </w:rPr>
        <w:t> </w:t>
      </w:r>
      <w:r w:rsidR="00C24D71" w:rsidRPr="00702E8F">
        <w:rPr>
          <w:sz w:val="22"/>
          <w:szCs w:val="22"/>
          <w:lang w:val="fr-CA" w:eastAsia="en-GB"/>
        </w:rPr>
        <w:t>;</w:t>
      </w:r>
    </w:p>
    <w:p w14:paraId="42F409C4" w14:textId="2A554529" w:rsidR="009C18A0" w:rsidRPr="00702E8F" w:rsidRDefault="00C72D93" w:rsidP="00EC07F9">
      <w:pPr>
        <w:spacing w:before="120" w:after="120"/>
        <w:ind w:firstLine="720"/>
        <w:jc w:val="both"/>
        <w:rPr>
          <w:sz w:val="22"/>
          <w:szCs w:val="22"/>
          <w:lang w:val="fr-CA" w:eastAsia="en-GB"/>
        </w:rPr>
      </w:pPr>
      <w:r>
        <w:rPr>
          <w:sz w:val="22"/>
          <w:szCs w:val="22"/>
          <w:lang w:val="fr-CA" w:eastAsia="en-GB"/>
        </w:rPr>
        <w:t>h)</w:t>
      </w:r>
      <w:r>
        <w:rPr>
          <w:sz w:val="22"/>
          <w:szCs w:val="22"/>
          <w:lang w:val="fr-CA" w:eastAsia="en-GB"/>
        </w:rPr>
        <w:tab/>
      </w:r>
      <w:r w:rsidR="00D81362" w:rsidRPr="00702E8F">
        <w:rPr>
          <w:sz w:val="22"/>
          <w:szCs w:val="22"/>
          <w:lang w:val="fr-CA" w:eastAsia="en-GB"/>
        </w:rPr>
        <w:t xml:space="preserve">L’industrie de l’assurance peut avoir une forte influence sur le comportement des entreprises et des particuliers en communiquant des signes économiques </w:t>
      </w:r>
      <w:r w:rsidR="00646489">
        <w:rPr>
          <w:sz w:val="22"/>
          <w:szCs w:val="22"/>
          <w:lang w:val="fr-CA" w:eastAsia="en-GB"/>
        </w:rPr>
        <w:t>par la prise</w:t>
      </w:r>
      <w:r w:rsidR="00D81362" w:rsidRPr="00702E8F">
        <w:rPr>
          <w:sz w:val="22"/>
          <w:szCs w:val="22"/>
          <w:lang w:val="fr-CA" w:eastAsia="en-GB"/>
        </w:rPr>
        <w:t xml:space="preserve"> en charge de</w:t>
      </w:r>
      <w:r w:rsidR="00CC24B6">
        <w:rPr>
          <w:sz w:val="22"/>
          <w:szCs w:val="22"/>
          <w:lang w:val="fr-CA" w:eastAsia="en-GB"/>
        </w:rPr>
        <w:t>s</w:t>
      </w:r>
      <w:r w:rsidR="00D81362" w:rsidRPr="00702E8F">
        <w:rPr>
          <w:sz w:val="22"/>
          <w:szCs w:val="22"/>
          <w:lang w:val="fr-CA" w:eastAsia="en-GB"/>
        </w:rPr>
        <w:t xml:space="preserve"> polices et de</w:t>
      </w:r>
      <w:r w:rsidR="00CC24B6">
        <w:rPr>
          <w:sz w:val="22"/>
          <w:szCs w:val="22"/>
          <w:lang w:val="fr-CA" w:eastAsia="en-GB"/>
        </w:rPr>
        <w:t>s</w:t>
      </w:r>
      <w:r w:rsidR="00D81362" w:rsidRPr="00702E8F">
        <w:rPr>
          <w:sz w:val="22"/>
          <w:szCs w:val="22"/>
          <w:lang w:val="fr-CA" w:eastAsia="en-GB"/>
        </w:rPr>
        <w:t xml:space="preserve"> primes. Le secteur de l’assurance devrait </w:t>
      </w:r>
      <w:r w:rsidR="00BF6858" w:rsidRPr="00702E8F">
        <w:rPr>
          <w:sz w:val="22"/>
          <w:szCs w:val="22"/>
          <w:lang w:val="fr-CA" w:eastAsia="en-GB"/>
        </w:rPr>
        <w:t>chercher à améliorer la modélisation et l’évaluation des risques</w:t>
      </w:r>
      <w:r w:rsidR="00CC24B6">
        <w:rPr>
          <w:sz w:val="22"/>
          <w:szCs w:val="22"/>
          <w:lang w:val="fr-CA" w:eastAsia="en-GB"/>
        </w:rPr>
        <w:t>,</w:t>
      </w:r>
      <w:r w:rsidR="00BF6858" w:rsidRPr="00702E8F">
        <w:rPr>
          <w:sz w:val="22"/>
          <w:szCs w:val="22"/>
          <w:lang w:val="fr-CA" w:eastAsia="en-GB"/>
        </w:rPr>
        <w:t xml:space="preserve"> afin de tenir compte du rôle de la biodiversité et des écosystèmes intacts dans la réduction des risques (c.-à-d., solutions fondées sur la nature pour réduire les risques de catastrophe), ce qui aurait une influence sur le prix des primes et communiquerait un signa</w:t>
      </w:r>
      <w:r w:rsidR="007A30C9">
        <w:rPr>
          <w:sz w:val="22"/>
          <w:szCs w:val="22"/>
          <w:lang w:val="fr-CA" w:eastAsia="en-GB"/>
        </w:rPr>
        <w:t>l</w:t>
      </w:r>
      <w:r w:rsidR="00BF6858" w:rsidRPr="00702E8F">
        <w:rPr>
          <w:sz w:val="22"/>
          <w:szCs w:val="22"/>
          <w:lang w:val="fr-CA" w:eastAsia="en-GB"/>
        </w:rPr>
        <w:t xml:space="preserve"> </w:t>
      </w:r>
      <w:r w:rsidR="007A30C9">
        <w:rPr>
          <w:sz w:val="22"/>
          <w:szCs w:val="22"/>
          <w:lang w:val="fr-CA" w:eastAsia="en-GB"/>
        </w:rPr>
        <w:t>concernant</w:t>
      </w:r>
      <w:r w:rsidR="00BF6858" w:rsidRPr="00702E8F">
        <w:rPr>
          <w:sz w:val="22"/>
          <w:szCs w:val="22"/>
          <w:lang w:val="fr-CA" w:eastAsia="en-GB"/>
        </w:rPr>
        <w:t xml:space="preserve"> les prix aux acteurs privés et publics, dont les propriétaires fonciers, </w:t>
      </w:r>
      <w:r w:rsidR="007A30C9">
        <w:rPr>
          <w:sz w:val="22"/>
          <w:szCs w:val="22"/>
          <w:lang w:val="fr-CA" w:eastAsia="en-GB"/>
        </w:rPr>
        <w:t>notamment</w:t>
      </w:r>
      <w:r w:rsidR="00BF6858" w:rsidRPr="00702E8F">
        <w:rPr>
          <w:sz w:val="22"/>
          <w:szCs w:val="22"/>
          <w:lang w:val="fr-CA" w:eastAsia="en-GB"/>
        </w:rPr>
        <w:t xml:space="preserve"> </w:t>
      </w:r>
      <w:r w:rsidR="00646489">
        <w:rPr>
          <w:sz w:val="22"/>
          <w:szCs w:val="22"/>
          <w:lang w:val="fr-CA" w:eastAsia="en-GB"/>
        </w:rPr>
        <w:t xml:space="preserve">sur </w:t>
      </w:r>
      <w:r w:rsidR="00BF6858" w:rsidRPr="00702E8F">
        <w:rPr>
          <w:sz w:val="22"/>
          <w:szCs w:val="22"/>
          <w:lang w:val="fr-CA" w:eastAsia="en-GB"/>
        </w:rPr>
        <w:t>l’importance des écosystèmes intacts pour réduire les risques de catastrophe</w:t>
      </w:r>
      <w:r w:rsidR="00E453D1">
        <w:rPr>
          <w:sz w:val="22"/>
          <w:szCs w:val="22"/>
          <w:lang w:val="fr-CA" w:eastAsia="en-GB"/>
        </w:rPr>
        <w:t> </w:t>
      </w:r>
      <w:r w:rsidR="00B77D0D">
        <w:rPr>
          <w:sz w:val="22"/>
          <w:szCs w:val="22"/>
          <w:lang w:val="fr-CA" w:eastAsia="en-GB"/>
        </w:rPr>
        <w:t>;</w:t>
      </w:r>
    </w:p>
    <w:p w14:paraId="1138776F" w14:textId="07620AFA" w:rsidR="009C18A0" w:rsidRPr="00702E8F" w:rsidRDefault="00F20289" w:rsidP="00F609C7">
      <w:pPr>
        <w:pStyle w:val="Para1"/>
        <w:numPr>
          <w:ilvl w:val="0"/>
          <w:numId w:val="49"/>
        </w:numPr>
        <w:suppressLineNumbers/>
        <w:suppressAutoHyphens/>
        <w:spacing w:before="120"/>
        <w:ind w:left="0" w:firstLine="0"/>
        <w:jc w:val="both"/>
        <w:rPr>
          <w:sz w:val="22"/>
          <w:szCs w:val="22"/>
          <w:lang w:val="fr-CA" w:eastAsia="en-GB"/>
        </w:rPr>
      </w:pPr>
      <w:r>
        <w:rPr>
          <w:b/>
          <w:bCs/>
          <w:sz w:val="22"/>
          <w:szCs w:val="22"/>
          <w:lang w:val="fr-CA" w:eastAsia="en-GB"/>
        </w:rPr>
        <w:t>Reconnaître et i</w:t>
      </w:r>
      <w:r w:rsidR="002A016D" w:rsidRPr="00702E8F">
        <w:rPr>
          <w:b/>
          <w:bCs/>
          <w:sz w:val="22"/>
          <w:szCs w:val="22"/>
          <w:lang w:val="fr-CA" w:eastAsia="en-GB"/>
        </w:rPr>
        <w:t xml:space="preserve">ntégrer </w:t>
      </w:r>
      <w:r>
        <w:rPr>
          <w:b/>
          <w:bCs/>
          <w:sz w:val="22"/>
          <w:szCs w:val="22"/>
          <w:lang w:val="fr-CA" w:eastAsia="en-GB"/>
        </w:rPr>
        <w:t xml:space="preserve">les impacts, les dépendances et les risques pour </w:t>
      </w:r>
      <w:r w:rsidR="002A016D" w:rsidRPr="00702E8F">
        <w:rPr>
          <w:b/>
          <w:bCs/>
          <w:sz w:val="22"/>
          <w:szCs w:val="22"/>
          <w:lang w:val="fr-CA" w:eastAsia="en-GB"/>
        </w:rPr>
        <w:t>la biodiversité aux modèles d’affaires, aux opérations et aux pratiques</w:t>
      </w:r>
      <w:r w:rsidR="00CF3F8D">
        <w:rPr>
          <w:b/>
          <w:bCs/>
          <w:sz w:val="22"/>
          <w:szCs w:val="22"/>
          <w:lang w:val="fr-CA" w:eastAsia="en-GB"/>
        </w:rPr>
        <w:t>,</w:t>
      </w:r>
      <w:r w:rsidR="002A016D" w:rsidRPr="00702E8F">
        <w:rPr>
          <w:b/>
          <w:bCs/>
          <w:sz w:val="22"/>
          <w:szCs w:val="22"/>
          <w:lang w:val="fr-CA" w:eastAsia="en-GB"/>
        </w:rPr>
        <w:t xml:space="preserve"> afin </w:t>
      </w:r>
      <w:r>
        <w:rPr>
          <w:b/>
          <w:bCs/>
          <w:sz w:val="22"/>
          <w:szCs w:val="22"/>
          <w:lang w:val="fr-CA" w:eastAsia="en-GB"/>
        </w:rPr>
        <w:t xml:space="preserve">d’éviter ou de réduire au minimum </w:t>
      </w:r>
      <w:r w:rsidR="00CF3F8D">
        <w:rPr>
          <w:b/>
          <w:bCs/>
          <w:sz w:val="22"/>
          <w:szCs w:val="22"/>
          <w:lang w:val="fr-CA" w:eastAsia="en-GB"/>
        </w:rPr>
        <w:t>les dommages causés à l</w:t>
      </w:r>
      <w:r w:rsidR="002A016D" w:rsidRPr="00702E8F">
        <w:rPr>
          <w:b/>
          <w:bCs/>
          <w:sz w:val="22"/>
          <w:szCs w:val="22"/>
          <w:lang w:val="fr-CA" w:eastAsia="en-GB"/>
        </w:rPr>
        <w:t xml:space="preserve">a biodiversité et aux écosystèmes. </w:t>
      </w:r>
      <w:r w:rsidR="002A016D" w:rsidRPr="00702E8F">
        <w:rPr>
          <w:bCs/>
          <w:sz w:val="22"/>
          <w:szCs w:val="22"/>
          <w:lang w:val="fr-CA" w:eastAsia="en-GB"/>
        </w:rPr>
        <w:t>Les dépendances du secteur privé et les impacts sur la biodiversité et les écosystèmes fonctionnels créent des risques possibles, et investir dans la gestion de ces risques est abordable et bénéfique. Parallèlement, le principe de longue date du «</w:t>
      </w:r>
      <w:r w:rsidR="00E453D1">
        <w:rPr>
          <w:bCs/>
          <w:sz w:val="22"/>
          <w:szCs w:val="22"/>
          <w:lang w:val="fr-CA" w:eastAsia="en-GB"/>
        </w:rPr>
        <w:t> </w:t>
      </w:r>
      <w:r w:rsidR="002A016D" w:rsidRPr="00702E8F">
        <w:rPr>
          <w:bCs/>
          <w:sz w:val="22"/>
          <w:szCs w:val="22"/>
          <w:lang w:val="fr-CA" w:eastAsia="en-GB"/>
        </w:rPr>
        <w:t>pollueur payant » et l’idée que les utilisateurs des ressources naturelles doivent payer pour la valeur du capital naturel qu’ils extraient de l’environnement, devrai</w:t>
      </w:r>
      <w:r w:rsidR="00E453D1">
        <w:rPr>
          <w:bCs/>
          <w:sz w:val="22"/>
          <w:szCs w:val="22"/>
          <w:lang w:val="fr-CA" w:eastAsia="en-GB"/>
        </w:rPr>
        <w:t>en</w:t>
      </w:r>
      <w:r w:rsidR="002A016D" w:rsidRPr="00702E8F">
        <w:rPr>
          <w:bCs/>
          <w:sz w:val="22"/>
          <w:szCs w:val="22"/>
          <w:lang w:val="fr-CA" w:eastAsia="en-GB"/>
        </w:rPr>
        <w:t>t encadrer la façon dont le secteur des affaires oriente ses pratiques</w:t>
      </w:r>
      <w:r w:rsidR="00A020D5" w:rsidRPr="00702E8F">
        <w:rPr>
          <w:bCs/>
          <w:sz w:val="22"/>
          <w:szCs w:val="22"/>
          <w:lang w:val="fr-CA" w:eastAsia="en-GB"/>
        </w:rPr>
        <w:t xml:space="preserve"> pour protéger la biodiversité et les écosystèmes. Ainsi</w:t>
      </w:r>
      <w:r w:rsidR="00E453D1">
        <w:rPr>
          <w:bCs/>
          <w:sz w:val="22"/>
          <w:szCs w:val="22"/>
          <w:lang w:val="fr-CA" w:eastAsia="en-GB"/>
        </w:rPr>
        <w:t> </w:t>
      </w:r>
      <w:r w:rsidR="006B57B6" w:rsidRPr="00702E8F">
        <w:rPr>
          <w:sz w:val="22"/>
          <w:szCs w:val="22"/>
          <w:lang w:val="fr-CA" w:eastAsia="en-GB"/>
        </w:rPr>
        <w:t>:</w:t>
      </w:r>
    </w:p>
    <w:p w14:paraId="7DAEAF4D" w14:textId="509D6D51" w:rsidR="009C18A0" w:rsidRPr="00702E8F" w:rsidRDefault="007D0D78" w:rsidP="00F20289">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F76719" w:rsidRPr="00702E8F">
        <w:rPr>
          <w:sz w:val="22"/>
          <w:szCs w:val="22"/>
          <w:lang w:val="fr-CA" w:eastAsia="en-GB"/>
        </w:rPr>
        <w:t>Les gouvernements devraient créer des signaux émis par les politiques</w:t>
      </w:r>
      <w:r w:rsidR="007D23DC">
        <w:rPr>
          <w:sz w:val="22"/>
          <w:szCs w:val="22"/>
          <w:lang w:val="fr-CA" w:eastAsia="en-GB"/>
        </w:rPr>
        <w:t>,</w:t>
      </w:r>
      <w:r w:rsidR="00F76719" w:rsidRPr="00702E8F">
        <w:rPr>
          <w:sz w:val="22"/>
          <w:szCs w:val="22"/>
          <w:lang w:val="fr-CA" w:eastAsia="en-GB"/>
        </w:rPr>
        <w:t xml:space="preserve"> </w:t>
      </w:r>
      <w:r w:rsidR="007C0A22">
        <w:rPr>
          <w:sz w:val="22"/>
          <w:szCs w:val="22"/>
          <w:lang w:val="fr-CA" w:eastAsia="en-GB"/>
        </w:rPr>
        <w:t>dans le but de</w:t>
      </w:r>
      <w:r w:rsidR="00F76719" w:rsidRPr="00702E8F">
        <w:rPr>
          <w:sz w:val="22"/>
          <w:szCs w:val="22"/>
          <w:lang w:val="fr-CA" w:eastAsia="en-GB"/>
        </w:rPr>
        <w:t xml:space="preserve"> corriger les distorsions du marché qui ne tiennent pas compte de la biodiversité, </w:t>
      </w:r>
      <w:r w:rsidR="007C0A22">
        <w:rPr>
          <w:sz w:val="22"/>
          <w:szCs w:val="22"/>
          <w:lang w:val="fr-CA" w:eastAsia="en-GB"/>
        </w:rPr>
        <w:t>notamment</w:t>
      </w:r>
      <w:r w:rsidR="00F76719" w:rsidRPr="00702E8F">
        <w:rPr>
          <w:sz w:val="22"/>
          <w:szCs w:val="22"/>
          <w:lang w:val="fr-CA" w:eastAsia="en-GB"/>
        </w:rPr>
        <w:t xml:space="preserve"> taxer les mesures </w:t>
      </w:r>
      <w:r w:rsidR="007D23DC">
        <w:rPr>
          <w:sz w:val="22"/>
          <w:szCs w:val="22"/>
          <w:lang w:val="fr-CA" w:eastAsia="en-GB"/>
        </w:rPr>
        <w:t>nuisibles</w:t>
      </w:r>
      <w:r w:rsidR="00F76719" w:rsidRPr="00702E8F">
        <w:rPr>
          <w:sz w:val="22"/>
          <w:szCs w:val="22"/>
          <w:lang w:val="fr-CA" w:eastAsia="en-GB"/>
        </w:rPr>
        <w:t xml:space="preserve"> et créer des mesures d’encouragement, y compris des subventions et des exemptions fiscales, afin de récompenser les mesures positives pour la biodiversité. Des lignes directrices garantissant aucun dommage à la biodiversité pourraient être intégrées aux accords commerciaux internationaux</w:t>
      </w:r>
      <w:r w:rsidR="00E453D1">
        <w:rPr>
          <w:sz w:val="22"/>
          <w:szCs w:val="22"/>
          <w:lang w:val="fr-CA" w:eastAsia="en-GB"/>
        </w:rPr>
        <w:t> </w:t>
      </w:r>
      <w:r w:rsidR="00B94190" w:rsidRPr="00702E8F">
        <w:rPr>
          <w:sz w:val="22"/>
          <w:szCs w:val="22"/>
          <w:lang w:val="fr-CA" w:eastAsia="en-GB"/>
        </w:rPr>
        <w:t>;</w:t>
      </w:r>
    </w:p>
    <w:p w14:paraId="4F35A943" w14:textId="46F301C8" w:rsidR="009C18A0" w:rsidRDefault="007C5D1D" w:rsidP="00EC07F9">
      <w:pPr>
        <w:spacing w:before="120" w:after="120"/>
        <w:ind w:firstLine="720"/>
        <w:jc w:val="both"/>
        <w:rPr>
          <w:sz w:val="22"/>
          <w:szCs w:val="22"/>
          <w:lang w:val="fr-CA" w:eastAsia="en-GB"/>
        </w:rPr>
      </w:pPr>
      <w:r>
        <w:rPr>
          <w:sz w:val="22"/>
          <w:szCs w:val="22"/>
          <w:lang w:val="fr-CA" w:eastAsia="en-GB"/>
        </w:rPr>
        <w:t>b)</w:t>
      </w:r>
      <w:r>
        <w:rPr>
          <w:sz w:val="22"/>
          <w:szCs w:val="22"/>
          <w:lang w:val="fr-CA" w:eastAsia="en-GB"/>
        </w:rPr>
        <w:tab/>
      </w:r>
      <w:r w:rsidR="007C0A22">
        <w:rPr>
          <w:sz w:val="22"/>
          <w:szCs w:val="22"/>
          <w:lang w:val="fr-CA" w:eastAsia="en-GB"/>
        </w:rPr>
        <w:t>En outre</w:t>
      </w:r>
      <w:r w:rsidR="004D1546" w:rsidRPr="00702E8F">
        <w:rPr>
          <w:sz w:val="22"/>
          <w:szCs w:val="22"/>
          <w:lang w:val="fr-CA" w:eastAsia="en-GB"/>
        </w:rPr>
        <w:t>, les gouvernements devraient garantir que leur hiérarchie de l’atténuation</w:t>
      </w:r>
      <w:r w:rsidR="009C18A0" w:rsidRPr="00702E8F">
        <w:rPr>
          <w:sz w:val="22"/>
          <w:szCs w:val="22"/>
          <w:vertAlign w:val="superscript"/>
          <w:lang w:val="fr-CA" w:eastAsia="en-GB"/>
        </w:rPr>
        <w:footnoteReference w:id="30"/>
      </w:r>
      <w:r w:rsidR="009C18A0" w:rsidRPr="00702E8F">
        <w:rPr>
          <w:sz w:val="22"/>
          <w:szCs w:val="22"/>
          <w:lang w:val="fr-CA" w:eastAsia="en-GB"/>
        </w:rPr>
        <w:t xml:space="preserve"> (</w:t>
      </w:r>
      <w:r w:rsidR="004D1546" w:rsidRPr="00702E8F">
        <w:rPr>
          <w:sz w:val="22"/>
          <w:szCs w:val="22"/>
          <w:lang w:val="fr-CA" w:eastAsia="en-GB"/>
        </w:rPr>
        <w:t>c.-à-d., éviter, réduire et ensuite compenser) est appliquée aux activités nuisibles pour</w:t>
      </w:r>
      <w:r w:rsidR="007C0A22">
        <w:rPr>
          <w:sz w:val="22"/>
          <w:szCs w:val="22"/>
          <w:lang w:val="fr-CA" w:eastAsia="en-GB"/>
        </w:rPr>
        <w:t xml:space="preserve"> la biodiversité</w:t>
      </w:r>
      <w:r w:rsidR="004D1546" w:rsidRPr="00702E8F">
        <w:rPr>
          <w:sz w:val="22"/>
          <w:szCs w:val="22"/>
          <w:lang w:val="fr-CA" w:eastAsia="en-GB"/>
        </w:rPr>
        <w:t xml:space="preserve"> et qu’elle fait l’objet d’un exercice à long terme de suivi et de vérification du respect des décisions</w:t>
      </w:r>
      <w:r w:rsidR="009C18A0" w:rsidRPr="00702E8F">
        <w:rPr>
          <w:sz w:val="22"/>
          <w:szCs w:val="22"/>
          <w:lang w:val="fr-CA" w:eastAsia="en-GB"/>
        </w:rPr>
        <w:t xml:space="preserve">. </w:t>
      </w:r>
      <w:r w:rsidR="004D1546" w:rsidRPr="00702E8F">
        <w:rPr>
          <w:sz w:val="22"/>
          <w:szCs w:val="22"/>
          <w:lang w:val="fr-CA" w:eastAsia="en-GB"/>
        </w:rPr>
        <w:t xml:space="preserve">Les mesures compensatoires des atteintes à la biodiversité </w:t>
      </w:r>
      <w:r w:rsidR="007D0A8C" w:rsidRPr="00702E8F">
        <w:rPr>
          <w:sz w:val="22"/>
          <w:szCs w:val="22"/>
          <w:lang w:val="fr-CA" w:eastAsia="en-GB"/>
        </w:rPr>
        <w:t>devraient être intégrées à la hiérarchie de l’atténuation, selon qu’il convient. La hiérarchie de l’atténuation devrait s’appliquer aux activités du secteur privé et du secteur public, et sa mise en œuvre devrait être suivie et vérifiée.</w:t>
      </w:r>
    </w:p>
    <w:p w14:paraId="6700E42D" w14:textId="5A2514F3" w:rsidR="00F20289" w:rsidRPr="00702E8F" w:rsidRDefault="007C5D1D" w:rsidP="00EC07F9">
      <w:pPr>
        <w:spacing w:before="120" w:after="120"/>
        <w:ind w:firstLine="720"/>
        <w:jc w:val="both"/>
        <w:rPr>
          <w:i/>
          <w:iCs/>
          <w:sz w:val="22"/>
          <w:szCs w:val="22"/>
          <w:lang w:val="fr-CA" w:eastAsia="en-GB"/>
        </w:rPr>
      </w:pPr>
      <w:r>
        <w:rPr>
          <w:sz w:val="22"/>
          <w:szCs w:val="22"/>
          <w:lang w:val="fr-CA" w:eastAsia="en-GB"/>
        </w:rPr>
        <w:t>c)</w:t>
      </w:r>
      <w:r>
        <w:rPr>
          <w:sz w:val="22"/>
          <w:szCs w:val="22"/>
          <w:lang w:val="fr-CA" w:eastAsia="en-GB"/>
        </w:rPr>
        <w:tab/>
      </w:r>
      <w:r w:rsidR="00F20289" w:rsidRPr="00702E8F">
        <w:rPr>
          <w:sz w:val="22"/>
          <w:szCs w:val="22"/>
          <w:lang w:val="fr-CA" w:eastAsia="en-GB"/>
        </w:rPr>
        <w:t xml:space="preserve">Le secteur des affaires devrait améliorer et adopter des normes écologiques liées à la biodiversité, </w:t>
      </w:r>
      <w:r w:rsidR="00F20289">
        <w:rPr>
          <w:sz w:val="22"/>
          <w:szCs w:val="22"/>
          <w:lang w:val="fr-CA" w:eastAsia="en-GB"/>
        </w:rPr>
        <w:t>et aux</w:t>
      </w:r>
      <w:r w:rsidR="00F20289" w:rsidRPr="00702E8F">
        <w:rPr>
          <w:sz w:val="22"/>
          <w:szCs w:val="22"/>
          <w:lang w:val="fr-CA" w:eastAsia="en-GB"/>
        </w:rPr>
        <w:t xml:space="preserve"> pratiques de certification et de mesure des impacts, et devrait être tenu de faire rapport sur les impacts pour la biodiversité, afin de réduire les dommages causés à la biodiversité et aider le secteur </w:t>
      </w:r>
      <w:r w:rsidR="00F20289" w:rsidRPr="00702E8F">
        <w:rPr>
          <w:sz w:val="22"/>
          <w:szCs w:val="22"/>
          <w:lang w:val="fr-CA" w:eastAsia="en-GB"/>
        </w:rPr>
        <w:lastRenderedPageBreak/>
        <w:t>des affaires à gérer les risques pour la biodiversité.</w:t>
      </w:r>
      <w:r w:rsidR="00F20289" w:rsidRPr="00702E8F">
        <w:rPr>
          <w:sz w:val="22"/>
          <w:szCs w:val="22"/>
          <w:vertAlign w:val="superscript"/>
          <w:lang w:val="fr-CA" w:eastAsia="en-GB"/>
        </w:rPr>
        <w:footnoteReference w:id="31"/>
      </w:r>
      <w:r w:rsidR="00F20289" w:rsidRPr="00702E8F">
        <w:rPr>
          <w:sz w:val="22"/>
          <w:szCs w:val="22"/>
          <w:lang w:val="fr-CA" w:eastAsia="en-GB"/>
        </w:rPr>
        <w:t xml:space="preserve"> Le développement de la traçabilité environnementale améliorée dans la chaîne des valeurs et l’utilisation d’outils tels que Protocole du capital naturel</w:t>
      </w:r>
      <w:r w:rsidR="00F20289" w:rsidRPr="00702E8F">
        <w:rPr>
          <w:sz w:val="22"/>
          <w:szCs w:val="22"/>
          <w:vertAlign w:val="superscript"/>
          <w:lang w:val="fr-CA" w:eastAsia="en-GB"/>
        </w:rPr>
        <w:footnoteReference w:id="32"/>
      </w:r>
      <w:r w:rsidR="00F20289" w:rsidRPr="00702E8F">
        <w:rPr>
          <w:sz w:val="22"/>
          <w:szCs w:val="22"/>
          <w:lang w:val="fr-CA" w:eastAsia="en-GB"/>
        </w:rPr>
        <w:t xml:space="preserve"> peu</w:t>
      </w:r>
      <w:r w:rsidR="00F20289">
        <w:rPr>
          <w:sz w:val="22"/>
          <w:szCs w:val="22"/>
          <w:lang w:val="fr-CA" w:eastAsia="en-GB"/>
        </w:rPr>
        <w:t>ven</w:t>
      </w:r>
      <w:r w:rsidR="00F20289" w:rsidRPr="00702E8F">
        <w:rPr>
          <w:sz w:val="22"/>
          <w:szCs w:val="22"/>
          <w:lang w:val="fr-CA" w:eastAsia="en-GB"/>
        </w:rPr>
        <w:t xml:space="preserve">t aider les entreprises privées à mesurer et déterminer la valeur de leur impact et leur dépendance sur la biodiversité, et aider les consommateurs à faire des choix mieux informés. La création d’une plateforme ouverte de traçabilité peut donner lieu à un </w:t>
      </w:r>
      <w:r w:rsidR="00F20289">
        <w:rPr>
          <w:sz w:val="22"/>
          <w:szCs w:val="22"/>
          <w:lang w:val="fr-CA" w:eastAsia="en-GB"/>
        </w:rPr>
        <w:t>processus d’établissement de rapports et de divulgation transparent</w:t>
      </w:r>
      <w:r>
        <w:rPr>
          <w:sz w:val="22"/>
          <w:szCs w:val="22"/>
          <w:lang w:val="fr-CA" w:eastAsia="en-GB"/>
        </w:rPr>
        <w:t>.</w:t>
      </w:r>
    </w:p>
    <w:p w14:paraId="3EEF5233" w14:textId="2E94CA43" w:rsidR="009C18A0" w:rsidRPr="00702E8F" w:rsidRDefault="007C5D1D" w:rsidP="00EC07F9">
      <w:pPr>
        <w:pStyle w:val="Para1"/>
        <w:numPr>
          <w:ilvl w:val="0"/>
          <w:numId w:val="49"/>
        </w:numPr>
        <w:suppressLineNumbers/>
        <w:suppressAutoHyphens/>
        <w:spacing w:before="120"/>
        <w:ind w:left="0" w:firstLine="0"/>
        <w:jc w:val="both"/>
        <w:rPr>
          <w:sz w:val="22"/>
          <w:szCs w:val="22"/>
          <w:lang w:val="fr-CA" w:eastAsia="en-GB"/>
        </w:rPr>
      </w:pPr>
      <w:r>
        <w:rPr>
          <w:b/>
          <w:bCs/>
          <w:sz w:val="22"/>
          <w:szCs w:val="22"/>
          <w:lang w:val="fr-CA" w:eastAsia="en-GB"/>
        </w:rPr>
        <w:t>Reconnaître et intégrer les impacts, les dépendances et les risques pour la biodiversité aux stratégies, opérations et processus des acteurs du financement du développement international, afin d’éviter ou de réduire au minimum les dommages causés par le financement du développement, y compris le financement du climat</w:t>
      </w:r>
      <w:r w:rsidR="00E453D1">
        <w:rPr>
          <w:b/>
          <w:bCs/>
          <w:sz w:val="22"/>
          <w:szCs w:val="22"/>
          <w:lang w:val="fr-CA" w:eastAsia="en-GB"/>
        </w:rPr>
        <w:t> </w:t>
      </w:r>
      <w:r w:rsidR="006B57B6" w:rsidRPr="00702E8F">
        <w:rPr>
          <w:b/>
          <w:bCs/>
          <w:sz w:val="22"/>
          <w:szCs w:val="22"/>
          <w:lang w:val="fr-CA" w:eastAsia="en-GB"/>
        </w:rPr>
        <w:t>:</w:t>
      </w:r>
    </w:p>
    <w:p w14:paraId="7E31563A" w14:textId="6D1530E9" w:rsidR="009C18A0" w:rsidRPr="00702E8F" w:rsidRDefault="00525B25" w:rsidP="00DB3155">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B31E48" w:rsidRPr="00702E8F">
        <w:rPr>
          <w:sz w:val="22"/>
          <w:szCs w:val="22"/>
          <w:lang w:val="fr-CA" w:eastAsia="en-GB"/>
        </w:rPr>
        <w:t xml:space="preserve">Des mesures de protection devraient être établies et améliorées pour le financement </w:t>
      </w:r>
      <w:r w:rsidR="007C0A22">
        <w:rPr>
          <w:sz w:val="22"/>
          <w:szCs w:val="22"/>
          <w:lang w:val="fr-CA" w:eastAsia="en-GB"/>
        </w:rPr>
        <w:t>international pour le développement</w:t>
      </w:r>
      <w:r w:rsidR="009E6E9A">
        <w:rPr>
          <w:sz w:val="22"/>
          <w:szCs w:val="22"/>
          <w:lang w:val="fr-CA" w:eastAsia="en-GB"/>
        </w:rPr>
        <w:t xml:space="preserve">, afin de repérer et de corriger les conséquences négatives </w:t>
      </w:r>
      <w:r w:rsidR="00B31E48" w:rsidRPr="00702E8F">
        <w:rPr>
          <w:sz w:val="22"/>
          <w:szCs w:val="22"/>
          <w:lang w:val="fr-CA" w:eastAsia="en-GB"/>
        </w:rPr>
        <w:t>de l’</w:t>
      </w:r>
      <w:proofErr w:type="spellStart"/>
      <w:r w:rsidR="00B31E48" w:rsidRPr="00702E8F">
        <w:rPr>
          <w:sz w:val="22"/>
          <w:szCs w:val="22"/>
          <w:lang w:val="fr-CA" w:eastAsia="en-GB"/>
        </w:rPr>
        <w:t>ADP</w:t>
      </w:r>
      <w:proofErr w:type="spellEnd"/>
      <w:r w:rsidR="00B31E48" w:rsidRPr="00702E8F">
        <w:rPr>
          <w:sz w:val="22"/>
          <w:szCs w:val="22"/>
          <w:lang w:val="fr-CA" w:eastAsia="en-GB"/>
        </w:rPr>
        <w:t xml:space="preserve">, des </w:t>
      </w:r>
      <w:proofErr w:type="spellStart"/>
      <w:r w:rsidR="00B31E48" w:rsidRPr="00702E8F">
        <w:rPr>
          <w:sz w:val="22"/>
          <w:szCs w:val="22"/>
          <w:lang w:val="fr-CA" w:eastAsia="en-GB"/>
        </w:rPr>
        <w:t>AASP</w:t>
      </w:r>
      <w:proofErr w:type="spellEnd"/>
      <w:r w:rsidR="00B31E48" w:rsidRPr="00702E8F">
        <w:rPr>
          <w:sz w:val="22"/>
          <w:szCs w:val="22"/>
          <w:lang w:val="fr-CA" w:eastAsia="en-GB"/>
        </w:rPr>
        <w:t xml:space="preserve"> et de la coopération Sud-Sud. Elles devraient comprendre des mesures de protection </w:t>
      </w:r>
      <w:r w:rsidR="009E6E9A">
        <w:rPr>
          <w:sz w:val="22"/>
          <w:szCs w:val="22"/>
          <w:lang w:val="fr-CA" w:eastAsia="en-GB"/>
        </w:rPr>
        <w:t>des</w:t>
      </w:r>
      <w:r w:rsidR="00B31E48" w:rsidRPr="00702E8F">
        <w:rPr>
          <w:sz w:val="22"/>
          <w:szCs w:val="22"/>
          <w:lang w:val="fr-CA" w:eastAsia="en-GB"/>
        </w:rPr>
        <w:t xml:space="preserve"> flux financiers pour réaliser les objectifs de l’Accord de Paris</w:t>
      </w:r>
      <w:r w:rsidR="00B31E48" w:rsidRPr="00702E8F">
        <w:rPr>
          <w:rStyle w:val="Appelnotedebasdep"/>
          <w:sz w:val="22"/>
          <w:szCs w:val="22"/>
          <w:u w:val="none"/>
          <w:vertAlign w:val="superscript"/>
          <w:lang w:val="en-ZA" w:eastAsia="en-GB"/>
        </w:rPr>
        <w:footnoteReference w:id="33"/>
      </w:r>
      <w:r w:rsidR="00B31E48" w:rsidRPr="00702E8F">
        <w:rPr>
          <w:sz w:val="22"/>
          <w:szCs w:val="22"/>
          <w:lang w:val="fr-CA" w:eastAsia="en-GB"/>
        </w:rPr>
        <w:t xml:space="preserve"> adopté au titre de la Convention-cadre des Nations Unies sur les changements climatiques, </w:t>
      </w:r>
      <w:r w:rsidR="00DD24F9" w:rsidRPr="00702E8F">
        <w:rPr>
          <w:sz w:val="22"/>
          <w:szCs w:val="22"/>
          <w:lang w:val="fr-CA" w:eastAsia="en-GB"/>
        </w:rPr>
        <w:t>le Programme de développement durable à l’horizon 2030 et ses Objectifs de développement durable, et le Cadre de Sendai pour la réduction des risques de catastrophe 2015-2030</w:t>
      </w:r>
      <w:r w:rsidR="00536D4C">
        <w:rPr>
          <w:sz w:val="22"/>
          <w:szCs w:val="22"/>
          <w:lang w:val="fr-CA" w:eastAsia="en-GB"/>
        </w:rPr>
        <w:t>, ainsi que la reprise économique associé</w:t>
      </w:r>
      <w:r w:rsidR="00A9678F">
        <w:rPr>
          <w:sz w:val="22"/>
          <w:szCs w:val="22"/>
          <w:lang w:val="fr-CA" w:eastAsia="en-GB"/>
        </w:rPr>
        <w:t>e</w:t>
      </w:r>
      <w:r w:rsidR="00536D4C">
        <w:rPr>
          <w:sz w:val="22"/>
          <w:szCs w:val="22"/>
          <w:lang w:val="fr-CA" w:eastAsia="en-GB"/>
        </w:rPr>
        <w:t xml:space="preserve"> à la présente pandémie</w:t>
      </w:r>
      <w:r w:rsidR="00E453D1">
        <w:rPr>
          <w:sz w:val="22"/>
          <w:szCs w:val="22"/>
          <w:lang w:val="fr-CA" w:eastAsia="en-GB"/>
        </w:rPr>
        <w:t> </w:t>
      </w:r>
      <w:r w:rsidRPr="00702E8F">
        <w:rPr>
          <w:sz w:val="22"/>
          <w:szCs w:val="22"/>
          <w:lang w:val="fr-CA" w:eastAsia="en-GB"/>
        </w:rPr>
        <w:t>;</w:t>
      </w:r>
    </w:p>
    <w:p w14:paraId="51F84A86" w14:textId="70207D14" w:rsidR="009C18A0" w:rsidRPr="00702E8F" w:rsidRDefault="00525B25" w:rsidP="00DB3155">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DD24F9" w:rsidRPr="00702E8F">
        <w:rPr>
          <w:sz w:val="22"/>
          <w:szCs w:val="22"/>
          <w:lang w:val="fr-CA" w:eastAsia="en-GB"/>
        </w:rPr>
        <w:t xml:space="preserve">Des partenariats et </w:t>
      </w:r>
      <w:r w:rsidR="009E6E9A">
        <w:rPr>
          <w:sz w:val="22"/>
          <w:szCs w:val="22"/>
          <w:lang w:val="fr-CA" w:eastAsia="en-GB"/>
        </w:rPr>
        <w:t xml:space="preserve">des </w:t>
      </w:r>
      <w:r w:rsidR="00DD24F9" w:rsidRPr="00702E8F">
        <w:rPr>
          <w:sz w:val="22"/>
          <w:szCs w:val="22"/>
          <w:lang w:val="fr-CA" w:eastAsia="en-GB"/>
        </w:rPr>
        <w:t>plateformes devraient être créés</w:t>
      </w:r>
      <w:r w:rsidR="009E6E9A">
        <w:rPr>
          <w:sz w:val="22"/>
          <w:szCs w:val="22"/>
          <w:lang w:val="fr-CA" w:eastAsia="en-GB"/>
        </w:rPr>
        <w:t>,</w:t>
      </w:r>
      <w:r w:rsidR="00DD24F9" w:rsidRPr="00702E8F">
        <w:rPr>
          <w:sz w:val="22"/>
          <w:szCs w:val="22"/>
          <w:lang w:val="fr-CA" w:eastAsia="en-GB"/>
        </w:rPr>
        <w:t xml:space="preserve"> afin de favoriser l’élaboration de solution synergétiques qui intègrent la biodiversité </w:t>
      </w:r>
      <w:r w:rsidR="009E6E9A">
        <w:rPr>
          <w:sz w:val="22"/>
          <w:szCs w:val="22"/>
          <w:lang w:val="fr-CA" w:eastAsia="en-GB"/>
        </w:rPr>
        <w:t>à</w:t>
      </w:r>
      <w:r w:rsidR="00DD24F9" w:rsidRPr="00702E8F">
        <w:rPr>
          <w:sz w:val="22"/>
          <w:szCs w:val="22"/>
          <w:lang w:val="fr-CA" w:eastAsia="en-GB"/>
        </w:rPr>
        <w:t xml:space="preserve"> un plus vaste programme de développement durable </w:t>
      </w:r>
      <w:r w:rsidR="006B55D7" w:rsidRPr="00702E8F">
        <w:rPr>
          <w:sz w:val="22"/>
          <w:szCs w:val="22"/>
          <w:lang w:val="fr-CA" w:eastAsia="en-GB"/>
        </w:rPr>
        <w:t xml:space="preserve">et </w:t>
      </w:r>
      <w:r w:rsidR="009E6E9A">
        <w:rPr>
          <w:sz w:val="22"/>
          <w:szCs w:val="22"/>
          <w:lang w:val="fr-CA" w:eastAsia="en-GB"/>
        </w:rPr>
        <w:t>aux</w:t>
      </w:r>
      <w:r w:rsidR="006B55D7" w:rsidRPr="00702E8F">
        <w:rPr>
          <w:sz w:val="22"/>
          <w:szCs w:val="22"/>
          <w:lang w:val="fr-CA" w:eastAsia="en-GB"/>
        </w:rPr>
        <w:t xml:space="preserve"> flux de financement connexe</w:t>
      </w:r>
      <w:r w:rsidR="009E6E9A">
        <w:rPr>
          <w:sz w:val="22"/>
          <w:szCs w:val="22"/>
          <w:lang w:val="fr-CA" w:eastAsia="en-GB"/>
        </w:rPr>
        <w:t>s</w:t>
      </w:r>
      <w:r w:rsidR="006B55D7" w:rsidRPr="00702E8F">
        <w:rPr>
          <w:sz w:val="22"/>
          <w:szCs w:val="22"/>
          <w:lang w:val="fr-CA" w:eastAsia="en-GB"/>
        </w:rPr>
        <w:t xml:space="preserve"> de l’</w:t>
      </w:r>
      <w:proofErr w:type="spellStart"/>
      <w:r w:rsidR="006B55D7" w:rsidRPr="00702E8F">
        <w:rPr>
          <w:sz w:val="22"/>
          <w:szCs w:val="22"/>
          <w:lang w:val="fr-CA" w:eastAsia="en-GB"/>
        </w:rPr>
        <w:t>ADP</w:t>
      </w:r>
      <w:proofErr w:type="spellEnd"/>
      <w:r w:rsidR="006B55D7" w:rsidRPr="00702E8F">
        <w:rPr>
          <w:sz w:val="22"/>
          <w:szCs w:val="22"/>
          <w:lang w:val="fr-CA" w:eastAsia="en-GB"/>
        </w:rPr>
        <w:t xml:space="preserve">, des </w:t>
      </w:r>
      <w:proofErr w:type="spellStart"/>
      <w:r w:rsidR="006B55D7" w:rsidRPr="00702E8F">
        <w:rPr>
          <w:sz w:val="22"/>
          <w:szCs w:val="22"/>
          <w:lang w:val="fr-CA" w:eastAsia="en-GB"/>
        </w:rPr>
        <w:t>AASP</w:t>
      </w:r>
      <w:proofErr w:type="spellEnd"/>
      <w:r w:rsidR="006B55D7" w:rsidRPr="00702E8F">
        <w:rPr>
          <w:sz w:val="22"/>
          <w:szCs w:val="22"/>
          <w:lang w:val="fr-CA" w:eastAsia="en-GB"/>
        </w:rPr>
        <w:t xml:space="preserve"> et de la coopération Sud-Sud. Ceux-ci mèneraient à une science, une te</w:t>
      </w:r>
      <w:r w:rsidR="009E6E9A">
        <w:rPr>
          <w:sz w:val="22"/>
          <w:szCs w:val="22"/>
          <w:lang w:val="fr-CA" w:eastAsia="en-GB"/>
        </w:rPr>
        <w:t>chnologie et des lignes directric</w:t>
      </w:r>
      <w:r w:rsidR="006B55D7" w:rsidRPr="00702E8F">
        <w:rPr>
          <w:sz w:val="22"/>
          <w:szCs w:val="22"/>
          <w:lang w:val="fr-CA" w:eastAsia="en-GB"/>
        </w:rPr>
        <w:t xml:space="preserve">es de politique générale et des décisions qui garantissent qu’aucun dommage ne sera causé à la biodiversité tout </w:t>
      </w:r>
      <w:r w:rsidR="00682D17" w:rsidRPr="00702E8F">
        <w:rPr>
          <w:sz w:val="22"/>
          <w:szCs w:val="22"/>
          <w:lang w:val="fr-CA" w:eastAsia="en-GB"/>
        </w:rPr>
        <w:t xml:space="preserve">en </w:t>
      </w:r>
      <w:r w:rsidR="009E6E9A">
        <w:rPr>
          <w:sz w:val="22"/>
          <w:szCs w:val="22"/>
          <w:lang w:val="fr-CA" w:eastAsia="en-GB"/>
        </w:rPr>
        <w:t>réalisant l</w:t>
      </w:r>
      <w:r w:rsidR="00682D17" w:rsidRPr="00702E8F">
        <w:rPr>
          <w:sz w:val="22"/>
          <w:szCs w:val="22"/>
          <w:lang w:val="fr-CA" w:eastAsia="en-GB"/>
        </w:rPr>
        <w:t>es objectifs et s</w:t>
      </w:r>
      <w:r w:rsidR="006B55D7" w:rsidRPr="00702E8F">
        <w:rPr>
          <w:sz w:val="22"/>
          <w:szCs w:val="22"/>
          <w:lang w:val="fr-CA" w:eastAsia="en-GB"/>
        </w:rPr>
        <w:t>ous-objectifs de développement durable, y compris ceux liés à la réduction de la pauvreté</w:t>
      </w:r>
      <w:r w:rsidR="00682D17" w:rsidRPr="00702E8F">
        <w:rPr>
          <w:sz w:val="22"/>
          <w:szCs w:val="22"/>
          <w:lang w:val="fr-CA" w:eastAsia="en-GB"/>
        </w:rPr>
        <w:t>, la sécurité des aliments, la s</w:t>
      </w:r>
      <w:r w:rsidR="006B55D7" w:rsidRPr="00702E8F">
        <w:rPr>
          <w:sz w:val="22"/>
          <w:szCs w:val="22"/>
          <w:lang w:val="fr-CA" w:eastAsia="en-GB"/>
        </w:rPr>
        <w:t>anté, l’eau et la salubrité, l’</w:t>
      </w:r>
      <w:r w:rsidR="00682D17" w:rsidRPr="00702E8F">
        <w:rPr>
          <w:sz w:val="22"/>
          <w:szCs w:val="22"/>
          <w:lang w:val="fr-CA" w:eastAsia="en-GB"/>
        </w:rPr>
        <w:t>emploi et la croissance é</w:t>
      </w:r>
      <w:r w:rsidR="006B55D7" w:rsidRPr="00702E8F">
        <w:rPr>
          <w:sz w:val="22"/>
          <w:szCs w:val="22"/>
          <w:lang w:val="fr-CA" w:eastAsia="en-GB"/>
        </w:rPr>
        <w:t>c</w:t>
      </w:r>
      <w:r w:rsidR="00682D17" w:rsidRPr="00702E8F">
        <w:rPr>
          <w:sz w:val="22"/>
          <w:szCs w:val="22"/>
          <w:lang w:val="fr-CA" w:eastAsia="en-GB"/>
        </w:rPr>
        <w:t>onomiqu</w:t>
      </w:r>
      <w:r w:rsidR="006B55D7" w:rsidRPr="00702E8F">
        <w:rPr>
          <w:sz w:val="22"/>
          <w:szCs w:val="22"/>
          <w:lang w:val="fr-CA" w:eastAsia="en-GB"/>
        </w:rPr>
        <w:t>e, l’</w:t>
      </w:r>
      <w:r w:rsidR="00682D17" w:rsidRPr="00702E8F">
        <w:rPr>
          <w:sz w:val="22"/>
          <w:szCs w:val="22"/>
          <w:lang w:val="fr-CA" w:eastAsia="en-GB"/>
        </w:rPr>
        <w:t>inno</w:t>
      </w:r>
      <w:r w:rsidR="006B55D7" w:rsidRPr="00702E8F">
        <w:rPr>
          <w:sz w:val="22"/>
          <w:szCs w:val="22"/>
          <w:lang w:val="fr-CA" w:eastAsia="en-GB"/>
        </w:rPr>
        <w:t>vation et l’</w:t>
      </w:r>
      <w:r w:rsidR="00682D17" w:rsidRPr="00702E8F">
        <w:rPr>
          <w:sz w:val="22"/>
          <w:szCs w:val="22"/>
          <w:lang w:val="fr-CA" w:eastAsia="en-GB"/>
        </w:rPr>
        <w:t>infrastruct</w:t>
      </w:r>
      <w:r w:rsidR="006B55D7" w:rsidRPr="00702E8F">
        <w:rPr>
          <w:sz w:val="22"/>
          <w:szCs w:val="22"/>
          <w:lang w:val="fr-CA" w:eastAsia="en-GB"/>
        </w:rPr>
        <w:t>ure de l’industrie, le développement urbain, l’</w:t>
      </w:r>
      <w:r w:rsidR="00682D17" w:rsidRPr="00702E8F">
        <w:rPr>
          <w:sz w:val="22"/>
          <w:szCs w:val="22"/>
          <w:lang w:val="fr-CA" w:eastAsia="en-GB"/>
        </w:rPr>
        <w:t>é</w:t>
      </w:r>
      <w:r w:rsidR="006B55D7" w:rsidRPr="00702E8F">
        <w:rPr>
          <w:sz w:val="22"/>
          <w:szCs w:val="22"/>
          <w:lang w:val="fr-CA" w:eastAsia="en-GB"/>
        </w:rPr>
        <w:t>nergie et les changements climatiques</w:t>
      </w:r>
      <w:r w:rsidR="009C18A0" w:rsidRPr="00702E8F">
        <w:rPr>
          <w:sz w:val="22"/>
          <w:szCs w:val="22"/>
          <w:lang w:val="fr-CA" w:eastAsia="en-GB"/>
        </w:rPr>
        <w:t>.</w:t>
      </w:r>
    </w:p>
    <w:p w14:paraId="3D4FEAD2" w14:textId="296B55E3" w:rsidR="009C18A0" w:rsidRPr="00702E8F" w:rsidRDefault="004E48F1" w:rsidP="00EC07F9">
      <w:pPr>
        <w:pStyle w:val="HEADINGNOTFORTOC"/>
        <w:tabs>
          <w:tab w:val="clear" w:pos="720"/>
        </w:tabs>
        <w:spacing w:before="120"/>
        <w:ind w:left="1440" w:hanging="720"/>
        <w:jc w:val="left"/>
        <w:rPr>
          <w:sz w:val="22"/>
          <w:szCs w:val="22"/>
          <w:lang w:val="fr-CA" w:eastAsia="en-GB"/>
        </w:rPr>
      </w:pPr>
      <w:r w:rsidRPr="00702E8F">
        <w:rPr>
          <w:sz w:val="22"/>
          <w:szCs w:val="22"/>
          <w:lang w:val="fr-CA" w:eastAsia="en-GB"/>
        </w:rPr>
        <w:t>IV.</w:t>
      </w:r>
      <w:r w:rsidRPr="00702E8F">
        <w:rPr>
          <w:sz w:val="22"/>
          <w:szCs w:val="22"/>
          <w:lang w:val="fr-CA" w:eastAsia="en-GB"/>
        </w:rPr>
        <w:tab/>
      </w:r>
      <w:r w:rsidR="00682D17" w:rsidRPr="00702E8F">
        <w:rPr>
          <w:sz w:val="22"/>
          <w:szCs w:val="22"/>
          <w:lang w:val="fr-CA" w:eastAsia="en-GB"/>
        </w:rPr>
        <w:t>VOLET ii de la mobilisation des ressources : générer des ressources supplémentaires de toutes les sources afin de réaliser les trois objectifs de la convention</w:t>
      </w:r>
    </w:p>
    <w:p w14:paraId="2ECCE686" w14:textId="1C9E7615" w:rsidR="00F177B0" w:rsidRPr="00702E8F" w:rsidRDefault="001041D0" w:rsidP="00F609C7">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Les principales mesures à prendre pour réaliser ce volet de la mobilisation des ressources sont recommandées dans les paragraphes ci-dessous</w:t>
      </w:r>
      <w:r w:rsidR="00F177B0" w:rsidRPr="00702E8F">
        <w:rPr>
          <w:sz w:val="22"/>
          <w:szCs w:val="22"/>
          <w:lang w:val="fr-CA" w:eastAsia="en-GB"/>
        </w:rPr>
        <w:t>.</w:t>
      </w:r>
    </w:p>
    <w:p w14:paraId="4537A5EC" w14:textId="0624BD8D" w:rsidR="009C18A0" w:rsidRPr="00702E8F" w:rsidRDefault="001041D0" w:rsidP="00EC07F9">
      <w:pPr>
        <w:pStyle w:val="Para1"/>
        <w:numPr>
          <w:ilvl w:val="0"/>
          <w:numId w:val="49"/>
        </w:numPr>
        <w:suppressLineNumbers/>
        <w:suppressAutoHyphens/>
        <w:spacing w:before="120"/>
        <w:ind w:left="0" w:firstLine="0"/>
        <w:jc w:val="both"/>
        <w:rPr>
          <w:sz w:val="22"/>
          <w:szCs w:val="22"/>
          <w:lang w:val="fr-CA" w:eastAsia="en-GB"/>
        </w:rPr>
      </w:pPr>
      <w:r w:rsidRPr="00702E8F">
        <w:rPr>
          <w:b/>
          <w:bCs/>
          <w:sz w:val="22"/>
          <w:szCs w:val="22"/>
          <w:lang w:val="fr-CA" w:eastAsia="en-GB"/>
        </w:rPr>
        <w:t xml:space="preserve">Augmenter les dépenses publiques, directes et indirectes, afin de réaliser les trois objectifs de la Convention. </w:t>
      </w:r>
      <w:r w:rsidRPr="00702E8F">
        <w:rPr>
          <w:bCs/>
          <w:sz w:val="22"/>
          <w:szCs w:val="22"/>
          <w:lang w:val="fr-CA" w:eastAsia="en-GB"/>
        </w:rPr>
        <w:t>I</w:t>
      </w:r>
      <w:r w:rsidR="005C5BF3">
        <w:rPr>
          <w:bCs/>
          <w:sz w:val="22"/>
          <w:szCs w:val="22"/>
          <w:lang w:val="fr-CA" w:eastAsia="en-GB"/>
        </w:rPr>
        <w:t>l</w:t>
      </w:r>
      <w:r w:rsidRPr="00702E8F">
        <w:rPr>
          <w:bCs/>
          <w:sz w:val="22"/>
          <w:szCs w:val="22"/>
          <w:lang w:val="fr-CA" w:eastAsia="en-GB"/>
        </w:rPr>
        <w:t xml:space="preserve"> y a de fortes raisons socioéconomiques pour </w:t>
      </w:r>
      <w:r w:rsidR="0052021B" w:rsidRPr="00702E8F">
        <w:rPr>
          <w:bCs/>
          <w:sz w:val="22"/>
          <w:szCs w:val="22"/>
          <w:lang w:val="fr-CA" w:eastAsia="en-GB"/>
        </w:rPr>
        <w:t>investi</w:t>
      </w:r>
      <w:r w:rsidRPr="00702E8F">
        <w:rPr>
          <w:bCs/>
          <w:sz w:val="22"/>
          <w:szCs w:val="22"/>
          <w:lang w:val="fr-CA" w:eastAsia="en-GB"/>
        </w:rPr>
        <w:t xml:space="preserve">r davantage dans la conservation de la diversité biologique, l’utilisation durable et la restauration. Les estimations mondiales les plus </w:t>
      </w:r>
      <w:r w:rsidR="0052021B" w:rsidRPr="00702E8F">
        <w:rPr>
          <w:bCs/>
          <w:sz w:val="22"/>
          <w:szCs w:val="22"/>
          <w:lang w:val="fr-CA" w:eastAsia="en-GB"/>
        </w:rPr>
        <w:t>complè</w:t>
      </w:r>
      <w:r w:rsidRPr="00702E8F">
        <w:rPr>
          <w:bCs/>
          <w:sz w:val="22"/>
          <w:szCs w:val="22"/>
          <w:lang w:val="fr-CA" w:eastAsia="en-GB"/>
        </w:rPr>
        <w:t xml:space="preserve">tes fixent la valeur des services écosystémiques à 125 billions $US à 140 billions $US par année, </w:t>
      </w:r>
      <w:r w:rsidR="0052021B" w:rsidRPr="00702E8F">
        <w:rPr>
          <w:bCs/>
          <w:sz w:val="22"/>
          <w:szCs w:val="22"/>
          <w:lang w:val="fr-CA" w:eastAsia="en-GB"/>
        </w:rPr>
        <w:t>plus d’</w:t>
      </w:r>
      <w:r w:rsidRPr="00702E8F">
        <w:rPr>
          <w:bCs/>
          <w:sz w:val="22"/>
          <w:szCs w:val="22"/>
          <w:lang w:val="fr-CA" w:eastAsia="en-GB"/>
        </w:rPr>
        <w:t>une fois et demi</w:t>
      </w:r>
      <w:r w:rsidR="0052021B" w:rsidRPr="00702E8F">
        <w:rPr>
          <w:bCs/>
          <w:sz w:val="22"/>
          <w:szCs w:val="22"/>
          <w:lang w:val="fr-CA" w:eastAsia="en-GB"/>
        </w:rPr>
        <w:t>e le PIB</w:t>
      </w:r>
      <w:r w:rsidR="005C5BF3">
        <w:rPr>
          <w:bCs/>
          <w:sz w:val="22"/>
          <w:szCs w:val="22"/>
          <w:lang w:val="fr-CA" w:eastAsia="en-GB"/>
        </w:rPr>
        <w:t xml:space="preserve"> mondial</w:t>
      </w:r>
      <w:r w:rsidR="009C18A0" w:rsidRPr="00702E8F">
        <w:rPr>
          <w:sz w:val="22"/>
          <w:szCs w:val="22"/>
          <w:lang w:val="fr-CA" w:eastAsia="en-GB"/>
        </w:rPr>
        <w:t>.</w:t>
      </w:r>
      <w:r w:rsidR="009C18A0" w:rsidRPr="00702E8F">
        <w:rPr>
          <w:sz w:val="22"/>
          <w:szCs w:val="22"/>
          <w:vertAlign w:val="superscript"/>
          <w:lang w:val="fr-CA" w:eastAsia="en-GB"/>
        </w:rPr>
        <w:footnoteReference w:id="34"/>
      </w:r>
      <w:r w:rsidR="009C18A0" w:rsidRPr="00702E8F">
        <w:rPr>
          <w:sz w:val="22"/>
          <w:szCs w:val="22"/>
          <w:lang w:val="fr-CA" w:eastAsia="en-GB"/>
        </w:rPr>
        <w:t xml:space="preserve"> </w:t>
      </w:r>
      <w:r w:rsidR="0052021B" w:rsidRPr="00702E8F">
        <w:rPr>
          <w:sz w:val="22"/>
          <w:szCs w:val="22"/>
          <w:lang w:val="fr-CA" w:eastAsia="en-GB"/>
        </w:rPr>
        <w:t>Les coûts de l’inaction sont élevé</w:t>
      </w:r>
      <w:r w:rsidR="005C5BF3">
        <w:rPr>
          <w:sz w:val="22"/>
          <w:szCs w:val="22"/>
          <w:lang w:val="fr-CA" w:eastAsia="en-GB"/>
        </w:rPr>
        <w:t>s</w:t>
      </w:r>
      <w:r w:rsidR="0052021B" w:rsidRPr="00702E8F">
        <w:rPr>
          <w:sz w:val="22"/>
          <w:szCs w:val="22"/>
          <w:lang w:val="fr-CA" w:eastAsia="en-GB"/>
        </w:rPr>
        <w:t xml:space="preserve"> et devraient augmenter avec le temps</w:t>
      </w:r>
      <w:r w:rsidR="009C18A0" w:rsidRPr="00702E8F">
        <w:rPr>
          <w:sz w:val="22"/>
          <w:szCs w:val="22"/>
          <w:lang w:val="fr-CA" w:eastAsia="en-GB"/>
        </w:rPr>
        <w:t>.</w:t>
      </w:r>
      <w:r w:rsidR="009C18A0" w:rsidRPr="00702E8F">
        <w:rPr>
          <w:sz w:val="22"/>
          <w:szCs w:val="22"/>
          <w:vertAlign w:val="superscript"/>
          <w:lang w:val="fr-CA" w:eastAsia="en-GB"/>
        </w:rPr>
        <w:footnoteReference w:id="35"/>
      </w:r>
      <w:r w:rsidR="009C18A0" w:rsidRPr="00702E8F">
        <w:rPr>
          <w:sz w:val="22"/>
          <w:szCs w:val="22"/>
          <w:lang w:val="fr-CA" w:eastAsia="en-GB"/>
        </w:rPr>
        <w:t xml:space="preserve"> </w:t>
      </w:r>
      <w:r w:rsidR="0052021B" w:rsidRPr="00702E8F">
        <w:rPr>
          <w:sz w:val="22"/>
          <w:szCs w:val="22"/>
          <w:lang w:val="fr-CA" w:eastAsia="en-GB"/>
        </w:rPr>
        <w:t>Ainsi</w:t>
      </w:r>
      <w:r w:rsidR="00E453D1">
        <w:rPr>
          <w:sz w:val="22"/>
          <w:szCs w:val="22"/>
          <w:lang w:val="fr-CA" w:eastAsia="en-GB"/>
        </w:rPr>
        <w:t> </w:t>
      </w:r>
      <w:r w:rsidR="006B57B6" w:rsidRPr="00702E8F">
        <w:rPr>
          <w:sz w:val="22"/>
          <w:szCs w:val="22"/>
          <w:lang w:val="fr-CA" w:eastAsia="en-GB"/>
        </w:rPr>
        <w:t>:</w:t>
      </w:r>
    </w:p>
    <w:p w14:paraId="2D0A58CC" w14:textId="74BE1AD1" w:rsidR="009C18A0" w:rsidRPr="00702E8F" w:rsidRDefault="007A4143" w:rsidP="00EC07F9">
      <w:pPr>
        <w:spacing w:before="120" w:after="120"/>
        <w:ind w:firstLine="720"/>
        <w:jc w:val="both"/>
        <w:rPr>
          <w:sz w:val="22"/>
          <w:szCs w:val="22"/>
          <w:lang w:val="fr-CA" w:eastAsia="en-GB"/>
        </w:rPr>
      </w:pPr>
      <w:r w:rsidRPr="00702E8F">
        <w:rPr>
          <w:sz w:val="22"/>
          <w:szCs w:val="22"/>
          <w:lang w:val="fr-CA" w:eastAsia="en-GB"/>
        </w:rPr>
        <w:lastRenderedPageBreak/>
        <w:t>a)</w:t>
      </w:r>
      <w:r w:rsidRPr="00702E8F">
        <w:rPr>
          <w:sz w:val="22"/>
          <w:szCs w:val="22"/>
          <w:lang w:val="fr-CA" w:eastAsia="en-GB"/>
        </w:rPr>
        <w:tab/>
      </w:r>
      <w:r w:rsidR="001B3079" w:rsidRPr="00702E8F">
        <w:rPr>
          <w:sz w:val="22"/>
          <w:szCs w:val="22"/>
          <w:lang w:val="fr-CA" w:eastAsia="en-GB"/>
        </w:rPr>
        <w:t>Le secteur public devrait continuer à jouer un rôle d’avant-plan en fournissant un flux régulier de ressources</w:t>
      </w:r>
      <w:r w:rsidR="00966555" w:rsidRPr="00702E8F">
        <w:rPr>
          <w:sz w:val="22"/>
          <w:szCs w:val="22"/>
          <w:lang w:val="fr-CA" w:eastAsia="en-GB"/>
        </w:rPr>
        <w:t xml:space="preserve"> pour la conservation, l’utilisation durable et la restauration de la diversité biologique. Le secteur public devrait augmenter ses dépenses directes nationales en reconnaissance du niveau d’ambition du cadre mondial de la biodiversité pour l</w:t>
      </w:r>
      <w:r w:rsidR="00E453D1">
        <w:rPr>
          <w:sz w:val="22"/>
          <w:szCs w:val="22"/>
          <w:lang w:val="fr-CA" w:eastAsia="en-GB"/>
        </w:rPr>
        <w:t>’</w:t>
      </w:r>
      <w:r w:rsidR="00966555" w:rsidRPr="00702E8F">
        <w:rPr>
          <w:sz w:val="22"/>
          <w:szCs w:val="22"/>
          <w:lang w:val="fr-CA" w:eastAsia="en-GB"/>
        </w:rPr>
        <w:t xml:space="preserve">après-2020 pour réaliser les trois objectifs de la Convention. Cela sera un élément essentiel de l’augmentation des ressources pour la biodiversité, en reconnaissant que plusieurs projets positifs pour la diversité biologique auront besoin d’un </w:t>
      </w:r>
      <w:r w:rsidR="00D04EDC" w:rsidRPr="00702E8F">
        <w:rPr>
          <w:sz w:val="22"/>
          <w:szCs w:val="22"/>
          <w:lang w:val="fr-CA" w:eastAsia="en-GB"/>
        </w:rPr>
        <w:t>financement public, compte tenu de l</w:t>
      </w:r>
      <w:r w:rsidR="00966555" w:rsidRPr="00702E8F">
        <w:rPr>
          <w:sz w:val="22"/>
          <w:szCs w:val="22"/>
          <w:lang w:val="fr-CA" w:eastAsia="en-GB"/>
        </w:rPr>
        <w:t xml:space="preserve">a nature fondamentale des biens publics, </w:t>
      </w:r>
      <w:r w:rsidR="005C5BF3">
        <w:rPr>
          <w:sz w:val="22"/>
          <w:szCs w:val="22"/>
          <w:lang w:val="fr-CA" w:eastAsia="en-GB"/>
        </w:rPr>
        <w:t xml:space="preserve">et </w:t>
      </w:r>
      <w:r w:rsidR="00966555" w:rsidRPr="00702E8F">
        <w:rPr>
          <w:sz w:val="22"/>
          <w:szCs w:val="22"/>
          <w:lang w:val="fr-CA" w:eastAsia="en-GB"/>
        </w:rPr>
        <w:t>sachant que bien qu’il sera important d’augmenter le financement privé, cette mesure à elle seule ne suffira jamais à faire face à tous les défis de réaliser le cadre mondial de la biodiversité pour l</w:t>
      </w:r>
      <w:r w:rsidR="00E453D1">
        <w:rPr>
          <w:sz w:val="22"/>
          <w:szCs w:val="22"/>
          <w:lang w:val="fr-CA" w:eastAsia="en-GB"/>
        </w:rPr>
        <w:t>’</w:t>
      </w:r>
      <w:r w:rsidR="00966555" w:rsidRPr="00702E8F">
        <w:rPr>
          <w:sz w:val="22"/>
          <w:szCs w:val="22"/>
          <w:lang w:val="fr-CA" w:eastAsia="en-GB"/>
        </w:rPr>
        <w:t>après-2020</w:t>
      </w:r>
      <w:r w:rsidR="00E453D1">
        <w:rPr>
          <w:sz w:val="22"/>
          <w:szCs w:val="22"/>
          <w:lang w:val="fr-CA" w:eastAsia="en-GB"/>
        </w:rPr>
        <w:t> </w:t>
      </w:r>
      <w:r w:rsidRPr="00702E8F">
        <w:rPr>
          <w:sz w:val="22"/>
          <w:szCs w:val="22"/>
          <w:lang w:val="fr-CA" w:eastAsia="en-GB"/>
        </w:rPr>
        <w:t>;</w:t>
      </w:r>
    </w:p>
    <w:p w14:paraId="14970274" w14:textId="09F797CB" w:rsidR="009C18A0" w:rsidRPr="00702E8F" w:rsidRDefault="007A4143"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D04EDC" w:rsidRPr="00702E8F">
        <w:rPr>
          <w:sz w:val="22"/>
          <w:szCs w:val="22"/>
          <w:lang w:val="fr-CA" w:eastAsia="en-GB"/>
        </w:rPr>
        <w:t>Les dépenses nationales indirectes pour la biodiversité peuvent être augmentées lorsque la biodiversité est intégrée à d’autres fonctions gouvernementales. L’eau et la salubrité (</w:t>
      </w:r>
      <w:r w:rsidR="00903DB9">
        <w:rPr>
          <w:sz w:val="22"/>
          <w:szCs w:val="22"/>
          <w:lang w:val="fr-CA" w:eastAsia="en-GB"/>
        </w:rPr>
        <w:t>pouvant être intégrées</w:t>
      </w:r>
      <w:r w:rsidR="00D04EDC" w:rsidRPr="00702E8F">
        <w:rPr>
          <w:sz w:val="22"/>
          <w:szCs w:val="22"/>
          <w:lang w:val="fr-CA" w:eastAsia="en-GB"/>
        </w:rPr>
        <w:t xml:space="preserve"> </w:t>
      </w:r>
      <w:r w:rsidR="00903DB9">
        <w:rPr>
          <w:sz w:val="22"/>
          <w:szCs w:val="22"/>
          <w:lang w:val="fr-CA" w:eastAsia="en-GB"/>
        </w:rPr>
        <w:t>au moyen d’</w:t>
      </w:r>
      <w:r w:rsidR="00D04EDC" w:rsidRPr="00702E8F">
        <w:rPr>
          <w:sz w:val="22"/>
          <w:szCs w:val="22"/>
          <w:lang w:val="fr-CA" w:eastAsia="en-GB"/>
        </w:rPr>
        <w:t>investissements accrus pour la gestion des bass</w:t>
      </w:r>
      <w:r w:rsidR="00531B9C">
        <w:rPr>
          <w:sz w:val="22"/>
          <w:szCs w:val="22"/>
          <w:lang w:val="fr-CA" w:eastAsia="en-GB"/>
        </w:rPr>
        <w:t>ins</w:t>
      </w:r>
      <w:r w:rsidR="00E453D1">
        <w:rPr>
          <w:sz w:val="22"/>
          <w:szCs w:val="22"/>
          <w:lang w:val="fr-CA" w:eastAsia="en-GB"/>
        </w:rPr>
        <w:t>-</w:t>
      </w:r>
      <w:r w:rsidR="00531B9C">
        <w:rPr>
          <w:sz w:val="22"/>
          <w:szCs w:val="22"/>
          <w:lang w:val="fr-CA" w:eastAsia="en-GB"/>
        </w:rPr>
        <w:t>versants, dans le cadre d’</w:t>
      </w:r>
      <w:r w:rsidR="00D04EDC" w:rsidRPr="00702E8F">
        <w:rPr>
          <w:sz w:val="22"/>
          <w:szCs w:val="22"/>
          <w:lang w:val="fr-CA" w:eastAsia="en-GB"/>
        </w:rPr>
        <w:t xml:space="preserve">investissements </w:t>
      </w:r>
      <w:r w:rsidR="002C08C2" w:rsidRPr="00702E8F">
        <w:rPr>
          <w:sz w:val="22"/>
          <w:szCs w:val="22"/>
          <w:lang w:val="fr-CA" w:eastAsia="en-GB"/>
        </w:rPr>
        <w:t>dans</w:t>
      </w:r>
      <w:r w:rsidR="00D04EDC" w:rsidRPr="00702E8F">
        <w:rPr>
          <w:sz w:val="22"/>
          <w:szCs w:val="22"/>
          <w:lang w:val="fr-CA" w:eastAsia="en-GB"/>
        </w:rPr>
        <w:t xml:space="preserve"> les réseaux d’infrastructures aquifères</w:t>
      </w:r>
      <w:r w:rsidR="009C18A0" w:rsidRPr="00702E8F">
        <w:rPr>
          <w:sz w:val="22"/>
          <w:szCs w:val="22"/>
          <w:lang w:val="fr-CA" w:eastAsia="en-GB"/>
        </w:rPr>
        <w:t>)</w:t>
      </w:r>
      <w:r w:rsidR="002C08C2" w:rsidRPr="00702E8F">
        <w:rPr>
          <w:sz w:val="22"/>
          <w:szCs w:val="22"/>
          <w:lang w:val="fr-CA" w:eastAsia="en-GB"/>
        </w:rPr>
        <w:t>, la réduction des risques de catastrophe (p. ex., en restaurant les mangroves et les zones humides dans le cadre d’une stratégie de gestion des inondations ou de retrait des plantes exotiques envahissantes vulnérables aux incendies afin de réduire le risque de fibres non naturelles) ainsi que les secteurs de production primaire (p.</w:t>
      </w:r>
      <w:r w:rsidR="00E453D1">
        <w:rPr>
          <w:sz w:val="22"/>
          <w:szCs w:val="22"/>
          <w:lang w:val="fr-CA" w:eastAsia="en-GB"/>
        </w:rPr>
        <w:t xml:space="preserve"> ex., l’agriculture </w:t>
      </w:r>
      <w:r w:rsidR="00241757">
        <w:rPr>
          <w:sz w:val="22"/>
          <w:szCs w:val="22"/>
          <w:lang w:val="fr-CA" w:eastAsia="en-GB"/>
        </w:rPr>
        <w:t>régénérative</w:t>
      </w:r>
      <w:r w:rsidR="002C08C2" w:rsidRPr="00702E8F">
        <w:rPr>
          <w:sz w:val="22"/>
          <w:szCs w:val="22"/>
          <w:lang w:val="fr-CA" w:eastAsia="en-GB"/>
        </w:rPr>
        <w:t>)</w:t>
      </w:r>
      <w:r w:rsidR="00903DB9">
        <w:rPr>
          <w:sz w:val="22"/>
          <w:szCs w:val="22"/>
          <w:lang w:val="fr-CA" w:eastAsia="en-GB"/>
        </w:rPr>
        <w:t xml:space="preserve"> sont des exemples de</w:t>
      </w:r>
      <w:r w:rsidR="00531B9C">
        <w:rPr>
          <w:sz w:val="22"/>
          <w:szCs w:val="22"/>
          <w:lang w:val="fr-CA" w:eastAsia="en-GB"/>
        </w:rPr>
        <w:t xml:space="preserve"> fonctions gouvernementales importantes auxquelles la biodiversité peut être intégrée.</w:t>
      </w:r>
      <w:r w:rsidR="009C18A0" w:rsidRPr="00702E8F">
        <w:rPr>
          <w:sz w:val="22"/>
          <w:szCs w:val="22"/>
          <w:vertAlign w:val="superscript"/>
          <w:lang w:val="fr-CA" w:eastAsia="en-GB"/>
        </w:rPr>
        <w:footnoteReference w:id="36"/>
      </w:r>
    </w:p>
    <w:p w14:paraId="72D70AEF" w14:textId="189F198C" w:rsidR="00924083" w:rsidRPr="00702E8F" w:rsidRDefault="00EC4F4A" w:rsidP="00F609C7">
      <w:pPr>
        <w:pStyle w:val="Para1"/>
        <w:numPr>
          <w:ilvl w:val="0"/>
          <w:numId w:val="49"/>
        </w:numPr>
        <w:suppressLineNumbers/>
        <w:suppressAutoHyphens/>
        <w:spacing w:before="120"/>
        <w:ind w:left="0" w:firstLine="0"/>
        <w:jc w:val="both"/>
        <w:rPr>
          <w:sz w:val="22"/>
          <w:szCs w:val="22"/>
          <w:lang w:val="fr-CA" w:eastAsia="en-GB"/>
        </w:rPr>
      </w:pPr>
      <w:r w:rsidRPr="00702E8F">
        <w:rPr>
          <w:b/>
          <w:bCs/>
          <w:sz w:val="22"/>
          <w:szCs w:val="22"/>
          <w:lang w:val="fr-CA" w:eastAsia="en-GB"/>
        </w:rPr>
        <w:t>Augmenter les investissements du secteur privé (affaires et financier) dans les projets positifs pour la biodiversité, notamment en éliminant les obstacles pour les investisseurs et les développeurs de projets</w:t>
      </w:r>
      <w:r w:rsidR="00E453D1">
        <w:rPr>
          <w:b/>
          <w:bCs/>
          <w:sz w:val="22"/>
          <w:szCs w:val="22"/>
          <w:lang w:val="fr-CA" w:eastAsia="en-GB"/>
        </w:rPr>
        <w:t> </w:t>
      </w:r>
      <w:r w:rsidR="006B57B6" w:rsidRPr="00702E8F">
        <w:rPr>
          <w:b/>
          <w:bCs/>
          <w:sz w:val="22"/>
          <w:szCs w:val="22"/>
          <w:lang w:val="fr-CA" w:eastAsia="en-GB"/>
        </w:rPr>
        <w:t>:</w:t>
      </w:r>
    </w:p>
    <w:p w14:paraId="244603D2" w14:textId="744E229F" w:rsidR="00924083" w:rsidRPr="00702E8F" w:rsidRDefault="00882923" w:rsidP="00EC07F9">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EC4F4A" w:rsidRPr="00702E8F">
        <w:rPr>
          <w:sz w:val="22"/>
          <w:szCs w:val="22"/>
          <w:lang w:val="fr-CA" w:eastAsia="en-GB"/>
        </w:rPr>
        <w:t xml:space="preserve">Exploiter l’intérêt grandissant du secteur à accroître les investissements dans les projets positifs pour la biodiversité en utilisant des instruments tels que les obligations vertes et bleues, </w:t>
      </w:r>
      <w:r w:rsidR="00180027" w:rsidRPr="00702E8F">
        <w:rPr>
          <w:sz w:val="22"/>
          <w:szCs w:val="22"/>
          <w:lang w:val="fr-CA" w:eastAsia="en-GB"/>
        </w:rPr>
        <w:t>les investissements en capital, les microcrédits, les prêts,</w:t>
      </w:r>
      <w:r w:rsidR="00E453D1">
        <w:rPr>
          <w:sz w:val="22"/>
          <w:szCs w:val="22"/>
          <w:lang w:val="fr-CA" w:eastAsia="en-GB"/>
        </w:rPr>
        <w:t xml:space="preserve"> </w:t>
      </w:r>
      <w:r w:rsidR="00180027" w:rsidRPr="00702E8F">
        <w:rPr>
          <w:sz w:val="22"/>
          <w:szCs w:val="22"/>
          <w:lang w:val="fr-CA" w:eastAsia="en-GB"/>
        </w:rPr>
        <w:t>etc</w:t>
      </w:r>
      <w:r w:rsidR="009C18A0" w:rsidRPr="00702E8F">
        <w:rPr>
          <w:sz w:val="22"/>
          <w:szCs w:val="22"/>
          <w:lang w:val="fr-CA" w:eastAsia="en-GB"/>
        </w:rPr>
        <w:t>.</w:t>
      </w:r>
      <w:r w:rsidR="00E453D1">
        <w:rPr>
          <w:sz w:val="22"/>
          <w:szCs w:val="22"/>
          <w:lang w:val="fr-CA" w:eastAsia="en-GB"/>
        </w:rPr>
        <w:t> </w:t>
      </w:r>
      <w:r w:rsidR="00375F46" w:rsidRPr="00702E8F">
        <w:rPr>
          <w:sz w:val="22"/>
          <w:szCs w:val="22"/>
          <w:lang w:val="fr-CA" w:eastAsia="en-GB"/>
        </w:rPr>
        <w:t>;</w:t>
      </w:r>
    </w:p>
    <w:p w14:paraId="654AC8BA" w14:textId="0AFF153C" w:rsidR="00924083" w:rsidRPr="00702E8F" w:rsidRDefault="00882923"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180027" w:rsidRPr="00702E8F">
        <w:rPr>
          <w:sz w:val="22"/>
          <w:szCs w:val="22"/>
          <w:lang w:val="fr-CA" w:eastAsia="en-GB"/>
        </w:rPr>
        <w:t xml:space="preserve">Développer davantage les occasions d’affaire existantes, par exemple en écotourisme et en agriculture durable, dans le secteur de la pêche et </w:t>
      </w:r>
      <w:r w:rsidR="00710C69" w:rsidRPr="00702E8F">
        <w:rPr>
          <w:sz w:val="22"/>
          <w:szCs w:val="22"/>
          <w:lang w:val="fr-CA" w:eastAsia="en-GB"/>
        </w:rPr>
        <w:t>dans</w:t>
      </w:r>
      <w:r w:rsidR="00180027" w:rsidRPr="00702E8F">
        <w:rPr>
          <w:sz w:val="22"/>
          <w:szCs w:val="22"/>
          <w:lang w:val="fr-CA" w:eastAsia="en-GB"/>
        </w:rPr>
        <w:t xml:space="preserve"> le secteur des forêts, en luttant contre les difficultés d’augmenter à plus grande échelle le </w:t>
      </w:r>
      <w:r w:rsidR="00531B9C">
        <w:rPr>
          <w:sz w:val="22"/>
          <w:szCs w:val="22"/>
          <w:lang w:val="fr-CA" w:eastAsia="en-GB"/>
        </w:rPr>
        <w:t>n</w:t>
      </w:r>
      <w:r w:rsidR="00180027" w:rsidRPr="00702E8F">
        <w:rPr>
          <w:sz w:val="22"/>
          <w:szCs w:val="22"/>
          <w:lang w:val="fr-CA" w:eastAsia="en-GB"/>
        </w:rPr>
        <w:t xml:space="preserve">ombre et </w:t>
      </w:r>
      <w:r w:rsidR="00531B9C">
        <w:rPr>
          <w:sz w:val="22"/>
          <w:szCs w:val="22"/>
          <w:lang w:val="fr-CA" w:eastAsia="en-GB"/>
        </w:rPr>
        <w:t>l’envergure</w:t>
      </w:r>
      <w:r w:rsidR="00180027" w:rsidRPr="00702E8F">
        <w:rPr>
          <w:sz w:val="22"/>
          <w:szCs w:val="22"/>
          <w:lang w:val="fr-CA" w:eastAsia="en-GB"/>
        </w:rPr>
        <w:t xml:space="preserve"> des projets dans </w:t>
      </w:r>
      <w:r w:rsidR="00765C35">
        <w:rPr>
          <w:sz w:val="22"/>
          <w:szCs w:val="22"/>
          <w:lang w:val="fr-CA" w:eastAsia="en-GB"/>
        </w:rPr>
        <w:t>lesquels investir;</w:t>
      </w:r>
      <w:r w:rsidR="00531B9C">
        <w:rPr>
          <w:sz w:val="22"/>
          <w:szCs w:val="22"/>
          <w:lang w:val="fr-CA" w:eastAsia="en-GB"/>
        </w:rPr>
        <w:t xml:space="preserve"> améliorer l’</w:t>
      </w:r>
      <w:r w:rsidR="00180027" w:rsidRPr="00702E8F">
        <w:rPr>
          <w:sz w:val="22"/>
          <w:szCs w:val="22"/>
          <w:lang w:val="fr-CA" w:eastAsia="en-GB"/>
        </w:rPr>
        <w:t>acuité</w:t>
      </w:r>
      <w:r w:rsidR="00531B9C">
        <w:rPr>
          <w:sz w:val="22"/>
          <w:szCs w:val="22"/>
          <w:lang w:val="fr-CA" w:eastAsia="en-GB"/>
        </w:rPr>
        <w:t xml:space="preserve"> p</w:t>
      </w:r>
      <w:r w:rsidR="00180027" w:rsidRPr="00702E8F">
        <w:rPr>
          <w:sz w:val="22"/>
          <w:szCs w:val="22"/>
          <w:lang w:val="fr-CA" w:eastAsia="en-GB"/>
        </w:rPr>
        <w:t xml:space="preserve">our </w:t>
      </w:r>
      <w:r w:rsidR="00710C69" w:rsidRPr="00702E8F">
        <w:rPr>
          <w:sz w:val="22"/>
          <w:szCs w:val="22"/>
          <w:lang w:val="fr-CA" w:eastAsia="en-GB"/>
        </w:rPr>
        <w:t>les af</w:t>
      </w:r>
      <w:r w:rsidR="00180027" w:rsidRPr="00702E8F">
        <w:rPr>
          <w:sz w:val="22"/>
          <w:szCs w:val="22"/>
          <w:lang w:val="fr-CA" w:eastAsia="en-GB"/>
        </w:rPr>
        <w:t>faires des développeurs de projets en améliorant les conditions du marché, en réduisant le co</w:t>
      </w:r>
      <w:r w:rsidR="00710C69" w:rsidRPr="00702E8F">
        <w:rPr>
          <w:sz w:val="22"/>
          <w:szCs w:val="22"/>
          <w:lang w:val="fr-CA" w:eastAsia="en-GB"/>
        </w:rPr>
        <w:t>ût des tran</w:t>
      </w:r>
      <w:r w:rsidR="00180027" w:rsidRPr="00702E8F">
        <w:rPr>
          <w:sz w:val="22"/>
          <w:szCs w:val="22"/>
          <w:lang w:val="fr-CA" w:eastAsia="en-GB"/>
        </w:rPr>
        <w:t>sactions, en mesurant les impacts positifs pour la biodiversité e</w:t>
      </w:r>
      <w:r w:rsidR="00710C69" w:rsidRPr="00702E8F">
        <w:rPr>
          <w:sz w:val="22"/>
          <w:szCs w:val="22"/>
          <w:lang w:val="fr-CA" w:eastAsia="en-GB"/>
        </w:rPr>
        <w:t>t en réduis</w:t>
      </w:r>
      <w:r w:rsidR="00180027" w:rsidRPr="00702E8F">
        <w:rPr>
          <w:sz w:val="22"/>
          <w:szCs w:val="22"/>
          <w:lang w:val="fr-CA" w:eastAsia="en-GB"/>
        </w:rPr>
        <w:t>ant les risques pour les investisseurs privés</w:t>
      </w:r>
      <w:r w:rsidR="00710C69" w:rsidRPr="00702E8F">
        <w:rPr>
          <w:sz w:val="22"/>
          <w:szCs w:val="22"/>
          <w:lang w:val="fr-CA" w:eastAsia="en-GB"/>
        </w:rPr>
        <w:t>, afin de développer les occasions d’affaire existantes</w:t>
      </w:r>
      <w:r w:rsidR="00E453D1">
        <w:rPr>
          <w:sz w:val="22"/>
          <w:szCs w:val="22"/>
          <w:lang w:val="fr-CA" w:eastAsia="en-GB"/>
        </w:rPr>
        <w:t> </w:t>
      </w:r>
      <w:r w:rsidR="00375F46" w:rsidRPr="00702E8F">
        <w:rPr>
          <w:sz w:val="22"/>
          <w:szCs w:val="22"/>
          <w:lang w:val="fr-CA" w:eastAsia="en-GB"/>
        </w:rPr>
        <w:t>;</w:t>
      </w:r>
    </w:p>
    <w:p w14:paraId="332FEE08" w14:textId="210F847A" w:rsidR="009C18A0" w:rsidRPr="00702E8F" w:rsidRDefault="001C4883" w:rsidP="00EC07F9">
      <w:pPr>
        <w:spacing w:before="120" w:after="120"/>
        <w:ind w:firstLine="720"/>
        <w:jc w:val="both"/>
        <w:rPr>
          <w:sz w:val="22"/>
          <w:szCs w:val="22"/>
          <w:lang w:val="fr-CA" w:eastAsia="en-GB"/>
        </w:rPr>
      </w:pPr>
      <w:r w:rsidRPr="00702E8F">
        <w:rPr>
          <w:sz w:val="22"/>
          <w:szCs w:val="22"/>
          <w:lang w:val="fr-CA" w:eastAsia="en-GB"/>
        </w:rPr>
        <w:t>c</w:t>
      </w:r>
      <w:r w:rsidR="00CA48B9" w:rsidRPr="00702E8F">
        <w:rPr>
          <w:sz w:val="22"/>
          <w:szCs w:val="22"/>
          <w:lang w:val="fr-CA" w:eastAsia="en-GB"/>
        </w:rPr>
        <w:t>)</w:t>
      </w:r>
      <w:r w:rsidR="00CA48B9" w:rsidRPr="00702E8F">
        <w:rPr>
          <w:sz w:val="22"/>
          <w:szCs w:val="22"/>
          <w:lang w:val="fr-CA" w:eastAsia="en-GB"/>
        </w:rPr>
        <w:tab/>
      </w:r>
      <w:r w:rsidR="00710C69" w:rsidRPr="00702E8F">
        <w:rPr>
          <w:sz w:val="22"/>
          <w:szCs w:val="22"/>
          <w:lang w:val="fr-CA" w:eastAsia="en-GB"/>
        </w:rPr>
        <w:t xml:space="preserve">Le secteur des affaires devrait, avec ses partenaires, développer et adopter des normes, des approches communes et des paramètres afin de mesurer les impacts positifs des activités économiques sur la biodiversité, </w:t>
      </w:r>
      <w:r w:rsidR="00583563">
        <w:rPr>
          <w:sz w:val="22"/>
          <w:szCs w:val="22"/>
          <w:lang w:val="fr-CA" w:eastAsia="en-GB"/>
        </w:rPr>
        <w:t>dans le but</w:t>
      </w:r>
      <w:r w:rsidR="00710C69" w:rsidRPr="00702E8F">
        <w:rPr>
          <w:sz w:val="22"/>
          <w:szCs w:val="22"/>
          <w:lang w:val="fr-CA" w:eastAsia="en-GB"/>
        </w:rPr>
        <w:t xml:space="preserve"> </w:t>
      </w:r>
      <w:r w:rsidR="00583563">
        <w:rPr>
          <w:sz w:val="22"/>
          <w:szCs w:val="22"/>
          <w:lang w:val="fr-CA" w:eastAsia="en-GB"/>
        </w:rPr>
        <w:t>d’identifier</w:t>
      </w:r>
      <w:r w:rsidR="00710C69" w:rsidRPr="00702E8F">
        <w:rPr>
          <w:sz w:val="22"/>
          <w:szCs w:val="22"/>
          <w:lang w:val="fr-CA" w:eastAsia="en-GB"/>
        </w:rPr>
        <w:t xml:space="preserve"> les projets solides et investir dans ceux-ci</w:t>
      </w:r>
      <w:r w:rsidR="00E453D1">
        <w:rPr>
          <w:sz w:val="22"/>
          <w:szCs w:val="22"/>
          <w:lang w:val="fr-CA" w:eastAsia="en-GB"/>
        </w:rPr>
        <w:t> </w:t>
      </w:r>
      <w:r w:rsidR="00CA48B9" w:rsidRPr="00702E8F">
        <w:rPr>
          <w:sz w:val="22"/>
          <w:szCs w:val="22"/>
          <w:lang w:val="fr-CA" w:eastAsia="en-GB"/>
        </w:rPr>
        <w:t>;</w:t>
      </w:r>
      <w:r w:rsidR="009C18A0" w:rsidRPr="00702E8F">
        <w:rPr>
          <w:sz w:val="22"/>
          <w:szCs w:val="22"/>
          <w:vertAlign w:val="superscript"/>
          <w:lang w:val="fr-CA" w:eastAsia="en-GB"/>
        </w:rPr>
        <w:footnoteReference w:id="37"/>
      </w:r>
    </w:p>
    <w:p w14:paraId="27B4A9F8" w14:textId="78730730" w:rsidR="009C18A0" w:rsidRPr="00702E8F" w:rsidRDefault="001C4883" w:rsidP="00EC07F9">
      <w:pPr>
        <w:spacing w:before="120" w:after="120"/>
        <w:ind w:firstLine="720"/>
        <w:jc w:val="both"/>
        <w:rPr>
          <w:sz w:val="22"/>
          <w:szCs w:val="22"/>
          <w:lang w:val="fr-CA" w:eastAsia="en-GB"/>
        </w:rPr>
      </w:pPr>
      <w:r w:rsidRPr="00702E8F">
        <w:rPr>
          <w:sz w:val="22"/>
          <w:szCs w:val="22"/>
          <w:lang w:val="fr-CA" w:eastAsia="en-GB"/>
        </w:rPr>
        <w:t>d</w:t>
      </w:r>
      <w:r w:rsidR="00CA48B9" w:rsidRPr="00702E8F">
        <w:rPr>
          <w:sz w:val="22"/>
          <w:szCs w:val="22"/>
          <w:lang w:val="fr-CA" w:eastAsia="en-GB"/>
        </w:rPr>
        <w:t>)</w:t>
      </w:r>
      <w:r w:rsidR="00CA48B9" w:rsidRPr="00702E8F">
        <w:rPr>
          <w:sz w:val="22"/>
          <w:szCs w:val="22"/>
          <w:lang w:val="fr-CA" w:eastAsia="en-GB"/>
        </w:rPr>
        <w:tab/>
      </w:r>
      <w:r w:rsidR="00710C69" w:rsidRPr="00702E8F">
        <w:rPr>
          <w:sz w:val="22"/>
          <w:szCs w:val="22"/>
          <w:lang w:val="fr-CA" w:eastAsia="en-GB"/>
        </w:rPr>
        <w:t>Les banques centrales peuvent encourager les investissements positifs pour la biodiversité en offrant un coefficient de réserve plus faible sur les actifs « verts » privilégiés et des taux d’intérêt subventionnés sur les prêts pour les secteurs positifs pour la biodiversité</w:t>
      </w:r>
      <w:r w:rsidR="00E453D1">
        <w:rPr>
          <w:sz w:val="22"/>
          <w:szCs w:val="22"/>
          <w:lang w:val="fr-CA" w:eastAsia="en-GB"/>
        </w:rPr>
        <w:t> </w:t>
      </w:r>
      <w:r w:rsidR="00CA48B9" w:rsidRPr="00702E8F">
        <w:rPr>
          <w:sz w:val="22"/>
          <w:szCs w:val="22"/>
          <w:lang w:val="fr-CA" w:eastAsia="en-GB"/>
        </w:rPr>
        <w:t>;</w:t>
      </w:r>
    </w:p>
    <w:p w14:paraId="0B7A20DF" w14:textId="76DE545E" w:rsidR="009C18A0" w:rsidRPr="00702E8F" w:rsidRDefault="001C4883" w:rsidP="00EC07F9">
      <w:pPr>
        <w:spacing w:before="120" w:after="120"/>
        <w:ind w:firstLine="720"/>
        <w:jc w:val="both"/>
        <w:rPr>
          <w:sz w:val="22"/>
          <w:szCs w:val="22"/>
          <w:lang w:val="fr-CA" w:eastAsia="en-GB"/>
        </w:rPr>
      </w:pPr>
      <w:r w:rsidRPr="00702E8F">
        <w:rPr>
          <w:sz w:val="22"/>
          <w:szCs w:val="22"/>
          <w:lang w:val="fr-CA" w:eastAsia="en-GB"/>
        </w:rPr>
        <w:t>e</w:t>
      </w:r>
      <w:r w:rsidR="00CA48B9" w:rsidRPr="00702E8F">
        <w:rPr>
          <w:sz w:val="22"/>
          <w:szCs w:val="22"/>
          <w:lang w:val="fr-CA" w:eastAsia="en-GB"/>
        </w:rPr>
        <w:t>)</w:t>
      </w:r>
      <w:r w:rsidR="00CA48B9" w:rsidRPr="00702E8F">
        <w:rPr>
          <w:sz w:val="22"/>
          <w:szCs w:val="22"/>
          <w:lang w:val="fr-CA" w:eastAsia="en-GB"/>
        </w:rPr>
        <w:tab/>
      </w:r>
      <w:r w:rsidR="00710C69" w:rsidRPr="00702E8F">
        <w:rPr>
          <w:sz w:val="22"/>
          <w:szCs w:val="22"/>
          <w:lang w:val="fr-CA" w:eastAsia="en-GB"/>
        </w:rPr>
        <w:t>Le gouvernement, la société civile et les banques de développement devraient aider à créer des occasions d’investissement dans la conservation, la restauration et l’utilisation durable</w:t>
      </w:r>
      <w:r w:rsidR="003B4A05" w:rsidRPr="00702E8F">
        <w:rPr>
          <w:sz w:val="22"/>
          <w:szCs w:val="22"/>
          <w:lang w:val="fr-CA" w:eastAsia="en-GB"/>
        </w:rPr>
        <w:t xml:space="preserve"> de la biodiversité</w:t>
      </w:r>
      <w:r w:rsidR="00583563">
        <w:rPr>
          <w:sz w:val="22"/>
          <w:szCs w:val="22"/>
          <w:lang w:val="fr-CA" w:eastAsia="en-GB"/>
        </w:rPr>
        <w:t>,</w:t>
      </w:r>
      <w:r w:rsidR="003B4A05" w:rsidRPr="00702E8F">
        <w:rPr>
          <w:sz w:val="22"/>
          <w:szCs w:val="22"/>
          <w:lang w:val="fr-CA" w:eastAsia="en-GB"/>
        </w:rPr>
        <w:t xml:space="preserve"> afin de développer un </w:t>
      </w:r>
      <w:r w:rsidR="00583563">
        <w:rPr>
          <w:sz w:val="22"/>
          <w:szCs w:val="22"/>
          <w:lang w:val="fr-CA" w:eastAsia="en-GB"/>
        </w:rPr>
        <w:t>bassin</w:t>
      </w:r>
      <w:r w:rsidR="003B4A05" w:rsidRPr="00702E8F">
        <w:rPr>
          <w:sz w:val="22"/>
          <w:szCs w:val="22"/>
          <w:lang w:val="fr-CA" w:eastAsia="en-GB"/>
        </w:rPr>
        <w:t xml:space="preserve"> de solides occasions d’affaire offrant un bon profil de risque par rapport au rendement, ainsi que des occasions d’investir dans les impacts pour la biodiversité. Cela peut </w:t>
      </w:r>
      <w:r w:rsidR="00583563">
        <w:rPr>
          <w:sz w:val="22"/>
          <w:szCs w:val="22"/>
          <w:lang w:val="fr-CA" w:eastAsia="en-GB"/>
        </w:rPr>
        <w:t xml:space="preserve">comprendre la création </w:t>
      </w:r>
      <w:r w:rsidR="003B4A05" w:rsidRPr="00702E8F">
        <w:rPr>
          <w:sz w:val="22"/>
          <w:szCs w:val="22"/>
          <w:lang w:val="fr-CA" w:eastAsia="en-GB"/>
        </w:rPr>
        <w:t>d</w:t>
      </w:r>
      <w:r w:rsidR="00583563">
        <w:rPr>
          <w:sz w:val="22"/>
          <w:szCs w:val="22"/>
          <w:lang w:val="fr-CA" w:eastAsia="en-GB"/>
        </w:rPr>
        <w:t>’</w:t>
      </w:r>
      <w:r w:rsidR="003B4A05" w:rsidRPr="00702E8F">
        <w:rPr>
          <w:sz w:val="22"/>
          <w:szCs w:val="22"/>
          <w:lang w:val="fr-CA" w:eastAsia="en-GB"/>
        </w:rPr>
        <w:t>incubateurs pour innover et l’essai de nouvelles solutions</w:t>
      </w:r>
      <w:r w:rsidR="004B0F56">
        <w:rPr>
          <w:sz w:val="22"/>
          <w:szCs w:val="22"/>
          <w:lang w:val="fr-CA" w:eastAsia="en-GB"/>
        </w:rPr>
        <w:t>, l’élaboration</w:t>
      </w:r>
      <w:r w:rsidR="003B4A05" w:rsidRPr="00702E8F">
        <w:rPr>
          <w:sz w:val="22"/>
          <w:szCs w:val="22"/>
          <w:lang w:val="fr-CA" w:eastAsia="en-GB"/>
        </w:rPr>
        <w:t xml:space="preserve"> de programmes de formation pour les créateurs d’occasions, </w:t>
      </w:r>
      <w:r w:rsidR="004B0F56">
        <w:rPr>
          <w:sz w:val="22"/>
          <w:szCs w:val="22"/>
          <w:lang w:val="fr-CA" w:eastAsia="en-GB"/>
        </w:rPr>
        <w:t>le développement</w:t>
      </w:r>
      <w:r w:rsidR="003B4A05" w:rsidRPr="00702E8F">
        <w:rPr>
          <w:sz w:val="22"/>
          <w:szCs w:val="22"/>
          <w:lang w:val="fr-CA" w:eastAsia="en-GB"/>
        </w:rPr>
        <w:t xml:space="preserve"> de nouveaux instruments tels </w:t>
      </w:r>
      <w:r w:rsidR="003B4A05" w:rsidRPr="00702E8F">
        <w:rPr>
          <w:sz w:val="22"/>
          <w:szCs w:val="22"/>
          <w:lang w:val="fr-CA" w:eastAsia="en-GB"/>
        </w:rPr>
        <w:lastRenderedPageBreak/>
        <w:t xml:space="preserve">que les obligations et des prêts verts axés davantage sur la biodiversité et les écosystèmes, </w:t>
      </w:r>
      <w:r w:rsidR="004B0F56">
        <w:rPr>
          <w:sz w:val="22"/>
          <w:szCs w:val="22"/>
          <w:lang w:val="fr-CA" w:eastAsia="en-GB"/>
        </w:rPr>
        <w:t>et leur intégration</w:t>
      </w:r>
      <w:r w:rsidR="003B4A05" w:rsidRPr="00702E8F">
        <w:rPr>
          <w:sz w:val="22"/>
          <w:szCs w:val="22"/>
          <w:lang w:val="fr-CA" w:eastAsia="en-GB"/>
        </w:rPr>
        <w:t xml:space="preserve"> dans les fonds de retraite et les marchés de capitaux</w:t>
      </w:r>
      <w:r w:rsidR="00E453D1">
        <w:rPr>
          <w:sz w:val="22"/>
          <w:szCs w:val="22"/>
          <w:lang w:val="fr-CA" w:eastAsia="en-GB"/>
        </w:rPr>
        <w:t> </w:t>
      </w:r>
      <w:r w:rsidR="00CA48B9" w:rsidRPr="00702E8F">
        <w:rPr>
          <w:sz w:val="22"/>
          <w:szCs w:val="22"/>
          <w:lang w:val="fr-CA" w:eastAsia="en-GB"/>
        </w:rPr>
        <w:t>;</w:t>
      </w:r>
      <w:r w:rsidR="009C18A0" w:rsidRPr="00702E8F">
        <w:rPr>
          <w:sz w:val="22"/>
          <w:szCs w:val="22"/>
          <w:vertAlign w:val="superscript"/>
          <w:lang w:val="fr-CA" w:eastAsia="en-GB"/>
        </w:rPr>
        <w:footnoteReference w:id="38"/>
      </w:r>
    </w:p>
    <w:p w14:paraId="6321CD30" w14:textId="2C4E2394" w:rsidR="009C18A0" w:rsidRPr="00702E8F" w:rsidRDefault="001C4883" w:rsidP="00EC07F9">
      <w:pPr>
        <w:spacing w:before="120" w:after="120"/>
        <w:ind w:firstLine="720"/>
        <w:jc w:val="both"/>
        <w:rPr>
          <w:sz w:val="22"/>
          <w:szCs w:val="22"/>
          <w:lang w:val="fr-CA" w:eastAsia="en-GB"/>
        </w:rPr>
      </w:pPr>
      <w:r w:rsidRPr="00702E8F">
        <w:rPr>
          <w:sz w:val="22"/>
          <w:szCs w:val="22"/>
          <w:lang w:val="fr-CA" w:eastAsia="en-GB"/>
        </w:rPr>
        <w:t>f</w:t>
      </w:r>
      <w:r w:rsidR="00CA48B9" w:rsidRPr="00702E8F">
        <w:rPr>
          <w:sz w:val="22"/>
          <w:szCs w:val="22"/>
          <w:lang w:val="fr-CA" w:eastAsia="en-GB"/>
        </w:rPr>
        <w:t>)</w:t>
      </w:r>
      <w:r w:rsidR="00CA48B9" w:rsidRPr="00702E8F">
        <w:rPr>
          <w:sz w:val="22"/>
          <w:szCs w:val="22"/>
          <w:lang w:val="fr-CA" w:eastAsia="en-GB"/>
        </w:rPr>
        <w:tab/>
      </w:r>
      <w:r w:rsidR="00007CA0" w:rsidRPr="00702E8F">
        <w:rPr>
          <w:sz w:val="22"/>
          <w:szCs w:val="22"/>
          <w:lang w:val="fr-CA" w:eastAsia="en-GB"/>
        </w:rPr>
        <w:t xml:space="preserve">Le secteur public et les banques de développement devraient continuer à offrir des bourses de départ, des garanties de donateur, des ressources financières à des conditions de faveur et soutenir des </w:t>
      </w:r>
      <w:r w:rsidR="008B6096" w:rsidRPr="00702E8F">
        <w:rPr>
          <w:sz w:val="22"/>
          <w:szCs w:val="22"/>
          <w:lang w:val="fr-CA" w:eastAsia="en-GB"/>
        </w:rPr>
        <w:t>solutions de financement</w:t>
      </w:r>
      <w:r w:rsidR="00007CA0" w:rsidRPr="00702E8F">
        <w:rPr>
          <w:sz w:val="22"/>
          <w:szCs w:val="22"/>
          <w:lang w:val="fr-CA" w:eastAsia="en-GB"/>
        </w:rPr>
        <w:t xml:space="preserve"> </w:t>
      </w:r>
      <w:r w:rsidR="008B6096" w:rsidRPr="00702E8F">
        <w:rPr>
          <w:sz w:val="22"/>
          <w:szCs w:val="22"/>
          <w:lang w:val="fr-CA" w:eastAsia="en-GB"/>
        </w:rPr>
        <w:t>mixte.</w:t>
      </w:r>
      <w:r w:rsidR="008B6096" w:rsidRPr="00702E8F">
        <w:rPr>
          <w:sz w:val="22"/>
          <w:szCs w:val="22"/>
          <w:vertAlign w:val="superscript"/>
          <w:lang w:val="en-ZA" w:eastAsia="en-GB"/>
        </w:rPr>
        <w:footnoteReference w:id="39"/>
      </w:r>
      <w:r w:rsidR="008B6096" w:rsidRPr="00702E8F">
        <w:rPr>
          <w:sz w:val="22"/>
          <w:szCs w:val="22"/>
          <w:lang w:val="fr-CA" w:eastAsia="en-GB"/>
        </w:rPr>
        <w:t xml:space="preserve"> Cela soutiendra</w:t>
      </w:r>
      <w:r w:rsidR="00F55FEC">
        <w:rPr>
          <w:sz w:val="22"/>
          <w:szCs w:val="22"/>
          <w:lang w:val="fr-CA" w:eastAsia="en-GB"/>
        </w:rPr>
        <w:t>it</w:t>
      </w:r>
      <w:r w:rsidR="008B6096" w:rsidRPr="00702E8F">
        <w:rPr>
          <w:sz w:val="22"/>
          <w:szCs w:val="22"/>
          <w:lang w:val="fr-CA" w:eastAsia="en-GB"/>
        </w:rPr>
        <w:t xml:space="preserve"> les investissements du secteur privé en réduisant les risques des projets et en augmentant les chances de rendement des marchés. L’offre de lignes de crédit vertes dans les institutions financières dans les pays industrialisés et en développement devrait être augmentée à plus grande échelle</w:t>
      </w:r>
      <w:r w:rsidR="009C18A0" w:rsidRPr="00702E8F">
        <w:rPr>
          <w:sz w:val="22"/>
          <w:szCs w:val="22"/>
          <w:lang w:val="fr-CA" w:eastAsia="en-GB"/>
        </w:rPr>
        <w:t>.</w:t>
      </w:r>
    </w:p>
    <w:p w14:paraId="2AD86774" w14:textId="1A703C6E" w:rsidR="009C18A0" w:rsidRPr="00702E8F" w:rsidRDefault="001C4883" w:rsidP="00EC07F9">
      <w:pPr>
        <w:spacing w:before="120" w:after="120"/>
        <w:ind w:firstLine="720"/>
        <w:jc w:val="both"/>
        <w:rPr>
          <w:sz w:val="22"/>
          <w:szCs w:val="22"/>
          <w:lang w:val="fr-CA" w:eastAsia="en-GB"/>
        </w:rPr>
      </w:pPr>
      <w:r w:rsidRPr="00702E8F">
        <w:rPr>
          <w:sz w:val="22"/>
          <w:szCs w:val="22"/>
          <w:lang w:val="fr-CA" w:eastAsia="en-GB"/>
        </w:rPr>
        <w:t>g)</w:t>
      </w:r>
      <w:r w:rsidR="00BD7CD8" w:rsidRPr="00702E8F">
        <w:rPr>
          <w:sz w:val="22"/>
          <w:szCs w:val="22"/>
          <w:lang w:val="fr-CA" w:eastAsia="en-GB"/>
        </w:rPr>
        <w:tab/>
      </w:r>
      <w:r w:rsidR="00333E64" w:rsidRPr="00702E8F">
        <w:rPr>
          <w:sz w:val="22"/>
          <w:szCs w:val="22"/>
          <w:lang w:val="fr-CA" w:eastAsia="en-GB"/>
        </w:rPr>
        <w:t xml:space="preserve">Renforcer l’environnement d’investissement dans les pays en développement </w:t>
      </w:r>
      <w:r w:rsidR="003473DA">
        <w:rPr>
          <w:sz w:val="22"/>
          <w:szCs w:val="22"/>
          <w:lang w:val="fr-CA" w:eastAsia="en-GB"/>
        </w:rPr>
        <w:t xml:space="preserve">et les pays à économie en transition </w:t>
      </w:r>
      <w:r w:rsidR="00333E64" w:rsidRPr="00702E8F">
        <w:rPr>
          <w:sz w:val="22"/>
          <w:szCs w:val="22"/>
          <w:lang w:val="fr-CA" w:eastAsia="en-GB"/>
        </w:rPr>
        <w:t>en puisant dans les processus plus larges t</w:t>
      </w:r>
      <w:r w:rsidR="007B5250">
        <w:rPr>
          <w:sz w:val="22"/>
          <w:szCs w:val="22"/>
          <w:lang w:val="fr-CA" w:eastAsia="en-GB"/>
        </w:rPr>
        <w:t>els que ceux présentés dans le P</w:t>
      </w:r>
      <w:r w:rsidR="00333E64" w:rsidRPr="00702E8F">
        <w:rPr>
          <w:sz w:val="22"/>
          <w:szCs w:val="22"/>
          <w:lang w:val="fr-CA" w:eastAsia="en-GB"/>
        </w:rPr>
        <w:t>rogramme à l’horizon 2030 et le Programme d’action d’Addis-Abeba et en incluant l’identification des conditions facilitantes du secteur public afin d’augmenter les investissements dans les projets positifs pour l’environnement</w:t>
      </w:r>
      <w:r w:rsidR="009C18A0" w:rsidRPr="00702E8F">
        <w:rPr>
          <w:sz w:val="22"/>
          <w:szCs w:val="22"/>
          <w:lang w:val="fr-CA" w:eastAsia="en-GB"/>
        </w:rPr>
        <w:t>.</w:t>
      </w:r>
      <w:r w:rsidR="001001E5" w:rsidRPr="00702E8F">
        <w:rPr>
          <w:rStyle w:val="Appelnotedebasdep"/>
          <w:sz w:val="22"/>
          <w:szCs w:val="22"/>
          <w:u w:val="none"/>
          <w:vertAlign w:val="superscript"/>
          <w:lang w:val="fr-CA" w:eastAsia="en-GB"/>
        </w:rPr>
        <w:footnoteReference w:id="40"/>
      </w:r>
    </w:p>
    <w:p w14:paraId="23F1C201" w14:textId="77777777" w:rsidR="0093570F" w:rsidRPr="0093570F" w:rsidRDefault="008575CF" w:rsidP="00F609C7">
      <w:pPr>
        <w:pStyle w:val="Para1"/>
        <w:numPr>
          <w:ilvl w:val="0"/>
          <w:numId w:val="49"/>
        </w:numPr>
        <w:suppressLineNumbers/>
        <w:suppressAutoHyphens/>
        <w:spacing w:before="120"/>
        <w:ind w:left="0" w:firstLine="0"/>
        <w:jc w:val="both"/>
        <w:rPr>
          <w:sz w:val="22"/>
          <w:szCs w:val="22"/>
          <w:lang w:val="fr-CA" w:eastAsia="en-GB"/>
        </w:rPr>
      </w:pPr>
      <w:r w:rsidRPr="00702E8F">
        <w:rPr>
          <w:b/>
          <w:bCs/>
          <w:sz w:val="22"/>
          <w:szCs w:val="22"/>
          <w:lang w:val="fr-CA" w:eastAsia="en-GB"/>
        </w:rPr>
        <w:t>Augmenter le financement international direct et indirect pour le développement lié à la diversité biologique</w:t>
      </w:r>
      <w:r w:rsidR="003473DA">
        <w:rPr>
          <w:b/>
          <w:bCs/>
          <w:sz w:val="22"/>
          <w:szCs w:val="22"/>
          <w:lang w:val="fr-CA" w:eastAsia="en-GB"/>
        </w:rPr>
        <w:t xml:space="preserve"> destiné aux pays en développement et aux pays en transition</w:t>
      </w:r>
      <w:r w:rsidRPr="00702E8F">
        <w:rPr>
          <w:b/>
          <w:bCs/>
          <w:sz w:val="22"/>
          <w:szCs w:val="22"/>
          <w:lang w:val="fr-CA" w:eastAsia="en-GB"/>
        </w:rPr>
        <w:t xml:space="preserve">, y compris le financement du climat et autre financement pour le développement. </w:t>
      </w:r>
    </w:p>
    <w:p w14:paraId="3EAF1FB5" w14:textId="3A1A42FE" w:rsidR="009C18A0" w:rsidRPr="00702E8F" w:rsidRDefault="00944BB0" w:rsidP="0093570F">
      <w:pPr>
        <w:pStyle w:val="Para1"/>
        <w:numPr>
          <w:ilvl w:val="0"/>
          <w:numId w:val="57"/>
        </w:numPr>
        <w:suppressLineNumbers/>
        <w:suppressAutoHyphens/>
        <w:spacing w:before="120"/>
        <w:ind w:left="0" w:firstLine="720"/>
        <w:jc w:val="both"/>
        <w:rPr>
          <w:sz w:val="22"/>
          <w:szCs w:val="22"/>
          <w:lang w:val="fr-CA" w:eastAsia="en-GB"/>
        </w:rPr>
      </w:pPr>
      <w:r w:rsidRPr="00702E8F">
        <w:rPr>
          <w:bCs/>
          <w:sz w:val="22"/>
          <w:szCs w:val="22"/>
          <w:lang w:val="fr-CA" w:eastAsia="en-GB"/>
        </w:rPr>
        <w:t>Le flux de financement international direct aux pays en développement</w:t>
      </w:r>
      <w:r w:rsidR="0093570F">
        <w:rPr>
          <w:bCs/>
          <w:sz w:val="22"/>
          <w:szCs w:val="22"/>
          <w:lang w:val="fr-CA" w:eastAsia="en-GB"/>
        </w:rPr>
        <w:t xml:space="preserve"> et aux pays à économie en transition</w:t>
      </w:r>
      <w:r w:rsidR="00F55FEC">
        <w:rPr>
          <w:bCs/>
          <w:sz w:val="22"/>
          <w:szCs w:val="22"/>
          <w:lang w:val="fr-CA" w:eastAsia="en-GB"/>
        </w:rPr>
        <w:t xml:space="preserve">, </w:t>
      </w:r>
      <w:r w:rsidR="00F55FEC" w:rsidRPr="00702E8F">
        <w:rPr>
          <w:bCs/>
          <w:sz w:val="22"/>
          <w:szCs w:val="22"/>
          <w:lang w:val="fr-CA" w:eastAsia="en-GB"/>
        </w:rPr>
        <w:t>comprenant l’</w:t>
      </w:r>
      <w:proofErr w:type="spellStart"/>
      <w:r w:rsidR="00F55FEC" w:rsidRPr="00702E8F">
        <w:rPr>
          <w:bCs/>
          <w:sz w:val="22"/>
          <w:szCs w:val="22"/>
          <w:lang w:val="fr-CA" w:eastAsia="en-GB"/>
        </w:rPr>
        <w:t>ADP</w:t>
      </w:r>
      <w:proofErr w:type="spellEnd"/>
      <w:r w:rsidR="00F55FEC" w:rsidRPr="00702E8F">
        <w:rPr>
          <w:bCs/>
          <w:sz w:val="22"/>
          <w:szCs w:val="22"/>
          <w:lang w:val="fr-CA" w:eastAsia="en-GB"/>
        </w:rPr>
        <w:t xml:space="preserve">, les </w:t>
      </w:r>
      <w:proofErr w:type="spellStart"/>
      <w:r w:rsidR="00F55FEC" w:rsidRPr="00702E8F">
        <w:rPr>
          <w:bCs/>
          <w:sz w:val="22"/>
          <w:szCs w:val="22"/>
          <w:lang w:val="fr-CA" w:eastAsia="en-GB"/>
        </w:rPr>
        <w:t>AASP</w:t>
      </w:r>
      <w:proofErr w:type="spellEnd"/>
      <w:r w:rsidR="00F55FEC" w:rsidRPr="00702E8F">
        <w:rPr>
          <w:bCs/>
          <w:sz w:val="22"/>
          <w:szCs w:val="22"/>
          <w:lang w:val="fr-CA" w:eastAsia="en-GB"/>
        </w:rPr>
        <w:t xml:space="preserve"> et la coopération Sud-Sud, </w:t>
      </w:r>
      <w:r w:rsidRPr="00702E8F">
        <w:rPr>
          <w:bCs/>
          <w:sz w:val="22"/>
          <w:szCs w:val="22"/>
          <w:lang w:val="fr-CA" w:eastAsia="en-GB"/>
        </w:rPr>
        <w:t>pour réaliser les trois objectifs de la Convention, demeure un élément clé de la mobilisation des ressources. L</w:t>
      </w:r>
      <w:r w:rsidR="00F55FEC">
        <w:rPr>
          <w:bCs/>
          <w:sz w:val="22"/>
          <w:szCs w:val="22"/>
          <w:lang w:val="fr-CA" w:eastAsia="en-GB"/>
        </w:rPr>
        <w:t>e</w:t>
      </w:r>
      <w:r w:rsidRPr="00702E8F">
        <w:rPr>
          <w:bCs/>
          <w:sz w:val="22"/>
          <w:szCs w:val="22"/>
          <w:lang w:val="fr-CA" w:eastAsia="en-GB"/>
        </w:rPr>
        <w:t xml:space="preserve"> financement doit être offert à un niveau qui reconnaît les ambitions du cadre mondial de la biodiversité pour l</w:t>
      </w:r>
      <w:r w:rsidR="00E453D1">
        <w:rPr>
          <w:bCs/>
          <w:sz w:val="22"/>
          <w:szCs w:val="22"/>
          <w:lang w:val="fr-CA" w:eastAsia="en-GB"/>
        </w:rPr>
        <w:t>’</w:t>
      </w:r>
      <w:r w:rsidR="0093570F">
        <w:rPr>
          <w:bCs/>
          <w:sz w:val="22"/>
          <w:szCs w:val="22"/>
          <w:lang w:val="fr-CA" w:eastAsia="en-GB"/>
        </w:rPr>
        <w:t>après-2020 ;</w:t>
      </w:r>
    </w:p>
    <w:p w14:paraId="0C2F0BCE" w14:textId="10156C03" w:rsidR="009C18A0" w:rsidRPr="00702E8F" w:rsidRDefault="0093570F" w:rsidP="00EC07F9">
      <w:pPr>
        <w:spacing w:before="120" w:after="120"/>
        <w:ind w:firstLine="720"/>
        <w:jc w:val="both"/>
        <w:rPr>
          <w:sz w:val="22"/>
          <w:szCs w:val="22"/>
          <w:lang w:val="fr-CA" w:eastAsia="en-GB"/>
        </w:rPr>
      </w:pPr>
      <w:r>
        <w:rPr>
          <w:sz w:val="22"/>
          <w:szCs w:val="22"/>
          <w:lang w:val="fr-CA" w:eastAsia="en-GB"/>
        </w:rPr>
        <w:t>b)</w:t>
      </w:r>
      <w:r>
        <w:rPr>
          <w:sz w:val="22"/>
          <w:szCs w:val="22"/>
          <w:lang w:val="fr-CA" w:eastAsia="en-GB"/>
        </w:rPr>
        <w:tab/>
      </w:r>
      <w:r w:rsidR="00944BB0" w:rsidRPr="00702E8F">
        <w:rPr>
          <w:sz w:val="22"/>
          <w:szCs w:val="22"/>
          <w:lang w:val="fr-CA" w:eastAsia="en-GB"/>
        </w:rPr>
        <w:t>Les retombées positives pour la biodiversité devraient être augmenté</w:t>
      </w:r>
      <w:r w:rsidR="00F55FEC">
        <w:rPr>
          <w:sz w:val="22"/>
          <w:szCs w:val="22"/>
          <w:lang w:val="fr-CA" w:eastAsia="en-GB"/>
        </w:rPr>
        <w:t>e</w:t>
      </w:r>
      <w:r w:rsidR="00944BB0" w:rsidRPr="00702E8F">
        <w:rPr>
          <w:sz w:val="22"/>
          <w:szCs w:val="22"/>
          <w:lang w:val="fr-CA" w:eastAsia="en-GB"/>
        </w:rPr>
        <w:t>s</w:t>
      </w:r>
      <w:r w:rsidR="00FA7EBB" w:rsidRPr="00702E8F">
        <w:rPr>
          <w:sz w:val="22"/>
          <w:szCs w:val="22"/>
          <w:lang w:val="fr-CA" w:eastAsia="en-GB"/>
        </w:rPr>
        <w:t xml:space="preserve"> dans le financement du développement, surtout pour la réalisation du Programme à l’horizon 2030 et ses Objectifs de développement durable</w:t>
      </w:r>
      <w:r w:rsidR="009C18A0" w:rsidRPr="00702E8F">
        <w:rPr>
          <w:sz w:val="22"/>
          <w:szCs w:val="22"/>
          <w:lang w:val="fr-CA" w:eastAsia="en-GB"/>
        </w:rPr>
        <w:t>.</w:t>
      </w:r>
      <w:r w:rsidR="009C18A0" w:rsidRPr="00702E8F">
        <w:rPr>
          <w:sz w:val="22"/>
          <w:szCs w:val="22"/>
          <w:vertAlign w:val="superscript"/>
          <w:lang w:val="fr-CA" w:eastAsia="en-GB"/>
        </w:rPr>
        <w:footnoteReference w:id="41"/>
      </w:r>
      <w:r w:rsidR="009C18A0" w:rsidRPr="00702E8F">
        <w:rPr>
          <w:sz w:val="22"/>
          <w:szCs w:val="22"/>
          <w:vertAlign w:val="superscript"/>
          <w:lang w:val="fr-CA" w:eastAsia="en-GB"/>
        </w:rPr>
        <w:t>,</w:t>
      </w:r>
      <w:r w:rsidR="004A3487" w:rsidRPr="00702E8F">
        <w:rPr>
          <w:sz w:val="22"/>
          <w:szCs w:val="22"/>
          <w:vertAlign w:val="superscript"/>
          <w:lang w:val="fr-CA" w:eastAsia="en-GB"/>
        </w:rPr>
        <w:t xml:space="preserve"> </w:t>
      </w:r>
      <w:r w:rsidR="009C18A0" w:rsidRPr="00702E8F">
        <w:rPr>
          <w:sz w:val="22"/>
          <w:szCs w:val="22"/>
          <w:vertAlign w:val="superscript"/>
          <w:lang w:val="fr-CA" w:eastAsia="en-GB"/>
        </w:rPr>
        <w:footnoteReference w:id="42"/>
      </w:r>
      <w:r w:rsidR="009C18A0" w:rsidRPr="00702E8F">
        <w:rPr>
          <w:sz w:val="22"/>
          <w:szCs w:val="22"/>
          <w:lang w:val="fr-CA" w:eastAsia="en-GB"/>
        </w:rPr>
        <w:t xml:space="preserve"> </w:t>
      </w:r>
      <w:r w:rsidR="00FA7EBB" w:rsidRPr="00702E8F">
        <w:rPr>
          <w:sz w:val="22"/>
          <w:szCs w:val="22"/>
          <w:lang w:val="fr-CA" w:eastAsia="en-GB"/>
        </w:rPr>
        <w:t xml:space="preserve">À l’échelle nationale, les pays devraient travailler à garantir que les trois objectifs </w:t>
      </w:r>
      <w:r w:rsidR="007B5250">
        <w:rPr>
          <w:sz w:val="22"/>
          <w:szCs w:val="22"/>
          <w:lang w:val="fr-CA" w:eastAsia="en-GB"/>
        </w:rPr>
        <w:t>de la Convention soient bien</w:t>
      </w:r>
      <w:r w:rsidR="00FA7EBB" w:rsidRPr="00702E8F">
        <w:rPr>
          <w:sz w:val="22"/>
          <w:szCs w:val="22"/>
          <w:lang w:val="fr-CA" w:eastAsia="en-GB"/>
        </w:rPr>
        <w:t xml:space="preserve"> abordés dans les cadres </w:t>
      </w:r>
      <w:r w:rsidR="002B63DB" w:rsidRPr="00702E8F">
        <w:rPr>
          <w:sz w:val="22"/>
          <w:szCs w:val="22"/>
          <w:lang w:val="fr-CA" w:eastAsia="en-GB"/>
        </w:rPr>
        <w:t xml:space="preserve">intégrés </w:t>
      </w:r>
      <w:r w:rsidR="00FA7EBB" w:rsidRPr="00702E8F">
        <w:rPr>
          <w:sz w:val="22"/>
          <w:szCs w:val="22"/>
          <w:lang w:val="fr-CA" w:eastAsia="en-GB"/>
        </w:rPr>
        <w:t>de financement nationaux</w:t>
      </w:r>
      <w:r w:rsidR="005F789C">
        <w:rPr>
          <w:sz w:val="22"/>
          <w:szCs w:val="22"/>
          <w:lang w:val="fr-CA" w:eastAsia="en-GB"/>
        </w:rPr>
        <w:t>,</w:t>
      </w:r>
      <w:r w:rsidR="009C18A0" w:rsidRPr="00702E8F">
        <w:rPr>
          <w:sz w:val="22"/>
          <w:szCs w:val="22"/>
          <w:vertAlign w:val="superscript"/>
          <w:lang w:val="fr-CA" w:eastAsia="en-GB"/>
        </w:rPr>
        <w:footnoteReference w:id="43"/>
      </w:r>
      <w:r w:rsidR="002B63DB" w:rsidRPr="00702E8F">
        <w:rPr>
          <w:sz w:val="22"/>
          <w:szCs w:val="22"/>
          <w:lang w:val="fr-CA" w:eastAsia="en-GB"/>
        </w:rPr>
        <w:t xml:space="preserve"> afin d’éviter les dépenses trop nuisibles pour la biodiversité et intégrer le financement de la biodiversité </w:t>
      </w:r>
      <w:r w:rsidR="007B5250">
        <w:rPr>
          <w:sz w:val="22"/>
          <w:szCs w:val="22"/>
          <w:lang w:val="fr-CA" w:eastAsia="en-GB"/>
        </w:rPr>
        <w:t>aux</w:t>
      </w:r>
      <w:r w:rsidR="002B63DB" w:rsidRPr="00702E8F">
        <w:rPr>
          <w:sz w:val="22"/>
          <w:szCs w:val="22"/>
          <w:lang w:val="fr-CA" w:eastAsia="en-GB"/>
        </w:rPr>
        <w:t xml:space="preserve"> plus vastes programmes de financement du développement durable</w:t>
      </w:r>
      <w:r w:rsidR="00E453D1">
        <w:rPr>
          <w:sz w:val="22"/>
          <w:szCs w:val="22"/>
          <w:lang w:val="fr-CA" w:eastAsia="en-GB"/>
        </w:rPr>
        <w:t> </w:t>
      </w:r>
      <w:r w:rsidR="00BA02C8" w:rsidRPr="00702E8F">
        <w:rPr>
          <w:sz w:val="22"/>
          <w:szCs w:val="22"/>
          <w:lang w:val="fr-CA" w:eastAsia="en-GB"/>
        </w:rPr>
        <w:t>;</w:t>
      </w:r>
    </w:p>
    <w:p w14:paraId="7381F1E7" w14:textId="392BB0E4" w:rsidR="009C18A0" w:rsidRPr="00702E8F" w:rsidRDefault="0093570F" w:rsidP="00EC07F9">
      <w:pPr>
        <w:spacing w:before="120" w:after="120"/>
        <w:ind w:firstLine="720"/>
        <w:jc w:val="both"/>
        <w:rPr>
          <w:sz w:val="22"/>
          <w:szCs w:val="22"/>
          <w:lang w:val="fr-CA" w:eastAsia="en-GB"/>
        </w:rPr>
      </w:pPr>
      <w:r>
        <w:rPr>
          <w:sz w:val="22"/>
          <w:szCs w:val="22"/>
          <w:lang w:val="fr-CA" w:eastAsia="en-GB"/>
        </w:rPr>
        <w:t>c)</w:t>
      </w:r>
      <w:r>
        <w:rPr>
          <w:sz w:val="22"/>
          <w:szCs w:val="22"/>
          <w:lang w:val="fr-CA" w:eastAsia="en-GB"/>
        </w:rPr>
        <w:tab/>
      </w:r>
      <w:r w:rsidR="002B63DB" w:rsidRPr="00702E8F">
        <w:rPr>
          <w:sz w:val="22"/>
          <w:szCs w:val="22"/>
          <w:lang w:val="fr-CA" w:eastAsia="en-GB"/>
        </w:rPr>
        <w:t xml:space="preserve">Le financement de solutions naturelles pour l’atténuation des changements climatiques et l’adaptation à ceux-ci offrant des </w:t>
      </w:r>
      <w:r w:rsidR="007968D4" w:rsidRPr="00702E8F">
        <w:rPr>
          <w:sz w:val="22"/>
          <w:szCs w:val="22"/>
          <w:lang w:val="fr-CA" w:eastAsia="en-GB"/>
        </w:rPr>
        <w:t>retombées positives pour la bio</w:t>
      </w:r>
      <w:r w:rsidR="007B5250">
        <w:rPr>
          <w:sz w:val="22"/>
          <w:szCs w:val="22"/>
          <w:lang w:val="fr-CA" w:eastAsia="en-GB"/>
        </w:rPr>
        <w:t>diversité devrait</w:t>
      </w:r>
      <w:r w:rsidR="002B63DB" w:rsidRPr="00702E8F">
        <w:rPr>
          <w:sz w:val="22"/>
          <w:szCs w:val="22"/>
          <w:lang w:val="fr-CA" w:eastAsia="en-GB"/>
        </w:rPr>
        <w:t xml:space="preserve"> être identifié et augmenté à plus grande échelle, </w:t>
      </w:r>
      <w:r w:rsidR="007968D4" w:rsidRPr="00702E8F">
        <w:rPr>
          <w:sz w:val="22"/>
          <w:szCs w:val="22"/>
          <w:lang w:val="fr-CA" w:eastAsia="en-GB"/>
        </w:rPr>
        <w:t>reconnaissant</w:t>
      </w:r>
      <w:r w:rsidR="002B63DB" w:rsidRPr="00702E8F">
        <w:rPr>
          <w:sz w:val="22"/>
          <w:szCs w:val="22"/>
          <w:lang w:val="fr-CA" w:eastAsia="en-GB"/>
        </w:rPr>
        <w:t xml:space="preserve"> que la natu</w:t>
      </w:r>
      <w:r w:rsidR="007968D4" w:rsidRPr="00702E8F">
        <w:rPr>
          <w:sz w:val="22"/>
          <w:szCs w:val="22"/>
          <w:lang w:val="fr-CA" w:eastAsia="en-GB"/>
        </w:rPr>
        <w:t>re est essentielle au respect d</w:t>
      </w:r>
      <w:r w:rsidR="002B63DB" w:rsidRPr="00702E8F">
        <w:rPr>
          <w:sz w:val="22"/>
          <w:szCs w:val="22"/>
          <w:lang w:val="fr-CA" w:eastAsia="en-GB"/>
        </w:rPr>
        <w:t>es engage</w:t>
      </w:r>
      <w:r w:rsidR="007968D4" w:rsidRPr="00702E8F">
        <w:rPr>
          <w:sz w:val="22"/>
          <w:szCs w:val="22"/>
          <w:lang w:val="fr-CA" w:eastAsia="en-GB"/>
        </w:rPr>
        <w:t>ment</w:t>
      </w:r>
      <w:r w:rsidR="002B63DB" w:rsidRPr="00702E8F">
        <w:rPr>
          <w:sz w:val="22"/>
          <w:szCs w:val="22"/>
          <w:lang w:val="fr-CA" w:eastAsia="en-GB"/>
        </w:rPr>
        <w:t>s de l’Accord de Paris</w:t>
      </w:r>
      <w:r w:rsidR="009C18A0" w:rsidRPr="00702E8F">
        <w:rPr>
          <w:sz w:val="22"/>
          <w:szCs w:val="22"/>
          <w:lang w:val="fr-CA" w:eastAsia="en-GB"/>
        </w:rPr>
        <w:t>.</w:t>
      </w:r>
      <w:r w:rsidR="009C18A0" w:rsidRPr="00702E8F">
        <w:rPr>
          <w:sz w:val="22"/>
          <w:szCs w:val="22"/>
          <w:vertAlign w:val="superscript"/>
          <w:lang w:val="fr-CA" w:eastAsia="en-GB"/>
        </w:rPr>
        <w:footnoteReference w:id="44"/>
      </w:r>
      <w:r w:rsidR="009C18A0" w:rsidRPr="00702E8F">
        <w:rPr>
          <w:sz w:val="22"/>
          <w:szCs w:val="22"/>
          <w:lang w:val="fr-CA" w:eastAsia="en-GB"/>
        </w:rPr>
        <w:t xml:space="preserve"> </w:t>
      </w:r>
      <w:r w:rsidR="007B5250">
        <w:rPr>
          <w:sz w:val="22"/>
          <w:szCs w:val="22"/>
          <w:lang w:val="fr-CA" w:eastAsia="en-GB"/>
        </w:rPr>
        <w:t>Cela comprend l’adoption du</w:t>
      </w:r>
      <w:r w:rsidR="007968D4" w:rsidRPr="00702E8F">
        <w:rPr>
          <w:sz w:val="22"/>
          <w:szCs w:val="22"/>
          <w:lang w:val="fr-CA" w:eastAsia="en-GB"/>
        </w:rPr>
        <w:t xml:space="preserve"> carbone bleu et du carbone forestier dans les marchés de </w:t>
      </w:r>
      <w:r w:rsidR="007968D4" w:rsidRPr="00702E8F">
        <w:rPr>
          <w:sz w:val="22"/>
          <w:szCs w:val="22"/>
          <w:lang w:val="fr-CA" w:eastAsia="en-GB"/>
        </w:rPr>
        <w:lastRenderedPageBreak/>
        <w:t>réglementation et de compensation volontaire des émissions de carbone et le soutien à l’agriculture régénérative, ce qui garanti</w:t>
      </w:r>
      <w:r w:rsidR="00E453D1">
        <w:rPr>
          <w:sz w:val="22"/>
          <w:szCs w:val="22"/>
          <w:lang w:val="fr-CA" w:eastAsia="en-GB"/>
        </w:rPr>
        <w:t>t</w:t>
      </w:r>
      <w:r w:rsidR="007968D4" w:rsidRPr="00702E8F">
        <w:rPr>
          <w:sz w:val="22"/>
          <w:szCs w:val="22"/>
          <w:lang w:val="fr-CA" w:eastAsia="en-GB"/>
        </w:rPr>
        <w:t xml:space="preserve"> une productivité accrue, l’adaptation par la résilience et des avantages </w:t>
      </w:r>
      <w:r w:rsidR="00DB032F" w:rsidRPr="00702E8F">
        <w:rPr>
          <w:sz w:val="22"/>
          <w:szCs w:val="22"/>
          <w:lang w:val="fr-CA" w:eastAsia="en-GB"/>
        </w:rPr>
        <w:t>pour</w:t>
      </w:r>
      <w:r w:rsidR="007968D4" w:rsidRPr="00702E8F">
        <w:rPr>
          <w:sz w:val="22"/>
          <w:szCs w:val="22"/>
          <w:lang w:val="fr-CA" w:eastAsia="en-GB"/>
        </w:rPr>
        <w:t xml:space="preserve"> l’atténuation</w:t>
      </w:r>
      <w:r w:rsidR="009C18A0" w:rsidRPr="00702E8F">
        <w:rPr>
          <w:sz w:val="22"/>
          <w:szCs w:val="22"/>
          <w:lang w:val="fr-CA" w:eastAsia="en-GB"/>
        </w:rPr>
        <w:t>.</w:t>
      </w:r>
    </w:p>
    <w:p w14:paraId="7AC261A5" w14:textId="6D35B4A7" w:rsidR="009C18A0" w:rsidRPr="00702E8F" w:rsidRDefault="007968D4" w:rsidP="005E0121">
      <w:pPr>
        <w:pStyle w:val="Para1"/>
        <w:numPr>
          <w:ilvl w:val="0"/>
          <w:numId w:val="49"/>
        </w:numPr>
        <w:suppressLineNumbers/>
        <w:suppressAutoHyphens/>
        <w:spacing w:before="120"/>
        <w:ind w:left="0" w:firstLine="0"/>
        <w:jc w:val="both"/>
        <w:rPr>
          <w:sz w:val="22"/>
          <w:szCs w:val="22"/>
          <w:lang w:val="fr-CA" w:eastAsia="en-GB"/>
        </w:rPr>
      </w:pPr>
      <w:r w:rsidRPr="00702E8F">
        <w:rPr>
          <w:b/>
          <w:bCs/>
          <w:sz w:val="22"/>
          <w:szCs w:val="22"/>
          <w:lang w:val="fr-CA" w:eastAsia="en-GB"/>
        </w:rPr>
        <w:t>Améliorer la mise en œuvre des accords</w:t>
      </w:r>
      <w:r w:rsidR="0093570F">
        <w:rPr>
          <w:b/>
          <w:bCs/>
          <w:sz w:val="22"/>
          <w:szCs w:val="22"/>
          <w:lang w:val="fr-CA" w:eastAsia="en-GB"/>
        </w:rPr>
        <w:t xml:space="preserve"> liés à l’</w:t>
      </w:r>
      <w:r w:rsidRPr="00702E8F">
        <w:rPr>
          <w:b/>
          <w:bCs/>
          <w:sz w:val="22"/>
          <w:szCs w:val="22"/>
          <w:lang w:val="fr-CA" w:eastAsia="en-GB"/>
        </w:rPr>
        <w:t xml:space="preserve">accès </w:t>
      </w:r>
      <w:r w:rsidR="0093570F">
        <w:rPr>
          <w:b/>
          <w:bCs/>
          <w:sz w:val="22"/>
          <w:szCs w:val="22"/>
          <w:lang w:val="fr-CA" w:eastAsia="en-GB"/>
        </w:rPr>
        <w:t>aux ressources génétiques et au</w:t>
      </w:r>
      <w:r w:rsidRPr="00702E8F">
        <w:rPr>
          <w:b/>
          <w:bCs/>
          <w:sz w:val="22"/>
          <w:szCs w:val="22"/>
          <w:lang w:val="fr-CA" w:eastAsia="en-GB"/>
        </w:rPr>
        <w:t xml:space="preserve"> partage </w:t>
      </w:r>
      <w:r w:rsidR="0093570F">
        <w:rPr>
          <w:b/>
          <w:bCs/>
          <w:sz w:val="22"/>
          <w:szCs w:val="22"/>
          <w:lang w:val="fr-CA" w:eastAsia="en-GB"/>
        </w:rPr>
        <w:t>juste et équitable des avantages découlant de leur utilisation</w:t>
      </w:r>
      <w:r w:rsidR="00E453D1">
        <w:rPr>
          <w:b/>
          <w:bCs/>
          <w:sz w:val="22"/>
          <w:szCs w:val="22"/>
          <w:lang w:val="fr-CA" w:eastAsia="en-GB"/>
        </w:rPr>
        <w:t> </w:t>
      </w:r>
      <w:r w:rsidR="00E1765A" w:rsidRPr="00702E8F">
        <w:rPr>
          <w:b/>
          <w:bCs/>
          <w:sz w:val="22"/>
          <w:szCs w:val="22"/>
          <w:lang w:val="fr-CA" w:eastAsia="en-GB"/>
        </w:rPr>
        <w:t>:</w:t>
      </w:r>
    </w:p>
    <w:p w14:paraId="39DDED3D" w14:textId="067DB98B" w:rsidR="005F5F59" w:rsidRPr="00702E8F" w:rsidRDefault="005F5F59" w:rsidP="005F5F59">
      <w:pPr>
        <w:pStyle w:val="Paragraphedeliste"/>
        <w:numPr>
          <w:ilvl w:val="0"/>
          <w:numId w:val="52"/>
        </w:numPr>
        <w:spacing w:before="120" w:after="120"/>
        <w:ind w:left="0" w:firstLine="720"/>
        <w:jc w:val="both"/>
        <w:rPr>
          <w:sz w:val="22"/>
          <w:szCs w:val="22"/>
          <w:lang w:val="fr-CA" w:eastAsia="en-GB"/>
        </w:rPr>
      </w:pPr>
      <w:r w:rsidRPr="00702E8F">
        <w:rPr>
          <w:sz w:val="22"/>
          <w:szCs w:val="22"/>
          <w:lang w:val="fr-CA" w:eastAsia="en-GB"/>
        </w:rPr>
        <w:t>La mise en œuvre d’ententes entre les pays</w:t>
      </w:r>
      <w:r w:rsidR="007B5250">
        <w:rPr>
          <w:sz w:val="22"/>
          <w:szCs w:val="22"/>
          <w:lang w:val="fr-CA" w:eastAsia="en-GB"/>
        </w:rPr>
        <w:t>,</w:t>
      </w:r>
      <w:r w:rsidRPr="00702E8F">
        <w:rPr>
          <w:sz w:val="22"/>
          <w:szCs w:val="22"/>
          <w:lang w:val="fr-CA" w:eastAsia="en-GB"/>
        </w:rPr>
        <w:t xml:space="preserve"> et entre les pays et les entreprises</w:t>
      </w:r>
      <w:r w:rsidR="005F789C">
        <w:rPr>
          <w:sz w:val="22"/>
          <w:szCs w:val="22"/>
          <w:lang w:val="fr-CA" w:eastAsia="en-GB"/>
        </w:rPr>
        <w:t>,</w:t>
      </w:r>
      <w:r w:rsidRPr="00702E8F">
        <w:rPr>
          <w:sz w:val="22"/>
          <w:szCs w:val="22"/>
          <w:lang w:val="fr-CA" w:eastAsia="en-GB"/>
        </w:rPr>
        <w:t xml:space="preserve"> sur l’accès et le partage des avantages devrait être améliorée, notamment en abordant les besoins opérationnels, les stratégies de communication et la capacité de négocier et de mettre en œuvre les accords d’accès et de partage des avantages</w:t>
      </w:r>
      <w:r w:rsidR="00E453D1">
        <w:rPr>
          <w:sz w:val="22"/>
          <w:szCs w:val="22"/>
          <w:lang w:val="fr-CA" w:eastAsia="en-GB"/>
        </w:rPr>
        <w:t> </w:t>
      </w:r>
      <w:r w:rsidR="00C6714D" w:rsidRPr="00702E8F">
        <w:rPr>
          <w:sz w:val="22"/>
          <w:szCs w:val="22"/>
          <w:lang w:val="fr-CA" w:eastAsia="en-GB"/>
        </w:rPr>
        <w:t>;</w:t>
      </w:r>
    </w:p>
    <w:p w14:paraId="53AF82D9" w14:textId="42439099" w:rsidR="009C18A0" w:rsidRPr="00702E8F" w:rsidRDefault="005F5F59" w:rsidP="005F5F59">
      <w:pPr>
        <w:pStyle w:val="Paragraphedeliste"/>
        <w:numPr>
          <w:ilvl w:val="0"/>
          <w:numId w:val="52"/>
        </w:numPr>
        <w:spacing w:before="120" w:after="120"/>
        <w:ind w:left="0" w:firstLine="720"/>
        <w:jc w:val="both"/>
        <w:rPr>
          <w:sz w:val="22"/>
          <w:szCs w:val="22"/>
          <w:lang w:val="fr-CA" w:eastAsia="en-GB"/>
        </w:rPr>
      </w:pPr>
      <w:r w:rsidRPr="00702E8F">
        <w:rPr>
          <w:sz w:val="22"/>
          <w:szCs w:val="22"/>
          <w:lang w:val="fr-CA" w:eastAsia="en-GB"/>
        </w:rPr>
        <w:t xml:space="preserve">La valeur des ressources mobilisées </w:t>
      </w:r>
      <w:r w:rsidR="00FB241E" w:rsidRPr="00702E8F">
        <w:rPr>
          <w:sz w:val="22"/>
          <w:szCs w:val="22"/>
          <w:lang w:val="fr-CA" w:eastAsia="en-GB"/>
        </w:rPr>
        <w:t xml:space="preserve">grâce à des projets et mécanismes d’accès et de partage des avantages doit être abordée aussi exhaustivement que possible, tout en reconnaissant la difficulté </w:t>
      </w:r>
      <w:r w:rsidR="00074A43">
        <w:rPr>
          <w:sz w:val="22"/>
          <w:szCs w:val="22"/>
          <w:lang w:val="fr-CA" w:eastAsia="en-GB"/>
        </w:rPr>
        <w:t xml:space="preserve">que pose </w:t>
      </w:r>
      <w:r w:rsidR="00EE4BEC">
        <w:rPr>
          <w:sz w:val="22"/>
          <w:szCs w:val="22"/>
          <w:lang w:val="fr-CA" w:eastAsia="en-GB"/>
        </w:rPr>
        <w:t xml:space="preserve">le caractère confidentiel de la plupart des </w:t>
      </w:r>
      <w:r w:rsidR="00FB241E" w:rsidRPr="00702E8F">
        <w:rPr>
          <w:sz w:val="22"/>
          <w:szCs w:val="22"/>
          <w:lang w:val="fr-CA" w:eastAsia="en-GB"/>
        </w:rPr>
        <w:t>accords entre les u</w:t>
      </w:r>
      <w:r w:rsidR="00EE4BEC">
        <w:rPr>
          <w:sz w:val="22"/>
          <w:szCs w:val="22"/>
          <w:lang w:val="fr-CA" w:eastAsia="en-GB"/>
        </w:rPr>
        <w:t>tilisateurs et les fournisseurs</w:t>
      </w:r>
      <w:r w:rsidR="009C18A0" w:rsidRPr="00702E8F">
        <w:rPr>
          <w:sz w:val="22"/>
          <w:szCs w:val="22"/>
          <w:lang w:val="fr-CA" w:eastAsia="en-GB"/>
        </w:rPr>
        <w:t>.</w:t>
      </w:r>
    </w:p>
    <w:p w14:paraId="0F3B9501" w14:textId="6201A9D8" w:rsidR="009C18A0" w:rsidRPr="00702E8F" w:rsidRDefault="005046CA" w:rsidP="00F609C7">
      <w:pPr>
        <w:pStyle w:val="HEADINGNOTFORTOC"/>
        <w:spacing w:before="120"/>
        <w:rPr>
          <w:bCs/>
          <w:sz w:val="22"/>
          <w:szCs w:val="22"/>
          <w:lang w:val="fr-CA" w:eastAsia="en-GB"/>
        </w:rPr>
      </w:pPr>
      <w:r w:rsidRPr="00702E8F">
        <w:rPr>
          <w:bCs/>
          <w:spacing w:val="-10"/>
          <w:kern w:val="28"/>
          <w:sz w:val="22"/>
          <w:szCs w:val="22"/>
          <w:lang w:val="fr-CA" w:eastAsia="en-GB"/>
        </w:rPr>
        <w:t>V.</w:t>
      </w:r>
      <w:r w:rsidRPr="00702E8F">
        <w:rPr>
          <w:bCs/>
          <w:spacing w:val="-10"/>
          <w:kern w:val="28"/>
          <w:sz w:val="22"/>
          <w:szCs w:val="22"/>
          <w:lang w:val="fr-CA" w:eastAsia="en-GB"/>
        </w:rPr>
        <w:tab/>
      </w:r>
      <w:r w:rsidR="00FB241E" w:rsidRPr="00702E8F">
        <w:rPr>
          <w:bCs/>
          <w:sz w:val="22"/>
          <w:szCs w:val="22"/>
          <w:lang w:val="fr-CA" w:eastAsia="en-GB"/>
        </w:rPr>
        <w:t xml:space="preserve">Volet III de la mobilisation des ressources : </w:t>
      </w:r>
      <w:r w:rsidR="00011FDB" w:rsidRPr="00702E8F">
        <w:rPr>
          <w:bCs/>
          <w:sz w:val="22"/>
          <w:szCs w:val="22"/>
          <w:lang w:val="fr-CA" w:eastAsia="en-GB"/>
        </w:rPr>
        <w:t>AMÉLIORer l’efficacité et l’efficience de l’utilisation des ressources</w:t>
      </w:r>
    </w:p>
    <w:p w14:paraId="1CDB6D67" w14:textId="7A077665" w:rsidR="00F177B0" w:rsidRPr="00702E8F" w:rsidRDefault="00636CF5" w:rsidP="005E0121">
      <w:pPr>
        <w:pStyle w:val="Para1"/>
        <w:numPr>
          <w:ilvl w:val="0"/>
          <w:numId w:val="49"/>
        </w:numPr>
        <w:suppressLineNumbers/>
        <w:suppressAutoHyphens/>
        <w:spacing w:before="120"/>
        <w:ind w:left="0" w:firstLine="0"/>
        <w:jc w:val="both"/>
        <w:rPr>
          <w:sz w:val="22"/>
          <w:szCs w:val="22"/>
          <w:lang w:val="fr-CA" w:eastAsia="en-GB"/>
        </w:rPr>
      </w:pPr>
      <w:r w:rsidRPr="00702E8F">
        <w:rPr>
          <w:sz w:val="22"/>
          <w:szCs w:val="22"/>
          <w:lang w:val="fr-CA" w:eastAsia="en-GB"/>
        </w:rPr>
        <w:t>Les principales mesures à prendre pour réaliser ce volet de la mobilisation des ressources sont recommandées dans les paragraphes ci-dessous</w:t>
      </w:r>
      <w:r w:rsidR="00F177B0" w:rsidRPr="00702E8F">
        <w:rPr>
          <w:sz w:val="22"/>
          <w:szCs w:val="22"/>
          <w:lang w:val="fr-CA" w:eastAsia="en-GB"/>
        </w:rPr>
        <w:t>.</w:t>
      </w:r>
    </w:p>
    <w:p w14:paraId="74302346" w14:textId="56197725" w:rsidR="009C18A0" w:rsidRPr="00702E8F" w:rsidRDefault="0093570F" w:rsidP="005E0121">
      <w:pPr>
        <w:pStyle w:val="Para1"/>
        <w:numPr>
          <w:ilvl w:val="0"/>
          <w:numId w:val="49"/>
        </w:numPr>
        <w:suppressLineNumbers/>
        <w:suppressAutoHyphens/>
        <w:spacing w:before="120"/>
        <w:ind w:left="0" w:firstLine="0"/>
        <w:jc w:val="both"/>
        <w:rPr>
          <w:sz w:val="22"/>
          <w:szCs w:val="22"/>
          <w:lang w:val="fr-CA" w:eastAsia="en-GB"/>
        </w:rPr>
      </w:pPr>
      <w:r>
        <w:rPr>
          <w:b/>
          <w:bCs/>
          <w:sz w:val="22"/>
          <w:szCs w:val="22"/>
          <w:lang w:val="fr-CA" w:eastAsia="en-GB"/>
        </w:rPr>
        <w:t>Réviser et améliorer si nécessaire la</w:t>
      </w:r>
      <w:r w:rsidR="00636CF5" w:rsidRPr="00702E8F">
        <w:rPr>
          <w:b/>
          <w:bCs/>
          <w:sz w:val="22"/>
          <w:szCs w:val="22"/>
          <w:lang w:val="fr-CA" w:eastAsia="en-GB"/>
        </w:rPr>
        <w:t xml:space="preserve"> bonne gouvernance et </w:t>
      </w:r>
      <w:r w:rsidR="00FC4653">
        <w:rPr>
          <w:b/>
          <w:bCs/>
          <w:sz w:val="22"/>
          <w:szCs w:val="22"/>
          <w:lang w:val="fr-CA" w:eastAsia="en-GB"/>
        </w:rPr>
        <w:t>la</w:t>
      </w:r>
      <w:r w:rsidR="00636CF5" w:rsidRPr="00702E8F">
        <w:rPr>
          <w:b/>
          <w:bCs/>
          <w:sz w:val="22"/>
          <w:szCs w:val="22"/>
          <w:lang w:val="fr-CA" w:eastAsia="en-GB"/>
        </w:rPr>
        <w:t xml:space="preserve"> bonne planification au sein du secteur public. </w:t>
      </w:r>
      <w:r w:rsidR="00636CF5" w:rsidRPr="00702E8F">
        <w:rPr>
          <w:bCs/>
          <w:sz w:val="22"/>
          <w:szCs w:val="22"/>
          <w:lang w:val="fr-CA" w:eastAsia="en-GB"/>
        </w:rPr>
        <w:t>Une bonne gouvernance et une bonne planification sont essentielles afin de garantir une utilisation efficace et efficiente des ressources limitées. L’approche pangouvernementale nécessaire exigera le renforcement des structures et des procédés</w:t>
      </w:r>
      <w:r w:rsidR="0096267C" w:rsidRPr="00702E8F">
        <w:rPr>
          <w:bCs/>
          <w:sz w:val="22"/>
          <w:szCs w:val="22"/>
          <w:lang w:val="fr-CA" w:eastAsia="en-GB"/>
        </w:rPr>
        <w:t>, ainsi qu’une meilleure coordination interministérielle et interagences,</w:t>
      </w:r>
      <w:r w:rsidR="00636CF5" w:rsidRPr="00702E8F">
        <w:rPr>
          <w:bCs/>
          <w:sz w:val="22"/>
          <w:szCs w:val="22"/>
          <w:lang w:val="fr-CA" w:eastAsia="en-GB"/>
        </w:rPr>
        <w:t xml:space="preserve"> afin d’obtenir une coordination verticale et </w:t>
      </w:r>
      <w:r w:rsidR="0096267C" w:rsidRPr="00702E8F">
        <w:rPr>
          <w:bCs/>
          <w:sz w:val="22"/>
          <w:szCs w:val="22"/>
          <w:lang w:val="fr-CA" w:eastAsia="en-GB"/>
        </w:rPr>
        <w:t>hori</w:t>
      </w:r>
      <w:r w:rsidR="00074A43">
        <w:rPr>
          <w:bCs/>
          <w:sz w:val="22"/>
          <w:szCs w:val="22"/>
          <w:lang w:val="fr-CA" w:eastAsia="en-GB"/>
        </w:rPr>
        <w:t>zontale au sein des agences. D</w:t>
      </w:r>
      <w:r w:rsidR="0096267C" w:rsidRPr="00702E8F">
        <w:rPr>
          <w:bCs/>
          <w:sz w:val="22"/>
          <w:szCs w:val="22"/>
          <w:lang w:val="fr-CA" w:eastAsia="en-GB"/>
        </w:rPr>
        <w:t>es engagements politiques de haut niveau seront nécessaires pour atteindre cet objectif, tout comme des budgets dédiés pour garantir que les objectifs énoncés soient atteints, Ainsi</w:t>
      </w:r>
      <w:r w:rsidR="00E453D1">
        <w:rPr>
          <w:bCs/>
          <w:sz w:val="22"/>
          <w:szCs w:val="22"/>
          <w:lang w:val="fr-CA" w:eastAsia="en-GB"/>
        </w:rPr>
        <w:t> </w:t>
      </w:r>
      <w:r w:rsidR="00AB101E" w:rsidRPr="00702E8F">
        <w:rPr>
          <w:sz w:val="22"/>
          <w:szCs w:val="22"/>
          <w:lang w:val="fr-CA" w:eastAsia="en-GB"/>
        </w:rPr>
        <w:t>:</w:t>
      </w:r>
    </w:p>
    <w:p w14:paraId="511FEE1D" w14:textId="33C4D2ED" w:rsidR="009C18A0" w:rsidRPr="00702E8F" w:rsidRDefault="006A6166" w:rsidP="00EC07F9">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B866E5" w:rsidRPr="00702E8F">
        <w:rPr>
          <w:sz w:val="22"/>
          <w:szCs w:val="22"/>
          <w:lang w:val="fr-CA" w:eastAsia="en-GB"/>
        </w:rPr>
        <w:t>Les pays devraient s’assurer que les stratégies et plans d’action nationaux pour la biodiversité (SPANB) ou autres plans nationaux semblables, prévoient l’identification des moteurs de l’appauvrissement de la diversité biologique (économiques et autres) et développent des activités pour lutter directement contre ces moteurs. Les activités doivent être clairement lié</w:t>
      </w:r>
      <w:r w:rsidR="0080719C">
        <w:rPr>
          <w:sz w:val="22"/>
          <w:szCs w:val="22"/>
          <w:lang w:val="fr-CA" w:eastAsia="en-GB"/>
        </w:rPr>
        <w:t>es aux résultats escomptés et l</w:t>
      </w:r>
      <w:r w:rsidR="00B866E5" w:rsidRPr="00702E8F">
        <w:rPr>
          <w:sz w:val="22"/>
          <w:szCs w:val="22"/>
          <w:lang w:val="fr-CA" w:eastAsia="en-GB"/>
        </w:rPr>
        <w:t>es co</w:t>
      </w:r>
      <w:r w:rsidR="00212444" w:rsidRPr="00702E8F">
        <w:rPr>
          <w:sz w:val="22"/>
          <w:szCs w:val="22"/>
          <w:lang w:val="fr-CA" w:eastAsia="en-GB"/>
        </w:rPr>
        <w:t>ûts pré</w:t>
      </w:r>
      <w:r w:rsidR="00B866E5" w:rsidRPr="00702E8F">
        <w:rPr>
          <w:sz w:val="22"/>
          <w:szCs w:val="22"/>
          <w:lang w:val="fr-CA" w:eastAsia="en-GB"/>
        </w:rPr>
        <w:t xml:space="preserve">vus de la mise en œuvre doivent </w:t>
      </w:r>
      <w:r w:rsidR="00212444" w:rsidRPr="00702E8F">
        <w:rPr>
          <w:sz w:val="22"/>
          <w:szCs w:val="22"/>
          <w:lang w:val="fr-CA" w:eastAsia="en-GB"/>
        </w:rPr>
        <w:t>ê</w:t>
      </w:r>
      <w:r w:rsidR="00B866E5" w:rsidRPr="00702E8F">
        <w:rPr>
          <w:sz w:val="22"/>
          <w:szCs w:val="22"/>
          <w:lang w:val="fr-CA" w:eastAsia="en-GB"/>
        </w:rPr>
        <w:t>tre calculés, et les</w:t>
      </w:r>
      <w:r w:rsidR="00212444" w:rsidRPr="00702E8F">
        <w:rPr>
          <w:sz w:val="22"/>
          <w:szCs w:val="22"/>
          <w:lang w:val="fr-CA" w:eastAsia="en-GB"/>
        </w:rPr>
        <w:t xml:space="preserve"> solution</w:t>
      </w:r>
      <w:r w:rsidR="0080719C">
        <w:rPr>
          <w:sz w:val="22"/>
          <w:szCs w:val="22"/>
          <w:lang w:val="fr-CA" w:eastAsia="en-GB"/>
        </w:rPr>
        <w:t>s</w:t>
      </w:r>
      <w:r w:rsidR="00212444" w:rsidRPr="00702E8F">
        <w:rPr>
          <w:sz w:val="22"/>
          <w:szCs w:val="22"/>
          <w:lang w:val="fr-CA" w:eastAsia="en-GB"/>
        </w:rPr>
        <w:t xml:space="preserve"> les plus économiques permettant d’arriver aux résultats escomptés pour la biodiversité doivent être identif</w:t>
      </w:r>
      <w:r w:rsidR="00830521" w:rsidRPr="00702E8F">
        <w:rPr>
          <w:sz w:val="22"/>
          <w:szCs w:val="22"/>
          <w:lang w:val="fr-CA" w:eastAsia="en-GB"/>
        </w:rPr>
        <w:t>i</w:t>
      </w:r>
      <w:r w:rsidR="00212444" w:rsidRPr="00702E8F">
        <w:rPr>
          <w:sz w:val="22"/>
          <w:szCs w:val="22"/>
          <w:lang w:val="fr-CA" w:eastAsia="en-GB"/>
        </w:rPr>
        <w:t xml:space="preserve">ées. Les plans nationaux de financement de la biodiversité doivent être développés parallèlement aux SPANB, en </w:t>
      </w:r>
      <w:r w:rsidR="00830521" w:rsidRPr="00702E8F">
        <w:rPr>
          <w:sz w:val="22"/>
          <w:szCs w:val="22"/>
          <w:lang w:val="fr-CA" w:eastAsia="en-GB"/>
        </w:rPr>
        <w:t>respe</w:t>
      </w:r>
      <w:r w:rsidR="00212444" w:rsidRPr="00702E8F">
        <w:rPr>
          <w:sz w:val="22"/>
          <w:szCs w:val="22"/>
          <w:lang w:val="fr-CA" w:eastAsia="en-GB"/>
        </w:rPr>
        <w:t>ctant la méthodologie de l’</w:t>
      </w:r>
      <w:r w:rsidR="00830521" w:rsidRPr="00702E8F">
        <w:rPr>
          <w:sz w:val="22"/>
          <w:szCs w:val="22"/>
          <w:lang w:val="fr-CA" w:eastAsia="en-GB"/>
        </w:rPr>
        <w:t>Initia</w:t>
      </w:r>
      <w:r w:rsidR="00212444" w:rsidRPr="00702E8F">
        <w:rPr>
          <w:sz w:val="22"/>
          <w:szCs w:val="22"/>
          <w:lang w:val="fr-CA" w:eastAsia="en-GB"/>
        </w:rPr>
        <w:t>tive de financement de la biodiversité (</w:t>
      </w:r>
      <w:proofErr w:type="spellStart"/>
      <w:r w:rsidR="00212444" w:rsidRPr="00702E8F">
        <w:rPr>
          <w:sz w:val="22"/>
          <w:szCs w:val="22"/>
          <w:lang w:val="fr-CA" w:eastAsia="en-GB"/>
        </w:rPr>
        <w:t>BIOFIN</w:t>
      </w:r>
      <w:proofErr w:type="spellEnd"/>
      <w:r w:rsidR="00212444" w:rsidRPr="00702E8F">
        <w:rPr>
          <w:sz w:val="22"/>
          <w:szCs w:val="22"/>
          <w:lang w:val="fr-CA" w:eastAsia="en-GB"/>
        </w:rPr>
        <w:t xml:space="preserve">) du Programme des Nations Unies pour le développement ou autre méthode semblable. </w:t>
      </w:r>
      <w:r w:rsidR="00830521" w:rsidRPr="00702E8F">
        <w:rPr>
          <w:sz w:val="22"/>
          <w:szCs w:val="22"/>
          <w:lang w:val="fr-CA" w:eastAsia="en-GB"/>
        </w:rPr>
        <w:t>Ces plans doivent aborder les trois volets de la mobilisation des ressources mis de l’avant dans ce rapport. Tous les pays devront avoir en main des plans nationaux de financement de la biodiversité afin de réaliser le changement transformationnel. L’élaboration et la mise en œuvre de ces plans devront profiter du soutien et du financement nécessaires</w:t>
      </w:r>
      <w:r w:rsidR="00E453D1">
        <w:rPr>
          <w:sz w:val="22"/>
          <w:szCs w:val="22"/>
          <w:lang w:val="fr-CA" w:eastAsia="en-GB"/>
        </w:rPr>
        <w:t> </w:t>
      </w:r>
      <w:r w:rsidR="00DB3539" w:rsidRPr="00702E8F">
        <w:rPr>
          <w:sz w:val="22"/>
          <w:szCs w:val="22"/>
          <w:lang w:val="fr-CA" w:eastAsia="en-GB"/>
        </w:rPr>
        <w:t>;</w:t>
      </w:r>
    </w:p>
    <w:p w14:paraId="555D333C" w14:textId="3B15AAE3" w:rsidR="009C18A0" w:rsidRPr="00702E8F" w:rsidRDefault="006A6166"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830521" w:rsidRPr="00702E8F">
        <w:rPr>
          <w:sz w:val="22"/>
          <w:szCs w:val="22"/>
          <w:lang w:val="fr-CA" w:eastAsia="en-GB"/>
        </w:rPr>
        <w:t>La biodiversité devrait être intégrée aux plans sectoriels et de développement, ainsi qu’aux données spatiales et aux instruments de planification des espaces perti</w:t>
      </w:r>
      <w:r w:rsidR="00A93826" w:rsidRPr="00702E8F">
        <w:rPr>
          <w:sz w:val="22"/>
          <w:szCs w:val="22"/>
          <w:lang w:val="fr-CA" w:eastAsia="en-GB"/>
        </w:rPr>
        <w:t>n</w:t>
      </w:r>
      <w:r w:rsidR="00830521" w:rsidRPr="00702E8F">
        <w:rPr>
          <w:sz w:val="22"/>
          <w:szCs w:val="22"/>
          <w:lang w:val="fr-CA" w:eastAsia="en-GB"/>
        </w:rPr>
        <w:t xml:space="preserve">ents. L’efficacité des instruments de politique générale devra être suivie et évaluée, afin </w:t>
      </w:r>
      <w:r w:rsidR="00A93826" w:rsidRPr="00702E8F">
        <w:rPr>
          <w:sz w:val="22"/>
          <w:szCs w:val="22"/>
          <w:lang w:val="fr-CA" w:eastAsia="en-GB"/>
        </w:rPr>
        <w:t>d’être à la hauteur de la gestion adaptative au fil du temps</w:t>
      </w:r>
      <w:r w:rsidR="00FC4653">
        <w:rPr>
          <w:sz w:val="22"/>
          <w:szCs w:val="22"/>
          <w:lang w:val="fr-CA" w:eastAsia="en-GB"/>
        </w:rPr>
        <w:t>. Ceci s’applique également aux plans de reprise économique</w:t>
      </w:r>
      <w:r w:rsidR="00E453D1">
        <w:rPr>
          <w:sz w:val="22"/>
          <w:szCs w:val="22"/>
          <w:lang w:val="fr-CA" w:eastAsia="en-GB"/>
        </w:rPr>
        <w:t> </w:t>
      </w:r>
      <w:r w:rsidR="00DB3539" w:rsidRPr="00702E8F">
        <w:rPr>
          <w:sz w:val="22"/>
          <w:szCs w:val="22"/>
          <w:lang w:val="fr-CA" w:eastAsia="en-GB"/>
        </w:rPr>
        <w:t>;</w:t>
      </w:r>
    </w:p>
    <w:p w14:paraId="13481414" w14:textId="265A0DC7" w:rsidR="009C18A0" w:rsidRPr="00702E8F" w:rsidRDefault="006A6166" w:rsidP="00EC07F9">
      <w:pPr>
        <w:spacing w:before="120" w:after="120"/>
        <w:ind w:firstLine="720"/>
        <w:jc w:val="both"/>
        <w:rPr>
          <w:sz w:val="22"/>
          <w:szCs w:val="22"/>
          <w:lang w:val="fr-CA" w:eastAsia="en-GB"/>
        </w:rPr>
      </w:pPr>
      <w:r w:rsidRPr="00702E8F">
        <w:rPr>
          <w:sz w:val="22"/>
          <w:szCs w:val="22"/>
          <w:lang w:val="fr-CA" w:eastAsia="en-GB"/>
        </w:rPr>
        <w:t>c)</w:t>
      </w:r>
      <w:r w:rsidRPr="00702E8F">
        <w:rPr>
          <w:sz w:val="22"/>
          <w:szCs w:val="22"/>
          <w:lang w:val="fr-CA" w:eastAsia="en-GB"/>
        </w:rPr>
        <w:tab/>
      </w:r>
      <w:r w:rsidR="00A93826" w:rsidRPr="00702E8F">
        <w:rPr>
          <w:sz w:val="22"/>
          <w:szCs w:val="22"/>
          <w:lang w:val="fr-CA" w:eastAsia="en-GB"/>
        </w:rPr>
        <w:t xml:space="preserve">Les gouvernements doivent offrir du soutien et de la reconnaissance, selon qu’il convient, aux acteurs non gouvernementaux responsables de la gestion et de la cogestion des aires protégées et autres mesures efficaces de conservation des espaces, dont les peuples autochtones et </w:t>
      </w:r>
      <w:r w:rsidR="0080719C">
        <w:rPr>
          <w:sz w:val="22"/>
          <w:szCs w:val="22"/>
          <w:lang w:val="fr-CA" w:eastAsia="en-GB"/>
        </w:rPr>
        <w:t xml:space="preserve">les </w:t>
      </w:r>
      <w:r w:rsidR="00A93826" w:rsidRPr="00702E8F">
        <w:rPr>
          <w:sz w:val="22"/>
          <w:szCs w:val="22"/>
          <w:lang w:val="fr-CA" w:eastAsia="en-GB"/>
        </w:rPr>
        <w:t>communautés locales, les entités privées et les organisations non gouvernementales. Des accords et mécanismes de partenariat, tels que les ententes contractuelles et les fonds d’affectation spéciale, doivent être développés afin d’orienter la cogestion et la gestion non gouvernementale des paysages terres</w:t>
      </w:r>
      <w:r w:rsidR="0080719C">
        <w:rPr>
          <w:sz w:val="22"/>
          <w:szCs w:val="22"/>
          <w:lang w:val="fr-CA" w:eastAsia="en-GB"/>
        </w:rPr>
        <w:t>tres</w:t>
      </w:r>
      <w:r w:rsidR="00A93826" w:rsidRPr="00702E8F">
        <w:rPr>
          <w:sz w:val="22"/>
          <w:szCs w:val="22"/>
          <w:lang w:val="fr-CA" w:eastAsia="en-GB"/>
        </w:rPr>
        <w:t xml:space="preserve"> et marins impor</w:t>
      </w:r>
      <w:r w:rsidR="00FA18FA">
        <w:rPr>
          <w:sz w:val="22"/>
          <w:szCs w:val="22"/>
          <w:lang w:val="fr-CA" w:eastAsia="en-GB"/>
        </w:rPr>
        <w:t xml:space="preserve">tants. Les </w:t>
      </w:r>
      <w:r w:rsidR="00FA18FA">
        <w:rPr>
          <w:sz w:val="22"/>
          <w:szCs w:val="22"/>
          <w:lang w:val="fr-CA" w:eastAsia="en-GB"/>
        </w:rPr>
        <w:lastRenderedPageBreak/>
        <w:t>intermédiaires</w:t>
      </w:r>
      <w:r w:rsidR="0080719C">
        <w:rPr>
          <w:sz w:val="22"/>
          <w:szCs w:val="22"/>
          <w:lang w:val="fr-CA" w:eastAsia="en-GB"/>
        </w:rPr>
        <w:t xml:space="preserve"> tel</w:t>
      </w:r>
      <w:r w:rsidR="00A93826" w:rsidRPr="00702E8F">
        <w:rPr>
          <w:sz w:val="22"/>
          <w:szCs w:val="22"/>
          <w:lang w:val="fr-CA" w:eastAsia="en-GB"/>
        </w:rPr>
        <w:t>s que les org</w:t>
      </w:r>
      <w:r w:rsidR="00FA18FA">
        <w:rPr>
          <w:sz w:val="22"/>
          <w:szCs w:val="22"/>
          <w:lang w:val="fr-CA" w:eastAsia="en-GB"/>
        </w:rPr>
        <w:t>anisations non gouvernementales</w:t>
      </w:r>
      <w:r w:rsidR="00A93826" w:rsidRPr="00702E8F">
        <w:rPr>
          <w:sz w:val="22"/>
          <w:szCs w:val="22"/>
          <w:lang w:val="fr-CA" w:eastAsia="en-GB"/>
        </w:rPr>
        <w:t xml:space="preserve"> doivent être encouragés à faciliter les partenariats entr</w:t>
      </w:r>
      <w:r w:rsidR="00FA18FA">
        <w:rPr>
          <w:sz w:val="22"/>
          <w:szCs w:val="22"/>
          <w:lang w:val="fr-CA" w:eastAsia="en-GB"/>
        </w:rPr>
        <w:t>e ces entités et des mesures d’</w:t>
      </w:r>
      <w:r w:rsidR="00A93826" w:rsidRPr="00702E8F">
        <w:rPr>
          <w:sz w:val="22"/>
          <w:szCs w:val="22"/>
          <w:lang w:val="fr-CA" w:eastAsia="en-GB"/>
        </w:rPr>
        <w:t>encouragement gouvernementales doivent être appliquées en soutien aux efforts des acteurs non gouvernementaux</w:t>
      </w:r>
      <w:r w:rsidR="00E453D1">
        <w:rPr>
          <w:sz w:val="22"/>
          <w:szCs w:val="22"/>
          <w:lang w:val="fr-CA" w:eastAsia="en-GB"/>
        </w:rPr>
        <w:t> </w:t>
      </w:r>
      <w:r w:rsidR="00DB3539" w:rsidRPr="00702E8F">
        <w:rPr>
          <w:sz w:val="22"/>
          <w:szCs w:val="22"/>
          <w:lang w:val="fr-CA" w:eastAsia="en-GB"/>
        </w:rPr>
        <w:t>;</w:t>
      </w:r>
    </w:p>
    <w:p w14:paraId="150E4EE0" w14:textId="49499404" w:rsidR="002A1E9F" w:rsidRPr="00702E8F" w:rsidRDefault="006A6166" w:rsidP="00FC4653">
      <w:pPr>
        <w:spacing w:before="120" w:after="120"/>
        <w:ind w:firstLine="720"/>
        <w:jc w:val="both"/>
        <w:rPr>
          <w:sz w:val="22"/>
          <w:szCs w:val="22"/>
          <w:lang w:val="fr-CA" w:eastAsia="en-GB"/>
        </w:rPr>
      </w:pPr>
      <w:r w:rsidRPr="00702E8F">
        <w:rPr>
          <w:sz w:val="22"/>
          <w:szCs w:val="22"/>
          <w:lang w:val="fr-CA" w:eastAsia="en-GB"/>
        </w:rPr>
        <w:t>d)</w:t>
      </w:r>
      <w:r w:rsidRPr="00702E8F">
        <w:rPr>
          <w:sz w:val="22"/>
          <w:szCs w:val="22"/>
          <w:lang w:val="fr-CA" w:eastAsia="en-GB"/>
        </w:rPr>
        <w:tab/>
      </w:r>
      <w:r w:rsidR="002A1E9F" w:rsidRPr="00702E8F">
        <w:rPr>
          <w:sz w:val="22"/>
          <w:szCs w:val="22"/>
          <w:lang w:val="fr-CA" w:eastAsia="en-GB"/>
        </w:rPr>
        <w:t>Les actions collectives des peuples autochtones et des communautés locales et leurs systèmes de connaissances connexes devraient être quantifiés en tant que contributions en nature</w:t>
      </w:r>
      <w:r w:rsidR="009C18A0" w:rsidRPr="00702E8F">
        <w:rPr>
          <w:sz w:val="22"/>
          <w:szCs w:val="22"/>
          <w:lang w:val="fr-CA" w:eastAsia="en-GB"/>
        </w:rPr>
        <w:t>.</w:t>
      </w:r>
    </w:p>
    <w:p w14:paraId="3FC44A3E" w14:textId="57FCB4C5" w:rsidR="009C18A0" w:rsidRPr="00FC4653" w:rsidRDefault="00C079C5" w:rsidP="00541B3C">
      <w:pPr>
        <w:pStyle w:val="Para1"/>
        <w:numPr>
          <w:ilvl w:val="0"/>
          <w:numId w:val="58"/>
        </w:numPr>
        <w:suppressLineNumbers/>
        <w:suppressAutoHyphens/>
        <w:spacing w:before="120"/>
        <w:ind w:left="0" w:firstLine="0"/>
        <w:jc w:val="both"/>
        <w:rPr>
          <w:sz w:val="22"/>
          <w:szCs w:val="22"/>
          <w:lang w:val="fr-CA" w:eastAsia="en-GB"/>
        </w:rPr>
      </w:pPr>
      <w:r w:rsidRPr="00FC4653">
        <w:rPr>
          <w:b/>
          <w:bCs/>
          <w:sz w:val="22"/>
          <w:szCs w:val="22"/>
          <w:lang w:val="fr-CA" w:eastAsia="en-GB"/>
        </w:rPr>
        <w:t xml:space="preserve">Créer des partenariats et des plateformes efficaces en appui à la cohérence des politiques, un apprentissage partagé et </w:t>
      </w:r>
      <w:r w:rsidR="00FC4653" w:rsidRPr="00FC4653">
        <w:rPr>
          <w:b/>
          <w:bCs/>
          <w:sz w:val="22"/>
          <w:szCs w:val="22"/>
          <w:lang w:val="fr-CA" w:eastAsia="en-GB"/>
        </w:rPr>
        <w:t>l’élaboration et l’application</w:t>
      </w:r>
      <w:r w:rsidRPr="00FC4653">
        <w:rPr>
          <w:b/>
          <w:bCs/>
          <w:sz w:val="22"/>
          <w:szCs w:val="22"/>
          <w:lang w:val="fr-CA" w:eastAsia="en-GB"/>
        </w:rPr>
        <w:t xml:space="preserve"> d’approches mixtes</w:t>
      </w:r>
      <w:r w:rsidR="00FC4653" w:rsidRPr="00FC4653">
        <w:rPr>
          <w:b/>
          <w:bCs/>
          <w:sz w:val="22"/>
          <w:szCs w:val="22"/>
          <w:lang w:val="fr-CA" w:eastAsia="en-GB"/>
        </w:rPr>
        <w:t>.</w:t>
      </w:r>
      <w:r w:rsidR="00FC4653">
        <w:rPr>
          <w:b/>
          <w:bCs/>
          <w:sz w:val="22"/>
          <w:szCs w:val="22"/>
          <w:lang w:val="fr-CA" w:eastAsia="en-GB"/>
        </w:rPr>
        <w:t xml:space="preserve"> </w:t>
      </w:r>
      <w:r w:rsidR="001F6321" w:rsidRPr="00FC4653">
        <w:rPr>
          <w:sz w:val="22"/>
          <w:szCs w:val="22"/>
          <w:lang w:val="fr-CA" w:eastAsia="en-GB"/>
        </w:rPr>
        <w:t xml:space="preserve">Les partenariats et les plateformes internationales, nationales et infranationales joueront un rôle essentiel pour faciliter les mesures collectives requises pour une mobilisation efficace des ressources, </w:t>
      </w:r>
      <w:r w:rsidR="00EC6AC9" w:rsidRPr="00FC4653">
        <w:rPr>
          <w:sz w:val="22"/>
          <w:szCs w:val="22"/>
          <w:lang w:val="fr-CA" w:eastAsia="en-GB"/>
        </w:rPr>
        <w:t xml:space="preserve">notamment </w:t>
      </w:r>
      <w:r w:rsidR="001F6321" w:rsidRPr="00FC4653">
        <w:rPr>
          <w:sz w:val="22"/>
          <w:szCs w:val="22"/>
          <w:lang w:val="fr-CA" w:eastAsia="en-GB"/>
        </w:rPr>
        <w:t>en assurant la cohérence des politiques générales, un apprentissage partagé et le développement de solutions mixtes</w:t>
      </w:r>
      <w:r w:rsidR="00FC4653">
        <w:rPr>
          <w:sz w:val="22"/>
          <w:szCs w:val="22"/>
          <w:lang w:val="fr-CA" w:eastAsia="en-GB"/>
        </w:rPr>
        <w:t>. Ainsi :</w:t>
      </w:r>
    </w:p>
    <w:p w14:paraId="6E5A82A7" w14:textId="38580264" w:rsidR="009C18A0" w:rsidRPr="00702E8F" w:rsidRDefault="00FC4653" w:rsidP="00EC07F9">
      <w:pPr>
        <w:spacing w:before="120" w:after="120"/>
        <w:ind w:firstLine="720"/>
        <w:jc w:val="both"/>
        <w:rPr>
          <w:sz w:val="22"/>
          <w:szCs w:val="22"/>
          <w:lang w:val="fr-CA" w:eastAsia="en-GB"/>
        </w:rPr>
      </w:pPr>
      <w:r>
        <w:rPr>
          <w:sz w:val="22"/>
          <w:szCs w:val="22"/>
          <w:lang w:val="fr-CA" w:eastAsia="en-GB"/>
        </w:rPr>
        <w:t>a</w:t>
      </w:r>
      <w:r w:rsidR="00D4287C" w:rsidRPr="00702E8F">
        <w:rPr>
          <w:sz w:val="22"/>
          <w:szCs w:val="22"/>
          <w:lang w:val="fr-CA" w:eastAsia="en-GB"/>
        </w:rPr>
        <w:t>)</w:t>
      </w:r>
      <w:r w:rsidR="00D4287C" w:rsidRPr="00702E8F">
        <w:rPr>
          <w:sz w:val="22"/>
          <w:szCs w:val="22"/>
          <w:lang w:val="fr-CA" w:eastAsia="en-GB"/>
        </w:rPr>
        <w:tab/>
      </w:r>
      <w:r w:rsidR="001F6321" w:rsidRPr="00702E8F">
        <w:rPr>
          <w:sz w:val="22"/>
          <w:szCs w:val="22"/>
          <w:lang w:val="fr-CA" w:eastAsia="en-GB"/>
        </w:rPr>
        <w:t>Les parties prenantes doivent développer et soutenir des parten</w:t>
      </w:r>
      <w:r w:rsidR="00EC6AC9">
        <w:rPr>
          <w:sz w:val="22"/>
          <w:szCs w:val="22"/>
          <w:lang w:val="fr-CA" w:eastAsia="en-GB"/>
        </w:rPr>
        <w:t>ariats et des plateformes conçu</w:t>
      </w:r>
      <w:r w:rsidR="001F6321" w:rsidRPr="00702E8F">
        <w:rPr>
          <w:sz w:val="22"/>
          <w:szCs w:val="22"/>
          <w:lang w:val="fr-CA" w:eastAsia="en-GB"/>
        </w:rPr>
        <w:t xml:space="preserve">s pour rassembler et faciliter les mesures collectives du gouvernement, du secteur privé, des institutions financières, du secteur universitaire, des acteurs de la coopération </w:t>
      </w:r>
      <w:r w:rsidR="00EC6AC9">
        <w:rPr>
          <w:sz w:val="22"/>
          <w:szCs w:val="22"/>
          <w:lang w:val="fr-CA" w:eastAsia="en-GB"/>
        </w:rPr>
        <w:t xml:space="preserve">internationale </w:t>
      </w:r>
      <w:r w:rsidR="001F6321" w:rsidRPr="00702E8F">
        <w:rPr>
          <w:sz w:val="22"/>
          <w:szCs w:val="22"/>
          <w:lang w:val="fr-CA" w:eastAsia="en-GB"/>
        </w:rPr>
        <w:t>au dév</w:t>
      </w:r>
      <w:r w:rsidR="00EC6AC9">
        <w:rPr>
          <w:sz w:val="22"/>
          <w:szCs w:val="22"/>
          <w:lang w:val="fr-CA" w:eastAsia="en-GB"/>
        </w:rPr>
        <w:t>eloppement, d</w:t>
      </w:r>
      <w:r w:rsidR="001F6321" w:rsidRPr="00702E8F">
        <w:rPr>
          <w:sz w:val="22"/>
          <w:szCs w:val="22"/>
          <w:lang w:val="fr-CA" w:eastAsia="en-GB"/>
        </w:rPr>
        <w:t>es peuples autochtones et des communautés locales, et</w:t>
      </w:r>
      <w:r w:rsidR="00EC6AC9">
        <w:rPr>
          <w:sz w:val="22"/>
          <w:szCs w:val="22"/>
          <w:lang w:val="fr-CA" w:eastAsia="en-GB"/>
        </w:rPr>
        <w:t xml:space="preserve"> de</w:t>
      </w:r>
      <w:r w:rsidR="001F6321" w:rsidRPr="00702E8F">
        <w:rPr>
          <w:sz w:val="22"/>
          <w:szCs w:val="22"/>
          <w:lang w:val="fr-CA" w:eastAsia="en-GB"/>
        </w:rPr>
        <w:t xml:space="preserve"> la société civile.</w:t>
      </w:r>
      <w:r w:rsidR="000F4D2F" w:rsidRPr="00702E8F">
        <w:rPr>
          <w:sz w:val="22"/>
          <w:szCs w:val="22"/>
          <w:lang w:val="fr-CA" w:eastAsia="en-GB"/>
        </w:rPr>
        <w:t xml:space="preserve"> Cet exercice doit se faire aux niveaux international, régional, national et infranational, selon le besoin</w:t>
      </w:r>
      <w:r w:rsidR="00E453D1">
        <w:rPr>
          <w:sz w:val="22"/>
          <w:szCs w:val="22"/>
          <w:lang w:val="fr-CA" w:eastAsia="en-GB"/>
        </w:rPr>
        <w:t> </w:t>
      </w:r>
      <w:r w:rsidR="00D4287C" w:rsidRPr="00702E8F">
        <w:rPr>
          <w:sz w:val="22"/>
          <w:szCs w:val="22"/>
          <w:lang w:val="fr-CA" w:eastAsia="en-GB"/>
        </w:rPr>
        <w:t>;</w:t>
      </w:r>
    </w:p>
    <w:p w14:paraId="0E35077E" w14:textId="44985C8B" w:rsidR="009C18A0" w:rsidRPr="00702E8F" w:rsidRDefault="00FC4653" w:rsidP="00EC07F9">
      <w:pPr>
        <w:spacing w:before="120" w:after="120"/>
        <w:ind w:firstLine="720"/>
        <w:jc w:val="both"/>
        <w:rPr>
          <w:sz w:val="22"/>
          <w:szCs w:val="22"/>
          <w:lang w:val="fr-CA" w:eastAsia="en-GB"/>
        </w:rPr>
      </w:pPr>
      <w:r>
        <w:rPr>
          <w:bCs/>
          <w:sz w:val="22"/>
          <w:szCs w:val="22"/>
          <w:lang w:val="fr-CA" w:eastAsia="en-GB"/>
        </w:rPr>
        <w:t>b</w:t>
      </w:r>
      <w:r w:rsidR="00D4287C" w:rsidRPr="00702E8F">
        <w:rPr>
          <w:bCs/>
          <w:sz w:val="22"/>
          <w:szCs w:val="22"/>
          <w:lang w:val="fr-CA" w:eastAsia="en-GB"/>
        </w:rPr>
        <w:t>)</w:t>
      </w:r>
      <w:r w:rsidR="00D4287C" w:rsidRPr="00702E8F">
        <w:rPr>
          <w:bCs/>
          <w:sz w:val="22"/>
          <w:szCs w:val="22"/>
          <w:lang w:val="fr-CA" w:eastAsia="en-GB"/>
        </w:rPr>
        <w:tab/>
      </w:r>
      <w:r w:rsidR="000F4D2F" w:rsidRPr="00702E8F">
        <w:rPr>
          <w:bCs/>
          <w:sz w:val="22"/>
          <w:szCs w:val="22"/>
          <w:lang w:val="fr-CA" w:eastAsia="en-GB"/>
        </w:rPr>
        <w:t>Un soutien devrait être accordé au développement de solides réseaux a</w:t>
      </w:r>
      <w:r w:rsidR="00EC6AC9">
        <w:rPr>
          <w:bCs/>
          <w:sz w:val="22"/>
          <w:szCs w:val="22"/>
          <w:lang w:val="fr-CA" w:eastAsia="en-GB"/>
        </w:rPr>
        <w:t xml:space="preserve">vec </w:t>
      </w:r>
      <w:r w:rsidR="003D01D2">
        <w:rPr>
          <w:bCs/>
          <w:sz w:val="22"/>
          <w:szCs w:val="22"/>
          <w:lang w:val="fr-CA" w:eastAsia="en-GB"/>
        </w:rPr>
        <w:t>des groupes de</w:t>
      </w:r>
      <w:r w:rsidR="00EC6AC9">
        <w:rPr>
          <w:bCs/>
          <w:sz w:val="22"/>
          <w:szCs w:val="22"/>
          <w:lang w:val="fr-CA" w:eastAsia="en-GB"/>
        </w:rPr>
        <w:t xml:space="preserve"> peuples autochtones et </w:t>
      </w:r>
      <w:r w:rsidR="003D01D2">
        <w:rPr>
          <w:bCs/>
          <w:sz w:val="22"/>
          <w:szCs w:val="22"/>
          <w:lang w:val="fr-CA" w:eastAsia="en-GB"/>
        </w:rPr>
        <w:t>de</w:t>
      </w:r>
      <w:r w:rsidR="000F4D2F" w:rsidRPr="00702E8F">
        <w:rPr>
          <w:bCs/>
          <w:sz w:val="22"/>
          <w:szCs w:val="22"/>
          <w:lang w:val="fr-CA" w:eastAsia="en-GB"/>
        </w:rPr>
        <w:t xml:space="preserve"> communautés locales aux niveaux national et régional, afin de reconnaître les champions des peuples autochtones et des communautés locales et les inclure dans les processus de participation</w:t>
      </w:r>
      <w:r w:rsidR="009C18A0" w:rsidRPr="00702E8F">
        <w:rPr>
          <w:bCs/>
          <w:sz w:val="22"/>
          <w:szCs w:val="22"/>
          <w:lang w:val="fr-CA" w:eastAsia="en-GB"/>
        </w:rPr>
        <w:t>.</w:t>
      </w:r>
    </w:p>
    <w:p w14:paraId="03C988B5" w14:textId="70ADB2CF" w:rsidR="005046CA" w:rsidRPr="00702E8F" w:rsidRDefault="000F4D2F" w:rsidP="003D01D2">
      <w:pPr>
        <w:pStyle w:val="Para1"/>
        <w:numPr>
          <w:ilvl w:val="0"/>
          <w:numId w:val="58"/>
        </w:numPr>
        <w:suppressLineNumbers/>
        <w:suppressAutoHyphens/>
        <w:spacing w:before="120"/>
        <w:ind w:left="0" w:firstLine="0"/>
        <w:jc w:val="both"/>
        <w:rPr>
          <w:sz w:val="22"/>
          <w:szCs w:val="22"/>
          <w:lang w:val="fr-CA" w:eastAsia="en-GB"/>
        </w:rPr>
      </w:pPr>
      <w:bookmarkStart w:id="5" w:name="_Hlk40279148"/>
      <w:r w:rsidRPr="00702E8F">
        <w:rPr>
          <w:b/>
          <w:bCs/>
          <w:sz w:val="22"/>
          <w:szCs w:val="22"/>
          <w:lang w:val="fr-CA" w:eastAsia="en-GB"/>
        </w:rPr>
        <w:t>Améliorer le renforcement des capacités, l’assistance technique et la coopération technologique, de manière durable</w:t>
      </w:r>
      <w:r w:rsidR="00E453D1">
        <w:rPr>
          <w:b/>
          <w:bCs/>
          <w:sz w:val="22"/>
          <w:szCs w:val="22"/>
          <w:lang w:val="fr-CA" w:eastAsia="en-GB"/>
        </w:rPr>
        <w:t> </w:t>
      </w:r>
      <w:r w:rsidR="00E1201D" w:rsidRPr="00702E8F">
        <w:rPr>
          <w:b/>
          <w:bCs/>
          <w:sz w:val="22"/>
          <w:szCs w:val="22"/>
          <w:lang w:val="fr-CA" w:eastAsia="en-GB"/>
        </w:rPr>
        <w:t>:</w:t>
      </w:r>
    </w:p>
    <w:p w14:paraId="767FB318" w14:textId="55C703C3" w:rsidR="00100E15" w:rsidRPr="00702E8F" w:rsidRDefault="00D4287C" w:rsidP="00F609C7">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945DD1" w:rsidRPr="00702E8F">
        <w:rPr>
          <w:sz w:val="22"/>
          <w:szCs w:val="22"/>
          <w:lang w:val="fr-CA" w:eastAsia="en-GB"/>
        </w:rPr>
        <w:t xml:space="preserve">Le renforcement des capacités, l’assistance technique et la coopération technologique doivent </w:t>
      </w:r>
      <w:r w:rsidR="00AB567F">
        <w:rPr>
          <w:sz w:val="22"/>
          <w:szCs w:val="22"/>
          <w:lang w:val="fr-CA" w:eastAsia="en-GB"/>
        </w:rPr>
        <w:t>englober</w:t>
      </w:r>
      <w:r w:rsidR="00945DD1" w:rsidRPr="00702E8F">
        <w:rPr>
          <w:sz w:val="22"/>
          <w:szCs w:val="22"/>
          <w:lang w:val="fr-CA" w:eastAsia="en-GB"/>
        </w:rPr>
        <w:t xml:space="preserve"> le partage des connaissances Sud-Sud et devraient mettre l’accent sur le développement de l’expertise au sein du pays. Le renforcement des capacités devrait être intégré aux programmes officiels des niveaux secondaire et tertiaire, si possible, et aussi </w:t>
      </w:r>
      <w:r w:rsidR="00AB567F">
        <w:rPr>
          <w:sz w:val="22"/>
          <w:szCs w:val="22"/>
          <w:lang w:val="fr-CA" w:eastAsia="en-GB"/>
        </w:rPr>
        <w:t>moins</w:t>
      </w:r>
      <w:r w:rsidR="00945DD1" w:rsidRPr="00702E8F">
        <w:rPr>
          <w:sz w:val="22"/>
          <w:szCs w:val="22"/>
          <w:lang w:val="fr-CA" w:eastAsia="en-GB"/>
        </w:rPr>
        <w:t xml:space="preserve"> formellement, si nécessaire</w:t>
      </w:r>
      <w:r w:rsidR="00E453D1">
        <w:rPr>
          <w:sz w:val="22"/>
          <w:szCs w:val="22"/>
          <w:lang w:val="fr-CA" w:eastAsia="en-GB"/>
        </w:rPr>
        <w:t> </w:t>
      </w:r>
      <w:r w:rsidR="00100E15" w:rsidRPr="00702E8F">
        <w:rPr>
          <w:sz w:val="22"/>
          <w:szCs w:val="22"/>
          <w:lang w:val="fr-CA" w:eastAsia="en-GB"/>
        </w:rPr>
        <w:t>;</w:t>
      </w:r>
    </w:p>
    <w:p w14:paraId="35CF869F" w14:textId="3A3A360B" w:rsidR="009C18A0" w:rsidRPr="00702E8F" w:rsidRDefault="00100E15" w:rsidP="00945DD1">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945DD1" w:rsidRPr="00702E8F">
        <w:rPr>
          <w:sz w:val="22"/>
          <w:szCs w:val="22"/>
          <w:lang w:val="fr-CA" w:eastAsia="en-GB"/>
        </w:rPr>
        <w:t xml:space="preserve">Le renforcement des capacités sera exigé à tous les niveaux de gouvernement (national et infranational) et au sein des ministères et des agences </w:t>
      </w:r>
      <w:r w:rsidR="00AB567F">
        <w:rPr>
          <w:sz w:val="22"/>
          <w:szCs w:val="22"/>
          <w:lang w:val="fr-CA" w:eastAsia="en-GB"/>
        </w:rPr>
        <w:t>gouvernementa</w:t>
      </w:r>
      <w:r w:rsidR="000B18D8">
        <w:rPr>
          <w:sz w:val="22"/>
          <w:szCs w:val="22"/>
          <w:lang w:val="fr-CA" w:eastAsia="en-GB"/>
        </w:rPr>
        <w:t>les,</w:t>
      </w:r>
      <w:r w:rsidR="00945DD1" w:rsidRPr="00702E8F">
        <w:rPr>
          <w:sz w:val="22"/>
          <w:szCs w:val="22"/>
          <w:lang w:val="fr-CA" w:eastAsia="en-GB"/>
        </w:rPr>
        <w:t xml:space="preserve"> dont les ministères responsables </w:t>
      </w:r>
      <w:r w:rsidR="00AB567F">
        <w:rPr>
          <w:sz w:val="22"/>
          <w:szCs w:val="22"/>
          <w:lang w:val="fr-CA" w:eastAsia="en-GB"/>
        </w:rPr>
        <w:t>des finances et de l’économie, d</w:t>
      </w:r>
      <w:r w:rsidR="00945DD1" w:rsidRPr="00702E8F">
        <w:rPr>
          <w:sz w:val="22"/>
          <w:szCs w:val="22"/>
          <w:lang w:val="fr-CA" w:eastAsia="en-GB"/>
        </w:rPr>
        <w:t xml:space="preserve">es secteurs de production primaire, </w:t>
      </w:r>
      <w:r w:rsidR="00AB567F">
        <w:rPr>
          <w:sz w:val="22"/>
          <w:szCs w:val="22"/>
          <w:lang w:val="fr-CA" w:eastAsia="en-GB"/>
        </w:rPr>
        <w:t>du</w:t>
      </w:r>
      <w:r w:rsidR="00945DD1" w:rsidRPr="00702E8F">
        <w:rPr>
          <w:sz w:val="22"/>
          <w:szCs w:val="22"/>
          <w:lang w:val="fr-CA" w:eastAsia="en-GB"/>
        </w:rPr>
        <w:t xml:space="preserve"> tourisme, </w:t>
      </w:r>
      <w:r w:rsidR="00AB567F">
        <w:rPr>
          <w:sz w:val="22"/>
          <w:szCs w:val="22"/>
          <w:lang w:val="fr-CA" w:eastAsia="en-GB"/>
        </w:rPr>
        <w:t xml:space="preserve">de </w:t>
      </w:r>
      <w:r w:rsidR="00945DD1" w:rsidRPr="00702E8F">
        <w:rPr>
          <w:sz w:val="22"/>
          <w:szCs w:val="22"/>
          <w:lang w:val="fr-CA" w:eastAsia="en-GB"/>
        </w:rPr>
        <w:t xml:space="preserve">la planification, et </w:t>
      </w:r>
      <w:r w:rsidR="00AB567F">
        <w:rPr>
          <w:sz w:val="22"/>
          <w:szCs w:val="22"/>
          <w:lang w:val="fr-CA" w:eastAsia="en-GB"/>
        </w:rPr>
        <w:t xml:space="preserve">de </w:t>
      </w:r>
      <w:r w:rsidR="00945DD1" w:rsidRPr="00702E8F">
        <w:rPr>
          <w:sz w:val="22"/>
          <w:szCs w:val="22"/>
          <w:lang w:val="fr-CA" w:eastAsia="en-GB"/>
        </w:rPr>
        <w:t>l’eau et la salubrité. Dans certains cas, les pays pourraient avoir besoin de soutien technique</w:t>
      </w:r>
      <w:r w:rsidR="00FD4865" w:rsidRPr="00702E8F">
        <w:rPr>
          <w:sz w:val="22"/>
          <w:szCs w:val="22"/>
          <w:lang w:val="fr-CA" w:eastAsia="en-GB"/>
        </w:rPr>
        <w:t xml:space="preserve"> pour le développement de mécanismes et de plans de financement plus complexe</w:t>
      </w:r>
      <w:r w:rsidR="00AB567F">
        <w:rPr>
          <w:sz w:val="22"/>
          <w:szCs w:val="22"/>
          <w:lang w:val="fr-CA" w:eastAsia="en-GB"/>
        </w:rPr>
        <w:t>s et innovateurs. Les postes d’</w:t>
      </w:r>
      <w:r w:rsidR="00FD4865" w:rsidRPr="00702E8F">
        <w:rPr>
          <w:sz w:val="22"/>
          <w:szCs w:val="22"/>
          <w:lang w:val="fr-CA" w:eastAsia="en-GB"/>
        </w:rPr>
        <w:t>experts requis pourraient être créés et pourvus dans différents ministères et dans le secteur privé</w:t>
      </w:r>
      <w:r w:rsidR="00E453D1">
        <w:rPr>
          <w:sz w:val="22"/>
          <w:szCs w:val="22"/>
          <w:lang w:val="fr-CA" w:eastAsia="en-GB"/>
        </w:rPr>
        <w:t> </w:t>
      </w:r>
      <w:r w:rsidR="007F1A0D" w:rsidRPr="00702E8F">
        <w:rPr>
          <w:sz w:val="22"/>
          <w:szCs w:val="22"/>
          <w:lang w:val="fr-CA" w:eastAsia="en-GB"/>
        </w:rPr>
        <w:t>;</w:t>
      </w:r>
    </w:p>
    <w:p w14:paraId="6038C5F4" w14:textId="661491B7" w:rsidR="00A43CD6" w:rsidRPr="00702E8F" w:rsidRDefault="00A43CD6" w:rsidP="00A43CD6">
      <w:pPr>
        <w:spacing w:after="120"/>
        <w:ind w:firstLine="720"/>
        <w:jc w:val="both"/>
        <w:rPr>
          <w:sz w:val="22"/>
          <w:szCs w:val="22"/>
          <w:lang w:val="fr-CA" w:eastAsia="en-GB"/>
        </w:rPr>
      </w:pPr>
      <w:r w:rsidRPr="00702E8F">
        <w:rPr>
          <w:sz w:val="22"/>
          <w:szCs w:val="22"/>
          <w:lang w:val="fr-CA" w:eastAsia="en-GB"/>
        </w:rPr>
        <w:t>c)</w:t>
      </w:r>
      <w:r w:rsidRPr="00702E8F">
        <w:rPr>
          <w:sz w:val="22"/>
          <w:szCs w:val="22"/>
          <w:lang w:val="fr-CA" w:eastAsia="en-GB"/>
        </w:rPr>
        <w:tab/>
      </w:r>
      <w:r w:rsidR="00FD4865" w:rsidRPr="00702E8F">
        <w:rPr>
          <w:sz w:val="22"/>
          <w:szCs w:val="22"/>
          <w:lang w:val="fr-CA" w:eastAsia="en-GB"/>
        </w:rPr>
        <w:t>Le renforcement des capacités et l’assistance technique durable doivent comprendre</w:t>
      </w:r>
      <w:r w:rsidR="00E453D1">
        <w:rPr>
          <w:sz w:val="22"/>
          <w:szCs w:val="22"/>
          <w:lang w:val="fr-CA" w:eastAsia="en-GB"/>
        </w:rPr>
        <w:t> </w:t>
      </w:r>
      <w:r w:rsidRPr="00702E8F">
        <w:rPr>
          <w:sz w:val="22"/>
          <w:szCs w:val="22"/>
          <w:lang w:val="fr-CA" w:eastAsia="en-GB"/>
        </w:rPr>
        <w:t>:</w:t>
      </w:r>
    </w:p>
    <w:p w14:paraId="7D0F006C" w14:textId="3E26F6FE" w:rsidR="00A43CD6" w:rsidRPr="00702E8F" w:rsidRDefault="00A43CD6" w:rsidP="00A43CD6">
      <w:pPr>
        <w:spacing w:after="120"/>
        <w:ind w:left="1457" w:hanging="606"/>
        <w:jc w:val="both"/>
        <w:rPr>
          <w:sz w:val="22"/>
          <w:szCs w:val="22"/>
          <w:lang w:val="fr-CA" w:eastAsia="en-GB"/>
        </w:rPr>
      </w:pPr>
      <w:r w:rsidRPr="00702E8F">
        <w:rPr>
          <w:sz w:val="22"/>
          <w:szCs w:val="22"/>
          <w:lang w:val="fr-CA" w:eastAsia="en-GB"/>
        </w:rPr>
        <w:t>i)</w:t>
      </w:r>
      <w:r w:rsidRPr="00702E8F">
        <w:rPr>
          <w:sz w:val="22"/>
          <w:szCs w:val="22"/>
          <w:lang w:val="fr-CA" w:eastAsia="en-GB"/>
        </w:rPr>
        <w:tab/>
      </w:r>
      <w:r w:rsidR="00FD4865" w:rsidRPr="00702E8F">
        <w:rPr>
          <w:sz w:val="22"/>
          <w:szCs w:val="22"/>
          <w:lang w:val="fr-CA" w:eastAsia="en-GB"/>
        </w:rPr>
        <w:t>L’élaboration et la mise en œuvre de mécanismes de financement convenables et efficaces aux niveaux intern</w:t>
      </w:r>
      <w:r w:rsidR="009D589D" w:rsidRPr="00702E8F">
        <w:rPr>
          <w:sz w:val="22"/>
          <w:szCs w:val="22"/>
          <w:lang w:val="fr-CA" w:eastAsia="en-GB"/>
        </w:rPr>
        <w:t>a</w:t>
      </w:r>
      <w:r w:rsidR="00FD4865" w:rsidRPr="00702E8F">
        <w:rPr>
          <w:sz w:val="22"/>
          <w:szCs w:val="22"/>
          <w:lang w:val="fr-CA" w:eastAsia="en-GB"/>
        </w:rPr>
        <w:t>tional, national et infranational, comprenant sans s’y limiter, la réforme des politiques et juridique en appui aux changements transformationnels</w:t>
      </w:r>
      <w:r w:rsidR="00E453D1">
        <w:rPr>
          <w:sz w:val="22"/>
          <w:szCs w:val="22"/>
          <w:lang w:val="fr-CA" w:eastAsia="en-GB"/>
        </w:rPr>
        <w:t> </w:t>
      </w:r>
      <w:r w:rsidRPr="00702E8F">
        <w:rPr>
          <w:sz w:val="22"/>
          <w:szCs w:val="22"/>
          <w:lang w:val="fr-CA" w:eastAsia="en-GB"/>
        </w:rPr>
        <w:t>;</w:t>
      </w:r>
    </w:p>
    <w:p w14:paraId="439026D2" w14:textId="77DE3C1F" w:rsidR="00A43CD6" w:rsidRPr="00702E8F" w:rsidRDefault="00A43CD6" w:rsidP="00A43CD6">
      <w:pPr>
        <w:spacing w:after="120"/>
        <w:ind w:left="1457" w:hanging="606"/>
        <w:jc w:val="both"/>
        <w:rPr>
          <w:sz w:val="22"/>
          <w:szCs w:val="22"/>
          <w:lang w:val="fr-CA" w:eastAsia="en-GB"/>
        </w:rPr>
      </w:pPr>
      <w:r w:rsidRPr="00702E8F">
        <w:rPr>
          <w:sz w:val="22"/>
          <w:szCs w:val="22"/>
          <w:lang w:val="fr-CA" w:eastAsia="en-GB"/>
        </w:rPr>
        <w:t>ii)</w:t>
      </w:r>
      <w:r w:rsidRPr="00702E8F">
        <w:rPr>
          <w:sz w:val="22"/>
          <w:szCs w:val="22"/>
          <w:lang w:val="fr-CA" w:eastAsia="en-GB"/>
        </w:rPr>
        <w:tab/>
      </w:r>
      <w:r w:rsidR="009D589D" w:rsidRPr="00702E8F">
        <w:rPr>
          <w:sz w:val="22"/>
          <w:szCs w:val="22"/>
          <w:lang w:val="fr-CA" w:eastAsia="en-GB"/>
        </w:rPr>
        <w:t>L’élaboration et la mise en œuvre de plans de financement nationaux efficaces qui abordent suffisamment les trois volets stratégiques de la mobilisation des ressources</w:t>
      </w:r>
      <w:r w:rsidR="00E453D1">
        <w:rPr>
          <w:sz w:val="22"/>
          <w:szCs w:val="22"/>
          <w:lang w:val="fr-CA" w:eastAsia="en-GB"/>
        </w:rPr>
        <w:t> </w:t>
      </w:r>
      <w:r w:rsidRPr="00702E8F">
        <w:rPr>
          <w:sz w:val="22"/>
          <w:szCs w:val="22"/>
          <w:lang w:val="fr-CA" w:eastAsia="en-GB"/>
        </w:rPr>
        <w:t>;</w:t>
      </w:r>
      <w:r w:rsidRPr="00702E8F">
        <w:rPr>
          <w:sz w:val="22"/>
          <w:szCs w:val="22"/>
          <w:vertAlign w:val="superscript"/>
          <w:lang w:val="fr-CA" w:eastAsia="en-GB"/>
        </w:rPr>
        <w:footnoteReference w:id="45"/>
      </w:r>
    </w:p>
    <w:p w14:paraId="0C2E1C3C" w14:textId="23B566E7" w:rsidR="00A43CD6" w:rsidRPr="00702E8F" w:rsidRDefault="00A43CD6" w:rsidP="00A43CD6">
      <w:pPr>
        <w:spacing w:after="120"/>
        <w:ind w:left="1457" w:hanging="606"/>
        <w:jc w:val="both"/>
        <w:rPr>
          <w:sz w:val="22"/>
          <w:szCs w:val="22"/>
          <w:lang w:val="fr-CA" w:eastAsia="en-GB"/>
        </w:rPr>
      </w:pPr>
      <w:r w:rsidRPr="00702E8F">
        <w:rPr>
          <w:sz w:val="22"/>
          <w:szCs w:val="22"/>
          <w:lang w:val="fr-CA" w:eastAsia="en-GB"/>
        </w:rPr>
        <w:t>iii)</w:t>
      </w:r>
      <w:r w:rsidRPr="00702E8F">
        <w:rPr>
          <w:sz w:val="22"/>
          <w:szCs w:val="22"/>
          <w:lang w:val="fr-CA" w:eastAsia="en-GB"/>
        </w:rPr>
        <w:tab/>
      </w:r>
      <w:r w:rsidR="009D589D" w:rsidRPr="00702E8F">
        <w:rPr>
          <w:sz w:val="22"/>
          <w:szCs w:val="22"/>
          <w:lang w:val="fr-CA" w:eastAsia="en-GB"/>
        </w:rPr>
        <w:t>L’établissement des coûts des SPANB et autres plans semblables et la détermination des besoins de fina</w:t>
      </w:r>
      <w:r w:rsidR="00AB567F">
        <w:rPr>
          <w:sz w:val="22"/>
          <w:szCs w:val="22"/>
          <w:lang w:val="fr-CA" w:eastAsia="en-GB"/>
        </w:rPr>
        <w:t>ncement pour leur mise en œuvre</w:t>
      </w:r>
      <w:r w:rsidR="00E453D1">
        <w:rPr>
          <w:sz w:val="22"/>
          <w:szCs w:val="22"/>
          <w:lang w:val="fr-CA" w:eastAsia="en-GB"/>
        </w:rPr>
        <w:t> </w:t>
      </w:r>
      <w:r w:rsidR="00AB567F">
        <w:rPr>
          <w:sz w:val="22"/>
          <w:szCs w:val="22"/>
          <w:lang w:val="fr-CA" w:eastAsia="en-GB"/>
        </w:rPr>
        <w:t>;</w:t>
      </w:r>
    </w:p>
    <w:p w14:paraId="5FFDEA62" w14:textId="1215EB78" w:rsidR="00A43CD6" w:rsidRPr="00702E8F" w:rsidRDefault="00A43CD6" w:rsidP="00A43CD6">
      <w:pPr>
        <w:spacing w:after="120"/>
        <w:ind w:left="1457" w:hanging="606"/>
        <w:jc w:val="both"/>
        <w:rPr>
          <w:sz w:val="22"/>
          <w:szCs w:val="22"/>
          <w:lang w:val="fr-CA" w:eastAsia="en-GB"/>
        </w:rPr>
      </w:pPr>
      <w:r w:rsidRPr="00702E8F">
        <w:rPr>
          <w:sz w:val="22"/>
          <w:szCs w:val="22"/>
          <w:lang w:val="fr-CA" w:eastAsia="en-GB"/>
        </w:rPr>
        <w:lastRenderedPageBreak/>
        <w:t>iv)</w:t>
      </w:r>
      <w:r w:rsidRPr="00702E8F">
        <w:rPr>
          <w:sz w:val="22"/>
          <w:szCs w:val="22"/>
          <w:lang w:val="fr-CA" w:eastAsia="en-GB"/>
        </w:rPr>
        <w:tab/>
      </w:r>
      <w:r w:rsidR="009D589D" w:rsidRPr="00702E8F">
        <w:rPr>
          <w:sz w:val="22"/>
          <w:szCs w:val="22"/>
          <w:lang w:val="fr-CA" w:eastAsia="en-GB"/>
        </w:rPr>
        <w:t>L’évaluation et la comptabilité du capital naturel, et la mise en œuvre renforcée du Système de comptabilité environnementale et économique pour les écosystèm</w:t>
      </w:r>
      <w:r w:rsidR="00AB567F">
        <w:rPr>
          <w:sz w:val="22"/>
          <w:szCs w:val="22"/>
          <w:lang w:val="fr-CA" w:eastAsia="en-GB"/>
        </w:rPr>
        <w:t>es (comptabilité expérimentale)</w:t>
      </w:r>
      <w:r w:rsidR="00E453D1">
        <w:rPr>
          <w:sz w:val="22"/>
          <w:szCs w:val="22"/>
          <w:lang w:val="fr-CA" w:eastAsia="en-GB"/>
        </w:rPr>
        <w:t> </w:t>
      </w:r>
      <w:r w:rsidRPr="00702E8F">
        <w:rPr>
          <w:sz w:val="22"/>
          <w:szCs w:val="22"/>
          <w:lang w:val="fr-CA" w:eastAsia="en-GB"/>
        </w:rPr>
        <w:t>;</w:t>
      </w:r>
    </w:p>
    <w:p w14:paraId="2B15A179" w14:textId="3A7EDEBB" w:rsidR="00A43CD6" w:rsidRPr="00702E8F" w:rsidRDefault="00A43CD6" w:rsidP="00A43CD6">
      <w:pPr>
        <w:spacing w:after="120"/>
        <w:ind w:left="1457" w:hanging="606"/>
        <w:jc w:val="both"/>
        <w:rPr>
          <w:sz w:val="22"/>
          <w:szCs w:val="22"/>
          <w:lang w:val="fr-CA" w:eastAsia="en-GB"/>
        </w:rPr>
      </w:pPr>
      <w:r w:rsidRPr="00702E8F">
        <w:rPr>
          <w:sz w:val="22"/>
          <w:szCs w:val="22"/>
          <w:lang w:val="fr-CA" w:eastAsia="en-GB"/>
        </w:rPr>
        <w:t>v)</w:t>
      </w:r>
      <w:r w:rsidRPr="00702E8F">
        <w:rPr>
          <w:sz w:val="22"/>
          <w:szCs w:val="22"/>
          <w:lang w:val="fr-CA" w:eastAsia="en-GB"/>
        </w:rPr>
        <w:tab/>
      </w:r>
      <w:r w:rsidR="00BD553D" w:rsidRPr="00702E8F">
        <w:rPr>
          <w:sz w:val="22"/>
          <w:szCs w:val="22"/>
          <w:lang w:val="fr-CA" w:eastAsia="en-GB"/>
        </w:rPr>
        <w:t>L’élaboration de budgets axés sur les résultats pour les programmes et projets pour la biodiversité</w:t>
      </w:r>
      <w:r w:rsidR="00E453D1">
        <w:rPr>
          <w:sz w:val="22"/>
          <w:szCs w:val="22"/>
          <w:lang w:val="fr-CA" w:eastAsia="en-GB"/>
        </w:rPr>
        <w:t> </w:t>
      </w:r>
      <w:r w:rsidR="00BD553D" w:rsidRPr="00702E8F">
        <w:rPr>
          <w:sz w:val="22"/>
          <w:szCs w:val="22"/>
          <w:lang w:val="fr-CA" w:eastAsia="en-GB"/>
        </w:rPr>
        <w:t>; l’utilisation du marquage budgétaire comme moyen d’identifier, de recueillir des données de référence et de suivre le</w:t>
      </w:r>
      <w:r w:rsidR="00AB567F">
        <w:rPr>
          <w:sz w:val="22"/>
          <w:szCs w:val="22"/>
          <w:lang w:val="fr-CA" w:eastAsia="en-GB"/>
        </w:rPr>
        <w:t>s dépenses pour la biodiversité</w:t>
      </w:r>
      <w:r w:rsidR="00E453D1">
        <w:rPr>
          <w:sz w:val="22"/>
          <w:szCs w:val="22"/>
          <w:lang w:val="fr-CA" w:eastAsia="en-GB"/>
        </w:rPr>
        <w:t> </w:t>
      </w:r>
      <w:r w:rsidRPr="00702E8F">
        <w:rPr>
          <w:sz w:val="22"/>
          <w:szCs w:val="22"/>
          <w:lang w:val="fr-CA" w:eastAsia="en-GB"/>
        </w:rPr>
        <w:t>;</w:t>
      </w:r>
    </w:p>
    <w:p w14:paraId="55B01AE6" w14:textId="41276B0E" w:rsidR="009C18A0" w:rsidRPr="00702E8F" w:rsidRDefault="0060355B" w:rsidP="00EC07F9">
      <w:pPr>
        <w:spacing w:before="120" w:after="120"/>
        <w:ind w:firstLine="720"/>
        <w:jc w:val="both"/>
        <w:rPr>
          <w:sz w:val="22"/>
          <w:szCs w:val="22"/>
          <w:lang w:val="fr-CA" w:eastAsia="en-GB"/>
        </w:rPr>
      </w:pPr>
      <w:r w:rsidRPr="00702E8F">
        <w:rPr>
          <w:sz w:val="22"/>
          <w:szCs w:val="22"/>
          <w:lang w:val="fr-CA" w:eastAsia="en-GB"/>
        </w:rPr>
        <w:t>d</w:t>
      </w:r>
      <w:r w:rsidR="00D4287C" w:rsidRPr="00702E8F">
        <w:rPr>
          <w:sz w:val="22"/>
          <w:szCs w:val="22"/>
          <w:lang w:val="fr-CA" w:eastAsia="en-GB"/>
        </w:rPr>
        <w:t>)</w:t>
      </w:r>
      <w:r w:rsidR="00D4287C" w:rsidRPr="00702E8F">
        <w:rPr>
          <w:sz w:val="22"/>
          <w:szCs w:val="22"/>
          <w:lang w:val="fr-CA" w:eastAsia="en-GB"/>
        </w:rPr>
        <w:tab/>
      </w:r>
      <w:r w:rsidR="002B52EA" w:rsidRPr="00702E8F">
        <w:rPr>
          <w:sz w:val="22"/>
          <w:szCs w:val="22"/>
          <w:lang w:val="fr-CA" w:eastAsia="en-GB"/>
        </w:rPr>
        <w:t>I</w:t>
      </w:r>
      <w:r w:rsidR="00066842" w:rsidRPr="00702E8F">
        <w:rPr>
          <w:sz w:val="22"/>
          <w:szCs w:val="22"/>
          <w:lang w:val="fr-CA" w:eastAsia="en-GB"/>
        </w:rPr>
        <w:t>l fa</w:t>
      </w:r>
      <w:r w:rsidR="002B52EA" w:rsidRPr="00702E8F">
        <w:rPr>
          <w:sz w:val="22"/>
          <w:szCs w:val="22"/>
          <w:lang w:val="fr-CA" w:eastAsia="en-GB"/>
        </w:rPr>
        <w:t xml:space="preserve">ut développer davantage les initiatives existantes telles que </w:t>
      </w:r>
      <w:proofErr w:type="spellStart"/>
      <w:r w:rsidR="002B52EA" w:rsidRPr="00702E8F">
        <w:rPr>
          <w:sz w:val="22"/>
          <w:szCs w:val="22"/>
          <w:lang w:val="fr-CA" w:eastAsia="en-GB"/>
        </w:rPr>
        <w:t>BIOFIN</w:t>
      </w:r>
      <w:proofErr w:type="spellEnd"/>
      <w:r w:rsidR="002B52EA" w:rsidRPr="00702E8F">
        <w:rPr>
          <w:sz w:val="22"/>
          <w:szCs w:val="22"/>
          <w:lang w:val="fr-CA" w:eastAsia="en-GB"/>
        </w:rPr>
        <w:t xml:space="preserve"> et autres afin d’offrir du renforcement des capacités et de l’assistance tec</w:t>
      </w:r>
      <w:r w:rsidR="00066842" w:rsidRPr="00702E8F">
        <w:rPr>
          <w:sz w:val="22"/>
          <w:szCs w:val="22"/>
          <w:lang w:val="fr-CA" w:eastAsia="en-GB"/>
        </w:rPr>
        <w:t xml:space="preserve">hnique aux pays </w:t>
      </w:r>
      <w:r w:rsidR="00AB567F">
        <w:rPr>
          <w:sz w:val="22"/>
          <w:szCs w:val="22"/>
          <w:lang w:val="fr-CA" w:eastAsia="en-GB"/>
        </w:rPr>
        <w:t>pour</w:t>
      </w:r>
      <w:r w:rsidR="00066842" w:rsidRPr="00702E8F">
        <w:rPr>
          <w:sz w:val="22"/>
          <w:szCs w:val="22"/>
          <w:lang w:val="fr-CA" w:eastAsia="en-GB"/>
        </w:rPr>
        <w:t xml:space="preserve"> qu’ils élaborent et </w:t>
      </w:r>
      <w:r w:rsidR="00AB567F">
        <w:rPr>
          <w:sz w:val="22"/>
          <w:szCs w:val="22"/>
          <w:lang w:val="fr-CA" w:eastAsia="en-GB"/>
        </w:rPr>
        <w:t>m</w:t>
      </w:r>
      <w:r w:rsidR="00B64BD7">
        <w:rPr>
          <w:sz w:val="22"/>
          <w:szCs w:val="22"/>
          <w:lang w:val="fr-CA" w:eastAsia="en-GB"/>
        </w:rPr>
        <w:t>ettent</w:t>
      </w:r>
      <w:r w:rsidR="00066842" w:rsidRPr="00702E8F">
        <w:rPr>
          <w:sz w:val="22"/>
          <w:szCs w:val="22"/>
          <w:lang w:val="fr-CA" w:eastAsia="en-GB"/>
        </w:rPr>
        <w:t xml:space="preserve"> en œuvre des plans nationaux de financement de la biodiversité</w:t>
      </w:r>
      <w:r w:rsidR="00E453D1">
        <w:rPr>
          <w:sz w:val="22"/>
          <w:szCs w:val="22"/>
          <w:lang w:val="fr-CA" w:eastAsia="en-GB"/>
        </w:rPr>
        <w:t> </w:t>
      </w:r>
      <w:r w:rsidR="007F1A0D" w:rsidRPr="00702E8F">
        <w:rPr>
          <w:sz w:val="22"/>
          <w:szCs w:val="22"/>
          <w:lang w:val="fr-CA" w:eastAsia="en-GB"/>
        </w:rPr>
        <w:t>;</w:t>
      </w:r>
    </w:p>
    <w:p w14:paraId="2843446E" w14:textId="3E7A1004" w:rsidR="00762E32" w:rsidRPr="00702E8F" w:rsidRDefault="0060355B" w:rsidP="00EC07F9">
      <w:pPr>
        <w:spacing w:before="120" w:after="120"/>
        <w:ind w:firstLine="720"/>
        <w:jc w:val="both"/>
        <w:rPr>
          <w:sz w:val="22"/>
          <w:szCs w:val="22"/>
          <w:lang w:val="fr-CA" w:eastAsia="en-GB"/>
        </w:rPr>
      </w:pPr>
      <w:r w:rsidRPr="00702E8F">
        <w:rPr>
          <w:sz w:val="22"/>
          <w:szCs w:val="22"/>
          <w:lang w:val="fr-CA" w:eastAsia="en-GB"/>
        </w:rPr>
        <w:t>e</w:t>
      </w:r>
      <w:r w:rsidR="00D4287C" w:rsidRPr="00702E8F">
        <w:rPr>
          <w:sz w:val="22"/>
          <w:szCs w:val="22"/>
          <w:lang w:val="fr-CA" w:eastAsia="en-GB"/>
        </w:rPr>
        <w:t>)</w:t>
      </w:r>
      <w:r w:rsidR="00D4287C" w:rsidRPr="00702E8F">
        <w:rPr>
          <w:sz w:val="22"/>
          <w:szCs w:val="22"/>
          <w:lang w:val="fr-CA" w:eastAsia="en-GB"/>
        </w:rPr>
        <w:tab/>
      </w:r>
      <w:r w:rsidR="00066842" w:rsidRPr="00702E8F">
        <w:rPr>
          <w:sz w:val="22"/>
          <w:szCs w:val="22"/>
          <w:lang w:val="fr-CA" w:eastAsia="en-GB"/>
        </w:rPr>
        <w:t>Le transfert de connaissances et le renforcement des capacités devraient être augmentés à plus grande éch</w:t>
      </w:r>
      <w:r w:rsidR="00A60C42" w:rsidRPr="00702E8F">
        <w:rPr>
          <w:sz w:val="22"/>
          <w:szCs w:val="22"/>
          <w:lang w:val="fr-CA" w:eastAsia="en-GB"/>
        </w:rPr>
        <w:t>e</w:t>
      </w:r>
      <w:r w:rsidR="00066842" w:rsidRPr="00702E8F">
        <w:rPr>
          <w:sz w:val="22"/>
          <w:szCs w:val="22"/>
          <w:lang w:val="fr-CA" w:eastAsia="en-GB"/>
        </w:rPr>
        <w:t>lle dans les secteur</w:t>
      </w:r>
      <w:r w:rsidR="00E453D1">
        <w:rPr>
          <w:sz w:val="22"/>
          <w:szCs w:val="22"/>
          <w:lang w:val="fr-CA" w:eastAsia="en-GB"/>
        </w:rPr>
        <w:t>s</w:t>
      </w:r>
      <w:r w:rsidR="00066842" w:rsidRPr="00702E8F">
        <w:rPr>
          <w:sz w:val="22"/>
          <w:szCs w:val="22"/>
          <w:lang w:val="fr-CA" w:eastAsia="en-GB"/>
        </w:rPr>
        <w:t xml:space="preserve"> des affaires et financier afin de développer une compréhension commune des difficultés et des occasions liées à la biodiversité, et de faciliter l’élaboration de méthodologies, de systèmes et de mesures pour intégrer complètement la biodiversité </w:t>
      </w:r>
      <w:r w:rsidR="00B64BD7">
        <w:rPr>
          <w:sz w:val="22"/>
          <w:szCs w:val="22"/>
          <w:lang w:val="fr-CA" w:eastAsia="en-GB"/>
        </w:rPr>
        <w:t>aux</w:t>
      </w:r>
      <w:r w:rsidR="00066842" w:rsidRPr="00702E8F">
        <w:rPr>
          <w:sz w:val="22"/>
          <w:szCs w:val="22"/>
          <w:lang w:val="fr-CA" w:eastAsia="en-GB"/>
        </w:rPr>
        <w:t xml:space="preserve"> secteurs des affaires et financier</w:t>
      </w:r>
      <w:r w:rsidR="00E453D1">
        <w:rPr>
          <w:sz w:val="22"/>
          <w:szCs w:val="22"/>
          <w:lang w:val="fr-CA" w:eastAsia="en-GB"/>
        </w:rPr>
        <w:t> </w:t>
      </w:r>
      <w:r w:rsidR="007F1A0D" w:rsidRPr="00702E8F">
        <w:rPr>
          <w:sz w:val="22"/>
          <w:szCs w:val="22"/>
          <w:lang w:val="fr-CA" w:eastAsia="en-GB"/>
        </w:rPr>
        <w:t>;</w:t>
      </w:r>
    </w:p>
    <w:p w14:paraId="4B0FB631" w14:textId="2EBE1A2B" w:rsidR="00471AC9" w:rsidRPr="00702E8F" w:rsidRDefault="0060355B" w:rsidP="00EC07F9">
      <w:pPr>
        <w:spacing w:before="120" w:after="120"/>
        <w:ind w:firstLine="720"/>
        <w:jc w:val="both"/>
        <w:rPr>
          <w:sz w:val="22"/>
          <w:szCs w:val="22"/>
          <w:lang w:val="fr-CA" w:eastAsia="en-GB"/>
        </w:rPr>
      </w:pPr>
      <w:r w:rsidRPr="00702E8F">
        <w:rPr>
          <w:sz w:val="22"/>
          <w:szCs w:val="22"/>
          <w:lang w:val="fr-CA" w:eastAsia="en-GB"/>
        </w:rPr>
        <w:t>f</w:t>
      </w:r>
      <w:r w:rsidR="00D4287C" w:rsidRPr="00702E8F">
        <w:rPr>
          <w:sz w:val="22"/>
          <w:szCs w:val="22"/>
          <w:lang w:val="fr-CA" w:eastAsia="en-GB"/>
        </w:rPr>
        <w:t>)</w:t>
      </w:r>
      <w:r w:rsidR="00D4287C" w:rsidRPr="00702E8F">
        <w:rPr>
          <w:sz w:val="22"/>
          <w:szCs w:val="22"/>
          <w:lang w:val="fr-CA" w:eastAsia="en-GB"/>
        </w:rPr>
        <w:tab/>
      </w:r>
      <w:r w:rsidR="00066842" w:rsidRPr="00702E8F">
        <w:rPr>
          <w:sz w:val="22"/>
          <w:szCs w:val="22"/>
          <w:lang w:val="fr-CA" w:eastAsia="en-GB"/>
        </w:rPr>
        <w:t>F</w:t>
      </w:r>
      <w:r w:rsidR="00A60C42" w:rsidRPr="00702E8F">
        <w:rPr>
          <w:sz w:val="22"/>
          <w:szCs w:val="22"/>
          <w:lang w:val="fr-CA" w:eastAsia="en-GB"/>
        </w:rPr>
        <w:t>inalement, il sera impor</w:t>
      </w:r>
      <w:r w:rsidR="00066842" w:rsidRPr="00702E8F">
        <w:rPr>
          <w:sz w:val="22"/>
          <w:szCs w:val="22"/>
          <w:lang w:val="fr-CA" w:eastAsia="en-GB"/>
        </w:rPr>
        <w:t>tant de développer les capacités des développeurs de projets locaux et de l’industrie financière locale afin de créer des projets dans</w:t>
      </w:r>
      <w:r w:rsidR="00A60C42" w:rsidRPr="00702E8F">
        <w:rPr>
          <w:sz w:val="22"/>
          <w:szCs w:val="22"/>
          <w:lang w:val="fr-CA" w:eastAsia="en-GB"/>
        </w:rPr>
        <w:t xml:space="preserve"> </w:t>
      </w:r>
      <w:r w:rsidR="00066842" w:rsidRPr="00702E8F">
        <w:rPr>
          <w:sz w:val="22"/>
          <w:szCs w:val="22"/>
          <w:lang w:val="fr-CA" w:eastAsia="en-GB"/>
        </w:rPr>
        <w:t>lesquels investir</w:t>
      </w:r>
      <w:r w:rsidR="00A60C42" w:rsidRPr="00702E8F">
        <w:rPr>
          <w:sz w:val="22"/>
          <w:szCs w:val="22"/>
          <w:lang w:val="fr-CA" w:eastAsia="en-GB"/>
        </w:rPr>
        <w:t xml:space="preserve"> ayant des impacts positifs clairs et mesurables sur la biodiversité</w:t>
      </w:r>
      <w:r w:rsidR="00762E32" w:rsidRPr="00702E8F">
        <w:rPr>
          <w:sz w:val="22"/>
          <w:szCs w:val="22"/>
          <w:lang w:val="fr-CA" w:eastAsia="en-GB"/>
        </w:rPr>
        <w:t>.</w:t>
      </w:r>
    </w:p>
    <w:bookmarkEnd w:id="5"/>
    <w:p w14:paraId="3F859E04" w14:textId="4BF9A591" w:rsidR="009C18A0" w:rsidRPr="00702E8F" w:rsidRDefault="00A60C42" w:rsidP="003D01D2">
      <w:pPr>
        <w:pStyle w:val="Para1"/>
        <w:keepNext/>
        <w:numPr>
          <w:ilvl w:val="0"/>
          <w:numId w:val="58"/>
        </w:numPr>
        <w:suppressLineNumbers/>
        <w:suppressAutoHyphens/>
        <w:spacing w:before="120"/>
        <w:ind w:left="0" w:firstLine="0"/>
        <w:jc w:val="both"/>
        <w:rPr>
          <w:sz w:val="22"/>
          <w:szCs w:val="22"/>
          <w:lang w:val="fr-CA" w:eastAsia="en-GB"/>
        </w:rPr>
      </w:pPr>
      <w:r w:rsidRPr="00702E8F">
        <w:rPr>
          <w:b/>
          <w:bCs/>
          <w:sz w:val="22"/>
          <w:szCs w:val="22"/>
          <w:lang w:val="fr-CA" w:eastAsia="en-GB"/>
        </w:rPr>
        <w:t>Améliorer l’efficacité et l’efficience du flux et de l’acquisition du financement international pour le développement</w:t>
      </w:r>
      <w:r w:rsidR="00E453D1">
        <w:rPr>
          <w:b/>
          <w:bCs/>
          <w:sz w:val="22"/>
          <w:szCs w:val="22"/>
          <w:lang w:val="fr-CA" w:eastAsia="en-GB"/>
        </w:rPr>
        <w:t> </w:t>
      </w:r>
      <w:r w:rsidR="003617BA" w:rsidRPr="00702E8F">
        <w:rPr>
          <w:b/>
          <w:bCs/>
          <w:sz w:val="22"/>
          <w:szCs w:val="22"/>
          <w:lang w:val="fr-CA" w:eastAsia="en-GB"/>
        </w:rPr>
        <w:t>:</w:t>
      </w:r>
    </w:p>
    <w:p w14:paraId="040BD852" w14:textId="43517A6D" w:rsidR="009C18A0" w:rsidRPr="00702E8F" w:rsidRDefault="00A60C42" w:rsidP="00F437FD">
      <w:pPr>
        <w:pStyle w:val="Paragraphedeliste"/>
        <w:numPr>
          <w:ilvl w:val="0"/>
          <w:numId w:val="53"/>
        </w:numPr>
        <w:spacing w:before="120" w:after="120"/>
        <w:ind w:left="0" w:firstLine="720"/>
        <w:jc w:val="both"/>
        <w:rPr>
          <w:sz w:val="22"/>
          <w:szCs w:val="22"/>
          <w:lang w:val="fr-CA" w:eastAsia="en-GB"/>
        </w:rPr>
      </w:pPr>
      <w:r w:rsidRPr="00702E8F">
        <w:rPr>
          <w:sz w:val="22"/>
          <w:szCs w:val="22"/>
          <w:lang w:val="fr-CA" w:eastAsia="en-GB"/>
        </w:rPr>
        <w:t>Les contributions des donateurs doivent être coordonnées le plus possible afin de garantir que le financement international pour le développement destiné à la biodiversité est stratégiqu</w:t>
      </w:r>
      <w:r w:rsidR="00F437FD" w:rsidRPr="00702E8F">
        <w:rPr>
          <w:sz w:val="22"/>
          <w:szCs w:val="22"/>
          <w:lang w:val="fr-CA" w:eastAsia="en-GB"/>
        </w:rPr>
        <w:t>em</w:t>
      </w:r>
      <w:r w:rsidRPr="00702E8F">
        <w:rPr>
          <w:sz w:val="22"/>
          <w:szCs w:val="22"/>
          <w:lang w:val="fr-CA" w:eastAsia="en-GB"/>
        </w:rPr>
        <w:t xml:space="preserve">ent ciblé et </w:t>
      </w:r>
      <w:r w:rsidR="00910EF8">
        <w:rPr>
          <w:sz w:val="22"/>
          <w:szCs w:val="22"/>
          <w:lang w:val="fr-CA" w:eastAsia="en-GB"/>
        </w:rPr>
        <w:t>de tenter de</w:t>
      </w:r>
      <w:r w:rsidRPr="00702E8F">
        <w:rPr>
          <w:sz w:val="22"/>
          <w:szCs w:val="22"/>
          <w:lang w:val="fr-CA" w:eastAsia="en-GB"/>
        </w:rPr>
        <w:t xml:space="preserve"> créer des synergies complémentaires à l’échelle des contributions des donateurs </w:t>
      </w:r>
      <w:r w:rsidR="00910EF8">
        <w:rPr>
          <w:sz w:val="22"/>
          <w:szCs w:val="22"/>
          <w:lang w:val="fr-CA" w:eastAsia="en-GB"/>
        </w:rPr>
        <w:t>dans le but</w:t>
      </w:r>
      <w:r w:rsidRPr="00702E8F">
        <w:rPr>
          <w:sz w:val="22"/>
          <w:szCs w:val="22"/>
          <w:lang w:val="fr-CA" w:eastAsia="en-GB"/>
        </w:rPr>
        <w:t xml:space="preserve"> d’obtenir de</w:t>
      </w:r>
      <w:r w:rsidR="00F437FD" w:rsidRPr="00702E8F">
        <w:rPr>
          <w:sz w:val="22"/>
          <w:szCs w:val="22"/>
          <w:lang w:val="fr-CA" w:eastAsia="en-GB"/>
        </w:rPr>
        <w:t>s résultats positifs pour la bi</w:t>
      </w:r>
      <w:r w:rsidRPr="00702E8F">
        <w:rPr>
          <w:sz w:val="22"/>
          <w:szCs w:val="22"/>
          <w:lang w:val="fr-CA" w:eastAsia="en-GB"/>
        </w:rPr>
        <w:t>odiversité</w:t>
      </w:r>
      <w:r w:rsidR="00E453D1">
        <w:rPr>
          <w:sz w:val="22"/>
          <w:szCs w:val="22"/>
          <w:lang w:val="fr-CA" w:eastAsia="en-GB"/>
        </w:rPr>
        <w:t> </w:t>
      </w:r>
      <w:r w:rsidR="001F3EA3" w:rsidRPr="00702E8F">
        <w:rPr>
          <w:sz w:val="22"/>
          <w:szCs w:val="22"/>
          <w:lang w:val="fr-CA" w:eastAsia="en-GB"/>
        </w:rPr>
        <w:t>;</w:t>
      </w:r>
    </w:p>
    <w:p w14:paraId="55768599" w14:textId="512F9DB2"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F437FD" w:rsidRPr="00702E8F">
        <w:rPr>
          <w:sz w:val="22"/>
          <w:szCs w:val="22"/>
          <w:lang w:val="fr-CA" w:eastAsia="en-GB"/>
        </w:rPr>
        <w:t xml:space="preserve">Les donateurs et les principaux décideurs doivent tenir compte du délai entre l’investissement et la réalisation de l’impact, et doivent prévoir un </w:t>
      </w:r>
      <w:r w:rsidR="00677D99">
        <w:rPr>
          <w:sz w:val="22"/>
          <w:szCs w:val="22"/>
          <w:lang w:val="fr-CA" w:eastAsia="en-GB"/>
        </w:rPr>
        <w:t>délai</w:t>
      </w:r>
      <w:r w:rsidR="00F437FD" w:rsidRPr="00702E8F">
        <w:rPr>
          <w:sz w:val="22"/>
          <w:szCs w:val="22"/>
          <w:lang w:val="fr-CA" w:eastAsia="en-GB"/>
        </w:rPr>
        <w:t xml:space="preserve"> de planification des programmes et projets plus long et plu</w:t>
      </w:r>
      <w:r w:rsidR="00910EF8">
        <w:rPr>
          <w:sz w:val="22"/>
          <w:szCs w:val="22"/>
          <w:lang w:val="fr-CA" w:eastAsia="en-GB"/>
        </w:rPr>
        <w:t>s réaliste. Une période de cinq à</w:t>
      </w:r>
      <w:r w:rsidR="00F437FD" w:rsidRPr="00702E8F">
        <w:rPr>
          <w:sz w:val="22"/>
          <w:szCs w:val="22"/>
          <w:lang w:val="fr-CA" w:eastAsia="en-GB"/>
        </w:rPr>
        <w:t xml:space="preserve"> dix ans a été suggéré</w:t>
      </w:r>
      <w:r w:rsidR="00910EF8">
        <w:rPr>
          <w:sz w:val="22"/>
          <w:szCs w:val="22"/>
          <w:lang w:val="fr-CA" w:eastAsia="en-GB"/>
        </w:rPr>
        <w:t>e</w:t>
      </w:r>
      <w:r w:rsidR="00F437FD" w:rsidRPr="00702E8F">
        <w:rPr>
          <w:sz w:val="22"/>
          <w:szCs w:val="22"/>
          <w:lang w:val="fr-CA" w:eastAsia="en-GB"/>
        </w:rPr>
        <w:t xml:space="preserve"> comme échéance plus réaliste et utile que les échéanciers plus courts</w:t>
      </w:r>
      <w:r w:rsidR="00E453D1">
        <w:rPr>
          <w:sz w:val="22"/>
          <w:szCs w:val="22"/>
          <w:lang w:val="fr-CA" w:eastAsia="en-GB"/>
        </w:rPr>
        <w:t> </w:t>
      </w:r>
      <w:r w:rsidR="00B77D0D">
        <w:rPr>
          <w:sz w:val="22"/>
          <w:szCs w:val="22"/>
          <w:lang w:val="fr-CA" w:eastAsia="en-GB"/>
        </w:rPr>
        <w:t>;</w:t>
      </w:r>
    </w:p>
    <w:p w14:paraId="1E1BFF6E" w14:textId="601DE8DA"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c)</w:t>
      </w:r>
      <w:r w:rsidRPr="00702E8F">
        <w:rPr>
          <w:sz w:val="22"/>
          <w:szCs w:val="22"/>
          <w:lang w:val="fr-CA" w:eastAsia="en-GB"/>
        </w:rPr>
        <w:tab/>
      </w:r>
      <w:r w:rsidR="00BD32CA" w:rsidRPr="00702E8F">
        <w:rPr>
          <w:sz w:val="22"/>
          <w:szCs w:val="22"/>
          <w:lang w:val="fr-CA" w:eastAsia="en-GB"/>
        </w:rPr>
        <w:t xml:space="preserve">Le financement international pour le développement doit surtout mettre l’accent sur </w:t>
      </w:r>
      <w:r w:rsidR="00677D99">
        <w:rPr>
          <w:sz w:val="22"/>
          <w:szCs w:val="22"/>
          <w:lang w:val="fr-CA" w:eastAsia="en-GB"/>
        </w:rPr>
        <w:t>l’accélération</w:t>
      </w:r>
      <w:r w:rsidR="00BD32CA" w:rsidRPr="00702E8F">
        <w:rPr>
          <w:sz w:val="22"/>
          <w:szCs w:val="22"/>
          <w:lang w:val="fr-CA" w:eastAsia="en-GB"/>
        </w:rPr>
        <w:t xml:space="preserve"> de la mobilisation de nouvelles ressources privées et publiques supplémentaires</w:t>
      </w:r>
      <w:r w:rsidR="001F2505" w:rsidRPr="00702E8F">
        <w:rPr>
          <w:sz w:val="22"/>
          <w:szCs w:val="22"/>
          <w:lang w:val="fr-CA" w:eastAsia="en-GB"/>
        </w:rPr>
        <w:t xml:space="preserve"> et le r</w:t>
      </w:r>
      <w:r w:rsidR="00BD32CA" w:rsidRPr="00702E8F">
        <w:rPr>
          <w:sz w:val="22"/>
          <w:szCs w:val="22"/>
          <w:lang w:val="fr-CA" w:eastAsia="en-GB"/>
        </w:rPr>
        <w:t xml:space="preserve">enforcement des capacités à tous les niveaux de gouvernement, en soutien à la réforme des politiques et des réglementations. Une attention doit aussi être accordée aux besoins particuliers exprimés </w:t>
      </w:r>
      <w:r w:rsidR="00677D99">
        <w:rPr>
          <w:sz w:val="22"/>
          <w:szCs w:val="22"/>
          <w:lang w:val="fr-CA" w:eastAsia="en-GB"/>
        </w:rPr>
        <w:t>par les peuples autochtones et l</w:t>
      </w:r>
      <w:r w:rsidR="00BD32CA" w:rsidRPr="00702E8F">
        <w:rPr>
          <w:sz w:val="22"/>
          <w:szCs w:val="22"/>
          <w:lang w:val="fr-CA" w:eastAsia="en-GB"/>
        </w:rPr>
        <w:t xml:space="preserve">es communautés locales, et l’information sur les </w:t>
      </w:r>
      <w:r w:rsidR="001F2505" w:rsidRPr="00702E8F">
        <w:rPr>
          <w:sz w:val="22"/>
          <w:szCs w:val="22"/>
          <w:lang w:val="fr-CA" w:eastAsia="en-GB"/>
        </w:rPr>
        <w:t>occasions de financement devrait leur être communiquée à plus grande échelle</w:t>
      </w:r>
      <w:r w:rsidR="00E453D1">
        <w:rPr>
          <w:sz w:val="22"/>
          <w:szCs w:val="22"/>
          <w:lang w:val="fr-CA" w:eastAsia="en-GB"/>
        </w:rPr>
        <w:t> </w:t>
      </w:r>
      <w:r w:rsidR="001F3EA3" w:rsidRPr="00702E8F">
        <w:rPr>
          <w:sz w:val="22"/>
          <w:szCs w:val="22"/>
          <w:lang w:val="fr-CA" w:eastAsia="en-GB"/>
        </w:rPr>
        <w:t>;</w:t>
      </w:r>
    </w:p>
    <w:p w14:paraId="5EAFCDA7" w14:textId="60D93B46"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d)</w:t>
      </w:r>
      <w:r w:rsidRPr="00702E8F">
        <w:rPr>
          <w:sz w:val="22"/>
          <w:szCs w:val="22"/>
          <w:lang w:val="fr-CA" w:eastAsia="en-GB"/>
        </w:rPr>
        <w:tab/>
      </w:r>
      <w:r w:rsidR="001F2505" w:rsidRPr="00702E8F">
        <w:rPr>
          <w:sz w:val="22"/>
          <w:szCs w:val="22"/>
          <w:lang w:val="fr-CA" w:eastAsia="en-GB"/>
        </w:rPr>
        <w:t>Le Fonds pour l’environnement mondial (FEM), en tant que mécanisme de financement de la Convention, doit demeurer un acteur clé de la mobilisation de ressources pour la mise en œuvre de la Convention</w:t>
      </w:r>
      <w:r w:rsidR="009C18A0" w:rsidRPr="00702E8F">
        <w:rPr>
          <w:sz w:val="22"/>
          <w:szCs w:val="22"/>
          <w:lang w:val="fr-CA" w:eastAsia="en-GB"/>
        </w:rPr>
        <w:t>.</w:t>
      </w:r>
      <w:r w:rsidR="009C18A0" w:rsidRPr="00702E8F">
        <w:rPr>
          <w:sz w:val="22"/>
          <w:szCs w:val="22"/>
          <w:vertAlign w:val="superscript"/>
          <w:lang w:val="fr-CA" w:eastAsia="en-GB"/>
        </w:rPr>
        <w:footnoteReference w:id="46"/>
      </w:r>
      <w:r w:rsidR="009C18A0" w:rsidRPr="00702E8F">
        <w:rPr>
          <w:sz w:val="22"/>
          <w:szCs w:val="22"/>
          <w:vertAlign w:val="superscript"/>
          <w:lang w:val="fr-CA" w:eastAsia="en-GB"/>
        </w:rPr>
        <w:t>,</w:t>
      </w:r>
      <w:r w:rsidR="00A43077" w:rsidRPr="00702E8F">
        <w:rPr>
          <w:sz w:val="22"/>
          <w:szCs w:val="22"/>
          <w:vertAlign w:val="superscript"/>
          <w:lang w:val="fr-CA" w:eastAsia="en-GB"/>
        </w:rPr>
        <w:t xml:space="preserve"> </w:t>
      </w:r>
      <w:r w:rsidR="009C18A0" w:rsidRPr="00702E8F">
        <w:rPr>
          <w:sz w:val="22"/>
          <w:szCs w:val="22"/>
          <w:vertAlign w:val="superscript"/>
          <w:lang w:val="fr-CA" w:eastAsia="en-GB"/>
        </w:rPr>
        <w:footnoteReference w:id="47"/>
      </w:r>
      <w:r w:rsidR="009C18A0" w:rsidRPr="00702E8F">
        <w:rPr>
          <w:sz w:val="22"/>
          <w:szCs w:val="22"/>
          <w:lang w:val="fr-CA" w:eastAsia="en-GB"/>
        </w:rPr>
        <w:t xml:space="preserve"> </w:t>
      </w:r>
      <w:r w:rsidR="001F2505" w:rsidRPr="00702E8F">
        <w:rPr>
          <w:sz w:val="22"/>
          <w:szCs w:val="22"/>
          <w:lang w:val="fr-CA" w:eastAsia="en-GB"/>
        </w:rPr>
        <w:t>Le FEM a un rôle important à jouer dans l’intégration de la biodiversité aux efforts de développement et pour assurer une utilisation efficace d</w:t>
      </w:r>
      <w:r w:rsidR="00677D99">
        <w:rPr>
          <w:sz w:val="22"/>
          <w:szCs w:val="22"/>
          <w:lang w:val="fr-CA" w:eastAsia="en-GB"/>
        </w:rPr>
        <w:t>es ressources. Les liens entre l</w:t>
      </w:r>
      <w:r w:rsidR="001F2505" w:rsidRPr="00702E8F">
        <w:rPr>
          <w:sz w:val="22"/>
          <w:szCs w:val="22"/>
          <w:lang w:val="fr-CA" w:eastAsia="en-GB"/>
        </w:rPr>
        <w:t>e FEM et le Fonds vert pour le climat (</w:t>
      </w:r>
      <w:proofErr w:type="spellStart"/>
      <w:r w:rsidR="001F2505" w:rsidRPr="00702E8F">
        <w:rPr>
          <w:sz w:val="22"/>
          <w:szCs w:val="22"/>
          <w:lang w:val="fr-CA" w:eastAsia="en-GB"/>
        </w:rPr>
        <w:t>FVC</w:t>
      </w:r>
      <w:proofErr w:type="spellEnd"/>
      <w:r w:rsidR="001F2505" w:rsidRPr="00702E8F">
        <w:rPr>
          <w:sz w:val="22"/>
          <w:szCs w:val="22"/>
          <w:lang w:val="fr-CA" w:eastAsia="en-GB"/>
        </w:rPr>
        <w:t>) devraient être renforcés</w:t>
      </w:r>
      <w:r w:rsidR="00E453D1">
        <w:rPr>
          <w:sz w:val="22"/>
          <w:szCs w:val="22"/>
          <w:lang w:val="fr-CA" w:eastAsia="en-GB"/>
        </w:rPr>
        <w:t> </w:t>
      </w:r>
      <w:r w:rsidR="001F3EA3" w:rsidRPr="00702E8F">
        <w:rPr>
          <w:sz w:val="22"/>
          <w:szCs w:val="22"/>
          <w:lang w:val="fr-CA" w:eastAsia="en-GB"/>
        </w:rPr>
        <w:t>;</w:t>
      </w:r>
      <w:r w:rsidR="00744E26" w:rsidRPr="00702E8F">
        <w:rPr>
          <w:rStyle w:val="Appelnotedebasdep"/>
          <w:sz w:val="22"/>
          <w:szCs w:val="22"/>
          <w:u w:val="none"/>
          <w:vertAlign w:val="superscript"/>
          <w:lang w:val="fr-CA" w:eastAsia="en-GB"/>
        </w:rPr>
        <w:footnoteReference w:id="48"/>
      </w:r>
    </w:p>
    <w:p w14:paraId="19716E91" w14:textId="08C3E4B1"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lastRenderedPageBreak/>
        <w:t>e)</w:t>
      </w:r>
      <w:r w:rsidRPr="00702E8F">
        <w:rPr>
          <w:sz w:val="22"/>
          <w:szCs w:val="22"/>
          <w:lang w:val="fr-CA" w:eastAsia="en-GB"/>
        </w:rPr>
        <w:tab/>
      </w:r>
      <w:r w:rsidR="005F07A5" w:rsidRPr="00702E8F">
        <w:rPr>
          <w:sz w:val="22"/>
          <w:szCs w:val="22"/>
          <w:lang w:val="fr-CA" w:eastAsia="en-GB"/>
        </w:rPr>
        <w:t>Il sera important de veiller à ce que les pays et parties prenantes bénéficiaires aient les capacités suffisantes et reçoivent l’appui des fonds multilatéraux et bilatéraux, dont le FEM. Ceci devrait être complété par un processus clair et convenu facilitant des flux financiers réguliers, et par un suivi rigoureux de l’utilisation et de l’impact des sommes fournies. De plus, le FEM doit trouver des moyens de surmonter les limites de l’offre de financement hors subventions</w:t>
      </w:r>
      <w:r w:rsidR="009C18A0" w:rsidRPr="00702E8F">
        <w:rPr>
          <w:sz w:val="22"/>
          <w:szCs w:val="22"/>
          <w:lang w:val="fr-CA" w:eastAsia="en-GB"/>
        </w:rPr>
        <w:t>.</w:t>
      </w:r>
    </w:p>
    <w:p w14:paraId="5C310938" w14:textId="56CC3545" w:rsidR="009C18A0" w:rsidRPr="00702E8F" w:rsidRDefault="00C908A9" w:rsidP="003D01D2">
      <w:pPr>
        <w:pStyle w:val="Para1"/>
        <w:numPr>
          <w:ilvl w:val="0"/>
          <w:numId w:val="58"/>
        </w:numPr>
        <w:suppressLineNumbers/>
        <w:suppressAutoHyphens/>
        <w:spacing w:before="120"/>
        <w:ind w:left="0" w:firstLine="0"/>
        <w:jc w:val="both"/>
        <w:rPr>
          <w:sz w:val="22"/>
          <w:szCs w:val="22"/>
          <w:lang w:val="fr-CA" w:eastAsia="en-GB"/>
        </w:rPr>
      </w:pPr>
      <w:r w:rsidRPr="00702E8F">
        <w:rPr>
          <w:b/>
          <w:bCs/>
          <w:sz w:val="22"/>
          <w:szCs w:val="22"/>
          <w:lang w:val="fr-CA" w:eastAsia="en-GB"/>
        </w:rPr>
        <w:t>Améliorer les processus de suivi et d’établissement de rapports sur la mobilisation des ressources</w:t>
      </w:r>
      <w:r w:rsidR="00E453D1">
        <w:rPr>
          <w:b/>
          <w:bCs/>
          <w:sz w:val="22"/>
          <w:szCs w:val="22"/>
          <w:lang w:val="fr-CA" w:eastAsia="en-GB"/>
        </w:rPr>
        <w:t> </w:t>
      </w:r>
      <w:r w:rsidR="00483489" w:rsidRPr="00702E8F">
        <w:rPr>
          <w:b/>
          <w:bCs/>
          <w:sz w:val="22"/>
          <w:szCs w:val="22"/>
          <w:lang w:val="fr-CA" w:eastAsia="en-GB"/>
        </w:rPr>
        <w:t>:</w:t>
      </w:r>
    </w:p>
    <w:p w14:paraId="603B941D" w14:textId="7694A241"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a)</w:t>
      </w:r>
      <w:r w:rsidRPr="00702E8F">
        <w:rPr>
          <w:sz w:val="22"/>
          <w:szCs w:val="22"/>
          <w:lang w:val="fr-CA" w:eastAsia="en-GB"/>
        </w:rPr>
        <w:tab/>
      </w:r>
      <w:r w:rsidR="00C908A9" w:rsidRPr="00702E8F">
        <w:rPr>
          <w:sz w:val="22"/>
          <w:szCs w:val="22"/>
          <w:lang w:val="fr-CA" w:eastAsia="en-GB"/>
        </w:rPr>
        <w:t>Les travaux importants de la consulta</w:t>
      </w:r>
      <w:r w:rsidR="00E1715D">
        <w:rPr>
          <w:sz w:val="22"/>
          <w:szCs w:val="22"/>
          <w:lang w:val="fr-CA" w:eastAsia="en-GB"/>
        </w:rPr>
        <w:t>tion thématique sur le processus transparent de</w:t>
      </w:r>
      <w:r w:rsidR="009D3755" w:rsidRPr="00702E8F">
        <w:rPr>
          <w:sz w:val="22"/>
          <w:szCs w:val="22"/>
          <w:lang w:val="fr-CA" w:eastAsia="en-GB"/>
        </w:rPr>
        <w:t xml:space="preserve"> mise en œuvre, </w:t>
      </w:r>
      <w:r w:rsidR="00E1715D">
        <w:rPr>
          <w:sz w:val="22"/>
          <w:szCs w:val="22"/>
          <w:lang w:val="fr-CA" w:eastAsia="en-GB"/>
        </w:rPr>
        <w:t>de suivi, d’établissement de rapports et d</w:t>
      </w:r>
      <w:r w:rsidR="009D3755" w:rsidRPr="00702E8F">
        <w:rPr>
          <w:sz w:val="22"/>
          <w:szCs w:val="22"/>
          <w:lang w:val="fr-CA" w:eastAsia="en-GB"/>
        </w:rPr>
        <w:t>’analyse du cadre mondial de la biodiversité pour l</w:t>
      </w:r>
      <w:r w:rsidR="00E453D1">
        <w:rPr>
          <w:sz w:val="22"/>
          <w:szCs w:val="22"/>
          <w:lang w:val="fr-CA" w:eastAsia="en-GB"/>
        </w:rPr>
        <w:t>’</w:t>
      </w:r>
      <w:r w:rsidR="009D3755" w:rsidRPr="00702E8F">
        <w:rPr>
          <w:sz w:val="22"/>
          <w:szCs w:val="22"/>
          <w:lang w:val="fr-CA" w:eastAsia="en-GB"/>
        </w:rPr>
        <w:t>après-2020</w:t>
      </w:r>
      <w:r w:rsidR="009C18A0" w:rsidRPr="00702E8F">
        <w:rPr>
          <w:sz w:val="22"/>
          <w:szCs w:val="22"/>
          <w:vertAlign w:val="superscript"/>
          <w:lang w:val="fr-CA" w:eastAsia="en-GB"/>
        </w:rPr>
        <w:footnoteReference w:id="49"/>
      </w:r>
      <w:r w:rsidR="009C18A0" w:rsidRPr="00702E8F">
        <w:rPr>
          <w:sz w:val="22"/>
          <w:szCs w:val="22"/>
          <w:lang w:val="fr-CA" w:eastAsia="en-GB"/>
        </w:rPr>
        <w:t xml:space="preserve"> </w:t>
      </w:r>
      <w:r w:rsidR="009D3755" w:rsidRPr="00702E8F">
        <w:rPr>
          <w:sz w:val="22"/>
          <w:szCs w:val="22"/>
          <w:lang w:val="fr-CA" w:eastAsia="en-GB"/>
        </w:rPr>
        <w:t>devraient servir de guide pour la démarche globale de suivi et d’établissement de rapports sur la mobilisation des ressources</w:t>
      </w:r>
      <w:r w:rsidR="00E453D1">
        <w:rPr>
          <w:sz w:val="22"/>
          <w:szCs w:val="22"/>
          <w:lang w:val="fr-CA" w:eastAsia="en-GB"/>
        </w:rPr>
        <w:t> </w:t>
      </w:r>
      <w:r w:rsidR="009D3755" w:rsidRPr="00702E8F">
        <w:rPr>
          <w:sz w:val="22"/>
          <w:szCs w:val="22"/>
          <w:lang w:val="fr-CA" w:eastAsia="en-GB"/>
        </w:rPr>
        <w:t>; cette approche devrait s’efforcer d’être complète, participative, facilitante, fondée sur les preuves et axée sur les résultats</w:t>
      </w:r>
      <w:r w:rsidR="00E453D1">
        <w:rPr>
          <w:sz w:val="22"/>
          <w:szCs w:val="22"/>
          <w:lang w:val="fr-CA" w:eastAsia="en-GB"/>
        </w:rPr>
        <w:t> </w:t>
      </w:r>
      <w:r w:rsidR="004219B3" w:rsidRPr="00702E8F">
        <w:rPr>
          <w:sz w:val="22"/>
          <w:szCs w:val="22"/>
          <w:lang w:val="fr-CA" w:eastAsia="en-GB"/>
        </w:rPr>
        <w:t>;</w:t>
      </w:r>
      <w:r w:rsidR="009C18A0" w:rsidRPr="00702E8F">
        <w:rPr>
          <w:sz w:val="22"/>
          <w:szCs w:val="22"/>
          <w:vertAlign w:val="superscript"/>
          <w:lang w:val="fr-CA" w:eastAsia="en-GB"/>
        </w:rPr>
        <w:footnoteReference w:id="50"/>
      </w:r>
    </w:p>
    <w:p w14:paraId="68AE1684" w14:textId="07CD9BC7"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b)</w:t>
      </w:r>
      <w:r w:rsidRPr="00702E8F">
        <w:rPr>
          <w:sz w:val="22"/>
          <w:szCs w:val="22"/>
          <w:lang w:val="fr-CA" w:eastAsia="en-GB"/>
        </w:rPr>
        <w:tab/>
      </w:r>
      <w:r w:rsidR="008A2356" w:rsidRPr="00702E8F">
        <w:rPr>
          <w:sz w:val="22"/>
          <w:szCs w:val="22"/>
          <w:lang w:val="fr-CA" w:eastAsia="en-GB"/>
        </w:rPr>
        <w:t xml:space="preserve">La remise de rapports sur la mobilisation des ressources et le financement de la biodiversité demeure un aspect important du suivi et de la gestion des progrès. La collecte, la gestion et l’utilisation des données </w:t>
      </w:r>
      <w:r w:rsidR="00AF1C3B" w:rsidRPr="00702E8F">
        <w:rPr>
          <w:sz w:val="22"/>
          <w:szCs w:val="22"/>
          <w:lang w:val="fr-CA" w:eastAsia="en-GB"/>
        </w:rPr>
        <w:t>doivent être plus opportun</w:t>
      </w:r>
      <w:r w:rsidR="00E453D1">
        <w:rPr>
          <w:sz w:val="22"/>
          <w:szCs w:val="22"/>
          <w:lang w:val="fr-CA" w:eastAsia="en-GB"/>
        </w:rPr>
        <w:t>es et régulière</w:t>
      </w:r>
      <w:r w:rsidR="00AF1C3B" w:rsidRPr="00702E8F">
        <w:rPr>
          <w:sz w:val="22"/>
          <w:szCs w:val="22"/>
          <w:lang w:val="fr-CA" w:eastAsia="en-GB"/>
        </w:rPr>
        <w:t>s</w:t>
      </w:r>
      <w:r w:rsidR="00AF1C3B">
        <w:rPr>
          <w:sz w:val="22"/>
          <w:szCs w:val="22"/>
          <w:lang w:val="fr-CA" w:eastAsia="en-GB"/>
        </w:rPr>
        <w:t xml:space="preserve"> afin d’</w:t>
      </w:r>
      <w:r w:rsidR="008A2356" w:rsidRPr="00702E8F">
        <w:rPr>
          <w:sz w:val="22"/>
          <w:szCs w:val="22"/>
          <w:lang w:val="fr-CA" w:eastAsia="en-GB"/>
        </w:rPr>
        <w:t xml:space="preserve">informer les </w:t>
      </w:r>
      <w:r w:rsidR="005966D9" w:rsidRPr="00702E8F">
        <w:rPr>
          <w:sz w:val="22"/>
          <w:szCs w:val="22"/>
          <w:lang w:val="fr-CA" w:eastAsia="en-GB"/>
        </w:rPr>
        <w:t>décideurs</w:t>
      </w:r>
      <w:r w:rsidR="00E1715D">
        <w:rPr>
          <w:sz w:val="22"/>
          <w:szCs w:val="22"/>
          <w:lang w:val="fr-CA" w:eastAsia="en-GB"/>
        </w:rPr>
        <w:t xml:space="preserve">, </w:t>
      </w:r>
      <w:r w:rsidR="00135912">
        <w:rPr>
          <w:sz w:val="22"/>
          <w:szCs w:val="22"/>
          <w:lang w:val="fr-CA" w:eastAsia="en-GB"/>
        </w:rPr>
        <w:t xml:space="preserve">notamment en faisant une meilleure utilisation des programmes de </w:t>
      </w:r>
      <w:r w:rsidR="00135912" w:rsidRPr="00702E8F">
        <w:rPr>
          <w:sz w:val="22"/>
          <w:szCs w:val="22"/>
          <w:lang w:val="fr-CA" w:eastAsia="en-GB"/>
        </w:rPr>
        <w:t>statistiques et processus apparenté</w:t>
      </w:r>
      <w:r w:rsidR="00135912">
        <w:rPr>
          <w:sz w:val="22"/>
          <w:szCs w:val="22"/>
          <w:lang w:val="fr-CA" w:eastAsia="en-GB"/>
        </w:rPr>
        <w:t xml:space="preserve">, tels </w:t>
      </w:r>
      <w:r w:rsidR="00E1715D" w:rsidRPr="00702E8F">
        <w:rPr>
          <w:sz w:val="22"/>
          <w:szCs w:val="22"/>
          <w:lang w:val="fr-CA" w:eastAsia="en-GB"/>
        </w:rPr>
        <w:t>que le Comité d’aide au développement de l’OCDE, le</w:t>
      </w:r>
      <w:r w:rsidR="00AF1C3B">
        <w:rPr>
          <w:sz w:val="22"/>
          <w:szCs w:val="22"/>
          <w:lang w:val="fr-CA" w:eastAsia="en-GB"/>
        </w:rPr>
        <w:t>s</w:t>
      </w:r>
      <w:r w:rsidR="00E1715D" w:rsidRPr="00702E8F">
        <w:rPr>
          <w:sz w:val="22"/>
          <w:szCs w:val="22"/>
          <w:lang w:val="fr-CA" w:eastAsia="en-GB"/>
        </w:rPr>
        <w:t xml:space="preserve"> statistiques de finances publiques du Fonds monétaire international et l’orientation sur les dépenses pour la protection de l’environnement du Système de comptabilité économique et environnementale intégrée des Nations Unies</w:t>
      </w:r>
      <w:r w:rsidR="00E453D1">
        <w:rPr>
          <w:sz w:val="22"/>
          <w:szCs w:val="22"/>
          <w:lang w:val="fr-CA" w:eastAsia="en-GB"/>
        </w:rPr>
        <w:t> </w:t>
      </w:r>
      <w:r w:rsidR="004219B3" w:rsidRPr="00702E8F">
        <w:rPr>
          <w:sz w:val="22"/>
          <w:szCs w:val="22"/>
          <w:lang w:val="fr-CA" w:eastAsia="en-GB"/>
        </w:rPr>
        <w:t>;</w:t>
      </w:r>
    </w:p>
    <w:p w14:paraId="79A2BB10" w14:textId="5763A0CB"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c)</w:t>
      </w:r>
      <w:r w:rsidRPr="00702E8F">
        <w:rPr>
          <w:sz w:val="22"/>
          <w:szCs w:val="22"/>
          <w:lang w:val="fr-CA" w:eastAsia="en-GB"/>
        </w:rPr>
        <w:tab/>
      </w:r>
      <w:r w:rsidR="001F595B" w:rsidRPr="00702E8F">
        <w:rPr>
          <w:sz w:val="22"/>
          <w:szCs w:val="22"/>
          <w:lang w:val="fr-CA" w:eastAsia="en-GB"/>
        </w:rPr>
        <w:t xml:space="preserve">Toutes les Parties doivent être encouragées à </w:t>
      </w:r>
      <w:r w:rsidR="00135912">
        <w:rPr>
          <w:sz w:val="22"/>
          <w:szCs w:val="22"/>
          <w:lang w:val="fr-CA" w:eastAsia="en-GB"/>
        </w:rPr>
        <w:t>communiquer leurs données</w:t>
      </w:r>
      <w:r w:rsidR="001F595B" w:rsidRPr="00702E8F">
        <w:rPr>
          <w:sz w:val="22"/>
          <w:szCs w:val="22"/>
          <w:lang w:val="fr-CA" w:eastAsia="en-GB"/>
        </w:rPr>
        <w:t xml:space="preserve"> aux bases de données pertinentes existantes de l’OCDE (c.-à-d., estimation de l’aide aux producteurs, estimation de l’aide à la pêche, instruments de politique pour l’environnement</w:t>
      </w:r>
      <w:r w:rsidR="009C18A0" w:rsidRPr="00702E8F">
        <w:rPr>
          <w:sz w:val="22"/>
          <w:szCs w:val="22"/>
          <w:lang w:val="fr-CA" w:eastAsia="en-GB"/>
        </w:rPr>
        <w:t>)</w:t>
      </w:r>
      <w:r w:rsidR="00E453D1">
        <w:rPr>
          <w:sz w:val="22"/>
          <w:szCs w:val="22"/>
          <w:lang w:val="fr-CA" w:eastAsia="en-GB"/>
        </w:rPr>
        <w:t> </w:t>
      </w:r>
      <w:r w:rsidR="004219B3" w:rsidRPr="00702E8F">
        <w:rPr>
          <w:sz w:val="22"/>
          <w:szCs w:val="22"/>
          <w:lang w:val="fr-CA" w:eastAsia="en-GB"/>
        </w:rPr>
        <w:t>;</w:t>
      </w:r>
    </w:p>
    <w:p w14:paraId="72EF5157" w14:textId="710D362E"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d)</w:t>
      </w:r>
      <w:r w:rsidRPr="00702E8F">
        <w:rPr>
          <w:sz w:val="22"/>
          <w:szCs w:val="22"/>
          <w:lang w:val="fr-CA" w:eastAsia="en-GB"/>
        </w:rPr>
        <w:tab/>
      </w:r>
      <w:r w:rsidR="001B37F2" w:rsidRPr="00702E8F">
        <w:rPr>
          <w:sz w:val="22"/>
          <w:szCs w:val="22"/>
          <w:lang w:val="fr-CA" w:eastAsia="en-GB"/>
        </w:rPr>
        <w:t>Il faut plus de transparence en ce qui concerne la</w:t>
      </w:r>
      <w:r w:rsidR="001F595B" w:rsidRPr="00702E8F">
        <w:rPr>
          <w:sz w:val="22"/>
          <w:szCs w:val="22"/>
          <w:lang w:val="fr-CA" w:eastAsia="en-GB"/>
        </w:rPr>
        <w:t xml:space="preserve"> méthode de</w:t>
      </w:r>
      <w:r w:rsidR="001B37F2" w:rsidRPr="00702E8F">
        <w:rPr>
          <w:sz w:val="22"/>
          <w:szCs w:val="22"/>
          <w:lang w:val="fr-CA" w:eastAsia="en-GB"/>
        </w:rPr>
        <w:t xml:space="preserve"> communication sur la mobilisati</w:t>
      </w:r>
      <w:r w:rsidR="001F595B" w:rsidRPr="00702E8F">
        <w:rPr>
          <w:sz w:val="22"/>
          <w:szCs w:val="22"/>
          <w:lang w:val="fr-CA" w:eastAsia="en-GB"/>
        </w:rPr>
        <w:t>on des données</w:t>
      </w:r>
      <w:r w:rsidR="009C18A0" w:rsidRPr="00702E8F">
        <w:rPr>
          <w:sz w:val="22"/>
          <w:szCs w:val="22"/>
          <w:vertAlign w:val="superscript"/>
          <w:lang w:val="fr-CA" w:eastAsia="en-GB"/>
        </w:rPr>
        <w:footnoteReference w:id="51"/>
      </w:r>
      <w:r w:rsidR="009C18A0" w:rsidRPr="00702E8F">
        <w:rPr>
          <w:sz w:val="22"/>
          <w:szCs w:val="22"/>
          <w:lang w:val="fr-CA" w:eastAsia="en-GB"/>
        </w:rPr>
        <w:t xml:space="preserve"> </w:t>
      </w:r>
      <w:r w:rsidR="001B37F2" w:rsidRPr="00702E8F">
        <w:rPr>
          <w:sz w:val="22"/>
          <w:szCs w:val="22"/>
          <w:lang w:val="fr-CA" w:eastAsia="en-GB"/>
        </w:rPr>
        <w:t xml:space="preserve">et plus de transparence et de reddition de compte en ce qui a trait aux dépenses liées à la diversité biologique, </w:t>
      </w:r>
      <w:r w:rsidR="00135912">
        <w:rPr>
          <w:sz w:val="22"/>
          <w:szCs w:val="22"/>
          <w:lang w:val="fr-CA" w:eastAsia="en-GB"/>
        </w:rPr>
        <w:t>dont</w:t>
      </w:r>
      <w:r w:rsidR="001B37F2" w:rsidRPr="00702E8F">
        <w:rPr>
          <w:sz w:val="22"/>
          <w:szCs w:val="22"/>
          <w:lang w:val="fr-CA" w:eastAsia="en-GB"/>
        </w:rPr>
        <w:t xml:space="preserve"> les dépenses pour le financement intérieur, multilatéral et b</w:t>
      </w:r>
      <w:r w:rsidR="006F4866" w:rsidRPr="00702E8F">
        <w:rPr>
          <w:sz w:val="22"/>
          <w:szCs w:val="22"/>
          <w:lang w:val="fr-CA" w:eastAsia="en-GB"/>
        </w:rPr>
        <w:t>ilatéral pour le développement</w:t>
      </w:r>
      <w:r w:rsidR="00E453D1">
        <w:rPr>
          <w:sz w:val="22"/>
          <w:szCs w:val="22"/>
          <w:lang w:val="fr-CA" w:eastAsia="en-GB"/>
        </w:rPr>
        <w:t> </w:t>
      </w:r>
      <w:r w:rsidR="004219B3" w:rsidRPr="00702E8F">
        <w:rPr>
          <w:sz w:val="22"/>
          <w:szCs w:val="22"/>
          <w:lang w:val="fr-CA" w:eastAsia="en-GB"/>
        </w:rPr>
        <w:t>;</w:t>
      </w:r>
    </w:p>
    <w:p w14:paraId="6210729C" w14:textId="2ED3528E" w:rsidR="009C18A0" w:rsidRPr="00702E8F" w:rsidRDefault="00872FB1" w:rsidP="00EC07F9">
      <w:pPr>
        <w:spacing w:before="120" w:after="120"/>
        <w:ind w:firstLine="720"/>
        <w:jc w:val="both"/>
        <w:rPr>
          <w:sz w:val="22"/>
          <w:szCs w:val="22"/>
          <w:lang w:val="fr-CA" w:eastAsia="en-GB"/>
        </w:rPr>
      </w:pPr>
      <w:r w:rsidRPr="00702E8F">
        <w:rPr>
          <w:sz w:val="22"/>
          <w:szCs w:val="22"/>
          <w:lang w:val="fr-CA" w:eastAsia="en-GB"/>
        </w:rPr>
        <w:t>e)</w:t>
      </w:r>
      <w:r w:rsidRPr="00702E8F">
        <w:rPr>
          <w:sz w:val="22"/>
          <w:szCs w:val="22"/>
          <w:lang w:val="fr-CA" w:eastAsia="en-GB"/>
        </w:rPr>
        <w:tab/>
      </w:r>
      <w:r w:rsidR="006F4866" w:rsidRPr="00702E8F">
        <w:rPr>
          <w:sz w:val="22"/>
          <w:szCs w:val="22"/>
          <w:lang w:val="fr-CA" w:eastAsia="en-GB"/>
        </w:rPr>
        <w:t>Étant donné la complexité à faire rapport sur le financement de la biodiversité, il est recommandé d’utiliser une approche conviviale appuyée par le renforcement des capacités. Les ressources canalisées vers l’élaboration de plans nationaux de financement pourraient comprendre des ressources pour faire rapport à la Convention sur la mobilisation des ressources</w:t>
      </w:r>
    </w:p>
    <w:p w14:paraId="651A3D7F" w14:textId="0DBDAC84" w:rsidR="00754320" w:rsidRPr="00702E8F" w:rsidRDefault="00EA1E12" w:rsidP="00EC07F9">
      <w:pPr>
        <w:pStyle w:val="HEADINGNOTFORTOC"/>
        <w:tabs>
          <w:tab w:val="clear" w:pos="720"/>
        </w:tabs>
        <w:spacing w:before="120"/>
        <w:ind w:left="1151" w:hanging="720"/>
        <w:jc w:val="left"/>
        <w:rPr>
          <w:bCs/>
          <w:sz w:val="22"/>
          <w:szCs w:val="22"/>
          <w:lang w:val="fr-CA"/>
        </w:rPr>
      </w:pPr>
      <w:r w:rsidRPr="00702E8F">
        <w:rPr>
          <w:bCs/>
          <w:spacing w:val="-10"/>
          <w:kern w:val="28"/>
          <w:sz w:val="22"/>
          <w:szCs w:val="22"/>
          <w:lang w:val="fr-CA" w:eastAsia="en-GB"/>
        </w:rPr>
        <w:t>VI.</w:t>
      </w:r>
      <w:r w:rsidRPr="00702E8F">
        <w:rPr>
          <w:bCs/>
          <w:spacing w:val="-10"/>
          <w:kern w:val="28"/>
          <w:sz w:val="22"/>
          <w:szCs w:val="22"/>
          <w:lang w:val="fr-CA" w:eastAsia="en-GB"/>
        </w:rPr>
        <w:tab/>
      </w:r>
      <w:r w:rsidR="00135912">
        <w:rPr>
          <w:spacing w:val="-10"/>
          <w:kern w:val="28"/>
          <w:sz w:val="22"/>
          <w:szCs w:val="22"/>
          <w:lang w:val="fr-CA"/>
        </w:rPr>
        <w:t>OBJECTIFS</w:t>
      </w:r>
      <w:r w:rsidR="00F50B1B" w:rsidRPr="00702E8F">
        <w:rPr>
          <w:spacing w:val="-10"/>
          <w:kern w:val="28"/>
          <w:sz w:val="22"/>
          <w:szCs w:val="22"/>
          <w:lang w:val="fr-CA"/>
        </w:rPr>
        <w:t xml:space="preserve"> et décisions possibles sur la mobilisation des ressources dans le cadre mondial de la biodiversité pour l</w:t>
      </w:r>
      <w:r w:rsidR="00E453D1">
        <w:rPr>
          <w:spacing w:val="-10"/>
          <w:kern w:val="28"/>
          <w:sz w:val="22"/>
          <w:szCs w:val="22"/>
          <w:lang w:val="fr-CA"/>
        </w:rPr>
        <w:t>’</w:t>
      </w:r>
      <w:r w:rsidR="00F50B1B" w:rsidRPr="00702E8F">
        <w:rPr>
          <w:spacing w:val="-10"/>
          <w:kern w:val="28"/>
          <w:sz w:val="22"/>
          <w:szCs w:val="22"/>
          <w:lang w:val="fr-CA"/>
        </w:rPr>
        <w:t>après-2020</w:t>
      </w:r>
    </w:p>
    <w:p w14:paraId="690C6703" w14:textId="75DDDA4F" w:rsidR="00754320" w:rsidRPr="00702E8F" w:rsidRDefault="00F50B1B" w:rsidP="003D01D2">
      <w:pPr>
        <w:pStyle w:val="Para1"/>
        <w:numPr>
          <w:ilvl w:val="0"/>
          <w:numId w:val="58"/>
        </w:numPr>
        <w:suppressLineNumbers/>
        <w:suppressAutoHyphens/>
        <w:spacing w:before="120"/>
        <w:ind w:left="0" w:firstLine="0"/>
        <w:jc w:val="both"/>
        <w:rPr>
          <w:sz w:val="22"/>
          <w:szCs w:val="22"/>
          <w:lang w:val="fr-CA"/>
        </w:rPr>
      </w:pPr>
      <w:r w:rsidRPr="00702E8F">
        <w:rPr>
          <w:sz w:val="22"/>
          <w:szCs w:val="22"/>
          <w:lang w:val="fr-CA"/>
        </w:rPr>
        <w:t xml:space="preserve">Plusieurs </w:t>
      </w:r>
      <w:r w:rsidR="007B2C28">
        <w:rPr>
          <w:sz w:val="22"/>
          <w:szCs w:val="22"/>
          <w:lang w:val="fr-CA"/>
        </w:rPr>
        <w:t>objectifs</w:t>
      </w:r>
      <w:r w:rsidRPr="00702E8F">
        <w:rPr>
          <w:sz w:val="22"/>
          <w:szCs w:val="22"/>
          <w:lang w:val="fr-CA"/>
        </w:rPr>
        <w:t xml:space="preserve"> précis de mobilisation des res</w:t>
      </w:r>
      <w:r w:rsidR="00CF01F7" w:rsidRPr="00702E8F">
        <w:rPr>
          <w:sz w:val="22"/>
          <w:szCs w:val="22"/>
          <w:lang w:val="fr-CA"/>
        </w:rPr>
        <w:t>source</w:t>
      </w:r>
      <w:r w:rsidR="00E453D1">
        <w:rPr>
          <w:sz w:val="22"/>
          <w:szCs w:val="22"/>
          <w:lang w:val="fr-CA"/>
        </w:rPr>
        <w:t>s</w:t>
      </w:r>
      <w:r w:rsidR="007B2C28">
        <w:rPr>
          <w:sz w:val="22"/>
          <w:szCs w:val="22"/>
          <w:lang w:val="fr-CA"/>
        </w:rPr>
        <w:t>,</w:t>
      </w:r>
      <w:r w:rsidR="007B2C28" w:rsidRPr="00702E8F">
        <w:rPr>
          <w:sz w:val="22"/>
          <w:szCs w:val="22"/>
          <w:lang w:val="fr-CA"/>
        </w:rPr>
        <w:t xml:space="preserve"> reflétant les trois éléments interdépendants de la mobilisation des ressources recommandés dans ce rapport et facilitant les progrès simultanés dans les trois éléments</w:t>
      </w:r>
      <w:r w:rsidR="007B2C28">
        <w:rPr>
          <w:sz w:val="22"/>
          <w:szCs w:val="22"/>
          <w:lang w:val="fr-CA"/>
        </w:rPr>
        <w:t>,</w:t>
      </w:r>
      <w:r w:rsidR="00CF01F7" w:rsidRPr="00702E8F">
        <w:rPr>
          <w:sz w:val="22"/>
          <w:szCs w:val="22"/>
          <w:lang w:val="fr-CA"/>
        </w:rPr>
        <w:t xml:space="preserve"> seront vraisem</w:t>
      </w:r>
      <w:r w:rsidRPr="00702E8F">
        <w:rPr>
          <w:sz w:val="22"/>
          <w:szCs w:val="22"/>
          <w:lang w:val="fr-CA"/>
        </w:rPr>
        <w:t xml:space="preserve">blablement nécessaires afin de soutenir les </w:t>
      </w:r>
      <w:r w:rsidR="007B2C28">
        <w:rPr>
          <w:sz w:val="22"/>
          <w:szCs w:val="22"/>
          <w:lang w:val="fr-CA"/>
        </w:rPr>
        <w:t>buts</w:t>
      </w:r>
      <w:r w:rsidRPr="00702E8F">
        <w:rPr>
          <w:sz w:val="22"/>
          <w:szCs w:val="22"/>
          <w:lang w:val="fr-CA"/>
        </w:rPr>
        <w:t xml:space="preserve"> fondamentaux du cadre mondial de la biodiversité pour l</w:t>
      </w:r>
      <w:r w:rsidR="00E453D1">
        <w:rPr>
          <w:sz w:val="22"/>
          <w:szCs w:val="22"/>
          <w:lang w:val="fr-CA"/>
        </w:rPr>
        <w:t>’</w:t>
      </w:r>
      <w:r w:rsidRPr="00702E8F">
        <w:rPr>
          <w:sz w:val="22"/>
          <w:szCs w:val="22"/>
          <w:lang w:val="fr-CA"/>
        </w:rPr>
        <w:t>après-2020</w:t>
      </w:r>
      <w:r w:rsidR="00CF01F7" w:rsidRPr="00702E8F">
        <w:rPr>
          <w:sz w:val="22"/>
          <w:szCs w:val="22"/>
          <w:lang w:val="fr-CA"/>
        </w:rPr>
        <w:t xml:space="preserve">. Cette partie contribue au volet de </w:t>
      </w:r>
      <w:r w:rsidR="00CF01F7" w:rsidRPr="00702E8F">
        <w:rPr>
          <w:sz w:val="22"/>
          <w:szCs w:val="22"/>
          <w:lang w:val="fr-CA"/>
        </w:rPr>
        <w:lastRenderedPageBreak/>
        <w:t xml:space="preserve">mobilisation des ressources en présentant la contribution du Groupe d’experts à l’élaboration </w:t>
      </w:r>
      <w:r w:rsidR="007B2C28">
        <w:rPr>
          <w:sz w:val="22"/>
          <w:szCs w:val="22"/>
          <w:lang w:val="fr-CA"/>
        </w:rPr>
        <w:t>d’objectifs</w:t>
      </w:r>
      <w:r w:rsidR="00CF01F7" w:rsidRPr="00702E8F">
        <w:rPr>
          <w:sz w:val="22"/>
          <w:szCs w:val="22"/>
          <w:lang w:val="fr-CA"/>
        </w:rPr>
        <w:t xml:space="preserve"> de mo</w:t>
      </w:r>
      <w:r w:rsidR="007B2C28">
        <w:rPr>
          <w:sz w:val="22"/>
          <w:szCs w:val="22"/>
          <w:lang w:val="fr-CA"/>
        </w:rPr>
        <w:t>bilisation des ressources fondés</w:t>
      </w:r>
      <w:r w:rsidR="00CF01F7" w:rsidRPr="00702E8F">
        <w:rPr>
          <w:sz w:val="22"/>
          <w:szCs w:val="22"/>
          <w:lang w:val="fr-CA"/>
        </w:rPr>
        <w:t xml:space="preserve"> sur les mesures recommandées dans les trois volets ci-dessus</w:t>
      </w:r>
      <w:r w:rsidR="00754320" w:rsidRPr="00702E8F">
        <w:rPr>
          <w:sz w:val="22"/>
          <w:szCs w:val="22"/>
          <w:lang w:val="fr-CA"/>
        </w:rPr>
        <w:t>.</w:t>
      </w:r>
      <w:r w:rsidR="00754320" w:rsidRPr="00702E8F">
        <w:rPr>
          <w:rStyle w:val="Appelnotedebasdep"/>
          <w:sz w:val="22"/>
          <w:szCs w:val="22"/>
          <w:u w:val="none"/>
          <w:vertAlign w:val="superscript"/>
          <w:lang w:val="fr-CA"/>
        </w:rPr>
        <w:footnoteReference w:id="52"/>
      </w:r>
    </w:p>
    <w:p w14:paraId="65EC61EC" w14:textId="0F09CAD0" w:rsidR="00754320" w:rsidRPr="007B2C28" w:rsidRDefault="001418BC" w:rsidP="003D01D2">
      <w:pPr>
        <w:pStyle w:val="Para1"/>
        <w:numPr>
          <w:ilvl w:val="0"/>
          <w:numId w:val="58"/>
        </w:numPr>
        <w:suppressLineNumbers/>
        <w:suppressAutoHyphens/>
        <w:spacing w:before="120"/>
        <w:ind w:left="0" w:firstLine="0"/>
        <w:jc w:val="both"/>
        <w:rPr>
          <w:sz w:val="22"/>
          <w:szCs w:val="22"/>
          <w:lang w:val="fr-CA"/>
        </w:rPr>
      </w:pPr>
      <w:bookmarkStart w:id="6" w:name="_Hlk40285397"/>
      <w:r w:rsidRPr="00702E8F">
        <w:rPr>
          <w:iCs/>
          <w:sz w:val="22"/>
          <w:szCs w:val="22"/>
          <w:lang w:val="fr-CA"/>
        </w:rPr>
        <w:t xml:space="preserve">Réduire ou réallouer les dépenses nuisibles est un volet </w:t>
      </w:r>
      <w:r w:rsidR="004C08E3" w:rsidRPr="00702E8F">
        <w:rPr>
          <w:iCs/>
          <w:sz w:val="22"/>
          <w:szCs w:val="22"/>
          <w:lang w:val="fr-CA"/>
        </w:rPr>
        <w:t xml:space="preserve">essentiel de la mobilisation des ressources et des </w:t>
      </w:r>
      <w:r w:rsidR="007B2C28">
        <w:rPr>
          <w:iCs/>
          <w:sz w:val="22"/>
          <w:szCs w:val="22"/>
          <w:lang w:val="fr-CA"/>
        </w:rPr>
        <w:t>objectifs</w:t>
      </w:r>
      <w:r w:rsidR="004C08E3" w:rsidRPr="00702E8F">
        <w:rPr>
          <w:iCs/>
          <w:sz w:val="22"/>
          <w:szCs w:val="22"/>
          <w:lang w:val="fr-CA"/>
        </w:rPr>
        <w:t xml:space="preserve"> doivent être mis en place afin d’encourager les actions ambitieuses, </w:t>
      </w:r>
      <w:r w:rsidR="003A24D6">
        <w:rPr>
          <w:iCs/>
          <w:sz w:val="22"/>
          <w:szCs w:val="22"/>
          <w:lang w:val="fr-CA"/>
        </w:rPr>
        <w:t>comprenant</w:t>
      </w:r>
      <w:r w:rsidR="007B2C28">
        <w:rPr>
          <w:iCs/>
          <w:sz w:val="22"/>
          <w:szCs w:val="22"/>
          <w:lang w:val="fr-CA"/>
        </w:rPr>
        <w:t xml:space="preserve"> des</w:t>
      </w:r>
      <w:r w:rsidR="004C08E3" w:rsidRPr="007B2C28">
        <w:rPr>
          <w:iCs/>
          <w:sz w:val="22"/>
          <w:szCs w:val="22"/>
          <w:lang w:val="fr-CA"/>
        </w:rPr>
        <w:t xml:space="preserve"> indicateurs appropriés </w:t>
      </w:r>
      <w:r w:rsidR="007B2C28">
        <w:rPr>
          <w:iCs/>
          <w:sz w:val="22"/>
          <w:szCs w:val="22"/>
          <w:lang w:val="fr-CA"/>
        </w:rPr>
        <w:t>pour</w:t>
      </w:r>
      <w:r w:rsidR="004C08E3" w:rsidRPr="007B2C28">
        <w:rPr>
          <w:iCs/>
          <w:sz w:val="22"/>
          <w:szCs w:val="22"/>
          <w:lang w:val="fr-CA"/>
        </w:rPr>
        <w:t xml:space="preserve"> mesurer les progrès, tant </w:t>
      </w:r>
      <w:r w:rsidR="005D3737">
        <w:rPr>
          <w:iCs/>
          <w:sz w:val="22"/>
          <w:szCs w:val="22"/>
          <w:lang w:val="fr-CA"/>
        </w:rPr>
        <w:t xml:space="preserve">dans </w:t>
      </w:r>
      <w:r w:rsidR="004C08E3" w:rsidRPr="007B2C28">
        <w:rPr>
          <w:iCs/>
          <w:sz w:val="22"/>
          <w:szCs w:val="22"/>
          <w:lang w:val="fr-CA"/>
        </w:rPr>
        <w:t xml:space="preserve">le secteur privé que public. Les Parties pourraient souhaiter examiner trois </w:t>
      </w:r>
      <w:r w:rsidR="005D3737">
        <w:rPr>
          <w:iCs/>
          <w:sz w:val="22"/>
          <w:szCs w:val="22"/>
          <w:lang w:val="fr-CA"/>
        </w:rPr>
        <w:t>éléments</w:t>
      </w:r>
      <w:r w:rsidR="003A24D6">
        <w:rPr>
          <w:iCs/>
          <w:sz w:val="22"/>
          <w:szCs w:val="22"/>
          <w:lang w:val="fr-CA"/>
        </w:rPr>
        <w:t xml:space="preserve"> distinct</w:t>
      </w:r>
      <w:r w:rsidR="004C08E3" w:rsidRPr="007B2C28">
        <w:rPr>
          <w:iCs/>
          <w:sz w:val="22"/>
          <w:szCs w:val="22"/>
          <w:lang w:val="fr-CA"/>
        </w:rPr>
        <w:t>s</w:t>
      </w:r>
      <w:r w:rsidR="005D3737">
        <w:rPr>
          <w:iCs/>
          <w:sz w:val="22"/>
          <w:szCs w:val="22"/>
          <w:lang w:val="fr-CA"/>
        </w:rPr>
        <w:t>,</w:t>
      </w:r>
      <w:r w:rsidR="004C08E3" w:rsidRPr="007B2C28">
        <w:rPr>
          <w:iCs/>
          <w:sz w:val="22"/>
          <w:szCs w:val="22"/>
          <w:lang w:val="fr-CA"/>
        </w:rPr>
        <w:t xml:space="preserve"> mais qui se renforcent mutuellement</w:t>
      </w:r>
      <w:r w:rsidR="005D3737">
        <w:rPr>
          <w:iCs/>
          <w:sz w:val="22"/>
          <w:szCs w:val="22"/>
          <w:lang w:val="fr-CA"/>
        </w:rPr>
        <w:t>, à inclure dans les objectifs pour réduire ou réallouer les dépenses nuisibles</w:t>
      </w:r>
      <w:r w:rsidR="004C08E3" w:rsidRPr="007B2C28">
        <w:rPr>
          <w:iCs/>
          <w:sz w:val="22"/>
          <w:szCs w:val="22"/>
          <w:lang w:val="fr-CA"/>
        </w:rPr>
        <w:t>, pouvant être formulés comme suit</w:t>
      </w:r>
      <w:r w:rsidR="00E453D1">
        <w:rPr>
          <w:iCs/>
          <w:sz w:val="22"/>
          <w:szCs w:val="22"/>
          <w:lang w:val="fr-CA"/>
        </w:rPr>
        <w:t> </w:t>
      </w:r>
      <w:r w:rsidR="00754320" w:rsidRPr="007B2C28">
        <w:rPr>
          <w:sz w:val="22"/>
          <w:szCs w:val="22"/>
          <w:lang w:val="fr-CA"/>
        </w:rPr>
        <w:t>:</w:t>
      </w:r>
    </w:p>
    <w:p w14:paraId="0F282481" w14:textId="47C013C2" w:rsidR="00754320" w:rsidRPr="00702E8F" w:rsidRDefault="004C08E3" w:rsidP="004C08E3">
      <w:pPr>
        <w:pStyle w:val="Paragraphedeliste"/>
        <w:numPr>
          <w:ilvl w:val="0"/>
          <w:numId w:val="47"/>
        </w:numPr>
        <w:spacing w:before="120" w:after="120"/>
        <w:ind w:left="0" w:firstLine="720"/>
        <w:jc w:val="both"/>
        <w:rPr>
          <w:bCs/>
          <w:sz w:val="22"/>
          <w:szCs w:val="22"/>
          <w:lang w:val="fr-CA" w:eastAsia="en-GB"/>
        </w:rPr>
      </w:pPr>
      <w:r w:rsidRPr="00702E8F">
        <w:rPr>
          <w:bCs/>
          <w:sz w:val="22"/>
          <w:szCs w:val="22"/>
          <w:lang w:val="fr-CA" w:eastAsia="en-GB"/>
        </w:rPr>
        <w:t xml:space="preserve">D’ici à 2030, </w:t>
      </w:r>
      <w:r w:rsidR="005D3737">
        <w:rPr>
          <w:bCs/>
          <w:sz w:val="22"/>
          <w:szCs w:val="22"/>
          <w:lang w:val="fr-CA" w:eastAsia="en-GB"/>
        </w:rPr>
        <w:t>tous les pays</w:t>
      </w:r>
      <w:r w:rsidR="003D4F61" w:rsidRPr="00702E8F">
        <w:rPr>
          <w:bCs/>
          <w:sz w:val="22"/>
          <w:szCs w:val="22"/>
          <w:lang w:val="fr-CA" w:eastAsia="en-GB"/>
        </w:rPr>
        <w:t xml:space="preserve"> auront réalis</w:t>
      </w:r>
      <w:r w:rsidRPr="00702E8F">
        <w:rPr>
          <w:bCs/>
          <w:sz w:val="22"/>
          <w:szCs w:val="22"/>
          <w:lang w:val="fr-CA" w:eastAsia="en-GB"/>
        </w:rPr>
        <w:t xml:space="preserve">é d’importants progrès en intégration fiscale, budgétaire et financière, </w:t>
      </w:r>
      <w:r w:rsidR="003D4F61" w:rsidRPr="00702E8F">
        <w:rPr>
          <w:bCs/>
          <w:sz w:val="22"/>
          <w:szCs w:val="22"/>
          <w:lang w:val="fr-CA" w:eastAsia="en-GB"/>
        </w:rPr>
        <w:t xml:space="preserve">notamment en </w:t>
      </w:r>
      <w:r w:rsidR="005D3737">
        <w:rPr>
          <w:bCs/>
          <w:sz w:val="22"/>
          <w:szCs w:val="22"/>
          <w:lang w:val="fr-CA" w:eastAsia="en-GB"/>
        </w:rPr>
        <w:t xml:space="preserve">révisant </w:t>
      </w:r>
      <w:r w:rsidR="00C90F6B">
        <w:rPr>
          <w:bCs/>
          <w:sz w:val="22"/>
          <w:szCs w:val="22"/>
          <w:lang w:val="fr-CA" w:eastAsia="en-GB"/>
        </w:rPr>
        <w:t>tous les budgets gouvernementaux, afin que pour le moins, ils ne so</w:t>
      </w:r>
      <w:r w:rsidR="00D55443">
        <w:rPr>
          <w:bCs/>
          <w:sz w:val="22"/>
          <w:szCs w:val="22"/>
          <w:lang w:val="fr-CA" w:eastAsia="en-GB"/>
        </w:rPr>
        <w:t>ie</w:t>
      </w:r>
      <w:r w:rsidR="00C90F6B">
        <w:rPr>
          <w:bCs/>
          <w:sz w:val="22"/>
          <w:szCs w:val="22"/>
          <w:lang w:val="fr-CA" w:eastAsia="en-GB"/>
        </w:rPr>
        <w:t>nt pas nuisibles pour la biodiversité</w:t>
      </w:r>
      <w:r w:rsidR="00541B3C">
        <w:rPr>
          <w:bCs/>
          <w:sz w:val="22"/>
          <w:szCs w:val="22"/>
          <w:lang w:val="fr-CA" w:eastAsia="en-GB"/>
        </w:rPr>
        <w:t xml:space="preserve"> </w:t>
      </w:r>
      <w:r w:rsidR="00C90F6B">
        <w:rPr>
          <w:bCs/>
          <w:sz w:val="22"/>
          <w:szCs w:val="22"/>
          <w:lang w:val="fr-CA" w:eastAsia="en-GB"/>
        </w:rPr>
        <w:t xml:space="preserve">; en augmentant les mesures d’encouragement positives pour la conservation et </w:t>
      </w:r>
      <w:r w:rsidR="00BB626B">
        <w:rPr>
          <w:bCs/>
          <w:sz w:val="22"/>
          <w:szCs w:val="22"/>
          <w:lang w:val="fr-CA" w:eastAsia="en-GB"/>
        </w:rPr>
        <w:t>l’utilisation</w:t>
      </w:r>
      <w:r w:rsidR="00C90F6B">
        <w:rPr>
          <w:bCs/>
          <w:sz w:val="22"/>
          <w:szCs w:val="22"/>
          <w:lang w:val="fr-CA" w:eastAsia="en-GB"/>
        </w:rPr>
        <w:t xml:space="preserve"> durable de la biodiversit</w:t>
      </w:r>
      <w:r w:rsidR="00BB626B">
        <w:rPr>
          <w:bCs/>
          <w:sz w:val="22"/>
          <w:szCs w:val="22"/>
          <w:lang w:val="fr-CA" w:eastAsia="en-GB"/>
        </w:rPr>
        <w:t xml:space="preserve">é </w:t>
      </w:r>
      <w:r w:rsidR="00C90F6B">
        <w:rPr>
          <w:bCs/>
          <w:sz w:val="22"/>
          <w:szCs w:val="22"/>
          <w:lang w:val="fr-CA" w:eastAsia="en-GB"/>
        </w:rPr>
        <w:t xml:space="preserve">; en augmentant </w:t>
      </w:r>
      <w:r w:rsidR="00BB626B">
        <w:rPr>
          <w:bCs/>
          <w:sz w:val="22"/>
          <w:szCs w:val="22"/>
          <w:lang w:val="fr-CA" w:eastAsia="en-GB"/>
        </w:rPr>
        <w:t>l’utilisation de mesures de dissuasion</w:t>
      </w:r>
      <w:r w:rsidR="00C90F6B">
        <w:rPr>
          <w:bCs/>
          <w:sz w:val="22"/>
          <w:szCs w:val="22"/>
          <w:lang w:val="fr-CA" w:eastAsia="en-GB"/>
        </w:rPr>
        <w:t xml:space="preserve"> </w:t>
      </w:r>
      <w:r w:rsidR="00A465F6" w:rsidRPr="00702E8F">
        <w:rPr>
          <w:bCs/>
          <w:sz w:val="22"/>
          <w:szCs w:val="22"/>
          <w:lang w:val="fr-CA" w:eastAsia="en-GB"/>
        </w:rPr>
        <w:t>afin de décourager les actions nuisibles pour la diversité biologique</w:t>
      </w:r>
      <w:r w:rsidR="00D55443">
        <w:rPr>
          <w:bCs/>
          <w:sz w:val="22"/>
          <w:szCs w:val="22"/>
          <w:lang w:val="fr-CA" w:eastAsia="en-GB"/>
        </w:rPr>
        <w:t xml:space="preserve"> ;</w:t>
      </w:r>
      <w:r w:rsidR="00A465F6" w:rsidRPr="00702E8F">
        <w:rPr>
          <w:bCs/>
          <w:sz w:val="22"/>
          <w:szCs w:val="22"/>
          <w:lang w:val="fr-CA" w:eastAsia="en-GB"/>
        </w:rPr>
        <w:t xml:space="preserve"> </w:t>
      </w:r>
      <w:r w:rsidR="00BB626B">
        <w:rPr>
          <w:bCs/>
          <w:sz w:val="22"/>
          <w:szCs w:val="22"/>
          <w:lang w:val="fr-CA" w:eastAsia="en-GB"/>
        </w:rPr>
        <w:t>et en éliminant les mesures d’encouragement</w:t>
      </w:r>
      <w:r w:rsidR="00D55443">
        <w:rPr>
          <w:bCs/>
          <w:sz w:val="22"/>
          <w:szCs w:val="22"/>
          <w:lang w:val="fr-CA" w:eastAsia="en-GB"/>
        </w:rPr>
        <w:t xml:space="preserve"> nuisibles pour la bio</w:t>
      </w:r>
      <w:r w:rsidR="00BB626B">
        <w:rPr>
          <w:bCs/>
          <w:sz w:val="22"/>
          <w:szCs w:val="22"/>
          <w:lang w:val="fr-CA" w:eastAsia="en-GB"/>
        </w:rPr>
        <w:t>diversité</w:t>
      </w:r>
      <w:r w:rsidR="00D55443">
        <w:rPr>
          <w:bCs/>
          <w:sz w:val="22"/>
          <w:szCs w:val="22"/>
          <w:lang w:val="fr-CA" w:eastAsia="en-GB"/>
        </w:rPr>
        <w:t>; conformément et</w:t>
      </w:r>
      <w:r w:rsidR="00A465F6" w:rsidRPr="00702E8F">
        <w:rPr>
          <w:bCs/>
          <w:sz w:val="22"/>
          <w:szCs w:val="22"/>
          <w:lang w:val="fr-CA" w:eastAsia="en-GB"/>
        </w:rPr>
        <w:t xml:space="preserve"> en harmonie avec la Convention et autres obligations internationales, en tenant compte des si</w:t>
      </w:r>
      <w:r w:rsidR="00D55443">
        <w:rPr>
          <w:bCs/>
          <w:sz w:val="22"/>
          <w:szCs w:val="22"/>
          <w:lang w:val="fr-CA" w:eastAsia="en-GB"/>
        </w:rPr>
        <w:t xml:space="preserve">tuations socioéconomiques </w:t>
      </w:r>
      <w:r w:rsidR="00FC41B2" w:rsidRPr="00702E8F">
        <w:rPr>
          <w:bCs/>
          <w:sz w:val="22"/>
          <w:szCs w:val="22"/>
          <w:lang w:val="fr-CA" w:eastAsia="en-GB"/>
        </w:rPr>
        <w:t>;</w:t>
      </w:r>
    </w:p>
    <w:bookmarkEnd w:id="6"/>
    <w:p w14:paraId="1F57E100" w14:textId="02F00302" w:rsidR="00754320" w:rsidRPr="00702E8F" w:rsidRDefault="00A465F6" w:rsidP="00EC07F9">
      <w:pPr>
        <w:numPr>
          <w:ilvl w:val="0"/>
          <w:numId w:val="47"/>
        </w:numPr>
        <w:spacing w:before="120" w:after="120"/>
        <w:ind w:left="0" w:firstLine="720"/>
        <w:jc w:val="both"/>
        <w:rPr>
          <w:bCs/>
          <w:sz w:val="22"/>
          <w:szCs w:val="22"/>
          <w:lang w:val="fr-CA" w:eastAsia="en-GB"/>
        </w:rPr>
      </w:pPr>
      <w:r w:rsidRPr="00702E8F">
        <w:rPr>
          <w:bCs/>
          <w:sz w:val="22"/>
          <w:szCs w:val="22"/>
          <w:lang w:val="fr-CA" w:eastAsia="en-GB"/>
        </w:rPr>
        <w:t xml:space="preserve">D’ici à [2025], </w:t>
      </w:r>
      <w:r w:rsidR="00323C5E" w:rsidRPr="00702E8F">
        <w:rPr>
          <w:bCs/>
          <w:sz w:val="22"/>
          <w:szCs w:val="22"/>
          <w:lang w:val="fr-CA" w:eastAsia="en-GB"/>
        </w:rPr>
        <w:t xml:space="preserve">les entreprises de tous les secteurs économiques concernés et de tous les niveaux, surtout les grandes entreprises et les multinationales, feront la </w:t>
      </w:r>
      <w:r w:rsidR="00B21B89" w:rsidRPr="00702E8F">
        <w:rPr>
          <w:bCs/>
          <w:sz w:val="22"/>
          <w:szCs w:val="22"/>
          <w:lang w:val="fr-CA" w:eastAsia="en-GB"/>
        </w:rPr>
        <w:t xml:space="preserve">transition à des pratiques durables, notamment dans leur chaîne d’approvisionnement, mettant </w:t>
      </w:r>
      <w:r w:rsidR="00562E41">
        <w:rPr>
          <w:bCs/>
          <w:sz w:val="22"/>
          <w:szCs w:val="22"/>
          <w:lang w:val="fr-CA" w:eastAsia="en-GB"/>
        </w:rPr>
        <w:t xml:space="preserve">au moins </w:t>
      </w:r>
      <w:r w:rsidR="00B21B89" w:rsidRPr="00702E8F">
        <w:rPr>
          <w:bCs/>
          <w:sz w:val="22"/>
          <w:szCs w:val="22"/>
          <w:lang w:val="fr-CA" w:eastAsia="en-GB"/>
        </w:rPr>
        <w:t xml:space="preserve">en évidence </w:t>
      </w:r>
      <w:r w:rsidR="00994139">
        <w:rPr>
          <w:bCs/>
          <w:sz w:val="22"/>
          <w:szCs w:val="22"/>
          <w:lang w:val="fr-CA" w:eastAsia="en-GB"/>
        </w:rPr>
        <w:t>une</w:t>
      </w:r>
      <w:r w:rsidR="00B21B89" w:rsidRPr="00702E8F">
        <w:rPr>
          <w:bCs/>
          <w:sz w:val="22"/>
          <w:szCs w:val="22"/>
          <w:lang w:val="fr-CA" w:eastAsia="en-GB"/>
        </w:rPr>
        <w:t xml:space="preserve"> réduction </w:t>
      </w:r>
      <w:r w:rsidR="00994139">
        <w:rPr>
          <w:bCs/>
          <w:sz w:val="22"/>
          <w:szCs w:val="22"/>
          <w:lang w:val="fr-CA" w:eastAsia="en-GB"/>
        </w:rPr>
        <w:t xml:space="preserve">substantielle </w:t>
      </w:r>
      <w:r w:rsidR="00B21B89" w:rsidRPr="00702E8F">
        <w:rPr>
          <w:bCs/>
          <w:sz w:val="22"/>
          <w:szCs w:val="22"/>
          <w:lang w:val="fr-CA" w:eastAsia="en-GB"/>
        </w:rPr>
        <w:t>des impacts négatifs et, si possible, l’augmentation des impacts positifs sur les écosystèmes et la biodiversité</w:t>
      </w:r>
      <w:r w:rsidR="00110D01">
        <w:rPr>
          <w:bCs/>
          <w:sz w:val="22"/>
          <w:szCs w:val="22"/>
          <w:lang w:val="fr-CA" w:eastAsia="en-GB"/>
        </w:rPr>
        <w:t xml:space="preserve"> </w:t>
      </w:r>
      <w:r w:rsidR="00B21B89" w:rsidRPr="00702E8F">
        <w:rPr>
          <w:bCs/>
          <w:sz w:val="22"/>
          <w:szCs w:val="22"/>
          <w:lang w:val="fr-CA" w:eastAsia="en-GB"/>
        </w:rPr>
        <w:t>;</w:t>
      </w:r>
    </w:p>
    <w:p w14:paraId="2E847D52" w14:textId="5FDA6BD6" w:rsidR="00754320" w:rsidRPr="00702E8F" w:rsidRDefault="00323C5E" w:rsidP="00EC07F9">
      <w:pPr>
        <w:numPr>
          <w:ilvl w:val="0"/>
          <w:numId w:val="47"/>
        </w:numPr>
        <w:spacing w:before="120" w:after="120"/>
        <w:ind w:left="0" w:firstLine="720"/>
        <w:jc w:val="both"/>
        <w:rPr>
          <w:bCs/>
          <w:sz w:val="22"/>
          <w:szCs w:val="22"/>
          <w:lang w:val="fr-CA" w:eastAsia="en-GB"/>
        </w:rPr>
      </w:pPr>
      <w:r w:rsidRPr="00706F1A">
        <w:rPr>
          <w:bCs/>
          <w:sz w:val="22"/>
          <w:szCs w:val="22"/>
          <w:lang w:val="fr-CA" w:eastAsia="en-GB"/>
        </w:rPr>
        <w:t>D’ici</w:t>
      </w:r>
      <w:r w:rsidRPr="00702E8F">
        <w:rPr>
          <w:bCs/>
          <w:sz w:val="22"/>
          <w:szCs w:val="22"/>
          <w:lang w:val="fr-CA" w:eastAsia="en-GB"/>
        </w:rPr>
        <w:t xml:space="preserve"> à [2025], les institutions financières de tous les niveaux, y compris les institutions internationales de financement pour le développement, auront </w:t>
      </w:r>
      <w:r w:rsidR="00706F1A">
        <w:rPr>
          <w:bCs/>
          <w:sz w:val="22"/>
          <w:szCs w:val="22"/>
          <w:lang w:val="fr-CA" w:eastAsia="en-GB"/>
        </w:rPr>
        <w:t>intégré l</w:t>
      </w:r>
      <w:r w:rsidRPr="00702E8F">
        <w:rPr>
          <w:bCs/>
          <w:sz w:val="22"/>
          <w:szCs w:val="22"/>
          <w:lang w:val="fr-CA" w:eastAsia="en-GB"/>
        </w:rPr>
        <w:t>’évaluation des risques pour la diversité biologique</w:t>
      </w:r>
      <w:r w:rsidR="00706F1A">
        <w:rPr>
          <w:bCs/>
          <w:sz w:val="22"/>
          <w:szCs w:val="22"/>
          <w:lang w:val="fr-CA" w:eastAsia="en-GB"/>
        </w:rPr>
        <w:t xml:space="preserve"> aux politiques et processus, et mis</w:t>
      </w:r>
      <w:r w:rsidRPr="00702E8F">
        <w:rPr>
          <w:bCs/>
          <w:sz w:val="22"/>
          <w:szCs w:val="22"/>
          <w:lang w:val="fr-CA" w:eastAsia="en-GB"/>
        </w:rPr>
        <w:t xml:space="preserve"> en évidence </w:t>
      </w:r>
      <w:r w:rsidR="0044176F">
        <w:rPr>
          <w:bCs/>
          <w:sz w:val="22"/>
          <w:szCs w:val="22"/>
          <w:lang w:val="fr-CA" w:eastAsia="en-GB"/>
        </w:rPr>
        <w:t xml:space="preserve">au moins </w:t>
      </w:r>
      <w:r w:rsidR="00E57FAE">
        <w:rPr>
          <w:bCs/>
          <w:sz w:val="22"/>
          <w:szCs w:val="22"/>
          <w:lang w:val="fr-CA" w:eastAsia="en-GB"/>
        </w:rPr>
        <w:t>la</w:t>
      </w:r>
      <w:r w:rsidRPr="00702E8F">
        <w:rPr>
          <w:bCs/>
          <w:sz w:val="22"/>
          <w:szCs w:val="22"/>
          <w:lang w:val="fr-CA" w:eastAsia="en-GB"/>
        </w:rPr>
        <w:t xml:space="preserve"> réduction des impact</w:t>
      </w:r>
      <w:r w:rsidR="00E57FAE">
        <w:rPr>
          <w:bCs/>
          <w:sz w:val="22"/>
          <w:szCs w:val="22"/>
          <w:lang w:val="fr-CA" w:eastAsia="en-GB"/>
        </w:rPr>
        <w:t>s</w:t>
      </w:r>
      <w:r w:rsidRPr="00702E8F">
        <w:rPr>
          <w:bCs/>
          <w:sz w:val="22"/>
          <w:szCs w:val="22"/>
          <w:lang w:val="fr-CA" w:eastAsia="en-GB"/>
        </w:rPr>
        <w:t xml:space="preserve"> négatifs dans</w:t>
      </w:r>
      <w:r w:rsidR="00E57FAE">
        <w:rPr>
          <w:bCs/>
          <w:sz w:val="22"/>
          <w:szCs w:val="22"/>
          <w:lang w:val="fr-CA" w:eastAsia="en-GB"/>
        </w:rPr>
        <w:t xml:space="preserve"> l’ensemble de </w:t>
      </w:r>
      <w:r w:rsidRPr="00702E8F">
        <w:rPr>
          <w:bCs/>
          <w:sz w:val="22"/>
          <w:szCs w:val="22"/>
          <w:lang w:val="fr-CA" w:eastAsia="en-GB"/>
        </w:rPr>
        <w:t>leur portefeuille et augment</w:t>
      </w:r>
      <w:r w:rsidR="0044176F">
        <w:rPr>
          <w:bCs/>
          <w:sz w:val="22"/>
          <w:szCs w:val="22"/>
          <w:lang w:val="fr-CA" w:eastAsia="en-GB"/>
        </w:rPr>
        <w:t>é</w:t>
      </w:r>
      <w:r w:rsidRPr="00702E8F">
        <w:rPr>
          <w:bCs/>
          <w:sz w:val="22"/>
          <w:szCs w:val="22"/>
          <w:lang w:val="fr-CA" w:eastAsia="en-GB"/>
        </w:rPr>
        <w:t xml:space="preserve"> les sommes du financement dédié</w:t>
      </w:r>
      <w:r w:rsidR="00706F1A">
        <w:rPr>
          <w:bCs/>
          <w:sz w:val="22"/>
          <w:szCs w:val="22"/>
          <w:lang w:val="fr-CA" w:eastAsia="en-GB"/>
        </w:rPr>
        <w:t xml:space="preserve"> à la biodiversité</w:t>
      </w:r>
      <w:r w:rsidRPr="00702E8F">
        <w:rPr>
          <w:bCs/>
          <w:sz w:val="22"/>
          <w:szCs w:val="22"/>
          <w:lang w:val="fr-CA" w:eastAsia="en-GB"/>
        </w:rPr>
        <w:t>, et présenteront des rapport</w:t>
      </w:r>
      <w:r w:rsidR="00E453D1">
        <w:rPr>
          <w:bCs/>
          <w:sz w:val="22"/>
          <w:szCs w:val="22"/>
          <w:lang w:val="fr-CA" w:eastAsia="en-GB"/>
        </w:rPr>
        <w:t>s</w:t>
      </w:r>
      <w:r w:rsidRPr="00702E8F">
        <w:rPr>
          <w:bCs/>
          <w:sz w:val="22"/>
          <w:szCs w:val="22"/>
          <w:lang w:val="fr-CA" w:eastAsia="en-GB"/>
        </w:rPr>
        <w:t xml:space="preserve"> </w:t>
      </w:r>
      <w:r w:rsidR="00706F1A">
        <w:rPr>
          <w:bCs/>
          <w:sz w:val="22"/>
          <w:szCs w:val="22"/>
          <w:lang w:val="fr-CA" w:eastAsia="en-GB"/>
        </w:rPr>
        <w:t>sur les risques, les impacts et le financement</w:t>
      </w:r>
      <w:r w:rsidR="00754320" w:rsidRPr="00702E8F">
        <w:rPr>
          <w:bCs/>
          <w:sz w:val="22"/>
          <w:szCs w:val="22"/>
          <w:lang w:val="fr-CA" w:eastAsia="en-GB"/>
        </w:rPr>
        <w:t>.</w:t>
      </w:r>
    </w:p>
    <w:p w14:paraId="44AE71DB" w14:textId="76C59C03" w:rsidR="00754320" w:rsidRPr="00702E8F" w:rsidRDefault="00B21B89" w:rsidP="003D01D2">
      <w:pPr>
        <w:pStyle w:val="Para1"/>
        <w:numPr>
          <w:ilvl w:val="0"/>
          <w:numId w:val="58"/>
        </w:numPr>
        <w:suppressLineNumbers/>
        <w:suppressAutoHyphens/>
        <w:spacing w:before="120"/>
        <w:ind w:left="0" w:firstLine="0"/>
        <w:jc w:val="both"/>
        <w:rPr>
          <w:sz w:val="22"/>
          <w:szCs w:val="22"/>
          <w:lang w:val="fr-CA"/>
        </w:rPr>
      </w:pPr>
      <w:bookmarkStart w:id="7" w:name="_Hlk40290973"/>
      <w:r w:rsidRPr="00702E8F">
        <w:rPr>
          <w:sz w:val="22"/>
          <w:szCs w:val="22"/>
          <w:lang w:val="fr-CA"/>
        </w:rPr>
        <w:t xml:space="preserve">La </w:t>
      </w:r>
      <w:r w:rsidR="00D22DDF" w:rsidRPr="00702E8F">
        <w:rPr>
          <w:sz w:val="22"/>
          <w:szCs w:val="22"/>
          <w:lang w:val="fr-CA"/>
        </w:rPr>
        <w:t>génération</w:t>
      </w:r>
      <w:r w:rsidRPr="00702E8F">
        <w:rPr>
          <w:sz w:val="22"/>
          <w:szCs w:val="22"/>
          <w:lang w:val="fr-CA"/>
        </w:rPr>
        <w:t xml:space="preserve"> de ressources supplémentaires </w:t>
      </w:r>
      <w:r w:rsidR="008C4351" w:rsidRPr="00702E8F">
        <w:rPr>
          <w:sz w:val="22"/>
          <w:szCs w:val="22"/>
          <w:lang w:val="fr-CA"/>
        </w:rPr>
        <w:t>sera</w:t>
      </w:r>
      <w:r w:rsidR="00D22DDF" w:rsidRPr="00702E8F">
        <w:rPr>
          <w:sz w:val="22"/>
          <w:szCs w:val="22"/>
          <w:lang w:val="fr-CA"/>
        </w:rPr>
        <w:t xml:space="preserve"> également un élément important de la mise en œuvre du cadre mondial de la biodiversité pour l</w:t>
      </w:r>
      <w:r w:rsidR="00E453D1">
        <w:rPr>
          <w:sz w:val="22"/>
          <w:szCs w:val="22"/>
          <w:lang w:val="fr-CA"/>
        </w:rPr>
        <w:t>’</w:t>
      </w:r>
      <w:r w:rsidR="00D22DDF" w:rsidRPr="00702E8F">
        <w:rPr>
          <w:sz w:val="22"/>
          <w:szCs w:val="22"/>
          <w:lang w:val="fr-CA"/>
        </w:rPr>
        <w:t xml:space="preserve">après-2020 </w:t>
      </w:r>
      <w:r w:rsidR="001D1461">
        <w:rPr>
          <w:sz w:val="22"/>
          <w:szCs w:val="22"/>
          <w:lang w:val="fr-CA"/>
        </w:rPr>
        <w:t>qui</w:t>
      </w:r>
      <w:r w:rsidR="00D22DDF" w:rsidRPr="00702E8F">
        <w:rPr>
          <w:sz w:val="22"/>
          <w:szCs w:val="22"/>
          <w:lang w:val="fr-CA"/>
        </w:rPr>
        <w:t xml:space="preserve"> exigera l’</w:t>
      </w:r>
      <w:r w:rsidR="008C4351" w:rsidRPr="00702E8F">
        <w:rPr>
          <w:sz w:val="22"/>
          <w:szCs w:val="22"/>
          <w:lang w:val="fr-CA"/>
        </w:rPr>
        <w:t>é</w:t>
      </w:r>
      <w:r w:rsidR="00D22DDF" w:rsidRPr="00702E8F">
        <w:rPr>
          <w:sz w:val="22"/>
          <w:szCs w:val="22"/>
          <w:lang w:val="fr-CA"/>
        </w:rPr>
        <w:t>tablissemen</w:t>
      </w:r>
      <w:r w:rsidR="008C4351" w:rsidRPr="00702E8F">
        <w:rPr>
          <w:sz w:val="22"/>
          <w:szCs w:val="22"/>
          <w:lang w:val="fr-CA"/>
        </w:rPr>
        <w:t xml:space="preserve">t </w:t>
      </w:r>
      <w:r w:rsidR="001D1461">
        <w:rPr>
          <w:sz w:val="22"/>
          <w:szCs w:val="22"/>
          <w:lang w:val="fr-CA"/>
        </w:rPr>
        <w:t>d’objectifs ambitieux</w:t>
      </w:r>
      <w:r w:rsidR="008C4351" w:rsidRPr="00702E8F">
        <w:rPr>
          <w:sz w:val="22"/>
          <w:szCs w:val="22"/>
          <w:lang w:val="fr-CA"/>
        </w:rPr>
        <w:t xml:space="preserve"> pour l’</w:t>
      </w:r>
      <w:r w:rsidR="00D22DDF" w:rsidRPr="00702E8F">
        <w:rPr>
          <w:sz w:val="22"/>
          <w:szCs w:val="22"/>
          <w:lang w:val="fr-CA"/>
        </w:rPr>
        <w:t xml:space="preserve">augmentation des ressources </w:t>
      </w:r>
      <w:r w:rsidR="008C4351" w:rsidRPr="00702E8F">
        <w:rPr>
          <w:sz w:val="22"/>
          <w:szCs w:val="22"/>
          <w:lang w:val="fr-CA"/>
        </w:rPr>
        <w:t>internati</w:t>
      </w:r>
      <w:r w:rsidR="00D22DDF" w:rsidRPr="00702E8F">
        <w:rPr>
          <w:sz w:val="22"/>
          <w:szCs w:val="22"/>
          <w:lang w:val="fr-CA"/>
        </w:rPr>
        <w:t xml:space="preserve">onales et nationales pour la biodiversité. Bien que le financement international </w:t>
      </w:r>
      <w:r w:rsidR="008C4351" w:rsidRPr="00702E8F">
        <w:rPr>
          <w:sz w:val="22"/>
          <w:szCs w:val="22"/>
          <w:lang w:val="fr-CA"/>
        </w:rPr>
        <w:t>pour le dévelop</w:t>
      </w:r>
      <w:r w:rsidR="00D22DDF" w:rsidRPr="00702E8F">
        <w:rPr>
          <w:sz w:val="22"/>
          <w:szCs w:val="22"/>
          <w:lang w:val="fr-CA"/>
        </w:rPr>
        <w:t>pement, tant bila</w:t>
      </w:r>
      <w:r w:rsidR="001D1461">
        <w:rPr>
          <w:sz w:val="22"/>
          <w:szCs w:val="22"/>
          <w:lang w:val="fr-CA"/>
        </w:rPr>
        <w:t>téral que multilatéral, demeure</w:t>
      </w:r>
      <w:r w:rsidR="00D22DDF" w:rsidRPr="00702E8F">
        <w:rPr>
          <w:sz w:val="22"/>
          <w:szCs w:val="22"/>
          <w:lang w:val="fr-CA"/>
        </w:rPr>
        <w:t xml:space="preserve"> important, l’augmentation des flux internationaux de financement privé</w:t>
      </w:r>
      <w:r w:rsidR="008C4351" w:rsidRPr="00702E8F">
        <w:rPr>
          <w:sz w:val="22"/>
          <w:szCs w:val="22"/>
          <w:lang w:val="fr-CA"/>
        </w:rPr>
        <w:t xml:space="preserve"> doit ê</w:t>
      </w:r>
      <w:r w:rsidR="00D22DDF" w:rsidRPr="00702E8F">
        <w:rPr>
          <w:sz w:val="22"/>
          <w:szCs w:val="22"/>
          <w:lang w:val="fr-CA"/>
        </w:rPr>
        <w:t>tre fortement encouragé</w:t>
      </w:r>
      <w:r w:rsidR="00E453D1">
        <w:rPr>
          <w:sz w:val="22"/>
          <w:szCs w:val="22"/>
          <w:lang w:val="fr-CA"/>
        </w:rPr>
        <w:t>e</w:t>
      </w:r>
      <w:r w:rsidR="00D22DDF" w:rsidRPr="00702E8F">
        <w:rPr>
          <w:sz w:val="22"/>
          <w:szCs w:val="22"/>
          <w:lang w:val="fr-CA"/>
        </w:rPr>
        <w:t xml:space="preserve"> et </w:t>
      </w:r>
      <w:r w:rsidR="00B10315" w:rsidRPr="00702E8F">
        <w:rPr>
          <w:sz w:val="22"/>
          <w:szCs w:val="22"/>
          <w:lang w:val="fr-CA"/>
        </w:rPr>
        <w:t xml:space="preserve">visé par des mesures </w:t>
      </w:r>
      <w:r w:rsidR="008C4351" w:rsidRPr="00702E8F">
        <w:rPr>
          <w:sz w:val="22"/>
          <w:szCs w:val="22"/>
          <w:lang w:val="fr-CA"/>
        </w:rPr>
        <w:t xml:space="preserve">à </w:t>
      </w:r>
      <w:r w:rsidR="00B10315" w:rsidRPr="00702E8F">
        <w:rPr>
          <w:sz w:val="22"/>
          <w:szCs w:val="22"/>
          <w:lang w:val="fr-CA"/>
        </w:rPr>
        <w:t>cet égard en se rappelant que le</w:t>
      </w:r>
      <w:r w:rsidR="001D1461">
        <w:rPr>
          <w:sz w:val="22"/>
          <w:szCs w:val="22"/>
          <w:lang w:val="fr-CA"/>
        </w:rPr>
        <w:t>s mesures de</w:t>
      </w:r>
      <w:r w:rsidR="00B10315" w:rsidRPr="00702E8F">
        <w:rPr>
          <w:sz w:val="22"/>
          <w:szCs w:val="22"/>
          <w:lang w:val="fr-CA"/>
        </w:rPr>
        <w:t xml:space="preserve"> financement international et national peu</w:t>
      </w:r>
      <w:r w:rsidR="001D1461">
        <w:rPr>
          <w:sz w:val="22"/>
          <w:szCs w:val="22"/>
          <w:lang w:val="fr-CA"/>
        </w:rPr>
        <w:t>ven</w:t>
      </w:r>
      <w:r w:rsidR="00B10315" w:rsidRPr="00702E8F">
        <w:rPr>
          <w:sz w:val="22"/>
          <w:szCs w:val="22"/>
          <w:lang w:val="fr-CA"/>
        </w:rPr>
        <w:t>t se soutenir et se renforcer mutuellement. Advenant la mise en œuvre des travaux proposés sur les rapports su</w:t>
      </w:r>
      <w:r w:rsidR="008C4351" w:rsidRPr="00702E8F">
        <w:rPr>
          <w:sz w:val="22"/>
          <w:szCs w:val="22"/>
          <w:lang w:val="fr-CA"/>
        </w:rPr>
        <w:t>g</w:t>
      </w:r>
      <w:r w:rsidR="00B10315" w:rsidRPr="00702E8F">
        <w:rPr>
          <w:sz w:val="22"/>
          <w:szCs w:val="22"/>
          <w:lang w:val="fr-CA"/>
        </w:rPr>
        <w:t xml:space="preserve">gérés ci-dessous (voir les </w:t>
      </w:r>
      <w:r w:rsidR="00241757">
        <w:rPr>
          <w:sz w:val="22"/>
          <w:szCs w:val="22"/>
          <w:lang w:val="fr-CA"/>
        </w:rPr>
        <w:t>paragraphes 44-45</w:t>
      </w:r>
      <w:r w:rsidR="00B10315" w:rsidRPr="00702E8F">
        <w:rPr>
          <w:sz w:val="22"/>
          <w:szCs w:val="22"/>
          <w:lang w:val="fr-CA"/>
        </w:rPr>
        <w:t>), il sera plus facile de les suivre et de les comptabiliser au</w:t>
      </w:r>
      <w:r w:rsidR="00E453D1">
        <w:rPr>
          <w:sz w:val="22"/>
          <w:szCs w:val="22"/>
          <w:lang w:val="fr-CA"/>
        </w:rPr>
        <w:t>x</w:t>
      </w:r>
      <w:r w:rsidR="00B10315" w:rsidRPr="00702E8F">
        <w:rPr>
          <w:sz w:val="22"/>
          <w:szCs w:val="22"/>
          <w:lang w:val="fr-CA"/>
        </w:rPr>
        <w:t xml:space="preserve"> niveaux m</w:t>
      </w:r>
      <w:r w:rsidR="008C4351" w:rsidRPr="00702E8F">
        <w:rPr>
          <w:sz w:val="22"/>
          <w:szCs w:val="22"/>
          <w:lang w:val="fr-CA"/>
        </w:rPr>
        <w:t>o</w:t>
      </w:r>
      <w:r w:rsidR="00B10315" w:rsidRPr="00702E8F">
        <w:rPr>
          <w:sz w:val="22"/>
          <w:szCs w:val="22"/>
          <w:lang w:val="fr-CA"/>
        </w:rPr>
        <w:t>ndial et national, facilitant ainsi la mesure des progrès par rap</w:t>
      </w:r>
      <w:r w:rsidR="008C4351" w:rsidRPr="00702E8F">
        <w:rPr>
          <w:sz w:val="22"/>
          <w:szCs w:val="22"/>
          <w:lang w:val="fr-CA"/>
        </w:rPr>
        <w:t>port aux ci</w:t>
      </w:r>
      <w:r w:rsidR="00B10315" w:rsidRPr="00702E8F">
        <w:rPr>
          <w:sz w:val="22"/>
          <w:szCs w:val="22"/>
          <w:lang w:val="fr-CA"/>
        </w:rPr>
        <w:t xml:space="preserve">bles internationales. </w:t>
      </w:r>
      <w:r w:rsidR="001D1461">
        <w:rPr>
          <w:sz w:val="22"/>
          <w:szCs w:val="22"/>
          <w:lang w:val="fr-CA"/>
        </w:rPr>
        <w:t>Cet objectif</w:t>
      </w:r>
      <w:r w:rsidR="00B10315" w:rsidRPr="00702E8F">
        <w:rPr>
          <w:sz w:val="22"/>
          <w:szCs w:val="22"/>
          <w:lang w:val="fr-CA"/>
        </w:rPr>
        <w:t xml:space="preserve"> peut être exprimé dans</w:t>
      </w:r>
      <w:r w:rsidR="008C4351" w:rsidRPr="00702E8F">
        <w:rPr>
          <w:sz w:val="22"/>
          <w:szCs w:val="22"/>
          <w:lang w:val="fr-CA"/>
        </w:rPr>
        <w:t xml:space="preserve"> un libellé ressemblant à ce qui suit</w:t>
      </w:r>
      <w:r w:rsidR="00E453D1">
        <w:rPr>
          <w:sz w:val="22"/>
          <w:szCs w:val="22"/>
          <w:lang w:val="fr-CA"/>
        </w:rPr>
        <w:t> </w:t>
      </w:r>
      <w:r w:rsidR="00754320" w:rsidRPr="00702E8F">
        <w:rPr>
          <w:sz w:val="22"/>
          <w:szCs w:val="22"/>
          <w:lang w:val="fr-CA"/>
        </w:rPr>
        <w:t>:</w:t>
      </w:r>
    </w:p>
    <w:p w14:paraId="05DA3880" w14:textId="3B72C161" w:rsidR="003B04C0" w:rsidRPr="00702E8F" w:rsidRDefault="008C4351" w:rsidP="0044176F">
      <w:pPr>
        <w:spacing w:before="120" w:after="120"/>
        <w:ind w:left="720" w:firstLine="720"/>
        <w:jc w:val="both"/>
        <w:rPr>
          <w:sz w:val="22"/>
          <w:szCs w:val="22"/>
          <w:lang w:val="fr-CA" w:eastAsia="en-GB"/>
        </w:rPr>
      </w:pPr>
      <w:r w:rsidRPr="00702E8F">
        <w:rPr>
          <w:sz w:val="22"/>
          <w:szCs w:val="22"/>
          <w:lang w:val="fr-CA" w:eastAsia="en-GB"/>
        </w:rPr>
        <w:t xml:space="preserve">D’ici à 2030, les flux financiers internationaux liés à la biodiversité destinés aux pays en développement, surtout les pays les moins avancés et les petits États insulaires, ainsi que les pays à économie en transition, auront </w:t>
      </w:r>
      <w:r w:rsidR="000148BE">
        <w:rPr>
          <w:sz w:val="22"/>
          <w:szCs w:val="22"/>
          <w:lang w:val="fr-CA" w:eastAsia="en-GB"/>
        </w:rPr>
        <w:t>atteint ou dépassé</w:t>
      </w:r>
      <w:r w:rsidRPr="00702E8F">
        <w:rPr>
          <w:sz w:val="22"/>
          <w:szCs w:val="22"/>
          <w:lang w:val="fr-CA" w:eastAsia="en-GB"/>
        </w:rPr>
        <w:t xml:space="preserve"> [repère et indicateur de progrès </w:t>
      </w:r>
      <w:r w:rsidR="0059723F" w:rsidRPr="00702E8F">
        <w:rPr>
          <w:sz w:val="22"/>
          <w:szCs w:val="22"/>
          <w:lang w:val="fr-CA" w:eastAsia="en-GB"/>
        </w:rPr>
        <w:t>devant faire consensus</w:t>
      </w:r>
      <w:r w:rsidR="000148BE" w:rsidRPr="000A37BF">
        <w:rPr>
          <w:rStyle w:val="Appelnotedebasdep"/>
          <w:kern w:val="22"/>
          <w:sz w:val="22"/>
          <w:szCs w:val="22"/>
          <w:u w:val="none"/>
          <w:vertAlign w:val="superscript"/>
          <w:lang w:val="en-GB" w:eastAsia="en-GB"/>
        </w:rPr>
        <w:footnoteReference w:id="53"/>
      </w:r>
      <w:r w:rsidR="0059723F" w:rsidRPr="00702E8F">
        <w:rPr>
          <w:sz w:val="22"/>
          <w:szCs w:val="22"/>
          <w:lang w:val="fr-CA" w:eastAsia="en-GB"/>
        </w:rPr>
        <w:t>]</w:t>
      </w:r>
      <w:r w:rsidR="00FD3795">
        <w:rPr>
          <w:sz w:val="22"/>
          <w:szCs w:val="22"/>
          <w:lang w:val="fr-CA" w:eastAsia="en-GB"/>
        </w:rPr>
        <w:t>,</w:t>
      </w:r>
      <w:r w:rsidR="0059723F" w:rsidRPr="00702E8F">
        <w:rPr>
          <w:sz w:val="22"/>
          <w:szCs w:val="22"/>
          <w:lang w:val="fr-CA" w:eastAsia="en-GB"/>
        </w:rPr>
        <w:t xml:space="preserve"> conformément aux ambitions des </w:t>
      </w:r>
      <w:r w:rsidR="001D1461">
        <w:rPr>
          <w:sz w:val="22"/>
          <w:szCs w:val="22"/>
          <w:lang w:val="fr-CA" w:eastAsia="en-GB"/>
        </w:rPr>
        <w:t>objectifs</w:t>
      </w:r>
      <w:r w:rsidR="0059723F" w:rsidRPr="00702E8F">
        <w:rPr>
          <w:sz w:val="22"/>
          <w:szCs w:val="22"/>
          <w:lang w:val="fr-CA" w:eastAsia="en-GB"/>
        </w:rPr>
        <w:t xml:space="preserve"> </w:t>
      </w:r>
      <w:r w:rsidR="000148BE">
        <w:rPr>
          <w:sz w:val="22"/>
          <w:szCs w:val="22"/>
          <w:lang w:val="fr-CA" w:eastAsia="en-GB"/>
        </w:rPr>
        <w:t>de ce</w:t>
      </w:r>
      <w:r w:rsidR="0059723F" w:rsidRPr="00702E8F">
        <w:rPr>
          <w:sz w:val="22"/>
          <w:szCs w:val="22"/>
          <w:lang w:val="fr-CA" w:eastAsia="en-GB"/>
        </w:rPr>
        <w:t xml:space="preserve"> cadre et à l’article 20 de la Convention</w:t>
      </w:r>
      <w:r w:rsidR="00754320" w:rsidRPr="00702E8F">
        <w:rPr>
          <w:sz w:val="22"/>
          <w:szCs w:val="22"/>
          <w:lang w:val="fr-CA" w:eastAsia="en-GB"/>
        </w:rPr>
        <w:t>.</w:t>
      </w:r>
    </w:p>
    <w:bookmarkEnd w:id="7"/>
    <w:p w14:paraId="157A3FE1" w14:textId="4A1158F6" w:rsidR="00754320" w:rsidRPr="00702E8F" w:rsidRDefault="00331395" w:rsidP="003D01D2">
      <w:pPr>
        <w:pStyle w:val="Para1"/>
        <w:numPr>
          <w:ilvl w:val="0"/>
          <w:numId w:val="58"/>
        </w:numPr>
        <w:suppressLineNumbers/>
        <w:suppressAutoHyphens/>
        <w:spacing w:before="120"/>
        <w:ind w:left="0" w:firstLine="0"/>
        <w:jc w:val="both"/>
        <w:rPr>
          <w:sz w:val="22"/>
          <w:szCs w:val="22"/>
          <w:lang w:val="fr-CA"/>
        </w:rPr>
      </w:pPr>
      <w:r w:rsidRPr="00702E8F">
        <w:rPr>
          <w:sz w:val="22"/>
          <w:szCs w:val="22"/>
          <w:lang w:val="fr-CA"/>
        </w:rPr>
        <w:t xml:space="preserve">Les dépenses intérieures représentent la majorité </w:t>
      </w:r>
      <w:r w:rsidR="00562E41">
        <w:rPr>
          <w:sz w:val="22"/>
          <w:szCs w:val="22"/>
          <w:lang w:val="fr-CA"/>
        </w:rPr>
        <w:t>des</w:t>
      </w:r>
      <w:r w:rsidRPr="00702E8F">
        <w:rPr>
          <w:sz w:val="22"/>
          <w:szCs w:val="22"/>
          <w:lang w:val="fr-CA"/>
        </w:rPr>
        <w:t xml:space="preserve"> dépenses mondiales pour l</w:t>
      </w:r>
      <w:r w:rsidR="00B62DB0">
        <w:rPr>
          <w:sz w:val="22"/>
          <w:szCs w:val="22"/>
          <w:lang w:val="fr-CA"/>
        </w:rPr>
        <w:t>a biodiversité, à savoir de 7</w:t>
      </w:r>
      <w:r w:rsidR="00FD3795">
        <w:rPr>
          <w:sz w:val="22"/>
          <w:szCs w:val="22"/>
          <w:lang w:val="fr-CA"/>
        </w:rPr>
        <w:t>5</w:t>
      </w:r>
      <w:r w:rsidR="00B62DB0">
        <w:rPr>
          <w:sz w:val="22"/>
          <w:szCs w:val="22"/>
          <w:lang w:val="fr-CA"/>
        </w:rPr>
        <w:t xml:space="preserve"> à</w:t>
      </w:r>
      <w:r w:rsidRPr="00702E8F">
        <w:rPr>
          <w:sz w:val="22"/>
          <w:szCs w:val="22"/>
          <w:lang w:val="fr-CA"/>
        </w:rPr>
        <w:t xml:space="preserve"> 87 pour cent du total, selon l’OCDE</w:t>
      </w:r>
      <w:r w:rsidRPr="00702E8F">
        <w:rPr>
          <w:rStyle w:val="Appelnotedebasdep"/>
          <w:sz w:val="22"/>
          <w:szCs w:val="22"/>
          <w:u w:val="none"/>
          <w:vertAlign w:val="superscript"/>
        </w:rPr>
        <w:footnoteReference w:id="54"/>
      </w:r>
      <w:r w:rsidR="00B220FF">
        <w:rPr>
          <w:sz w:val="22"/>
          <w:szCs w:val="22"/>
          <w:lang w:val="fr-CA"/>
        </w:rPr>
        <w:t>, comme indiqué ci-dessus</w:t>
      </w:r>
      <w:r w:rsidRPr="00702E8F">
        <w:rPr>
          <w:sz w:val="22"/>
          <w:szCs w:val="22"/>
          <w:lang w:val="fr-CA"/>
        </w:rPr>
        <w:t xml:space="preserve"> </w:t>
      </w:r>
      <w:r w:rsidR="00B62DB0">
        <w:rPr>
          <w:sz w:val="22"/>
          <w:szCs w:val="22"/>
          <w:lang w:val="fr-CA"/>
        </w:rPr>
        <w:t xml:space="preserve">L’objectif </w:t>
      </w:r>
      <w:r w:rsidRPr="00702E8F">
        <w:rPr>
          <w:sz w:val="22"/>
          <w:szCs w:val="22"/>
          <w:lang w:val="fr-CA"/>
        </w:rPr>
        <w:t>de mobilisation des ressources intérieures devient donc un autre élément important de la s</w:t>
      </w:r>
      <w:r w:rsidR="00B62DB0">
        <w:rPr>
          <w:sz w:val="22"/>
          <w:szCs w:val="22"/>
          <w:lang w:val="fr-CA"/>
        </w:rPr>
        <w:t xml:space="preserve">érie d’objectifs </w:t>
      </w:r>
      <w:r w:rsidRPr="00702E8F">
        <w:rPr>
          <w:sz w:val="22"/>
          <w:szCs w:val="22"/>
          <w:lang w:val="fr-CA"/>
        </w:rPr>
        <w:t xml:space="preserve">proposés. </w:t>
      </w:r>
      <w:r w:rsidR="00B62DB0">
        <w:rPr>
          <w:sz w:val="22"/>
          <w:szCs w:val="22"/>
          <w:lang w:val="fr-CA"/>
        </w:rPr>
        <w:t xml:space="preserve">Il doit </w:t>
      </w:r>
      <w:r w:rsidR="00FD3795">
        <w:rPr>
          <w:sz w:val="22"/>
          <w:szCs w:val="22"/>
          <w:lang w:val="fr-CA"/>
        </w:rPr>
        <w:lastRenderedPageBreak/>
        <w:t xml:space="preserve">tenir compte de tous les autres objectifs convenus dans le cadre mondial de la biodiversité pour l'après-2020 et </w:t>
      </w:r>
      <w:r w:rsidR="00B220FF">
        <w:rPr>
          <w:sz w:val="22"/>
          <w:szCs w:val="22"/>
          <w:lang w:val="fr-CA"/>
        </w:rPr>
        <w:t xml:space="preserve">de </w:t>
      </w:r>
      <w:r w:rsidR="00FD3795">
        <w:rPr>
          <w:sz w:val="22"/>
          <w:szCs w:val="22"/>
          <w:lang w:val="fr-CA"/>
        </w:rPr>
        <w:t xml:space="preserve">l’évaluation par les Parties du coût de leur réalisation dans leur propre pays, selon les besoins et les circonstances </w:t>
      </w:r>
      <w:r w:rsidR="006C7F81">
        <w:rPr>
          <w:sz w:val="22"/>
          <w:szCs w:val="22"/>
          <w:lang w:val="fr-CA"/>
        </w:rPr>
        <w:t>du pays</w:t>
      </w:r>
      <w:r w:rsidR="00B220FF">
        <w:rPr>
          <w:sz w:val="22"/>
          <w:szCs w:val="22"/>
          <w:lang w:val="fr-CA"/>
        </w:rPr>
        <w:t>. T</w:t>
      </w:r>
      <w:r w:rsidR="00172C5E" w:rsidRPr="00702E8F">
        <w:rPr>
          <w:sz w:val="22"/>
          <w:szCs w:val="22"/>
          <w:lang w:val="fr-CA"/>
        </w:rPr>
        <w:t xml:space="preserve">outes les Parties auraient l’obligation de fixer des </w:t>
      </w:r>
      <w:r w:rsidR="00B62DB0">
        <w:rPr>
          <w:sz w:val="22"/>
          <w:szCs w:val="22"/>
          <w:lang w:val="fr-CA"/>
        </w:rPr>
        <w:t>objectifs déterminés</w:t>
      </w:r>
      <w:r w:rsidR="00172C5E" w:rsidRPr="00702E8F">
        <w:rPr>
          <w:sz w:val="22"/>
          <w:szCs w:val="22"/>
          <w:lang w:val="fr-CA"/>
        </w:rPr>
        <w:t xml:space="preserve"> </w:t>
      </w:r>
      <w:r w:rsidR="006C7F81">
        <w:rPr>
          <w:sz w:val="22"/>
          <w:szCs w:val="22"/>
          <w:lang w:val="fr-CA"/>
        </w:rPr>
        <w:t>pour le pays et d’en faire rapport à la Convention</w:t>
      </w:r>
      <w:r w:rsidR="00B220FF">
        <w:rPr>
          <w:sz w:val="22"/>
          <w:szCs w:val="22"/>
          <w:lang w:val="fr-CA"/>
        </w:rPr>
        <w:t xml:space="preserve">. L’engagement à mettre en place des objectifs pour le pays </w:t>
      </w:r>
      <w:r w:rsidR="00E24680" w:rsidRPr="00702E8F">
        <w:rPr>
          <w:sz w:val="22"/>
          <w:szCs w:val="22"/>
          <w:lang w:val="fr-CA"/>
        </w:rPr>
        <w:t>pourrait être libellé comme ceci</w:t>
      </w:r>
      <w:r w:rsidR="00E453D1">
        <w:rPr>
          <w:sz w:val="22"/>
          <w:szCs w:val="22"/>
          <w:lang w:val="fr-CA"/>
        </w:rPr>
        <w:t> </w:t>
      </w:r>
      <w:r w:rsidR="00754320" w:rsidRPr="00702E8F">
        <w:rPr>
          <w:sz w:val="22"/>
          <w:szCs w:val="22"/>
          <w:lang w:val="fr-CA"/>
        </w:rPr>
        <w:t>:</w:t>
      </w:r>
    </w:p>
    <w:p w14:paraId="0162F6D7" w14:textId="32E52392" w:rsidR="00754320" w:rsidRPr="00702E8F" w:rsidRDefault="006C7F81" w:rsidP="00B220FF">
      <w:pPr>
        <w:spacing w:before="120" w:after="120"/>
        <w:ind w:left="720" w:firstLine="720"/>
        <w:jc w:val="both"/>
        <w:rPr>
          <w:bCs/>
          <w:sz w:val="22"/>
          <w:szCs w:val="22"/>
          <w:lang w:val="fr-CA" w:eastAsia="en-GB"/>
        </w:rPr>
      </w:pPr>
      <w:r>
        <w:rPr>
          <w:bCs/>
          <w:sz w:val="22"/>
          <w:szCs w:val="22"/>
          <w:lang w:val="fr-CA" w:eastAsia="en-GB"/>
        </w:rPr>
        <w:t>D’ici à [2022</w:t>
      </w:r>
      <w:r w:rsidR="00E24680" w:rsidRPr="00702E8F">
        <w:rPr>
          <w:bCs/>
          <w:sz w:val="22"/>
          <w:szCs w:val="22"/>
          <w:lang w:val="fr-CA" w:eastAsia="en-GB"/>
        </w:rPr>
        <w:t>],</w:t>
      </w:r>
      <w:r>
        <w:rPr>
          <w:bCs/>
          <w:sz w:val="22"/>
          <w:szCs w:val="22"/>
          <w:lang w:val="fr-CA" w:eastAsia="en-GB"/>
        </w:rPr>
        <w:t xml:space="preserve"> tous</w:t>
      </w:r>
      <w:r w:rsidR="00E24680" w:rsidRPr="00702E8F">
        <w:rPr>
          <w:bCs/>
          <w:sz w:val="22"/>
          <w:szCs w:val="22"/>
          <w:lang w:val="fr-CA" w:eastAsia="en-GB"/>
        </w:rPr>
        <w:t xml:space="preserve"> les </w:t>
      </w:r>
      <w:r>
        <w:rPr>
          <w:bCs/>
          <w:sz w:val="22"/>
          <w:szCs w:val="22"/>
          <w:lang w:val="fr-CA" w:eastAsia="en-GB"/>
        </w:rPr>
        <w:t>pays</w:t>
      </w:r>
      <w:r w:rsidR="00E24680" w:rsidRPr="00702E8F">
        <w:rPr>
          <w:bCs/>
          <w:sz w:val="22"/>
          <w:szCs w:val="22"/>
          <w:lang w:val="fr-CA" w:eastAsia="en-GB"/>
        </w:rPr>
        <w:t xml:space="preserve"> auront établi un</w:t>
      </w:r>
      <w:r w:rsidR="00B62DB0">
        <w:rPr>
          <w:bCs/>
          <w:sz w:val="22"/>
          <w:szCs w:val="22"/>
          <w:lang w:val="fr-CA" w:eastAsia="en-GB"/>
        </w:rPr>
        <w:t xml:space="preserve"> objectif </w:t>
      </w:r>
      <w:r>
        <w:rPr>
          <w:bCs/>
          <w:sz w:val="22"/>
          <w:szCs w:val="22"/>
          <w:lang w:val="fr-CA" w:eastAsia="en-GB"/>
        </w:rPr>
        <w:t xml:space="preserve">de mobilisation des ressources intérieures </w:t>
      </w:r>
      <w:r w:rsidR="00795BA5">
        <w:rPr>
          <w:bCs/>
          <w:sz w:val="22"/>
          <w:szCs w:val="22"/>
          <w:lang w:val="fr-CA" w:eastAsia="en-GB"/>
        </w:rPr>
        <w:t xml:space="preserve">déterminé par le pays </w:t>
      </w:r>
      <w:r>
        <w:rPr>
          <w:bCs/>
          <w:sz w:val="22"/>
          <w:szCs w:val="22"/>
          <w:lang w:val="fr-CA" w:eastAsia="en-GB"/>
        </w:rPr>
        <w:t xml:space="preserve">d’un niveau </w:t>
      </w:r>
      <w:r w:rsidR="00795BA5">
        <w:rPr>
          <w:bCs/>
          <w:sz w:val="22"/>
          <w:szCs w:val="22"/>
          <w:lang w:val="fr-CA" w:eastAsia="en-GB"/>
        </w:rPr>
        <w:t>correspondant aux</w:t>
      </w:r>
      <w:r>
        <w:rPr>
          <w:bCs/>
          <w:sz w:val="22"/>
          <w:szCs w:val="22"/>
          <w:lang w:val="fr-CA" w:eastAsia="en-GB"/>
        </w:rPr>
        <w:t xml:space="preserve"> besoins et </w:t>
      </w:r>
      <w:r w:rsidR="00795BA5">
        <w:rPr>
          <w:bCs/>
          <w:sz w:val="22"/>
          <w:szCs w:val="22"/>
          <w:lang w:val="fr-CA" w:eastAsia="en-GB"/>
        </w:rPr>
        <w:t>aux</w:t>
      </w:r>
      <w:r>
        <w:rPr>
          <w:bCs/>
          <w:sz w:val="22"/>
          <w:szCs w:val="22"/>
          <w:lang w:val="fr-CA" w:eastAsia="en-GB"/>
        </w:rPr>
        <w:t xml:space="preserve"> </w:t>
      </w:r>
      <w:r w:rsidR="00795BA5">
        <w:rPr>
          <w:bCs/>
          <w:sz w:val="22"/>
          <w:szCs w:val="22"/>
          <w:lang w:val="fr-CA" w:eastAsia="en-GB"/>
        </w:rPr>
        <w:t xml:space="preserve">circonstances du pays et toutes les Parties </w:t>
      </w:r>
      <w:r w:rsidR="00E24680" w:rsidRPr="00702E8F">
        <w:rPr>
          <w:bCs/>
          <w:sz w:val="22"/>
          <w:szCs w:val="22"/>
          <w:lang w:val="fr-CA" w:eastAsia="en-GB"/>
        </w:rPr>
        <w:t xml:space="preserve">auront atteint </w:t>
      </w:r>
      <w:r w:rsidR="00B62DB0">
        <w:rPr>
          <w:bCs/>
          <w:sz w:val="22"/>
          <w:szCs w:val="22"/>
          <w:lang w:val="fr-CA" w:eastAsia="en-GB"/>
        </w:rPr>
        <w:t>cet objectif</w:t>
      </w:r>
      <w:r w:rsidR="00E24680" w:rsidRPr="00702E8F">
        <w:rPr>
          <w:bCs/>
          <w:sz w:val="22"/>
          <w:szCs w:val="22"/>
          <w:lang w:val="fr-CA" w:eastAsia="en-GB"/>
        </w:rPr>
        <w:t xml:space="preserve"> d’ici à</w:t>
      </w:r>
      <w:r w:rsidR="00B62DB0">
        <w:rPr>
          <w:bCs/>
          <w:sz w:val="22"/>
          <w:szCs w:val="22"/>
          <w:lang w:val="fr-CA" w:eastAsia="en-GB"/>
        </w:rPr>
        <w:t xml:space="preserve"> </w:t>
      </w:r>
      <w:r w:rsidR="00E24680" w:rsidRPr="00702E8F">
        <w:rPr>
          <w:bCs/>
          <w:sz w:val="22"/>
          <w:szCs w:val="22"/>
          <w:lang w:val="fr-CA" w:eastAsia="en-GB"/>
        </w:rPr>
        <w:t>[2030]</w:t>
      </w:r>
      <w:r w:rsidR="00754320" w:rsidRPr="00702E8F">
        <w:rPr>
          <w:bCs/>
          <w:sz w:val="22"/>
          <w:szCs w:val="22"/>
          <w:lang w:val="fr-CA" w:eastAsia="en-GB"/>
        </w:rPr>
        <w:t>.</w:t>
      </w:r>
    </w:p>
    <w:p w14:paraId="563D2413" w14:textId="1260A143" w:rsidR="00754320" w:rsidRPr="00702E8F" w:rsidRDefault="00E24680" w:rsidP="003D01D2">
      <w:pPr>
        <w:pStyle w:val="Para1"/>
        <w:numPr>
          <w:ilvl w:val="0"/>
          <w:numId w:val="58"/>
        </w:numPr>
        <w:suppressLineNumbers/>
        <w:suppressAutoHyphens/>
        <w:spacing w:before="120"/>
        <w:ind w:left="0" w:firstLine="0"/>
        <w:jc w:val="both"/>
        <w:rPr>
          <w:sz w:val="22"/>
          <w:szCs w:val="22"/>
          <w:lang w:val="fr-CA"/>
        </w:rPr>
      </w:pPr>
      <w:r w:rsidRPr="00702E8F">
        <w:rPr>
          <w:sz w:val="22"/>
          <w:szCs w:val="22"/>
          <w:lang w:val="fr-CA"/>
        </w:rPr>
        <w:t xml:space="preserve">Les travaux du Groupe d’experts ont </w:t>
      </w:r>
      <w:r w:rsidR="00B62DB0">
        <w:rPr>
          <w:sz w:val="22"/>
          <w:szCs w:val="22"/>
          <w:lang w:val="fr-CA"/>
        </w:rPr>
        <w:t xml:space="preserve">clairement </w:t>
      </w:r>
      <w:r w:rsidRPr="00702E8F">
        <w:rPr>
          <w:sz w:val="22"/>
          <w:szCs w:val="22"/>
          <w:lang w:val="fr-CA"/>
        </w:rPr>
        <w:t>révélé</w:t>
      </w:r>
      <w:r w:rsidR="009051AB" w:rsidRPr="00702E8F">
        <w:rPr>
          <w:sz w:val="22"/>
          <w:szCs w:val="22"/>
          <w:lang w:val="fr-CA"/>
        </w:rPr>
        <w:t xml:space="preserve"> que plusieurs pays,</w:t>
      </w:r>
      <w:r w:rsidR="00C21ED8" w:rsidRPr="00702E8F">
        <w:rPr>
          <w:sz w:val="22"/>
          <w:szCs w:val="22"/>
          <w:lang w:val="fr-CA"/>
        </w:rPr>
        <w:t xml:space="preserve"> surtout les pays en développem</w:t>
      </w:r>
      <w:r w:rsidR="009051AB" w:rsidRPr="00702E8F">
        <w:rPr>
          <w:sz w:val="22"/>
          <w:szCs w:val="22"/>
          <w:lang w:val="fr-CA"/>
        </w:rPr>
        <w:t>ent</w:t>
      </w:r>
      <w:r w:rsidR="00795BA5">
        <w:rPr>
          <w:sz w:val="22"/>
          <w:szCs w:val="22"/>
          <w:lang w:val="fr-CA"/>
        </w:rPr>
        <w:t xml:space="preserve"> et les pays à économie en transition</w:t>
      </w:r>
      <w:r w:rsidR="009051AB" w:rsidRPr="00702E8F">
        <w:rPr>
          <w:sz w:val="22"/>
          <w:szCs w:val="22"/>
          <w:lang w:val="fr-CA"/>
        </w:rPr>
        <w:t xml:space="preserve">, ne possèdent pas les capacités nécessaires </w:t>
      </w:r>
      <w:r w:rsidR="00AB6C49">
        <w:rPr>
          <w:sz w:val="22"/>
          <w:szCs w:val="22"/>
          <w:lang w:val="fr-CA"/>
        </w:rPr>
        <w:t xml:space="preserve">à l’heure actuelle </w:t>
      </w:r>
      <w:r w:rsidR="009051AB" w:rsidRPr="00702E8F">
        <w:rPr>
          <w:sz w:val="22"/>
          <w:szCs w:val="22"/>
          <w:lang w:val="fr-CA"/>
        </w:rPr>
        <w:t>pour évaluer adéquate</w:t>
      </w:r>
      <w:r w:rsidR="00C21ED8" w:rsidRPr="00702E8F">
        <w:rPr>
          <w:sz w:val="22"/>
          <w:szCs w:val="22"/>
          <w:lang w:val="fr-CA"/>
        </w:rPr>
        <w:t>ment leurs besoins de mobilisati</w:t>
      </w:r>
      <w:r w:rsidR="009051AB" w:rsidRPr="00702E8F">
        <w:rPr>
          <w:sz w:val="22"/>
          <w:szCs w:val="22"/>
          <w:lang w:val="fr-CA"/>
        </w:rPr>
        <w:t>on des resso</w:t>
      </w:r>
      <w:r w:rsidR="00B62DB0">
        <w:rPr>
          <w:sz w:val="22"/>
          <w:szCs w:val="22"/>
          <w:lang w:val="fr-CA"/>
        </w:rPr>
        <w:t xml:space="preserve">urces pour la biodiversité et </w:t>
      </w:r>
      <w:r w:rsidR="00C21ED8" w:rsidRPr="00702E8F">
        <w:rPr>
          <w:sz w:val="22"/>
          <w:szCs w:val="22"/>
          <w:lang w:val="fr-CA"/>
        </w:rPr>
        <w:t>élaborer u</w:t>
      </w:r>
      <w:r w:rsidR="009051AB" w:rsidRPr="00702E8F">
        <w:rPr>
          <w:sz w:val="22"/>
          <w:szCs w:val="22"/>
          <w:lang w:val="fr-CA"/>
        </w:rPr>
        <w:t>n plan national de financement de la</w:t>
      </w:r>
      <w:r w:rsidR="00C21ED8" w:rsidRPr="00702E8F">
        <w:rPr>
          <w:sz w:val="22"/>
          <w:szCs w:val="22"/>
          <w:lang w:val="fr-CA"/>
        </w:rPr>
        <w:t xml:space="preserve"> </w:t>
      </w:r>
      <w:r w:rsidR="009051AB" w:rsidRPr="00702E8F">
        <w:rPr>
          <w:sz w:val="22"/>
          <w:szCs w:val="22"/>
          <w:lang w:val="fr-CA"/>
        </w:rPr>
        <w:t xml:space="preserve">diversité biologique offrant un outil pratique pour soutenir la mise en œuvre de leur SPANB actuel ou à venir. </w:t>
      </w:r>
      <w:r w:rsidR="00B62DB0">
        <w:rPr>
          <w:sz w:val="22"/>
          <w:szCs w:val="22"/>
          <w:lang w:val="fr-CA"/>
        </w:rPr>
        <w:t>L’élaboration d’un</w:t>
      </w:r>
      <w:r w:rsidR="009051AB" w:rsidRPr="00702E8F">
        <w:rPr>
          <w:sz w:val="22"/>
          <w:szCs w:val="22"/>
          <w:lang w:val="fr-CA"/>
        </w:rPr>
        <w:t xml:space="preserve"> tel plan est une étape essentielle </w:t>
      </w:r>
      <w:r w:rsidR="00453062">
        <w:rPr>
          <w:sz w:val="22"/>
          <w:szCs w:val="22"/>
          <w:lang w:val="fr-CA"/>
        </w:rPr>
        <w:t>de</w:t>
      </w:r>
      <w:r w:rsidR="009051AB" w:rsidRPr="00702E8F">
        <w:rPr>
          <w:sz w:val="22"/>
          <w:szCs w:val="22"/>
          <w:lang w:val="fr-CA"/>
        </w:rPr>
        <w:t xml:space="preserve"> la réalisation de l’ambition du cadre mondial de la biodiversité pour l</w:t>
      </w:r>
      <w:r w:rsidR="00E453D1">
        <w:rPr>
          <w:sz w:val="22"/>
          <w:szCs w:val="22"/>
          <w:lang w:val="fr-CA"/>
        </w:rPr>
        <w:t>’</w:t>
      </w:r>
      <w:r w:rsidR="009051AB" w:rsidRPr="00702E8F">
        <w:rPr>
          <w:sz w:val="22"/>
          <w:szCs w:val="22"/>
          <w:lang w:val="fr-CA"/>
        </w:rPr>
        <w:t xml:space="preserve">après-2020 pour </w:t>
      </w:r>
      <w:r w:rsidR="00795BA5">
        <w:rPr>
          <w:sz w:val="22"/>
          <w:szCs w:val="22"/>
          <w:lang w:val="fr-CA"/>
        </w:rPr>
        <w:t xml:space="preserve">tous </w:t>
      </w:r>
      <w:r w:rsidR="009051AB" w:rsidRPr="00702E8F">
        <w:rPr>
          <w:sz w:val="22"/>
          <w:szCs w:val="22"/>
          <w:lang w:val="fr-CA"/>
        </w:rPr>
        <w:t>les pays</w:t>
      </w:r>
      <w:r w:rsidR="00795BA5">
        <w:rPr>
          <w:sz w:val="22"/>
          <w:szCs w:val="22"/>
          <w:lang w:val="fr-CA"/>
        </w:rPr>
        <w:t>.</w:t>
      </w:r>
      <w:r w:rsidR="009051AB" w:rsidRPr="00702E8F">
        <w:rPr>
          <w:sz w:val="22"/>
          <w:szCs w:val="22"/>
          <w:lang w:val="fr-CA"/>
        </w:rPr>
        <w:t xml:space="preserve"> </w:t>
      </w:r>
      <w:r w:rsidR="00AB6C49">
        <w:rPr>
          <w:sz w:val="22"/>
          <w:szCs w:val="22"/>
          <w:lang w:val="fr-CA"/>
        </w:rPr>
        <w:t>Un</w:t>
      </w:r>
      <w:r w:rsidR="00453062">
        <w:rPr>
          <w:sz w:val="22"/>
          <w:szCs w:val="22"/>
          <w:lang w:val="fr-CA"/>
        </w:rPr>
        <w:t xml:space="preserve"> objectif </w:t>
      </w:r>
      <w:r w:rsidR="00C21ED8" w:rsidRPr="00702E8F">
        <w:rPr>
          <w:sz w:val="22"/>
          <w:szCs w:val="22"/>
          <w:lang w:val="fr-CA"/>
        </w:rPr>
        <w:t>qui en</w:t>
      </w:r>
      <w:r w:rsidR="009051AB" w:rsidRPr="00702E8F">
        <w:rPr>
          <w:sz w:val="22"/>
          <w:szCs w:val="22"/>
          <w:lang w:val="fr-CA"/>
        </w:rPr>
        <w:t xml:space="preserve">gage toutes les Parties à le faire et ce, le plus rapidement possible, représenterait un point de départ logique. </w:t>
      </w:r>
      <w:r w:rsidR="00AF1087">
        <w:rPr>
          <w:sz w:val="22"/>
          <w:szCs w:val="22"/>
          <w:lang w:val="fr-CA"/>
        </w:rPr>
        <w:t>Il pourrait se lir</w:t>
      </w:r>
      <w:r w:rsidR="00453062">
        <w:rPr>
          <w:sz w:val="22"/>
          <w:szCs w:val="22"/>
          <w:lang w:val="fr-CA"/>
        </w:rPr>
        <w:t>e</w:t>
      </w:r>
      <w:r w:rsidR="00C21ED8" w:rsidRPr="00702E8F">
        <w:rPr>
          <w:sz w:val="22"/>
          <w:szCs w:val="22"/>
          <w:lang w:val="fr-CA"/>
        </w:rPr>
        <w:t> </w:t>
      </w:r>
      <w:r w:rsidR="00754320" w:rsidRPr="00702E8F">
        <w:rPr>
          <w:sz w:val="22"/>
          <w:szCs w:val="22"/>
          <w:lang w:val="fr-CA"/>
        </w:rPr>
        <w:t>:</w:t>
      </w:r>
    </w:p>
    <w:p w14:paraId="33795BF9" w14:textId="464D5975" w:rsidR="00DC1069" w:rsidRPr="00702E8F" w:rsidRDefault="00C21ED8" w:rsidP="00AB6C49">
      <w:pPr>
        <w:spacing w:before="120" w:after="120"/>
        <w:ind w:left="720" w:firstLine="720"/>
        <w:jc w:val="both"/>
        <w:rPr>
          <w:bCs/>
          <w:sz w:val="22"/>
          <w:szCs w:val="22"/>
          <w:lang w:val="fr-CA" w:eastAsia="en-GB"/>
        </w:rPr>
      </w:pPr>
      <w:r w:rsidRPr="00702E8F">
        <w:rPr>
          <w:bCs/>
          <w:sz w:val="22"/>
          <w:szCs w:val="22"/>
          <w:lang w:val="fr-CA" w:eastAsia="en-GB"/>
        </w:rPr>
        <w:t xml:space="preserve">D’ici </w:t>
      </w:r>
      <w:r w:rsidR="004C1E72" w:rsidRPr="00702E8F">
        <w:rPr>
          <w:bCs/>
          <w:sz w:val="22"/>
          <w:szCs w:val="22"/>
          <w:lang w:val="fr-CA" w:eastAsia="en-GB"/>
        </w:rPr>
        <w:t>à</w:t>
      </w:r>
      <w:r w:rsidR="00AB6C49">
        <w:rPr>
          <w:bCs/>
          <w:sz w:val="22"/>
          <w:szCs w:val="22"/>
          <w:lang w:val="fr-CA" w:eastAsia="en-GB"/>
        </w:rPr>
        <w:t xml:space="preserve"> [2022</w:t>
      </w:r>
      <w:r w:rsidRPr="00702E8F">
        <w:rPr>
          <w:bCs/>
          <w:sz w:val="22"/>
          <w:szCs w:val="22"/>
          <w:lang w:val="fr-CA" w:eastAsia="en-GB"/>
        </w:rPr>
        <w:t xml:space="preserve">], </w:t>
      </w:r>
      <w:r w:rsidR="00AB6C49">
        <w:rPr>
          <w:bCs/>
          <w:sz w:val="22"/>
          <w:szCs w:val="22"/>
          <w:lang w:val="fr-CA" w:eastAsia="en-GB"/>
        </w:rPr>
        <w:t>tous les pays</w:t>
      </w:r>
      <w:r w:rsidRPr="00702E8F">
        <w:rPr>
          <w:bCs/>
          <w:sz w:val="22"/>
          <w:szCs w:val="22"/>
          <w:lang w:val="fr-CA" w:eastAsia="en-GB"/>
        </w:rPr>
        <w:t xml:space="preserve"> auront élaboré un plan national de financement de la diversité biologique en appui à leurs stratégies et plans d’</w:t>
      </w:r>
      <w:r w:rsidR="004C1E72" w:rsidRPr="00702E8F">
        <w:rPr>
          <w:bCs/>
          <w:sz w:val="22"/>
          <w:szCs w:val="22"/>
          <w:lang w:val="fr-CA" w:eastAsia="en-GB"/>
        </w:rPr>
        <w:t>action nati</w:t>
      </w:r>
      <w:r w:rsidRPr="00702E8F">
        <w:rPr>
          <w:bCs/>
          <w:sz w:val="22"/>
          <w:szCs w:val="22"/>
          <w:lang w:val="fr-CA" w:eastAsia="en-GB"/>
        </w:rPr>
        <w:t>onaux pour la biodiversité</w:t>
      </w:r>
      <w:r w:rsidR="00453062">
        <w:rPr>
          <w:bCs/>
          <w:sz w:val="22"/>
          <w:szCs w:val="22"/>
          <w:lang w:val="fr-CA" w:eastAsia="en-GB"/>
        </w:rPr>
        <w:t xml:space="preserve"> et au cadre mondial de la biodiversité pour l</w:t>
      </w:r>
      <w:r w:rsidR="00E453D1">
        <w:rPr>
          <w:bCs/>
          <w:sz w:val="22"/>
          <w:szCs w:val="22"/>
          <w:lang w:val="fr-CA" w:eastAsia="en-GB"/>
        </w:rPr>
        <w:t>’</w:t>
      </w:r>
      <w:r w:rsidR="00453062">
        <w:rPr>
          <w:bCs/>
          <w:sz w:val="22"/>
          <w:szCs w:val="22"/>
          <w:lang w:val="fr-CA" w:eastAsia="en-GB"/>
        </w:rPr>
        <w:t>après-2020</w:t>
      </w:r>
      <w:r w:rsidRPr="00702E8F">
        <w:rPr>
          <w:bCs/>
          <w:sz w:val="22"/>
          <w:szCs w:val="22"/>
          <w:lang w:val="fr-CA" w:eastAsia="en-GB"/>
        </w:rPr>
        <w:t>, en ap</w:t>
      </w:r>
      <w:r w:rsidR="004C1E72" w:rsidRPr="00702E8F">
        <w:rPr>
          <w:bCs/>
          <w:sz w:val="22"/>
          <w:szCs w:val="22"/>
          <w:lang w:val="fr-CA" w:eastAsia="en-GB"/>
        </w:rPr>
        <w:t>p</w:t>
      </w:r>
      <w:r w:rsidRPr="00702E8F">
        <w:rPr>
          <w:bCs/>
          <w:sz w:val="22"/>
          <w:szCs w:val="22"/>
          <w:lang w:val="fr-CA" w:eastAsia="en-GB"/>
        </w:rPr>
        <w:t>liquant une</w:t>
      </w:r>
      <w:r w:rsidR="004C1E72" w:rsidRPr="00702E8F">
        <w:rPr>
          <w:bCs/>
          <w:sz w:val="22"/>
          <w:szCs w:val="22"/>
          <w:lang w:val="fr-CA" w:eastAsia="en-GB"/>
        </w:rPr>
        <w:t xml:space="preserve"> méthodologie de l’Initiative de financement de la biodiversité du Programme des Nations Unies pour le développement ou une autre méthodologie semblable, afin de réduire les ressources </w:t>
      </w:r>
      <w:r w:rsidR="00453062">
        <w:rPr>
          <w:bCs/>
          <w:sz w:val="22"/>
          <w:szCs w:val="22"/>
          <w:lang w:val="fr-CA" w:eastAsia="en-GB"/>
        </w:rPr>
        <w:t>nuisant à</w:t>
      </w:r>
      <w:r w:rsidR="004C1E72" w:rsidRPr="00702E8F">
        <w:rPr>
          <w:bCs/>
          <w:sz w:val="22"/>
          <w:szCs w:val="22"/>
          <w:lang w:val="fr-CA" w:eastAsia="en-GB"/>
        </w:rPr>
        <w:t xml:space="preserve"> la biodiversité</w:t>
      </w:r>
      <w:r w:rsidR="00453062">
        <w:rPr>
          <w:bCs/>
          <w:sz w:val="22"/>
          <w:szCs w:val="22"/>
          <w:lang w:val="fr-CA" w:eastAsia="en-GB"/>
        </w:rPr>
        <w:t>,</w:t>
      </w:r>
      <w:r w:rsidR="004C1E72" w:rsidRPr="00702E8F">
        <w:rPr>
          <w:bCs/>
          <w:sz w:val="22"/>
          <w:szCs w:val="22"/>
          <w:lang w:val="fr-CA" w:eastAsia="en-GB"/>
        </w:rPr>
        <w:t xml:space="preserve"> générer des ressources supplémentaires de </w:t>
      </w:r>
      <w:r w:rsidR="0020395B" w:rsidRPr="00702E8F">
        <w:rPr>
          <w:bCs/>
          <w:sz w:val="22"/>
          <w:szCs w:val="22"/>
          <w:lang w:val="fr-CA" w:eastAsia="en-GB"/>
        </w:rPr>
        <w:t>toutes</w:t>
      </w:r>
      <w:r w:rsidR="004C1E72" w:rsidRPr="00702E8F">
        <w:rPr>
          <w:bCs/>
          <w:sz w:val="22"/>
          <w:szCs w:val="22"/>
          <w:lang w:val="fr-CA" w:eastAsia="en-GB"/>
        </w:rPr>
        <w:t xml:space="preserve"> les sources et accroître l’efficacité et l’efficience de l’utilisation des ressources</w:t>
      </w:r>
      <w:r w:rsidR="00FC10A0" w:rsidRPr="00702E8F">
        <w:rPr>
          <w:sz w:val="22"/>
          <w:szCs w:val="22"/>
          <w:shd w:val="clear" w:color="auto" w:fill="FFFFFF"/>
          <w:lang w:val="fr-CA" w:eastAsia="en-GB"/>
        </w:rPr>
        <w:t>.</w:t>
      </w:r>
    </w:p>
    <w:p w14:paraId="7D251D2E" w14:textId="349FD119" w:rsidR="00754320" w:rsidRPr="00702E8F" w:rsidRDefault="0020395B" w:rsidP="003D01D2">
      <w:pPr>
        <w:pStyle w:val="Para1"/>
        <w:numPr>
          <w:ilvl w:val="0"/>
          <w:numId w:val="58"/>
        </w:numPr>
        <w:suppressLineNumbers/>
        <w:suppressAutoHyphens/>
        <w:spacing w:before="120"/>
        <w:ind w:left="0" w:firstLine="0"/>
        <w:jc w:val="both"/>
        <w:rPr>
          <w:sz w:val="22"/>
          <w:szCs w:val="22"/>
          <w:lang w:val="fr-CA"/>
        </w:rPr>
      </w:pPr>
      <w:r w:rsidRPr="00702E8F">
        <w:rPr>
          <w:sz w:val="22"/>
          <w:szCs w:val="22"/>
          <w:lang w:val="fr-CA"/>
        </w:rPr>
        <w:t xml:space="preserve">Les </w:t>
      </w:r>
      <w:r w:rsidR="004012E8">
        <w:rPr>
          <w:sz w:val="22"/>
          <w:szCs w:val="22"/>
          <w:lang w:val="fr-CA"/>
        </w:rPr>
        <w:t>objectifs</w:t>
      </w:r>
      <w:r w:rsidRPr="00702E8F">
        <w:rPr>
          <w:sz w:val="22"/>
          <w:szCs w:val="22"/>
          <w:lang w:val="fr-CA"/>
        </w:rPr>
        <w:t xml:space="preserve"> ci-dessus devront définitivement </w:t>
      </w:r>
      <w:r w:rsidR="004D69B4" w:rsidRPr="00702E8F">
        <w:rPr>
          <w:sz w:val="22"/>
          <w:szCs w:val="22"/>
          <w:lang w:val="fr-CA"/>
        </w:rPr>
        <w:t>être</w:t>
      </w:r>
      <w:r w:rsidRPr="00702E8F">
        <w:rPr>
          <w:sz w:val="22"/>
          <w:szCs w:val="22"/>
          <w:lang w:val="fr-CA"/>
        </w:rPr>
        <w:t xml:space="preserve"> complémentés par une approche pragmatique à leur mise en œuvre efficace. Certains p</w:t>
      </w:r>
      <w:r w:rsidR="004D69B4" w:rsidRPr="00702E8F">
        <w:rPr>
          <w:sz w:val="22"/>
          <w:szCs w:val="22"/>
          <w:lang w:val="fr-CA"/>
        </w:rPr>
        <w:t xml:space="preserve">ays </w:t>
      </w:r>
      <w:r w:rsidR="004012E8">
        <w:rPr>
          <w:sz w:val="22"/>
          <w:szCs w:val="22"/>
          <w:lang w:val="fr-CA"/>
        </w:rPr>
        <w:t>en</w:t>
      </w:r>
      <w:r w:rsidR="004D69B4" w:rsidRPr="00702E8F">
        <w:rPr>
          <w:sz w:val="22"/>
          <w:szCs w:val="22"/>
          <w:lang w:val="fr-CA"/>
        </w:rPr>
        <w:t xml:space="preserve"> développement</w:t>
      </w:r>
      <w:r w:rsidR="00AB6C49">
        <w:rPr>
          <w:sz w:val="22"/>
          <w:szCs w:val="22"/>
          <w:lang w:val="fr-CA"/>
        </w:rPr>
        <w:t xml:space="preserve"> et pays à économie en transition</w:t>
      </w:r>
      <w:r w:rsidR="004D69B4" w:rsidRPr="00702E8F">
        <w:rPr>
          <w:sz w:val="22"/>
          <w:szCs w:val="22"/>
          <w:lang w:val="fr-CA"/>
        </w:rPr>
        <w:t xml:space="preserve"> pourrai</w:t>
      </w:r>
      <w:r w:rsidRPr="00702E8F">
        <w:rPr>
          <w:sz w:val="22"/>
          <w:szCs w:val="22"/>
          <w:lang w:val="fr-CA"/>
        </w:rPr>
        <w:t xml:space="preserve">ent ne pas avoir les ressources nécessaires, y compris les ressources humaines, pour préparer efficacement le plan national de financement de la biodiversité, et pourraient avoir besoin d’un appui extérieur. </w:t>
      </w:r>
      <w:r w:rsidR="004D69B4" w:rsidRPr="00702E8F">
        <w:rPr>
          <w:sz w:val="22"/>
          <w:szCs w:val="22"/>
          <w:lang w:val="fr-CA"/>
        </w:rPr>
        <w:t xml:space="preserve">Les pays </w:t>
      </w:r>
      <w:r w:rsidR="00A32040">
        <w:rPr>
          <w:sz w:val="22"/>
          <w:szCs w:val="22"/>
          <w:lang w:val="fr-CA"/>
        </w:rPr>
        <w:t>donateurs</w:t>
      </w:r>
      <w:r w:rsidR="004D69B4" w:rsidRPr="00702E8F">
        <w:rPr>
          <w:sz w:val="22"/>
          <w:szCs w:val="22"/>
          <w:lang w:val="fr-CA"/>
        </w:rPr>
        <w:t xml:space="preserve"> pourraient ainsi souhaiter s’engager clairement à offrir un soutien suffisant et opportun à tous les pays en développement </w:t>
      </w:r>
      <w:r w:rsidR="00A32040">
        <w:rPr>
          <w:sz w:val="22"/>
          <w:szCs w:val="22"/>
          <w:lang w:val="fr-CA"/>
        </w:rPr>
        <w:t xml:space="preserve">et pays en transition </w:t>
      </w:r>
      <w:r w:rsidR="004D69B4" w:rsidRPr="00702E8F">
        <w:rPr>
          <w:sz w:val="22"/>
          <w:szCs w:val="22"/>
          <w:lang w:val="fr-CA"/>
        </w:rPr>
        <w:t>Parties qui le demandent. Une décision autonome de la quinzi</w:t>
      </w:r>
      <w:r w:rsidR="007C29BE" w:rsidRPr="00702E8F">
        <w:rPr>
          <w:sz w:val="22"/>
          <w:szCs w:val="22"/>
          <w:lang w:val="fr-CA"/>
        </w:rPr>
        <w:t>ème réuni</w:t>
      </w:r>
      <w:r w:rsidR="004D69B4" w:rsidRPr="00702E8F">
        <w:rPr>
          <w:sz w:val="22"/>
          <w:szCs w:val="22"/>
          <w:lang w:val="fr-CA"/>
        </w:rPr>
        <w:t>on de la Conférence des Parties pourrait inviter les donateurs et les mécanismes de financement de la Convention à fournir un tel soutien. Le rassemblemen</w:t>
      </w:r>
      <w:r w:rsidR="003044D9">
        <w:rPr>
          <w:sz w:val="22"/>
          <w:szCs w:val="22"/>
          <w:lang w:val="fr-CA"/>
        </w:rPr>
        <w:t xml:space="preserve">t </w:t>
      </w:r>
      <w:r w:rsidR="007C29BE" w:rsidRPr="00702E8F">
        <w:rPr>
          <w:sz w:val="22"/>
          <w:szCs w:val="22"/>
          <w:lang w:val="fr-CA"/>
        </w:rPr>
        <w:t>et la distrib</w:t>
      </w:r>
      <w:r w:rsidR="004D69B4" w:rsidRPr="00702E8F">
        <w:rPr>
          <w:sz w:val="22"/>
          <w:szCs w:val="22"/>
          <w:lang w:val="fr-CA"/>
        </w:rPr>
        <w:t>ution de ces ress</w:t>
      </w:r>
      <w:r w:rsidR="007C29BE" w:rsidRPr="00702E8F">
        <w:rPr>
          <w:sz w:val="22"/>
          <w:szCs w:val="22"/>
          <w:lang w:val="fr-CA"/>
        </w:rPr>
        <w:t>our</w:t>
      </w:r>
      <w:r w:rsidR="004D69B4" w:rsidRPr="00702E8F">
        <w:rPr>
          <w:sz w:val="22"/>
          <w:szCs w:val="22"/>
          <w:lang w:val="fr-CA"/>
        </w:rPr>
        <w:t>ces pourraient aussi faire partie d’</w:t>
      </w:r>
      <w:r w:rsidR="007C29BE" w:rsidRPr="00702E8F">
        <w:rPr>
          <w:sz w:val="22"/>
          <w:szCs w:val="22"/>
          <w:lang w:val="fr-CA"/>
        </w:rPr>
        <w:t xml:space="preserve">un </w:t>
      </w:r>
      <w:r w:rsidR="004D69B4" w:rsidRPr="00702E8F">
        <w:rPr>
          <w:sz w:val="22"/>
          <w:szCs w:val="22"/>
          <w:lang w:val="fr-CA"/>
        </w:rPr>
        <w:t xml:space="preserve">mécanisme dédié et </w:t>
      </w:r>
      <w:r w:rsidR="007C29BE" w:rsidRPr="00702E8F">
        <w:rPr>
          <w:sz w:val="22"/>
          <w:szCs w:val="22"/>
          <w:lang w:val="fr-CA"/>
        </w:rPr>
        <w:t>potentiellement</w:t>
      </w:r>
      <w:r w:rsidR="004D69B4" w:rsidRPr="00702E8F">
        <w:rPr>
          <w:sz w:val="22"/>
          <w:szCs w:val="22"/>
          <w:lang w:val="fr-CA"/>
        </w:rPr>
        <w:t xml:space="preserve"> d’</w:t>
      </w:r>
      <w:r w:rsidR="007C29BE" w:rsidRPr="00702E8F">
        <w:rPr>
          <w:sz w:val="22"/>
          <w:szCs w:val="22"/>
          <w:lang w:val="fr-CA"/>
        </w:rPr>
        <w:t>un plus vaste m</w:t>
      </w:r>
      <w:r w:rsidR="004D69B4" w:rsidRPr="00702E8F">
        <w:rPr>
          <w:sz w:val="22"/>
          <w:szCs w:val="22"/>
          <w:lang w:val="fr-CA"/>
        </w:rPr>
        <w:t xml:space="preserve">écanisme </w:t>
      </w:r>
      <w:r w:rsidR="007C29BE" w:rsidRPr="00702E8F">
        <w:rPr>
          <w:sz w:val="22"/>
          <w:szCs w:val="22"/>
          <w:lang w:val="fr-CA"/>
        </w:rPr>
        <w:t xml:space="preserve">scientifique et technique et </w:t>
      </w:r>
      <w:r w:rsidR="004D69B4" w:rsidRPr="00702E8F">
        <w:rPr>
          <w:sz w:val="22"/>
          <w:szCs w:val="22"/>
          <w:lang w:val="fr-CA"/>
        </w:rPr>
        <w:t>de renforcement des capacités</w:t>
      </w:r>
      <w:r w:rsidR="007C29BE" w:rsidRPr="00702E8F">
        <w:rPr>
          <w:sz w:val="22"/>
          <w:szCs w:val="22"/>
          <w:lang w:val="fr-CA"/>
        </w:rPr>
        <w:t>, comme l’ont proposé certaines Parties à la deuxième réunion du Groupe de travail à composition non limitée.</w:t>
      </w:r>
    </w:p>
    <w:p w14:paraId="2EA3CBB8" w14:textId="04E99CB1" w:rsidR="00754320" w:rsidRDefault="007C29BE" w:rsidP="00410219">
      <w:pPr>
        <w:pStyle w:val="Para1"/>
        <w:keepLines/>
        <w:widowControl w:val="0"/>
        <w:numPr>
          <w:ilvl w:val="0"/>
          <w:numId w:val="58"/>
        </w:numPr>
        <w:suppressLineNumbers/>
        <w:suppressAutoHyphens/>
        <w:spacing w:before="120"/>
        <w:ind w:left="0" w:firstLine="0"/>
        <w:jc w:val="both"/>
        <w:rPr>
          <w:sz w:val="22"/>
          <w:szCs w:val="22"/>
          <w:lang w:val="fr-CA"/>
        </w:rPr>
      </w:pPr>
      <w:r w:rsidRPr="00702E8F">
        <w:rPr>
          <w:sz w:val="22"/>
          <w:szCs w:val="22"/>
          <w:lang w:val="fr-CA"/>
        </w:rPr>
        <w:t xml:space="preserve">Les Parties pourraient aussi vouloir envisager une autre décision à la quinzième réunion de la Conférence des Parties invitant </w:t>
      </w:r>
      <w:proofErr w:type="spellStart"/>
      <w:r w:rsidRPr="00702E8F">
        <w:rPr>
          <w:sz w:val="22"/>
          <w:szCs w:val="22"/>
          <w:lang w:val="fr-CA"/>
        </w:rPr>
        <w:t>BIOFIN</w:t>
      </w:r>
      <w:proofErr w:type="spellEnd"/>
      <w:r w:rsidRPr="00702E8F">
        <w:rPr>
          <w:sz w:val="22"/>
          <w:szCs w:val="22"/>
          <w:lang w:val="fr-CA"/>
        </w:rPr>
        <w:t xml:space="preserve"> </w:t>
      </w:r>
      <w:r w:rsidR="00A32040">
        <w:rPr>
          <w:sz w:val="22"/>
          <w:szCs w:val="22"/>
          <w:lang w:val="fr-CA"/>
        </w:rPr>
        <w:t xml:space="preserve">du PNUD </w:t>
      </w:r>
      <w:r w:rsidRPr="00702E8F">
        <w:rPr>
          <w:sz w:val="22"/>
          <w:szCs w:val="22"/>
          <w:lang w:val="fr-CA"/>
        </w:rPr>
        <w:t>et d’autres initiativ</w:t>
      </w:r>
      <w:r w:rsidR="001423AA" w:rsidRPr="00702E8F">
        <w:rPr>
          <w:sz w:val="22"/>
          <w:szCs w:val="22"/>
          <w:lang w:val="fr-CA"/>
        </w:rPr>
        <w:t>es et organisati</w:t>
      </w:r>
      <w:r w:rsidRPr="00702E8F">
        <w:rPr>
          <w:sz w:val="22"/>
          <w:szCs w:val="22"/>
          <w:lang w:val="fr-CA"/>
        </w:rPr>
        <w:t xml:space="preserve">ons compétentes, et demandant à la Secrétaire exécutive de collaborer avec elles, </w:t>
      </w:r>
      <w:r w:rsidR="003044D9">
        <w:rPr>
          <w:sz w:val="22"/>
          <w:szCs w:val="22"/>
          <w:lang w:val="fr-CA"/>
        </w:rPr>
        <w:t>à</w:t>
      </w:r>
      <w:r w:rsidRPr="00702E8F">
        <w:rPr>
          <w:sz w:val="22"/>
          <w:szCs w:val="22"/>
          <w:lang w:val="fr-CA"/>
        </w:rPr>
        <w:t xml:space="preserve"> </w:t>
      </w:r>
      <w:r w:rsidR="001423AA" w:rsidRPr="00702E8F">
        <w:rPr>
          <w:sz w:val="22"/>
          <w:szCs w:val="22"/>
          <w:lang w:val="fr-CA"/>
        </w:rPr>
        <w:t>mettre au point la b</w:t>
      </w:r>
      <w:r w:rsidRPr="00702E8F">
        <w:rPr>
          <w:sz w:val="22"/>
          <w:szCs w:val="22"/>
          <w:lang w:val="fr-CA"/>
        </w:rPr>
        <w:t xml:space="preserve">ase méthodologique pour l’élaboration des plans nationaux de financement de la biodiversité, que la Conférence des Parties pourrait ensuite promulguer comme étant une norme conviviale que </w:t>
      </w:r>
      <w:r w:rsidR="001423AA" w:rsidRPr="00702E8F">
        <w:rPr>
          <w:sz w:val="22"/>
          <w:szCs w:val="22"/>
          <w:lang w:val="fr-CA"/>
        </w:rPr>
        <w:t>toutes</w:t>
      </w:r>
      <w:r w:rsidRPr="00702E8F">
        <w:rPr>
          <w:sz w:val="22"/>
          <w:szCs w:val="22"/>
          <w:lang w:val="fr-CA"/>
        </w:rPr>
        <w:t xml:space="preserve"> les Parties pour</w:t>
      </w:r>
      <w:r w:rsidR="001423AA" w:rsidRPr="00702E8F">
        <w:rPr>
          <w:sz w:val="22"/>
          <w:szCs w:val="22"/>
          <w:lang w:val="fr-CA"/>
        </w:rPr>
        <w:t>r</w:t>
      </w:r>
      <w:r w:rsidRPr="00702E8F">
        <w:rPr>
          <w:sz w:val="22"/>
          <w:szCs w:val="22"/>
          <w:lang w:val="fr-CA"/>
        </w:rPr>
        <w:t>aient adopter. Elle</w:t>
      </w:r>
      <w:r w:rsidR="001423AA" w:rsidRPr="00702E8F">
        <w:rPr>
          <w:sz w:val="22"/>
          <w:szCs w:val="22"/>
          <w:lang w:val="fr-CA"/>
        </w:rPr>
        <w:t xml:space="preserve"> pourrait se lire</w:t>
      </w:r>
      <w:r w:rsidR="00E453D1">
        <w:rPr>
          <w:sz w:val="22"/>
          <w:szCs w:val="22"/>
          <w:lang w:val="fr-CA"/>
        </w:rPr>
        <w:t> </w:t>
      </w:r>
      <w:r w:rsidR="00754320" w:rsidRPr="00702E8F">
        <w:rPr>
          <w:sz w:val="22"/>
          <w:szCs w:val="22"/>
          <w:lang w:val="fr-CA"/>
        </w:rPr>
        <w:t>:</w:t>
      </w:r>
    </w:p>
    <w:p w14:paraId="112CE22F" w14:textId="01EDDB2D" w:rsidR="00A32040" w:rsidRDefault="00A32040" w:rsidP="00410219">
      <w:pPr>
        <w:pStyle w:val="Para1"/>
        <w:keepLines/>
        <w:widowControl w:val="0"/>
        <w:suppressLineNumbers/>
        <w:suppressAutoHyphens/>
        <w:spacing w:before="120"/>
        <w:ind w:left="720"/>
        <w:jc w:val="both"/>
        <w:rPr>
          <w:i/>
          <w:sz w:val="22"/>
          <w:szCs w:val="22"/>
          <w:lang w:val="fr-CA"/>
        </w:rPr>
      </w:pPr>
      <w:r w:rsidRPr="00A32040">
        <w:rPr>
          <w:i/>
          <w:sz w:val="22"/>
          <w:szCs w:val="22"/>
          <w:lang w:val="fr-CA"/>
        </w:rPr>
        <w:t>[La Conférence des Parties]</w:t>
      </w:r>
    </w:p>
    <w:p w14:paraId="1CFE065F" w14:textId="32E3FAFC" w:rsidR="00A32040" w:rsidRPr="003B4C17" w:rsidRDefault="00A32040" w:rsidP="00410219">
      <w:pPr>
        <w:pStyle w:val="Para1"/>
        <w:keepLines/>
        <w:widowControl w:val="0"/>
        <w:suppressLineNumbers/>
        <w:suppressAutoHyphens/>
        <w:spacing w:before="120"/>
        <w:ind w:firstLine="720"/>
        <w:jc w:val="both"/>
        <w:rPr>
          <w:sz w:val="22"/>
          <w:szCs w:val="22"/>
          <w:lang w:val="fr-CA"/>
        </w:rPr>
      </w:pPr>
      <w:r>
        <w:rPr>
          <w:i/>
          <w:sz w:val="22"/>
          <w:szCs w:val="22"/>
          <w:lang w:val="fr-CA"/>
        </w:rPr>
        <w:t xml:space="preserve">Invite </w:t>
      </w:r>
      <w:r w:rsidR="003B4C17" w:rsidRPr="003B4C17">
        <w:rPr>
          <w:sz w:val="22"/>
          <w:szCs w:val="22"/>
          <w:lang w:val="fr-CA"/>
        </w:rPr>
        <w:t>l’Initiative de financement de biodiversité du Programme des Nations Unies pour le développement</w:t>
      </w:r>
      <w:r w:rsidR="003B4C17">
        <w:rPr>
          <w:sz w:val="22"/>
          <w:szCs w:val="22"/>
          <w:lang w:val="fr-CA"/>
        </w:rPr>
        <w:t xml:space="preserve"> à peaufiner, en collaboration avec d’autres </w:t>
      </w:r>
      <w:r w:rsidR="00333A1C">
        <w:rPr>
          <w:sz w:val="22"/>
          <w:szCs w:val="22"/>
          <w:lang w:val="fr-CA"/>
        </w:rPr>
        <w:t xml:space="preserve">organisations </w:t>
      </w:r>
      <w:r w:rsidR="003B4C17">
        <w:rPr>
          <w:sz w:val="22"/>
          <w:szCs w:val="22"/>
          <w:lang w:val="fr-CA"/>
        </w:rPr>
        <w:t xml:space="preserve">et initiatives pertinentes et intéressées, </w:t>
      </w:r>
      <w:r w:rsidR="00333A1C">
        <w:rPr>
          <w:sz w:val="22"/>
          <w:szCs w:val="22"/>
          <w:lang w:val="fr-CA"/>
        </w:rPr>
        <w:t>et</w:t>
      </w:r>
      <w:r w:rsidR="003B4C17">
        <w:rPr>
          <w:sz w:val="22"/>
          <w:szCs w:val="22"/>
          <w:lang w:val="fr-CA"/>
        </w:rPr>
        <w:t xml:space="preserve"> la Secrétaire exécutive, la méthodologie actuelle de l’Initiative de financement de la biodiversité </w:t>
      </w:r>
      <w:r w:rsidR="00333A1C">
        <w:rPr>
          <w:sz w:val="22"/>
          <w:szCs w:val="22"/>
          <w:lang w:val="fr-CA"/>
        </w:rPr>
        <w:t>pour la préparation</w:t>
      </w:r>
      <w:r w:rsidR="003B4C17">
        <w:rPr>
          <w:sz w:val="22"/>
          <w:szCs w:val="22"/>
          <w:lang w:val="fr-CA"/>
        </w:rPr>
        <w:t xml:space="preserve"> des plans nationaux de financement de la biodiversité dans tous les p</w:t>
      </w:r>
      <w:r w:rsidR="00333A1C">
        <w:rPr>
          <w:sz w:val="22"/>
          <w:szCs w:val="22"/>
          <w:lang w:val="fr-CA"/>
        </w:rPr>
        <w:t>ays, ainsi que l</w:t>
      </w:r>
      <w:r w:rsidR="003B4C17">
        <w:rPr>
          <w:sz w:val="22"/>
          <w:szCs w:val="22"/>
          <w:lang w:val="fr-CA"/>
        </w:rPr>
        <w:t>es modalités techniques et financi</w:t>
      </w:r>
      <w:r w:rsidR="00333A1C">
        <w:rPr>
          <w:sz w:val="22"/>
          <w:szCs w:val="22"/>
          <w:lang w:val="fr-CA"/>
        </w:rPr>
        <w:t xml:space="preserve">ères du déploiement de </w:t>
      </w:r>
      <w:r w:rsidR="003B4C17">
        <w:rPr>
          <w:sz w:val="22"/>
          <w:szCs w:val="22"/>
          <w:lang w:val="fr-CA"/>
        </w:rPr>
        <w:t>cette méthodologie</w:t>
      </w:r>
      <w:r w:rsidR="00333A1C">
        <w:rPr>
          <w:sz w:val="22"/>
          <w:szCs w:val="22"/>
          <w:lang w:val="fr-CA"/>
        </w:rPr>
        <w:t>, adaptées aux circonstances et aux capacités des pays.</w:t>
      </w:r>
    </w:p>
    <w:p w14:paraId="61893B7E" w14:textId="2EBC92D8" w:rsidR="00754320" w:rsidRPr="00702E8F" w:rsidRDefault="00DC094F" w:rsidP="003D01D2">
      <w:pPr>
        <w:pStyle w:val="Para1"/>
        <w:numPr>
          <w:ilvl w:val="0"/>
          <w:numId w:val="58"/>
        </w:numPr>
        <w:suppressLineNumbers/>
        <w:suppressAutoHyphens/>
        <w:spacing w:before="120"/>
        <w:ind w:left="0" w:firstLine="0"/>
        <w:jc w:val="both"/>
        <w:rPr>
          <w:sz w:val="22"/>
          <w:szCs w:val="22"/>
          <w:lang w:val="fr-CA"/>
        </w:rPr>
      </w:pPr>
      <w:bookmarkStart w:id="8" w:name="_Ref40342222"/>
      <w:r w:rsidRPr="00702E8F">
        <w:rPr>
          <w:sz w:val="22"/>
          <w:szCs w:val="22"/>
          <w:lang w:val="fr-CA"/>
        </w:rPr>
        <w:lastRenderedPageBreak/>
        <w:t>Le premier rapport du Groupe d’experts</w:t>
      </w:r>
      <w:r w:rsidR="00754320" w:rsidRPr="00702E8F">
        <w:rPr>
          <w:rStyle w:val="Appelnotedebasdep"/>
          <w:sz w:val="22"/>
          <w:szCs w:val="22"/>
          <w:u w:val="none"/>
          <w:vertAlign w:val="superscript"/>
          <w:lang w:val="fr-CA"/>
        </w:rPr>
        <w:footnoteReference w:id="55"/>
      </w:r>
      <w:r w:rsidR="00754320" w:rsidRPr="00702E8F">
        <w:rPr>
          <w:sz w:val="22"/>
          <w:szCs w:val="22"/>
          <w:lang w:val="fr-CA"/>
        </w:rPr>
        <w:t xml:space="preserve"> </w:t>
      </w:r>
      <w:r w:rsidRPr="00702E8F">
        <w:rPr>
          <w:sz w:val="22"/>
          <w:szCs w:val="22"/>
          <w:lang w:val="fr-CA"/>
        </w:rPr>
        <w:t>met en évidence l’efficacité relativement limitée du cadre de présentation des rapports financiers</w:t>
      </w:r>
      <w:r w:rsidR="00981D1F" w:rsidRPr="00702E8F">
        <w:rPr>
          <w:rStyle w:val="Appelnotedebasdep"/>
          <w:sz w:val="22"/>
          <w:szCs w:val="22"/>
          <w:u w:val="none"/>
          <w:vertAlign w:val="superscript"/>
          <w:lang w:val="fr-CA"/>
        </w:rPr>
        <w:footnoteReference w:id="56"/>
      </w:r>
      <w:r w:rsidR="00754320" w:rsidRPr="00702E8F">
        <w:rPr>
          <w:sz w:val="22"/>
          <w:szCs w:val="22"/>
          <w:lang w:val="fr-CA"/>
        </w:rPr>
        <w:t xml:space="preserve"> </w:t>
      </w:r>
      <w:r w:rsidRPr="00702E8F">
        <w:rPr>
          <w:sz w:val="22"/>
          <w:szCs w:val="22"/>
          <w:lang w:val="fr-CA"/>
        </w:rPr>
        <w:t>de la Convention comme base pour comprendre à</w:t>
      </w:r>
      <w:r w:rsidR="00F4578C" w:rsidRPr="00702E8F">
        <w:rPr>
          <w:sz w:val="22"/>
          <w:szCs w:val="22"/>
          <w:lang w:val="fr-CA"/>
        </w:rPr>
        <w:t xml:space="preserve"> fond les fl</w:t>
      </w:r>
      <w:r w:rsidR="006E66CA" w:rsidRPr="00702E8F">
        <w:rPr>
          <w:sz w:val="22"/>
          <w:szCs w:val="22"/>
          <w:lang w:val="fr-CA"/>
        </w:rPr>
        <w:t>ux de financemen</w:t>
      </w:r>
      <w:r w:rsidR="000E50F2">
        <w:rPr>
          <w:sz w:val="22"/>
          <w:szCs w:val="22"/>
          <w:lang w:val="fr-CA"/>
        </w:rPr>
        <w:t>t mondial de la biodiversité. Il</w:t>
      </w:r>
      <w:r w:rsidR="006E66CA" w:rsidRPr="00702E8F">
        <w:rPr>
          <w:sz w:val="22"/>
          <w:szCs w:val="22"/>
          <w:lang w:val="fr-CA"/>
        </w:rPr>
        <w:t xml:space="preserve"> serait conseillé à l’avenir d’améliorer et de collaborer plus étroitement avec les processus internationaux de statistiques existants, comme condition préalable à la préparation plus </w:t>
      </w:r>
      <w:r w:rsidR="00F4578C" w:rsidRPr="00702E8F">
        <w:rPr>
          <w:sz w:val="22"/>
          <w:szCs w:val="22"/>
          <w:lang w:val="fr-CA"/>
        </w:rPr>
        <w:t>efficace</w:t>
      </w:r>
      <w:r w:rsidR="006E66CA" w:rsidRPr="00702E8F">
        <w:rPr>
          <w:sz w:val="22"/>
          <w:szCs w:val="22"/>
          <w:lang w:val="fr-CA"/>
        </w:rPr>
        <w:t xml:space="preserve"> de rapports </w:t>
      </w:r>
      <w:r w:rsidR="00F4578C" w:rsidRPr="00702E8F">
        <w:rPr>
          <w:sz w:val="22"/>
          <w:szCs w:val="22"/>
          <w:lang w:val="fr-CA"/>
        </w:rPr>
        <w:t>au titr</w:t>
      </w:r>
      <w:r w:rsidR="006E66CA" w:rsidRPr="00702E8F">
        <w:rPr>
          <w:sz w:val="22"/>
          <w:szCs w:val="22"/>
          <w:lang w:val="fr-CA"/>
        </w:rPr>
        <w:t>e de la Convention</w:t>
      </w:r>
      <w:r w:rsidR="00F4578C" w:rsidRPr="00702E8F">
        <w:rPr>
          <w:sz w:val="22"/>
          <w:szCs w:val="22"/>
          <w:lang w:val="fr-CA"/>
        </w:rPr>
        <w:t>.</w:t>
      </w:r>
      <w:r w:rsidR="006E66CA" w:rsidRPr="00702E8F">
        <w:rPr>
          <w:sz w:val="22"/>
          <w:szCs w:val="22"/>
          <w:lang w:val="fr-CA"/>
        </w:rPr>
        <w:t xml:space="preserve"> L’utilisation du Syst</w:t>
      </w:r>
      <w:r w:rsidR="00F4578C" w:rsidRPr="00702E8F">
        <w:rPr>
          <w:sz w:val="22"/>
          <w:szCs w:val="22"/>
          <w:lang w:val="fr-CA"/>
        </w:rPr>
        <w:t>ème de notificati</w:t>
      </w:r>
      <w:r w:rsidR="006E66CA" w:rsidRPr="00702E8F">
        <w:rPr>
          <w:sz w:val="22"/>
          <w:szCs w:val="22"/>
          <w:lang w:val="fr-CA"/>
        </w:rPr>
        <w:t>on des pays créanciers d</w:t>
      </w:r>
      <w:r w:rsidR="00A73CEB">
        <w:rPr>
          <w:sz w:val="22"/>
          <w:szCs w:val="22"/>
          <w:lang w:val="fr-CA"/>
        </w:rPr>
        <w:t>e l’OCDE</w:t>
      </w:r>
      <w:bookmarkStart w:id="9" w:name="_GoBack"/>
      <w:bookmarkEnd w:id="9"/>
      <w:r w:rsidR="006E66CA" w:rsidRPr="00702E8F">
        <w:rPr>
          <w:sz w:val="22"/>
          <w:szCs w:val="22"/>
          <w:lang w:val="fr-CA"/>
        </w:rPr>
        <w:t xml:space="preserve"> </w:t>
      </w:r>
      <w:r w:rsidR="00F4578C" w:rsidRPr="00702E8F">
        <w:rPr>
          <w:sz w:val="22"/>
          <w:szCs w:val="22"/>
          <w:lang w:val="fr-CA"/>
        </w:rPr>
        <w:t>e</w:t>
      </w:r>
      <w:r w:rsidR="006E66CA" w:rsidRPr="00702E8F">
        <w:rPr>
          <w:sz w:val="22"/>
          <w:szCs w:val="22"/>
          <w:lang w:val="fr-CA"/>
        </w:rPr>
        <w:t xml:space="preserve">t </w:t>
      </w:r>
      <w:r w:rsidR="00F4578C" w:rsidRPr="00702E8F">
        <w:rPr>
          <w:sz w:val="22"/>
          <w:szCs w:val="22"/>
          <w:lang w:val="fr-CA"/>
        </w:rPr>
        <w:t>la précision de la méthodologie des marqueurs de Rio pourraient être amélioré</w:t>
      </w:r>
      <w:r w:rsidR="00E453D1">
        <w:rPr>
          <w:sz w:val="22"/>
          <w:szCs w:val="22"/>
          <w:lang w:val="fr-CA"/>
        </w:rPr>
        <w:t>e</w:t>
      </w:r>
      <w:r w:rsidR="00F4578C" w:rsidRPr="00702E8F">
        <w:rPr>
          <w:sz w:val="22"/>
          <w:szCs w:val="22"/>
          <w:lang w:val="fr-CA"/>
        </w:rPr>
        <w:t>s de façon utile auprès des non</w:t>
      </w:r>
      <w:r w:rsidR="00E453D1">
        <w:rPr>
          <w:sz w:val="22"/>
          <w:szCs w:val="22"/>
          <w:lang w:val="fr-CA"/>
        </w:rPr>
        <w:t>-</w:t>
      </w:r>
      <w:r w:rsidR="00F4578C" w:rsidRPr="00702E8F">
        <w:rPr>
          <w:sz w:val="22"/>
          <w:szCs w:val="22"/>
          <w:lang w:val="fr-CA"/>
        </w:rPr>
        <w:t>membres de l’OCDE/CAD et des banques multilatérales de développement invitées à contribuer des données sur une base volontaire et r</w:t>
      </w:r>
      <w:r w:rsidR="00761603" w:rsidRPr="00702E8F">
        <w:rPr>
          <w:sz w:val="22"/>
          <w:szCs w:val="22"/>
          <w:lang w:val="fr-CA"/>
        </w:rPr>
        <w:t>é</w:t>
      </w:r>
      <w:r w:rsidR="00F4578C" w:rsidRPr="00702E8F">
        <w:rPr>
          <w:sz w:val="22"/>
          <w:szCs w:val="22"/>
          <w:lang w:val="fr-CA"/>
        </w:rPr>
        <w:t xml:space="preserve">gulière. Les données sur les dépenses intérieures pour la biodiversité et les dépenses indirectement liées à la biodiversité pourraient </w:t>
      </w:r>
      <w:r w:rsidR="00761603" w:rsidRPr="00702E8F">
        <w:rPr>
          <w:sz w:val="22"/>
          <w:szCs w:val="22"/>
          <w:lang w:val="fr-CA"/>
        </w:rPr>
        <w:t>être</w:t>
      </w:r>
      <w:r w:rsidR="00F4578C" w:rsidRPr="00702E8F">
        <w:rPr>
          <w:sz w:val="22"/>
          <w:szCs w:val="22"/>
          <w:lang w:val="fr-CA"/>
        </w:rPr>
        <w:t xml:space="preserve"> améliorées en </w:t>
      </w:r>
      <w:r w:rsidR="00761603" w:rsidRPr="00702E8F">
        <w:rPr>
          <w:sz w:val="22"/>
          <w:szCs w:val="22"/>
          <w:lang w:val="fr-CA"/>
        </w:rPr>
        <w:t xml:space="preserve">participant au cadre de statistiques de financement par les gouvernements du Fonds monétaire international et de la Division de statistique des Nations Unies. </w:t>
      </w:r>
      <w:r w:rsidR="008B1787" w:rsidRPr="00702E8F">
        <w:rPr>
          <w:sz w:val="22"/>
          <w:szCs w:val="22"/>
          <w:lang w:val="fr-CA"/>
        </w:rPr>
        <w:t>Les données s</w:t>
      </w:r>
      <w:r w:rsidR="00761603" w:rsidRPr="00702E8F">
        <w:rPr>
          <w:sz w:val="22"/>
          <w:szCs w:val="22"/>
          <w:lang w:val="fr-CA"/>
        </w:rPr>
        <w:t xml:space="preserve">ur les </w:t>
      </w:r>
      <w:r w:rsidR="008B1787" w:rsidRPr="00702E8F">
        <w:rPr>
          <w:sz w:val="22"/>
          <w:szCs w:val="22"/>
          <w:lang w:val="fr-CA"/>
        </w:rPr>
        <w:t>flux</w:t>
      </w:r>
      <w:r w:rsidR="00761603" w:rsidRPr="00702E8F">
        <w:rPr>
          <w:sz w:val="22"/>
          <w:szCs w:val="22"/>
          <w:lang w:val="fr-CA"/>
        </w:rPr>
        <w:t xml:space="preserve"> financiers et les subventions</w:t>
      </w:r>
      <w:r w:rsidR="008B1787" w:rsidRPr="00702E8F">
        <w:rPr>
          <w:sz w:val="22"/>
          <w:szCs w:val="22"/>
          <w:lang w:val="fr-CA"/>
        </w:rPr>
        <w:t>, et leurs i</w:t>
      </w:r>
      <w:r w:rsidR="00761603" w:rsidRPr="00702E8F">
        <w:rPr>
          <w:sz w:val="22"/>
          <w:szCs w:val="22"/>
          <w:lang w:val="fr-CA"/>
        </w:rPr>
        <w:t xml:space="preserve">mpacts sur la biodiversité, </w:t>
      </w:r>
      <w:r w:rsidR="008B1787" w:rsidRPr="00702E8F">
        <w:rPr>
          <w:sz w:val="22"/>
          <w:szCs w:val="22"/>
          <w:lang w:val="fr-CA"/>
        </w:rPr>
        <w:t>sont déj</w:t>
      </w:r>
      <w:r w:rsidR="00761603" w:rsidRPr="00702E8F">
        <w:rPr>
          <w:sz w:val="22"/>
          <w:szCs w:val="22"/>
          <w:lang w:val="fr-CA"/>
        </w:rPr>
        <w:t>à saisies dans les bases de données pertinentes de l’OCDE, à savoir l’</w:t>
      </w:r>
      <w:r w:rsidR="008B1787" w:rsidRPr="00702E8F">
        <w:rPr>
          <w:sz w:val="22"/>
          <w:szCs w:val="22"/>
          <w:lang w:val="fr-CA"/>
        </w:rPr>
        <w:t>e</w:t>
      </w:r>
      <w:r w:rsidR="00761603" w:rsidRPr="00702E8F">
        <w:rPr>
          <w:sz w:val="22"/>
          <w:szCs w:val="22"/>
          <w:lang w:val="fr-CA"/>
        </w:rPr>
        <w:t xml:space="preserve">stimation de l’aide aux producteurs en agriculture et les instruments de politique </w:t>
      </w:r>
      <w:r w:rsidR="008B1787" w:rsidRPr="00702E8F">
        <w:rPr>
          <w:sz w:val="22"/>
          <w:szCs w:val="22"/>
          <w:lang w:val="fr-CA"/>
        </w:rPr>
        <w:t>pour</w:t>
      </w:r>
      <w:r w:rsidR="00761603" w:rsidRPr="00702E8F">
        <w:rPr>
          <w:sz w:val="22"/>
          <w:szCs w:val="22"/>
          <w:lang w:val="fr-CA"/>
        </w:rPr>
        <w:t xml:space="preserve"> l’environnement,</w:t>
      </w:r>
      <w:r w:rsidR="008B1787" w:rsidRPr="00702E8F">
        <w:rPr>
          <w:sz w:val="22"/>
          <w:szCs w:val="22"/>
          <w:lang w:val="fr-CA"/>
        </w:rPr>
        <w:t xml:space="preserve"> et elles pourraient être encouragées et élargies, notamment en englobant également d’autres secteurs économiques</w:t>
      </w:r>
      <w:r w:rsidR="000E50F2">
        <w:rPr>
          <w:sz w:val="22"/>
          <w:szCs w:val="22"/>
          <w:lang w:val="fr-CA"/>
        </w:rPr>
        <w:t xml:space="preserve">, par exemple </w:t>
      </w:r>
      <w:r w:rsidR="008B1787" w:rsidRPr="00702E8F">
        <w:rPr>
          <w:sz w:val="22"/>
          <w:szCs w:val="22"/>
          <w:lang w:val="fr-CA"/>
        </w:rPr>
        <w:t>par le biais de la base de données sur l’estimation de l’aide à la pêche</w:t>
      </w:r>
      <w:r w:rsidR="00754320" w:rsidRPr="00702E8F">
        <w:rPr>
          <w:sz w:val="22"/>
          <w:szCs w:val="22"/>
          <w:lang w:val="fr-CA"/>
        </w:rPr>
        <w:t>.</w:t>
      </w:r>
      <w:bookmarkEnd w:id="8"/>
    </w:p>
    <w:p w14:paraId="19B80CCD" w14:textId="0CABB383" w:rsidR="00754320" w:rsidRDefault="008B1787" w:rsidP="003D01D2">
      <w:pPr>
        <w:pStyle w:val="Para1"/>
        <w:numPr>
          <w:ilvl w:val="0"/>
          <w:numId w:val="58"/>
        </w:numPr>
        <w:suppressLineNumbers/>
        <w:suppressAutoHyphens/>
        <w:spacing w:before="120"/>
        <w:ind w:left="0" w:firstLine="0"/>
        <w:jc w:val="both"/>
        <w:rPr>
          <w:sz w:val="22"/>
          <w:szCs w:val="22"/>
          <w:lang w:val="fr-CA"/>
        </w:rPr>
      </w:pPr>
      <w:bookmarkStart w:id="10" w:name="_Ref40285269"/>
      <w:bookmarkStart w:id="11" w:name="_Hlk40291007"/>
      <w:r w:rsidRPr="00702E8F">
        <w:rPr>
          <w:sz w:val="22"/>
          <w:szCs w:val="22"/>
          <w:lang w:val="fr-CA"/>
        </w:rPr>
        <w:t>Par conséquent, les Parties pourraient envisager une autre décision à la quinzième réunion de la Conférence des Parties invitant les partenaires et organisations compétent</w:t>
      </w:r>
      <w:r w:rsidR="00966546">
        <w:rPr>
          <w:sz w:val="22"/>
          <w:szCs w:val="22"/>
          <w:lang w:val="fr-CA"/>
        </w:rPr>
        <w:t>e</w:t>
      </w:r>
      <w:r w:rsidRPr="00702E8F">
        <w:rPr>
          <w:sz w:val="22"/>
          <w:szCs w:val="22"/>
          <w:lang w:val="fr-CA"/>
        </w:rPr>
        <w:t>s</w:t>
      </w:r>
      <w:r w:rsidR="00C32978" w:rsidRPr="00702E8F">
        <w:rPr>
          <w:sz w:val="22"/>
          <w:szCs w:val="22"/>
          <w:lang w:val="fr-CA"/>
        </w:rPr>
        <w:t xml:space="preserve"> à participer</w:t>
      </w:r>
      <w:r w:rsidRPr="00702E8F">
        <w:rPr>
          <w:sz w:val="22"/>
          <w:szCs w:val="22"/>
          <w:lang w:val="fr-CA"/>
        </w:rPr>
        <w:t xml:space="preserve">, et invitant la Secrétaire exécutive à collaborer avec eux, </w:t>
      </w:r>
      <w:r w:rsidR="00C32978" w:rsidRPr="00702E8F">
        <w:rPr>
          <w:sz w:val="22"/>
          <w:szCs w:val="22"/>
          <w:lang w:val="fr-CA"/>
        </w:rPr>
        <w:t>aux travaux proposés dans le but d’améliorer la base de connaissances mondiales sur les flux de financement de la biodiversité</w:t>
      </w:r>
      <w:r w:rsidR="00E453D1">
        <w:rPr>
          <w:sz w:val="22"/>
          <w:szCs w:val="22"/>
          <w:lang w:val="fr-CA"/>
        </w:rPr>
        <w:t> </w:t>
      </w:r>
      <w:r w:rsidR="00C32978" w:rsidRPr="00702E8F">
        <w:rPr>
          <w:sz w:val="22"/>
          <w:szCs w:val="22"/>
          <w:lang w:val="fr-CA"/>
        </w:rPr>
        <w:t>; une norme conviviale</w:t>
      </w:r>
      <w:r w:rsidR="000E50F2">
        <w:rPr>
          <w:sz w:val="22"/>
          <w:szCs w:val="22"/>
          <w:lang w:val="fr-CA"/>
        </w:rPr>
        <w:t xml:space="preserve">, </w:t>
      </w:r>
      <w:r w:rsidR="000E50F2" w:rsidRPr="00702E8F">
        <w:rPr>
          <w:sz w:val="22"/>
          <w:szCs w:val="22"/>
          <w:lang w:val="fr-CA"/>
        </w:rPr>
        <w:t>que toutes les Parties pourraient adopter</w:t>
      </w:r>
      <w:r w:rsidR="000E50F2">
        <w:rPr>
          <w:sz w:val="22"/>
          <w:szCs w:val="22"/>
          <w:lang w:val="fr-CA"/>
        </w:rPr>
        <w:t>,</w:t>
      </w:r>
      <w:r w:rsidR="00C32978" w:rsidRPr="00702E8F">
        <w:rPr>
          <w:sz w:val="22"/>
          <w:szCs w:val="22"/>
          <w:lang w:val="fr-CA"/>
        </w:rPr>
        <w:t xml:space="preserve"> pourrait ensuite être promulguée. Une telle décision pourrait se lire</w:t>
      </w:r>
      <w:r w:rsidR="00E453D1">
        <w:rPr>
          <w:sz w:val="22"/>
          <w:szCs w:val="22"/>
          <w:lang w:val="fr-CA"/>
        </w:rPr>
        <w:t> </w:t>
      </w:r>
      <w:r w:rsidR="00754320" w:rsidRPr="00702E8F">
        <w:rPr>
          <w:sz w:val="22"/>
          <w:szCs w:val="22"/>
          <w:lang w:val="fr-CA"/>
        </w:rPr>
        <w:t>:</w:t>
      </w:r>
      <w:bookmarkEnd w:id="10"/>
    </w:p>
    <w:p w14:paraId="3DCE2385" w14:textId="2EDBF939" w:rsidR="00333A1C" w:rsidRPr="00333A1C" w:rsidRDefault="00333A1C" w:rsidP="00333A1C">
      <w:pPr>
        <w:pStyle w:val="Para1"/>
        <w:suppressLineNumbers/>
        <w:suppressAutoHyphens/>
        <w:spacing w:before="120"/>
        <w:ind w:left="720"/>
        <w:jc w:val="both"/>
        <w:rPr>
          <w:i/>
          <w:sz w:val="22"/>
          <w:szCs w:val="22"/>
          <w:lang w:val="fr-CA"/>
        </w:rPr>
      </w:pPr>
      <w:r w:rsidRPr="00333A1C">
        <w:rPr>
          <w:i/>
          <w:sz w:val="22"/>
          <w:szCs w:val="22"/>
          <w:lang w:val="fr-CA"/>
        </w:rPr>
        <w:t>[La Conférence des Parties]</w:t>
      </w:r>
    </w:p>
    <w:p w14:paraId="715EF0A5" w14:textId="0B2D5F1D" w:rsidR="00754320" w:rsidRPr="00702E8F" w:rsidRDefault="00C32978" w:rsidP="00333A1C">
      <w:pPr>
        <w:spacing w:before="120" w:after="120"/>
        <w:ind w:left="720" w:firstLine="720"/>
        <w:jc w:val="both"/>
        <w:rPr>
          <w:bCs/>
          <w:sz w:val="22"/>
          <w:szCs w:val="22"/>
          <w:lang w:val="fr-CA" w:eastAsia="en-GB"/>
        </w:rPr>
      </w:pPr>
      <w:r w:rsidRPr="00702E8F">
        <w:rPr>
          <w:bCs/>
          <w:i/>
          <w:iCs/>
          <w:sz w:val="22"/>
          <w:szCs w:val="22"/>
          <w:lang w:val="fr-CA" w:eastAsia="en-GB"/>
        </w:rPr>
        <w:t xml:space="preserve">Prie </w:t>
      </w:r>
      <w:r w:rsidRPr="00702E8F">
        <w:rPr>
          <w:bCs/>
          <w:iCs/>
          <w:sz w:val="22"/>
          <w:szCs w:val="22"/>
          <w:lang w:val="fr-CA" w:eastAsia="en-GB"/>
        </w:rPr>
        <w:t>la Secrétaire e</w:t>
      </w:r>
      <w:r w:rsidR="00970835" w:rsidRPr="00702E8F">
        <w:rPr>
          <w:bCs/>
          <w:iCs/>
          <w:sz w:val="22"/>
          <w:szCs w:val="22"/>
          <w:lang w:val="fr-CA" w:eastAsia="en-GB"/>
        </w:rPr>
        <w:t>xécutive de collaborer, dans le</w:t>
      </w:r>
      <w:r w:rsidRPr="00702E8F">
        <w:rPr>
          <w:bCs/>
          <w:iCs/>
          <w:sz w:val="22"/>
          <w:szCs w:val="22"/>
          <w:lang w:val="fr-CA" w:eastAsia="en-GB"/>
        </w:rPr>
        <w:t>s</w:t>
      </w:r>
      <w:r w:rsidR="00970835" w:rsidRPr="00702E8F">
        <w:rPr>
          <w:bCs/>
          <w:iCs/>
          <w:sz w:val="22"/>
          <w:szCs w:val="22"/>
          <w:lang w:val="fr-CA" w:eastAsia="en-GB"/>
        </w:rPr>
        <w:t xml:space="preserve"> </w:t>
      </w:r>
      <w:r w:rsidRPr="00702E8F">
        <w:rPr>
          <w:bCs/>
          <w:iCs/>
          <w:sz w:val="22"/>
          <w:szCs w:val="22"/>
          <w:lang w:val="fr-CA" w:eastAsia="en-GB"/>
        </w:rPr>
        <w:t>limites des ressources financières disponibles, avec les initia</w:t>
      </w:r>
      <w:r w:rsidR="00966546">
        <w:rPr>
          <w:bCs/>
          <w:iCs/>
          <w:sz w:val="22"/>
          <w:szCs w:val="22"/>
          <w:lang w:val="fr-CA" w:eastAsia="en-GB"/>
        </w:rPr>
        <w:t>tives et organisations compétent</w:t>
      </w:r>
      <w:r w:rsidRPr="00702E8F">
        <w:rPr>
          <w:bCs/>
          <w:iCs/>
          <w:sz w:val="22"/>
          <w:szCs w:val="22"/>
          <w:lang w:val="fr-CA" w:eastAsia="en-GB"/>
        </w:rPr>
        <w:t>es</w:t>
      </w:r>
      <w:r w:rsidR="00970835" w:rsidRPr="00702E8F">
        <w:rPr>
          <w:bCs/>
          <w:iCs/>
          <w:sz w:val="22"/>
          <w:szCs w:val="22"/>
          <w:lang w:val="fr-CA" w:eastAsia="en-GB"/>
        </w:rPr>
        <w:t xml:space="preserve"> à améliorer l’émission de rapports sur le financement </w:t>
      </w:r>
      <w:r w:rsidR="00E779D6">
        <w:rPr>
          <w:bCs/>
          <w:iCs/>
          <w:sz w:val="22"/>
          <w:szCs w:val="22"/>
          <w:lang w:val="fr-CA" w:eastAsia="en-GB"/>
        </w:rPr>
        <w:t xml:space="preserve">direct et indirect </w:t>
      </w:r>
      <w:r w:rsidR="00970835" w:rsidRPr="00702E8F">
        <w:rPr>
          <w:bCs/>
          <w:iCs/>
          <w:sz w:val="22"/>
          <w:szCs w:val="22"/>
          <w:lang w:val="fr-CA" w:eastAsia="en-GB"/>
        </w:rPr>
        <w:t>de la diversité biolo</w:t>
      </w:r>
      <w:r w:rsidR="00D614F3" w:rsidRPr="00702E8F">
        <w:rPr>
          <w:bCs/>
          <w:iCs/>
          <w:sz w:val="22"/>
          <w:szCs w:val="22"/>
          <w:lang w:val="fr-CA" w:eastAsia="en-GB"/>
        </w:rPr>
        <w:t>giqu</w:t>
      </w:r>
      <w:r w:rsidR="00E779D6">
        <w:rPr>
          <w:bCs/>
          <w:iCs/>
          <w:sz w:val="22"/>
          <w:szCs w:val="22"/>
          <w:lang w:val="fr-CA" w:eastAsia="en-GB"/>
        </w:rPr>
        <w:t>e</w:t>
      </w:r>
      <w:r w:rsidR="00970835" w:rsidRPr="00702E8F">
        <w:rPr>
          <w:bCs/>
          <w:iCs/>
          <w:sz w:val="22"/>
          <w:szCs w:val="22"/>
          <w:lang w:val="fr-CA" w:eastAsia="en-GB"/>
        </w:rPr>
        <w:t xml:space="preserve"> au titre des voies et cadres de communication internationaux de statistiqu</w:t>
      </w:r>
      <w:r w:rsidR="00D614F3" w:rsidRPr="00702E8F">
        <w:rPr>
          <w:bCs/>
          <w:iCs/>
          <w:sz w:val="22"/>
          <w:szCs w:val="22"/>
          <w:lang w:val="fr-CA" w:eastAsia="en-GB"/>
        </w:rPr>
        <w:t>e, et su</w:t>
      </w:r>
      <w:r w:rsidR="00970835" w:rsidRPr="00702E8F">
        <w:rPr>
          <w:bCs/>
          <w:iCs/>
          <w:sz w:val="22"/>
          <w:szCs w:val="22"/>
          <w:lang w:val="fr-CA" w:eastAsia="en-GB"/>
        </w:rPr>
        <w:t>r la mise en œuvre de mécanismes de financement, afin de faciliter et de soutenir les tr</w:t>
      </w:r>
      <w:r w:rsidR="00D614F3" w:rsidRPr="00702E8F">
        <w:rPr>
          <w:bCs/>
          <w:iCs/>
          <w:sz w:val="22"/>
          <w:szCs w:val="22"/>
          <w:lang w:val="fr-CA" w:eastAsia="en-GB"/>
        </w:rPr>
        <w:t>avaux des partenaires</w:t>
      </w:r>
      <w:r w:rsidR="00A6298C">
        <w:rPr>
          <w:bCs/>
          <w:iCs/>
          <w:sz w:val="22"/>
          <w:szCs w:val="22"/>
          <w:lang w:val="fr-CA" w:eastAsia="en-GB"/>
        </w:rPr>
        <w:t xml:space="preserve"> indiqués ci-dessus</w:t>
      </w:r>
      <w:r w:rsidR="00D614F3" w:rsidRPr="00702E8F">
        <w:rPr>
          <w:bCs/>
          <w:iCs/>
          <w:sz w:val="22"/>
          <w:szCs w:val="22"/>
          <w:lang w:val="fr-CA" w:eastAsia="en-GB"/>
        </w:rPr>
        <w:t>, et de pré</w:t>
      </w:r>
      <w:r w:rsidR="00970835" w:rsidRPr="00702E8F">
        <w:rPr>
          <w:bCs/>
          <w:iCs/>
          <w:sz w:val="22"/>
          <w:szCs w:val="22"/>
          <w:lang w:val="fr-CA" w:eastAsia="en-GB"/>
        </w:rPr>
        <w:t xml:space="preserve">parer un rapport </w:t>
      </w:r>
      <w:r w:rsidR="000E50F2">
        <w:rPr>
          <w:bCs/>
          <w:iCs/>
          <w:sz w:val="22"/>
          <w:szCs w:val="22"/>
          <w:lang w:val="fr-CA" w:eastAsia="en-GB"/>
        </w:rPr>
        <w:t>d’avancement</w:t>
      </w:r>
      <w:r w:rsidR="00970835" w:rsidRPr="00702E8F">
        <w:rPr>
          <w:bCs/>
          <w:iCs/>
          <w:sz w:val="22"/>
          <w:szCs w:val="22"/>
          <w:lang w:val="fr-CA" w:eastAsia="en-GB"/>
        </w:rPr>
        <w:t>, comprenant des propositions sur les modèles possibles de rap</w:t>
      </w:r>
      <w:r w:rsidR="00D614F3" w:rsidRPr="00702E8F">
        <w:rPr>
          <w:bCs/>
          <w:iCs/>
          <w:sz w:val="22"/>
          <w:szCs w:val="22"/>
          <w:lang w:val="fr-CA" w:eastAsia="en-GB"/>
        </w:rPr>
        <w:t>p</w:t>
      </w:r>
      <w:r w:rsidR="00970835" w:rsidRPr="00702E8F">
        <w:rPr>
          <w:bCs/>
          <w:iCs/>
          <w:sz w:val="22"/>
          <w:szCs w:val="22"/>
          <w:lang w:val="fr-CA" w:eastAsia="en-GB"/>
        </w:rPr>
        <w:t xml:space="preserve">orts financiers plus </w:t>
      </w:r>
      <w:r w:rsidR="00D614F3" w:rsidRPr="00702E8F">
        <w:rPr>
          <w:bCs/>
          <w:iCs/>
          <w:sz w:val="22"/>
          <w:szCs w:val="22"/>
          <w:lang w:val="fr-CA" w:eastAsia="en-GB"/>
        </w:rPr>
        <w:t>s</w:t>
      </w:r>
      <w:r w:rsidR="00970835" w:rsidRPr="00702E8F">
        <w:rPr>
          <w:bCs/>
          <w:iCs/>
          <w:sz w:val="22"/>
          <w:szCs w:val="22"/>
          <w:lang w:val="fr-CA" w:eastAsia="en-GB"/>
        </w:rPr>
        <w:t>imples et plus efficaces, pour examen par l’Organe subsid</w:t>
      </w:r>
      <w:r w:rsidR="00D614F3" w:rsidRPr="00702E8F">
        <w:rPr>
          <w:bCs/>
          <w:iCs/>
          <w:sz w:val="22"/>
          <w:szCs w:val="22"/>
          <w:lang w:val="fr-CA" w:eastAsia="en-GB"/>
        </w:rPr>
        <w:t>i</w:t>
      </w:r>
      <w:r w:rsidR="00970835" w:rsidRPr="00702E8F">
        <w:rPr>
          <w:bCs/>
          <w:iCs/>
          <w:sz w:val="22"/>
          <w:szCs w:val="22"/>
          <w:lang w:val="fr-CA" w:eastAsia="en-GB"/>
        </w:rPr>
        <w:t>aire chargé de l’application à sa quatrième réunion.</w:t>
      </w:r>
    </w:p>
    <w:bookmarkEnd w:id="11"/>
    <w:p w14:paraId="01D45FE4" w14:textId="4BBA84A3" w:rsidR="008B3CAA" w:rsidRPr="00702E8F" w:rsidRDefault="008B3CAA" w:rsidP="00E275C0">
      <w:pPr>
        <w:pStyle w:val="HEADINGNOTFORTOC"/>
        <w:tabs>
          <w:tab w:val="clear" w:pos="720"/>
        </w:tabs>
        <w:spacing w:before="120"/>
        <w:ind w:left="1151" w:hanging="720"/>
        <w:rPr>
          <w:bCs/>
          <w:spacing w:val="-10"/>
          <w:kern w:val="28"/>
          <w:sz w:val="22"/>
          <w:szCs w:val="22"/>
          <w:lang w:val="fr-CA" w:eastAsia="en-GB"/>
        </w:rPr>
      </w:pPr>
      <w:r w:rsidRPr="00702E8F">
        <w:rPr>
          <w:bCs/>
          <w:spacing w:val="-10"/>
          <w:kern w:val="28"/>
          <w:sz w:val="22"/>
          <w:szCs w:val="22"/>
          <w:lang w:val="fr-CA" w:eastAsia="en-GB"/>
        </w:rPr>
        <w:t>VII.</w:t>
      </w:r>
      <w:r w:rsidRPr="00702E8F">
        <w:rPr>
          <w:bCs/>
          <w:spacing w:val="-10"/>
          <w:kern w:val="28"/>
          <w:sz w:val="22"/>
          <w:szCs w:val="22"/>
          <w:lang w:val="fr-CA" w:eastAsia="en-GB"/>
        </w:rPr>
        <w:tab/>
        <w:t>Conclusion</w:t>
      </w:r>
    </w:p>
    <w:p w14:paraId="178CE4E8" w14:textId="3CCF2D83" w:rsidR="008B3CAA" w:rsidRPr="00702E8F" w:rsidRDefault="001B4834" w:rsidP="003D01D2">
      <w:pPr>
        <w:pStyle w:val="Para1"/>
        <w:numPr>
          <w:ilvl w:val="0"/>
          <w:numId w:val="58"/>
        </w:numPr>
        <w:suppressLineNumbers/>
        <w:suppressAutoHyphens/>
        <w:spacing w:before="120"/>
        <w:ind w:left="0" w:firstLine="0"/>
        <w:jc w:val="both"/>
        <w:rPr>
          <w:sz w:val="22"/>
          <w:szCs w:val="22"/>
          <w:lang w:val="fr-CA"/>
        </w:rPr>
      </w:pPr>
      <w:r w:rsidRPr="00702E8F">
        <w:rPr>
          <w:sz w:val="22"/>
          <w:szCs w:val="22"/>
          <w:lang w:val="fr-CA"/>
        </w:rPr>
        <w:t>La mobilisation des ressources est essentielle à la réalisation des objectifs de la Convention et devrait faire partie intégrante du cadre mondial de la biodiversité pour l</w:t>
      </w:r>
      <w:r w:rsidR="00CC7868">
        <w:rPr>
          <w:sz w:val="22"/>
          <w:szCs w:val="22"/>
          <w:lang w:val="fr-CA"/>
        </w:rPr>
        <w:t>’</w:t>
      </w:r>
      <w:r w:rsidRPr="00702E8F">
        <w:rPr>
          <w:sz w:val="22"/>
          <w:szCs w:val="22"/>
          <w:lang w:val="fr-CA"/>
        </w:rPr>
        <w:t xml:space="preserve">après-2020. </w:t>
      </w:r>
      <w:r w:rsidR="00E779D6">
        <w:rPr>
          <w:sz w:val="22"/>
          <w:szCs w:val="22"/>
          <w:lang w:val="fr-CA"/>
        </w:rPr>
        <w:t>La réalisation</w:t>
      </w:r>
      <w:r w:rsidRPr="00702E8F">
        <w:rPr>
          <w:sz w:val="22"/>
          <w:szCs w:val="22"/>
          <w:lang w:val="fr-CA"/>
        </w:rPr>
        <w:t xml:space="preserve"> des </w:t>
      </w:r>
      <w:r w:rsidR="00E779D6">
        <w:rPr>
          <w:sz w:val="22"/>
          <w:szCs w:val="22"/>
          <w:lang w:val="fr-CA"/>
        </w:rPr>
        <w:t>objectifs</w:t>
      </w:r>
      <w:r w:rsidRPr="00702E8F">
        <w:rPr>
          <w:sz w:val="22"/>
          <w:szCs w:val="22"/>
          <w:lang w:val="fr-CA"/>
        </w:rPr>
        <w:t xml:space="preserve"> de mobilisation des ressources sera nécessaire à la réalisation des autres cibles du cadre mondial de la biodiversité pour l</w:t>
      </w:r>
      <w:r w:rsidR="00CC7868">
        <w:rPr>
          <w:sz w:val="22"/>
          <w:szCs w:val="22"/>
          <w:lang w:val="fr-CA"/>
        </w:rPr>
        <w:t>’</w:t>
      </w:r>
      <w:r w:rsidRPr="00702E8F">
        <w:rPr>
          <w:sz w:val="22"/>
          <w:szCs w:val="22"/>
          <w:lang w:val="fr-CA"/>
        </w:rPr>
        <w:t xml:space="preserve">après-2020. En faisant connaître sa contribution au volet </w:t>
      </w:r>
      <w:r w:rsidR="00E779D6">
        <w:rPr>
          <w:sz w:val="22"/>
          <w:szCs w:val="22"/>
          <w:lang w:val="fr-CA"/>
        </w:rPr>
        <w:t xml:space="preserve">provisoire </w:t>
      </w:r>
      <w:r w:rsidRPr="00702E8F">
        <w:rPr>
          <w:sz w:val="22"/>
          <w:szCs w:val="22"/>
          <w:lang w:val="fr-CA"/>
        </w:rPr>
        <w:t>sur la mobilisation des ressources, le Groupe d’experts met en évidence les principaux messages suivants</w:t>
      </w:r>
      <w:r w:rsidR="00CC7868">
        <w:rPr>
          <w:sz w:val="22"/>
          <w:szCs w:val="22"/>
          <w:lang w:val="fr-CA"/>
        </w:rPr>
        <w:t> </w:t>
      </w:r>
      <w:r w:rsidR="008B3CAA" w:rsidRPr="00702E8F">
        <w:rPr>
          <w:sz w:val="22"/>
          <w:szCs w:val="22"/>
          <w:lang w:val="fr-CA"/>
        </w:rPr>
        <w:t>:</w:t>
      </w:r>
    </w:p>
    <w:p w14:paraId="0F2053C1" w14:textId="51460590" w:rsidR="007C067E" w:rsidRPr="00702E8F" w:rsidRDefault="009E2CA9" w:rsidP="001B4834">
      <w:pPr>
        <w:pStyle w:val="Paragraphedeliste"/>
        <w:numPr>
          <w:ilvl w:val="0"/>
          <w:numId w:val="54"/>
        </w:numPr>
        <w:suppressLineNumbers/>
        <w:suppressAutoHyphens/>
        <w:spacing w:before="120" w:after="120"/>
        <w:ind w:left="0" w:firstLine="720"/>
        <w:jc w:val="both"/>
        <w:rPr>
          <w:sz w:val="22"/>
          <w:szCs w:val="22"/>
          <w:lang w:val="fr-CA"/>
        </w:rPr>
      </w:pPr>
      <w:r w:rsidRPr="00702E8F">
        <w:rPr>
          <w:sz w:val="22"/>
          <w:szCs w:val="22"/>
          <w:lang w:val="fr-CA"/>
        </w:rPr>
        <w:t>La mobilisation des ressources exigera un changement transformationnel, inclusif et équitable dans toutes les économies et toutes les sociétés. Une approche stratégique pour la mobilisation des ressources devrait comprendre trois volets interdépendants et complémentaire</w:t>
      </w:r>
      <w:r w:rsidR="00CC7868">
        <w:rPr>
          <w:sz w:val="22"/>
          <w:szCs w:val="22"/>
          <w:lang w:val="fr-CA"/>
        </w:rPr>
        <w:t>s </w:t>
      </w:r>
      <w:r w:rsidR="00306093" w:rsidRPr="00702E8F">
        <w:rPr>
          <w:sz w:val="22"/>
          <w:szCs w:val="22"/>
          <w:lang w:val="fr-CA"/>
        </w:rPr>
        <w:t>:</w:t>
      </w:r>
    </w:p>
    <w:p w14:paraId="09F63EDB" w14:textId="2767C254" w:rsidR="007C067E" w:rsidRPr="00702E8F" w:rsidRDefault="009E2CA9" w:rsidP="009E2CA9">
      <w:pPr>
        <w:pStyle w:val="Paragraphedeliste"/>
        <w:numPr>
          <w:ilvl w:val="0"/>
          <w:numId w:val="51"/>
        </w:numPr>
        <w:suppressLineNumbers/>
        <w:suppressAutoHyphens/>
        <w:spacing w:after="120"/>
        <w:ind w:hanging="540"/>
        <w:jc w:val="both"/>
        <w:rPr>
          <w:sz w:val="22"/>
          <w:szCs w:val="22"/>
          <w:lang w:val="fr-CA" w:eastAsia="en-GB"/>
        </w:rPr>
      </w:pPr>
      <w:r w:rsidRPr="00702E8F">
        <w:rPr>
          <w:sz w:val="22"/>
          <w:szCs w:val="22"/>
          <w:lang w:val="fr-CA" w:eastAsia="en-GB"/>
        </w:rPr>
        <w:t>Réduire ou réallouer les ressources qui ont des effets nuisibles sur la biodiversité</w:t>
      </w:r>
      <w:r w:rsidR="00CC7868">
        <w:rPr>
          <w:sz w:val="22"/>
          <w:szCs w:val="22"/>
          <w:lang w:val="fr-CA" w:eastAsia="en-GB"/>
        </w:rPr>
        <w:t> </w:t>
      </w:r>
      <w:r w:rsidR="008B3CAA" w:rsidRPr="00702E8F">
        <w:rPr>
          <w:sz w:val="22"/>
          <w:szCs w:val="22"/>
          <w:lang w:val="fr-CA" w:eastAsia="en-GB"/>
        </w:rPr>
        <w:t>;</w:t>
      </w:r>
    </w:p>
    <w:p w14:paraId="13727BA8" w14:textId="01BAE178" w:rsidR="007C067E" w:rsidRPr="00702E8F" w:rsidRDefault="009D7645" w:rsidP="00EC07F9">
      <w:pPr>
        <w:pStyle w:val="Paragraphedeliste"/>
        <w:numPr>
          <w:ilvl w:val="0"/>
          <w:numId w:val="51"/>
        </w:numPr>
        <w:suppressLineNumbers/>
        <w:suppressAutoHyphens/>
        <w:spacing w:after="120"/>
        <w:ind w:left="1458" w:hanging="607"/>
        <w:jc w:val="both"/>
        <w:rPr>
          <w:sz w:val="22"/>
          <w:szCs w:val="22"/>
          <w:lang w:val="fr-CA" w:eastAsia="en-GB"/>
        </w:rPr>
      </w:pPr>
      <w:r w:rsidRPr="00702E8F">
        <w:rPr>
          <w:sz w:val="22"/>
          <w:szCs w:val="22"/>
          <w:lang w:val="fr-CA" w:eastAsia="en-GB"/>
        </w:rPr>
        <w:t>Générer des ressources supplémentaires de toutes les sources afin de réaliser les trois objectifs de la Convention</w:t>
      </w:r>
      <w:r w:rsidR="00CC7868">
        <w:rPr>
          <w:sz w:val="22"/>
          <w:szCs w:val="22"/>
          <w:lang w:val="fr-CA" w:eastAsia="en-GB"/>
        </w:rPr>
        <w:t> </w:t>
      </w:r>
      <w:r w:rsidR="008B3CAA" w:rsidRPr="00702E8F">
        <w:rPr>
          <w:sz w:val="22"/>
          <w:szCs w:val="22"/>
          <w:lang w:val="fr-CA" w:eastAsia="en-GB"/>
        </w:rPr>
        <w:t>;</w:t>
      </w:r>
    </w:p>
    <w:p w14:paraId="4DEED913" w14:textId="79686865" w:rsidR="00306093" w:rsidRPr="00702E8F" w:rsidRDefault="009D7645" w:rsidP="00EC07F9">
      <w:pPr>
        <w:pStyle w:val="Paragraphedeliste"/>
        <w:numPr>
          <w:ilvl w:val="0"/>
          <w:numId w:val="51"/>
        </w:numPr>
        <w:suppressLineNumbers/>
        <w:suppressAutoHyphens/>
        <w:spacing w:after="120"/>
        <w:ind w:left="1458" w:hanging="607"/>
        <w:jc w:val="both"/>
        <w:rPr>
          <w:sz w:val="22"/>
          <w:szCs w:val="22"/>
          <w:lang w:val="fr-CA" w:eastAsia="en-GB"/>
        </w:rPr>
      </w:pPr>
      <w:r w:rsidRPr="00702E8F">
        <w:rPr>
          <w:sz w:val="22"/>
          <w:szCs w:val="22"/>
          <w:lang w:val="fr-CA" w:eastAsia="en-GB"/>
        </w:rPr>
        <w:t>Améliorer l’efficacité et l’efficience de l’utilisation des ressources</w:t>
      </w:r>
      <w:r w:rsidR="00CC7868">
        <w:rPr>
          <w:sz w:val="22"/>
          <w:szCs w:val="22"/>
          <w:lang w:val="fr-CA" w:eastAsia="en-GB"/>
        </w:rPr>
        <w:t> </w:t>
      </w:r>
      <w:r w:rsidR="00573377" w:rsidRPr="00702E8F">
        <w:rPr>
          <w:sz w:val="22"/>
          <w:szCs w:val="22"/>
          <w:lang w:val="fr-CA" w:eastAsia="en-GB"/>
        </w:rPr>
        <w:t>;</w:t>
      </w:r>
    </w:p>
    <w:p w14:paraId="26E20680" w14:textId="16528651" w:rsidR="005D17E9" w:rsidRPr="00702E8F" w:rsidRDefault="009D7645" w:rsidP="009D7645">
      <w:pPr>
        <w:pStyle w:val="Paragraphedeliste"/>
        <w:keepNext/>
        <w:numPr>
          <w:ilvl w:val="0"/>
          <w:numId w:val="54"/>
        </w:numPr>
        <w:suppressLineNumbers/>
        <w:suppressAutoHyphens/>
        <w:spacing w:before="120" w:after="120"/>
        <w:ind w:left="0" w:firstLine="720"/>
        <w:jc w:val="both"/>
        <w:rPr>
          <w:sz w:val="22"/>
          <w:szCs w:val="22"/>
          <w:lang w:val="fr-CA" w:eastAsia="en-GB"/>
        </w:rPr>
      </w:pPr>
      <w:r w:rsidRPr="00702E8F">
        <w:rPr>
          <w:sz w:val="22"/>
          <w:szCs w:val="22"/>
          <w:lang w:val="fr-CA" w:eastAsia="en-GB"/>
        </w:rPr>
        <w:lastRenderedPageBreak/>
        <w:t>Un plus grand éventail d’acteurs doit jouer un rôle de premier plan dans la mobilisation des ressources</w:t>
      </w:r>
      <w:r w:rsidR="00CC7868">
        <w:rPr>
          <w:sz w:val="22"/>
          <w:szCs w:val="22"/>
          <w:lang w:val="fr-CA" w:eastAsia="en-GB"/>
        </w:rPr>
        <w:t> </w:t>
      </w:r>
      <w:r w:rsidR="00306093" w:rsidRPr="00702E8F">
        <w:rPr>
          <w:sz w:val="22"/>
          <w:szCs w:val="22"/>
          <w:lang w:val="fr-CA" w:eastAsia="en-GB"/>
        </w:rPr>
        <w:t>:</w:t>
      </w:r>
    </w:p>
    <w:p w14:paraId="1385688C" w14:textId="11929981" w:rsidR="005D17E9" w:rsidRPr="00702E8F" w:rsidRDefault="009D7645" w:rsidP="009D7645">
      <w:pPr>
        <w:pStyle w:val="Paragraphedeliste"/>
        <w:numPr>
          <w:ilvl w:val="0"/>
          <w:numId w:val="50"/>
        </w:numPr>
        <w:suppressLineNumbers/>
        <w:suppressAutoHyphens/>
        <w:spacing w:after="120"/>
        <w:ind w:hanging="630"/>
        <w:jc w:val="both"/>
        <w:rPr>
          <w:sz w:val="22"/>
          <w:szCs w:val="22"/>
          <w:lang w:val="fr-CA" w:eastAsia="en-GB"/>
        </w:rPr>
      </w:pPr>
      <w:r w:rsidRPr="00702E8F">
        <w:rPr>
          <w:sz w:val="22"/>
          <w:szCs w:val="22"/>
          <w:lang w:val="fr-CA" w:eastAsia="en-GB"/>
        </w:rPr>
        <w:t>Le secteur public doit réduire</w:t>
      </w:r>
      <w:r w:rsidR="007840D4" w:rsidRPr="00702E8F">
        <w:rPr>
          <w:sz w:val="22"/>
          <w:szCs w:val="22"/>
          <w:lang w:val="fr-CA" w:eastAsia="en-GB"/>
        </w:rPr>
        <w:t xml:space="preserve"> ou réallouer ses ressour</w:t>
      </w:r>
      <w:r w:rsidRPr="00702E8F">
        <w:rPr>
          <w:sz w:val="22"/>
          <w:szCs w:val="22"/>
          <w:lang w:val="fr-CA" w:eastAsia="en-GB"/>
        </w:rPr>
        <w:t>ces qui nuisent à la biodiversité</w:t>
      </w:r>
      <w:r w:rsidR="00CC7868">
        <w:rPr>
          <w:sz w:val="22"/>
          <w:szCs w:val="22"/>
          <w:lang w:val="fr-CA" w:eastAsia="en-GB"/>
        </w:rPr>
        <w:t> </w:t>
      </w:r>
      <w:r w:rsidR="00306093" w:rsidRPr="00702E8F">
        <w:rPr>
          <w:sz w:val="22"/>
          <w:szCs w:val="22"/>
          <w:lang w:val="fr-CA" w:eastAsia="en-GB"/>
        </w:rPr>
        <w:t>;</w:t>
      </w:r>
    </w:p>
    <w:p w14:paraId="074775F7" w14:textId="687CBBED" w:rsidR="005D17E9" w:rsidRPr="00702E8F" w:rsidRDefault="007840D4" w:rsidP="00EC07F9">
      <w:pPr>
        <w:pStyle w:val="Paragraphedeliste"/>
        <w:numPr>
          <w:ilvl w:val="0"/>
          <w:numId w:val="50"/>
        </w:numPr>
        <w:suppressLineNumbers/>
        <w:suppressAutoHyphens/>
        <w:spacing w:after="120"/>
        <w:ind w:left="1458" w:hanging="607"/>
        <w:jc w:val="both"/>
        <w:rPr>
          <w:sz w:val="22"/>
          <w:szCs w:val="22"/>
          <w:lang w:val="fr-CA" w:eastAsia="en-GB"/>
        </w:rPr>
      </w:pPr>
      <w:r w:rsidRPr="00702E8F">
        <w:rPr>
          <w:sz w:val="22"/>
          <w:szCs w:val="22"/>
          <w:lang w:val="fr-CA" w:eastAsia="en-GB"/>
        </w:rPr>
        <w:t>Les entreprises et le secteur financier doivent augmenter à plus grande échelle les investissements positifs pour la biodiversité tout en réduisant les dépenses nuisibles pour la biodiversité dont ils sont responsables</w:t>
      </w:r>
      <w:r w:rsidR="00CC7868">
        <w:rPr>
          <w:sz w:val="22"/>
          <w:szCs w:val="22"/>
          <w:lang w:val="fr-CA" w:eastAsia="en-GB"/>
        </w:rPr>
        <w:t> </w:t>
      </w:r>
      <w:r w:rsidR="00306093" w:rsidRPr="00702E8F">
        <w:rPr>
          <w:sz w:val="22"/>
          <w:szCs w:val="22"/>
          <w:lang w:val="fr-CA" w:eastAsia="en-GB"/>
        </w:rPr>
        <w:t>;</w:t>
      </w:r>
    </w:p>
    <w:p w14:paraId="517FBAF4" w14:textId="06503EDB" w:rsidR="00306093" w:rsidRPr="00702E8F" w:rsidRDefault="007840D4" w:rsidP="00EC07F9">
      <w:pPr>
        <w:pStyle w:val="Paragraphedeliste"/>
        <w:numPr>
          <w:ilvl w:val="0"/>
          <w:numId w:val="50"/>
        </w:numPr>
        <w:suppressLineNumbers/>
        <w:suppressAutoHyphens/>
        <w:spacing w:after="120"/>
        <w:ind w:left="1458" w:hanging="607"/>
        <w:jc w:val="both"/>
        <w:rPr>
          <w:sz w:val="22"/>
          <w:szCs w:val="22"/>
          <w:lang w:val="fr-CA"/>
        </w:rPr>
      </w:pPr>
      <w:r w:rsidRPr="00702E8F">
        <w:rPr>
          <w:sz w:val="22"/>
          <w:szCs w:val="22"/>
          <w:lang w:val="fr-CA" w:eastAsia="en-GB"/>
        </w:rPr>
        <w:t>Les organisations de développement doivent fournir un financement direct et indirect afin d’obtenir des résultats positifs pour la biodiversité, de même qu’un soutien au renforcement des capacités, tout en veillant à ce que les résultats du financement pour le développement n’aboutisse</w:t>
      </w:r>
      <w:r w:rsidR="00CC7868">
        <w:rPr>
          <w:sz w:val="22"/>
          <w:szCs w:val="22"/>
          <w:lang w:val="fr-CA" w:eastAsia="en-GB"/>
        </w:rPr>
        <w:t>nt</w:t>
      </w:r>
      <w:r w:rsidRPr="00702E8F">
        <w:rPr>
          <w:sz w:val="22"/>
          <w:szCs w:val="22"/>
          <w:lang w:val="fr-CA" w:eastAsia="en-GB"/>
        </w:rPr>
        <w:t xml:space="preserve"> pas à un résultat net nuisible pour la biodiversité</w:t>
      </w:r>
      <w:r w:rsidR="00CC7868">
        <w:rPr>
          <w:sz w:val="22"/>
          <w:szCs w:val="22"/>
          <w:lang w:val="fr-CA" w:eastAsia="en-GB"/>
        </w:rPr>
        <w:t> </w:t>
      </w:r>
      <w:r w:rsidR="00573377" w:rsidRPr="00702E8F">
        <w:rPr>
          <w:sz w:val="22"/>
          <w:szCs w:val="22"/>
          <w:lang w:val="fr-CA" w:eastAsia="en-GB"/>
        </w:rPr>
        <w:t>;</w:t>
      </w:r>
    </w:p>
    <w:p w14:paraId="6401CE7B" w14:textId="3A387A89" w:rsidR="00306093" w:rsidRPr="00702E8F" w:rsidRDefault="007840D4" w:rsidP="009D7645">
      <w:pPr>
        <w:pStyle w:val="Paragraphedeliste"/>
        <w:numPr>
          <w:ilvl w:val="0"/>
          <w:numId w:val="54"/>
        </w:numPr>
        <w:suppressLineNumbers/>
        <w:suppressAutoHyphens/>
        <w:spacing w:before="120" w:after="120"/>
        <w:ind w:left="0" w:firstLine="720"/>
        <w:jc w:val="both"/>
        <w:rPr>
          <w:sz w:val="22"/>
          <w:szCs w:val="22"/>
          <w:lang w:val="fr-CA"/>
        </w:rPr>
      </w:pPr>
      <w:r w:rsidRPr="00702E8F">
        <w:rPr>
          <w:sz w:val="22"/>
          <w:szCs w:val="22"/>
          <w:lang w:val="fr-CA"/>
        </w:rPr>
        <w:t>Les Parties, les organisations internationales, les secteurs des affaires et financier, et la société civile doivent développer ce qui a été atteint et appris à ce jour et utiliser</w:t>
      </w:r>
      <w:r w:rsidR="00322707" w:rsidRPr="00702E8F">
        <w:rPr>
          <w:sz w:val="22"/>
          <w:szCs w:val="22"/>
          <w:lang w:val="fr-CA"/>
        </w:rPr>
        <w:t xml:space="preserve"> toutes les occasions possibles po</w:t>
      </w:r>
      <w:r w:rsidRPr="00702E8F">
        <w:rPr>
          <w:sz w:val="22"/>
          <w:szCs w:val="22"/>
          <w:lang w:val="fr-CA"/>
        </w:rPr>
        <w:t>ur accélérer le changement pour un avenir plus résilient</w:t>
      </w:r>
      <w:r w:rsidR="00306093" w:rsidRPr="00702E8F">
        <w:rPr>
          <w:sz w:val="22"/>
          <w:szCs w:val="22"/>
          <w:lang w:val="fr-CA"/>
        </w:rPr>
        <w:t>.</w:t>
      </w:r>
    </w:p>
    <w:p w14:paraId="3AFD761E" w14:textId="6DD54BFA" w:rsidR="00AE7A38" w:rsidRPr="00D614F3" w:rsidRDefault="00001EB8" w:rsidP="00EC07F9">
      <w:pPr>
        <w:pStyle w:val="HEADINGNOTFORTOC"/>
        <w:suppressLineNumbers/>
        <w:tabs>
          <w:tab w:val="clear" w:pos="720"/>
        </w:tabs>
        <w:suppressAutoHyphens/>
        <w:spacing w:before="0"/>
        <w:ind w:left="720"/>
        <w:outlineLvl w:val="9"/>
        <w:rPr>
          <w:caps w:val="0"/>
          <w:snapToGrid w:val="0"/>
          <w:kern w:val="22"/>
          <w:sz w:val="22"/>
          <w:szCs w:val="22"/>
          <w:lang w:val="fr-CA"/>
        </w:rPr>
      </w:pPr>
      <w:r w:rsidRPr="00D614F3">
        <w:rPr>
          <w:caps w:val="0"/>
          <w:snapToGrid w:val="0"/>
          <w:kern w:val="22"/>
          <w:sz w:val="22"/>
          <w:szCs w:val="22"/>
          <w:lang w:val="fr-CA"/>
        </w:rPr>
        <w:t>________</w:t>
      </w:r>
      <w:r w:rsidR="00132CA5" w:rsidRPr="00D614F3">
        <w:rPr>
          <w:caps w:val="0"/>
          <w:snapToGrid w:val="0"/>
          <w:kern w:val="22"/>
          <w:sz w:val="22"/>
          <w:szCs w:val="22"/>
          <w:lang w:val="fr-CA"/>
        </w:rPr>
        <w:t>__</w:t>
      </w:r>
    </w:p>
    <w:sectPr w:rsidR="00AE7A38" w:rsidRPr="00D614F3" w:rsidSect="001B7FE3">
      <w:headerReference w:type="even" r:id="rId16"/>
      <w:headerReference w:type="default" r:id="rId17"/>
      <w:footerReference w:type="even" r:id="rId18"/>
      <w:footerReference w:type="first" r:id="rId19"/>
      <w:type w:val="continuous"/>
      <w:pgSz w:w="12240" w:h="15840" w:code="1"/>
      <w:pgMar w:top="567" w:right="1440" w:bottom="851" w:left="1440"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22B0" w16cex:dateUtc="2020-05-11T23:14:00Z"/>
  <w16cex:commentExtensible w16cex:durableId="22642331" w16cex:dateUtc="2020-05-11T23:17:00Z"/>
  <w16cex:commentExtensible w16cex:durableId="226425D5" w16cex:dateUtc="2020-05-11T23:28:00Z"/>
  <w16cex:commentExtensible w16cex:durableId="2264267E" w16cex:dateUtc="2020-05-11T23:31:00Z"/>
  <w16cex:commentExtensible w16cex:durableId="22641228" w16cex:dateUtc="2020-05-11T22:04:00Z"/>
  <w16cex:commentExtensible w16cex:durableId="22641220" w16cex:dateUtc="2020-05-11T22:04:00Z"/>
  <w16cex:commentExtensible w16cex:durableId="22641306" w16cex:dateUtc="2020-05-11T22:08:00Z"/>
  <w16cex:commentExtensible w16cex:durableId="226411CB" w16cex:dateUtc="2020-05-11T22:02:00Z"/>
  <w16cex:commentExtensible w16cex:durableId="22641714" w16cex:dateUtc="2020-05-11T22:25:00Z"/>
  <w16cex:commentExtensible w16cex:durableId="226419DE" w16cex:dateUtc="2020-05-11T22:37:00Z"/>
  <w16cex:commentExtensible w16cex:durableId="22641919" w16cex:dateUtc="2020-05-11T22:34:00Z"/>
  <w16cex:commentExtensible w16cex:durableId="226419A9" w16cex:dateUtc="2020-05-11T22: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75F9" w14:textId="77777777" w:rsidR="008C008D" w:rsidRDefault="008C008D">
      <w:r>
        <w:separator/>
      </w:r>
    </w:p>
  </w:endnote>
  <w:endnote w:type="continuationSeparator" w:id="0">
    <w:p w14:paraId="4CE6383C" w14:textId="77777777" w:rsidR="008C008D" w:rsidRDefault="008C008D">
      <w:r>
        <w:continuationSeparator/>
      </w:r>
    </w:p>
  </w:endnote>
  <w:endnote w:type="continuationNotice" w:id="1">
    <w:p w14:paraId="4F3DDBB7" w14:textId="77777777" w:rsidR="008C008D" w:rsidRDefault="008C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4F17" w14:textId="77777777" w:rsidR="006C7F81" w:rsidRDefault="006C7F81" w:rsidP="006F4060">
    <w:pPr>
      <w:pStyle w:val="Pieddepage"/>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8732" w14:textId="77777777" w:rsidR="006C7F81" w:rsidRPr="009F11A4" w:rsidRDefault="006C7F81" w:rsidP="009F11A4">
    <w:pPr>
      <w:pStyle w:val="Pieddepage"/>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9254B" w14:textId="77777777" w:rsidR="008C008D" w:rsidRDefault="008C008D">
      <w:r>
        <w:separator/>
      </w:r>
    </w:p>
  </w:footnote>
  <w:footnote w:type="continuationSeparator" w:id="0">
    <w:p w14:paraId="12769027" w14:textId="77777777" w:rsidR="008C008D" w:rsidRDefault="008C008D">
      <w:r>
        <w:continuationSeparator/>
      </w:r>
    </w:p>
  </w:footnote>
  <w:footnote w:type="continuationNotice" w:id="1">
    <w:p w14:paraId="2B244102" w14:textId="77777777" w:rsidR="008C008D" w:rsidRDefault="008C008D"/>
  </w:footnote>
  <w:footnote w:id="2">
    <w:p w14:paraId="35D48E7E" w14:textId="33528D60" w:rsidR="006C7F81" w:rsidRPr="00E0284D" w:rsidRDefault="006C7F81" w:rsidP="00757115">
      <w:pPr>
        <w:pStyle w:val="Notedebasdepage"/>
        <w:suppressLineNumbers/>
        <w:suppressAutoHyphens/>
        <w:ind w:firstLine="0"/>
        <w:rPr>
          <w:kern w:val="18"/>
          <w:szCs w:val="18"/>
          <w:lang w:val="fr-CA"/>
        </w:rPr>
      </w:pPr>
      <w:r w:rsidRPr="00E0284D">
        <w:rPr>
          <w:rStyle w:val="Appelnotedebasdep"/>
          <w:kern w:val="18"/>
          <w:szCs w:val="18"/>
          <w:u w:val="none"/>
          <w:lang w:val="fr-CA"/>
        </w:rPr>
        <w:t>*</w:t>
      </w:r>
      <w:r w:rsidRPr="00E0284D">
        <w:rPr>
          <w:kern w:val="18"/>
          <w:szCs w:val="18"/>
          <w:lang w:val="fr-CA"/>
        </w:rPr>
        <w:t xml:space="preserve"> CBD/</w:t>
      </w:r>
      <w:proofErr w:type="spellStart"/>
      <w:r w:rsidRPr="00E0284D">
        <w:rPr>
          <w:kern w:val="18"/>
          <w:szCs w:val="18"/>
          <w:lang w:val="fr-CA"/>
        </w:rPr>
        <w:t>SBI</w:t>
      </w:r>
      <w:proofErr w:type="spellEnd"/>
      <w:r w:rsidRPr="00E0284D">
        <w:rPr>
          <w:kern w:val="18"/>
          <w:szCs w:val="18"/>
          <w:lang w:val="fr-CA"/>
        </w:rPr>
        <w:t>/3/1.</w:t>
      </w:r>
    </w:p>
  </w:footnote>
  <w:footnote w:id="3">
    <w:p w14:paraId="1263F2EB" w14:textId="72080B66" w:rsidR="006C7F81" w:rsidRPr="00553903" w:rsidRDefault="006C7F81" w:rsidP="00AF5490">
      <w:pPr>
        <w:pStyle w:val="Notedebasdepage"/>
        <w:ind w:firstLine="0"/>
        <w:rPr>
          <w:lang w:val="fr-CA"/>
        </w:rPr>
      </w:pPr>
      <w:r w:rsidRPr="00001EB8">
        <w:rPr>
          <w:rStyle w:val="Appelnotedebasdep"/>
          <w:u w:val="none"/>
          <w:vertAlign w:val="superscript"/>
        </w:rPr>
        <w:footnoteRef/>
      </w:r>
      <w:r w:rsidRPr="00553903">
        <w:rPr>
          <w:lang w:val="fr-CA"/>
        </w:rPr>
        <w:t xml:space="preserve"> CBD/</w:t>
      </w:r>
      <w:proofErr w:type="spellStart"/>
      <w:r w:rsidRPr="00553903">
        <w:rPr>
          <w:lang w:val="fr-CA"/>
        </w:rPr>
        <w:t>SBI</w:t>
      </w:r>
      <w:proofErr w:type="spellEnd"/>
      <w:r w:rsidRPr="00553903">
        <w:rPr>
          <w:lang w:val="fr-CA"/>
        </w:rPr>
        <w:t>/3/</w:t>
      </w:r>
      <w:proofErr w:type="spellStart"/>
      <w:r w:rsidRPr="00553903">
        <w:rPr>
          <w:lang w:val="fr-CA"/>
        </w:rPr>
        <w:t>INF</w:t>
      </w:r>
      <w:proofErr w:type="spellEnd"/>
      <w:r w:rsidRPr="00553903">
        <w:rPr>
          <w:lang w:val="fr-CA"/>
        </w:rPr>
        <w:t>/2 (rapport complet); CBD/</w:t>
      </w:r>
      <w:proofErr w:type="spellStart"/>
      <w:r w:rsidRPr="00553903">
        <w:rPr>
          <w:lang w:val="fr-CA"/>
        </w:rPr>
        <w:t>SBI</w:t>
      </w:r>
      <w:proofErr w:type="spellEnd"/>
      <w:r w:rsidRPr="00553903">
        <w:rPr>
          <w:lang w:val="fr-CA"/>
        </w:rPr>
        <w:t>/3/5/Add.1 (sommaire).</w:t>
      </w:r>
    </w:p>
  </w:footnote>
  <w:footnote w:id="4">
    <w:p w14:paraId="64ED16F4" w14:textId="79634D1F" w:rsidR="006C7F81" w:rsidRPr="00553903" w:rsidRDefault="006C7F81" w:rsidP="00EC07F9">
      <w:pPr>
        <w:pStyle w:val="Notedebasdepage"/>
        <w:ind w:firstLine="0"/>
        <w:rPr>
          <w:lang w:val="fr-CA"/>
        </w:rPr>
      </w:pPr>
      <w:r w:rsidRPr="00EC07F9">
        <w:rPr>
          <w:rStyle w:val="Appelnotedebasdep"/>
          <w:u w:val="none"/>
          <w:vertAlign w:val="superscript"/>
        </w:rPr>
        <w:footnoteRef/>
      </w:r>
      <w:r w:rsidRPr="00553903">
        <w:rPr>
          <w:lang w:val="fr-CA"/>
        </w:rPr>
        <w:t xml:space="preserve"> Annexe à la dé</w:t>
      </w:r>
      <w:r>
        <w:rPr>
          <w:lang w:val="fr-CA"/>
        </w:rPr>
        <w:t>cision IX/11 B</w:t>
      </w:r>
      <w:r w:rsidRPr="00553903">
        <w:rPr>
          <w:lang w:val="fr-CA"/>
        </w:rPr>
        <w:t>.</w:t>
      </w:r>
    </w:p>
  </w:footnote>
  <w:footnote w:id="5">
    <w:p w14:paraId="553FA3A7" w14:textId="4A0329A5" w:rsidR="006C7F81" w:rsidRPr="006E0A64" w:rsidRDefault="006C7F81" w:rsidP="00EC07F9">
      <w:pPr>
        <w:pStyle w:val="Notedebasdepage"/>
        <w:ind w:firstLine="0"/>
        <w:rPr>
          <w:lang w:val="fr-CA"/>
        </w:rPr>
      </w:pPr>
      <w:r w:rsidRPr="006E0A64">
        <w:rPr>
          <w:rStyle w:val="Appelnotedebasdep"/>
          <w:u w:val="none"/>
          <w:vertAlign w:val="superscript"/>
          <w:lang w:val="fr-CA"/>
        </w:rPr>
        <w:footnoteRef/>
      </w:r>
      <w:r w:rsidRPr="006E0A64">
        <w:rPr>
          <w:lang w:val="fr-CA"/>
        </w:rPr>
        <w:t xml:space="preserve"> </w:t>
      </w:r>
      <w:r w:rsidRPr="006E0A64">
        <w:rPr>
          <w:kern w:val="18"/>
          <w:szCs w:val="18"/>
          <w:lang w:val="fr-CA"/>
        </w:rPr>
        <w:t>Voir la résolution</w:t>
      </w:r>
      <w:r>
        <w:rPr>
          <w:kern w:val="18"/>
          <w:szCs w:val="18"/>
          <w:lang w:val="fr-CA"/>
        </w:rPr>
        <w:t xml:space="preserve"> 70/1</w:t>
      </w:r>
      <w:r w:rsidRPr="006E0A64">
        <w:rPr>
          <w:kern w:val="18"/>
          <w:szCs w:val="18"/>
          <w:lang w:val="fr-CA"/>
        </w:rPr>
        <w:t xml:space="preserve"> de l’Assemblée générale intitulée </w:t>
      </w:r>
      <w:r>
        <w:rPr>
          <w:kern w:val="18"/>
          <w:szCs w:val="18"/>
          <w:lang w:val="fr-CA"/>
        </w:rPr>
        <w:t>« Transformer notre monde : le Programme de développement durable à l’horizon 2030 ».</w:t>
      </w:r>
    </w:p>
  </w:footnote>
  <w:footnote w:id="6">
    <w:p w14:paraId="54A4636F" w14:textId="2062B851" w:rsidR="006C7F81" w:rsidRPr="006E0A64" w:rsidRDefault="006C7F81" w:rsidP="00371DFE">
      <w:pPr>
        <w:pStyle w:val="Notedebasdepage"/>
        <w:ind w:firstLine="0"/>
        <w:rPr>
          <w:szCs w:val="18"/>
          <w:lang w:val="fr-CA"/>
        </w:rPr>
      </w:pPr>
      <w:r w:rsidRPr="006E0A64">
        <w:rPr>
          <w:rStyle w:val="Appelnotedebasdep"/>
          <w:szCs w:val="18"/>
          <w:u w:val="none"/>
          <w:vertAlign w:val="superscript"/>
          <w:lang w:val="fr-CA"/>
        </w:rPr>
        <w:footnoteRef/>
      </w:r>
      <w:r w:rsidRPr="006E0A64">
        <w:rPr>
          <w:szCs w:val="18"/>
          <w:lang w:val="fr-CA"/>
        </w:rPr>
        <w:t xml:space="preserve"> </w:t>
      </w:r>
      <w:r>
        <w:rPr>
          <w:szCs w:val="18"/>
          <w:lang w:val="fr-CA"/>
        </w:rPr>
        <w:t>Voir l’annexe IV au rapport complet</w:t>
      </w:r>
      <w:r w:rsidRPr="006E0A64">
        <w:rPr>
          <w:szCs w:val="18"/>
          <w:lang w:val="fr-CA"/>
        </w:rPr>
        <w:t xml:space="preserve"> (</w:t>
      </w:r>
      <w:r w:rsidRPr="006E0A64">
        <w:rPr>
          <w:lang w:val="fr-CA"/>
        </w:rPr>
        <w:t>CBD/</w:t>
      </w:r>
      <w:proofErr w:type="spellStart"/>
      <w:r w:rsidRPr="006E0A64">
        <w:rPr>
          <w:lang w:val="fr-CA"/>
        </w:rPr>
        <w:t>SBI</w:t>
      </w:r>
      <w:proofErr w:type="spellEnd"/>
      <w:r w:rsidRPr="006E0A64">
        <w:rPr>
          <w:lang w:val="fr-CA"/>
        </w:rPr>
        <w:t>/3/</w:t>
      </w:r>
      <w:proofErr w:type="spellStart"/>
      <w:r w:rsidRPr="006E0A64">
        <w:rPr>
          <w:lang w:val="fr-CA"/>
        </w:rPr>
        <w:t>INF</w:t>
      </w:r>
      <w:proofErr w:type="spellEnd"/>
      <w:r w:rsidRPr="006E0A64">
        <w:rPr>
          <w:lang w:val="fr-CA"/>
        </w:rPr>
        <w:t xml:space="preserve">/2) </w:t>
      </w:r>
      <w:r>
        <w:rPr>
          <w:szCs w:val="18"/>
          <w:lang w:val="fr-CA"/>
        </w:rPr>
        <w:t>pour obtenir une liste des éléments probants</w:t>
      </w:r>
      <w:r w:rsidRPr="006E0A64">
        <w:rPr>
          <w:szCs w:val="18"/>
          <w:lang w:val="fr-CA"/>
        </w:rPr>
        <w:t>.</w:t>
      </w:r>
    </w:p>
  </w:footnote>
  <w:footnote w:id="7">
    <w:p w14:paraId="4F13DE7B" w14:textId="6AAD5BC6" w:rsidR="006C7F81" w:rsidRPr="006E0A64" w:rsidRDefault="006C7F81" w:rsidP="00746D90">
      <w:pPr>
        <w:pStyle w:val="Notedebasdepage"/>
        <w:ind w:firstLine="0"/>
        <w:rPr>
          <w:sz w:val="20"/>
          <w:szCs w:val="20"/>
          <w:lang w:val="fr-CA"/>
        </w:rPr>
      </w:pPr>
      <w:r w:rsidRPr="006E0A64">
        <w:rPr>
          <w:rStyle w:val="Appelnotedebasdep"/>
          <w:color w:val="000000" w:themeColor="text1"/>
          <w:szCs w:val="18"/>
          <w:u w:val="none"/>
          <w:vertAlign w:val="superscript"/>
          <w:lang w:val="fr-CA"/>
        </w:rPr>
        <w:footnoteRef/>
      </w:r>
      <w:r w:rsidRPr="006E0A64">
        <w:rPr>
          <w:szCs w:val="18"/>
          <w:lang w:val="fr-CA"/>
        </w:rPr>
        <w:t xml:space="preserve"> </w:t>
      </w:r>
      <w:r>
        <w:rPr>
          <w:szCs w:val="18"/>
          <w:lang w:val="fr-CA"/>
        </w:rPr>
        <w:t xml:space="preserve">Plusieurs acteurs et actions décrits dans ce rapport touchent plus d’un volet de la mobilisation des ressources. Le rapport est construit de façon à présenter les acteurs et les actions les plus pertinents </w:t>
      </w:r>
      <w:r w:rsidRPr="00B61DFA">
        <w:rPr>
          <w:i/>
          <w:szCs w:val="18"/>
          <w:lang w:val="fr-CA"/>
        </w:rPr>
        <w:t>par volet</w:t>
      </w:r>
      <w:r>
        <w:rPr>
          <w:szCs w:val="18"/>
          <w:lang w:val="fr-CA"/>
        </w:rPr>
        <w:t>. Cette construction a pour but de formuler pleinement l’importance de chacun des trois volets. Dans les faits, certaines actions des principaux acteurs auraient pour but de réaliser les trois volets simultanément. Par exemple, les actions pour réduire les dommages seraient combinées aux actions pour générer plus de ressources au sein du même projet</w:t>
      </w:r>
      <w:r w:rsidRPr="006E0A64">
        <w:rPr>
          <w:szCs w:val="18"/>
          <w:lang w:val="fr-CA"/>
        </w:rPr>
        <w:t>.</w:t>
      </w:r>
    </w:p>
  </w:footnote>
  <w:footnote w:id="8">
    <w:p w14:paraId="465BC2BD" w14:textId="3B458312" w:rsidR="006C7F81" w:rsidRPr="006E0A64" w:rsidRDefault="006C7F81" w:rsidP="003579B6">
      <w:pPr>
        <w:spacing w:after="60"/>
        <w:rPr>
          <w:color w:val="000000" w:themeColor="text1"/>
          <w:sz w:val="18"/>
          <w:szCs w:val="18"/>
          <w:lang w:val="fr-CA"/>
        </w:rPr>
      </w:pPr>
      <w:r w:rsidRPr="006E0A64">
        <w:rPr>
          <w:rStyle w:val="Appelnotedebasdep"/>
          <w:color w:val="000000" w:themeColor="text1"/>
          <w:szCs w:val="18"/>
          <w:u w:val="none"/>
          <w:vertAlign w:val="superscript"/>
          <w:lang w:val="fr-CA"/>
        </w:rPr>
        <w:footnoteRef/>
      </w:r>
      <w:r w:rsidRPr="006E0A64">
        <w:rPr>
          <w:color w:val="000000" w:themeColor="text1"/>
          <w:sz w:val="18"/>
          <w:szCs w:val="18"/>
          <w:lang w:val="fr-CA"/>
        </w:rPr>
        <w:t xml:space="preserve"> </w:t>
      </w:r>
      <w:r>
        <w:rPr>
          <w:color w:val="000000" w:themeColor="text1"/>
          <w:sz w:val="18"/>
          <w:szCs w:val="18"/>
          <w:lang w:val="fr-CA"/>
        </w:rPr>
        <w:t>https://ipbes.net/global-assessment</w:t>
      </w:r>
      <w:r w:rsidRPr="006E0A64">
        <w:rPr>
          <w:sz w:val="18"/>
          <w:szCs w:val="18"/>
          <w:lang w:val="fr-CA"/>
        </w:rPr>
        <w:t>.</w:t>
      </w:r>
    </w:p>
  </w:footnote>
  <w:footnote w:id="9">
    <w:p w14:paraId="3A8A4981" w14:textId="4342C28F" w:rsidR="006C7F81" w:rsidRPr="00276C67" w:rsidRDefault="006C7F81" w:rsidP="006D7C7B">
      <w:pPr>
        <w:keepLines/>
        <w:spacing w:after="60"/>
        <w:rPr>
          <w:rFonts w:asciiTheme="majorHAnsi" w:hAnsiTheme="majorHAnsi" w:cstheme="majorHAnsi"/>
          <w:sz w:val="18"/>
          <w:szCs w:val="18"/>
          <w:lang w:val="en-US"/>
        </w:rPr>
      </w:pPr>
      <w:r w:rsidRPr="007A03BF">
        <w:rPr>
          <w:rStyle w:val="Appelnotedebasdep"/>
          <w:color w:val="000000" w:themeColor="text1"/>
          <w:szCs w:val="18"/>
          <w:u w:val="none"/>
          <w:vertAlign w:val="superscript"/>
        </w:rPr>
        <w:footnoteRef/>
      </w:r>
      <w:r w:rsidRPr="00E0284D">
        <w:rPr>
          <w:color w:val="000000" w:themeColor="text1"/>
          <w:sz w:val="18"/>
          <w:szCs w:val="18"/>
          <w:lang w:val="fr-CA"/>
        </w:rPr>
        <w:t xml:space="preserve"> </w:t>
      </w:r>
      <w:r w:rsidRPr="00BD1D8E">
        <w:rPr>
          <w:color w:val="000000" w:themeColor="text1"/>
          <w:sz w:val="18"/>
          <w:szCs w:val="18"/>
          <w:lang w:val="fr-CA"/>
        </w:rPr>
        <w:t>OCDE (20</w:t>
      </w:r>
      <w:r>
        <w:rPr>
          <w:color w:val="000000" w:themeColor="text1"/>
          <w:sz w:val="18"/>
          <w:szCs w:val="18"/>
          <w:lang w:val="fr-CA"/>
        </w:rPr>
        <w:t>20</w:t>
      </w:r>
      <w:r w:rsidRPr="00BD1D8E">
        <w:rPr>
          <w:color w:val="000000" w:themeColor="text1"/>
          <w:sz w:val="18"/>
          <w:szCs w:val="18"/>
          <w:lang w:val="fr-CA"/>
        </w:rPr>
        <w:t xml:space="preserve">). </w:t>
      </w:r>
      <w:r w:rsidRPr="00276C67">
        <w:rPr>
          <w:i/>
          <w:color w:val="000000" w:themeColor="text1"/>
          <w:sz w:val="18"/>
          <w:szCs w:val="18"/>
          <w:lang w:val="en-US"/>
        </w:rPr>
        <w:t xml:space="preserve">A Comprehensive Overview of Global Biodiversity Finance: Initial results, </w:t>
      </w:r>
      <w:r w:rsidRPr="00276C67">
        <w:rPr>
          <w:color w:val="000000" w:themeColor="text1"/>
          <w:sz w:val="18"/>
          <w:szCs w:val="18"/>
          <w:lang w:val="en-US"/>
        </w:rPr>
        <w:t xml:space="preserve">rapport final, </w:t>
      </w:r>
      <w:proofErr w:type="spellStart"/>
      <w:r w:rsidRPr="00276C67">
        <w:rPr>
          <w:color w:val="000000" w:themeColor="text1"/>
          <w:sz w:val="18"/>
          <w:szCs w:val="18"/>
          <w:lang w:val="en-US"/>
        </w:rPr>
        <w:t>avril</w:t>
      </w:r>
      <w:proofErr w:type="spellEnd"/>
      <w:r w:rsidRPr="00276C67">
        <w:rPr>
          <w:color w:val="000000" w:themeColor="text1"/>
          <w:sz w:val="18"/>
          <w:szCs w:val="18"/>
          <w:lang w:val="en-US"/>
        </w:rPr>
        <w:t xml:space="preserve"> 2020. </w:t>
      </w:r>
    </w:p>
  </w:footnote>
  <w:footnote w:id="10">
    <w:p w14:paraId="64A96D80" w14:textId="345FDE14" w:rsidR="006C7F81" w:rsidRPr="00BD1D8E" w:rsidRDefault="006C7F81" w:rsidP="00EC07F9">
      <w:pPr>
        <w:pStyle w:val="Notedebasdepage"/>
        <w:ind w:firstLine="0"/>
        <w:rPr>
          <w:szCs w:val="18"/>
          <w:lang w:val="fr-CA"/>
        </w:rPr>
      </w:pPr>
      <w:r w:rsidRPr="00BD1D8E">
        <w:rPr>
          <w:rStyle w:val="Appelnotedebasdep"/>
          <w:color w:val="000000" w:themeColor="text1"/>
          <w:szCs w:val="18"/>
          <w:u w:val="none"/>
          <w:vertAlign w:val="superscript"/>
          <w:lang w:val="fr-CA"/>
        </w:rPr>
        <w:footnoteRef/>
      </w:r>
      <w:r w:rsidRPr="00BD1D8E">
        <w:rPr>
          <w:szCs w:val="18"/>
          <w:lang w:val="fr-CA"/>
        </w:rPr>
        <w:t xml:space="preserve"> </w:t>
      </w:r>
      <w:r>
        <w:rPr>
          <w:szCs w:val="18"/>
          <w:lang w:val="fr-CA"/>
        </w:rPr>
        <w:t>Les actions pour contrer les mesures d’encouragement nuisibles pour la diversité biologique sont à l’ordre du jour de la Convention depuis l’adoption du programme de travail sur les mesures d’encouragement, afin de mettre en œuvre l’article 11 de la Convention. L’article 20 (1) de la Convention fait aussi référence aux mesures d’encouragement</w:t>
      </w:r>
      <w:r w:rsidRPr="00BD1D8E">
        <w:rPr>
          <w:szCs w:val="18"/>
          <w:lang w:val="fr-CA"/>
        </w:rPr>
        <w:t>.</w:t>
      </w:r>
    </w:p>
  </w:footnote>
  <w:footnote w:id="11">
    <w:p w14:paraId="115EB958" w14:textId="77777777" w:rsidR="006C7F81" w:rsidRPr="00BD1D8E" w:rsidRDefault="006C7F81" w:rsidP="009342F0">
      <w:pPr>
        <w:pStyle w:val="Commentaire"/>
        <w:spacing w:after="60"/>
        <w:rPr>
          <w:sz w:val="18"/>
          <w:szCs w:val="18"/>
          <w:lang w:val="fr-CA"/>
        </w:rPr>
      </w:pPr>
      <w:r w:rsidRPr="00BD1D8E">
        <w:rPr>
          <w:rStyle w:val="Appelnotedebasdep"/>
          <w:color w:val="000000" w:themeColor="text1"/>
          <w:szCs w:val="18"/>
          <w:u w:val="none"/>
          <w:vertAlign w:val="superscript"/>
          <w:lang w:val="fr-CA"/>
        </w:rPr>
        <w:footnoteRef/>
      </w:r>
      <w:r w:rsidRPr="00BD1D8E">
        <w:rPr>
          <w:sz w:val="18"/>
          <w:szCs w:val="18"/>
          <w:lang w:val="fr-CA"/>
        </w:rPr>
        <w:t xml:space="preserve"> </w:t>
      </w:r>
      <w:r>
        <w:rPr>
          <w:sz w:val="18"/>
          <w:szCs w:val="18"/>
          <w:lang w:val="fr-CA"/>
        </w:rPr>
        <w:t>Offert aux pays en développement, conformément à l’article 20 (4) de la Convention</w:t>
      </w:r>
      <w:r w:rsidRPr="00BD1D8E">
        <w:rPr>
          <w:sz w:val="18"/>
          <w:szCs w:val="18"/>
          <w:lang w:val="fr-CA"/>
        </w:rPr>
        <w:t>.</w:t>
      </w:r>
    </w:p>
  </w:footnote>
  <w:footnote w:id="12">
    <w:p w14:paraId="6B0BEAAC" w14:textId="03735D0B" w:rsidR="006C7F81" w:rsidRPr="00BD1D8E" w:rsidRDefault="006C7F81" w:rsidP="006C3811">
      <w:pPr>
        <w:spacing w:after="60"/>
        <w:rPr>
          <w:rFonts w:asciiTheme="majorHAnsi" w:hAnsiTheme="majorHAnsi" w:cstheme="majorHAnsi"/>
          <w:color w:val="000000" w:themeColor="text1"/>
          <w:sz w:val="18"/>
          <w:szCs w:val="18"/>
          <w:lang w:val="fr-CA"/>
        </w:rPr>
      </w:pPr>
      <w:r w:rsidRPr="00BD1D8E">
        <w:rPr>
          <w:rStyle w:val="Appelnotedebasdep"/>
          <w:color w:val="000000" w:themeColor="text1"/>
          <w:szCs w:val="18"/>
          <w:u w:val="none"/>
          <w:vertAlign w:val="superscript"/>
          <w:lang w:val="fr-CA"/>
        </w:rPr>
        <w:footnoteRef/>
      </w:r>
      <w:r w:rsidRPr="00BD1D8E">
        <w:rPr>
          <w:color w:val="000000" w:themeColor="text1"/>
          <w:sz w:val="18"/>
          <w:szCs w:val="18"/>
          <w:lang w:val="fr-CA"/>
        </w:rPr>
        <w:t xml:space="preserve"> </w:t>
      </w:r>
      <w:r>
        <w:rPr>
          <w:color w:val="000000" w:themeColor="text1"/>
          <w:sz w:val="18"/>
          <w:szCs w:val="18"/>
          <w:lang w:val="fr-CA"/>
        </w:rPr>
        <w:t xml:space="preserve">Voir par exemple le « catalogue » </w:t>
      </w:r>
      <w:proofErr w:type="spellStart"/>
      <w:r>
        <w:rPr>
          <w:color w:val="000000" w:themeColor="text1"/>
          <w:sz w:val="18"/>
          <w:szCs w:val="18"/>
          <w:lang w:val="fr-CA"/>
        </w:rPr>
        <w:t>BIOFIN</w:t>
      </w:r>
      <w:proofErr w:type="spellEnd"/>
      <w:r>
        <w:rPr>
          <w:color w:val="000000" w:themeColor="text1"/>
          <w:sz w:val="18"/>
          <w:szCs w:val="18"/>
          <w:lang w:val="fr-CA"/>
        </w:rPr>
        <w:t xml:space="preserve"> des solutions financières comme point de départ utile sur le site</w:t>
      </w:r>
      <w:r w:rsidRPr="00BD1D8E">
        <w:rPr>
          <w:color w:val="000000" w:themeColor="text1"/>
          <w:sz w:val="18"/>
          <w:szCs w:val="18"/>
          <w:lang w:val="fr-CA"/>
        </w:rPr>
        <w:t xml:space="preserve"> </w:t>
      </w:r>
      <w:r>
        <w:rPr>
          <w:color w:val="000000" w:themeColor="text1"/>
          <w:sz w:val="18"/>
          <w:szCs w:val="18"/>
          <w:lang w:val="fr-CA"/>
        </w:rPr>
        <w:t xml:space="preserve">https://www.biodiversityfinance.net/finance-solutions </w:t>
      </w:r>
    </w:p>
  </w:footnote>
  <w:footnote w:id="13">
    <w:p w14:paraId="32D6D848" w14:textId="351ADB1A" w:rsidR="006C7F81" w:rsidRPr="001E2B3C" w:rsidRDefault="006C7F81" w:rsidP="00C64E2C">
      <w:pPr>
        <w:pStyle w:val="Notedebasdepage"/>
        <w:ind w:firstLine="0"/>
        <w:rPr>
          <w:szCs w:val="18"/>
          <w:lang w:val="fr-CA"/>
        </w:rPr>
      </w:pPr>
      <w:r w:rsidRPr="006C3811">
        <w:rPr>
          <w:rStyle w:val="Appelnotedebasdep"/>
          <w:color w:val="000000" w:themeColor="text1"/>
          <w:szCs w:val="18"/>
          <w:u w:val="none"/>
          <w:vertAlign w:val="superscript"/>
        </w:rPr>
        <w:footnoteRef/>
      </w:r>
      <w:r w:rsidRPr="001E2B3C">
        <w:rPr>
          <w:szCs w:val="18"/>
          <w:lang w:val="fr-CA"/>
        </w:rPr>
        <w:t xml:space="preserve"> </w:t>
      </w:r>
      <w:r>
        <w:rPr>
          <w:szCs w:val="18"/>
          <w:lang w:val="fr-CA"/>
        </w:rPr>
        <w:t>À savoir</w:t>
      </w:r>
      <w:r w:rsidRPr="001E2B3C">
        <w:rPr>
          <w:szCs w:val="18"/>
          <w:lang w:val="fr-CA"/>
        </w:rPr>
        <w:t xml:space="preserve"> les valeurs</w:t>
      </w:r>
      <w:r>
        <w:rPr>
          <w:szCs w:val="18"/>
          <w:lang w:val="fr-CA"/>
        </w:rPr>
        <w:t xml:space="preserve"> intrinsèques, écologiques, génétiques, socioéconomiques, scientifiques, éducatives, culturelles, récréatives et esthétiques de la diversité biologique et de ses éléments constitutifs; voir le paragraphe 9 b) ii) de la décision</w:t>
      </w:r>
      <w:r w:rsidRPr="001E2B3C">
        <w:rPr>
          <w:szCs w:val="18"/>
          <w:lang w:val="fr-CA"/>
        </w:rPr>
        <w:t xml:space="preserve"> </w:t>
      </w:r>
      <w:r>
        <w:rPr>
          <w:szCs w:val="18"/>
          <w:lang w:val="fr-CA"/>
        </w:rPr>
        <w:t>X/3</w:t>
      </w:r>
    </w:p>
  </w:footnote>
  <w:footnote w:id="14">
    <w:p w14:paraId="120C4DA2" w14:textId="1E7CB9C5" w:rsidR="006C7F81" w:rsidRPr="00F85448" w:rsidRDefault="006C7F81" w:rsidP="00EC07F9">
      <w:pPr>
        <w:pStyle w:val="Notedebasdepage"/>
        <w:ind w:firstLine="0"/>
        <w:rPr>
          <w:lang w:val="fr-CA"/>
        </w:rPr>
      </w:pPr>
      <w:r w:rsidRPr="001E2B3C">
        <w:rPr>
          <w:rStyle w:val="Appelnotedebasdep"/>
          <w:u w:val="none"/>
          <w:vertAlign w:val="superscript"/>
          <w:lang w:val="fr-CA"/>
        </w:rPr>
        <w:footnoteRef/>
      </w:r>
      <w:r w:rsidRPr="00F85448">
        <w:rPr>
          <w:lang w:val="fr-CA"/>
        </w:rPr>
        <w:t xml:space="preserve"> </w:t>
      </w:r>
      <w:r w:rsidRPr="00F85448">
        <w:rPr>
          <w:kern w:val="18"/>
          <w:szCs w:val="18"/>
          <w:lang w:val="fr-CA"/>
        </w:rPr>
        <w:t>Annexe II de la résolution</w:t>
      </w:r>
      <w:r>
        <w:rPr>
          <w:kern w:val="18"/>
          <w:szCs w:val="18"/>
          <w:lang w:val="fr-CA"/>
        </w:rPr>
        <w:t xml:space="preserve"> 69/283 de l’Assemblée générale</w:t>
      </w:r>
      <w:r w:rsidRPr="00F85448">
        <w:rPr>
          <w:kern w:val="18"/>
          <w:szCs w:val="18"/>
          <w:lang w:val="fr-CA"/>
        </w:rPr>
        <w:t>.</w:t>
      </w:r>
    </w:p>
  </w:footnote>
  <w:footnote w:id="15">
    <w:p w14:paraId="22FB1085" w14:textId="2343522C" w:rsidR="006C7F81" w:rsidRPr="00AF1137" w:rsidRDefault="006C7F81" w:rsidP="006C3811">
      <w:pPr>
        <w:spacing w:after="60"/>
        <w:rPr>
          <w:color w:val="000000" w:themeColor="text1"/>
          <w:sz w:val="18"/>
          <w:szCs w:val="18"/>
          <w:lang w:val="en-ZA"/>
        </w:rPr>
      </w:pPr>
      <w:r w:rsidRPr="00EC07F9">
        <w:rPr>
          <w:rStyle w:val="Appelnotedebasdep"/>
          <w:color w:val="000000" w:themeColor="text1"/>
          <w:szCs w:val="18"/>
          <w:u w:val="none"/>
          <w:vertAlign w:val="superscript"/>
        </w:rPr>
        <w:footnoteRef/>
      </w:r>
      <w:r w:rsidRPr="00694205">
        <w:rPr>
          <w:color w:val="000000" w:themeColor="text1"/>
          <w:sz w:val="18"/>
          <w:szCs w:val="18"/>
        </w:rPr>
        <w:t xml:space="preserve"> </w:t>
      </w:r>
      <w:proofErr w:type="spellStart"/>
      <w:r>
        <w:rPr>
          <w:color w:val="000000" w:themeColor="text1"/>
          <w:sz w:val="18"/>
          <w:szCs w:val="18"/>
        </w:rPr>
        <w:t>PNUD</w:t>
      </w:r>
      <w:proofErr w:type="spellEnd"/>
      <w:r w:rsidRPr="00AF1137">
        <w:rPr>
          <w:color w:val="000000" w:themeColor="text1"/>
          <w:sz w:val="18"/>
          <w:szCs w:val="18"/>
        </w:rPr>
        <w:t xml:space="preserve"> (2020). </w:t>
      </w:r>
      <w:r w:rsidRPr="00AF1137">
        <w:rPr>
          <w:i/>
          <w:iCs/>
          <w:color w:val="000000" w:themeColor="text1"/>
          <w:sz w:val="18"/>
          <w:szCs w:val="18"/>
        </w:rPr>
        <w:t>Moving Mountains: Unlocking Private Capital for Biodiversity and Ecosystems</w:t>
      </w:r>
      <w:r w:rsidRPr="00AF1137">
        <w:rPr>
          <w:color w:val="000000" w:themeColor="text1"/>
          <w:sz w:val="18"/>
          <w:szCs w:val="18"/>
        </w:rPr>
        <w:t xml:space="preserve">. New </w:t>
      </w:r>
      <w:r w:rsidRPr="0032672E">
        <w:rPr>
          <w:color w:val="000000" w:themeColor="text1"/>
          <w:sz w:val="18"/>
          <w:szCs w:val="18"/>
        </w:rPr>
        <w:t>York</w:t>
      </w:r>
      <w:r w:rsidRPr="0086335A">
        <w:rPr>
          <w:color w:val="000000" w:themeColor="text1"/>
          <w:sz w:val="18"/>
          <w:szCs w:val="18"/>
        </w:rPr>
        <w:t xml:space="preserve"> </w:t>
      </w:r>
      <w:r>
        <w:rPr>
          <w:sz w:val="18"/>
          <w:szCs w:val="18"/>
        </w:rPr>
        <w:t xml:space="preserve">(https://bit.ly/39A6G0i) </w:t>
      </w:r>
    </w:p>
  </w:footnote>
  <w:footnote w:id="16">
    <w:p w14:paraId="14B58D4B" w14:textId="24CD0DB5" w:rsidR="006C7F81" w:rsidRPr="00AF1137" w:rsidRDefault="006C7F81" w:rsidP="006C3811">
      <w:pPr>
        <w:spacing w:after="60"/>
        <w:rPr>
          <w:color w:val="000000" w:themeColor="text1"/>
          <w:sz w:val="18"/>
          <w:szCs w:val="18"/>
        </w:rPr>
      </w:pPr>
      <w:r w:rsidRPr="00EC07F9">
        <w:rPr>
          <w:rStyle w:val="Appelnotedebasdep"/>
          <w:color w:val="000000" w:themeColor="text1"/>
          <w:szCs w:val="18"/>
          <w:u w:val="none"/>
          <w:vertAlign w:val="superscript"/>
        </w:rPr>
        <w:footnoteRef/>
      </w:r>
      <w:r w:rsidRPr="00AF1137">
        <w:rPr>
          <w:color w:val="000000" w:themeColor="text1"/>
          <w:sz w:val="18"/>
          <w:szCs w:val="18"/>
        </w:rPr>
        <w:t xml:space="preserve"> </w:t>
      </w:r>
      <w:r w:rsidRPr="00AF1137">
        <w:rPr>
          <w:color w:val="000000" w:themeColor="text1"/>
          <w:sz w:val="18"/>
          <w:szCs w:val="18"/>
          <w:lang w:val="en-US"/>
        </w:rPr>
        <w:t xml:space="preserve">Finance Watch (2019). </w:t>
      </w:r>
      <w:r w:rsidRPr="00AF1137">
        <w:rPr>
          <w:i/>
          <w:iCs/>
          <w:color w:val="000000" w:themeColor="text1"/>
          <w:sz w:val="18"/>
          <w:szCs w:val="18"/>
          <w:lang w:val="en-US"/>
        </w:rPr>
        <w:t xml:space="preserve">Making Finance Serve </w:t>
      </w:r>
      <w:r w:rsidRPr="0032672E">
        <w:rPr>
          <w:i/>
          <w:iCs/>
          <w:color w:val="000000" w:themeColor="text1"/>
          <w:sz w:val="18"/>
          <w:szCs w:val="18"/>
          <w:lang w:val="en-US"/>
        </w:rPr>
        <w:t>Nature</w:t>
      </w:r>
      <w:r>
        <w:rPr>
          <w:color w:val="000000" w:themeColor="text1"/>
          <w:sz w:val="18"/>
          <w:szCs w:val="18"/>
        </w:rPr>
        <w:t xml:space="preserve"> (https://www.finance-watch.org/wp-content/uploads/2019/05/Making-Finance-Serve-Nature_Finance-Watch-Report_24 May2019_web.pdf) </w:t>
      </w:r>
    </w:p>
  </w:footnote>
  <w:footnote w:id="17">
    <w:p w14:paraId="13FA3AF5" w14:textId="3933EB97" w:rsidR="006C7F81" w:rsidRPr="00AF1137" w:rsidRDefault="006C7F81" w:rsidP="006C3811">
      <w:pPr>
        <w:spacing w:after="60"/>
        <w:rPr>
          <w:color w:val="000000" w:themeColor="text1"/>
          <w:sz w:val="18"/>
          <w:szCs w:val="18"/>
        </w:rPr>
      </w:pPr>
      <w:r w:rsidRPr="00AF1137">
        <w:rPr>
          <w:rStyle w:val="Appelnotedebasdep"/>
          <w:color w:val="000000" w:themeColor="text1"/>
          <w:szCs w:val="18"/>
          <w:u w:val="none"/>
          <w:vertAlign w:val="superscript"/>
        </w:rPr>
        <w:footnoteRef/>
      </w:r>
      <w:r>
        <w:rPr>
          <w:sz w:val="18"/>
          <w:szCs w:val="18"/>
        </w:rPr>
        <w:t xml:space="preserve"> https://www.weforum.org/global-risks/reports</w:t>
      </w:r>
    </w:p>
  </w:footnote>
  <w:footnote w:id="18">
    <w:p w14:paraId="01B49223" w14:textId="5F103415" w:rsidR="006C7F81" w:rsidRPr="00FC2F39" w:rsidRDefault="006C7F81" w:rsidP="00EC07F9">
      <w:pPr>
        <w:pStyle w:val="Notedebasdepage"/>
        <w:ind w:firstLine="0"/>
        <w:rPr>
          <w:szCs w:val="18"/>
          <w:lang w:val="fr-CA"/>
        </w:rPr>
      </w:pPr>
      <w:r w:rsidRPr="00EC07F9">
        <w:rPr>
          <w:rStyle w:val="Appelnotedebasdep"/>
          <w:color w:val="000000" w:themeColor="text1"/>
          <w:szCs w:val="18"/>
          <w:u w:val="none"/>
          <w:vertAlign w:val="superscript"/>
        </w:rPr>
        <w:footnoteRef/>
      </w:r>
      <w:r w:rsidRPr="00FC2F39">
        <w:rPr>
          <w:szCs w:val="18"/>
          <w:lang w:val="fr-CA"/>
        </w:rPr>
        <w:t xml:space="preserve"> Voir CBD/COP/8/3 et la décision 14/3.</w:t>
      </w:r>
    </w:p>
  </w:footnote>
  <w:footnote w:id="19">
    <w:p w14:paraId="075706FC" w14:textId="27CA3CE3" w:rsidR="006C7F81" w:rsidRPr="00007CA0" w:rsidRDefault="006C7F81" w:rsidP="006C3811">
      <w:pPr>
        <w:spacing w:after="60"/>
        <w:rPr>
          <w:sz w:val="18"/>
          <w:szCs w:val="18"/>
          <w:lang w:val="en-US"/>
        </w:rPr>
      </w:pPr>
      <w:r w:rsidRPr="00EC07F9">
        <w:rPr>
          <w:rStyle w:val="Appelnotedebasdep"/>
          <w:color w:val="000000" w:themeColor="text1"/>
          <w:szCs w:val="18"/>
          <w:u w:val="none"/>
          <w:vertAlign w:val="superscript"/>
        </w:rPr>
        <w:footnoteRef/>
      </w:r>
      <w:r w:rsidRPr="00AF1137">
        <w:rPr>
          <w:color w:val="000000" w:themeColor="text1"/>
          <w:sz w:val="18"/>
          <w:szCs w:val="18"/>
        </w:rPr>
        <w:t xml:space="preserve"> </w:t>
      </w:r>
      <w:r w:rsidRPr="00007CA0">
        <w:rPr>
          <w:color w:val="000000" w:themeColor="text1"/>
          <w:sz w:val="18"/>
          <w:szCs w:val="18"/>
          <w:lang w:val="en-US"/>
        </w:rPr>
        <w:t xml:space="preserve">WWF et PWC (2020). </w:t>
      </w:r>
      <w:r>
        <w:rPr>
          <w:i/>
          <w:iCs/>
          <w:color w:val="000000" w:themeColor="text1"/>
          <w:sz w:val="18"/>
          <w:szCs w:val="18"/>
          <w:lang w:val="en-US"/>
        </w:rPr>
        <w:t>Nature is Too B</w:t>
      </w:r>
      <w:r w:rsidRPr="00007CA0">
        <w:rPr>
          <w:i/>
          <w:iCs/>
          <w:color w:val="000000" w:themeColor="text1"/>
          <w:sz w:val="18"/>
          <w:szCs w:val="18"/>
          <w:lang w:val="en-US"/>
        </w:rPr>
        <w:t xml:space="preserve">ig </w:t>
      </w:r>
      <w:r>
        <w:rPr>
          <w:i/>
          <w:iCs/>
          <w:color w:val="000000" w:themeColor="text1"/>
          <w:sz w:val="18"/>
          <w:szCs w:val="18"/>
          <w:lang w:val="en-US"/>
        </w:rPr>
        <w:t>to Fail -- Biodiversity: The Next Frontier in Financial Risk M</w:t>
      </w:r>
      <w:r w:rsidRPr="00007CA0">
        <w:rPr>
          <w:i/>
          <w:iCs/>
          <w:color w:val="000000" w:themeColor="text1"/>
          <w:sz w:val="18"/>
          <w:szCs w:val="18"/>
          <w:lang w:val="en-US"/>
        </w:rPr>
        <w:t>an</w:t>
      </w:r>
      <w:r w:rsidRPr="00007CA0">
        <w:rPr>
          <w:i/>
          <w:color w:val="000000" w:themeColor="text1"/>
          <w:sz w:val="18"/>
          <w:szCs w:val="18"/>
          <w:lang w:val="en-US"/>
        </w:rPr>
        <w:t>agement</w:t>
      </w:r>
      <w:r w:rsidRPr="00007CA0">
        <w:rPr>
          <w:color w:val="000000" w:themeColor="text1"/>
          <w:sz w:val="18"/>
          <w:szCs w:val="18"/>
          <w:lang w:val="en-US"/>
        </w:rPr>
        <w:t>. www.pwc.ch/wwf-report</w:t>
      </w:r>
      <w:r w:rsidRPr="00007CA0">
        <w:rPr>
          <w:sz w:val="18"/>
          <w:szCs w:val="18"/>
          <w:lang w:val="en-US"/>
        </w:rPr>
        <w:t>.</w:t>
      </w:r>
    </w:p>
  </w:footnote>
  <w:footnote w:id="20">
    <w:p w14:paraId="30B3A2DA" w14:textId="5A166176" w:rsidR="006C7F81" w:rsidRPr="00B2403C" w:rsidRDefault="006C7F81" w:rsidP="006C3811">
      <w:pPr>
        <w:pStyle w:val="Notedebasdepage"/>
        <w:ind w:firstLine="0"/>
        <w:rPr>
          <w:rFonts w:asciiTheme="majorHAnsi" w:hAnsiTheme="majorHAnsi"/>
          <w:szCs w:val="18"/>
          <w:lang w:val="fr-CA"/>
        </w:rPr>
      </w:pPr>
      <w:r w:rsidRPr="00177729">
        <w:rPr>
          <w:rStyle w:val="Appelnotedebasdep"/>
          <w:color w:val="000000" w:themeColor="text1"/>
          <w:szCs w:val="18"/>
          <w:u w:val="none"/>
          <w:vertAlign w:val="superscript"/>
          <w:lang w:val="fr-CA"/>
        </w:rPr>
        <w:footnoteRef/>
      </w:r>
      <w:r w:rsidRPr="00007CA0">
        <w:rPr>
          <w:szCs w:val="18"/>
          <w:lang w:val="en-US"/>
        </w:rPr>
        <w:t xml:space="preserve"> </w:t>
      </w:r>
      <w:proofErr w:type="spellStart"/>
      <w:r w:rsidRPr="00007CA0">
        <w:rPr>
          <w:color w:val="000000" w:themeColor="text1"/>
          <w:szCs w:val="18"/>
          <w:lang w:val="en-US"/>
        </w:rPr>
        <w:t>PNUD</w:t>
      </w:r>
      <w:proofErr w:type="spellEnd"/>
      <w:r w:rsidRPr="00007CA0">
        <w:rPr>
          <w:color w:val="000000" w:themeColor="text1"/>
          <w:szCs w:val="18"/>
          <w:lang w:val="en-US"/>
        </w:rPr>
        <w:t xml:space="preserve"> (2020). </w:t>
      </w:r>
      <w:r w:rsidRPr="00007CA0">
        <w:rPr>
          <w:i/>
          <w:iCs/>
          <w:color w:val="000000" w:themeColor="text1"/>
          <w:szCs w:val="18"/>
          <w:lang w:val="en-US"/>
        </w:rPr>
        <w:t>Moving Mountains: Unlocking Private Capital for Biodiversity and Ecosystems</w:t>
      </w:r>
      <w:r w:rsidRPr="00007CA0">
        <w:rPr>
          <w:color w:val="000000" w:themeColor="text1"/>
          <w:szCs w:val="18"/>
          <w:lang w:val="en-US"/>
        </w:rPr>
        <w:t xml:space="preserve">. </w:t>
      </w:r>
      <w:r w:rsidRPr="00B2403C">
        <w:rPr>
          <w:color w:val="000000" w:themeColor="text1"/>
          <w:szCs w:val="18"/>
          <w:lang w:val="fr-CA"/>
        </w:rPr>
        <w:t>New York  (https://bit.ly/30A6G0i)</w:t>
      </w:r>
      <w:r w:rsidRPr="00B2403C">
        <w:rPr>
          <w:szCs w:val="18"/>
          <w:lang w:val="fr-CA"/>
        </w:rPr>
        <w:t>.</w:t>
      </w:r>
    </w:p>
  </w:footnote>
  <w:footnote w:id="21">
    <w:p w14:paraId="76A8AA13" w14:textId="3C7A6657" w:rsidR="006C7F81" w:rsidRPr="00177729" w:rsidRDefault="006C7F81" w:rsidP="006C3811">
      <w:pPr>
        <w:spacing w:after="60"/>
        <w:rPr>
          <w:color w:val="000000" w:themeColor="text1"/>
          <w:sz w:val="18"/>
          <w:szCs w:val="18"/>
          <w:lang w:val="fr-CA"/>
        </w:rPr>
      </w:pPr>
      <w:r w:rsidRPr="00177729">
        <w:rPr>
          <w:rStyle w:val="Appelnotedebasdep"/>
          <w:color w:val="000000" w:themeColor="text1"/>
          <w:szCs w:val="18"/>
          <w:u w:val="none"/>
          <w:vertAlign w:val="superscript"/>
          <w:lang w:val="fr-CA"/>
        </w:rPr>
        <w:footnoteRef/>
      </w:r>
      <w:r w:rsidRPr="00B2403C">
        <w:rPr>
          <w:rStyle w:val="Appelnotedebasdep"/>
          <w:szCs w:val="18"/>
          <w:u w:val="none"/>
          <w:vertAlign w:val="superscript"/>
          <w:lang w:val="fr-CA"/>
        </w:rPr>
        <w:t xml:space="preserve"> </w:t>
      </w:r>
      <w:r w:rsidRPr="00B2403C">
        <w:rPr>
          <w:color w:val="000000" w:themeColor="text1"/>
          <w:sz w:val="18"/>
          <w:szCs w:val="18"/>
          <w:lang w:val="fr-CA"/>
        </w:rPr>
        <w:t xml:space="preserve">La majorité desquels sont actuellement de l’APD. Voir OCDE (2020). </w:t>
      </w:r>
      <w:proofErr w:type="spellStart"/>
      <w:r w:rsidRPr="00B2403C">
        <w:rPr>
          <w:i/>
          <w:iCs/>
          <w:color w:val="000000" w:themeColor="text1"/>
          <w:sz w:val="18"/>
          <w:szCs w:val="18"/>
          <w:lang w:val="fr-CA"/>
        </w:rPr>
        <w:t>A</w:t>
      </w:r>
      <w:proofErr w:type="spellEnd"/>
      <w:r w:rsidRPr="00B2403C">
        <w:rPr>
          <w:i/>
          <w:iCs/>
          <w:color w:val="000000" w:themeColor="text1"/>
          <w:sz w:val="18"/>
          <w:szCs w:val="18"/>
          <w:lang w:val="fr-CA"/>
        </w:rPr>
        <w:t xml:space="preserve"> </w:t>
      </w:r>
      <w:proofErr w:type="spellStart"/>
      <w:r w:rsidRPr="00B2403C">
        <w:rPr>
          <w:i/>
          <w:iCs/>
          <w:color w:val="000000" w:themeColor="text1"/>
          <w:sz w:val="18"/>
          <w:szCs w:val="18"/>
          <w:lang w:val="fr-CA"/>
        </w:rPr>
        <w:t>Comprehensive</w:t>
      </w:r>
      <w:proofErr w:type="spellEnd"/>
      <w:r w:rsidRPr="00B2403C">
        <w:rPr>
          <w:i/>
          <w:iCs/>
          <w:color w:val="000000" w:themeColor="text1"/>
          <w:sz w:val="18"/>
          <w:szCs w:val="18"/>
          <w:lang w:val="fr-CA"/>
        </w:rPr>
        <w:t xml:space="preserve"> </w:t>
      </w:r>
      <w:proofErr w:type="spellStart"/>
      <w:r w:rsidRPr="00B2403C">
        <w:rPr>
          <w:i/>
          <w:iCs/>
          <w:color w:val="000000" w:themeColor="text1"/>
          <w:sz w:val="18"/>
          <w:szCs w:val="18"/>
          <w:lang w:val="fr-CA"/>
        </w:rPr>
        <w:t>Overview</w:t>
      </w:r>
      <w:proofErr w:type="spellEnd"/>
      <w:r w:rsidRPr="00B2403C">
        <w:rPr>
          <w:i/>
          <w:iCs/>
          <w:color w:val="000000" w:themeColor="text1"/>
          <w:sz w:val="18"/>
          <w:szCs w:val="18"/>
          <w:lang w:val="fr-CA"/>
        </w:rPr>
        <w:t xml:space="preserve"> of Global </w:t>
      </w:r>
      <w:proofErr w:type="spellStart"/>
      <w:r w:rsidRPr="00B2403C">
        <w:rPr>
          <w:i/>
          <w:iCs/>
          <w:color w:val="000000" w:themeColor="text1"/>
          <w:sz w:val="18"/>
          <w:szCs w:val="18"/>
          <w:lang w:val="fr-CA"/>
        </w:rPr>
        <w:t>Biodiversit</w:t>
      </w:r>
      <w:r w:rsidRPr="00177729">
        <w:rPr>
          <w:i/>
          <w:iCs/>
          <w:color w:val="000000" w:themeColor="text1"/>
          <w:sz w:val="18"/>
          <w:szCs w:val="18"/>
          <w:lang w:val="fr-CA"/>
        </w:rPr>
        <w:t>y</w:t>
      </w:r>
      <w:proofErr w:type="spellEnd"/>
      <w:r w:rsidRPr="00177729">
        <w:rPr>
          <w:i/>
          <w:iCs/>
          <w:color w:val="000000" w:themeColor="text1"/>
          <w:sz w:val="18"/>
          <w:szCs w:val="18"/>
          <w:lang w:val="fr-CA"/>
        </w:rPr>
        <w:t xml:space="preserve"> Finance: Initial </w:t>
      </w:r>
      <w:proofErr w:type="spellStart"/>
      <w:r w:rsidRPr="00177729">
        <w:rPr>
          <w:i/>
          <w:iCs/>
          <w:color w:val="000000" w:themeColor="text1"/>
          <w:sz w:val="18"/>
          <w:szCs w:val="18"/>
          <w:lang w:val="fr-CA"/>
        </w:rPr>
        <w:t>Results</w:t>
      </w:r>
      <w:proofErr w:type="spellEnd"/>
      <w:r w:rsidRPr="00177729">
        <w:rPr>
          <w:color w:val="000000" w:themeColor="text1"/>
          <w:sz w:val="18"/>
          <w:szCs w:val="18"/>
          <w:lang w:val="fr-CA"/>
        </w:rPr>
        <w:t xml:space="preserve"> (pour la version finale, voir https://www.oedc.org/environment/resources/biodiversity/report-a-comprehensive-overview-of-global-biodiversity-finance.pdf  </w:t>
      </w:r>
    </w:p>
  </w:footnote>
  <w:footnote w:id="22">
    <w:p w14:paraId="3F919A0E" w14:textId="3799A042" w:rsidR="006C7F81" w:rsidRPr="00177729" w:rsidRDefault="006C7F81" w:rsidP="006C3811">
      <w:pPr>
        <w:spacing w:after="60"/>
        <w:rPr>
          <w:sz w:val="18"/>
          <w:szCs w:val="18"/>
          <w:lang w:val="fr-CA"/>
        </w:rPr>
      </w:pPr>
      <w:r w:rsidRPr="00177729">
        <w:rPr>
          <w:rStyle w:val="Appelnotedebasdep"/>
          <w:color w:val="000000" w:themeColor="text1"/>
          <w:szCs w:val="18"/>
          <w:u w:val="none"/>
          <w:vertAlign w:val="superscript"/>
          <w:lang w:val="fr-CA"/>
        </w:rPr>
        <w:footnoteRef/>
      </w:r>
      <w:r w:rsidRPr="00177729">
        <w:rPr>
          <w:color w:val="000000" w:themeColor="text1"/>
          <w:sz w:val="18"/>
          <w:szCs w:val="18"/>
          <w:lang w:val="fr-CA"/>
        </w:rPr>
        <w:t xml:space="preserve"> </w:t>
      </w:r>
      <w:r>
        <w:rPr>
          <w:color w:val="000000" w:themeColor="text1"/>
          <w:sz w:val="18"/>
          <w:szCs w:val="18"/>
          <w:lang w:val="fr-CA"/>
        </w:rPr>
        <w:t>Zone stratégique I du projet d’approche à long terme à l’intégration</w:t>
      </w:r>
      <w:r w:rsidRPr="00177729">
        <w:rPr>
          <w:sz w:val="18"/>
          <w:szCs w:val="18"/>
          <w:lang w:val="fr-CA"/>
        </w:rPr>
        <w:t>.</w:t>
      </w:r>
    </w:p>
  </w:footnote>
  <w:footnote w:id="23">
    <w:p w14:paraId="4FCFEE5E" w14:textId="6BF12BF7" w:rsidR="006C7F81" w:rsidRPr="00177729" w:rsidRDefault="006C7F81" w:rsidP="006C3811">
      <w:pPr>
        <w:spacing w:after="60"/>
        <w:rPr>
          <w:i/>
          <w:iCs/>
          <w:color w:val="000000" w:themeColor="text1"/>
          <w:sz w:val="18"/>
          <w:szCs w:val="18"/>
          <w:lang w:val="fr-CA"/>
        </w:rPr>
      </w:pPr>
      <w:r w:rsidRPr="00177729">
        <w:rPr>
          <w:rStyle w:val="Appelnotedebasdep"/>
          <w:color w:val="000000" w:themeColor="text1"/>
          <w:szCs w:val="18"/>
          <w:u w:val="none"/>
          <w:vertAlign w:val="superscript"/>
          <w:lang w:val="fr-CA"/>
        </w:rPr>
        <w:footnoteRef/>
      </w:r>
      <w:r w:rsidRPr="00177729">
        <w:rPr>
          <w:sz w:val="18"/>
          <w:szCs w:val="18"/>
          <w:lang w:val="fr-CA"/>
        </w:rPr>
        <w:t xml:space="preserve"> </w:t>
      </w:r>
      <w:r>
        <w:rPr>
          <w:color w:val="000000" w:themeColor="text1"/>
          <w:sz w:val="18"/>
          <w:szCs w:val="18"/>
          <w:lang w:val="fr-CA"/>
        </w:rPr>
        <w:t>Ce rapport se penche sur trois catégories de mesures d’encouragement économiques : Les mesures économiques positives, qui encouragent les comportements (p. ex., allégement fiscal pour les terres visées par un pacte), les mesures économiques négatives, qui découragent un comportement nuisible (p. ex., des amendes pour l’exploitation forestière illégale) et les mesures d’encouragement nuisibles, qui sont des mesures d’encouragement adoptées dans un but précis, mais qui ont des conséquences négatives inattendues sur la biodiversité, p. ex., subventions pour un fertilisant ayant pour but d’accroître la production agricole, mais qui entraînent une surutilisation de fertilisants et nuisent ainsi aux écosystèmes d’eau douce des environs</w:t>
      </w:r>
      <w:r w:rsidRPr="00177729">
        <w:rPr>
          <w:color w:val="000000" w:themeColor="text1"/>
          <w:sz w:val="18"/>
          <w:szCs w:val="18"/>
          <w:lang w:val="fr-CA"/>
        </w:rPr>
        <w:t xml:space="preserve">. </w:t>
      </w:r>
    </w:p>
  </w:footnote>
  <w:footnote w:id="24">
    <w:p w14:paraId="76F85979" w14:textId="48A3894F" w:rsidR="006C7F81" w:rsidRPr="00E80551" w:rsidRDefault="006C7F81" w:rsidP="006C3811">
      <w:pPr>
        <w:spacing w:after="60"/>
        <w:rPr>
          <w:rFonts w:asciiTheme="majorHAnsi" w:hAnsiTheme="majorHAnsi" w:cstheme="majorHAnsi"/>
          <w:color w:val="000000" w:themeColor="text1"/>
          <w:sz w:val="18"/>
          <w:szCs w:val="18"/>
          <w:lang w:val="fr-CA"/>
        </w:rPr>
      </w:pPr>
      <w:r w:rsidRPr="006C3811">
        <w:rPr>
          <w:rStyle w:val="Appelnotedebasdep"/>
          <w:color w:val="000000" w:themeColor="text1"/>
          <w:szCs w:val="18"/>
          <w:u w:val="none"/>
          <w:vertAlign w:val="superscript"/>
        </w:rPr>
        <w:footnoteRef/>
      </w:r>
      <w:r w:rsidRPr="00E80551">
        <w:rPr>
          <w:sz w:val="18"/>
          <w:szCs w:val="18"/>
          <w:lang w:val="fr-CA"/>
        </w:rPr>
        <w:t xml:space="preserve"> </w:t>
      </w:r>
      <w:r>
        <w:rPr>
          <w:color w:val="000000" w:themeColor="text1"/>
          <w:sz w:val="18"/>
          <w:szCs w:val="18"/>
          <w:lang w:val="fr-CA"/>
        </w:rPr>
        <w:t>Les mesures d’encouragement positives sont utiles afin d’encourager la transition d’un comportement de nuisible à un comportement bénéfique; par exemple, les mesures d’encouragement positives peuvent servir à la fois à réduire les dépenses nuisibles et à générer des ressources supplémentaires, comme expliqué plus en détail au volet II</w:t>
      </w:r>
      <w:r w:rsidRPr="00E80551">
        <w:rPr>
          <w:color w:val="000000" w:themeColor="text1"/>
          <w:sz w:val="18"/>
          <w:szCs w:val="18"/>
          <w:lang w:val="fr-CA"/>
        </w:rPr>
        <w:t>.</w:t>
      </w:r>
    </w:p>
  </w:footnote>
  <w:footnote w:id="25">
    <w:p w14:paraId="498CE1D5" w14:textId="77777777" w:rsidR="006C7F81" w:rsidRPr="0018484E" w:rsidRDefault="006C7F81" w:rsidP="008F18B7">
      <w:pPr>
        <w:pStyle w:val="Notedebasdepage"/>
        <w:ind w:firstLine="0"/>
        <w:rPr>
          <w:color w:val="000000" w:themeColor="text1"/>
          <w:szCs w:val="18"/>
          <w:lang w:val="fr-CA"/>
        </w:rPr>
      </w:pPr>
      <w:r w:rsidRPr="006C3811">
        <w:rPr>
          <w:rStyle w:val="Appelnotedebasdep"/>
          <w:szCs w:val="18"/>
          <w:u w:val="none"/>
          <w:vertAlign w:val="superscript"/>
        </w:rPr>
        <w:footnoteRef/>
      </w:r>
      <w:r w:rsidRPr="0018484E">
        <w:rPr>
          <w:szCs w:val="18"/>
          <w:lang w:val="fr-CA"/>
        </w:rPr>
        <w:t xml:space="preserve"> “</w:t>
      </w:r>
      <w:r w:rsidRPr="0018484E">
        <w:rPr>
          <w:i/>
          <w:iCs/>
          <w:color w:val="000000" w:themeColor="text1"/>
          <w:szCs w:val="18"/>
          <w:lang w:val="fr-CA"/>
        </w:rPr>
        <w:t>JO - LOI n° 2019-1147 du 8 novembre 2019 relative à l'énergie et au climat, Art. L. 533-22-1.-I</w:t>
      </w:r>
      <w:r w:rsidRPr="0018484E">
        <w:rPr>
          <w:color w:val="000000" w:themeColor="text1"/>
          <w:szCs w:val="18"/>
          <w:lang w:val="fr-CA"/>
        </w:rPr>
        <w:t xml:space="preserve">” – </w:t>
      </w:r>
      <w:r>
        <w:rPr>
          <w:color w:val="000000" w:themeColor="text1"/>
          <w:szCs w:val="18"/>
          <w:lang w:val="fr-CA"/>
        </w:rPr>
        <w:t>obligeant les institutions de crédit et les sociétés de placement à inclure de l’information sur les risques liés aux changements climatiques et à la biodiversité</w:t>
      </w:r>
    </w:p>
  </w:footnote>
  <w:footnote w:id="26">
    <w:p w14:paraId="308D622E" w14:textId="4CB8234D" w:rsidR="006C7F81" w:rsidRPr="00F73189" w:rsidRDefault="006C7F81" w:rsidP="006C3811">
      <w:pPr>
        <w:spacing w:after="60"/>
        <w:rPr>
          <w:sz w:val="18"/>
          <w:szCs w:val="18"/>
          <w:lang w:val="en-ZA"/>
        </w:rPr>
      </w:pPr>
      <w:r w:rsidRPr="006C3811">
        <w:rPr>
          <w:rStyle w:val="Appelnotedebasdep"/>
          <w:color w:val="000000" w:themeColor="text1"/>
          <w:szCs w:val="18"/>
          <w:u w:val="none"/>
          <w:vertAlign w:val="superscript"/>
        </w:rPr>
        <w:footnoteRef/>
      </w:r>
      <w:r w:rsidRPr="006C3811">
        <w:rPr>
          <w:color w:val="000000" w:themeColor="text1"/>
        </w:rPr>
        <w:t xml:space="preserve"> </w:t>
      </w:r>
      <w:r w:rsidRPr="00B95F7E">
        <w:rPr>
          <w:color w:val="000000" w:themeColor="text1"/>
          <w:sz w:val="18"/>
          <w:szCs w:val="18"/>
        </w:rPr>
        <w:t>Naqvi, M</w:t>
      </w:r>
      <w:r w:rsidRPr="00F73189">
        <w:rPr>
          <w:color w:val="000000" w:themeColor="text1"/>
          <w:sz w:val="18"/>
          <w:szCs w:val="18"/>
        </w:rPr>
        <w:t>., Burke, B., H</w:t>
      </w:r>
      <w:r w:rsidRPr="00EE709A">
        <w:rPr>
          <w:color w:val="000000" w:themeColor="text1"/>
          <w:sz w:val="18"/>
          <w:szCs w:val="18"/>
        </w:rPr>
        <w:t>ector, S. Jamison, T., Dupr</w:t>
      </w:r>
      <w:r w:rsidRPr="007A03BF">
        <w:rPr>
          <w:color w:val="000000"/>
          <w:sz w:val="18"/>
          <w:szCs w:val="18"/>
        </w:rPr>
        <w:t>é</w:t>
      </w:r>
      <w:r w:rsidRPr="007A03BF">
        <w:rPr>
          <w:color w:val="000000" w:themeColor="text1"/>
          <w:sz w:val="18"/>
          <w:szCs w:val="18"/>
        </w:rPr>
        <w:t xml:space="preserve">, S. (2017). </w:t>
      </w:r>
      <w:r w:rsidRPr="006C3811">
        <w:rPr>
          <w:i/>
          <w:iCs/>
          <w:color w:val="000000" w:themeColor="text1"/>
          <w:sz w:val="18"/>
          <w:szCs w:val="18"/>
        </w:rPr>
        <w:t xml:space="preserve">All swans are black in the dark - How </w:t>
      </w:r>
      <w:r>
        <w:rPr>
          <w:i/>
          <w:iCs/>
          <w:color w:val="000000" w:themeColor="text1"/>
          <w:sz w:val="18"/>
          <w:szCs w:val="18"/>
        </w:rPr>
        <w:t xml:space="preserve">the </w:t>
      </w:r>
      <w:r w:rsidRPr="006C3811">
        <w:rPr>
          <w:i/>
          <w:iCs/>
          <w:color w:val="000000" w:themeColor="text1"/>
          <w:sz w:val="18"/>
          <w:szCs w:val="18"/>
        </w:rPr>
        <w:t>short-term focus of financial analysis does not shed light on long term risks</w:t>
      </w:r>
      <w:r w:rsidRPr="00F402B2">
        <w:rPr>
          <w:color w:val="000000" w:themeColor="text1"/>
          <w:sz w:val="18"/>
          <w:szCs w:val="18"/>
        </w:rPr>
        <w:t>, 2°</w:t>
      </w:r>
      <w:r>
        <w:rPr>
          <w:color w:val="000000" w:themeColor="text1"/>
          <w:sz w:val="18"/>
          <w:szCs w:val="18"/>
        </w:rPr>
        <w:t xml:space="preserve"> Investing Initiative &amp; the</w:t>
      </w:r>
      <w:r w:rsidRPr="00F402B2">
        <w:rPr>
          <w:color w:val="000000" w:themeColor="text1"/>
          <w:sz w:val="18"/>
          <w:szCs w:val="18"/>
        </w:rPr>
        <w:t xml:space="preserve"> Generation </w:t>
      </w:r>
      <w:r>
        <w:rPr>
          <w:color w:val="000000" w:themeColor="text1"/>
          <w:sz w:val="18"/>
          <w:szCs w:val="18"/>
        </w:rPr>
        <w:t>F</w:t>
      </w:r>
      <w:r w:rsidRPr="00F402B2">
        <w:rPr>
          <w:color w:val="000000" w:themeColor="text1"/>
          <w:sz w:val="18"/>
          <w:szCs w:val="18"/>
        </w:rPr>
        <w:t xml:space="preserve">oundation, </w:t>
      </w:r>
      <w:r>
        <w:rPr>
          <w:color w:val="000000" w:themeColor="text1"/>
          <w:sz w:val="18"/>
          <w:szCs w:val="18"/>
        </w:rPr>
        <w:t>“</w:t>
      </w:r>
      <w:r w:rsidRPr="00F402B2">
        <w:rPr>
          <w:color w:val="000000" w:themeColor="text1"/>
          <w:sz w:val="18"/>
          <w:szCs w:val="18"/>
        </w:rPr>
        <w:t xml:space="preserve">Tragedy of the </w:t>
      </w:r>
      <w:r>
        <w:rPr>
          <w:color w:val="000000" w:themeColor="text1"/>
          <w:sz w:val="18"/>
          <w:szCs w:val="18"/>
        </w:rPr>
        <w:t>H</w:t>
      </w:r>
      <w:r w:rsidRPr="00F402B2">
        <w:rPr>
          <w:color w:val="000000" w:themeColor="text1"/>
          <w:sz w:val="18"/>
          <w:szCs w:val="18"/>
        </w:rPr>
        <w:t>orizon</w:t>
      </w:r>
      <w:r>
        <w:rPr>
          <w:color w:val="000000" w:themeColor="text1"/>
          <w:sz w:val="18"/>
          <w:szCs w:val="18"/>
        </w:rPr>
        <w:t>” project</w:t>
      </w:r>
      <w:r w:rsidRPr="00F402B2">
        <w:rPr>
          <w:color w:val="000000" w:themeColor="text1"/>
          <w:sz w:val="18"/>
          <w:szCs w:val="18"/>
        </w:rPr>
        <w:t>.</w:t>
      </w:r>
    </w:p>
  </w:footnote>
  <w:footnote w:id="27">
    <w:p w14:paraId="3AFC55DA" w14:textId="75B5D026" w:rsidR="006C7F81" w:rsidRPr="007A03BF" w:rsidRDefault="006C7F81" w:rsidP="006C3811">
      <w:pPr>
        <w:pStyle w:val="Notedebasdepage"/>
        <w:ind w:firstLine="0"/>
        <w:rPr>
          <w:szCs w:val="18"/>
          <w:lang w:val="en-US"/>
        </w:rPr>
      </w:pPr>
      <w:r w:rsidRPr="006C3811">
        <w:rPr>
          <w:rStyle w:val="Appelnotedebasdep"/>
          <w:color w:val="000000" w:themeColor="text1"/>
          <w:szCs w:val="18"/>
          <w:u w:val="none"/>
          <w:vertAlign w:val="superscript"/>
        </w:rPr>
        <w:footnoteRef/>
      </w:r>
      <w:r w:rsidRPr="00F73189">
        <w:rPr>
          <w:color w:val="000000" w:themeColor="text1"/>
          <w:szCs w:val="18"/>
        </w:rPr>
        <w:t xml:space="preserve"> </w:t>
      </w:r>
      <w:r w:rsidRPr="00F73189">
        <w:rPr>
          <w:color w:val="000000" w:themeColor="text1"/>
          <w:szCs w:val="18"/>
          <w:lang w:val="en-US"/>
        </w:rPr>
        <w:t xml:space="preserve">Finance Watch (2019). </w:t>
      </w:r>
      <w:r w:rsidRPr="00F73189">
        <w:rPr>
          <w:i/>
          <w:iCs/>
          <w:color w:val="000000" w:themeColor="text1"/>
          <w:szCs w:val="18"/>
          <w:lang w:val="en-US"/>
        </w:rPr>
        <w:t xml:space="preserve">Making Finance Serve </w:t>
      </w:r>
      <w:r w:rsidRPr="0032672E">
        <w:rPr>
          <w:i/>
          <w:iCs/>
          <w:color w:val="000000" w:themeColor="text1"/>
          <w:szCs w:val="18"/>
          <w:lang w:val="en-US"/>
        </w:rPr>
        <w:t>Nature</w:t>
      </w:r>
      <w:r w:rsidRPr="0086335A">
        <w:rPr>
          <w:color w:val="000000" w:themeColor="text1"/>
          <w:szCs w:val="18"/>
        </w:rPr>
        <w:t xml:space="preserve"> </w:t>
      </w:r>
      <w:r>
        <w:rPr>
          <w:color w:val="000000" w:themeColor="text1"/>
          <w:szCs w:val="18"/>
        </w:rPr>
        <w:t xml:space="preserve">(https://www.finance-watch.org/wp-content/uploads/2019/05/Making-Finance-Serve-Nature_Financce-Watch-Report_24May2019_web.pdf </w:t>
      </w:r>
      <w:r w:rsidRPr="0086335A">
        <w:rPr>
          <w:szCs w:val="18"/>
        </w:rPr>
        <w:t>.</w:t>
      </w:r>
    </w:p>
  </w:footnote>
  <w:footnote w:id="28">
    <w:p w14:paraId="7D766F8C" w14:textId="46041DDA" w:rsidR="006C7F81" w:rsidRPr="00F73189" w:rsidRDefault="006C7F81" w:rsidP="006C3811">
      <w:pPr>
        <w:spacing w:after="60"/>
        <w:rPr>
          <w:color w:val="000000" w:themeColor="text1"/>
          <w:sz w:val="18"/>
          <w:szCs w:val="18"/>
          <w:lang w:val="en-ZA"/>
        </w:rPr>
      </w:pPr>
      <w:r w:rsidRPr="006C3811">
        <w:rPr>
          <w:rStyle w:val="Appelnotedebasdep"/>
          <w:szCs w:val="18"/>
          <w:u w:val="none"/>
          <w:vertAlign w:val="superscript"/>
        </w:rPr>
        <w:footnoteRef/>
      </w:r>
      <w:r w:rsidRPr="00F73189">
        <w:rPr>
          <w:color w:val="000000" w:themeColor="text1"/>
          <w:sz w:val="18"/>
          <w:szCs w:val="18"/>
        </w:rPr>
        <w:t xml:space="preserve"> </w:t>
      </w:r>
      <w:r>
        <w:rPr>
          <w:sz w:val="18"/>
          <w:szCs w:val="18"/>
        </w:rPr>
        <w:t>https://projects.worldbank.org/fr/projects-operations/environmental-and-social-framework/brief/environmental-and-social-standards</w:t>
      </w:r>
    </w:p>
  </w:footnote>
  <w:footnote w:id="29">
    <w:p w14:paraId="43A24884" w14:textId="3137E691" w:rsidR="006C7F81" w:rsidRPr="00F73189" w:rsidRDefault="006C7F81" w:rsidP="006C3811">
      <w:pPr>
        <w:spacing w:after="60"/>
        <w:rPr>
          <w:color w:val="000000" w:themeColor="text1"/>
          <w:sz w:val="18"/>
          <w:szCs w:val="18"/>
        </w:rPr>
      </w:pPr>
      <w:r w:rsidRPr="006C3811">
        <w:rPr>
          <w:rStyle w:val="Appelnotedebasdep"/>
          <w:color w:val="000000" w:themeColor="text1"/>
          <w:szCs w:val="18"/>
          <w:u w:val="none"/>
          <w:vertAlign w:val="superscript"/>
        </w:rPr>
        <w:footnoteRef/>
      </w:r>
      <w:r w:rsidRPr="006C3811">
        <w:rPr>
          <w:sz w:val="18"/>
          <w:szCs w:val="18"/>
        </w:rPr>
        <w:t xml:space="preserve"> </w:t>
      </w:r>
      <w:r>
        <w:rPr>
          <w:sz w:val="18"/>
          <w:szCs w:val="18"/>
        </w:rPr>
        <w:t>https://www.ifc.org/wps/wcm/connect/topics_ext_content/ifc_external_corporate_site/sustainability-at-ifc/policies-standards/performance-standards/ps6</w:t>
      </w:r>
    </w:p>
  </w:footnote>
  <w:footnote w:id="30">
    <w:p w14:paraId="63E659FA" w14:textId="675B774B" w:rsidR="006C7F81" w:rsidRPr="0052021B" w:rsidRDefault="006C7F81" w:rsidP="00EC07F9">
      <w:pPr>
        <w:pStyle w:val="Notedebasdepage"/>
        <w:ind w:firstLine="0"/>
        <w:rPr>
          <w:rFonts w:asciiTheme="majorHAnsi" w:hAnsiTheme="majorHAnsi" w:cstheme="majorHAnsi"/>
          <w:szCs w:val="18"/>
          <w:lang w:val="fr-CA"/>
        </w:rPr>
      </w:pPr>
      <w:r w:rsidRPr="00E275C0">
        <w:rPr>
          <w:rStyle w:val="Appelnotedebasdep"/>
          <w:szCs w:val="18"/>
          <w:u w:val="none"/>
          <w:vertAlign w:val="superscript"/>
        </w:rPr>
        <w:footnoteRef/>
      </w:r>
      <w:r w:rsidRPr="0052021B">
        <w:rPr>
          <w:szCs w:val="18"/>
          <w:lang w:val="fr-CA"/>
        </w:rPr>
        <w:t xml:space="preserve"> Comme demandé au paragraphe d) de la décision</w:t>
      </w:r>
      <w:r>
        <w:rPr>
          <w:szCs w:val="18"/>
          <w:lang w:val="fr-CA"/>
        </w:rPr>
        <w:t xml:space="preserve"> 14/3</w:t>
      </w:r>
      <w:r w:rsidRPr="0052021B">
        <w:rPr>
          <w:szCs w:val="18"/>
          <w:lang w:val="fr-CA"/>
        </w:rPr>
        <w:t>.</w:t>
      </w:r>
    </w:p>
  </w:footnote>
  <w:footnote w:id="31">
    <w:p w14:paraId="7FFF85A1" w14:textId="77777777" w:rsidR="006C7F81" w:rsidRPr="0018484E" w:rsidRDefault="006C7F81" w:rsidP="00F20289">
      <w:pPr>
        <w:pStyle w:val="Notedebasdepage"/>
        <w:ind w:firstLine="0"/>
        <w:rPr>
          <w:color w:val="000000" w:themeColor="text1"/>
          <w:szCs w:val="18"/>
          <w:lang w:val="fr-CA"/>
        </w:rPr>
      </w:pPr>
      <w:r w:rsidRPr="0018484E">
        <w:rPr>
          <w:rStyle w:val="Appelnotedebasdep"/>
          <w:szCs w:val="18"/>
          <w:u w:val="none"/>
          <w:vertAlign w:val="superscript"/>
          <w:lang w:val="fr-CA"/>
        </w:rPr>
        <w:footnoteRef/>
      </w:r>
      <w:r w:rsidRPr="0018484E">
        <w:rPr>
          <w:szCs w:val="18"/>
          <w:lang w:val="fr-CA"/>
        </w:rPr>
        <w:t xml:space="preserve"> </w:t>
      </w:r>
      <w:r>
        <w:rPr>
          <w:szCs w:val="18"/>
          <w:lang w:val="fr-CA"/>
        </w:rPr>
        <w:t>Le Programme d’action d’Addis-Abeba (annexe à la résolution 69/313 de l’Assemblée générale) soutient les rapports d’entreprise sur les impacts environnementaux, sociaux et de gouvernance, afin de favoriser la transparence et la responsabilité, faisant référence à la nécessité d’un équilibre convenable de règles volontaires et obligatoires</w:t>
      </w:r>
      <w:r w:rsidRPr="0018484E">
        <w:rPr>
          <w:szCs w:val="18"/>
          <w:lang w:val="fr-CA"/>
        </w:rPr>
        <w:t>.</w:t>
      </w:r>
    </w:p>
  </w:footnote>
  <w:footnote w:id="32">
    <w:p w14:paraId="08B66B07" w14:textId="77777777" w:rsidR="006C7F81" w:rsidRPr="0018484E" w:rsidRDefault="006C7F81" w:rsidP="00F20289">
      <w:pPr>
        <w:spacing w:after="60"/>
        <w:rPr>
          <w:sz w:val="18"/>
          <w:szCs w:val="18"/>
          <w:lang w:val="fr-CA"/>
        </w:rPr>
      </w:pPr>
      <w:r w:rsidRPr="0018484E">
        <w:rPr>
          <w:rStyle w:val="Appelnotedebasdep"/>
          <w:szCs w:val="18"/>
          <w:u w:val="none"/>
          <w:vertAlign w:val="superscript"/>
          <w:lang w:val="fr-CA"/>
        </w:rPr>
        <w:footnoteRef/>
      </w:r>
      <w:r w:rsidRPr="0018484E">
        <w:rPr>
          <w:color w:val="000000" w:themeColor="text1"/>
          <w:sz w:val="18"/>
          <w:szCs w:val="18"/>
          <w:lang w:val="fr-CA"/>
        </w:rPr>
        <w:t xml:space="preserve"> </w:t>
      </w:r>
      <w:r>
        <w:rPr>
          <w:color w:val="000000" w:themeColor="text1"/>
          <w:sz w:val="18"/>
          <w:szCs w:val="18"/>
          <w:lang w:val="fr-CA"/>
        </w:rPr>
        <w:t>Le Protocole de capital naturel offre un cadre décisionnel permettant aux organisations d’identifier, de mesurer et d’établir la valeur de leurs impacts directs et indirects et de leur dépendance pour la nature</w:t>
      </w:r>
      <w:r w:rsidRPr="0018484E">
        <w:rPr>
          <w:color w:val="000000" w:themeColor="text1"/>
          <w:sz w:val="18"/>
          <w:szCs w:val="18"/>
          <w:shd w:val="clear" w:color="auto" w:fill="FEFEFE"/>
          <w:lang w:val="fr-CA"/>
        </w:rPr>
        <w:t xml:space="preserve"> </w:t>
      </w:r>
      <w:r w:rsidRPr="0018484E">
        <w:rPr>
          <w:color w:val="000000" w:themeColor="text1"/>
          <w:sz w:val="18"/>
          <w:szCs w:val="18"/>
          <w:lang w:val="fr-CA"/>
        </w:rPr>
        <w:t>(</w:t>
      </w:r>
      <w:r>
        <w:rPr>
          <w:color w:val="000000" w:themeColor="text1"/>
          <w:sz w:val="18"/>
          <w:szCs w:val="18"/>
          <w:lang w:val="fr-CA"/>
        </w:rPr>
        <w:t>voir</w:t>
      </w:r>
      <w:r w:rsidRPr="0018484E">
        <w:rPr>
          <w:color w:val="000000" w:themeColor="text1"/>
          <w:sz w:val="18"/>
          <w:szCs w:val="18"/>
          <w:lang w:val="fr-CA"/>
        </w:rPr>
        <w:t xml:space="preserve"> </w:t>
      </w:r>
      <w:r>
        <w:rPr>
          <w:color w:val="000000" w:themeColor="text1"/>
          <w:sz w:val="18"/>
          <w:szCs w:val="18"/>
          <w:lang w:val="fr-CA"/>
        </w:rPr>
        <w:t xml:space="preserve">https://naturalcapitalcoalition.org/projects/biodiversity/ </w:t>
      </w:r>
    </w:p>
  </w:footnote>
  <w:footnote w:id="33">
    <w:p w14:paraId="74B089DD" w14:textId="4A5FAC4C" w:rsidR="006C7F81" w:rsidRPr="0052021B" w:rsidRDefault="006C7F81" w:rsidP="00B31E48">
      <w:pPr>
        <w:pStyle w:val="Notedebasdepage"/>
        <w:ind w:firstLine="0"/>
        <w:rPr>
          <w:lang w:val="fr-CA"/>
        </w:rPr>
      </w:pPr>
      <w:r w:rsidRPr="00EC07F9">
        <w:rPr>
          <w:rStyle w:val="Appelnotedebasdep"/>
          <w:u w:val="none"/>
          <w:vertAlign w:val="superscript"/>
        </w:rPr>
        <w:footnoteRef/>
      </w:r>
      <w:r w:rsidRPr="0052021B">
        <w:rPr>
          <w:lang w:val="fr-CA"/>
        </w:rPr>
        <w:t xml:space="preserve"> </w:t>
      </w:r>
      <w:r>
        <w:rPr>
          <w:lang w:val="fr-CA"/>
        </w:rPr>
        <w:t>Nations Unies</w:t>
      </w:r>
      <w:r w:rsidRPr="0052021B">
        <w:rPr>
          <w:lang w:val="fr-CA"/>
        </w:rPr>
        <w:t xml:space="preserve">, </w:t>
      </w:r>
      <w:r>
        <w:rPr>
          <w:i/>
          <w:iCs/>
          <w:lang w:val="fr-CA"/>
        </w:rPr>
        <w:t>Série des traités</w:t>
      </w:r>
      <w:r w:rsidRPr="0052021B">
        <w:rPr>
          <w:lang w:val="fr-CA"/>
        </w:rPr>
        <w:t xml:space="preserve">, </w:t>
      </w:r>
      <w:r>
        <w:rPr>
          <w:lang w:val="fr-CA"/>
        </w:rPr>
        <w:t>N</w:t>
      </w:r>
      <w:r w:rsidRPr="0052021B">
        <w:rPr>
          <w:vertAlign w:val="superscript"/>
          <w:lang w:val="fr-CA"/>
        </w:rPr>
        <w:t>o</w:t>
      </w:r>
      <w:r>
        <w:rPr>
          <w:lang w:val="fr-CA"/>
        </w:rPr>
        <w:t xml:space="preserve"> d’enregistrement </w:t>
      </w:r>
      <w:r w:rsidRPr="0052021B">
        <w:rPr>
          <w:lang w:val="fr-CA"/>
        </w:rPr>
        <w:t>I-54113.</w:t>
      </w:r>
    </w:p>
  </w:footnote>
  <w:footnote w:id="34">
    <w:p w14:paraId="1716C92E" w14:textId="1897C20B" w:rsidR="006C7F81" w:rsidRPr="00007CA0" w:rsidRDefault="006C7F81" w:rsidP="00EC07F9">
      <w:pPr>
        <w:spacing w:after="60"/>
        <w:rPr>
          <w:sz w:val="18"/>
          <w:szCs w:val="18"/>
          <w:lang w:val="en-US"/>
        </w:rPr>
      </w:pPr>
      <w:r w:rsidRPr="0052021B">
        <w:rPr>
          <w:rStyle w:val="Appelnotedebasdep"/>
          <w:szCs w:val="18"/>
          <w:u w:val="none"/>
          <w:vertAlign w:val="superscript"/>
          <w:lang w:val="fr-CA"/>
        </w:rPr>
        <w:footnoteRef/>
      </w:r>
      <w:r w:rsidRPr="0052021B">
        <w:rPr>
          <w:color w:val="000000" w:themeColor="text1"/>
          <w:sz w:val="18"/>
          <w:szCs w:val="18"/>
          <w:lang w:val="fr-CA"/>
        </w:rPr>
        <w:t xml:space="preserve"> </w:t>
      </w:r>
      <w:r w:rsidRPr="0052021B">
        <w:rPr>
          <w:sz w:val="18"/>
          <w:szCs w:val="18"/>
          <w:lang w:val="fr-CA"/>
        </w:rPr>
        <w:t xml:space="preserve">Costanza, R., de </w:t>
      </w:r>
      <w:proofErr w:type="spellStart"/>
      <w:r w:rsidRPr="0052021B">
        <w:rPr>
          <w:sz w:val="18"/>
          <w:szCs w:val="18"/>
          <w:lang w:val="fr-CA"/>
        </w:rPr>
        <w:t>Groot</w:t>
      </w:r>
      <w:proofErr w:type="spellEnd"/>
      <w:r w:rsidRPr="0052021B">
        <w:rPr>
          <w:sz w:val="18"/>
          <w:szCs w:val="18"/>
          <w:lang w:val="fr-CA"/>
        </w:rPr>
        <w:t xml:space="preserve">, R., Sutton P., van der </w:t>
      </w:r>
      <w:proofErr w:type="spellStart"/>
      <w:r w:rsidRPr="0052021B">
        <w:rPr>
          <w:sz w:val="18"/>
          <w:szCs w:val="18"/>
          <w:lang w:val="fr-CA"/>
        </w:rPr>
        <w:t>Ploeg</w:t>
      </w:r>
      <w:proofErr w:type="spellEnd"/>
      <w:r w:rsidRPr="0052021B">
        <w:rPr>
          <w:sz w:val="18"/>
          <w:szCs w:val="18"/>
          <w:lang w:val="fr-CA"/>
        </w:rPr>
        <w:t xml:space="preserve">, S., Anderson, </w:t>
      </w:r>
      <w:proofErr w:type="spellStart"/>
      <w:r w:rsidRPr="0052021B">
        <w:rPr>
          <w:sz w:val="18"/>
          <w:szCs w:val="18"/>
          <w:lang w:val="fr-CA"/>
        </w:rPr>
        <w:t>S.J</w:t>
      </w:r>
      <w:proofErr w:type="spellEnd"/>
      <w:r w:rsidRPr="0052021B">
        <w:rPr>
          <w:sz w:val="18"/>
          <w:szCs w:val="18"/>
          <w:lang w:val="fr-CA"/>
        </w:rPr>
        <w:t xml:space="preserve">., </w:t>
      </w:r>
      <w:proofErr w:type="spellStart"/>
      <w:r w:rsidRPr="0052021B">
        <w:rPr>
          <w:sz w:val="18"/>
          <w:szCs w:val="18"/>
          <w:lang w:val="fr-CA"/>
        </w:rPr>
        <w:t>Kubiszewski</w:t>
      </w:r>
      <w:proofErr w:type="spellEnd"/>
      <w:r w:rsidRPr="0052021B">
        <w:rPr>
          <w:sz w:val="18"/>
          <w:szCs w:val="18"/>
          <w:lang w:val="fr-CA"/>
        </w:rPr>
        <w:t xml:space="preserve">, I., </w:t>
      </w:r>
      <w:proofErr w:type="spellStart"/>
      <w:r w:rsidRPr="0052021B">
        <w:rPr>
          <w:sz w:val="18"/>
          <w:szCs w:val="18"/>
          <w:lang w:val="fr-CA"/>
        </w:rPr>
        <w:t>Farber</w:t>
      </w:r>
      <w:proofErr w:type="spellEnd"/>
      <w:r w:rsidRPr="0052021B">
        <w:rPr>
          <w:sz w:val="18"/>
          <w:szCs w:val="18"/>
          <w:lang w:val="fr-CA"/>
        </w:rPr>
        <w:t xml:space="preserve">, S., Turner, </w:t>
      </w:r>
      <w:proofErr w:type="spellStart"/>
      <w:r w:rsidRPr="0052021B">
        <w:rPr>
          <w:sz w:val="18"/>
          <w:szCs w:val="18"/>
          <w:lang w:val="fr-CA"/>
        </w:rPr>
        <w:t>R.K</w:t>
      </w:r>
      <w:proofErr w:type="spellEnd"/>
      <w:r w:rsidRPr="0052021B">
        <w:rPr>
          <w:sz w:val="18"/>
          <w:szCs w:val="18"/>
          <w:lang w:val="fr-CA"/>
        </w:rPr>
        <w:t xml:space="preserve">. </w:t>
      </w:r>
      <w:r w:rsidRPr="0052021B">
        <w:rPr>
          <w:color w:val="000000" w:themeColor="text1"/>
          <w:sz w:val="18"/>
          <w:szCs w:val="18"/>
          <w:lang w:val="fr-CA"/>
        </w:rPr>
        <w:t xml:space="preserve">(2014). </w:t>
      </w:r>
      <w:r w:rsidRPr="00007CA0">
        <w:rPr>
          <w:color w:val="000000" w:themeColor="text1"/>
          <w:sz w:val="18"/>
          <w:szCs w:val="18"/>
          <w:lang w:val="en-US"/>
        </w:rPr>
        <w:t>“</w:t>
      </w:r>
      <w:r w:rsidRPr="00007CA0">
        <w:rPr>
          <w:iCs/>
          <w:color w:val="000000" w:themeColor="text1"/>
          <w:sz w:val="18"/>
          <w:szCs w:val="18"/>
          <w:lang w:val="en-US"/>
        </w:rPr>
        <w:t>Changes in the global value of ecosystem services”,</w:t>
      </w:r>
      <w:r w:rsidRPr="00007CA0">
        <w:rPr>
          <w:color w:val="000000" w:themeColor="text1"/>
          <w:sz w:val="18"/>
          <w:szCs w:val="18"/>
          <w:lang w:val="en-US"/>
        </w:rPr>
        <w:t xml:space="preserve"> </w:t>
      </w:r>
      <w:r w:rsidRPr="00007CA0">
        <w:rPr>
          <w:i/>
          <w:color w:val="000000" w:themeColor="text1"/>
          <w:sz w:val="18"/>
          <w:szCs w:val="18"/>
          <w:lang w:val="en-US"/>
        </w:rPr>
        <w:t>Global Environmental Change</w:t>
      </w:r>
      <w:r w:rsidRPr="00007CA0">
        <w:rPr>
          <w:color w:val="000000" w:themeColor="text1"/>
          <w:sz w:val="18"/>
          <w:szCs w:val="18"/>
          <w:lang w:val="en-US"/>
        </w:rPr>
        <w:t>, vol. 26, 152-158.</w:t>
      </w:r>
    </w:p>
  </w:footnote>
  <w:footnote w:id="35">
    <w:p w14:paraId="603098C4" w14:textId="2D96900C" w:rsidR="006C7F81" w:rsidRPr="007C0466" w:rsidRDefault="006C7F81" w:rsidP="00F73189">
      <w:pPr>
        <w:pStyle w:val="Notedebasdepage"/>
        <w:ind w:firstLine="0"/>
        <w:rPr>
          <w:sz w:val="20"/>
          <w:szCs w:val="20"/>
          <w:lang w:val="fr-CA"/>
        </w:rPr>
      </w:pPr>
      <w:r w:rsidRPr="007C0466">
        <w:rPr>
          <w:rStyle w:val="Appelnotedebasdep"/>
          <w:szCs w:val="18"/>
          <w:u w:val="none"/>
          <w:vertAlign w:val="superscript"/>
          <w:lang w:val="fr-CA"/>
        </w:rPr>
        <w:footnoteRef/>
      </w:r>
      <w:r w:rsidRPr="007C0466">
        <w:rPr>
          <w:color w:val="000000" w:themeColor="text1"/>
          <w:szCs w:val="18"/>
          <w:lang w:val="fr-CA"/>
        </w:rPr>
        <w:t xml:space="preserve"> </w:t>
      </w:r>
      <w:r>
        <w:rPr>
          <w:color w:val="000000" w:themeColor="text1"/>
          <w:szCs w:val="18"/>
          <w:lang w:val="fr-CA"/>
        </w:rPr>
        <w:t>OCDE</w:t>
      </w:r>
      <w:r w:rsidRPr="007C0466">
        <w:rPr>
          <w:color w:val="000000" w:themeColor="text1"/>
          <w:szCs w:val="18"/>
          <w:lang w:val="fr-CA"/>
        </w:rPr>
        <w:t xml:space="preserve"> (2019). </w:t>
      </w:r>
      <w:proofErr w:type="spellStart"/>
      <w:r w:rsidRPr="007C0466">
        <w:rPr>
          <w:i/>
          <w:iCs/>
          <w:color w:val="000000" w:themeColor="text1"/>
          <w:szCs w:val="18"/>
          <w:lang w:val="fr-CA"/>
        </w:rPr>
        <w:t>Biodiversity</w:t>
      </w:r>
      <w:proofErr w:type="spellEnd"/>
      <w:r w:rsidRPr="007C0466">
        <w:rPr>
          <w:i/>
          <w:iCs/>
          <w:color w:val="000000" w:themeColor="text1"/>
          <w:szCs w:val="18"/>
          <w:lang w:val="fr-CA"/>
        </w:rPr>
        <w:t xml:space="preserve">: Finance and the </w:t>
      </w:r>
      <w:proofErr w:type="spellStart"/>
      <w:r w:rsidRPr="007C0466">
        <w:rPr>
          <w:i/>
          <w:iCs/>
          <w:color w:val="000000" w:themeColor="text1"/>
          <w:szCs w:val="18"/>
          <w:lang w:val="fr-CA"/>
        </w:rPr>
        <w:t>Economic</w:t>
      </w:r>
      <w:proofErr w:type="spellEnd"/>
      <w:r w:rsidRPr="007C0466">
        <w:rPr>
          <w:i/>
          <w:iCs/>
          <w:color w:val="000000" w:themeColor="text1"/>
          <w:szCs w:val="18"/>
          <w:lang w:val="fr-CA"/>
        </w:rPr>
        <w:t xml:space="preserve"> and Business Case for Action</w:t>
      </w:r>
      <w:r w:rsidRPr="007C0466">
        <w:rPr>
          <w:color w:val="000000" w:themeColor="text1"/>
          <w:szCs w:val="18"/>
          <w:lang w:val="fr-CA"/>
        </w:rPr>
        <w:t>, rapport pr</w:t>
      </w:r>
      <w:r>
        <w:rPr>
          <w:color w:val="000000" w:themeColor="text1"/>
          <w:szCs w:val="18"/>
          <w:lang w:val="fr-CA"/>
        </w:rPr>
        <w:t>é</w:t>
      </w:r>
      <w:r w:rsidRPr="007C0466">
        <w:rPr>
          <w:color w:val="000000" w:themeColor="text1"/>
          <w:szCs w:val="18"/>
          <w:lang w:val="fr-CA"/>
        </w:rPr>
        <w:t>par</w:t>
      </w:r>
      <w:r>
        <w:rPr>
          <w:color w:val="000000" w:themeColor="text1"/>
          <w:szCs w:val="18"/>
          <w:lang w:val="fr-CA"/>
        </w:rPr>
        <w:t>é</w:t>
      </w:r>
      <w:r w:rsidRPr="007C0466">
        <w:rPr>
          <w:color w:val="000000" w:themeColor="text1"/>
          <w:szCs w:val="18"/>
          <w:lang w:val="fr-CA"/>
        </w:rPr>
        <w:t xml:space="preserve"> pour la réunion des ministres de l’Environnement du G7 présentée le 5-6 mai 2019</w:t>
      </w:r>
    </w:p>
  </w:footnote>
  <w:footnote w:id="36">
    <w:p w14:paraId="436173BD" w14:textId="358D3AA8" w:rsidR="006C7F81" w:rsidRPr="00316AC4" w:rsidRDefault="006C7F81" w:rsidP="00F73189">
      <w:pPr>
        <w:pStyle w:val="Notedebasdepage"/>
        <w:ind w:firstLine="0"/>
        <w:rPr>
          <w:rFonts w:asciiTheme="majorHAnsi" w:hAnsiTheme="majorHAnsi" w:cstheme="majorHAnsi"/>
          <w:szCs w:val="18"/>
          <w:lang w:val="fr-CA"/>
        </w:rPr>
      </w:pPr>
      <w:r w:rsidRPr="007A03BF">
        <w:rPr>
          <w:rStyle w:val="Appelnotedebasdep"/>
          <w:szCs w:val="18"/>
          <w:u w:val="none"/>
          <w:vertAlign w:val="superscript"/>
        </w:rPr>
        <w:footnoteRef/>
      </w:r>
      <w:r w:rsidRPr="00316AC4">
        <w:rPr>
          <w:szCs w:val="18"/>
          <w:lang w:val="fr-CA"/>
        </w:rPr>
        <w:t xml:space="preserve"> </w:t>
      </w:r>
      <w:r>
        <w:rPr>
          <w:szCs w:val="18"/>
          <w:lang w:val="fr-CA"/>
        </w:rPr>
        <w:t>Ces exemples peuvent comprendre tous les sortes de solutions fondées sur la nature pour l’adaptation aux changements climatiques, sans d’y limiter</w:t>
      </w:r>
      <w:r w:rsidRPr="00316AC4">
        <w:rPr>
          <w:szCs w:val="18"/>
          <w:lang w:val="fr-CA"/>
        </w:rPr>
        <w:t xml:space="preserve">. </w:t>
      </w:r>
    </w:p>
  </w:footnote>
  <w:footnote w:id="37">
    <w:p w14:paraId="0CA20004" w14:textId="5E2F5E50" w:rsidR="006C7F81" w:rsidRPr="00316AC4" w:rsidRDefault="006C7F81" w:rsidP="006C3811">
      <w:pPr>
        <w:pStyle w:val="Notedebasdepage"/>
        <w:ind w:firstLine="0"/>
        <w:rPr>
          <w:szCs w:val="18"/>
          <w:lang w:val="fr-CA"/>
        </w:rPr>
      </w:pPr>
      <w:r w:rsidRPr="00316AC4">
        <w:rPr>
          <w:rStyle w:val="Appelnotedebasdep"/>
          <w:szCs w:val="18"/>
          <w:u w:val="none"/>
          <w:vertAlign w:val="superscript"/>
          <w:lang w:val="fr-CA"/>
        </w:rPr>
        <w:footnoteRef/>
      </w:r>
      <w:r w:rsidRPr="00316AC4">
        <w:rPr>
          <w:color w:val="000000" w:themeColor="text1"/>
          <w:szCs w:val="18"/>
          <w:lang w:val="fr-CA"/>
        </w:rPr>
        <w:t xml:space="preserve"> </w:t>
      </w:r>
      <w:r>
        <w:rPr>
          <w:color w:val="000000" w:themeColor="text1"/>
          <w:szCs w:val="18"/>
          <w:lang w:val="fr-CA"/>
        </w:rPr>
        <w:t xml:space="preserve">Tel que le critère </w:t>
      </w:r>
      <w:proofErr w:type="spellStart"/>
      <w:r w:rsidRPr="00316AC4">
        <w:rPr>
          <w:i/>
          <w:color w:val="000000" w:themeColor="text1"/>
          <w:szCs w:val="18"/>
          <w:lang w:val="fr-CA"/>
        </w:rPr>
        <w:t>Species</w:t>
      </w:r>
      <w:proofErr w:type="spellEnd"/>
      <w:r w:rsidRPr="00316AC4">
        <w:rPr>
          <w:i/>
          <w:color w:val="000000" w:themeColor="text1"/>
          <w:szCs w:val="18"/>
          <w:lang w:val="fr-CA"/>
        </w:rPr>
        <w:t xml:space="preserve"> </w:t>
      </w:r>
      <w:proofErr w:type="spellStart"/>
      <w:r w:rsidRPr="00316AC4">
        <w:rPr>
          <w:i/>
          <w:color w:val="000000" w:themeColor="text1"/>
          <w:szCs w:val="18"/>
          <w:lang w:val="fr-CA"/>
        </w:rPr>
        <w:t>Threat</w:t>
      </w:r>
      <w:proofErr w:type="spellEnd"/>
      <w:r w:rsidRPr="00316AC4">
        <w:rPr>
          <w:i/>
          <w:color w:val="000000" w:themeColor="text1"/>
          <w:szCs w:val="18"/>
          <w:lang w:val="fr-CA"/>
        </w:rPr>
        <w:t xml:space="preserve"> </w:t>
      </w:r>
      <w:proofErr w:type="spellStart"/>
      <w:r w:rsidRPr="00316AC4">
        <w:rPr>
          <w:i/>
          <w:color w:val="000000" w:themeColor="text1"/>
          <w:szCs w:val="18"/>
          <w:lang w:val="fr-CA"/>
        </w:rPr>
        <w:t>Abatement</w:t>
      </w:r>
      <w:proofErr w:type="spellEnd"/>
      <w:r w:rsidRPr="00316AC4">
        <w:rPr>
          <w:i/>
          <w:color w:val="000000" w:themeColor="text1"/>
          <w:szCs w:val="18"/>
          <w:lang w:val="fr-CA"/>
        </w:rPr>
        <w:t xml:space="preserve"> and </w:t>
      </w:r>
      <w:proofErr w:type="spellStart"/>
      <w:r w:rsidRPr="00316AC4">
        <w:rPr>
          <w:i/>
          <w:color w:val="000000" w:themeColor="text1"/>
          <w:szCs w:val="18"/>
          <w:lang w:val="fr-CA"/>
        </w:rPr>
        <w:t>Recovery</w:t>
      </w:r>
      <w:proofErr w:type="spellEnd"/>
      <w:r w:rsidRPr="00316AC4">
        <w:rPr>
          <w:i/>
          <w:color w:val="000000" w:themeColor="text1"/>
          <w:szCs w:val="18"/>
          <w:lang w:val="fr-CA"/>
        </w:rPr>
        <w:t xml:space="preserve"> (STAR)</w:t>
      </w:r>
      <w:r>
        <w:rPr>
          <w:color w:val="000000" w:themeColor="text1"/>
          <w:szCs w:val="18"/>
          <w:lang w:val="fr-CA"/>
        </w:rPr>
        <w:t xml:space="preserve"> en voie de développement par l’UICN et ses partenaires </w:t>
      </w:r>
      <w:r w:rsidRPr="00316AC4">
        <w:rPr>
          <w:color w:val="000000" w:themeColor="text1"/>
          <w:szCs w:val="18"/>
          <w:lang w:val="fr-CA"/>
        </w:rPr>
        <w:t>.</w:t>
      </w:r>
    </w:p>
  </w:footnote>
  <w:footnote w:id="38">
    <w:p w14:paraId="3DE75193" w14:textId="31D7D5DB" w:rsidR="006C7F81" w:rsidRPr="00F50B1B" w:rsidRDefault="006C7F81" w:rsidP="007A03BF">
      <w:pPr>
        <w:spacing w:after="60"/>
        <w:rPr>
          <w:sz w:val="18"/>
          <w:szCs w:val="18"/>
          <w:lang w:val="fr-CA"/>
        </w:rPr>
      </w:pPr>
      <w:r w:rsidRPr="00316AC4">
        <w:rPr>
          <w:rStyle w:val="Appelnotedebasdep"/>
          <w:szCs w:val="18"/>
          <w:u w:val="none"/>
          <w:vertAlign w:val="superscript"/>
          <w:lang w:val="fr-CA"/>
        </w:rPr>
        <w:footnoteRef/>
      </w:r>
      <w:r w:rsidRPr="00316AC4">
        <w:rPr>
          <w:sz w:val="18"/>
          <w:szCs w:val="18"/>
          <w:lang w:val="fr-CA"/>
        </w:rPr>
        <w:t xml:space="preserve"> </w:t>
      </w:r>
      <w:r>
        <w:rPr>
          <w:sz w:val="18"/>
          <w:szCs w:val="18"/>
          <w:lang w:val="fr-CA"/>
        </w:rPr>
        <w:t xml:space="preserve">La </w:t>
      </w:r>
      <w:r w:rsidRPr="00A7575C">
        <w:rPr>
          <w:i/>
          <w:sz w:val="18"/>
          <w:szCs w:val="18"/>
          <w:lang w:val="fr-CA"/>
        </w:rPr>
        <w:t xml:space="preserve">Coalition for </w:t>
      </w:r>
      <w:proofErr w:type="spellStart"/>
      <w:r w:rsidRPr="00A7575C">
        <w:rPr>
          <w:i/>
          <w:sz w:val="18"/>
          <w:szCs w:val="18"/>
          <w:lang w:val="fr-CA"/>
        </w:rPr>
        <w:t>Private</w:t>
      </w:r>
      <w:proofErr w:type="spellEnd"/>
      <w:r w:rsidRPr="00A7575C">
        <w:rPr>
          <w:i/>
          <w:sz w:val="18"/>
          <w:szCs w:val="18"/>
          <w:lang w:val="fr-CA"/>
        </w:rPr>
        <w:t xml:space="preserve"> Investment in Conservation (</w:t>
      </w:r>
      <w:proofErr w:type="spellStart"/>
      <w:r w:rsidRPr="00A7575C">
        <w:rPr>
          <w:i/>
          <w:sz w:val="18"/>
          <w:szCs w:val="18"/>
          <w:lang w:val="fr-CA"/>
        </w:rPr>
        <w:t>CPIC</w:t>
      </w:r>
      <w:proofErr w:type="spellEnd"/>
      <w:r w:rsidRPr="00A7575C">
        <w:rPr>
          <w:i/>
          <w:sz w:val="18"/>
          <w:szCs w:val="18"/>
          <w:lang w:val="fr-CA"/>
        </w:rPr>
        <w:t>)</w:t>
      </w:r>
      <w:r>
        <w:rPr>
          <w:sz w:val="18"/>
          <w:szCs w:val="18"/>
          <w:lang w:val="fr-CA"/>
        </w:rPr>
        <w:t xml:space="preserve"> a créé des plans directeurs pour offrir un rendement adapté au risque pour certains types d’investissements dans des projets positifs pour la biodiversité. </w:t>
      </w:r>
      <w:r w:rsidRPr="00F50B1B">
        <w:rPr>
          <w:sz w:val="18"/>
          <w:szCs w:val="18"/>
          <w:lang w:val="fr-CA"/>
        </w:rPr>
        <w:t xml:space="preserve">Voir http://cpicfinance.com/blueprints . </w:t>
      </w:r>
    </w:p>
  </w:footnote>
  <w:footnote w:id="39">
    <w:p w14:paraId="540866DD" w14:textId="191F41D9" w:rsidR="006C7F81" w:rsidRPr="00DB032F" w:rsidRDefault="006C7F81" w:rsidP="008B6096">
      <w:pPr>
        <w:pStyle w:val="Notedebasdepage"/>
        <w:ind w:firstLine="0"/>
        <w:rPr>
          <w:szCs w:val="18"/>
          <w:lang w:val="fr-CA"/>
        </w:rPr>
      </w:pPr>
      <w:r w:rsidRPr="007A03BF">
        <w:rPr>
          <w:rStyle w:val="Appelnotedebasdep"/>
          <w:szCs w:val="18"/>
          <w:u w:val="none"/>
          <w:vertAlign w:val="superscript"/>
        </w:rPr>
        <w:footnoteRef/>
      </w:r>
      <w:r w:rsidRPr="00DB032F">
        <w:rPr>
          <w:szCs w:val="18"/>
          <w:lang w:val="fr-CA"/>
        </w:rPr>
        <w:t xml:space="preserve"> </w:t>
      </w:r>
      <w:r>
        <w:rPr>
          <w:rStyle w:val="lev"/>
          <w:b w:val="0"/>
          <w:bCs w:val="0"/>
          <w:szCs w:val="18"/>
          <w:lang w:val="fr-CA"/>
        </w:rPr>
        <w:t>Le financement mixte consiste à utiliser les fonds publics ou philanthropiques afin de catalyser et d’accroître le financement du secteur privé dans le même projet</w:t>
      </w:r>
      <w:r w:rsidRPr="00DB032F">
        <w:rPr>
          <w:rStyle w:val="lev"/>
          <w:b w:val="0"/>
          <w:bCs w:val="0"/>
          <w:szCs w:val="18"/>
          <w:lang w:val="fr-CA"/>
        </w:rPr>
        <w:t xml:space="preserve">. </w:t>
      </w:r>
    </w:p>
  </w:footnote>
  <w:footnote w:id="40">
    <w:p w14:paraId="4A3D8FD0" w14:textId="2492F004" w:rsidR="006C7F81" w:rsidRPr="00DB032F" w:rsidRDefault="006C7F81" w:rsidP="001001E5">
      <w:pPr>
        <w:pStyle w:val="Notedebasdepage"/>
        <w:ind w:firstLine="0"/>
        <w:rPr>
          <w:lang w:val="fr-CA"/>
        </w:rPr>
      </w:pPr>
      <w:r w:rsidRPr="00DB032F">
        <w:rPr>
          <w:rStyle w:val="Appelnotedebasdep"/>
          <w:u w:val="none"/>
          <w:vertAlign w:val="superscript"/>
          <w:lang w:val="fr-CA"/>
        </w:rPr>
        <w:footnoteRef/>
      </w:r>
      <w:r w:rsidRPr="00DB032F">
        <w:rPr>
          <w:lang w:val="fr-CA"/>
        </w:rPr>
        <w:t xml:space="preserve"> </w:t>
      </w:r>
      <w:r>
        <w:rPr>
          <w:szCs w:val="18"/>
          <w:lang w:val="fr-CA"/>
        </w:rPr>
        <w:t>Par exemple, l’augmentation de l’écotourisme dans un pays donné pourrait exiger des améliorations de l’infrastructure de transport ainsi que le développement et la mise en œuvre d’un programme reconnu de certification en écotourisme</w:t>
      </w:r>
    </w:p>
  </w:footnote>
  <w:footnote w:id="41">
    <w:p w14:paraId="39D4E7D4" w14:textId="2F8041AD" w:rsidR="006C7F81" w:rsidRPr="00DB032F" w:rsidRDefault="006C7F81" w:rsidP="007A03BF">
      <w:pPr>
        <w:pStyle w:val="Notedebasdepage"/>
        <w:ind w:firstLine="0"/>
        <w:rPr>
          <w:szCs w:val="18"/>
          <w:lang w:val="fr-CA"/>
        </w:rPr>
      </w:pPr>
      <w:r w:rsidRPr="00DB032F">
        <w:rPr>
          <w:rStyle w:val="Appelnotedebasdep"/>
          <w:szCs w:val="18"/>
          <w:u w:val="none"/>
          <w:vertAlign w:val="superscript"/>
          <w:lang w:val="fr-CA"/>
        </w:rPr>
        <w:footnoteRef/>
      </w:r>
      <w:r w:rsidRPr="00DB032F">
        <w:rPr>
          <w:szCs w:val="18"/>
          <w:lang w:val="fr-CA"/>
        </w:rPr>
        <w:t xml:space="preserve"> </w:t>
      </w:r>
      <w:r>
        <w:rPr>
          <w:szCs w:val="18"/>
          <w:lang w:val="fr-CA"/>
        </w:rPr>
        <w:t xml:space="preserve">Le </w:t>
      </w:r>
      <w:r w:rsidRPr="00775A33">
        <w:rPr>
          <w:i/>
          <w:szCs w:val="18"/>
          <w:lang w:val="fr-CA"/>
        </w:rPr>
        <w:t>Rapport de l’évaluation mondiale de la biodiversité et des services écosystémiques</w:t>
      </w:r>
      <w:r>
        <w:rPr>
          <w:szCs w:val="18"/>
          <w:lang w:val="fr-CA"/>
        </w:rPr>
        <w:t xml:space="preserve"> de l’IPBES indique que les Objectifs de développement durable ne pourront pas être atteins si la tendance à la baisse de la biodiversité n’est pas freinée</w:t>
      </w:r>
      <w:r w:rsidRPr="00DB032F">
        <w:rPr>
          <w:szCs w:val="18"/>
          <w:lang w:val="fr-CA"/>
        </w:rPr>
        <w:t>.</w:t>
      </w:r>
    </w:p>
  </w:footnote>
  <w:footnote w:id="42">
    <w:p w14:paraId="37CE734D" w14:textId="48AC604F" w:rsidR="006C7F81" w:rsidRPr="00DB032F" w:rsidRDefault="006C7F81" w:rsidP="007A03BF">
      <w:pPr>
        <w:spacing w:after="60"/>
        <w:rPr>
          <w:sz w:val="18"/>
          <w:szCs w:val="18"/>
          <w:lang w:val="fr-CA"/>
        </w:rPr>
      </w:pPr>
      <w:r w:rsidRPr="00DB032F">
        <w:rPr>
          <w:rStyle w:val="Appelnotedebasdep"/>
          <w:szCs w:val="18"/>
          <w:u w:val="none"/>
          <w:vertAlign w:val="superscript"/>
          <w:lang w:val="fr-CA"/>
        </w:rPr>
        <w:footnoteRef/>
      </w:r>
      <w:r w:rsidRPr="00DB032F">
        <w:rPr>
          <w:sz w:val="18"/>
          <w:szCs w:val="18"/>
          <w:lang w:val="fr-CA"/>
        </w:rPr>
        <w:t xml:space="preserve"> </w:t>
      </w:r>
      <w:r>
        <w:rPr>
          <w:sz w:val="18"/>
          <w:szCs w:val="18"/>
          <w:lang w:val="fr-CA"/>
        </w:rPr>
        <w:t>Le Club de financement du développement international (un réseau de banques de développement international nationales et régionales) et les banques de développement multinationales collaborent afin d’harmoniser les politiques de prêt aux buts et objectifs de l’Accord de Paris, de la Convention sur la diversité biologique et des Objectifs de développement durables. Cela représenterait un puissant moyen de générer des ressources pour aider les économies locales et régionales à devenir plus durables et résilientes, et soutenir les contributions des intervenants gouvernementaux et non gouvernementaux à ces objectifs</w:t>
      </w:r>
      <w:r w:rsidRPr="00DB032F">
        <w:rPr>
          <w:sz w:val="18"/>
          <w:szCs w:val="18"/>
          <w:lang w:val="fr-CA"/>
        </w:rPr>
        <w:t>. </w:t>
      </w:r>
    </w:p>
  </w:footnote>
  <w:footnote w:id="43">
    <w:p w14:paraId="062A2F29" w14:textId="0316224B" w:rsidR="006C7F81" w:rsidRPr="00DB032F" w:rsidRDefault="006C7F81" w:rsidP="007A03BF">
      <w:pPr>
        <w:spacing w:after="60"/>
        <w:rPr>
          <w:color w:val="C45911" w:themeColor="accent2" w:themeShade="BF"/>
          <w:sz w:val="18"/>
          <w:szCs w:val="18"/>
          <w:lang w:val="fr-CA"/>
        </w:rPr>
      </w:pPr>
      <w:r w:rsidRPr="00DB032F">
        <w:rPr>
          <w:rStyle w:val="Appelnotedebasdep"/>
          <w:szCs w:val="18"/>
          <w:u w:val="none"/>
          <w:vertAlign w:val="superscript"/>
          <w:lang w:val="fr-CA"/>
        </w:rPr>
        <w:footnoteRef/>
      </w:r>
      <w:r w:rsidRPr="00DB032F">
        <w:rPr>
          <w:sz w:val="18"/>
          <w:szCs w:val="18"/>
          <w:lang w:val="fr-CA"/>
        </w:rPr>
        <w:t xml:space="preserve"> </w:t>
      </w:r>
      <w:r>
        <w:rPr>
          <w:sz w:val="18"/>
          <w:szCs w:val="18"/>
          <w:lang w:val="fr-CA"/>
        </w:rPr>
        <w:t>Le développement de cadres intégrés de financement national a reçu le soutien des États membres des Nations Unies au Programme d’action d’Addis-Abeba, considéré comme étant au cœur des efforts pour financer le Programme de développement durable à l’horizon 2030</w:t>
      </w:r>
      <w:r w:rsidRPr="00DB032F">
        <w:rPr>
          <w:sz w:val="18"/>
          <w:szCs w:val="18"/>
          <w:lang w:val="fr-CA"/>
        </w:rPr>
        <w:t>.</w:t>
      </w:r>
    </w:p>
  </w:footnote>
  <w:footnote w:id="44">
    <w:p w14:paraId="1B5FF7BC" w14:textId="0B8268BC" w:rsidR="006C7F81" w:rsidRPr="00DB032F" w:rsidRDefault="006C7F81" w:rsidP="006C3811">
      <w:pPr>
        <w:pStyle w:val="Notedebasdepage"/>
        <w:ind w:firstLine="0"/>
        <w:rPr>
          <w:color w:val="C45911" w:themeColor="accent2" w:themeShade="BF"/>
          <w:szCs w:val="18"/>
          <w:lang w:val="fr-CA"/>
        </w:rPr>
      </w:pPr>
      <w:r w:rsidRPr="00DB032F">
        <w:rPr>
          <w:rStyle w:val="Appelnotedebasdep"/>
          <w:szCs w:val="18"/>
          <w:u w:val="none"/>
          <w:vertAlign w:val="superscript"/>
          <w:lang w:val="fr-CA"/>
        </w:rPr>
        <w:footnoteRef/>
      </w:r>
      <w:r w:rsidRPr="00DB032F">
        <w:rPr>
          <w:color w:val="000000" w:themeColor="text1"/>
          <w:szCs w:val="18"/>
          <w:lang w:val="fr-CA"/>
        </w:rPr>
        <w:t xml:space="preserve"> </w:t>
      </w:r>
      <w:r>
        <w:rPr>
          <w:color w:val="000000" w:themeColor="text1"/>
          <w:szCs w:val="18"/>
          <w:lang w:val="fr-CA"/>
        </w:rPr>
        <w:t xml:space="preserve">Selon le </w:t>
      </w:r>
      <w:r w:rsidRPr="00775A33">
        <w:rPr>
          <w:i/>
          <w:szCs w:val="18"/>
          <w:lang w:val="fr-CA"/>
        </w:rPr>
        <w:t>Rapport de l’évaluation mondiale de la biodiversité et des services écosystémiques</w:t>
      </w:r>
      <w:r>
        <w:rPr>
          <w:szCs w:val="18"/>
          <w:lang w:val="fr-CA"/>
        </w:rPr>
        <w:t xml:space="preserve"> de l’IPBES, on estime que les solutions fondées sur la nature devraient pouvoir contribuer de 30 à 36 pour cent de l’atténuation climatique nécessaire</w:t>
      </w:r>
      <w:r w:rsidRPr="00DB032F">
        <w:rPr>
          <w:szCs w:val="18"/>
          <w:lang w:val="fr-CA"/>
        </w:rPr>
        <w:t>.</w:t>
      </w:r>
    </w:p>
  </w:footnote>
  <w:footnote w:id="45">
    <w:p w14:paraId="2FF159AF" w14:textId="2C9A4393" w:rsidR="006C7F81" w:rsidRPr="002B52EA" w:rsidRDefault="006C7F81" w:rsidP="00A43CD6">
      <w:pPr>
        <w:spacing w:after="60"/>
        <w:rPr>
          <w:color w:val="000000" w:themeColor="text1"/>
          <w:sz w:val="18"/>
          <w:szCs w:val="18"/>
          <w:lang w:val="fr-CA"/>
        </w:rPr>
      </w:pPr>
      <w:r w:rsidRPr="006C3811">
        <w:rPr>
          <w:rStyle w:val="Appelnotedebasdep"/>
          <w:szCs w:val="18"/>
          <w:u w:val="none"/>
          <w:vertAlign w:val="superscript"/>
        </w:rPr>
        <w:footnoteRef/>
      </w:r>
      <w:r w:rsidRPr="00BD553D">
        <w:rPr>
          <w:color w:val="000000" w:themeColor="text1"/>
          <w:sz w:val="18"/>
          <w:szCs w:val="18"/>
          <w:lang w:val="fr-CA"/>
        </w:rPr>
        <w:t xml:space="preserve"> P</w:t>
      </w:r>
      <w:r>
        <w:rPr>
          <w:color w:val="000000" w:themeColor="text1"/>
          <w:sz w:val="18"/>
          <w:szCs w:val="18"/>
          <w:lang w:val="fr-CA"/>
        </w:rPr>
        <w:t xml:space="preserve">our plus de renseignements sur une méthode pour élaborer un plan de financement national de la biodiversité, consultez le cahier de travail </w:t>
      </w:r>
      <w:proofErr w:type="spellStart"/>
      <w:r>
        <w:rPr>
          <w:color w:val="000000" w:themeColor="text1"/>
          <w:sz w:val="18"/>
          <w:szCs w:val="18"/>
          <w:lang w:val="fr-CA"/>
        </w:rPr>
        <w:t>BIOFIN</w:t>
      </w:r>
      <w:proofErr w:type="spellEnd"/>
      <w:r>
        <w:rPr>
          <w:color w:val="000000" w:themeColor="text1"/>
          <w:sz w:val="18"/>
          <w:szCs w:val="18"/>
          <w:lang w:val="fr-CA"/>
        </w:rPr>
        <w:t xml:space="preserve"> 2018 à </w:t>
      </w:r>
      <w:r w:rsidRPr="00BD553D">
        <w:rPr>
          <w:color w:val="000000" w:themeColor="text1"/>
          <w:sz w:val="18"/>
          <w:szCs w:val="18"/>
          <w:lang w:val="fr-CA"/>
        </w:rPr>
        <w:t xml:space="preserve">: </w:t>
      </w:r>
      <w:r>
        <w:rPr>
          <w:color w:val="000000" w:themeColor="text1"/>
          <w:sz w:val="18"/>
          <w:szCs w:val="18"/>
          <w:lang w:val="fr-CA"/>
        </w:rPr>
        <w:t xml:space="preserve">https://www.biodiversityfinance.net/sites/default/files/contect/publications/BIOFIN%20Workbook%202018_0.pdf </w:t>
      </w:r>
      <w:r w:rsidRPr="002B52EA">
        <w:rPr>
          <w:sz w:val="18"/>
          <w:szCs w:val="18"/>
          <w:lang w:val="fr-CA"/>
        </w:rPr>
        <w:t>.</w:t>
      </w:r>
    </w:p>
  </w:footnote>
  <w:footnote w:id="46">
    <w:p w14:paraId="2F2CBD6D" w14:textId="05318DA7" w:rsidR="006C7F81" w:rsidRPr="005F07A5" w:rsidRDefault="006C7F81" w:rsidP="006C3811">
      <w:pPr>
        <w:pStyle w:val="Pieddepage"/>
        <w:spacing w:after="60"/>
        <w:ind w:firstLine="0"/>
        <w:jc w:val="left"/>
        <w:rPr>
          <w:sz w:val="18"/>
          <w:szCs w:val="18"/>
          <w:lang w:val="fr-CA"/>
        </w:rPr>
      </w:pPr>
      <w:r w:rsidRPr="00C14D97">
        <w:rPr>
          <w:rStyle w:val="Appelnotedebasdep"/>
          <w:szCs w:val="18"/>
          <w:u w:val="none"/>
          <w:vertAlign w:val="superscript"/>
        </w:rPr>
        <w:footnoteRef/>
      </w:r>
      <w:r w:rsidRPr="00F50B1B">
        <w:rPr>
          <w:sz w:val="18"/>
          <w:szCs w:val="18"/>
          <w:lang w:val="fr-CA"/>
        </w:rPr>
        <w:t xml:space="preserve"> </w:t>
      </w:r>
      <w:r w:rsidRPr="005F07A5">
        <w:rPr>
          <w:sz w:val="18"/>
          <w:szCs w:val="18"/>
          <w:lang w:val="fr-CA"/>
        </w:rPr>
        <w:t>Décision 14/23.</w:t>
      </w:r>
    </w:p>
  </w:footnote>
  <w:footnote w:id="47">
    <w:p w14:paraId="626BBDE9" w14:textId="5F6C8FEB" w:rsidR="006C7F81" w:rsidRPr="005F07A5" w:rsidRDefault="006C7F81" w:rsidP="006C3811">
      <w:pPr>
        <w:pStyle w:val="Pieddepage"/>
        <w:spacing w:after="60"/>
        <w:ind w:firstLine="0"/>
        <w:jc w:val="left"/>
        <w:rPr>
          <w:sz w:val="18"/>
          <w:szCs w:val="18"/>
          <w:lang w:val="fr-CA"/>
        </w:rPr>
      </w:pPr>
      <w:r w:rsidRPr="005F07A5">
        <w:rPr>
          <w:rStyle w:val="Appelnotedebasdep"/>
          <w:szCs w:val="18"/>
          <w:u w:val="none"/>
          <w:vertAlign w:val="superscript"/>
          <w:lang w:val="fr-CA"/>
        </w:rPr>
        <w:footnoteRef/>
      </w:r>
      <w:r w:rsidRPr="005F07A5">
        <w:rPr>
          <w:sz w:val="18"/>
          <w:szCs w:val="18"/>
          <w:lang w:val="fr-CA"/>
        </w:rPr>
        <w:t xml:space="preserve"> </w:t>
      </w:r>
      <w:r>
        <w:rPr>
          <w:sz w:val="18"/>
          <w:szCs w:val="18"/>
          <w:lang w:val="fr-CA"/>
        </w:rPr>
        <w:t>Le FEM a investi, au total, plus de 3,5 milliards $US pour la conservation et l’utilisation durable de la biodiversité. Cet investissement a permis d’obtenir plus de 10 milliards $US en fonds supplémentaires, en appui à 1 300 projets dans plus de 155 pays.</w:t>
      </w:r>
    </w:p>
  </w:footnote>
  <w:footnote w:id="48">
    <w:p w14:paraId="77860153" w14:textId="1465418F" w:rsidR="006C7F81" w:rsidRPr="005F07A5" w:rsidRDefault="006C7F81" w:rsidP="00EC07F9">
      <w:pPr>
        <w:pStyle w:val="Notedebasdepage"/>
        <w:ind w:firstLine="0"/>
        <w:rPr>
          <w:szCs w:val="18"/>
          <w:lang w:val="fr-CA"/>
        </w:rPr>
      </w:pPr>
      <w:r w:rsidRPr="005F07A5">
        <w:rPr>
          <w:rStyle w:val="Appelnotedebasdep"/>
          <w:szCs w:val="18"/>
          <w:u w:val="none"/>
          <w:vertAlign w:val="superscript"/>
          <w:lang w:val="fr-CA"/>
        </w:rPr>
        <w:footnoteRef/>
      </w:r>
      <w:r w:rsidRPr="005F07A5">
        <w:rPr>
          <w:szCs w:val="18"/>
          <w:lang w:val="fr-CA"/>
        </w:rPr>
        <w:t xml:space="preserve"> </w:t>
      </w:r>
      <w:r>
        <w:rPr>
          <w:szCs w:val="18"/>
          <w:lang w:val="fr-CA"/>
        </w:rPr>
        <w:t>Créé en 2010 par la Convention-cadre des Nations Unies sur les changements climatiques (https://www.greenclimate.fund/</w:t>
      </w:r>
      <w:r w:rsidRPr="005F07A5">
        <w:rPr>
          <w:szCs w:val="18"/>
          <w:lang w:val="fr-CA"/>
        </w:rPr>
        <w:t>).</w:t>
      </w:r>
    </w:p>
  </w:footnote>
  <w:footnote w:id="49">
    <w:p w14:paraId="5A618024" w14:textId="1FA3CA54" w:rsidR="006C7F81" w:rsidRPr="00617132" w:rsidRDefault="006C7F81" w:rsidP="006C3811">
      <w:pPr>
        <w:pStyle w:val="Pieddepage"/>
        <w:spacing w:after="60"/>
        <w:ind w:firstLine="0"/>
        <w:jc w:val="left"/>
        <w:rPr>
          <w:sz w:val="18"/>
          <w:szCs w:val="18"/>
          <w:lang w:val="fr-CA"/>
        </w:rPr>
      </w:pPr>
      <w:r w:rsidRPr="00483489">
        <w:rPr>
          <w:rStyle w:val="Appelnotedebasdep"/>
          <w:szCs w:val="18"/>
          <w:u w:val="none"/>
          <w:vertAlign w:val="superscript"/>
        </w:rPr>
        <w:footnoteRef/>
      </w:r>
      <w:r w:rsidRPr="00617132">
        <w:rPr>
          <w:sz w:val="18"/>
          <w:szCs w:val="18"/>
          <w:lang w:val="fr-CA"/>
        </w:rPr>
        <w:t xml:space="preserve"> </w:t>
      </w:r>
      <w:r>
        <w:rPr>
          <w:sz w:val="18"/>
          <w:szCs w:val="18"/>
          <w:lang w:val="fr-CA"/>
        </w:rPr>
        <w:t>En réponse à la décision 14/29</w:t>
      </w:r>
      <w:r w:rsidRPr="00617132">
        <w:rPr>
          <w:sz w:val="18"/>
          <w:szCs w:val="18"/>
          <w:lang w:val="fr-CA"/>
        </w:rPr>
        <w:t>.</w:t>
      </w:r>
    </w:p>
  </w:footnote>
  <w:footnote w:id="50">
    <w:p w14:paraId="697DBF84" w14:textId="37A0F981" w:rsidR="006C7F81" w:rsidRPr="00F50B1B" w:rsidRDefault="006C7F81" w:rsidP="006C3811">
      <w:pPr>
        <w:pStyle w:val="Pieddepage"/>
        <w:spacing w:after="60"/>
        <w:ind w:firstLine="0"/>
        <w:jc w:val="left"/>
        <w:rPr>
          <w:sz w:val="18"/>
          <w:szCs w:val="18"/>
          <w:lang w:val="fr-CA"/>
        </w:rPr>
      </w:pPr>
      <w:r w:rsidRPr="00483489">
        <w:rPr>
          <w:rStyle w:val="Appelnotedebasdep"/>
          <w:szCs w:val="18"/>
          <w:u w:val="none"/>
          <w:vertAlign w:val="superscript"/>
        </w:rPr>
        <w:footnoteRef/>
      </w:r>
      <w:r w:rsidRPr="00617132">
        <w:rPr>
          <w:sz w:val="18"/>
          <w:szCs w:val="18"/>
          <w:lang w:val="fr-CA"/>
        </w:rPr>
        <w:t xml:space="preserve"> CBD</w:t>
      </w:r>
      <w:r w:rsidRPr="00F50B1B">
        <w:rPr>
          <w:sz w:val="18"/>
          <w:szCs w:val="18"/>
          <w:lang w:val="fr-CA"/>
        </w:rPr>
        <w:t>/POST2020/</w:t>
      </w:r>
      <w:proofErr w:type="spellStart"/>
      <w:r w:rsidRPr="00F50B1B">
        <w:rPr>
          <w:sz w:val="18"/>
          <w:szCs w:val="18"/>
          <w:lang w:val="fr-CA"/>
        </w:rPr>
        <w:t>WS</w:t>
      </w:r>
      <w:proofErr w:type="spellEnd"/>
      <w:r w:rsidRPr="00F50B1B">
        <w:rPr>
          <w:sz w:val="18"/>
          <w:szCs w:val="18"/>
          <w:lang w:val="fr-CA"/>
        </w:rPr>
        <w:t>/2020/1/3.</w:t>
      </w:r>
    </w:p>
  </w:footnote>
  <w:footnote w:id="51">
    <w:p w14:paraId="7A0B4182" w14:textId="296FCEDE" w:rsidR="006C7F81" w:rsidRPr="001C2DDB" w:rsidRDefault="006C7F81" w:rsidP="006C3811">
      <w:pPr>
        <w:pStyle w:val="Pieddepage"/>
        <w:spacing w:after="60"/>
        <w:ind w:firstLine="0"/>
        <w:jc w:val="left"/>
        <w:rPr>
          <w:lang w:val="fr-CA"/>
        </w:rPr>
      </w:pPr>
      <w:r w:rsidRPr="006C3811">
        <w:rPr>
          <w:rStyle w:val="Appelnotedebasdep"/>
          <w:szCs w:val="18"/>
          <w:u w:val="none"/>
          <w:vertAlign w:val="superscript"/>
        </w:rPr>
        <w:footnoteRef/>
      </w:r>
      <w:r w:rsidRPr="001C2DDB">
        <w:rPr>
          <w:sz w:val="18"/>
          <w:szCs w:val="18"/>
          <w:lang w:val="fr-CA"/>
        </w:rPr>
        <w:t xml:space="preserve"> </w:t>
      </w:r>
      <w:r>
        <w:rPr>
          <w:sz w:val="18"/>
          <w:szCs w:val="18"/>
          <w:lang w:val="fr-CA"/>
        </w:rPr>
        <w:t>Il existe un besoin d’information plus normalisée pouvant être comparée d’un pays à l’autre. Par la même occasion, une part importante de l’information recueillie sur la mobilisation des ressources peut être utilisée aux fins de planification nationale (p. ex., pour soutenir le développement et la mise en œuvre de stratégies nationales de mobilisation des ressources) et pour cette raison, n’aurait pas besoin d’être normalisée</w:t>
      </w:r>
      <w:r w:rsidRPr="001C2DDB">
        <w:rPr>
          <w:sz w:val="18"/>
          <w:szCs w:val="18"/>
          <w:lang w:val="fr-CA"/>
        </w:rPr>
        <w:t xml:space="preserve">. </w:t>
      </w:r>
      <w:r>
        <w:rPr>
          <w:sz w:val="18"/>
          <w:szCs w:val="18"/>
          <w:lang w:val="fr-CA"/>
        </w:rPr>
        <w:t>L’information pourrait se révéler plus utile aux niveaux national et infranational si elle était recueillie et analysée en utilisant une méthodologie adaptée à l’usage prévu correspondant aux besoins du pays. Cette tension entre le besoin de normalisation et le besoin d’une approche nationale sur mesure devra être abordée.</w:t>
      </w:r>
    </w:p>
  </w:footnote>
  <w:footnote w:id="52">
    <w:p w14:paraId="35A0CB46" w14:textId="1AC4E786" w:rsidR="006C7F81" w:rsidRPr="00042D63" w:rsidRDefault="006C7F81" w:rsidP="006C3811">
      <w:pPr>
        <w:spacing w:after="60"/>
        <w:rPr>
          <w:sz w:val="20"/>
          <w:szCs w:val="20"/>
          <w:lang w:val="fr-CA"/>
        </w:rPr>
      </w:pPr>
      <w:r w:rsidRPr="00EC07F9">
        <w:rPr>
          <w:rStyle w:val="Appelnotedebasdep"/>
          <w:szCs w:val="18"/>
          <w:u w:val="none"/>
          <w:vertAlign w:val="superscript"/>
        </w:rPr>
        <w:footnoteRef/>
      </w:r>
      <w:r w:rsidRPr="00042D63">
        <w:rPr>
          <w:sz w:val="18"/>
          <w:szCs w:val="18"/>
          <w:lang w:val="fr-CA"/>
        </w:rPr>
        <w:t xml:space="preserve"> </w:t>
      </w:r>
      <w:r>
        <w:rPr>
          <w:sz w:val="18"/>
          <w:szCs w:val="18"/>
          <w:lang w:val="fr-CA"/>
        </w:rPr>
        <w:t>Les objectifs n</w:t>
      </w:r>
      <w:r w:rsidRPr="00042D63">
        <w:rPr>
          <w:sz w:val="18"/>
          <w:szCs w:val="18"/>
          <w:lang w:val="fr-CA"/>
        </w:rPr>
        <w:t>e réuniront pas explicitemen</w:t>
      </w:r>
      <w:r>
        <w:rPr>
          <w:sz w:val="18"/>
          <w:szCs w:val="18"/>
          <w:lang w:val="fr-CA"/>
        </w:rPr>
        <w:t>t toutes</w:t>
      </w:r>
      <w:r w:rsidRPr="00042D63">
        <w:rPr>
          <w:sz w:val="18"/>
          <w:szCs w:val="18"/>
          <w:lang w:val="fr-CA"/>
        </w:rPr>
        <w:t xml:space="preserve"> </w:t>
      </w:r>
      <w:r>
        <w:rPr>
          <w:sz w:val="18"/>
          <w:szCs w:val="18"/>
          <w:lang w:val="fr-CA"/>
        </w:rPr>
        <w:t>les actions, car certaines acti</w:t>
      </w:r>
      <w:r w:rsidRPr="00042D63">
        <w:rPr>
          <w:sz w:val="18"/>
          <w:szCs w:val="18"/>
          <w:lang w:val="fr-CA"/>
        </w:rPr>
        <w:t xml:space="preserve">ons </w:t>
      </w:r>
      <w:r>
        <w:rPr>
          <w:sz w:val="18"/>
          <w:szCs w:val="18"/>
          <w:lang w:val="fr-CA"/>
        </w:rPr>
        <w:t>facilitent la mise en œuvre des autres</w:t>
      </w:r>
      <w:r w:rsidRPr="00042D63">
        <w:rPr>
          <w:sz w:val="18"/>
          <w:szCs w:val="18"/>
          <w:lang w:val="fr-CA"/>
        </w:rPr>
        <w:t xml:space="preserve">. </w:t>
      </w:r>
    </w:p>
  </w:footnote>
  <w:footnote w:id="53">
    <w:p w14:paraId="228ABEB6" w14:textId="68846DBC" w:rsidR="006C7F81" w:rsidRPr="000148BE" w:rsidRDefault="006C7F81" w:rsidP="000148BE">
      <w:pPr>
        <w:pStyle w:val="Notedebasdepage"/>
        <w:suppressLineNumbers/>
        <w:suppressAutoHyphens/>
        <w:ind w:firstLine="0"/>
        <w:rPr>
          <w:kern w:val="18"/>
          <w:szCs w:val="18"/>
          <w:lang w:val="fr-CA"/>
        </w:rPr>
      </w:pPr>
      <w:r w:rsidRPr="000A37BF">
        <w:rPr>
          <w:rStyle w:val="Appelnotedebasdep"/>
          <w:kern w:val="18"/>
          <w:szCs w:val="18"/>
          <w:u w:val="none"/>
          <w:vertAlign w:val="superscript"/>
          <w:lang w:val="en-GB"/>
        </w:rPr>
        <w:footnoteRef/>
      </w:r>
      <w:r w:rsidRPr="000148BE">
        <w:rPr>
          <w:kern w:val="18"/>
          <w:szCs w:val="18"/>
          <w:lang w:val="fr-CA"/>
        </w:rPr>
        <w:t xml:space="preserve"> </w:t>
      </w:r>
      <w:r>
        <w:rPr>
          <w:bCs/>
          <w:kern w:val="18"/>
          <w:szCs w:val="18"/>
          <w:lang w:val="fr-CA"/>
        </w:rPr>
        <w:t>L’indicateur pourrait être exprimé de plusieurs façons, par exemple sous forme de pourcentage du PIB mondial ou de nombre absolu lié à l’estimation des besoins, reposant sur les autres objectifs mentionnés dans ce cadre, au moment de la détermination.</w:t>
      </w:r>
    </w:p>
  </w:footnote>
  <w:footnote w:id="54">
    <w:p w14:paraId="52024ECA" w14:textId="09BC1903" w:rsidR="006C7F81" w:rsidRPr="00AB6C49" w:rsidRDefault="006C7F81" w:rsidP="00331395">
      <w:pPr>
        <w:pStyle w:val="Notedebasdepage"/>
        <w:ind w:firstLine="0"/>
        <w:rPr>
          <w:lang w:val="fr-CA"/>
        </w:rPr>
      </w:pPr>
      <w:r w:rsidRPr="00E275C0">
        <w:rPr>
          <w:rStyle w:val="Appelnotedebasdep"/>
          <w:u w:val="none"/>
          <w:vertAlign w:val="superscript"/>
        </w:rPr>
        <w:footnoteRef/>
      </w:r>
      <w:r w:rsidRPr="00B2403C">
        <w:rPr>
          <w:lang w:val="fr-CA"/>
        </w:rPr>
        <w:t xml:space="preserve"> </w:t>
      </w:r>
      <w:r w:rsidRPr="00B2403C">
        <w:rPr>
          <w:rFonts w:cstheme="majorHAnsi"/>
          <w:color w:val="000000" w:themeColor="text1"/>
          <w:szCs w:val="18"/>
          <w:lang w:val="fr-CA"/>
        </w:rPr>
        <w:t xml:space="preserve">OCDE (2020). </w:t>
      </w:r>
      <w:proofErr w:type="spellStart"/>
      <w:r w:rsidRPr="00AF1087">
        <w:rPr>
          <w:rFonts w:cstheme="majorHAnsi"/>
          <w:i/>
          <w:color w:val="000000" w:themeColor="text1"/>
          <w:szCs w:val="18"/>
          <w:lang w:val="fr-CA"/>
        </w:rPr>
        <w:t>A</w:t>
      </w:r>
      <w:proofErr w:type="spellEnd"/>
      <w:r w:rsidRPr="00AF1087">
        <w:rPr>
          <w:rFonts w:cstheme="majorHAnsi"/>
          <w:i/>
          <w:color w:val="000000" w:themeColor="text1"/>
          <w:szCs w:val="18"/>
          <w:lang w:val="fr-CA"/>
        </w:rPr>
        <w:t xml:space="preserve"> </w:t>
      </w:r>
      <w:proofErr w:type="spellStart"/>
      <w:r w:rsidRPr="00AF1087">
        <w:rPr>
          <w:rFonts w:cstheme="majorHAnsi"/>
          <w:i/>
          <w:color w:val="000000" w:themeColor="text1"/>
          <w:szCs w:val="18"/>
          <w:lang w:val="fr-CA"/>
        </w:rPr>
        <w:t>Comprehensive</w:t>
      </w:r>
      <w:proofErr w:type="spellEnd"/>
      <w:r w:rsidRPr="00AF1087">
        <w:rPr>
          <w:rFonts w:cstheme="majorHAnsi"/>
          <w:i/>
          <w:color w:val="000000" w:themeColor="text1"/>
          <w:szCs w:val="18"/>
          <w:lang w:val="fr-CA"/>
        </w:rPr>
        <w:t xml:space="preserve"> </w:t>
      </w:r>
      <w:proofErr w:type="spellStart"/>
      <w:r w:rsidRPr="00AF1087">
        <w:rPr>
          <w:rFonts w:cstheme="majorHAnsi"/>
          <w:i/>
          <w:color w:val="000000" w:themeColor="text1"/>
          <w:szCs w:val="18"/>
          <w:lang w:val="fr-CA"/>
        </w:rPr>
        <w:t>Overview</w:t>
      </w:r>
      <w:proofErr w:type="spellEnd"/>
      <w:r w:rsidR="00AB6C49">
        <w:rPr>
          <w:rFonts w:cstheme="majorHAnsi"/>
          <w:i/>
          <w:color w:val="000000" w:themeColor="text1"/>
          <w:szCs w:val="18"/>
          <w:lang w:val="fr-CA"/>
        </w:rPr>
        <w:t xml:space="preserve"> of Global </w:t>
      </w:r>
      <w:proofErr w:type="spellStart"/>
      <w:r w:rsidR="00AB6C49">
        <w:rPr>
          <w:rFonts w:cstheme="majorHAnsi"/>
          <w:i/>
          <w:color w:val="000000" w:themeColor="text1"/>
          <w:szCs w:val="18"/>
          <w:lang w:val="fr-CA"/>
        </w:rPr>
        <w:t>Biodiversity</w:t>
      </w:r>
      <w:proofErr w:type="spellEnd"/>
      <w:r w:rsidR="00AB6C49">
        <w:rPr>
          <w:rFonts w:cstheme="majorHAnsi"/>
          <w:i/>
          <w:color w:val="000000" w:themeColor="text1"/>
          <w:szCs w:val="18"/>
          <w:lang w:val="fr-CA"/>
        </w:rPr>
        <w:t xml:space="preserve"> Finance. </w:t>
      </w:r>
      <w:r w:rsidR="00AB6C49" w:rsidRPr="00AB6C49">
        <w:rPr>
          <w:rFonts w:cstheme="majorHAnsi"/>
          <w:color w:val="000000" w:themeColor="text1"/>
          <w:szCs w:val="18"/>
          <w:lang w:val="fr-CA"/>
        </w:rPr>
        <w:t>Rapport final, avril 2020</w:t>
      </w:r>
      <w:r w:rsidRPr="00AB6C49">
        <w:rPr>
          <w:rFonts w:cstheme="majorHAnsi"/>
          <w:color w:val="000000" w:themeColor="text1"/>
          <w:szCs w:val="18"/>
          <w:lang w:val="fr-CA"/>
        </w:rPr>
        <w:t>.</w:t>
      </w:r>
    </w:p>
  </w:footnote>
  <w:footnote w:id="55">
    <w:p w14:paraId="2DEDDA02" w14:textId="1302AB95" w:rsidR="006C7F81" w:rsidRPr="009D7645" w:rsidRDefault="006C7F81" w:rsidP="00D305E9">
      <w:pPr>
        <w:pStyle w:val="Notedebasdepage"/>
        <w:ind w:firstLine="0"/>
        <w:rPr>
          <w:lang w:val="fr-CA"/>
        </w:rPr>
      </w:pPr>
      <w:r w:rsidRPr="006C3811">
        <w:rPr>
          <w:rStyle w:val="Appelnotedebasdep"/>
          <w:u w:val="none"/>
          <w:vertAlign w:val="superscript"/>
        </w:rPr>
        <w:footnoteRef/>
      </w:r>
      <w:r w:rsidRPr="009D7645">
        <w:rPr>
          <w:lang w:val="fr-CA"/>
        </w:rPr>
        <w:t xml:space="preserve"> CBD/</w:t>
      </w:r>
      <w:proofErr w:type="spellStart"/>
      <w:r w:rsidRPr="009D7645">
        <w:rPr>
          <w:lang w:val="fr-CA"/>
        </w:rPr>
        <w:t>SBI</w:t>
      </w:r>
      <w:proofErr w:type="spellEnd"/>
      <w:r w:rsidRPr="009D7645">
        <w:rPr>
          <w:lang w:val="fr-CA"/>
        </w:rPr>
        <w:t>/3/</w:t>
      </w:r>
      <w:proofErr w:type="spellStart"/>
      <w:r w:rsidRPr="009D7645">
        <w:rPr>
          <w:lang w:val="fr-CA"/>
        </w:rPr>
        <w:t>INF</w:t>
      </w:r>
      <w:proofErr w:type="spellEnd"/>
      <w:r w:rsidRPr="009D7645">
        <w:rPr>
          <w:lang w:val="fr-CA"/>
        </w:rPr>
        <w:t>/2 (premier rapport complet); CBD/</w:t>
      </w:r>
      <w:proofErr w:type="spellStart"/>
      <w:r w:rsidRPr="009D7645">
        <w:rPr>
          <w:lang w:val="fr-CA"/>
        </w:rPr>
        <w:t>SBI</w:t>
      </w:r>
      <w:proofErr w:type="spellEnd"/>
      <w:r w:rsidRPr="009D7645">
        <w:rPr>
          <w:lang w:val="fr-CA"/>
        </w:rPr>
        <w:t>/3/5/Add.1 (sommaire).</w:t>
      </w:r>
    </w:p>
  </w:footnote>
  <w:footnote w:id="56">
    <w:p w14:paraId="078F7DF6" w14:textId="470E3D25" w:rsidR="006C7F81" w:rsidRPr="009D7645" w:rsidRDefault="006C7F81" w:rsidP="00E275C0">
      <w:pPr>
        <w:pStyle w:val="Notedebasdepage"/>
        <w:ind w:firstLine="0"/>
        <w:rPr>
          <w:lang w:val="fr-CA"/>
        </w:rPr>
      </w:pPr>
      <w:r w:rsidRPr="009D7645">
        <w:rPr>
          <w:rStyle w:val="Appelnotedebasdep"/>
          <w:u w:val="none"/>
          <w:vertAlign w:val="superscript"/>
          <w:lang w:val="fr-CA"/>
        </w:rPr>
        <w:footnoteRef/>
      </w:r>
      <w:r w:rsidRPr="009D7645">
        <w:rPr>
          <w:lang w:val="fr-CA"/>
        </w:rPr>
        <w:t xml:space="preserve"> Adopté à la décision XII/3.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napToGrid w:val="0"/>
        <w:kern w:val="22"/>
        <w:sz w:val="22"/>
        <w:szCs w:val="22"/>
        <w:lang w:val="en-GB"/>
      </w:rPr>
      <w:alias w:val="Subject"/>
      <w:tag w:val=""/>
      <w:id w:val="1133753265"/>
      <w:placeholder>
        <w:docPart w:val="25677F2E74A84738BE8D1B89523AA004"/>
      </w:placeholder>
      <w:dataBinding w:prefixMappings="xmlns:ns0='http://purl.org/dc/elements/1.1/' xmlns:ns1='http://schemas.openxmlformats.org/package/2006/metadata/core-properties' " w:xpath="/ns1:coreProperties[1]/ns0:subject[1]" w:storeItemID="{6C3C8BC8-F283-45AE-878A-BAB7291924A1}"/>
      <w:text/>
    </w:sdtPr>
    <w:sdtContent>
      <w:p w14:paraId="7900442D" w14:textId="77777777" w:rsidR="006C7F81" w:rsidRPr="00BB36C7" w:rsidRDefault="006C7F81" w:rsidP="00BB36C7">
        <w:pPr>
          <w:suppressLineNumbers/>
          <w:suppressAutoHyphens/>
          <w:rPr>
            <w:snapToGrid w:val="0"/>
            <w:kern w:val="22"/>
            <w:sz w:val="22"/>
            <w:szCs w:val="22"/>
            <w:lang w:val="en-GB"/>
          </w:rPr>
        </w:pPr>
        <w:r w:rsidRPr="00BB36C7">
          <w:rPr>
            <w:snapToGrid w:val="0"/>
            <w:kern w:val="22"/>
            <w:sz w:val="22"/>
            <w:szCs w:val="22"/>
            <w:lang w:val="en-GB"/>
          </w:rPr>
          <w:t>CBD/</w:t>
        </w:r>
        <w:proofErr w:type="spellStart"/>
        <w:r w:rsidRPr="00BB36C7">
          <w:rPr>
            <w:snapToGrid w:val="0"/>
            <w:kern w:val="22"/>
            <w:sz w:val="22"/>
            <w:szCs w:val="22"/>
            <w:lang w:val="en-GB"/>
          </w:rPr>
          <w:t>SBI</w:t>
        </w:r>
        <w:proofErr w:type="spellEnd"/>
        <w:r w:rsidRPr="00BB36C7">
          <w:rPr>
            <w:snapToGrid w:val="0"/>
            <w:kern w:val="22"/>
            <w:sz w:val="22"/>
            <w:szCs w:val="22"/>
            <w:lang w:val="en-GB"/>
          </w:rPr>
          <w:t>/3/5/Add.3</w:t>
        </w:r>
      </w:p>
    </w:sdtContent>
  </w:sdt>
  <w:p w14:paraId="15BB9849" w14:textId="04D13510" w:rsidR="006C7F81" w:rsidRDefault="006C7F81" w:rsidP="00BB36C7">
    <w:pPr>
      <w:pStyle w:val="En-tte"/>
      <w:suppressLineNumbers/>
      <w:tabs>
        <w:tab w:val="clear" w:pos="4320"/>
        <w:tab w:val="clear" w:pos="8640"/>
      </w:tabs>
      <w:suppressAutoHyphens/>
      <w:rPr>
        <w:bCs/>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A73CEB">
      <w:rPr>
        <w:bCs/>
        <w:noProof/>
        <w:kern w:val="22"/>
        <w:sz w:val="22"/>
        <w:szCs w:val="22"/>
        <w:lang w:val="en-GB"/>
      </w:rPr>
      <w:t>18</w:t>
    </w:r>
    <w:r w:rsidRPr="00ED543F">
      <w:rPr>
        <w:bCs/>
        <w:noProof/>
        <w:kern w:val="22"/>
        <w:sz w:val="22"/>
        <w:szCs w:val="22"/>
        <w:lang w:val="en-GB"/>
      </w:rPr>
      <w:fldChar w:fldCharType="end"/>
    </w:r>
  </w:p>
  <w:p w14:paraId="68ED4DC6" w14:textId="77777777" w:rsidR="006C7F81" w:rsidRPr="00ED543F" w:rsidRDefault="006C7F81" w:rsidP="00BB36C7">
    <w:pPr>
      <w:pStyle w:val="En-tte"/>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napToGrid w:val="0"/>
        <w:kern w:val="22"/>
        <w:sz w:val="22"/>
        <w:szCs w:val="22"/>
        <w:lang w:val="en-GB"/>
      </w:rPr>
      <w:alias w:val="Subject"/>
      <w:tag w:val=""/>
      <w:id w:val="-524253735"/>
      <w:placeholder>
        <w:docPart w:val="DC359E173DA34D28B55ADB18669B1879"/>
      </w:placeholder>
      <w:dataBinding w:prefixMappings="xmlns:ns0='http://purl.org/dc/elements/1.1/' xmlns:ns1='http://schemas.openxmlformats.org/package/2006/metadata/core-properties' " w:xpath="/ns1:coreProperties[1]/ns0:subject[1]" w:storeItemID="{6C3C8BC8-F283-45AE-878A-BAB7291924A1}"/>
      <w:text/>
    </w:sdtPr>
    <w:sdtContent>
      <w:p w14:paraId="19B922F4" w14:textId="77777777" w:rsidR="006C7F81" w:rsidRPr="002003CC" w:rsidRDefault="006C7F81" w:rsidP="00BB36C7">
        <w:pPr>
          <w:widowControl w:val="0"/>
          <w:suppressLineNumbers/>
          <w:suppressAutoHyphens/>
          <w:jc w:val="right"/>
          <w:rPr>
            <w:snapToGrid w:val="0"/>
            <w:kern w:val="22"/>
            <w:sz w:val="22"/>
            <w:szCs w:val="22"/>
            <w:lang w:val="en-GB"/>
          </w:rPr>
        </w:pPr>
        <w:r w:rsidRPr="002003CC">
          <w:rPr>
            <w:snapToGrid w:val="0"/>
            <w:kern w:val="22"/>
            <w:sz w:val="22"/>
            <w:szCs w:val="22"/>
            <w:lang w:val="en-GB"/>
          </w:rPr>
          <w:t>CBD/</w:t>
        </w:r>
        <w:proofErr w:type="spellStart"/>
        <w:r w:rsidRPr="002003CC">
          <w:rPr>
            <w:snapToGrid w:val="0"/>
            <w:kern w:val="22"/>
            <w:sz w:val="22"/>
            <w:szCs w:val="22"/>
            <w:lang w:val="en-GB"/>
          </w:rPr>
          <w:t>SBI</w:t>
        </w:r>
        <w:proofErr w:type="spellEnd"/>
        <w:r w:rsidRPr="002003CC">
          <w:rPr>
            <w:snapToGrid w:val="0"/>
            <w:kern w:val="22"/>
            <w:sz w:val="22"/>
            <w:szCs w:val="22"/>
            <w:lang w:val="en-GB"/>
          </w:rPr>
          <w:t>/3/5/Add.3</w:t>
        </w:r>
      </w:p>
    </w:sdtContent>
  </w:sdt>
  <w:p w14:paraId="344C5F3B" w14:textId="42A859FE" w:rsidR="006C7F81" w:rsidRDefault="006C7F81" w:rsidP="00BB36C7">
    <w:pPr>
      <w:pStyle w:val="En-tte"/>
      <w:widowControl w:val="0"/>
      <w:suppressLineNumbers/>
      <w:tabs>
        <w:tab w:val="clear" w:pos="4320"/>
        <w:tab w:val="clear" w:pos="8640"/>
      </w:tabs>
      <w:suppressAutoHyphens/>
      <w:jc w:val="right"/>
      <w:rPr>
        <w:bCs/>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A73CEB">
      <w:rPr>
        <w:bCs/>
        <w:noProof/>
        <w:kern w:val="22"/>
        <w:sz w:val="22"/>
        <w:szCs w:val="22"/>
      </w:rPr>
      <w:t>19</w:t>
    </w:r>
    <w:r w:rsidRPr="00ED543F">
      <w:rPr>
        <w:bCs/>
        <w:noProof/>
        <w:kern w:val="22"/>
        <w:sz w:val="22"/>
        <w:szCs w:val="22"/>
      </w:rPr>
      <w:fldChar w:fldCharType="end"/>
    </w:r>
  </w:p>
  <w:p w14:paraId="4F914961" w14:textId="77777777" w:rsidR="006C7F81" w:rsidRPr="00ED543F" w:rsidRDefault="006C7F81" w:rsidP="00BB36C7">
    <w:pPr>
      <w:pStyle w:val="En-tte"/>
      <w:widowControl w:val="0"/>
      <w:suppressLineNumbers/>
      <w:tabs>
        <w:tab w:val="clear" w:pos="4320"/>
        <w:tab w:val="clear" w:pos="8640"/>
      </w:tabs>
      <w:suppressAutoHyphens/>
      <w:jc w:val="right"/>
      <w:rPr>
        <w:noProof/>
        <w:kern w:val="22"/>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AC"/>
    <w:multiLevelType w:val="hybridMultilevel"/>
    <w:tmpl w:val="8E5A7BA4"/>
    <w:lvl w:ilvl="0" w:tplc="9790E64C">
      <w:start w:val="2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E659D"/>
    <w:multiLevelType w:val="hybridMultilevel"/>
    <w:tmpl w:val="2938A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86CEB"/>
    <w:multiLevelType w:val="hybridMultilevel"/>
    <w:tmpl w:val="A1386F4C"/>
    <w:lvl w:ilvl="0" w:tplc="1C090017">
      <w:start w:val="1"/>
      <w:numFmt w:val="lowerLetter"/>
      <w:lvlText w:val="%1)"/>
      <w:lvlJc w:val="left"/>
      <w:pPr>
        <w:ind w:left="8730" w:hanging="360"/>
      </w:pPr>
      <w:rPr>
        <w:rFonts w:hint="default"/>
      </w:rPr>
    </w:lvl>
    <w:lvl w:ilvl="1" w:tplc="08090019" w:tentative="1">
      <w:start w:val="1"/>
      <w:numFmt w:val="lowerLetter"/>
      <w:lvlText w:val="%2."/>
      <w:lvlJc w:val="left"/>
      <w:pPr>
        <w:ind w:left="9450" w:hanging="360"/>
      </w:pPr>
    </w:lvl>
    <w:lvl w:ilvl="2" w:tplc="0809001B" w:tentative="1">
      <w:start w:val="1"/>
      <w:numFmt w:val="lowerRoman"/>
      <w:lvlText w:val="%3."/>
      <w:lvlJc w:val="right"/>
      <w:pPr>
        <w:ind w:left="10170" w:hanging="180"/>
      </w:pPr>
    </w:lvl>
    <w:lvl w:ilvl="3" w:tplc="0809000F" w:tentative="1">
      <w:start w:val="1"/>
      <w:numFmt w:val="decimal"/>
      <w:lvlText w:val="%4."/>
      <w:lvlJc w:val="left"/>
      <w:pPr>
        <w:ind w:left="10890" w:hanging="360"/>
      </w:pPr>
    </w:lvl>
    <w:lvl w:ilvl="4" w:tplc="08090019" w:tentative="1">
      <w:start w:val="1"/>
      <w:numFmt w:val="lowerLetter"/>
      <w:lvlText w:val="%5."/>
      <w:lvlJc w:val="left"/>
      <w:pPr>
        <w:ind w:left="11610" w:hanging="360"/>
      </w:pPr>
    </w:lvl>
    <w:lvl w:ilvl="5" w:tplc="0809001B" w:tentative="1">
      <w:start w:val="1"/>
      <w:numFmt w:val="lowerRoman"/>
      <w:lvlText w:val="%6."/>
      <w:lvlJc w:val="right"/>
      <w:pPr>
        <w:ind w:left="12330" w:hanging="180"/>
      </w:pPr>
    </w:lvl>
    <w:lvl w:ilvl="6" w:tplc="0809000F" w:tentative="1">
      <w:start w:val="1"/>
      <w:numFmt w:val="decimal"/>
      <w:lvlText w:val="%7."/>
      <w:lvlJc w:val="left"/>
      <w:pPr>
        <w:ind w:left="13050" w:hanging="360"/>
      </w:pPr>
    </w:lvl>
    <w:lvl w:ilvl="7" w:tplc="08090019" w:tentative="1">
      <w:start w:val="1"/>
      <w:numFmt w:val="lowerLetter"/>
      <w:lvlText w:val="%8."/>
      <w:lvlJc w:val="left"/>
      <w:pPr>
        <w:ind w:left="13770" w:hanging="360"/>
      </w:pPr>
    </w:lvl>
    <w:lvl w:ilvl="8" w:tplc="0809001B" w:tentative="1">
      <w:start w:val="1"/>
      <w:numFmt w:val="lowerRoman"/>
      <w:lvlText w:val="%9."/>
      <w:lvlJc w:val="right"/>
      <w:pPr>
        <w:ind w:left="14490" w:hanging="180"/>
      </w:pPr>
    </w:lvl>
  </w:abstractNum>
  <w:abstractNum w:abstractNumId="3" w15:restartNumberingAfterBreak="0">
    <w:nsid w:val="0752061A"/>
    <w:multiLevelType w:val="hybridMultilevel"/>
    <w:tmpl w:val="E744D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E9D4BEA"/>
    <w:multiLevelType w:val="hybridMultilevel"/>
    <w:tmpl w:val="B72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345687"/>
    <w:multiLevelType w:val="hybridMultilevel"/>
    <w:tmpl w:val="BCE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2EB8"/>
    <w:multiLevelType w:val="hybridMultilevel"/>
    <w:tmpl w:val="0C88F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D82ACE"/>
    <w:multiLevelType w:val="hybridMultilevel"/>
    <w:tmpl w:val="DBC47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175D6F"/>
    <w:multiLevelType w:val="hybridMultilevel"/>
    <w:tmpl w:val="201085F6"/>
    <w:lvl w:ilvl="0" w:tplc="27C2B966">
      <w:start w:val="1"/>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8CC0748"/>
    <w:multiLevelType w:val="hybridMultilevel"/>
    <w:tmpl w:val="BFAA8D4E"/>
    <w:lvl w:ilvl="0" w:tplc="372E49EE">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B0960A4"/>
    <w:multiLevelType w:val="hybridMultilevel"/>
    <w:tmpl w:val="5DEA5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1A20A1"/>
    <w:multiLevelType w:val="hybridMultilevel"/>
    <w:tmpl w:val="FA8EAF0A"/>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3" w15:restartNumberingAfterBreak="0">
    <w:nsid w:val="21880D6A"/>
    <w:multiLevelType w:val="hybridMultilevel"/>
    <w:tmpl w:val="5D96D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D57893"/>
    <w:multiLevelType w:val="hybridMultilevel"/>
    <w:tmpl w:val="427ACAB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39366D5"/>
    <w:multiLevelType w:val="hybridMultilevel"/>
    <w:tmpl w:val="19F8B8EC"/>
    <w:lvl w:ilvl="0" w:tplc="84BA6F3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3A2786"/>
    <w:multiLevelType w:val="hybridMultilevel"/>
    <w:tmpl w:val="40D82F94"/>
    <w:lvl w:ilvl="0" w:tplc="D48EFE44">
      <w:start w:val="1"/>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2B09303D"/>
    <w:multiLevelType w:val="hybridMultilevel"/>
    <w:tmpl w:val="B376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690620"/>
    <w:multiLevelType w:val="hybridMultilevel"/>
    <w:tmpl w:val="6A360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4FF6540"/>
    <w:multiLevelType w:val="hybridMultilevel"/>
    <w:tmpl w:val="4F8E823C"/>
    <w:lvl w:ilvl="0" w:tplc="14265274">
      <w:start w:val="24"/>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6C4293D"/>
    <w:multiLevelType w:val="hybridMultilevel"/>
    <w:tmpl w:val="0B16BA7A"/>
    <w:lvl w:ilvl="0" w:tplc="33665376">
      <w:start w:val="8"/>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6" w15:restartNumberingAfterBreak="0">
    <w:nsid w:val="3D6B0217"/>
    <w:multiLevelType w:val="hybridMultilevel"/>
    <w:tmpl w:val="29BC81AA"/>
    <w:lvl w:ilvl="0" w:tplc="33665376">
      <w:start w:val="8"/>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4FD648C"/>
    <w:multiLevelType w:val="hybridMultilevel"/>
    <w:tmpl w:val="2714B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A378BD"/>
    <w:multiLevelType w:val="hybridMultilevel"/>
    <w:tmpl w:val="2140F7BC"/>
    <w:lvl w:ilvl="0" w:tplc="06EE271E">
      <w:start w:val="1"/>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B1568E"/>
    <w:multiLevelType w:val="hybridMultilevel"/>
    <w:tmpl w:val="FB5A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4CA92CBE"/>
    <w:multiLevelType w:val="hybridMultilevel"/>
    <w:tmpl w:val="F6DE41C6"/>
    <w:lvl w:ilvl="0" w:tplc="B7C0EC62">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067475D"/>
    <w:multiLevelType w:val="hybridMultilevel"/>
    <w:tmpl w:val="6FE6470C"/>
    <w:lvl w:ilvl="0" w:tplc="38AEE0B4">
      <w:start w:val="1"/>
      <w:numFmt w:val="decimal"/>
      <w:lvlText w:val="%1."/>
      <w:lvlJc w:val="left"/>
      <w:pPr>
        <w:ind w:left="927"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22B109C"/>
    <w:multiLevelType w:val="hybridMultilevel"/>
    <w:tmpl w:val="C2CE05D6"/>
    <w:lvl w:ilvl="0" w:tplc="33665376">
      <w:start w:val="8"/>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23451E1"/>
    <w:multiLevelType w:val="hybridMultilevel"/>
    <w:tmpl w:val="CBF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A054C8A"/>
    <w:multiLevelType w:val="hybridMultilevel"/>
    <w:tmpl w:val="955C6828"/>
    <w:lvl w:ilvl="0" w:tplc="4B1E1FD2">
      <w:start w:val="1"/>
      <w:numFmt w:val="lowerRoman"/>
      <w:lvlText w:val="%1)"/>
      <w:lvlJc w:val="left"/>
      <w:pPr>
        <w:ind w:left="1440" w:hanging="72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EE94C11"/>
    <w:multiLevelType w:val="hybridMultilevel"/>
    <w:tmpl w:val="D682CBAE"/>
    <w:lvl w:ilvl="0" w:tplc="9FDC2FFA">
      <w:start w:val="1"/>
      <w:numFmt w:val="lowerLetter"/>
      <w:lvlText w:val="%1."/>
      <w:lvlJc w:val="left"/>
      <w:pPr>
        <w:ind w:left="1353" w:hanging="360"/>
      </w:pPr>
      <w:rPr>
        <w:b/>
        <w:bCs/>
        <w:i/>
        <w:i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5FC60634"/>
    <w:multiLevelType w:val="hybridMultilevel"/>
    <w:tmpl w:val="5B9E0FA6"/>
    <w:lvl w:ilvl="0" w:tplc="8E444E80">
      <w:start w:val="1"/>
      <w:numFmt w:val="lowerRoman"/>
      <w:lvlText w:val="%1)"/>
      <w:lvlJc w:val="left"/>
      <w:pPr>
        <w:ind w:left="1440" w:hanging="72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15:restartNumberingAfterBreak="0">
    <w:nsid w:val="67335502"/>
    <w:multiLevelType w:val="hybridMultilevel"/>
    <w:tmpl w:val="0E9C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2620C7"/>
    <w:multiLevelType w:val="hybridMultilevel"/>
    <w:tmpl w:val="47E4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D412F15"/>
    <w:multiLevelType w:val="hybridMultilevel"/>
    <w:tmpl w:val="C5A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873A0"/>
    <w:multiLevelType w:val="hybridMultilevel"/>
    <w:tmpl w:val="CD528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4056A4"/>
    <w:multiLevelType w:val="hybridMultilevel"/>
    <w:tmpl w:val="255A7302"/>
    <w:lvl w:ilvl="0" w:tplc="1009000F">
      <w:start w:val="3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5F517C8"/>
    <w:multiLevelType w:val="hybridMultilevel"/>
    <w:tmpl w:val="17A0961E"/>
    <w:lvl w:ilvl="0" w:tplc="33665376">
      <w:start w:val="8"/>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764D3129"/>
    <w:multiLevelType w:val="hybridMultilevel"/>
    <w:tmpl w:val="CA70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EE37D1"/>
    <w:multiLevelType w:val="hybridMultilevel"/>
    <w:tmpl w:val="FE5CB308"/>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51" w15:restartNumberingAfterBreak="0">
    <w:nsid w:val="7B7935AA"/>
    <w:multiLevelType w:val="hybridMultilevel"/>
    <w:tmpl w:val="E1E80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BA07BCF"/>
    <w:multiLevelType w:val="hybridMultilevel"/>
    <w:tmpl w:val="DB0CFBD0"/>
    <w:lvl w:ilvl="0" w:tplc="1CC629C8">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BB1009B"/>
    <w:multiLevelType w:val="hybridMultilevel"/>
    <w:tmpl w:val="DDC2058C"/>
    <w:lvl w:ilvl="0" w:tplc="33665376">
      <w:start w:val="8"/>
      <w:numFmt w:val="bullet"/>
      <w:lvlText w:val="-"/>
      <w:lvlJc w:val="left"/>
      <w:pPr>
        <w:ind w:left="720" w:hanging="360"/>
      </w:pPr>
      <w:rPr>
        <w:rFonts w:ascii="Calibri Light" w:eastAsiaTheme="majorEastAsia" w:hAnsi="Calibri Light" w:cs="Calibri Light" w:hint="default"/>
      </w:rPr>
    </w:lvl>
    <w:lvl w:ilvl="1" w:tplc="33665376">
      <w:start w:val="8"/>
      <w:numFmt w:val="bullet"/>
      <w:lvlText w:val="-"/>
      <w:lvlJc w:val="left"/>
      <w:pPr>
        <w:ind w:left="1440" w:hanging="360"/>
      </w:pPr>
      <w:rPr>
        <w:rFonts w:ascii="Calibri Light" w:eastAsiaTheme="majorEastAsia" w:hAnsi="Calibri Light" w:cs="Calibri Light"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4" w15:restartNumberingAfterBreak="0">
    <w:nsid w:val="7CF47636"/>
    <w:multiLevelType w:val="hybridMultilevel"/>
    <w:tmpl w:val="50EA76EC"/>
    <w:lvl w:ilvl="0" w:tplc="BB5AFE5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0"/>
  </w:num>
  <w:num w:numId="2">
    <w:abstractNumId w:val="32"/>
  </w:num>
  <w:num w:numId="3">
    <w:abstractNumId w:val="27"/>
    <w:lvlOverride w:ilvl="0">
      <w:startOverride w:val="1"/>
    </w:lvlOverride>
  </w:num>
  <w:num w:numId="4">
    <w:abstractNumId w:val="4"/>
  </w:num>
  <w:num w:numId="5">
    <w:abstractNumId w:val="21"/>
  </w:num>
  <w:num w:numId="6">
    <w:abstractNumId w:val="42"/>
  </w:num>
  <w:num w:numId="7">
    <w:abstractNumId w:val="37"/>
  </w:num>
  <w:num w:numId="8">
    <w:abstractNumId w:val="24"/>
  </w:num>
  <w:num w:numId="9">
    <w:abstractNumId w:val="30"/>
  </w:num>
  <w:num w:numId="10">
    <w:abstractNumId w:val="25"/>
  </w:num>
  <w:num w:numId="11">
    <w:abstractNumId w:val="38"/>
  </w:num>
  <w:num w:numId="12">
    <w:abstractNumId w:val="16"/>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5"/>
  </w:num>
  <w:num w:numId="16">
    <w:abstractNumId w:val="22"/>
  </w:num>
  <w:num w:numId="17">
    <w:abstractNumId w:val="48"/>
  </w:num>
  <w:num w:numId="18">
    <w:abstractNumId w:val="5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6"/>
  </w:num>
  <w:num w:numId="22">
    <w:abstractNumId w:val="31"/>
  </w:num>
  <w:num w:numId="23">
    <w:abstractNumId w:val="49"/>
  </w:num>
  <w:num w:numId="24">
    <w:abstractNumId w:val="6"/>
  </w:num>
  <w:num w:numId="25">
    <w:abstractNumId w:val="4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2"/>
  </w:num>
  <w:num w:numId="30">
    <w:abstractNumId w:val="27"/>
  </w:num>
  <w:num w:numId="31">
    <w:abstractNumId w:val="3"/>
  </w:num>
  <w:num w:numId="32">
    <w:abstractNumId w:val="51"/>
  </w:num>
  <w:num w:numId="33">
    <w:abstractNumId w:val="13"/>
  </w:num>
  <w:num w:numId="34">
    <w:abstractNumId w:val="0"/>
  </w:num>
  <w:num w:numId="35">
    <w:abstractNumId w:val="19"/>
  </w:num>
  <w:num w:numId="36">
    <w:abstractNumId w:val="28"/>
  </w:num>
  <w:num w:numId="37">
    <w:abstractNumId w:val="5"/>
  </w:num>
  <w:num w:numId="38">
    <w:abstractNumId w:val="7"/>
  </w:num>
  <w:num w:numId="39">
    <w:abstractNumId w:val="46"/>
  </w:num>
  <w:num w:numId="40">
    <w:abstractNumId w:val="44"/>
  </w:num>
  <w:num w:numId="41">
    <w:abstractNumId w:val="43"/>
  </w:num>
  <w:num w:numId="42">
    <w:abstractNumId w:val="8"/>
  </w:num>
  <w:num w:numId="43">
    <w:abstractNumId w:val="18"/>
  </w:num>
  <w:num w:numId="44">
    <w:abstractNumId w:val="54"/>
  </w:num>
  <w:num w:numId="45">
    <w:abstractNumId w:val="2"/>
  </w:num>
  <w:num w:numId="46">
    <w:abstractNumId w:val="52"/>
  </w:num>
  <w:num w:numId="47">
    <w:abstractNumId w:val="33"/>
  </w:num>
  <w:num w:numId="48">
    <w:abstractNumId w:val="11"/>
  </w:num>
  <w:num w:numId="49">
    <w:abstractNumId w:val="1"/>
  </w:num>
  <w:num w:numId="50">
    <w:abstractNumId w:val="41"/>
  </w:num>
  <w:num w:numId="51">
    <w:abstractNumId w:val="39"/>
  </w:num>
  <w:num w:numId="52">
    <w:abstractNumId w:val="29"/>
  </w:num>
  <w:num w:numId="53">
    <w:abstractNumId w:val="9"/>
  </w:num>
  <w:num w:numId="54">
    <w:abstractNumId w:val="10"/>
  </w:num>
  <w:num w:numId="55">
    <w:abstractNumId w:val="17"/>
  </w:num>
  <w:num w:numId="56">
    <w:abstractNumId w:val="15"/>
  </w:num>
  <w:num w:numId="57">
    <w:abstractNumId w:val="14"/>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ZA" w:vendorID="64" w:dllVersion="0" w:nlCheck="1" w:checkStyle="0"/>
  <w:activeWritingStyle w:appName="MSWord" w:lang="en-ZA" w:vendorID="64" w:dllVersion="6" w:nlCheck="1" w:checkStyle="1"/>
  <w:activeWritingStyle w:appName="MSWord" w:lang="en-US" w:vendorID="64" w:dllVersion="4096" w:nlCheck="1" w:checkStyle="0"/>
  <w:activeWritingStyle w:appName="MSWord" w:lang="fr-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9FE"/>
    <w:rsid w:val="00001EB8"/>
    <w:rsid w:val="00002F19"/>
    <w:rsid w:val="00003238"/>
    <w:rsid w:val="0000395C"/>
    <w:rsid w:val="00005724"/>
    <w:rsid w:val="0000582D"/>
    <w:rsid w:val="00005E4D"/>
    <w:rsid w:val="0000649B"/>
    <w:rsid w:val="00006A12"/>
    <w:rsid w:val="0000752C"/>
    <w:rsid w:val="00007A69"/>
    <w:rsid w:val="00007CA0"/>
    <w:rsid w:val="0001023E"/>
    <w:rsid w:val="000106DF"/>
    <w:rsid w:val="000107DF"/>
    <w:rsid w:val="00010C83"/>
    <w:rsid w:val="00011256"/>
    <w:rsid w:val="00011546"/>
    <w:rsid w:val="00011731"/>
    <w:rsid w:val="00011B60"/>
    <w:rsid w:val="00011D38"/>
    <w:rsid w:val="00011FDB"/>
    <w:rsid w:val="000130EE"/>
    <w:rsid w:val="000137DC"/>
    <w:rsid w:val="00013D92"/>
    <w:rsid w:val="000148BE"/>
    <w:rsid w:val="000157BF"/>
    <w:rsid w:val="00015F50"/>
    <w:rsid w:val="00016316"/>
    <w:rsid w:val="00016E4C"/>
    <w:rsid w:val="0001785A"/>
    <w:rsid w:val="00020124"/>
    <w:rsid w:val="000208D4"/>
    <w:rsid w:val="00022646"/>
    <w:rsid w:val="00022F52"/>
    <w:rsid w:val="00023110"/>
    <w:rsid w:val="00023270"/>
    <w:rsid w:val="000234BD"/>
    <w:rsid w:val="00023D05"/>
    <w:rsid w:val="00024F21"/>
    <w:rsid w:val="00025298"/>
    <w:rsid w:val="0002569C"/>
    <w:rsid w:val="000261A5"/>
    <w:rsid w:val="00026D45"/>
    <w:rsid w:val="000270CE"/>
    <w:rsid w:val="00027BB3"/>
    <w:rsid w:val="00030AFA"/>
    <w:rsid w:val="00031D50"/>
    <w:rsid w:val="00031D93"/>
    <w:rsid w:val="0003261C"/>
    <w:rsid w:val="00032DE7"/>
    <w:rsid w:val="000332D4"/>
    <w:rsid w:val="0003374F"/>
    <w:rsid w:val="00034547"/>
    <w:rsid w:val="00034E8C"/>
    <w:rsid w:val="00036E8C"/>
    <w:rsid w:val="00036EC8"/>
    <w:rsid w:val="0003703A"/>
    <w:rsid w:val="000379C5"/>
    <w:rsid w:val="00037B77"/>
    <w:rsid w:val="000403AC"/>
    <w:rsid w:val="00040D2C"/>
    <w:rsid w:val="00040DEC"/>
    <w:rsid w:val="0004131C"/>
    <w:rsid w:val="00042D63"/>
    <w:rsid w:val="00043AD0"/>
    <w:rsid w:val="000440F7"/>
    <w:rsid w:val="00044448"/>
    <w:rsid w:val="00045D03"/>
    <w:rsid w:val="00046221"/>
    <w:rsid w:val="000464EA"/>
    <w:rsid w:val="00050FA5"/>
    <w:rsid w:val="000521F3"/>
    <w:rsid w:val="000529D1"/>
    <w:rsid w:val="00052C88"/>
    <w:rsid w:val="00052D9D"/>
    <w:rsid w:val="000538EC"/>
    <w:rsid w:val="00054A4D"/>
    <w:rsid w:val="00057114"/>
    <w:rsid w:val="000577B0"/>
    <w:rsid w:val="00057950"/>
    <w:rsid w:val="000579A1"/>
    <w:rsid w:val="00060156"/>
    <w:rsid w:val="0006038F"/>
    <w:rsid w:val="000604C1"/>
    <w:rsid w:val="000609D1"/>
    <w:rsid w:val="00060E06"/>
    <w:rsid w:val="000615F9"/>
    <w:rsid w:val="00061BCB"/>
    <w:rsid w:val="00062983"/>
    <w:rsid w:val="00062E18"/>
    <w:rsid w:val="00063619"/>
    <w:rsid w:val="000644E6"/>
    <w:rsid w:val="000646E4"/>
    <w:rsid w:val="00065E05"/>
    <w:rsid w:val="00066842"/>
    <w:rsid w:val="00066CD8"/>
    <w:rsid w:val="0006714C"/>
    <w:rsid w:val="00067ADB"/>
    <w:rsid w:val="00070E02"/>
    <w:rsid w:val="000719F5"/>
    <w:rsid w:val="000728A2"/>
    <w:rsid w:val="00073903"/>
    <w:rsid w:val="00074080"/>
    <w:rsid w:val="00074A43"/>
    <w:rsid w:val="00076574"/>
    <w:rsid w:val="000768AB"/>
    <w:rsid w:val="00076D83"/>
    <w:rsid w:val="00076DAA"/>
    <w:rsid w:val="00080B21"/>
    <w:rsid w:val="00080F92"/>
    <w:rsid w:val="00081A12"/>
    <w:rsid w:val="00082793"/>
    <w:rsid w:val="00082AF6"/>
    <w:rsid w:val="00082DBE"/>
    <w:rsid w:val="00083167"/>
    <w:rsid w:val="0008365A"/>
    <w:rsid w:val="00083EFA"/>
    <w:rsid w:val="00083F57"/>
    <w:rsid w:val="00084640"/>
    <w:rsid w:val="00084DE7"/>
    <w:rsid w:val="000857F4"/>
    <w:rsid w:val="0008586B"/>
    <w:rsid w:val="000878AE"/>
    <w:rsid w:val="00087B53"/>
    <w:rsid w:val="00090E40"/>
    <w:rsid w:val="0009151B"/>
    <w:rsid w:val="0009169E"/>
    <w:rsid w:val="0009237F"/>
    <w:rsid w:val="000927B5"/>
    <w:rsid w:val="00093501"/>
    <w:rsid w:val="000937AA"/>
    <w:rsid w:val="000946D4"/>
    <w:rsid w:val="000948E5"/>
    <w:rsid w:val="00094C9B"/>
    <w:rsid w:val="00095BBA"/>
    <w:rsid w:val="00095C44"/>
    <w:rsid w:val="00095FB3"/>
    <w:rsid w:val="000962A9"/>
    <w:rsid w:val="0009645C"/>
    <w:rsid w:val="000A12C6"/>
    <w:rsid w:val="000A1661"/>
    <w:rsid w:val="000A2EF5"/>
    <w:rsid w:val="000A3531"/>
    <w:rsid w:val="000A37DF"/>
    <w:rsid w:val="000A3E0B"/>
    <w:rsid w:val="000A51E1"/>
    <w:rsid w:val="000A6108"/>
    <w:rsid w:val="000A6299"/>
    <w:rsid w:val="000A6ED7"/>
    <w:rsid w:val="000A6F75"/>
    <w:rsid w:val="000A77F2"/>
    <w:rsid w:val="000B1117"/>
    <w:rsid w:val="000B11A5"/>
    <w:rsid w:val="000B18D8"/>
    <w:rsid w:val="000B1F25"/>
    <w:rsid w:val="000B24BB"/>
    <w:rsid w:val="000B3561"/>
    <w:rsid w:val="000B3673"/>
    <w:rsid w:val="000B371E"/>
    <w:rsid w:val="000B408B"/>
    <w:rsid w:val="000B4303"/>
    <w:rsid w:val="000B4DCE"/>
    <w:rsid w:val="000B4FC0"/>
    <w:rsid w:val="000B53BC"/>
    <w:rsid w:val="000B56BE"/>
    <w:rsid w:val="000B6F59"/>
    <w:rsid w:val="000B71C2"/>
    <w:rsid w:val="000B76A6"/>
    <w:rsid w:val="000C06F8"/>
    <w:rsid w:val="000C092E"/>
    <w:rsid w:val="000C0DAE"/>
    <w:rsid w:val="000C1A1F"/>
    <w:rsid w:val="000C1C58"/>
    <w:rsid w:val="000C24A8"/>
    <w:rsid w:val="000C29BC"/>
    <w:rsid w:val="000C2FBA"/>
    <w:rsid w:val="000C36FF"/>
    <w:rsid w:val="000C6567"/>
    <w:rsid w:val="000C6CC1"/>
    <w:rsid w:val="000C6D05"/>
    <w:rsid w:val="000C7659"/>
    <w:rsid w:val="000C7AED"/>
    <w:rsid w:val="000D0625"/>
    <w:rsid w:val="000D0A5A"/>
    <w:rsid w:val="000D0D11"/>
    <w:rsid w:val="000D1057"/>
    <w:rsid w:val="000D118D"/>
    <w:rsid w:val="000D178B"/>
    <w:rsid w:val="000D1BF7"/>
    <w:rsid w:val="000D2531"/>
    <w:rsid w:val="000D40B0"/>
    <w:rsid w:val="000D4525"/>
    <w:rsid w:val="000D5F48"/>
    <w:rsid w:val="000D6963"/>
    <w:rsid w:val="000D742A"/>
    <w:rsid w:val="000E1262"/>
    <w:rsid w:val="000E3FEA"/>
    <w:rsid w:val="000E44EB"/>
    <w:rsid w:val="000E4558"/>
    <w:rsid w:val="000E50F2"/>
    <w:rsid w:val="000E590C"/>
    <w:rsid w:val="000E6F3D"/>
    <w:rsid w:val="000E7D98"/>
    <w:rsid w:val="000F09C2"/>
    <w:rsid w:val="000F0B1A"/>
    <w:rsid w:val="000F20E2"/>
    <w:rsid w:val="000F27AD"/>
    <w:rsid w:val="000F33DE"/>
    <w:rsid w:val="000F3EA4"/>
    <w:rsid w:val="000F4D2F"/>
    <w:rsid w:val="000F55A4"/>
    <w:rsid w:val="000F599B"/>
    <w:rsid w:val="000F6343"/>
    <w:rsid w:val="000F6F19"/>
    <w:rsid w:val="000F78FD"/>
    <w:rsid w:val="001001E5"/>
    <w:rsid w:val="00100E15"/>
    <w:rsid w:val="00101BF1"/>
    <w:rsid w:val="00101DE3"/>
    <w:rsid w:val="00101E91"/>
    <w:rsid w:val="00102B91"/>
    <w:rsid w:val="00102DB3"/>
    <w:rsid w:val="00102EEB"/>
    <w:rsid w:val="0010350A"/>
    <w:rsid w:val="0010379D"/>
    <w:rsid w:val="001041D0"/>
    <w:rsid w:val="001048B5"/>
    <w:rsid w:val="00105013"/>
    <w:rsid w:val="00105750"/>
    <w:rsid w:val="00105819"/>
    <w:rsid w:val="00105A40"/>
    <w:rsid w:val="00106A1E"/>
    <w:rsid w:val="00107566"/>
    <w:rsid w:val="001076F5"/>
    <w:rsid w:val="001101D4"/>
    <w:rsid w:val="00110D01"/>
    <w:rsid w:val="00110D4C"/>
    <w:rsid w:val="00110F44"/>
    <w:rsid w:val="00111F24"/>
    <w:rsid w:val="001122E9"/>
    <w:rsid w:val="00112431"/>
    <w:rsid w:val="00113EF4"/>
    <w:rsid w:val="0011459D"/>
    <w:rsid w:val="00115513"/>
    <w:rsid w:val="0011689E"/>
    <w:rsid w:val="001171E8"/>
    <w:rsid w:val="001178CC"/>
    <w:rsid w:val="001178F3"/>
    <w:rsid w:val="00120DAA"/>
    <w:rsid w:val="0012203D"/>
    <w:rsid w:val="001221C3"/>
    <w:rsid w:val="00122AA3"/>
    <w:rsid w:val="00122DD5"/>
    <w:rsid w:val="00123905"/>
    <w:rsid w:val="001239FF"/>
    <w:rsid w:val="00123CB5"/>
    <w:rsid w:val="00123E8C"/>
    <w:rsid w:val="00123EFB"/>
    <w:rsid w:val="00124049"/>
    <w:rsid w:val="00124153"/>
    <w:rsid w:val="0012456B"/>
    <w:rsid w:val="00124821"/>
    <w:rsid w:val="00124A24"/>
    <w:rsid w:val="00124CE1"/>
    <w:rsid w:val="00124F73"/>
    <w:rsid w:val="00125806"/>
    <w:rsid w:val="0012695E"/>
    <w:rsid w:val="00126993"/>
    <w:rsid w:val="00126AEA"/>
    <w:rsid w:val="00127268"/>
    <w:rsid w:val="001275BC"/>
    <w:rsid w:val="00130698"/>
    <w:rsid w:val="00131414"/>
    <w:rsid w:val="001325CC"/>
    <w:rsid w:val="001326CD"/>
    <w:rsid w:val="00132CA5"/>
    <w:rsid w:val="00133FE9"/>
    <w:rsid w:val="001343FE"/>
    <w:rsid w:val="00135171"/>
    <w:rsid w:val="0013524D"/>
    <w:rsid w:val="001352FA"/>
    <w:rsid w:val="00135912"/>
    <w:rsid w:val="0013691E"/>
    <w:rsid w:val="00136C38"/>
    <w:rsid w:val="00137579"/>
    <w:rsid w:val="0013779D"/>
    <w:rsid w:val="00137E6E"/>
    <w:rsid w:val="001416C5"/>
    <w:rsid w:val="001417CA"/>
    <w:rsid w:val="001418BC"/>
    <w:rsid w:val="001423AA"/>
    <w:rsid w:val="001423AD"/>
    <w:rsid w:val="00143887"/>
    <w:rsid w:val="00143C89"/>
    <w:rsid w:val="001441F7"/>
    <w:rsid w:val="0014421F"/>
    <w:rsid w:val="00144D88"/>
    <w:rsid w:val="00145C8E"/>
    <w:rsid w:val="00146C45"/>
    <w:rsid w:val="00146D8E"/>
    <w:rsid w:val="00147A01"/>
    <w:rsid w:val="001503E2"/>
    <w:rsid w:val="00150BB2"/>
    <w:rsid w:val="00150EEC"/>
    <w:rsid w:val="00151F35"/>
    <w:rsid w:val="00155C43"/>
    <w:rsid w:val="0015602D"/>
    <w:rsid w:val="00156831"/>
    <w:rsid w:val="00156977"/>
    <w:rsid w:val="001571BA"/>
    <w:rsid w:val="001573C5"/>
    <w:rsid w:val="00157B08"/>
    <w:rsid w:val="00157E56"/>
    <w:rsid w:val="00157F37"/>
    <w:rsid w:val="0016130A"/>
    <w:rsid w:val="0016273C"/>
    <w:rsid w:val="0016296B"/>
    <w:rsid w:val="0016330A"/>
    <w:rsid w:val="001636DF"/>
    <w:rsid w:val="00164124"/>
    <w:rsid w:val="001645D2"/>
    <w:rsid w:val="001647F0"/>
    <w:rsid w:val="00164832"/>
    <w:rsid w:val="00164BD8"/>
    <w:rsid w:val="00164E59"/>
    <w:rsid w:val="0017060C"/>
    <w:rsid w:val="00170D26"/>
    <w:rsid w:val="00172C5E"/>
    <w:rsid w:val="00177729"/>
    <w:rsid w:val="00180027"/>
    <w:rsid w:val="00181849"/>
    <w:rsid w:val="0018289D"/>
    <w:rsid w:val="00182A04"/>
    <w:rsid w:val="00182EBD"/>
    <w:rsid w:val="00183970"/>
    <w:rsid w:val="001841AA"/>
    <w:rsid w:val="001841C5"/>
    <w:rsid w:val="0018484E"/>
    <w:rsid w:val="00184CF6"/>
    <w:rsid w:val="00186147"/>
    <w:rsid w:val="00187126"/>
    <w:rsid w:val="0018717F"/>
    <w:rsid w:val="00187478"/>
    <w:rsid w:val="00187D10"/>
    <w:rsid w:val="00187D7A"/>
    <w:rsid w:val="00191514"/>
    <w:rsid w:val="00191686"/>
    <w:rsid w:val="001918C5"/>
    <w:rsid w:val="0019341A"/>
    <w:rsid w:val="001938F6"/>
    <w:rsid w:val="00194CFA"/>
    <w:rsid w:val="00194FF2"/>
    <w:rsid w:val="0019531C"/>
    <w:rsid w:val="0019568D"/>
    <w:rsid w:val="00196278"/>
    <w:rsid w:val="001966DB"/>
    <w:rsid w:val="001972B8"/>
    <w:rsid w:val="0019744E"/>
    <w:rsid w:val="00197EFE"/>
    <w:rsid w:val="001A0585"/>
    <w:rsid w:val="001A08ED"/>
    <w:rsid w:val="001A13F6"/>
    <w:rsid w:val="001A1A8C"/>
    <w:rsid w:val="001A1B02"/>
    <w:rsid w:val="001A26E2"/>
    <w:rsid w:val="001A2BA9"/>
    <w:rsid w:val="001A3EF2"/>
    <w:rsid w:val="001A76F8"/>
    <w:rsid w:val="001A7842"/>
    <w:rsid w:val="001A7D5E"/>
    <w:rsid w:val="001A7FBD"/>
    <w:rsid w:val="001B08C1"/>
    <w:rsid w:val="001B10C1"/>
    <w:rsid w:val="001B1151"/>
    <w:rsid w:val="001B23D0"/>
    <w:rsid w:val="001B2C58"/>
    <w:rsid w:val="001B2F43"/>
    <w:rsid w:val="001B3079"/>
    <w:rsid w:val="001B3769"/>
    <w:rsid w:val="001B37F2"/>
    <w:rsid w:val="001B412D"/>
    <w:rsid w:val="001B4834"/>
    <w:rsid w:val="001B4CD4"/>
    <w:rsid w:val="001B6130"/>
    <w:rsid w:val="001B65DD"/>
    <w:rsid w:val="001B664A"/>
    <w:rsid w:val="001B73B3"/>
    <w:rsid w:val="001B7564"/>
    <w:rsid w:val="001B7FE3"/>
    <w:rsid w:val="001C0A75"/>
    <w:rsid w:val="001C13BD"/>
    <w:rsid w:val="001C19F0"/>
    <w:rsid w:val="001C2D65"/>
    <w:rsid w:val="001C2DDB"/>
    <w:rsid w:val="001C3AD2"/>
    <w:rsid w:val="001C4823"/>
    <w:rsid w:val="001C4883"/>
    <w:rsid w:val="001C51EE"/>
    <w:rsid w:val="001C57A1"/>
    <w:rsid w:val="001C65AB"/>
    <w:rsid w:val="001C73C9"/>
    <w:rsid w:val="001C7D79"/>
    <w:rsid w:val="001C7EF2"/>
    <w:rsid w:val="001C7FBA"/>
    <w:rsid w:val="001D1461"/>
    <w:rsid w:val="001D188A"/>
    <w:rsid w:val="001D1B7B"/>
    <w:rsid w:val="001D2209"/>
    <w:rsid w:val="001D2CD9"/>
    <w:rsid w:val="001D34E6"/>
    <w:rsid w:val="001D37AA"/>
    <w:rsid w:val="001D428D"/>
    <w:rsid w:val="001D4538"/>
    <w:rsid w:val="001D4BA9"/>
    <w:rsid w:val="001D613E"/>
    <w:rsid w:val="001D6CE6"/>
    <w:rsid w:val="001D7193"/>
    <w:rsid w:val="001E03DA"/>
    <w:rsid w:val="001E09C9"/>
    <w:rsid w:val="001E1196"/>
    <w:rsid w:val="001E17B8"/>
    <w:rsid w:val="001E199C"/>
    <w:rsid w:val="001E1F80"/>
    <w:rsid w:val="001E2B3C"/>
    <w:rsid w:val="001E36EA"/>
    <w:rsid w:val="001E3D65"/>
    <w:rsid w:val="001E41D6"/>
    <w:rsid w:val="001E4884"/>
    <w:rsid w:val="001E5074"/>
    <w:rsid w:val="001E5F73"/>
    <w:rsid w:val="001E73B7"/>
    <w:rsid w:val="001F0221"/>
    <w:rsid w:val="001F03A1"/>
    <w:rsid w:val="001F0A33"/>
    <w:rsid w:val="001F2505"/>
    <w:rsid w:val="001F2708"/>
    <w:rsid w:val="001F2B5D"/>
    <w:rsid w:val="001F3EA3"/>
    <w:rsid w:val="001F4230"/>
    <w:rsid w:val="001F4C7E"/>
    <w:rsid w:val="001F4EAD"/>
    <w:rsid w:val="001F595B"/>
    <w:rsid w:val="001F5C29"/>
    <w:rsid w:val="001F6321"/>
    <w:rsid w:val="001F66DC"/>
    <w:rsid w:val="001F6E29"/>
    <w:rsid w:val="001F795A"/>
    <w:rsid w:val="001F7CEE"/>
    <w:rsid w:val="0020035D"/>
    <w:rsid w:val="002003CC"/>
    <w:rsid w:val="002004CE"/>
    <w:rsid w:val="00200902"/>
    <w:rsid w:val="00200C4B"/>
    <w:rsid w:val="00201752"/>
    <w:rsid w:val="00201851"/>
    <w:rsid w:val="00201BCD"/>
    <w:rsid w:val="002023FB"/>
    <w:rsid w:val="00202D13"/>
    <w:rsid w:val="00202E66"/>
    <w:rsid w:val="00202E7F"/>
    <w:rsid w:val="002035EF"/>
    <w:rsid w:val="0020395B"/>
    <w:rsid w:val="0020457A"/>
    <w:rsid w:val="00204F71"/>
    <w:rsid w:val="00205FEB"/>
    <w:rsid w:val="00206890"/>
    <w:rsid w:val="00206DB0"/>
    <w:rsid w:val="0020756C"/>
    <w:rsid w:val="00207A61"/>
    <w:rsid w:val="00207D32"/>
    <w:rsid w:val="00210BBD"/>
    <w:rsid w:val="00210FDA"/>
    <w:rsid w:val="002114C8"/>
    <w:rsid w:val="00211716"/>
    <w:rsid w:val="00211790"/>
    <w:rsid w:val="00211795"/>
    <w:rsid w:val="00211D9C"/>
    <w:rsid w:val="002120F6"/>
    <w:rsid w:val="00212444"/>
    <w:rsid w:val="002125D7"/>
    <w:rsid w:val="00212CC5"/>
    <w:rsid w:val="00212D5E"/>
    <w:rsid w:val="0021338B"/>
    <w:rsid w:val="0021388A"/>
    <w:rsid w:val="00214212"/>
    <w:rsid w:val="002145C7"/>
    <w:rsid w:val="00214DA6"/>
    <w:rsid w:val="0021634E"/>
    <w:rsid w:val="002169EB"/>
    <w:rsid w:val="0022053B"/>
    <w:rsid w:val="00220593"/>
    <w:rsid w:val="00220877"/>
    <w:rsid w:val="0022089C"/>
    <w:rsid w:val="0022187B"/>
    <w:rsid w:val="002220DB"/>
    <w:rsid w:val="00222837"/>
    <w:rsid w:val="0022296E"/>
    <w:rsid w:val="00223A6E"/>
    <w:rsid w:val="00224A1E"/>
    <w:rsid w:val="00224BD8"/>
    <w:rsid w:val="00224EE9"/>
    <w:rsid w:val="00226244"/>
    <w:rsid w:val="002268B2"/>
    <w:rsid w:val="00226D95"/>
    <w:rsid w:val="00226DE9"/>
    <w:rsid w:val="002270DD"/>
    <w:rsid w:val="00227810"/>
    <w:rsid w:val="00227E6F"/>
    <w:rsid w:val="002309E1"/>
    <w:rsid w:val="00230D31"/>
    <w:rsid w:val="002311AB"/>
    <w:rsid w:val="00231453"/>
    <w:rsid w:val="0023272E"/>
    <w:rsid w:val="00233289"/>
    <w:rsid w:val="00233495"/>
    <w:rsid w:val="0023397D"/>
    <w:rsid w:val="00233CDF"/>
    <w:rsid w:val="0023408C"/>
    <w:rsid w:val="00236CBC"/>
    <w:rsid w:val="00237CAC"/>
    <w:rsid w:val="0024087E"/>
    <w:rsid w:val="00240C99"/>
    <w:rsid w:val="00241757"/>
    <w:rsid w:val="00241DD1"/>
    <w:rsid w:val="00243F6D"/>
    <w:rsid w:val="00244094"/>
    <w:rsid w:val="00244DF6"/>
    <w:rsid w:val="00244FD7"/>
    <w:rsid w:val="00246154"/>
    <w:rsid w:val="00246471"/>
    <w:rsid w:val="00246A8A"/>
    <w:rsid w:val="00246FC4"/>
    <w:rsid w:val="0024794E"/>
    <w:rsid w:val="00247BB0"/>
    <w:rsid w:val="00250660"/>
    <w:rsid w:val="00251841"/>
    <w:rsid w:val="00252472"/>
    <w:rsid w:val="00252547"/>
    <w:rsid w:val="00252F2D"/>
    <w:rsid w:val="0025393A"/>
    <w:rsid w:val="00254375"/>
    <w:rsid w:val="00254469"/>
    <w:rsid w:val="0025563A"/>
    <w:rsid w:val="00256F5C"/>
    <w:rsid w:val="00257129"/>
    <w:rsid w:val="00257E13"/>
    <w:rsid w:val="0026001D"/>
    <w:rsid w:val="00261C0D"/>
    <w:rsid w:val="00261DED"/>
    <w:rsid w:val="00261DF3"/>
    <w:rsid w:val="00262D4C"/>
    <w:rsid w:val="00263355"/>
    <w:rsid w:val="002643CD"/>
    <w:rsid w:val="00264E4F"/>
    <w:rsid w:val="002650E2"/>
    <w:rsid w:val="00265B6D"/>
    <w:rsid w:val="00266E7E"/>
    <w:rsid w:val="002679C0"/>
    <w:rsid w:val="00267AA3"/>
    <w:rsid w:val="00267FBD"/>
    <w:rsid w:val="00270DFD"/>
    <w:rsid w:val="00271A0E"/>
    <w:rsid w:val="00271C60"/>
    <w:rsid w:val="0027264C"/>
    <w:rsid w:val="00272811"/>
    <w:rsid w:val="00272DCD"/>
    <w:rsid w:val="00273078"/>
    <w:rsid w:val="00273199"/>
    <w:rsid w:val="00273401"/>
    <w:rsid w:val="00275475"/>
    <w:rsid w:val="002764CE"/>
    <w:rsid w:val="0027698F"/>
    <w:rsid w:val="00276C67"/>
    <w:rsid w:val="00276F6A"/>
    <w:rsid w:val="002771D7"/>
    <w:rsid w:val="002774B7"/>
    <w:rsid w:val="00277CE2"/>
    <w:rsid w:val="00280292"/>
    <w:rsid w:val="0028068B"/>
    <w:rsid w:val="00280753"/>
    <w:rsid w:val="002814CE"/>
    <w:rsid w:val="00282184"/>
    <w:rsid w:val="00283D83"/>
    <w:rsid w:val="002840E3"/>
    <w:rsid w:val="002843A6"/>
    <w:rsid w:val="002843E9"/>
    <w:rsid w:val="00284915"/>
    <w:rsid w:val="00285081"/>
    <w:rsid w:val="0028666D"/>
    <w:rsid w:val="00286B00"/>
    <w:rsid w:val="00286DF5"/>
    <w:rsid w:val="00287799"/>
    <w:rsid w:val="002878FE"/>
    <w:rsid w:val="00287FEA"/>
    <w:rsid w:val="002907D1"/>
    <w:rsid w:val="002908C6"/>
    <w:rsid w:val="002909E7"/>
    <w:rsid w:val="00290A0E"/>
    <w:rsid w:val="00290C24"/>
    <w:rsid w:val="00290D71"/>
    <w:rsid w:val="00292147"/>
    <w:rsid w:val="00293265"/>
    <w:rsid w:val="0029393C"/>
    <w:rsid w:val="00295D7C"/>
    <w:rsid w:val="00295E48"/>
    <w:rsid w:val="00296159"/>
    <w:rsid w:val="002963C5"/>
    <w:rsid w:val="00296574"/>
    <w:rsid w:val="002975AD"/>
    <w:rsid w:val="0029783E"/>
    <w:rsid w:val="002A0055"/>
    <w:rsid w:val="002A015D"/>
    <w:rsid w:val="002A016D"/>
    <w:rsid w:val="002A0D72"/>
    <w:rsid w:val="002A1762"/>
    <w:rsid w:val="002A1E9F"/>
    <w:rsid w:val="002A29AC"/>
    <w:rsid w:val="002A2B03"/>
    <w:rsid w:val="002A45A9"/>
    <w:rsid w:val="002A4825"/>
    <w:rsid w:val="002A4871"/>
    <w:rsid w:val="002A4C61"/>
    <w:rsid w:val="002A5095"/>
    <w:rsid w:val="002A5455"/>
    <w:rsid w:val="002B020C"/>
    <w:rsid w:val="002B0F69"/>
    <w:rsid w:val="002B1D44"/>
    <w:rsid w:val="002B20AE"/>
    <w:rsid w:val="002B4A08"/>
    <w:rsid w:val="002B4B31"/>
    <w:rsid w:val="002B4EBA"/>
    <w:rsid w:val="002B52EA"/>
    <w:rsid w:val="002B63DB"/>
    <w:rsid w:val="002B6732"/>
    <w:rsid w:val="002B674D"/>
    <w:rsid w:val="002B6940"/>
    <w:rsid w:val="002C08C2"/>
    <w:rsid w:val="002C0A85"/>
    <w:rsid w:val="002C0C75"/>
    <w:rsid w:val="002C1C2B"/>
    <w:rsid w:val="002C248D"/>
    <w:rsid w:val="002C2490"/>
    <w:rsid w:val="002C2921"/>
    <w:rsid w:val="002C45EA"/>
    <w:rsid w:val="002C509F"/>
    <w:rsid w:val="002C5819"/>
    <w:rsid w:val="002D0326"/>
    <w:rsid w:val="002D18FD"/>
    <w:rsid w:val="002D20B8"/>
    <w:rsid w:val="002D2820"/>
    <w:rsid w:val="002D2A60"/>
    <w:rsid w:val="002D2BBE"/>
    <w:rsid w:val="002D2FEF"/>
    <w:rsid w:val="002D3061"/>
    <w:rsid w:val="002D306C"/>
    <w:rsid w:val="002D3270"/>
    <w:rsid w:val="002D5874"/>
    <w:rsid w:val="002D593D"/>
    <w:rsid w:val="002D5AC4"/>
    <w:rsid w:val="002D5D03"/>
    <w:rsid w:val="002D6C9A"/>
    <w:rsid w:val="002E00FD"/>
    <w:rsid w:val="002E1EE5"/>
    <w:rsid w:val="002E28DE"/>
    <w:rsid w:val="002E3B3A"/>
    <w:rsid w:val="002E3C03"/>
    <w:rsid w:val="002E45C0"/>
    <w:rsid w:val="002E4AD4"/>
    <w:rsid w:val="002E4E67"/>
    <w:rsid w:val="002E4E84"/>
    <w:rsid w:val="002E552E"/>
    <w:rsid w:val="002E7A1D"/>
    <w:rsid w:val="002F0017"/>
    <w:rsid w:val="002F1751"/>
    <w:rsid w:val="002F21E7"/>
    <w:rsid w:val="002F49DA"/>
    <w:rsid w:val="002F72D5"/>
    <w:rsid w:val="002F76AA"/>
    <w:rsid w:val="002F7E05"/>
    <w:rsid w:val="002F7F48"/>
    <w:rsid w:val="00300A45"/>
    <w:rsid w:val="003014E4"/>
    <w:rsid w:val="00301AAF"/>
    <w:rsid w:val="00301BD7"/>
    <w:rsid w:val="003032CB"/>
    <w:rsid w:val="003044D9"/>
    <w:rsid w:val="00304B50"/>
    <w:rsid w:val="00304C23"/>
    <w:rsid w:val="00304C3E"/>
    <w:rsid w:val="0030546E"/>
    <w:rsid w:val="00306093"/>
    <w:rsid w:val="00306095"/>
    <w:rsid w:val="003061C9"/>
    <w:rsid w:val="003061EF"/>
    <w:rsid w:val="003062B2"/>
    <w:rsid w:val="00306310"/>
    <w:rsid w:val="003068CD"/>
    <w:rsid w:val="003077F6"/>
    <w:rsid w:val="00307F48"/>
    <w:rsid w:val="00310201"/>
    <w:rsid w:val="00310805"/>
    <w:rsid w:val="00310C4A"/>
    <w:rsid w:val="00310EBF"/>
    <w:rsid w:val="003110E7"/>
    <w:rsid w:val="00311756"/>
    <w:rsid w:val="00311A91"/>
    <w:rsid w:val="0031237C"/>
    <w:rsid w:val="00312979"/>
    <w:rsid w:val="003140F1"/>
    <w:rsid w:val="00314371"/>
    <w:rsid w:val="003144AB"/>
    <w:rsid w:val="00314994"/>
    <w:rsid w:val="00314F0D"/>
    <w:rsid w:val="00315211"/>
    <w:rsid w:val="00316AC4"/>
    <w:rsid w:val="00316C7D"/>
    <w:rsid w:val="0031773A"/>
    <w:rsid w:val="003215F8"/>
    <w:rsid w:val="003218FC"/>
    <w:rsid w:val="00321B12"/>
    <w:rsid w:val="00321D6F"/>
    <w:rsid w:val="00321EAB"/>
    <w:rsid w:val="00322707"/>
    <w:rsid w:val="0032302F"/>
    <w:rsid w:val="0032316C"/>
    <w:rsid w:val="003233B0"/>
    <w:rsid w:val="00323C5E"/>
    <w:rsid w:val="00323CBF"/>
    <w:rsid w:val="00324606"/>
    <w:rsid w:val="00324DD2"/>
    <w:rsid w:val="0032636E"/>
    <w:rsid w:val="003263EC"/>
    <w:rsid w:val="0032672E"/>
    <w:rsid w:val="003275A2"/>
    <w:rsid w:val="00330AC9"/>
    <w:rsid w:val="00331395"/>
    <w:rsid w:val="00331C98"/>
    <w:rsid w:val="00333A1C"/>
    <w:rsid w:val="00333A81"/>
    <w:rsid w:val="00333D5A"/>
    <w:rsid w:val="00333D9F"/>
    <w:rsid w:val="00333E64"/>
    <w:rsid w:val="003340AE"/>
    <w:rsid w:val="00334685"/>
    <w:rsid w:val="0033550D"/>
    <w:rsid w:val="00336313"/>
    <w:rsid w:val="003366E4"/>
    <w:rsid w:val="003367B6"/>
    <w:rsid w:val="0033701E"/>
    <w:rsid w:val="00337858"/>
    <w:rsid w:val="00337A08"/>
    <w:rsid w:val="00337AE6"/>
    <w:rsid w:val="00341CEB"/>
    <w:rsid w:val="0034295D"/>
    <w:rsid w:val="00342BE1"/>
    <w:rsid w:val="0034426C"/>
    <w:rsid w:val="0034435D"/>
    <w:rsid w:val="0034451A"/>
    <w:rsid w:val="00344A2D"/>
    <w:rsid w:val="003450E3"/>
    <w:rsid w:val="0034599A"/>
    <w:rsid w:val="00345FA3"/>
    <w:rsid w:val="00346A19"/>
    <w:rsid w:val="00346DA0"/>
    <w:rsid w:val="003471CC"/>
    <w:rsid w:val="003473DA"/>
    <w:rsid w:val="00347436"/>
    <w:rsid w:val="003476D0"/>
    <w:rsid w:val="00347AD4"/>
    <w:rsid w:val="00347E35"/>
    <w:rsid w:val="00350B80"/>
    <w:rsid w:val="0035223B"/>
    <w:rsid w:val="00352D06"/>
    <w:rsid w:val="00354055"/>
    <w:rsid w:val="00354D43"/>
    <w:rsid w:val="00355317"/>
    <w:rsid w:val="00355952"/>
    <w:rsid w:val="00355BFE"/>
    <w:rsid w:val="00355CA7"/>
    <w:rsid w:val="003566B1"/>
    <w:rsid w:val="003576DA"/>
    <w:rsid w:val="003579B6"/>
    <w:rsid w:val="00360999"/>
    <w:rsid w:val="00361111"/>
    <w:rsid w:val="003617BA"/>
    <w:rsid w:val="00361CB7"/>
    <w:rsid w:val="00361F8A"/>
    <w:rsid w:val="0036296B"/>
    <w:rsid w:val="00362CA3"/>
    <w:rsid w:val="00362FBA"/>
    <w:rsid w:val="0036441A"/>
    <w:rsid w:val="00364951"/>
    <w:rsid w:val="00364CDE"/>
    <w:rsid w:val="00365ABB"/>
    <w:rsid w:val="00367421"/>
    <w:rsid w:val="00367A94"/>
    <w:rsid w:val="00371DFE"/>
    <w:rsid w:val="00373A4F"/>
    <w:rsid w:val="00373BF8"/>
    <w:rsid w:val="00373CEB"/>
    <w:rsid w:val="00373DD7"/>
    <w:rsid w:val="00374C17"/>
    <w:rsid w:val="00375350"/>
    <w:rsid w:val="00375463"/>
    <w:rsid w:val="00375E98"/>
    <w:rsid w:val="00375F46"/>
    <w:rsid w:val="00375F94"/>
    <w:rsid w:val="00376218"/>
    <w:rsid w:val="003768B1"/>
    <w:rsid w:val="0037716D"/>
    <w:rsid w:val="00377364"/>
    <w:rsid w:val="00380EA6"/>
    <w:rsid w:val="0038157F"/>
    <w:rsid w:val="00381F45"/>
    <w:rsid w:val="00381F75"/>
    <w:rsid w:val="0038264F"/>
    <w:rsid w:val="00382788"/>
    <w:rsid w:val="00382948"/>
    <w:rsid w:val="00383894"/>
    <w:rsid w:val="00383CFD"/>
    <w:rsid w:val="00383FE0"/>
    <w:rsid w:val="003841D6"/>
    <w:rsid w:val="003845E5"/>
    <w:rsid w:val="00384759"/>
    <w:rsid w:val="00384F1B"/>
    <w:rsid w:val="00385E6E"/>
    <w:rsid w:val="003865E9"/>
    <w:rsid w:val="003909CB"/>
    <w:rsid w:val="003923B1"/>
    <w:rsid w:val="003927C3"/>
    <w:rsid w:val="0039308E"/>
    <w:rsid w:val="00393677"/>
    <w:rsid w:val="003938FE"/>
    <w:rsid w:val="00394CF2"/>
    <w:rsid w:val="0039556E"/>
    <w:rsid w:val="00396247"/>
    <w:rsid w:val="00396487"/>
    <w:rsid w:val="003970FB"/>
    <w:rsid w:val="003975A6"/>
    <w:rsid w:val="00397AD0"/>
    <w:rsid w:val="00397FB2"/>
    <w:rsid w:val="003A1C29"/>
    <w:rsid w:val="003A219C"/>
    <w:rsid w:val="003A23C7"/>
    <w:rsid w:val="003A24D6"/>
    <w:rsid w:val="003A28C2"/>
    <w:rsid w:val="003A5800"/>
    <w:rsid w:val="003A6022"/>
    <w:rsid w:val="003A77B3"/>
    <w:rsid w:val="003A7B5D"/>
    <w:rsid w:val="003B01B7"/>
    <w:rsid w:val="003B04C0"/>
    <w:rsid w:val="003B0FB0"/>
    <w:rsid w:val="003B1329"/>
    <w:rsid w:val="003B13D2"/>
    <w:rsid w:val="003B168F"/>
    <w:rsid w:val="003B177C"/>
    <w:rsid w:val="003B18E4"/>
    <w:rsid w:val="003B3F42"/>
    <w:rsid w:val="003B4A05"/>
    <w:rsid w:val="003B4C17"/>
    <w:rsid w:val="003B4E13"/>
    <w:rsid w:val="003B54CD"/>
    <w:rsid w:val="003B56DC"/>
    <w:rsid w:val="003B5BC8"/>
    <w:rsid w:val="003B6925"/>
    <w:rsid w:val="003B6963"/>
    <w:rsid w:val="003B6DB2"/>
    <w:rsid w:val="003B6FF5"/>
    <w:rsid w:val="003B788F"/>
    <w:rsid w:val="003C00AA"/>
    <w:rsid w:val="003C06A1"/>
    <w:rsid w:val="003C0DF2"/>
    <w:rsid w:val="003C1CF6"/>
    <w:rsid w:val="003C2EEF"/>
    <w:rsid w:val="003C3938"/>
    <w:rsid w:val="003C4714"/>
    <w:rsid w:val="003C4EFC"/>
    <w:rsid w:val="003C4F20"/>
    <w:rsid w:val="003C52EC"/>
    <w:rsid w:val="003C579E"/>
    <w:rsid w:val="003C5BAD"/>
    <w:rsid w:val="003C6293"/>
    <w:rsid w:val="003C6BDA"/>
    <w:rsid w:val="003D01D2"/>
    <w:rsid w:val="003D1A98"/>
    <w:rsid w:val="003D1F6D"/>
    <w:rsid w:val="003D1FB1"/>
    <w:rsid w:val="003D28DC"/>
    <w:rsid w:val="003D2CA2"/>
    <w:rsid w:val="003D3908"/>
    <w:rsid w:val="003D4F61"/>
    <w:rsid w:val="003D5742"/>
    <w:rsid w:val="003D5A21"/>
    <w:rsid w:val="003D60A9"/>
    <w:rsid w:val="003D6A06"/>
    <w:rsid w:val="003D6C70"/>
    <w:rsid w:val="003D713D"/>
    <w:rsid w:val="003D72E5"/>
    <w:rsid w:val="003D74C9"/>
    <w:rsid w:val="003E0BA5"/>
    <w:rsid w:val="003E22EE"/>
    <w:rsid w:val="003E28C0"/>
    <w:rsid w:val="003E567A"/>
    <w:rsid w:val="003E5971"/>
    <w:rsid w:val="003E65CB"/>
    <w:rsid w:val="003E65DA"/>
    <w:rsid w:val="003E6DF0"/>
    <w:rsid w:val="003E6F4E"/>
    <w:rsid w:val="003E6F57"/>
    <w:rsid w:val="003E7743"/>
    <w:rsid w:val="003E7BCC"/>
    <w:rsid w:val="003F04AB"/>
    <w:rsid w:val="003F058D"/>
    <w:rsid w:val="003F0F0E"/>
    <w:rsid w:val="003F1312"/>
    <w:rsid w:val="003F18AD"/>
    <w:rsid w:val="003F1A7E"/>
    <w:rsid w:val="003F2624"/>
    <w:rsid w:val="003F2E72"/>
    <w:rsid w:val="003F406C"/>
    <w:rsid w:val="003F4140"/>
    <w:rsid w:val="003F4150"/>
    <w:rsid w:val="003F4EFE"/>
    <w:rsid w:val="003F6494"/>
    <w:rsid w:val="003F6C8D"/>
    <w:rsid w:val="003F6CEC"/>
    <w:rsid w:val="003F6D36"/>
    <w:rsid w:val="003F6D37"/>
    <w:rsid w:val="003F7302"/>
    <w:rsid w:val="003F7D97"/>
    <w:rsid w:val="00400159"/>
    <w:rsid w:val="004012E8"/>
    <w:rsid w:val="00401FA0"/>
    <w:rsid w:val="004024BF"/>
    <w:rsid w:val="004028B6"/>
    <w:rsid w:val="00402E07"/>
    <w:rsid w:val="00403156"/>
    <w:rsid w:val="00403428"/>
    <w:rsid w:val="0040512C"/>
    <w:rsid w:val="00406197"/>
    <w:rsid w:val="00406438"/>
    <w:rsid w:val="004066B8"/>
    <w:rsid w:val="0040697F"/>
    <w:rsid w:val="004069BB"/>
    <w:rsid w:val="00407396"/>
    <w:rsid w:val="00407791"/>
    <w:rsid w:val="00407C67"/>
    <w:rsid w:val="004100FB"/>
    <w:rsid w:val="004101EA"/>
    <w:rsid w:val="00410219"/>
    <w:rsid w:val="004104C5"/>
    <w:rsid w:val="00411F73"/>
    <w:rsid w:val="00412D1B"/>
    <w:rsid w:val="00414977"/>
    <w:rsid w:val="00414E30"/>
    <w:rsid w:val="004168FE"/>
    <w:rsid w:val="00416CCF"/>
    <w:rsid w:val="0041762B"/>
    <w:rsid w:val="0041790A"/>
    <w:rsid w:val="00420D90"/>
    <w:rsid w:val="00421110"/>
    <w:rsid w:val="004219B3"/>
    <w:rsid w:val="00422087"/>
    <w:rsid w:val="00422DD0"/>
    <w:rsid w:val="004238BD"/>
    <w:rsid w:val="00423A16"/>
    <w:rsid w:val="00423AA3"/>
    <w:rsid w:val="00424E0F"/>
    <w:rsid w:val="004262A8"/>
    <w:rsid w:val="004263E7"/>
    <w:rsid w:val="00426F3C"/>
    <w:rsid w:val="004310B5"/>
    <w:rsid w:val="0043157D"/>
    <w:rsid w:val="004329C9"/>
    <w:rsid w:val="00432A08"/>
    <w:rsid w:val="00433B20"/>
    <w:rsid w:val="004340FB"/>
    <w:rsid w:val="00434277"/>
    <w:rsid w:val="0043466F"/>
    <w:rsid w:val="00434DEB"/>
    <w:rsid w:val="00435A3C"/>
    <w:rsid w:val="00435DB4"/>
    <w:rsid w:val="00436194"/>
    <w:rsid w:val="00436C05"/>
    <w:rsid w:val="00437A9A"/>
    <w:rsid w:val="00440D63"/>
    <w:rsid w:val="0044107D"/>
    <w:rsid w:val="0044176F"/>
    <w:rsid w:val="0044183E"/>
    <w:rsid w:val="00441863"/>
    <w:rsid w:val="00442662"/>
    <w:rsid w:val="0044316B"/>
    <w:rsid w:val="0044340B"/>
    <w:rsid w:val="004436E9"/>
    <w:rsid w:val="00443BEC"/>
    <w:rsid w:val="00443C2E"/>
    <w:rsid w:val="0044424B"/>
    <w:rsid w:val="00444B04"/>
    <w:rsid w:val="00445558"/>
    <w:rsid w:val="00445B12"/>
    <w:rsid w:val="00445FE3"/>
    <w:rsid w:val="00447483"/>
    <w:rsid w:val="0045087F"/>
    <w:rsid w:val="00451B77"/>
    <w:rsid w:val="00451E1C"/>
    <w:rsid w:val="00452014"/>
    <w:rsid w:val="004521B2"/>
    <w:rsid w:val="004529F1"/>
    <w:rsid w:val="00453062"/>
    <w:rsid w:val="004536CC"/>
    <w:rsid w:val="00455A10"/>
    <w:rsid w:val="00456DB0"/>
    <w:rsid w:val="0045702C"/>
    <w:rsid w:val="004577B0"/>
    <w:rsid w:val="0046037E"/>
    <w:rsid w:val="00460636"/>
    <w:rsid w:val="00460AF6"/>
    <w:rsid w:val="00460DEA"/>
    <w:rsid w:val="004616CF"/>
    <w:rsid w:val="004616E3"/>
    <w:rsid w:val="00462327"/>
    <w:rsid w:val="00463EBB"/>
    <w:rsid w:val="00463F0E"/>
    <w:rsid w:val="004651BB"/>
    <w:rsid w:val="0046530B"/>
    <w:rsid w:val="004659AD"/>
    <w:rsid w:val="00465C9A"/>
    <w:rsid w:val="00466AD8"/>
    <w:rsid w:val="004670B8"/>
    <w:rsid w:val="0047044A"/>
    <w:rsid w:val="004705F7"/>
    <w:rsid w:val="00470DBE"/>
    <w:rsid w:val="004716A2"/>
    <w:rsid w:val="00471AC9"/>
    <w:rsid w:val="00473D34"/>
    <w:rsid w:val="004741F0"/>
    <w:rsid w:val="00475AC0"/>
    <w:rsid w:val="004766A9"/>
    <w:rsid w:val="00476715"/>
    <w:rsid w:val="004772D4"/>
    <w:rsid w:val="004775AC"/>
    <w:rsid w:val="00477F62"/>
    <w:rsid w:val="004805E4"/>
    <w:rsid w:val="00480748"/>
    <w:rsid w:val="004810B3"/>
    <w:rsid w:val="0048166C"/>
    <w:rsid w:val="00483489"/>
    <w:rsid w:val="00484073"/>
    <w:rsid w:val="0048435E"/>
    <w:rsid w:val="00484764"/>
    <w:rsid w:val="00484864"/>
    <w:rsid w:val="00484F54"/>
    <w:rsid w:val="00484FE8"/>
    <w:rsid w:val="00485352"/>
    <w:rsid w:val="00486064"/>
    <w:rsid w:val="00486069"/>
    <w:rsid w:val="004877A6"/>
    <w:rsid w:val="00487DFE"/>
    <w:rsid w:val="00490040"/>
    <w:rsid w:val="00490622"/>
    <w:rsid w:val="0049117B"/>
    <w:rsid w:val="00491A3C"/>
    <w:rsid w:val="00492099"/>
    <w:rsid w:val="00493947"/>
    <w:rsid w:val="00493B00"/>
    <w:rsid w:val="00495160"/>
    <w:rsid w:val="00496931"/>
    <w:rsid w:val="004A0738"/>
    <w:rsid w:val="004A1BBD"/>
    <w:rsid w:val="004A1C76"/>
    <w:rsid w:val="004A1D41"/>
    <w:rsid w:val="004A1D44"/>
    <w:rsid w:val="004A1DE6"/>
    <w:rsid w:val="004A3487"/>
    <w:rsid w:val="004A36C3"/>
    <w:rsid w:val="004A3E16"/>
    <w:rsid w:val="004A4812"/>
    <w:rsid w:val="004A538B"/>
    <w:rsid w:val="004A60C0"/>
    <w:rsid w:val="004A61CB"/>
    <w:rsid w:val="004A69CA"/>
    <w:rsid w:val="004A6BBF"/>
    <w:rsid w:val="004A6D23"/>
    <w:rsid w:val="004A7E0A"/>
    <w:rsid w:val="004B0379"/>
    <w:rsid w:val="004B0F56"/>
    <w:rsid w:val="004B13A5"/>
    <w:rsid w:val="004B23C4"/>
    <w:rsid w:val="004B3229"/>
    <w:rsid w:val="004B42A0"/>
    <w:rsid w:val="004B42C4"/>
    <w:rsid w:val="004B4799"/>
    <w:rsid w:val="004B49B2"/>
    <w:rsid w:val="004B5D26"/>
    <w:rsid w:val="004B612C"/>
    <w:rsid w:val="004B65B0"/>
    <w:rsid w:val="004B6735"/>
    <w:rsid w:val="004B67FF"/>
    <w:rsid w:val="004B6C50"/>
    <w:rsid w:val="004B7BDD"/>
    <w:rsid w:val="004C08E3"/>
    <w:rsid w:val="004C1312"/>
    <w:rsid w:val="004C1D73"/>
    <w:rsid w:val="004C1E72"/>
    <w:rsid w:val="004C3DD0"/>
    <w:rsid w:val="004C41C9"/>
    <w:rsid w:val="004C4701"/>
    <w:rsid w:val="004D13E7"/>
    <w:rsid w:val="004D146E"/>
    <w:rsid w:val="004D1546"/>
    <w:rsid w:val="004D198C"/>
    <w:rsid w:val="004D21D8"/>
    <w:rsid w:val="004D2A29"/>
    <w:rsid w:val="004D391D"/>
    <w:rsid w:val="004D39F5"/>
    <w:rsid w:val="004D3FDF"/>
    <w:rsid w:val="004D426E"/>
    <w:rsid w:val="004D4385"/>
    <w:rsid w:val="004D43EB"/>
    <w:rsid w:val="004D440E"/>
    <w:rsid w:val="004D4C00"/>
    <w:rsid w:val="004D581D"/>
    <w:rsid w:val="004D5A6A"/>
    <w:rsid w:val="004D69B4"/>
    <w:rsid w:val="004D6FF6"/>
    <w:rsid w:val="004E08FC"/>
    <w:rsid w:val="004E0918"/>
    <w:rsid w:val="004E0DFB"/>
    <w:rsid w:val="004E0E43"/>
    <w:rsid w:val="004E1FE3"/>
    <w:rsid w:val="004E31F1"/>
    <w:rsid w:val="004E3B7B"/>
    <w:rsid w:val="004E3DBC"/>
    <w:rsid w:val="004E47A9"/>
    <w:rsid w:val="004E48F1"/>
    <w:rsid w:val="004E4CC6"/>
    <w:rsid w:val="004E5B48"/>
    <w:rsid w:val="004E5D67"/>
    <w:rsid w:val="004E6E36"/>
    <w:rsid w:val="004E6F42"/>
    <w:rsid w:val="004E758E"/>
    <w:rsid w:val="004E7E5B"/>
    <w:rsid w:val="004F1286"/>
    <w:rsid w:val="004F12DE"/>
    <w:rsid w:val="004F16B5"/>
    <w:rsid w:val="004F1702"/>
    <w:rsid w:val="004F1780"/>
    <w:rsid w:val="004F1E31"/>
    <w:rsid w:val="004F2918"/>
    <w:rsid w:val="004F3FAA"/>
    <w:rsid w:val="004F58E1"/>
    <w:rsid w:val="004F5928"/>
    <w:rsid w:val="004F63FF"/>
    <w:rsid w:val="004F6536"/>
    <w:rsid w:val="004F6BA1"/>
    <w:rsid w:val="004F74AC"/>
    <w:rsid w:val="004F7BB3"/>
    <w:rsid w:val="00502623"/>
    <w:rsid w:val="00504339"/>
    <w:rsid w:val="005046CA"/>
    <w:rsid w:val="00506086"/>
    <w:rsid w:val="00506615"/>
    <w:rsid w:val="005069F8"/>
    <w:rsid w:val="005074CE"/>
    <w:rsid w:val="00510463"/>
    <w:rsid w:val="00510A37"/>
    <w:rsid w:val="00510B3B"/>
    <w:rsid w:val="00511B0D"/>
    <w:rsid w:val="00512BDE"/>
    <w:rsid w:val="00512F67"/>
    <w:rsid w:val="00512FD4"/>
    <w:rsid w:val="00513AB3"/>
    <w:rsid w:val="00513FAD"/>
    <w:rsid w:val="005144BA"/>
    <w:rsid w:val="00514A13"/>
    <w:rsid w:val="00514EC9"/>
    <w:rsid w:val="0051593D"/>
    <w:rsid w:val="00515BDD"/>
    <w:rsid w:val="0051612C"/>
    <w:rsid w:val="00516301"/>
    <w:rsid w:val="00516462"/>
    <w:rsid w:val="005172A8"/>
    <w:rsid w:val="00517CC8"/>
    <w:rsid w:val="0052021B"/>
    <w:rsid w:val="005203E5"/>
    <w:rsid w:val="00520BB2"/>
    <w:rsid w:val="00520CFE"/>
    <w:rsid w:val="00520FD9"/>
    <w:rsid w:val="0052265A"/>
    <w:rsid w:val="00523198"/>
    <w:rsid w:val="00523328"/>
    <w:rsid w:val="005236ED"/>
    <w:rsid w:val="00523BF8"/>
    <w:rsid w:val="00523EB6"/>
    <w:rsid w:val="005241FE"/>
    <w:rsid w:val="00524D8A"/>
    <w:rsid w:val="005257B6"/>
    <w:rsid w:val="00525B25"/>
    <w:rsid w:val="005266EE"/>
    <w:rsid w:val="00526968"/>
    <w:rsid w:val="00526A24"/>
    <w:rsid w:val="00527E13"/>
    <w:rsid w:val="00527FDE"/>
    <w:rsid w:val="00530A7E"/>
    <w:rsid w:val="00530EA9"/>
    <w:rsid w:val="00530F77"/>
    <w:rsid w:val="00531063"/>
    <w:rsid w:val="005310CA"/>
    <w:rsid w:val="00531B9C"/>
    <w:rsid w:val="00532185"/>
    <w:rsid w:val="00533529"/>
    <w:rsid w:val="00533D1A"/>
    <w:rsid w:val="00535943"/>
    <w:rsid w:val="00535CFD"/>
    <w:rsid w:val="00536D4C"/>
    <w:rsid w:val="00540027"/>
    <w:rsid w:val="0054076D"/>
    <w:rsid w:val="00540849"/>
    <w:rsid w:val="00540D69"/>
    <w:rsid w:val="00541905"/>
    <w:rsid w:val="00541B3C"/>
    <w:rsid w:val="00541BED"/>
    <w:rsid w:val="005429DF"/>
    <w:rsid w:val="00543118"/>
    <w:rsid w:val="00543E6D"/>
    <w:rsid w:val="005447D2"/>
    <w:rsid w:val="00544A14"/>
    <w:rsid w:val="00545FC1"/>
    <w:rsid w:val="005460CA"/>
    <w:rsid w:val="00546911"/>
    <w:rsid w:val="0054711F"/>
    <w:rsid w:val="00547893"/>
    <w:rsid w:val="00547F06"/>
    <w:rsid w:val="0055151A"/>
    <w:rsid w:val="00551A1E"/>
    <w:rsid w:val="00551FE3"/>
    <w:rsid w:val="005523FA"/>
    <w:rsid w:val="005527BC"/>
    <w:rsid w:val="00552FD3"/>
    <w:rsid w:val="0055331E"/>
    <w:rsid w:val="00553903"/>
    <w:rsid w:val="00553CC6"/>
    <w:rsid w:val="00554008"/>
    <w:rsid w:val="005552F3"/>
    <w:rsid w:val="0055605D"/>
    <w:rsid w:val="0055613E"/>
    <w:rsid w:val="00557A51"/>
    <w:rsid w:val="00560118"/>
    <w:rsid w:val="0056020A"/>
    <w:rsid w:val="00561738"/>
    <w:rsid w:val="00561818"/>
    <w:rsid w:val="00562255"/>
    <w:rsid w:val="00562AC7"/>
    <w:rsid w:val="00562CE2"/>
    <w:rsid w:val="00562E41"/>
    <w:rsid w:val="00563080"/>
    <w:rsid w:val="00563469"/>
    <w:rsid w:val="00563B5C"/>
    <w:rsid w:val="00563BDE"/>
    <w:rsid w:val="00564EEA"/>
    <w:rsid w:val="0056505A"/>
    <w:rsid w:val="00565197"/>
    <w:rsid w:val="0056558E"/>
    <w:rsid w:val="00566082"/>
    <w:rsid w:val="00570015"/>
    <w:rsid w:val="00571158"/>
    <w:rsid w:val="0057128D"/>
    <w:rsid w:val="00571A0B"/>
    <w:rsid w:val="0057254C"/>
    <w:rsid w:val="00573377"/>
    <w:rsid w:val="00573E33"/>
    <w:rsid w:val="00575116"/>
    <w:rsid w:val="005753F9"/>
    <w:rsid w:val="00575792"/>
    <w:rsid w:val="00575DB8"/>
    <w:rsid w:val="0057621A"/>
    <w:rsid w:val="00576779"/>
    <w:rsid w:val="00576EB9"/>
    <w:rsid w:val="005771A1"/>
    <w:rsid w:val="00577F4C"/>
    <w:rsid w:val="0058034C"/>
    <w:rsid w:val="00581057"/>
    <w:rsid w:val="005817A6"/>
    <w:rsid w:val="0058250A"/>
    <w:rsid w:val="00582865"/>
    <w:rsid w:val="00582E7A"/>
    <w:rsid w:val="00583563"/>
    <w:rsid w:val="0058374F"/>
    <w:rsid w:val="00584CDA"/>
    <w:rsid w:val="005862D3"/>
    <w:rsid w:val="005864AE"/>
    <w:rsid w:val="005872FE"/>
    <w:rsid w:val="00587BD9"/>
    <w:rsid w:val="00590359"/>
    <w:rsid w:val="00591FEE"/>
    <w:rsid w:val="00592101"/>
    <w:rsid w:val="00592322"/>
    <w:rsid w:val="00592D6C"/>
    <w:rsid w:val="0059361A"/>
    <w:rsid w:val="00593EC9"/>
    <w:rsid w:val="00593FD4"/>
    <w:rsid w:val="00594176"/>
    <w:rsid w:val="005943E7"/>
    <w:rsid w:val="00594514"/>
    <w:rsid w:val="00594994"/>
    <w:rsid w:val="00595431"/>
    <w:rsid w:val="0059591B"/>
    <w:rsid w:val="00595CC1"/>
    <w:rsid w:val="0059644A"/>
    <w:rsid w:val="005966D9"/>
    <w:rsid w:val="00596898"/>
    <w:rsid w:val="00596B91"/>
    <w:rsid w:val="00596E7F"/>
    <w:rsid w:val="0059723F"/>
    <w:rsid w:val="00597528"/>
    <w:rsid w:val="00597E2E"/>
    <w:rsid w:val="005A09D3"/>
    <w:rsid w:val="005A1717"/>
    <w:rsid w:val="005A1E4F"/>
    <w:rsid w:val="005A1FBE"/>
    <w:rsid w:val="005A201E"/>
    <w:rsid w:val="005A3353"/>
    <w:rsid w:val="005A3577"/>
    <w:rsid w:val="005A41A8"/>
    <w:rsid w:val="005A44EB"/>
    <w:rsid w:val="005A466F"/>
    <w:rsid w:val="005A6462"/>
    <w:rsid w:val="005B0B25"/>
    <w:rsid w:val="005B1331"/>
    <w:rsid w:val="005B2066"/>
    <w:rsid w:val="005B2505"/>
    <w:rsid w:val="005B2632"/>
    <w:rsid w:val="005B2F5F"/>
    <w:rsid w:val="005B31F0"/>
    <w:rsid w:val="005B4A4A"/>
    <w:rsid w:val="005B4A7C"/>
    <w:rsid w:val="005B71F9"/>
    <w:rsid w:val="005C2343"/>
    <w:rsid w:val="005C23C2"/>
    <w:rsid w:val="005C48CC"/>
    <w:rsid w:val="005C4AA2"/>
    <w:rsid w:val="005C5008"/>
    <w:rsid w:val="005C5251"/>
    <w:rsid w:val="005C5B4A"/>
    <w:rsid w:val="005C5BF3"/>
    <w:rsid w:val="005C63FB"/>
    <w:rsid w:val="005C69B0"/>
    <w:rsid w:val="005C6A5B"/>
    <w:rsid w:val="005C6BD4"/>
    <w:rsid w:val="005C6C31"/>
    <w:rsid w:val="005C78F7"/>
    <w:rsid w:val="005C7BB6"/>
    <w:rsid w:val="005C7C10"/>
    <w:rsid w:val="005D0A75"/>
    <w:rsid w:val="005D17E9"/>
    <w:rsid w:val="005D1D3D"/>
    <w:rsid w:val="005D261E"/>
    <w:rsid w:val="005D2A1D"/>
    <w:rsid w:val="005D2AB0"/>
    <w:rsid w:val="005D3370"/>
    <w:rsid w:val="005D3737"/>
    <w:rsid w:val="005D3EC9"/>
    <w:rsid w:val="005D3FD5"/>
    <w:rsid w:val="005D453E"/>
    <w:rsid w:val="005D46C0"/>
    <w:rsid w:val="005D6AC0"/>
    <w:rsid w:val="005E0090"/>
    <w:rsid w:val="005E0121"/>
    <w:rsid w:val="005E03A6"/>
    <w:rsid w:val="005E0666"/>
    <w:rsid w:val="005E13A7"/>
    <w:rsid w:val="005E15B0"/>
    <w:rsid w:val="005E1E33"/>
    <w:rsid w:val="005E2220"/>
    <w:rsid w:val="005E279F"/>
    <w:rsid w:val="005E2CCF"/>
    <w:rsid w:val="005E2DAC"/>
    <w:rsid w:val="005E2E4D"/>
    <w:rsid w:val="005E4094"/>
    <w:rsid w:val="005E4ED3"/>
    <w:rsid w:val="005E4F70"/>
    <w:rsid w:val="005E52D8"/>
    <w:rsid w:val="005E5B5C"/>
    <w:rsid w:val="005E5FDC"/>
    <w:rsid w:val="005E6615"/>
    <w:rsid w:val="005E69E1"/>
    <w:rsid w:val="005E6D8A"/>
    <w:rsid w:val="005E76EB"/>
    <w:rsid w:val="005F07A5"/>
    <w:rsid w:val="005F09C1"/>
    <w:rsid w:val="005F14F4"/>
    <w:rsid w:val="005F3185"/>
    <w:rsid w:val="005F3291"/>
    <w:rsid w:val="005F32ED"/>
    <w:rsid w:val="005F3EEC"/>
    <w:rsid w:val="005F44DD"/>
    <w:rsid w:val="005F4B5E"/>
    <w:rsid w:val="005F5531"/>
    <w:rsid w:val="005F5947"/>
    <w:rsid w:val="005F5F59"/>
    <w:rsid w:val="005F64FC"/>
    <w:rsid w:val="005F667B"/>
    <w:rsid w:val="005F6A10"/>
    <w:rsid w:val="005F6E06"/>
    <w:rsid w:val="005F789C"/>
    <w:rsid w:val="00600F04"/>
    <w:rsid w:val="00600F77"/>
    <w:rsid w:val="0060176C"/>
    <w:rsid w:val="00601A5E"/>
    <w:rsid w:val="00601F60"/>
    <w:rsid w:val="006029E2"/>
    <w:rsid w:val="00602E04"/>
    <w:rsid w:val="0060355B"/>
    <w:rsid w:val="006067E3"/>
    <w:rsid w:val="00606ACC"/>
    <w:rsid w:val="00606E84"/>
    <w:rsid w:val="006102B1"/>
    <w:rsid w:val="00610FD9"/>
    <w:rsid w:val="00612E4B"/>
    <w:rsid w:val="00614212"/>
    <w:rsid w:val="00614B87"/>
    <w:rsid w:val="00614BA5"/>
    <w:rsid w:val="00615954"/>
    <w:rsid w:val="00615F86"/>
    <w:rsid w:val="00616614"/>
    <w:rsid w:val="00616668"/>
    <w:rsid w:val="00616CA9"/>
    <w:rsid w:val="00617132"/>
    <w:rsid w:val="006219F0"/>
    <w:rsid w:val="00622607"/>
    <w:rsid w:val="00622C91"/>
    <w:rsid w:val="00623240"/>
    <w:rsid w:val="0062333D"/>
    <w:rsid w:val="0062384C"/>
    <w:rsid w:val="00626E94"/>
    <w:rsid w:val="006271FC"/>
    <w:rsid w:val="00633E57"/>
    <w:rsid w:val="00634854"/>
    <w:rsid w:val="00634A58"/>
    <w:rsid w:val="00634C2E"/>
    <w:rsid w:val="0063517C"/>
    <w:rsid w:val="00635500"/>
    <w:rsid w:val="00635C4C"/>
    <w:rsid w:val="00635D22"/>
    <w:rsid w:val="00636CF5"/>
    <w:rsid w:val="00637080"/>
    <w:rsid w:val="006406D1"/>
    <w:rsid w:val="0064106A"/>
    <w:rsid w:val="006433C5"/>
    <w:rsid w:val="00643E0D"/>
    <w:rsid w:val="0064413D"/>
    <w:rsid w:val="00644438"/>
    <w:rsid w:val="00645222"/>
    <w:rsid w:val="00645441"/>
    <w:rsid w:val="00646489"/>
    <w:rsid w:val="00646EA5"/>
    <w:rsid w:val="00646F61"/>
    <w:rsid w:val="00647852"/>
    <w:rsid w:val="00647AA7"/>
    <w:rsid w:val="00650229"/>
    <w:rsid w:val="006502E2"/>
    <w:rsid w:val="0065108A"/>
    <w:rsid w:val="00651524"/>
    <w:rsid w:val="00652596"/>
    <w:rsid w:val="00652857"/>
    <w:rsid w:val="00652FFB"/>
    <w:rsid w:val="006530D0"/>
    <w:rsid w:val="00653782"/>
    <w:rsid w:val="0065587B"/>
    <w:rsid w:val="00655A43"/>
    <w:rsid w:val="00655DEB"/>
    <w:rsid w:val="006562FD"/>
    <w:rsid w:val="00656B1A"/>
    <w:rsid w:val="0065715F"/>
    <w:rsid w:val="00657358"/>
    <w:rsid w:val="0065784D"/>
    <w:rsid w:val="00657C43"/>
    <w:rsid w:val="00660521"/>
    <w:rsid w:val="006606AF"/>
    <w:rsid w:val="00660A26"/>
    <w:rsid w:val="006611FA"/>
    <w:rsid w:val="006622DA"/>
    <w:rsid w:val="00662F8F"/>
    <w:rsid w:val="00664479"/>
    <w:rsid w:val="00664A03"/>
    <w:rsid w:val="00664EAD"/>
    <w:rsid w:val="006700D2"/>
    <w:rsid w:val="006708A8"/>
    <w:rsid w:val="0067281A"/>
    <w:rsid w:val="006740B2"/>
    <w:rsid w:val="00674C19"/>
    <w:rsid w:val="00674D22"/>
    <w:rsid w:val="00676EB8"/>
    <w:rsid w:val="00677D99"/>
    <w:rsid w:val="0068004C"/>
    <w:rsid w:val="00680218"/>
    <w:rsid w:val="0068032F"/>
    <w:rsid w:val="006806E9"/>
    <w:rsid w:val="00680B24"/>
    <w:rsid w:val="00680BF7"/>
    <w:rsid w:val="00680D94"/>
    <w:rsid w:val="00680E26"/>
    <w:rsid w:val="006818DE"/>
    <w:rsid w:val="00681B8D"/>
    <w:rsid w:val="00681F66"/>
    <w:rsid w:val="0068221F"/>
    <w:rsid w:val="00682D17"/>
    <w:rsid w:val="00683877"/>
    <w:rsid w:val="00683FCE"/>
    <w:rsid w:val="00683FF6"/>
    <w:rsid w:val="006851AD"/>
    <w:rsid w:val="006852A3"/>
    <w:rsid w:val="00685C14"/>
    <w:rsid w:val="00685D20"/>
    <w:rsid w:val="00686137"/>
    <w:rsid w:val="006908D5"/>
    <w:rsid w:val="00690E28"/>
    <w:rsid w:val="00691315"/>
    <w:rsid w:val="00691969"/>
    <w:rsid w:val="006938D0"/>
    <w:rsid w:val="00693F02"/>
    <w:rsid w:val="00694205"/>
    <w:rsid w:val="00694382"/>
    <w:rsid w:val="006946F4"/>
    <w:rsid w:val="00694AA6"/>
    <w:rsid w:val="00695C61"/>
    <w:rsid w:val="006968AD"/>
    <w:rsid w:val="00696B23"/>
    <w:rsid w:val="00696DAE"/>
    <w:rsid w:val="00697C17"/>
    <w:rsid w:val="006A01B1"/>
    <w:rsid w:val="006A05D2"/>
    <w:rsid w:val="006A09F2"/>
    <w:rsid w:val="006A1A94"/>
    <w:rsid w:val="006A3E63"/>
    <w:rsid w:val="006A4BD8"/>
    <w:rsid w:val="006A5025"/>
    <w:rsid w:val="006A6166"/>
    <w:rsid w:val="006A74D4"/>
    <w:rsid w:val="006A7FB8"/>
    <w:rsid w:val="006B0789"/>
    <w:rsid w:val="006B3B4B"/>
    <w:rsid w:val="006B4406"/>
    <w:rsid w:val="006B4903"/>
    <w:rsid w:val="006B55D7"/>
    <w:rsid w:val="006B57B6"/>
    <w:rsid w:val="006B5F7D"/>
    <w:rsid w:val="006B6232"/>
    <w:rsid w:val="006B64F9"/>
    <w:rsid w:val="006B6C79"/>
    <w:rsid w:val="006B76E4"/>
    <w:rsid w:val="006C0393"/>
    <w:rsid w:val="006C073F"/>
    <w:rsid w:val="006C07F7"/>
    <w:rsid w:val="006C15D9"/>
    <w:rsid w:val="006C1A9A"/>
    <w:rsid w:val="006C2076"/>
    <w:rsid w:val="006C22DF"/>
    <w:rsid w:val="006C2CC5"/>
    <w:rsid w:val="006C3545"/>
    <w:rsid w:val="006C3811"/>
    <w:rsid w:val="006C4569"/>
    <w:rsid w:val="006C49E7"/>
    <w:rsid w:val="006C4C23"/>
    <w:rsid w:val="006C5AA3"/>
    <w:rsid w:val="006C5F25"/>
    <w:rsid w:val="006C68F4"/>
    <w:rsid w:val="006C7122"/>
    <w:rsid w:val="006C734D"/>
    <w:rsid w:val="006C7F81"/>
    <w:rsid w:val="006D0293"/>
    <w:rsid w:val="006D1531"/>
    <w:rsid w:val="006D20F7"/>
    <w:rsid w:val="006D2DDD"/>
    <w:rsid w:val="006D363A"/>
    <w:rsid w:val="006D365C"/>
    <w:rsid w:val="006D77DF"/>
    <w:rsid w:val="006D7C7B"/>
    <w:rsid w:val="006E04A6"/>
    <w:rsid w:val="006E0A64"/>
    <w:rsid w:val="006E1516"/>
    <w:rsid w:val="006E21C5"/>
    <w:rsid w:val="006E2B21"/>
    <w:rsid w:val="006E43AD"/>
    <w:rsid w:val="006E51A7"/>
    <w:rsid w:val="006E55AF"/>
    <w:rsid w:val="006E66CA"/>
    <w:rsid w:val="006E70CE"/>
    <w:rsid w:val="006E7B17"/>
    <w:rsid w:val="006F0333"/>
    <w:rsid w:val="006F21EB"/>
    <w:rsid w:val="006F2809"/>
    <w:rsid w:val="006F2CCB"/>
    <w:rsid w:val="006F3462"/>
    <w:rsid w:val="006F3C5A"/>
    <w:rsid w:val="006F3D0E"/>
    <w:rsid w:val="006F4060"/>
    <w:rsid w:val="006F4234"/>
    <w:rsid w:val="006F4866"/>
    <w:rsid w:val="006F48E4"/>
    <w:rsid w:val="006F63C2"/>
    <w:rsid w:val="006F72DE"/>
    <w:rsid w:val="006F7791"/>
    <w:rsid w:val="006F7BD2"/>
    <w:rsid w:val="006F7CAC"/>
    <w:rsid w:val="00701407"/>
    <w:rsid w:val="00701B01"/>
    <w:rsid w:val="00702857"/>
    <w:rsid w:val="007029F8"/>
    <w:rsid w:val="00702B47"/>
    <w:rsid w:val="00702E8F"/>
    <w:rsid w:val="007038FC"/>
    <w:rsid w:val="00704C87"/>
    <w:rsid w:val="007054F3"/>
    <w:rsid w:val="0070564F"/>
    <w:rsid w:val="00705BE8"/>
    <w:rsid w:val="007064A8"/>
    <w:rsid w:val="007065B0"/>
    <w:rsid w:val="00706F1A"/>
    <w:rsid w:val="00707300"/>
    <w:rsid w:val="007074E3"/>
    <w:rsid w:val="007101DD"/>
    <w:rsid w:val="00710A4F"/>
    <w:rsid w:val="00710C69"/>
    <w:rsid w:val="00710CF9"/>
    <w:rsid w:val="0071255E"/>
    <w:rsid w:val="00712646"/>
    <w:rsid w:val="007128BA"/>
    <w:rsid w:val="00712AE2"/>
    <w:rsid w:val="00712BBB"/>
    <w:rsid w:val="00712FA1"/>
    <w:rsid w:val="00712FA8"/>
    <w:rsid w:val="0071318C"/>
    <w:rsid w:val="00714B18"/>
    <w:rsid w:val="007153D8"/>
    <w:rsid w:val="00715C16"/>
    <w:rsid w:val="007174C9"/>
    <w:rsid w:val="00717723"/>
    <w:rsid w:val="00720109"/>
    <w:rsid w:val="00721615"/>
    <w:rsid w:val="007217C4"/>
    <w:rsid w:val="00722F73"/>
    <w:rsid w:val="00723254"/>
    <w:rsid w:val="007232C8"/>
    <w:rsid w:val="00723D0C"/>
    <w:rsid w:val="00725836"/>
    <w:rsid w:val="0072591D"/>
    <w:rsid w:val="00725C33"/>
    <w:rsid w:val="00725CBA"/>
    <w:rsid w:val="007270E8"/>
    <w:rsid w:val="007272BC"/>
    <w:rsid w:val="00727C4C"/>
    <w:rsid w:val="0073018C"/>
    <w:rsid w:val="00731045"/>
    <w:rsid w:val="007311EE"/>
    <w:rsid w:val="00733207"/>
    <w:rsid w:val="00733847"/>
    <w:rsid w:val="007341BD"/>
    <w:rsid w:val="00734B35"/>
    <w:rsid w:val="00735018"/>
    <w:rsid w:val="00735672"/>
    <w:rsid w:val="007358A4"/>
    <w:rsid w:val="007358BD"/>
    <w:rsid w:val="00735AB7"/>
    <w:rsid w:val="00735D50"/>
    <w:rsid w:val="00735F22"/>
    <w:rsid w:val="007369BB"/>
    <w:rsid w:val="00736F4C"/>
    <w:rsid w:val="00737EC0"/>
    <w:rsid w:val="00737ED5"/>
    <w:rsid w:val="00740224"/>
    <w:rsid w:val="00744168"/>
    <w:rsid w:val="007445EF"/>
    <w:rsid w:val="007446CD"/>
    <w:rsid w:val="0074498D"/>
    <w:rsid w:val="00744D7B"/>
    <w:rsid w:val="00744E26"/>
    <w:rsid w:val="00744E93"/>
    <w:rsid w:val="00745CC8"/>
    <w:rsid w:val="0074634A"/>
    <w:rsid w:val="00746AB2"/>
    <w:rsid w:val="00746D90"/>
    <w:rsid w:val="0074727A"/>
    <w:rsid w:val="007475A3"/>
    <w:rsid w:val="0075093A"/>
    <w:rsid w:val="00751FCF"/>
    <w:rsid w:val="00752623"/>
    <w:rsid w:val="00753859"/>
    <w:rsid w:val="00753DBA"/>
    <w:rsid w:val="00754320"/>
    <w:rsid w:val="007548B4"/>
    <w:rsid w:val="00754A5A"/>
    <w:rsid w:val="007555E5"/>
    <w:rsid w:val="007567C9"/>
    <w:rsid w:val="00757115"/>
    <w:rsid w:val="00757A0A"/>
    <w:rsid w:val="00757F50"/>
    <w:rsid w:val="0076065A"/>
    <w:rsid w:val="00760D74"/>
    <w:rsid w:val="00760DAA"/>
    <w:rsid w:val="00761603"/>
    <w:rsid w:val="00761FBC"/>
    <w:rsid w:val="00762098"/>
    <w:rsid w:val="00762E32"/>
    <w:rsid w:val="00763504"/>
    <w:rsid w:val="00764ABB"/>
    <w:rsid w:val="00764C56"/>
    <w:rsid w:val="00765C35"/>
    <w:rsid w:val="00766864"/>
    <w:rsid w:val="00766B0C"/>
    <w:rsid w:val="00766F69"/>
    <w:rsid w:val="00770903"/>
    <w:rsid w:val="00770C7C"/>
    <w:rsid w:val="00770D08"/>
    <w:rsid w:val="007712A9"/>
    <w:rsid w:val="00771AA2"/>
    <w:rsid w:val="00772B5D"/>
    <w:rsid w:val="00773932"/>
    <w:rsid w:val="00774BF8"/>
    <w:rsid w:val="00775A33"/>
    <w:rsid w:val="00775ADC"/>
    <w:rsid w:val="0077622A"/>
    <w:rsid w:val="00776482"/>
    <w:rsid w:val="0077668E"/>
    <w:rsid w:val="007766D6"/>
    <w:rsid w:val="0077697B"/>
    <w:rsid w:val="00776BC9"/>
    <w:rsid w:val="007779E2"/>
    <w:rsid w:val="00777BE9"/>
    <w:rsid w:val="00777ECA"/>
    <w:rsid w:val="00781C02"/>
    <w:rsid w:val="00781CC3"/>
    <w:rsid w:val="00782950"/>
    <w:rsid w:val="0078404B"/>
    <w:rsid w:val="007840D4"/>
    <w:rsid w:val="00784E76"/>
    <w:rsid w:val="0078513B"/>
    <w:rsid w:val="007854EB"/>
    <w:rsid w:val="00785646"/>
    <w:rsid w:val="00786507"/>
    <w:rsid w:val="00786856"/>
    <w:rsid w:val="0078733B"/>
    <w:rsid w:val="0078783B"/>
    <w:rsid w:val="00787C55"/>
    <w:rsid w:val="007904EE"/>
    <w:rsid w:val="007906D1"/>
    <w:rsid w:val="00790F82"/>
    <w:rsid w:val="00791829"/>
    <w:rsid w:val="007921D8"/>
    <w:rsid w:val="00792251"/>
    <w:rsid w:val="007922F3"/>
    <w:rsid w:val="00793E7F"/>
    <w:rsid w:val="0079470A"/>
    <w:rsid w:val="00794ABC"/>
    <w:rsid w:val="007950D5"/>
    <w:rsid w:val="00795BA5"/>
    <w:rsid w:val="007968D4"/>
    <w:rsid w:val="00797DE5"/>
    <w:rsid w:val="007A009C"/>
    <w:rsid w:val="007A0207"/>
    <w:rsid w:val="007A03BF"/>
    <w:rsid w:val="007A26C3"/>
    <w:rsid w:val="007A273C"/>
    <w:rsid w:val="007A277F"/>
    <w:rsid w:val="007A29EF"/>
    <w:rsid w:val="007A30C9"/>
    <w:rsid w:val="007A31F6"/>
    <w:rsid w:val="007A355B"/>
    <w:rsid w:val="007A3E93"/>
    <w:rsid w:val="007A4143"/>
    <w:rsid w:val="007A4922"/>
    <w:rsid w:val="007A496F"/>
    <w:rsid w:val="007A4B0D"/>
    <w:rsid w:val="007A6791"/>
    <w:rsid w:val="007A698A"/>
    <w:rsid w:val="007A6C52"/>
    <w:rsid w:val="007A6D61"/>
    <w:rsid w:val="007A6E8B"/>
    <w:rsid w:val="007A7DCE"/>
    <w:rsid w:val="007B0A9B"/>
    <w:rsid w:val="007B1019"/>
    <w:rsid w:val="007B2944"/>
    <w:rsid w:val="007B2C28"/>
    <w:rsid w:val="007B2F69"/>
    <w:rsid w:val="007B344F"/>
    <w:rsid w:val="007B3CBF"/>
    <w:rsid w:val="007B3D06"/>
    <w:rsid w:val="007B5030"/>
    <w:rsid w:val="007B5250"/>
    <w:rsid w:val="007B5627"/>
    <w:rsid w:val="007B5CD9"/>
    <w:rsid w:val="007B683A"/>
    <w:rsid w:val="007B6BE6"/>
    <w:rsid w:val="007B6CFF"/>
    <w:rsid w:val="007B76A3"/>
    <w:rsid w:val="007B789F"/>
    <w:rsid w:val="007C0466"/>
    <w:rsid w:val="007C067E"/>
    <w:rsid w:val="007C07E1"/>
    <w:rsid w:val="007C0A22"/>
    <w:rsid w:val="007C0AD3"/>
    <w:rsid w:val="007C1D61"/>
    <w:rsid w:val="007C24CD"/>
    <w:rsid w:val="007C295B"/>
    <w:rsid w:val="007C29BE"/>
    <w:rsid w:val="007C2BC5"/>
    <w:rsid w:val="007C3B57"/>
    <w:rsid w:val="007C451C"/>
    <w:rsid w:val="007C4FC1"/>
    <w:rsid w:val="007C5084"/>
    <w:rsid w:val="007C5626"/>
    <w:rsid w:val="007C58D1"/>
    <w:rsid w:val="007C5AA2"/>
    <w:rsid w:val="007C5D1D"/>
    <w:rsid w:val="007C5D84"/>
    <w:rsid w:val="007C5F1D"/>
    <w:rsid w:val="007C6812"/>
    <w:rsid w:val="007C69DD"/>
    <w:rsid w:val="007C6CAE"/>
    <w:rsid w:val="007C6DDB"/>
    <w:rsid w:val="007D07CB"/>
    <w:rsid w:val="007D0A8C"/>
    <w:rsid w:val="007D0D78"/>
    <w:rsid w:val="007D118B"/>
    <w:rsid w:val="007D1969"/>
    <w:rsid w:val="007D23DC"/>
    <w:rsid w:val="007D31F0"/>
    <w:rsid w:val="007D3209"/>
    <w:rsid w:val="007D371F"/>
    <w:rsid w:val="007D3AD6"/>
    <w:rsid w:val="007D52DA"/>
    <w:rsid w:val="007D546F"/>
    <w:rsid w:val="007D5A63"/>
    <w:rsid w:val="007D5DB0"/>
    <w:rsid w:val="007D5FE5"/>
    <w:rsid w:val="007D6660"/>
    <w:rsid w:val="007D6918"/>
    <w:rsid w:val="007D702D"/>
    <w:rsid w:val="007E0582"/>
    <w:rsid w:val="007E0ED0"/>
    <w:rsid w:val="007E0EFA"/>
    <w:rsid w:val="007E16CA"/>
    <w:rsid w:val="007E353F"/>
    <w:rsid w:val="007E3B27"/>
    <w:rsid w:val="007E4A58"/>
    <w:rsid w:val="007E4BAF"/>
    <w:rsid w:val="007E4FFD"/>
    <w:rsid w:val="007E50AC"/>
    <w:rsid w:val="007E583E"/>
    <w:rsid w:val="007E5C87"/>
    <w:rsid w:val="007E6430"/>
    <w:rsid w:val="007E69F5"/>
    <w:rsid w:val="007E6EF3"/>
    <w:rsid w:val="007F0061"/>
    <w:rsid w:val="007F09E9"/>
    <w:rsid w:val="007F0B11"/>
    <w:rsid w:val="007F0CD6"/>
    <w:rsid w:val="007F1595"/>
    <w:rsid w:val="007F1A0D"/>
    <w:rsid w:val="007F1AAD"/>
    <w:rsid w:val="007F4315"/>
    <w:rsid w:val="007F4C1A"/>
    <w:rsid w:val="007F56A8"/>
    <w:rsid w:val="007F61C3"/>
    <w:rsid w:val="007F70E6"/>
    <w:rsid w:val="007F7178"/>
    <w:rsid w:val="007F7CB8"/>
    <w:rsid w:val="00800D60"/>
    <w:rsid w:val="00801281"/>
    <w:rsid w:val="008016CE"/>
    <w:rsid w:val="008019BD"/>
    <w:rsid w:val="00801D61"/>
    <w:rsid w:val="00802122"/>
    <w:rsid w:val="0080370B"/>
    <w:rsid w:val="00803D41"/>
    <w:rsid w:val="0080415F"/>
    <w:rsid w:val="00805246"/>
    <w:rsid w:val="0080719C"/>
    <w:rsid w:val="008073F1"/>
    <w:rsid w:val="0080752B"/>
    <w:rsid w:val="00807942"/>
    <w:rsid w:val="008118DC"/>
    <w:rsid w:val="0081221F"/>
    <w:rsid w:val="008129F5"/>
    <w:rsid w:val="00813C76"/>
    <w:rsid w:val="00813F77"/>
    <w:rsid w:val="00814158"/>
    <w:rsid w:val="00814462"/>
    <w:rsid w:val="00814B64"/>
    <w:rsid w:val="00815502"/>
    <w:rsid w:val="008157C4"/>
    <w:rsid w:val="00815A1A"/>
    <w:rsid w:val="00815FBB"/>
    <w:rsid w:val="00815FD7"/>
    <w:rsid w:val="0081651D"/>
    <w:rsid w:val="00817C96"/>
    <w:rsid w:val="00817F44"/>
    <w:rsid w:val="008215FD"/>
    <w:rsid w:val="00821F95"/>
    <w:rsid w:val="00822346"/>
    <w:rsid w:val="0082244B"/>
    <w:rsid w:val="00823CDA"/>
    <w:rsid w:val="00826454"/>
    <w:rsid w:val="00826CA7"/>
    <w:rsid w:val="00826D2D"/>
    <w:rsid w:val="00827DAE"/>
    <w:rsid w:val="00830521"/>
    <w:rsid w:val="00830F5A"/>
    <w:rsid w:val="00831446"/>
    <w:rsid w:val="008315DF"/>
    <w:rsid w:val="00831E80"/>
    <w:rsid w:val="00832C0E"/>
    <w:rsid w:val="00833124"/>
    <w:rsid w:val="00833341"/>
    <w:rsid w:val="00833FCA"/>
    <w:rsid w:val="008342E2"/>
    <w:rsid w:val="00834721"/>
    <w:rsid w:val="00834C88"/>
    <w:rsid w:val="0084093E"/>
    <w:rsid w:val="00841A13"/>
    <w:rsid w:val="00842B9E"/>
    <w:rsid w:val="008434B9"/>
    <w:rsid w:val="00843823"/>
    <w:rsid w:val="008442A2"/>
    <w:rsid w:val="008442B4"/>
    <w:rsid w:val="00844613"/>
    <w:rsid w:val="008447AD"/>
    <w:rsid w:val="00844A58"/>
    <w:rsid w:val="00845806"/>
    <w:rsid w:val="00846867"/>
    <w:rsid w:val="00847080"/>
    <w:rsid w:val="00847684"/>
    <w:rsid w:val="00847F08"/>
    <w:rsid w:val="0085035E"/>
    <w:rsid w:val="008516A9"/>
    <w:rsid w:val="00852786"/>
    <w:rsid w:val="00852BEC"/>
    <w:rsid w:val="0085431F"/>
    <w:rsid w:val="00854439"/>
    <w:rsid w:val="00854A77"/>
    <w:rsid w:val="00854D24"/>
    <w:rsid w:val="00854FFD"/>
    <w:rsid w:val="0085595C"/>
    <w:rsid w:val="00855EDD"/>
    <w:rsid w:val="00856211"/>
    <w:rsid w:val="0085701F"/>
    <w:rsid w:val="008575CF"/>
    <w:rsid w:val="008600DD"/>
    <w:rsid w:val="008605F5"/>
    <w:rsid w:val="00861429"/>
    <w:rsid w:val="00861574"/>
    <w:rsid w:val="00861F7C"/>
    <w:rsid w:val="008621D4"/>
    <w:rsid w:val="0086259E"/>
    <w:rsid w:val="00862BD6"/>
    <w:rsid w:val="00862C7B"/>
    <w:rsid w:val="00863029"/>
    <w:rsid w:val="0086335A"/>
    <w:rsid w:val="00863650"/>
    <w:rsid w:val="00863E4F"/>
    <w:rsid w:val="00864C63"/>
    <w:rsid w:val="00864C9D"/>
    <w:rsid w:val="00866029"/>
    <w:rsid w:val="008679B4"/>
    <w:rsid w:val="008702DA"/>
    <w:rsid w:val="008711EC"/>
    <w:rsid w:val="00871B3C"/>
    <w:rsid w:val="00871EBA"/>
    <w:rsid w:val="00872FB1"/>
    <w:rsid w:val="0087396D"/>
    <w:rsid w:val="00873E63"/>
    <w:rsid w:val="00874141"/>
    <w:rsid w:val="008743D4"/>
    <w:rsid w:val="00874404"/>
    <w:rsid w:val="0087586B"/>
    <w:rsid w:val="00875C72"/>
    <w:rsid w:val="008768FE"/>
    <w:rsid w:val="008802E6"/>
    <w:rsid w:val="008816BF"/>
    <w:rsid w:val="00882121"/>
    <w:rsid w:val="00882872"/>
    <w:rsid w:val="00882923"/>
    <w:rsid w:val="00882DDB"/>
    <w:rsid w:val="00883715"/>
    <w:rsid w:val="00883C2E"/>
    <w:rsid w:val="00883C30"/>
    <w:rsid w:val="00883C8C"/>
    <w:rsid w:val="00883F1C"/>
    <w:rsid w:val="00886145"/>
    <w:rsid w:val="008866CA"/>
    <w:rsid w:val="00886B71"/>
    <w:rsid w:val="00886D25"/>
    <w:rsid w:val="00887368"/>
    <w:rsid w:val="0088758B"/>
    <w:rsid w:val="0088764D"/>
    <w:rsid w:val="008879DB"/>
    <w:rsid w:val="00890405"/>
    <w:rsid w:val="008908E6"/>
    <w:rsid w:val="00890B65"/>
    <w:rsid w:val="008925C3"/>
    <w:rsid w:val="00892AB6"/>
    <w:rsid w:val="008937AD"/>
    <w:rsid w:val="00894C94"/>
    <w:rsid w:val="00895092"/>
    <w:rsid w:val="00895CD8"/>
    <w:rsid w:val="00895DC5"/>
    <w:rsid w:val="00896550"/>
    <w:rsid w:val="00897085"/>
    <w:rsid w:val="008977A9"/>
    <w:rsid w:val="008A09DD"/>
    <w:rsid w:val="008A0E57"/>
    <w:rsid w:val="008A0F03"/>
    <w:rsid w:val="008A16C9"/>
    <w:rsid w:val="008A17C8"/>
    <w:rsid w:val="008A2356"/>
    <w:rsid w:val="008A2369"/>
    <w:rsid w:val="008A2A99"/>
    <w:rsid w:val="008A3511"/>
    <w:rsid w:val="008A3DB0"/>
    <w:rsid w:val="008A4E32"/>
    <w:rsid w:val="008A5215"/>
    <w:rsid w:val="008A565B"/>
    <w:rsid w:val="008A59DC"/>
    <w:rsid w:val="008A5E2A"/>
    <w:rsid w:val="008A694A"/>
    <w:rsid w:val="008A69D0"/>
    <w:rsid w:val="008A6E4B"/>
    <w:rsid w:val="008A7128"/>
    <w:rsid w:val="008A7DCF"/>
    <w:rsid w:val="008A7E1A"/>
    <w:rsid w:val="008B0393"/>
    <w:rsid w:val="008B0610"/>
    <w:rsid w:val="008B112D"/>
    <w:rsid w:val="008B1163"/>
    <w:rsid w:val="008B15FE"/>
    <w:rsid w:val="008B1787"/>
    <w:rsid w:val="008B19E9"/>
    <w:rsid w:val="008B1FED"/>
    <w:rsid w:val="008B2A2B"/>
    <w:rsid w:val="008B3673"/>
    <w:rsid w:val="008B3CAA"/>
    <w:rsid w:val="008B6096"/>
    <w:rsid w:val="008B6980"/>
    <w:rsid w:val="008B6E96"/>
    <w:rsid w:val="008B6F93"/>
    <w:rsid w:val="008B70A8"/>
    <w:rsid w:val="008B7B1B"/>
    <w:rsid w:val="008C008D"/>
    <w:rsid w:val="008C0AF9"/>
    <w:rsid w:val="008C12C3"/>
    <w:rsid w:val="008C2E31"/>
    <w:rsid w:val="008C2E52"/>
    <w:rsid w:val="008C2EBA"/>
    <w:rsid w:val="008C3BBC"/>
    <w:rsid w:val="008C4351"/>
    <w:rsid w:val="008C50A0"/>
    <w:rsid w:val="008C5288"/>
    <w:rsid w:val="008C5A39"/>
    <w:rsid w:val="008C5F9D"/>
    <w:rsid w:val="008C6079"/>
    <w:rsid w:val="008C6D13"/>
    <w:rsid w:val="008D0054"/>
    <w:rsid w:val="008D00BF"/>
    <w:rsid w:val="008D0BB2"/>
    <w:rsid w:val="008D0FDB"/>
    <w:rsid w:val="008D14C3"/>
    <w:rsid w:val="008D1BA2"/>
    <w:rsid w:val="008D1EA6"/>
    <w:rsid w:val="008D23F0"/>
    <w:rsid w:val="008D2A73"/>
    <w:rsid w:val="008D3318"/>
    <w:rsid w:val="008D3396"/>
    <w:rsid w:val="008D3E56"/>
    <w:rsid w:val="008D3E5A"/>
    <w:rsid w:val="008D45BE"/>
    <w:rsid w:val="008D45C8"/>
    <w:rsid w:val="008D46D4"/>
    <w:rsid w:val="008D4744"/>
    <w:rsid w:val="008D58E0"/>
    <w:rsid w:val="008D5D3A"/>
    <w:rsid w:val="008D6493"/>
    <w:rsid w:val="008D6949"/>
    <w:rsid w:val="008D6964"/>
    <w:rsid w:val="008D6E75"/>
    <w:rsid w:val="008D733D"/>
    <w:rsid w:val="008D7998"/>
    <w:rsid w:val="008E147D"/>
    <w:rsid w:val="008E2369"/>
    <w:rsid w:val="008E26B5"/>
    <w:rsid w:val="008E3111"/>
    <w:rsid w:val="008E3FA4"/>
    <w:rsid w:val="008E4E68"/>
    <w:rsid w:val="008E66B7"/>
    <w:rsid w:val="008E78D2"/>
    <w:rsid w:val="008E78F2"/>
    <w:rsid w:val="008F166E"/>
    <w:rsid w:val="008F18B7"/>
    <w:rsid w:val="008F1F06"/>
    <w:rsid w:val="008F2E3F"/>
    <w:rsid w:val="008F32AE"/>
    <w:rsid w:val="008F4C69"/>
    <w:rsid w:val="008F4FAA"/>
    <w:rsid w:val="008F65D7"/>
    <w:rsid w:val="008F78DC"/>
    <w:rsid w:val="00900EE6"/>
    <w:rsid w:val="00901110"/>
    <w:rsid w:val="00901E93"/>
    <w:rsid w:val="00902726"/>
    <w:rsid w:val="00902E19"/>
    <w:rsid w:val="00902E5F"/>
    <w:rsid w:val="00903136"/>
    <w:rsid w:val="00903163"/>
    <w:rsid w:val="009034F5"/>
    <w:rsid w:val="00903660"/>
    <w:rsid w:val="00903DB9"/>
    <w:rsid w:val="00903F96"/>
    <w:rsid w:val="009051AB"/>
    <w:rsid w:val="00905689"/>
    <w:rsid w:val="0090723A"/>
    <w:rsid w:val="00907949"/>
    <w:rsid w:val="0091055B"/>
    <w:rsid w:val="0091075B"/>
    <w:rsid w:val="0091091B"/>
    <w:rsid w:val="00910E23"/>
    <w:rsid w:val="00910EF8"/>
    <w:rsid w:val="00911740"/>
    <w:rsid w:val="00911C8D"/>
    <w:rsid w:val="0091281E"/>
    <w:rsid w:val="009134E4"/>
    <w:rsid w:val="009146DF"/>
    <w:rsid w:val="00914CF7"/>
    <w:rsid w:val="00914E1A"/>
    <w:rsid w:val="00915856"/>
    <w:rsid w:val="00915A62"/>
    <w:rsid w:val="00915BC4"/>
    <w:rsid w:val="00916591"/>
    <w:rsid w:val="009168A5"/>
    <w:rsid w:val="0091712C"/>
    <w:rsid w:val="0091759D"/>
    <w:rsid w:val="00917E0F"/>
    <w:rsid w:val="00917F8D"/>
    <w:rsid w:val="009223B8"/>
    <w:rsid w:val="00922D13"/>
    <w:rsid w:val="00923C02"/>
    <w:rsid w:val="00923C1D"/>
    <w:rsid w:val="00924083"/>
    <w:rsid w:val="009244FB"/>
    <w:rsid w:val="00925299"/>
    <w:rsid w:val="009252DF"/>
    <w:rsid w:val="0092636F"/>
    <w:rsid w:val="00927950"/>
    <w:rsid w:val="00927FBE"/>
    <w:rsid w:val="00927FE4"/>
    <w:rsid w:val="009310C2"/>
    <w:rsid w:val="00931AD9"/>
    <w:rsid w:val="00931CC2"/>
    <w:rsid w:val="0093225B"/>
    <w:rsid w:val="00932973"/>
    <w:rsid w:val="00933095"/>
    <w:rsid w:val="0093311C"/>
    <w:rsid w:val="00933138"/>
    <w:rsid w:val="00933397"/>
    <w:rsid w:val="00933415"/>
    <w:rsid w:val="00933686"/>
    <w:rsid w:val="00934266"/>
    <w:rsid w:val="009342F0"/>
    <w:rsid w:val="00934AD2"/>
    <w:rsid w:val="00934D9E"/>
    <w:rsid w:val="0093570F"/>
    <w:rsid w:val="009359AF"/>
    <w:rsid w:val="00935BC4"/>
    <w:rsid w:val="00935C98"/>
    <w:rsid w:val="009369BA"/>
    <w:rsid w:val="009373E0"/>
    <w:rsid w:val="00937BF2"/>
    <w:rsid w:val="00937D2B"/>
    <w:rsid w:val="009403FD"/>
    <w:rsid w:val="009416BA"/>
    <w:rsid w:val="00941840"/>
    <w:rsid w:val="0094199B"/>
    <w:rsid w:val="00942039"/>
    <w:rsid w:val="00942793"/>
    <w:rsid w:val="00942882"/>
    <w:rsid w:val="009432E5"/>
    <w:rsid w:val="009443D0"/>
    <w:rsid w:val="00944983"/>
    <w:rsid w:val="00944BB0"/>
    <w:rsid w:val="00945611"/>
    <w:rsid w:val="00945994"/>
    <w:rsid w:val="00945DD1"/>
    <w:rsid w:val="00946245"/>
    <w:rsid w:val="00950BAA"/>
    <w:rsid w:val="00950E5B"/>
    <w:rsid w:val="00951183"/>
    <w:rsid w:val="00952076"/>
    <w:rsid w:val="00953697"/>
    <w:rsid w:val="009539BE"/>
    <w:rsid w:val="009564AF"/>
    <w:rsid w:val="009565E7"/>
    <w:rsid w:val="00956A1F"/>
    <w:rsid w:val="00957826"/>
    <w:rsid w:val="0096018A"/>
    <w:rsid w:val="009602C5"/>
    <w:rsid w:val="00960511"/>
    <w:rsid w:val="009606CE"/>
    <w:rsid w:val="00960971"/>
    <w:rsid w:val="00960A52"/>
    <w:rsid w:val="00961438"/>
    <w:rsid w:val="00961547"/>
    <w:rsid w:val="009622AD"/>
    <w:rsid w:val="00962605"/>
    <w:rsid w:val="0096267C"/>
    <w:rsid w:val="009626F5"/>
    <w:rsid w:val="00962A63"/>
    <w:rsid w:val="00962D60"/>
    <w:rsid w:val="00963644"/>
    <w:rsid w:val="00963AD2"/>
    <w:rsid w:val="00963BEB"/>
    <w:rsid w:val="009642BC"/>
    <w:rsid w:val="00965BFE"/>
    <w:rsid w:val="00966546"/>
    <w:rsid w:val="00966555"/>
    <w:rsid w:val="00966C8A"/>
    <w:rsid w:val="00967FDD"/>
    <w:rsid w:val="0097036C"/>
    <w:rsid w:val="00970835"/>
    <w:rsid w:val="00970B6E"/>
    <w:rsid w:val="00970CDA"/>
    <w:rsid w:val="009719DF"/>
    <w:rsid w:val="009719EE"/>
    <w:rsid w:val="009721FE"/>
    <w:rsid w:val="00972995"/>
    <w:rsid w:val="00973FE0"/>
    <w:rsid w:val="009741A7"/>
    <w:rsid w:val="009747DF"/>
    <w:rsid w:val="00975963"/>
    <w:rsid w:val="00975AEA"/>
    <w:rsid w:val="009762BD"/>
    <w:rsid w:val="00976675"/>
    <w:rsid w:val="00976C6D"/>
    <w:rsid w:val="009775E1"/>
    <w:rsid w:val="00977A0C"/>
    <w:rsid w:val="009803BE"/>
    <w:rsid w:val="009808C2"/>
    <w:rsid w:val="00980B3B"/>
    <w:rsid w:val="0098127B"/>
    <w:rsid w:val="00981D1F"/>
    <w:rsid w:val="009822C4"/>
    <w:rsid w:val="00982DDC"/>
    <w:rsid w:val="009830D3"/>
    <w:rsid w:val="00983467"/>
    <w:rsid w:val="00983F14"/>
    <w:rsid w:val="009850D0"/>
    <w:rsid w:val="0098593E"/>
    <w:rsid w:val="009867A2"/>
    <w:rsid w:val="00986A34"/>
    <w:rsid w:val="00987548"/>
    <w:rsid w:val="00987EFC"/>
    <w:rsid w:val="0099030D"/>
    <w:rsid w:val="009905C4"/>
    <w:rsid w:val="00990900"/>
    <w:rsid w:val="00990D65"/>
    <w:rsid w:val="00990D9A"/>
    <w:rsid w:val="00990DC0"/>
    <w:rsid w:val="00991000"/>
    <w:rsid w:val="00992EAE"/>
    <w:rsid w:val="00994139"/>
    <w:rsid w:val="009945F7"/>
    <w:rsid w:val="009954E0"/>
    <w:rsid w:val="0099580C"/>
    <w:rsid w:val="009958A7"/>
    <w:rsid w:val="00996F81"/>
    <w:rsid w:val="009972C4"/>
    <w:rsid w:val="009A0050"/>
    <w:rsid w:val="009A0E64"/>
    <w:rsid w:val="009A12DE"/>
    <w:rsid w:val="009A1AED"/>
    <w:rsid w:val="009A2580"/>
    <w:rsid w:val="009A28BD"/>
    <w:rsid w:val="009A2ABE"/>
    <w:rsid w:val="009A35CB"/>
    <w:rsid w:val="009A3805"/>
    <w:rsid w:val="009A471F"/>
    <w:rsid w:val="009A5BBC"/>
    <w:rsid w:val="009A5C66"/>
    <w:rsid w:val="009A6535"/>
    <w:rsid w:val="009A6D02"/>
    <w:rsid w:val="009A7154"/>
    <w:rsid w:val="009A785B"/>
    <w:rsid w:val="009A7CCC"/>
    <w:rsid w:val="009A7F48"/>
    <w:rsid w:val="009A7FFC"/>
    <w:rsid w:val="009B0A05"/>
    <w:rsid w:val="009B1A9E"/>
    <w:rsid w:val="009B1DF1"/>
    <w:rsid w:val="009B2066"/>
    <w:rsid w:val="009B27D1"/>
    <w:rsid w:val="009B2C93"/>
    <w:rsid w:val="009B2F32"/>
    <w:rsid w:val="009B36B0"/>
    <w:rsid w:val="009B40DE"/>
    <w:rsid w:val="009B4F14"/>
    <w:rsid w:val="009B5CFE"/>
    <w:rsid w:val="009B72E7"/>
    <w:rsid w:val="009B72ED"/>
    <w:rsid w:val="009B7642"/>
    <w:rsid w:val="009C0E1B"/>
    <w:rsid w:val="009C0FE2"/>
    <w:rsid w:val="009C116E"/>
    <w:rsid w:val="009C17FC"/>
    <w:rsid w:val="009C18A0"/>
    <w:rsid w:val="009C21A9"/>
    <w:rsid w:val="009C2D29"/>
    <w:rsid w:val="009C3667"/>
    <w:rsid w:val="009C3ED4"/>
    <w:rsid w:val="009C5591"/>
    <w:rsid w:val="009C7333"/>
    <w:rsid w:val="009D0B63"/>
    <w:rsid w:val="009D1628"/>
    <w:rsid w:val="009D17D7"/>
    <w:rsid w:val="009D1889"/>
    <w:rsid w:val="009D18D4"/>
    <w:rsid w:val="009D3755"/>
    <w:rsid w:val="009D3A6E"/>
    <w:rsid w:val="009D4615"/>
    <w:rsid w:val="009D589D"/>
    <w:rsid w:val="009D7645"/>
    <w:rsid w:val="009D77B3"/>
    <w:rsid w:val="009D77F8"/>
    <w:rsid w:val="009E05C2"/>
    <w:rsid w:val="009E1896"/>
    <w:rsid w:val="009E1C4B"/>
    <w:rsid w:val="009E23F7"/>
    <w:rsid w:val="009E250C"/>
    <w:rsid w:val="009E25F1"/>
    <w:rsid w:val="009E2CA9"/>
    <w:rsid w:val="009E32F4"/>
    <w:rsid w:val="009E416E"/>
    <w:rsid w:val="009E4386"/>
    <w:rsid w:val="009E473D"/>
    <w:rsid w:val="009E552E"/>
    <w:rsid w:val="009E5C98"/>
    <w:rsid w:val="009E5CDF"/>
    <w:rsid w:val="009E6587"/>
    <w:rsid w:val="009E6803"/>
    <w:rsid w:val="009E6E9A"/>
    <w:rsid w:val="009E7CAE"/>
    <w:rsid w:val="009F0853"/>
    <w:rsid w:val="009F11A4"/>
    <w:rsid w:val="009F19A0"/>
    <w:rsid w:val="009F38F0"/>
    <w:rsid w:val="009F4407"/>
    <w:rsid w:val="009F5373"/>
    <w:rsid w:val="009F5C59"/>
    <w:rsid w:val="009F65B2"/>
    <w:rsid w:val="009F690B"/>
    <w:rsid w:val="009F6B78"/>
    <w:rsid w:val="009F79EF"/>
    <w:rsid w:val="009F7A75"/>
    <w:rsid w:val="009F7C77"/>
    <w:rsid w:val="00A004E8"/>
    <w:rsid w:val="00A00748"/>
    <w:rsid w:val="00A0106B"/>
    <w:rsid w:val="00A020D5"/>
    <w:rsid w:val="00A0222A"/>
    <w:rsid w:val="00A026F2"/>
    <w:rsid w:val="00A02B58"/>
    <w:rsid w:val="00A0328D"/>
    <w:rsid w:val="00A03801"/>
    <w:rsid w:val="00A04050"/>
    <w:rsid w:val="00A04917"/>
    <w:rsid w:val="00A04EA7"/>
    <w:rsid w:val="00A05347"/>
    <w:rsid w:val="00A06C66"/>
    <w:rsid w:val="00A07EA0"/>
    <w:rsid w:val="00A112AF"/>
    <w:rsid w:val="00A11637"/>
    <w:rsid w:val="00A12C4D"/>
    <w:rsid w:val="00A13104"/>
    <w:rsid w:val="00A141D7"/>
    <w:rsid w:val="00A14E9F"/>
    <w:rsid w:val="00A15C98"/>
    <w:rsid w:val="00A16241"/>
    <w:rsid w:val="00A166EC"/>
    <w:rsid w:val="00A17820"/>
    <w:rsid w:val="00A17B8B"/>
    <w:rsid w:val="00A200D4"/>
    <w:rsid w:val="00A218C9"/>
    <w:rsid w:val="00A21EDC"/>
    <w:rsid w:val="00A22FED"/>
    <w:rsid w:val="00A234E1"/>
    <w:rsid w:val="00A23A03"/>
    <w:rsid w:val="00A240BB"/>
    <w:rsid w:val="00A24918"/>
    <w:rsid w:val="00A24E94"/>
    <w:rsid w:val="00A2507C"/>
    <w:rsid w:val="00A25187"/>
    <w:rsid w:val="00A25340"/>
    <w:rsid w:val="00A26D07"/>
    <w:rsid w:val="00A26E7B"/>
    <w:rsid w:val="00A273FB"/>
    <w:rsid w:val="00A32040"/>
    <w:rsid w:val="00A33A40"/>
    <w:rsid w:val="00A33C68"/>
    <w:rsid w:val="00A343FE"/>
    <w:rsid w:val="00A353FE"/>
    <w:rsid w:val="00A357A8"/>
    <w:rsid w:val="00A367E8"/>
    <w:rsid w:val="00A36A2E"/>
    <w:rsid w:val="00A36DE7"/>
    <w:rsid w:val="00A37789"/>
    <w:rsid w:val="00A405E2"/>
    <w:rsid w:val="00A40FB2"/>
    <w:rsid w:val="00A4123E"/>
    <w:rsid w:val="00A414E5"/>
    <w:rsid w:val="00A41B34"/>
    <w:rsid w:val="00A43077"/>
    <w:rsid w:val="00A430A8"/>
    <w:rsid w:val="00A43CD6"/>
    <w:rsid w:val="00A446C2"/>
    <w:rsid w:val="00A457B7"/>
    <w:rsid w:val="00A459E0"/>
    <w:rsid w:val="00A46463"/>
    <w:rsid w:val="00A465F6"/>
    <w:rsid w:val="00A46F37"/>
    <w:rsid w:val="00A47D8E"/>
    <w:rsid w:val="00A505AC"/>
    <w:rsid w:val="00A50A4E"/>
    <w:rsid w:val="00A51227"/>
    <w:rsid w:val="00A52879"/>
    <w:rsid w:val="00A52C2A"/>
    <w:rsid w:val="00A531A5"/>
    <w:rsid w:val="00A53784"/>
    <w:rsid w:val="00A55B8E"/>
    <w:rsid w:val="00A5626C"/>
    <w:rsid w:val="00A57487"/>
    <w:rsid w:val="00A57787"/>
    <w:rsid w:val="00A578FC"/>
    <w:rsid w:val="00A60583"/>
    <w:rsid w:val="00A60601"/>
    <w:rsid w:val="00A607E8"/>
    <w:rsid w:val="00A607FA"/>
    <w:rsid w:val="00A60AC3"/>
    <w:rsid w:val="00A60C42"/>
    <w:rsid w:val="00A61660"/>
    <w:rsid w:val="00A61B46"/>
    <w:rsid w:val="00A6210A"/>
    <w:rsid w:val="00A622AA"/>
    <w:rsid w:val="00A6285D"/>
    <w:rsid w:val="00A6298C"/>
    <w:rsid w:val="00A62B2E"/>
    <w:rsid w:val="00A62FF4"/>
    <w:rsid w:val="00A6457F"/>
    <w:rsid w:val="00A64F5B"/>
    <w:rsid w:val="00A65453"/>
    <w:rsid w:val="00A660A7"/>
    <w:rsid w:val="00A6689D"/>
    <w:rsid w:val="00A67081"/>
    <w:rsid w:val="00A67FEB"/>
    <w:rsid w:val="00A701C8"/>
    <w:rsid w:val="00A70571"/>
    <w:rsid w:val="00A705B0"/>
    <w:rsid w:val="00A711F9"/>
    <w:rsid w:val="00A72656"/>
    <w:rsid w:val="00A727EE"/>
    <w:rsid w:val="00A730F0"/>
    <w:rsid w:val="00A73156"/>
    <w:rsid w:val="00A737FF"/>
    <w:rsid w:val="00A73ABB"/>
    <w:rsid w:val="00A73BDA"/>
    <w:rsid w:val="00A73CEB"/>
    <w:rsid w:val="00A74F78"/>
    <w:rsid w:val="00A75404"/>
    <w:rsid w:val="00A75653"/>
    <w:rsid w:val="00A7575C"/>
    <w:rsid w:val="00A7752B"/>
    <w:rsid w:val="00A77DA6"/>
    <w:rsid w:val="00A8023F"/>
    <w:rsid w:val="00A82DC9"/>
    <w:rsid w:val="00A83E6D"/>
    <w:rsid w:val="00A83E6F"/>
    <w:rsid w:val="00A8469E"/>
    <w:rsid w:val="00A8604A"/>
    <w:rsid w:val="00A8779D"/>
    <w:rsid w:val="00A87ADA"/>
    <w:rsid w:val="00A902E7"/>
    <w:rsid w:val="00A90F20"/>
    <w:rsid w:val="00A91332"/>
    <w:rsid w:val="00A9226B"/>
    <w:rsid w:val="00A92B8B"/>
    <w:rsid w:val="00A92E93"/>
    <w:rsid w:val="00A936C7"/>
    <w:rsid w:val="00A937E7"/>
    <w:rsid w:val="00A93826"/>
    <w:rsid w:val="00A9388F"/>
    <w:rsid w:val="00A941B0"/>
    <w:rsid w:val="00A947C1"/>
    <w:rsid w:val="00A950CD"/>
    <w:rsid w:val="00A95550"/>
    <w:rsid w:val="00A963D8"/>
    <w:rsid w:val="00A9678F"/>
    <w:rsid w:val="00A97357"/>
    <w:rsid w:val="00A97ADC"/>
    <w:rsid w:val="00AA07B7"/>
    <w:rsid w:val="00AA0D1E"/>
    <w:rsid w:val="00AA0D87"/>
    <w:rsid w:val="00AA20EA"/>
    <w:rsid w:val="00AA275D"/>
    <w:rsid w:val="00AA2B78"/>
    <w:rsid w:val="00AA2D50"/>
    <w:rsid w:val="00AA2E78"/>
    <w:rsid w:val="00AA2F43"/>
    <w:rsid w:val="00AA459C"/>
    <w:rsid w:val="00AA4682"/>
    <w:rsid w:val="00AA4BF2"/>
    <w:rsid w:val="00AA50D2"/>
    <w:rsid w:val="00AA5C6C"/>
    <w:rsid w:val="00AA61A3"/>
    <w:rsid w:val="00AA64FC"/>
    <w:rsid w:val="00AA6652"/>
    <w:rsid w:val="00AA6757"/>
    <w:rsid w:val="00AA68AE"/>
    <w:rsid w:val="00AA6BCE"/>
    <w:rsid w:val="00AA6BEB"/>
    <w:rsid w:val="00AA7171"/>
    <w:rsid w:val="00AA7751"/>
    <w:rsid w:val="00AB0AB7"/>
    <w:rsid w:val="00AB0E4A"/>
    <w:rsid w:val="00AB101E"/>
    <w:rsid w:val="00AB1259"/>
    <w:rsid w:val="00AB169B"/>
    <w:rsid w:val="00AB1C60"/>
    <w:rsid w:val="00AB2497"/>
    <w:rsid w:val="00AB3C05"/>
    <w:rsid w:val="00AB3DD8"/>
    <w:rsid w:val="00AB430C"/>
    <w:rsid w:val="00AB44F7"/>
    <w:rsid w:val="00AB4C30"/>
    <w:rsid w:val="00AB4EBD"/>
    <w:rsid w:val="00AB52F4"/>
    <w:rsid w:val="00AB567F"/>
    <w:rsid w:val="00AB6B37"/>
    <w:rsid w:val="00AB6C49"/>
    <w:rsid w:val="00AC1003"/>
    <w:rsid w:val="00AC2883"/>
    <w:rsid w:val="00AC2CC0"/>
    <w:rsid w:val="00AC3461"/>
    <w:rsid w:val="00AC34AB"/>
    <w:rsid w:val="00AC371C"/>
    <w:rsid w:val="00AC3C59"/>
    <w:rsid w:val="00AC415A"/>
    <w:rsid w:val="00AC4397"/>
    <w:rsid w:val="00AC4434"/>
    <w:rsid w:val="00AC4562"/>
    <w:rsid w:val="00AC6308"/>
    <w:rsid w:val="00AC7981"/>
    <w:rsid w:val="00AD09FA"/>
    <w:rsid w:val="00AD0A06"/>
    <w:rsid w:val="00AD145F"/>
    <w:rsid w:val="00AD1731"/>
    <w:rsid w:val="00AD19FF"/>
    <w:rsid w:val="00AD1C44"/>
    <w:rsid w:val="00AD20DE"/>
    <w:rsid w:val="00AD3CFB"/>
    <w:rsid w:val="00AD48A2"/>
    <w:rsid w:val="00AD502B"/>
    <w:rsid w:val="00AD5BCD"/>
    <w:rsid w:val="00AD6D65"/>
    <w:rsid w:val="00AD7C9A"/>
    <w:rsid w:val="00AD7F36"/>
    <w:rsid w:val="00AE0C3B"/>
    <w:rsid w:val="00AE1B7E"/>
    <w:rsid w:val="00AE1D67"/>
    <w:rsid w:val="00AE3526"/>
    <w:rsid w:val="00AE44B5"/>
    <w:rsid w:val="00AE475D"/>
    <w:rsid w:val="00AE622F"/>
    <w:rsid w:val="00AE66D9"/>
    <w:rsid w:val="00AE6B26"/>
    <w:rsid w:val="00AE7235"/>
    <w:rsid w:val="00AE78A1"/>
    <w:rsid w:val="00AE7A38"/>
    <w:rsid w:val="00AF0ADF"/>
    <w:rsid w:val="00AF1087"/>
    <w:rsid w:val="00AF1137"/>
    <w:rsid w:val="00AF14BA"/>
    <w:rsid w:val="00AF1C3B"/>
    <w:rsid w:val="00AF24F8"/>
    <w:rsid w:val="00AF2E75"/>
    <w:rsid w:val="00AF3B10"/>
    <w:rsid w:val="00AF3C74"/>
    <w:rsid w:val="00AF401F"/>
    <w:rsid w:val="00AF4686"/>
    <w:rsid w:val="00AF53CC"/>
    <w:rsid w:val="00AF5490"/>
    <w:rsid w:val="00AF613D"/>
    <w:rsid w:val="00AF745A"/>
    <w:rsid w:val="00AF7C12"/>
    <w:rsid w:val="00B01879"/>
    <w:rsid w:val="00B0190D"/>
    <w:rsid w:val="00B02683"/>
    <w:rsid w:val="00B035AF"/>
    <w:rsid w:val="00B03D8A"/>
    <w:rsid w:val="00B04CCC"/>
    <w:rsid w:val="00B05C87"/>
    <w:rsid w:val="00B069C0"/>
    <w:rsid w:val="00B0720F"/>
    <w:rsid w:val="00B07A0D"/>
    <w:rsid w:val="00B10315"/>
    <w:rsid w:val="00B10C1C"/>
    <w:rsid w:val="00B10FDF"/>
    <w:rsid w:val="00B116E2"/>
    <w:rsid w:val="00B12679"/>
    <w:rsid w:val="00B13036"/>
    <w:rsid w:val="00B13250"/>
    <w:rsid w:val="00B1400F"/>
    <w:rsid w:val="00B144E7"/>
    <w:rsid w:val="00B146C1"/>
    <w:rsid w:val="00B1490C"/>
    <w:rsid w:val="00B14DDB"/>
    <w:rsid w:val="00B14E21"/>
    <w:rsid w:val="00B14E4D"/>
    <w:rsid w:val="00B153EE"/>
    <w:rsid w:val="00B15C73"/>
    <w:rsid w:val="00B16A35"/>
    <w:rsid w:val="00B1732A"/>
    <w:rsid w:val="00B17B83"/>
    <w:rsid w:val="00B20966"/>
    <w:rsid w:val="00B20F36"/>
    <w:rsid w:val="00B21B89"/>
    <w:rsid w:val="00B220FF"/>
    <w:rsid w:val="00B22506"/>
    <w:rsid w:val="00B22797"/>
    <w:rsid w:val="00B22C9D"/>
    <w:rsid w:val="00B23B5E"/>
    <w:rsid w:val="00B23EC3"/>
    <w:rsid w:val="00B2403C"/>
    <w:rsid w:val="00B24F56"/>
    <w:rsid w:val="00B2515D"/>
    <w:rsid w:val="00B25754"/>
    <w:rsid w:val="00B25945"/>
    <w:rsid w:val="00B25C5B"/>
    <w:rsid w:val="00B265C6"/>
    <w:rsid w:val="00B2697E"/>
    <w:rsid w:val="00B3154F"/>
    <w:rsid w:val="00B31B41"/>
    <w:rsid w:val="00B31E48"/>
    <w:rsid w:val="00B326C2"/>
    <w:rsid w:val="00B33067"/>
    <w:rsid w:val="00B332E3"/>
    <w:rsid w:val="00B3340B"/>
    <w:rsid w:val="00B338CF"/>
    <w:rsid w:val="00B33900"/>
    <w:rsid w:val="00B34AE4"/>
    <w:rsid w:val="00B3533D"/>
    <w:rsid w:val="00B35621"/>
    <w:rsid w:val="00B359A6"/>
    <w:rsid w:val="00B35BED"/>
    <w:rsid w:val="00B361A1"/>
    <w:rsid w:val="00B36E4C"/>
    <w:rsid w:val="00B36EEC"/>
    <w:rsid w:val="00B37005"/>
    <w:rsid w:val="00B378D7"/>
    <w:rsid w:val="00B37957"/>
    <w:rsid w:val="00B37996"/>
    <w:rsid w:val="00B404CD"/>
    <w:rsid w:val="00B40F4D"/>
    <w:rsid w:val="00B414BD"/>
    <w:rsid w:val="00B41C3D"/>
    <w:rsid w:val="00B42F89"/>
    <w:rsid w:val="00B433D3"/>
    <w:rsid w:val="00B4398D"/>
    <w:rsid w:val="00B45CE3"/>
    <w:rsid w:val="00B45FBC"/>
    <w:rsid w:val="00B50312"/>
    <w:rsid w:val="00B514C9"/>
    <w:rsid w:val="00B53C1F"/>
    <w:rsid w:val="00B54072"/>
    <w:rsid w:val="00B5522A"/>
    <w:rsid w:val="00B55C3C"/>
    <w:rsid w:val="00B5607F"/>
    <w:rsid w:val="00B56E46"/>
    <w:rsid w:val="00B57EB9"/>
    <w:rsid w:val="00B60886"/>
    <w:rsid w:val="00B610B6"/>
    <w:rsid w:val="00B61DFA"/>
    <w:rsid w:val="00B61F90"/>
    <w:rsid w:val="00B62DB0"/>
    <w:rsid w:val="00B6356E"/>
    <w:rsid w:val="00B635BD"/>
    <w:rsid w:val="00B64BD7"/>
    <w:rsid w:val="00B655CC"/>
    <w:rsid w:val="00B66F31"/>
    <w:rsid w:val="00B67116"/>
    <w:rsid w:val="00B6754E"/>
    <w:rsid w:val="00B67B5C"/>
    <w:rsid w:val="00B70C0C"/>
    <w:rsid w:val="00B715F1"/>
    <w:rsid w:val="00B73715"/>
    <w:rsid w:val="00B759F6"/>
    <w:rsid w:val="00B75BBD"/>
    <w:rsid w:val="00B75CBF"/>
    <w:rsid w:val="00B76481"/>
    <w:rsid w:val="00B76917"/>
    <w:rsid w:val="00B76F25"/>
    <w:rsid w:val="00B77D0D"/>
    <w:rsid w:val="00B77E06"/>
    <w:rsid w:val="00B80E46"/>
    <w:rsid w:val="00B82916"/>
    <w:rsid w:val="00B84451"/>
    <w:rsid w:val="00B857B3"/>
    <w:rsid w:val="00B86142"/>
    <w:rsid w:val="00B866E5"/>
    <w:rsid w:val="00B87F57"/>
    <w:rsid w:val="00B906C7"/>
    <w:rsid w:val="00B90B02"/>
    <w:rsid w:val="00B9128A"/>
    <w:rsid w:val="00B912B1"/>
    <w:rsid w:val="00B93AC3"/>
    <w:rsid w:val="00B94190"/>
    <w:rsid w:val="00B944D6"/>
    <w:rsid w:val="00B94593"/>
    <w:rsid w:val="00B9464E"/>
    <w:rsid w:val="00B95F7E"/>
    <w:rsid w:val="00B9693C"/>
    <w:rsid w:val="00B96E84"/>
    <w:rsid w:val="00B97518"/>
    <w:rsid w:val="00B97F50"/>
    <w:rsid w:val="00BA02C8"/>
    <w:rsid w:val="00BA07C7"/>
    <w:rsid w:val="00BA1347"/>
    <w:rsid w:val="00BA25A8"/>
    <w:rsid w:val="00BA2C35"/>
    <w:rsid w:val="00BA3D8E"/>
    <w:rsid w:val="00BA4156"/>
    <w:rsid w:val="00BA42BC"/>
    <w:rsid w:val="00BA4E69"/>
    <w:rsid w:val="00BA5909"/>
    <w:rsid w:val="00BA6096"/>
    <w:rsid w:val="00BA68EE"/>
    <w:rsid w:val="00BA691B"/>
    <w:rsid w:val="00BB1BCC"/>
    <w:rsid w:val="00BB1E56"/>
    <w:rsid w:val="00BB2B61"/>
    <w:rsid w:val="00BB36C7"/>
    <w:rsid w:val="00BB39DF"/>
    <w:rsid w:val="00BB4063"/>
    <w:rsid w:val="00BB4A36"/>
    <w:rsid w:val="00BB5287"/>
    <w:rsid w:val="00BB5FB3"/>
    <w:rsid w:val="00BB626B"/>
    <w:rsid w:val="00BB723A"/>
    <w:rsid w:val="00BC0483"/>
    <w:rsid w:val="00BC06C5"/>
    <w:rsid w:val="00BC0CB4"/>
    <w:rsid w:val="00BC2BD6"/>
    <w:rsid w:val="00BC2E07"/>
    <w:rsid w:val="00BC3748"/>
    <w:rsid w:val="00BC48EE"/>
    <w:rsid w:val="00BC4A62"/>
    <w:rsid w:val="00BC4B67"/>
    <w:rsid w:val="00BC4EFE"/>
    <w:rsid w:val="00BC5FB2"/>
    <w:rsid w:val="00BC62B0"/>
    <w:rsid w:val="00BC69EC"/>
    <w:rsid w:val="00BC6B23"/>
    <w:rsid w:val="00BC6F06"/>
    <w:rsid w:val="00BC7120"/>
    <w:rsid w:val="00BC7DE5"/>
    <w:rsid w:val="00BD0354"/>
    <w:rsid w:val="00BD0FD9"/>
    <w:rsid w:val="00BD1437"/>
    <w:rsid w:val="00BD18CD"/>
    <w:rsid w:val="00BD199F"/>
    <w:rsid w:val="00BD1D8E"/>
    <w:rsid w:val="00BD2609"/>
    <w:rsid w:val="00BD28E2"/>
    <w:rsid w:val="00BD32CA"/>
    <w:rsid w:val="00BD3564"/>
    <w:rsid w:val="00BD44E2"/>
    <w:rsid w:val="00BD49BA"/>
    <w:rsid w:val="00BD553D"/>
    <w:rsid w:val="00BD5DA4"/>
    <w:rsid w:val="00BD5EAE"/>
    <w:rsid w:val="00BD6EED"/>
    <w:rsid w:val="00BD79F2"/>
    <w:rsid w:val="00BD7CD8"/>
    <w:rsid w:val="00BD7E7B"/>
    <w:rsid w:val="00BE0329"/>
    <w:rsid w:val="00BE0749"/>
    <w:rsid w:val="00BE0B66"/>
    <w:rsid w:val="00BE11B6"/>
    <w:rsid w:val="00BE15B9"/>
    <w:rsid w:val="00BE1B03"/>
    <w:rsid w:val="00BE30D1"/>
    <w:rsid w:val="00BE3E71"/>
    <w:rsid w:val="00BE4DEE"/>
    <w:rsid w:val="00BE5015"/>
    <w:rsid w:val="00BE517F"/>
    <w:rsid w:val="00BE5728"/>
    <w:rsid w:val="00BE6193"/>
    <w:rsid w:val="00BE6683"/>
    <w:rsid w:val="00BE7192"/>
    <w:rsid w:val="00BE7ED0"/>
    <w:rsid w:val="00BF0356"/>
    <w:rsid w:val="00BF041F"/>
    <w:rsid w:val="00BF0954"/>
    <w:rsid w:val="00BF1056"/>
    <w:rsid w:val="00BF2B06"/>
    <w:rsid w:val="00BF2BFA"/>
    <w:rsid w:val="00BF480B"/>
    <w:rsid w:val="00BF484E"/>
    <w:rsid w:val="00BF48EA"/>
    <w:rsid w:val="00BF4A9F"/>
    <w:rsid w:val="00BF59AA"/>
    <w:rsid w:val="00BF66BD"/>
    <w:rsid w:val="00BF6717"/>
    <w:rsid w:val="00BF6858"/>
    <w:rsid w:val="00BF6A55"/>
    <w:rsid w:val="00BF6F5E"/>
    <w:rsid w:val="00C00BA5"/>
    <w:rsid w:val="00C01AB2"/>
    <w:rsid w:val="00C01D4E"/>
    <w:rsid w:val="00C020B8"/>
    <w:rsid w:val="00C04C03"/>
    <w:rsid w:val="00C05DDF"/>
    <w:rsid w:val="00C05ECF"/>
    <w:rsid w:val="00C063EA"/>
    <w:rsid w:val="00C079C5"/>
    <w:rsid w:val="00C1112E"/>
    <w:rsid w:val="00C11534"/>
    <w:rsid w:val="00C12B06"/>
    <w:rsid w:val="00C13F2E"/>
    <w:rsid w:val="00C14968"/>
    <w:rsid w:val="00C14CEF"/>
    <w:rsid w:val="00C14D7B"/>
    <w:rsid w:val="00C14D97"/>
    <w:rsid w:val="00C1569D"/>
    <w:rsid w:val="00C1592D"/>
    <w:rsid w:val="00C160CB"/>
    <w:rsid w:val="00C16188"/>
    <w:rsid w:val="00C166C3"/>
    <w:rsid w:val="00C16CF2"/>
    <w:rsid w:val="00C17583"/>
    <w:rsid w:val="00C17B13"/>
    <w:rsid w:val="00C17CE2"/>
    <w:rsid w:val="00C2056B"/>
    <w:rsid w:val="00C20799"/>
    <w:rsid w:val="00C207B6"/>
    <w:rsid w:val="00C21ED8"/>
    <w:rsid w:val="00C224E4"/>
    <w:rsid w:val="00C22B55"/>
    <w:rsid w:val="00C24902"/>
    <w:rsid w:val="00C24D71"/>
    <w:rsid w:val="00C251EE"/>
    <w:rsid w:val="00C257B0"/>
    <w:rsid w:val="00C2620F"/>
    <w:rsid w:val="00C26557"/>
    <w:rsid w:val="00C27152"/>
    <w:rsid w:val="00C2764F"/>
    <w:rsid w:val="00C27A2E"/>
    <w:rsid w:val="00C27C83"/>
    <w:rsid w:val="00C31677"/>
    <w:rsid w:val="00C320BF"/>
    <w:rsid w:val="00C32284"/>
    <w:rsid w:val="00C322C1"/>
    <w:rsid w:val="00C3295E"/>
    <w:rsid w:val="00C32978"/>
    <w:rsid w:val="00C335C4"/>
    <w:rsid w:val="00C33E5C"/>
    <w:rsid w:val="00C3444C"/>
    <w:rsid w:val="00C349C1"/>
    <w:rsid w:val="00C34C77"/>
    <w:rsid w:val="00C34F8A"/>
    <w:rsid w:val="00C353C6"/>
    <w:rsid w:val="00C36109"/>
    <w:rsid w:val="00C36330"/>
    <w:rsid w:val="00C416CB"/>
    <w:rsid w:val="00C431AA"/>
    <w:rsid w:val="00C43906"/>
    <w:rsid w:val="00C43A65"/>
    <w:rsid w:val="00C44437"/>
    <w:rsid w:val="00C44BD3"/>
    <w:rsid w:val="00C46F8B"/>
    <w:rsid w:val="00C4711B"/>
    <w:rsid w:val="00C4738A"/>
    <w:rsid w:val="00C473A2"/>
    <w:rsid w:val="00C47B6A"/>
    <w:rsid w:val="00C50ADB"/>
    <w:rsid w:val="00C517EC"/>
    <w:rsid w:val="00C51F19"/>
    <w:rsid w:val="00C51F56"/>
    <w:rsid w:val="00C53F64"/>
    <w:rsid w:val="00C54717"/>
    <w:rsid w:val="00C57A87"/>
    <w:rsid w:val="00C60118"/>
    <w:rsid w:val="00C60226"/>
    <w:rsid w:val="00C6077B"/>
    <w:rsid w:val="00C60967"/>
    <w:rsid w:val="00C60A1E"/>
    <w:rsid w:val="00C60AB3"/>
    <w:rsid w:val="00C60C5B"/>
    <w:rsid w:val="00C618F9"/>
    <w:rsid w:val="00C62778"/>
    <w:rsid w:val="00C627B2"/>
    <w:rsid w:val="00C62EFD"/>
    <w:rsid w:val="00C6358C"/>
    <w:rsid w:val="00C63D86"/>
    <w:rsid w:val="00C64C4C"/>
    <w:rsid w:val="00C64D69"/>
    <w:rsid w:val="00C64E2C"/>
    <w:rsid w:val="00C64F3F"/>
    <w:rsid w:val="00C6520D"/>
    <w:rsid w:val="00C664AA"/>
    <w:rsid w:val="00C668B1"/>
    <w:rsid w:val="00C6714D"/>
    <w:rsid w:val="00C67549"/>
    <w:rsid w:val="00C70069"/>
    <w:rsid w:val="00C708A7"/>
    <w:rsid w:val="00C7118C"/>
    <w:rsid w:val="00C7121F"/>
    <w:rsid w:val="00C71B9F"/>
    <w:rsid w:val="00C721F2"/>
    <w:rsid w:val="00C722FE"/>
    <w:rsid w:val="00C72D93"/>
    <w:rsid w:val="00C738C2"/>
    <w:rsid w:val="00C745BB"/>
    <w:rsid w:val="00C74BEB"/>
    <w:rsid w:val="00C75F22"/>
    <w:rsid w:val="00C76C54"/>
    <w:rsid w:val="00C80C33"/>
    <w:rsid w:val="00C81741"/>
    <w:rsid w:val="00C81A74"/>
    <w:rsid w:val="00C81B03"/>
    <w:rsid w:val="00C824E1"/>
    <w:rsid w:val="00C82570"/>
    <w:rsid w:val="00C826A0"/>
    <w:rsid w:val="00C82ED6"/>
    <w:rsid w:val="00C82F8C"/>
    <w:rsid w:val="00C84188"/>
    <w:rsid w:val="00C85183"/>
    <w:rsid w:val="00C8741E"/>
    <w:rsid w:val="00C908A9"/>
    <w:rsid w:val="00C90F6B"/>
    <w:rsid w:val="00C91055"/>
    <w:rsid w:val="00C9127F"/>
    <w:rsid w:val="00C92001"/>
    <w:rsid w:val="00C92250"/>
    <w:rsid w:val="00C928F0"/>
    <w:rsid w:val="00C93177"/>
    <w:rsid w:val="00C93816"/>
    <w:rsid w:val="00C93AB6"/>
    <w:rsid w:val="00C9425D"/>
    <w:rsid w:val="00C94695"/>
    <w:rsid w:val="00C95BF2"/>
    <w:rsid w:val="00CA08A2"/>
    <w:rsid w:val="00CA3791"/>
    <w:rsid w:val="00CA3FAE"/>
    <w:rsid w:val="00CA48B9"/>
    <w:rsid w:val="00CA5307"/>
    <w:rsid w:val="00CA6A1A"/>
    <w:rsid w:val="00CA6C20"/>
    <w:rsid w:val="00CA705E"/>
    <w:rsid w:val="00CB077A"/>
    <w:rsid w:val="00CB0F93"/>
    <w:rsid w:val="00CB28FF"/>
    <w:rsid w:val="00CB2F42"/>
    <w:rsid w:val="00CB590D"/>
    <w:rsid w:val="00CB5ACF"/>
    <w:rsid w:val="00CB5DEB"/>
    <w:rsid w:val="00CB62A2"/>
    <w:rsid w:val="00CB6345"/>
    <w:rsid w:val="00CB645B"/>
    <w:rsid w:val="00CB65DD"/>
    <w:rsid w:val="00CB67AF"/>
    <w:rsid w:val="00CB6812"/>
    <w:rsid w:val="00CB7947"/>
    <w:rsid w:val="00CB7ADB"/>
    <w:rsid w:val="00CC13E2"/>
    <w:rsid w:val="00CC19DC"/>
    <w:rsid w:val="00CC2100"/>
    <w:rsid w:val="00CC24B6"/>
    <w:rsid w:val="00CC319E"/>
    <w:rsid w:val="00CC399C"/>
    <w:rsid w:val="00CC40D8"/>
    <w:rsid w:val="00CC43FE"/>
    <w:rsid w:val="00CC5907"/>
    <w:rsid w:val="00CC6056"/>
    <w:rsid w:val="00CC60FD"/>
    <w:rsid w:val="00CC6405"/>
    <w:rsid w:val="00CC64E3"/>
    <w:rsid w:val="00CC6770"/>
    <w:rsid w:val="00CC6AF4"/>
    <w:rsid w:val="00CC73C2"/>
    <w:rsid w:val="00CC73D5"/>
    <w:rsid w:val="00CC7811"/>
    <w:rsid w:val="00CC7868"/>
    <w:rsid w:val="00CC7DFD"/>
    <w:rsid w:val="00CD1A55"/>
    <w:rsid w:val="00CD1DC2"/>
    <w:rsid w:val="00CD2D05"/>
    <w:rsid w:val="00CD327F"/>
    <w:rsid w:val="00CD4272"/>
    <w:rsid w:val="00CD45D5"/>
    <w:rsid w:val="00CD46A4"/>
    <w:rsid w:val="00CD5E1D"/>
    <w:rsid w:val="00CD7054"/>
    <w:rsid w:val="00CE0DD3"/>
    <w:rsid w:val="00CE0DE9"/>
    <w:rsid w:val="00CE1032"/>
    <w:rsid w:val="00CE119A"/>
    <w:rsid w:val="00CE200A"/>
    <w:rsid w:val="00CE295B"/>
    <w:rsid w:val="00CE2C08"/>
    <w:rsid w:val="00CE3A1A"/>
    <w:rsid w:val="00CE44E0"/>
    <w:rsid w:val="00CE633E"/>
    <w:rsid w:val="00CE6B03"/>
    <w:rsid w:val="00CE6D98"/>
    <w:rsid w:val="00CE7ADF"/>
    <w:rsid w:val="00CE7CF8"/>
    <w:rsid w:val="00CE7EF6"/>
    <w:rsid w:val="00CF01F7"/>
    <w:rsid w:val="00CF08E1"/>
    <w:rsid w:val="00CF16BF"/>
    <w:rsid w:val="00CF356D"/>
    <w:rsid w:val="00CF3F8D"/>
    <w:rsid w:val="00CF415F"/>
    <w:rsid w:val="00CF4426"/>
    <w:rsid w:val="00CF4D55"/>
    <w:rsid w:val="00CF5ABA"/>
    <w:rsid w:val="00CF5F12"/>
    <w:rsid w:val="00CF629A"/>
    <w:rsid w:val="00CF6B2A"/>
    <w:rsid w:val="00CF704E"/>
    <w:rsid w:val="00CF79C8"/>
    <w:rsid w:val="00CF7A07"/>
    <w:rsid w:val="00CF7DD9"/>
    <w:rsid w:val="00D00793"/>
    <w:rsid w:val="00D009D7"/>
    <w:rsid w:val="00D00C2B"/>
    <w:rsid w:val="00D00E34"/>
    <w:rsid w:val="00D015C0"/>
    <w:rsid w:val="00D025DE"/>
    <w:rsid w:val="00D02CB0"/>
    <w:rsid w:val="00D031D0"/>
    <w:rsid w:val="00D04225"/>
    <w:rsid w:val="00D04EDC"/>
    <w:rsid w:val="00D05168"/>
    <w:rsid w:val="00D05829"/>
    <w:rsid w:val="00D06429"/>
    <w:rsid w:val="00D07222"/>
    <w:rsid w:val="00D072F0"/>
    <w:rsid w:val="00D072F2"/>
    <w:rsid w:val="00D07567"/>
    <w:rsid w:val="00D07578"/>
    <w:rsid w:val="00D07D13"/>
    <w:rsid w:val="00D1082B"/>
    <w:rsid w:val="00D1099E"/>
    <w:rsid w:val="00D10B2C"/>
    <w:rsid w:val="00D10CE7"/>
    <w:rsid w:val="00D10F7D"/>
    <w:rsid w:val="00D11024"/>
    <w:rsid w:val="00D1197D"/>
    <w:rsid w:val="00D1265C"/>
    <w:rsid w:val="00D1267F"/>
    <w:rsid w:val="00D12AD7"/>
    <w:rsid w:val="00D1326B"/>
    <w:rsid w:val="00D13BA8"/>
    <w:rsid w:val="00D1447F"/>
    <w:rsid w:val="00D1461C"/>
    <w:rsid w:val="00D153CD"/>
    <w:rsid w:val="00D1545D"/>
    <w:rsid w:val="00D15826"/>
    <w:rsid w:val="00D15BE6"/>
    <w:rsid w:val="00D16003"/>
    <w:rsid w:val="00D16054"/>
    <w:rsid w:val="00D161F6"/>
    <w:rsid w:val="00D16F0A"/>
    <w:rsid w:val="00D17DB6"/>
    <w:rsid w:val="00D2059D"/>
    <w:rsid w:val="00D22475"/>
    <w:rsid w:val="00D22869"/>
    <w:rsid w:val="00D22DDF"/>
    <w:rsid w:val="00D235C3"/>
    <w:rsid w:val="00D23705"/>
    <w:rsid w:val="00D24C80"/>
    <w:rsid w:val="00D2529D"/>
    <w:rsid w:val="00D255E0"/>
    <w:rsid w:val="00D25C10"/>
    <w:rsid w:val="00D25FBF"/>
    <w:rsid w:val="00D260A1"/>
    <w:rsid w:val="00D268FD"/>
    <w:rsid w:val="00D2715A"/>
    <w:rsid w:val="00D272B0"/>
    <w:rsid w:val="00D2789C"/>
    <w:rsid w:val="00D27E70"/>
    <w:rsid w:val="00D27FAF"/>
    <w:rsid w:val="00D305E9"/>
    <w:rsid w:val="00D306C2"/>
    <w:rsid w:val="00D31533"/>
    <w:rsid w:val="00D31694"/>
    <w:rsid w:val="00D33298"/>
    <w:rsid w:val="00D333F3"/>
    <w:rsid w:val="00D33E33"/>
    <w:rsid w:val="00D34924"/>
    <w:rsid w:val="00D351B2"/>
    <w:rsid w:val="00D355DA"/>
    <w:rsid w:val="00D36E3F"/>
    <w:rsid w:val="00D37E13"/>
    <w:rsid w:val="00D407EF"/>
    <w:rsid w:val="00D4232C"/>
    <w:rsid w:val="00D424CE"/>
    <w:rsid w:val="00D4287C"/>
    <w:rsid w:val="00D43F2B"/>
    <w:rsid w:val="00D4410C"/>
    <w:rsid w:val="00D44112"/>
    <w:rsid w:val="00D445E3"/>
    <w:rsid w:val="00D44683"/>
    <w:rsid w:val="00D4495B"/>
    <w:rsid w:val="00D44CC5"/>
    <w:rsid w:val="00D45B88"/>
    <w:rsid w:val="00D52505"/>
    <w:rsid w:val="00D5417A"/>
    <w:rsid w:val="00D54549"/>
    <w:rsid w:val="00D55028"/>
    <w:rsid w:val="00D55443"/>
    <w:rsid w:val="00D56145"/>
    <w:rsid w:val="00D5749C"/>
    <w:rsid w:val="00D57556"/>
    <w:rsid w:val="00D57B7E"/>
    <w:rsid w:val="00D57B8B"/>
    <w:rsid w:val="00D607CE"/>
    <w:rsid w:val="00D60DC1"/>
    <w:rsid w:val="00D611D0"/>
    <w:rsid w:val="00D614F3"/>
    <w:rsid w:val="00D61890"/>
    <w:rsid w:val="00D61D0D"/>
    <w:rsid w:val="00D62039"/>
    <w:rsid w:val="00D644F1"/>
    <w:rsid w:val="00D648BF"/>
    <w:rsid w:val="00D6538C"/>
    <w:rsid w:val="00D66600"/>
    <w:rsid w:val="00D6702A"/>
    <w:rsid w:val="00D6764A"/>
    <w:rsid w:val="00D67A9A"/>
    <w:rsid w:val="00D67B8B"/>
    <w:rsid w:val="00D7073E"/>
    <w:rsid w:val="00D70B26"/>
    <w:rsid w:val="00D70B7C"/>
    <w:rsid w:val="00D70B90"/>
    <w:rsid w:val="00D71930"/>
    <w:rsid w:val="00D733A1"/>
    <w:rsid w:val="00D757F7"/>
    <w:rsid w:val="00D77128"/>
    <w:rsid w:val="00D774B8"/>
    <w:rsid w:val="00D776D1"/>
    <w:rsid w:val="00D77BAB"/>
    <w:rsid w:val="00D77E2C"/>
    <w:rsid w:val="00D77F33"/>
    <w:rsid w:val="00D8064C"/>
    <w:rsid w:val="00D80655"/>
    <w:rsid w:val="00D806C2"/>
    <w:rsid w:val="00D808E6"/>
    <w:rsid w:val="00D80D32"/>
    <w:rsid w:val="00D81362"/>
    <w:rsid w:val="00D8319B"/>
    <w:rsid w:val="00D84484"/>
    <w:rsid w:val="00D84D2B"/>
    <w:rsid w:val="00D85911"/>
    <w:rsid w:val="00D85AD3"/>
    <w:rsid w:val="00D862B2"/>
    <w:rsid w:val="00D863A6"/>
    <w:rsid w:val="00D8761A"/>
    <w:rsid w:val="00D878D1"/>
    <w:rsid w:val="00D87B84"/>
    <w:rsid w:val="00D87FDD"/>
    <w:rsid w:val="00D90607"/>
    <w:rsid w:val="00D91074"/>
    <w:rsid w:val="00D913E2"/>
    <w:rsid w:val="00D92F4F"/>
    <w:rsid w:val="00D93641"/>
    <w:rsid w:val="00D95339"/>
    <w:rsid w:val="00D961D9"/>
    <w:rsid w:val="00D965FD"/>
    <w:rsid w:val="00D96702"/>
    <w:rsid w:val="00D96F22"/>
    <w:rsid w:val="00DA076F"/>
    <w:rsid w:val="00DA0C71"/>
    <w:rsid w:val="00DA0C9C"/>
    <w:rsid w:val="00DA194E"/>
    <w:rsid w:val="00DA1DA2"/>
    <w:rsid w:val="00DA239E"/>
    <w:rsid w:val="00DA2401"/>
    <w:rsid w:val="00DA2415"/>
    <w:rsid w:val="00DA26F1"/>
    <w:rsid w:val="00DA2F0F"/>
    <w:rsid w:val="00DA2FC0"/>
    <w:rsid w:val="00DA3E01"/>
    <w:rsid w:val="00DA512A"/>
    <w:rsid w:val="00DA59F8"/>
    <w:rsid w:val="00DA5D41"/>
    <w:rsid w:val="00DB032F"/>
    <w:rsid w:val="00DB0338"/>
    <w:rsid w:val="00DB1FCA"/>
    <w:rsid w:val="00DB3155"/>
    <w:rsid w:val="00DB332D"/>
    <w:rsid w:val="00DB3539"/>
    <w:rsid w:val="00DB37A5"/>
    <w:rsid w:val="00DB37F8"/>
    <w:rsid w:val="00DB4D01"/>
    <w:rsid w:val="00DB5266"/>
    <w:rsid w:val="00DB52E0"/>
    <w:rsid w:val="00DC094F"/>
    <w:rsid w:val="00DC1069"/>
    <w:rsid w:val="00DC10BC"/>
    <w:rsid w:val="00DC1101"/>
    <w:rsid w:val="00DC1347"/>
    <w:rsid w:val="00DC193B"/>
    <w:rsid w:val="00DC1B72"/>
    <w:rsid w:val="00DC1D71"/>
    <w:rsid w:val="00DC3A2B"/>
    <w:rsid w:val="00DC41EA"/>
    <w:rsid w:val="00DC451B"/>
    <w:rsid w:val="00DC4A36"/>
    <w:rsid w:val="00DC5016"/>
    <w:rsid w:val="00DC5424"/>
    <w:rsid w:val="00DC546D"/>
    <w:rsid w:val="00DC54A8"/>
    <w:rsid w:val="00DC6029"/>
    <w:rsid w:val="00DD1C36"/>
    <w:rsid w:val="00DD24F9"/>
    <w:rsid w:val="00DD255F"/>
    <w:rsid w:val="00DD3036"/>
    <w:rsid w:val="00DD3B2C"/>
    <w:rsid w:val="00DD462B"/>
    <w:rsid w:val="00DD4630"/>
    <w:rsid w:val="00DD5093"/>
    <w:rsid w:val="00DD5DB8"/>
    <w:rsid w:val="00DD6465"/>
    <w:rsid w:val="00DD6905"/>
    <w:rsid w:val="00DD7752"/>
    <w:rsid w:val="00DE0F80"/>
    <w:rsid w:val="00DE1B4F"/>
    <w:rsid w:val="00DE2169"/>
    <w:rsid w:val="00DE2996"/>
    <w:rsid w:val="00DE43A9"/>
    <w:rsid w:val="00DE5008"/>
    <w:rsid w:val="00DE51AF"/>
    <w:rsid w:val="00DE56A0"/>
    <w:rsid w:val="00DE659A"/>
    <w:rsid w:val="00DF0EB7"/>
    <w:rsid w:val="00DF187B"/>
    <w:rsid w:val="00DF1FAB"/>
    <w:rsid w:val="00DF2B09"/>
    <w:rsid w:val="00DF59C8"/>
    <w:rsid w:val="00DF5C36"/>
    <w:rsid w:val="00DF6500"/>
    <w:rsid w:val="00DF670B"/>
    <w:rsid w:val="00E0055B"/>
    <w:rsid w:val="00E008E8"/>
    <w:rsid w:val="00E0133B"/>
    <w:rsid w:val="00E01363"/>
    <w:rsid w:val="00E017B6"/>
    <w:rsid w:val="00E0284D"/>
    <w:rsid w:val="00E03275"/>
    <w:rsid w:val="00E037FE"/>
    <w:rsid w:val="00E04194"/>
    <w:rsid w:val="00E057BF"/>
    <w:rsid w:val="00E0594C"/>
    <w:rsid w:val="00E061F9"/>
    <w:rsid w:val="00E07472"/>
    <w:rsid w:val="00E07848"/>
    <w:rsid w:val="00E079F4"/>
    <w:rsid w:val="00E10119"/>
    <w:rsid w:val="00E10453"/>
    <w:rsid w:val="00E10703"/>
    <w:rsid w:val="00E10932"/>
    <w:rsid w:val="00E117FA"/>
    <w:rsid w:val="00E11868"/>
    <w:rsid w:val="00E1187D"/>
    <w:rsid w:val="00E1201D"/>
    <w:rsid w:val="00E1209C"/>
    <w:rsid w:val="00E12615"/>
    <w:rsid w:val="00E13438"/>
    <w:rsid w:val="00E1381A"/>
    <w:rsid w:val="00E154C2"/>
    <w:rsid w:val="00E1698A"/>
    <w:rsid w:val="00E1715D"/>
    <w:rsid w:val="00E1745C"/>
    <w:rsid w:val="00E1765A"/>
    <w:rsid w:val="00E176EC"/>
    <w:rsid w:val="00E17966"/>
    <w:rsid w:val="00E17D44"/>
    <w:rsid w:val="00E17EFC"/>
    <w:rsid w:val="00E20DA1"/>
    <w:rsid w:val="00E24680"/>
    <w:rsid w:val="00E25AC4"/>
    <w:rsid w:val="00E264EB"/>
    <w:rsid w:val="00E26B8B"/>
    <w:rsid w:val="00E2725B"/>
    <w:rsid w:val="00E275C0"/>
    <w:rsid w:val="00E277CE"/>
    <w:rsid w:val="00E27A17"/>
    <w:rsid w:val="00E27B09"/>
    <w:rsid w:val="00E27B79"/>
    <w:rsid w:val="00E27F03"/>
    <w:rsid w:val="00E305A3"/>
    <w:rsid w:val="00E30975"/>
    <w:rsid w:val="00E3109F"/>
    <w:rsid w:val="00E31DB0"/>
    <w:rsid w:val="00E32B1F"/>
    <w:rsid w:val="00E32EEC"/>
    <w:rsid w:val="00E3306E"/>
    <w:rsid w:val="00E3326E"/>
    <w:rsid w:val="00E33EDC"/>
    <w:rsid w:val="00E345AC"/>
    <w:rsid w:val="00E345F6"/>
    <w:rsid w:val="00E35E5D"/>
    <w:rsid w:val="00E35FCA"/>
    <w:rsid w:val="00E3605D"/>
    <w:rsid w:val="00E36C34"/>
    <w:rsid w:val="00E37477"/>
    <w:rsid w:val="00E3753E"/>
    <w:rsid w:val="00E37DCA"/>
    <w:rsid w:val="00E40C9D"/>
    <w:rsid w:val="00E40EDE"/>
    <w:rsid w:val="00E40F82"/>
    <w:rsid w:val="00E411C6"/>
    <w:rsid w:val="00E42C05"/>
    <w:rsid w:val="00E43017"/>
    <w:rsid w:val="00E4485C"/>
    <w:rsid w:val="00E45146"/>
    <w:rsid w:val="00E453D1"/>
    <w:rsid w:val="00E458E0"/>
    <w:rsid w:val="00E45CD1"/>
    <w:rsid w:val="00E45E60"/>
    <w:rsid w:val="00E464C3"/>
    <w:rsid w:val="00E46BD2"/>
    <w:rsid w:val="00E4793D"/>
    <w:rsid w:val="00E505A9"/>
    <w:rsid w:val="00E5100C"/>
    <w:rsid w:val="00E51564"/>
    <w:rsid w:val="00E522E8"/>
    <w:rsid w:val="00E5244C"/>
    <w:rsid w:val="00E5262B"/>
    <w:rsid w:val="00E528F2"/>
    <w:rsid w:val="00E52D64"/>
    <w:rsid w:val="00E53D7E"/>
    <w:rsid w:val="00E53E69"/>
    <w:rsid w:val="00E53F9E"/>
    <w:rsid w:val="00E54186"/>
    <w:rsid w:val="00E54738"/>
    <w:rsid w:val="00E54F1C"/>
    <w:rsid w:val="00E5513D"/>
    <w:rsid w:val="00E555E5"/>
    <w:rsid w:val="00E564FF"/>
    <w:rsid w:val="00E56D5A"/>
    <w:rsid w:val="00E57FAE"/>
    <w:rsid w:val="00E60A4D"/>
    <w:rsid w:val="00E61EB6"/>
    <w:rsid w:val="00E62189"/>
    <w:rsid w:val="00E63344"/>
    <w:rsid w:val="00E63347"/>
    <w:rsid w:val="00E63F8D"/>
    <w:rsid w:val="00E6502F"/>
    <w:rsid w:val="00E657EF"/>
    <w:rsid w:val="00E65C2C"/>
    <w:rsid w:val="00E66148"/>
    <w:rsid w:val="00E66A91"/>
    <w:rsid w:val="00E6741C"/>
    <w:rsid w:val="00E675C3"/>
    <w:rsid w:val="00E6777A"/>
    <w:rsid w:val="00E67AA7"/>
    <w:rsid w:val="00E70343"/>
    <w:rsid w:val="00E708B8"/>
    <w:rsid w:val="00E70B33"/>
    <w:rsid w:val="00E7308A"/>
    <w:rsid w:val="00E73179"/>
    <w:rsid w:val="00E734A1"/>
    <w:rsid w:val="00E74130"/>
    <w:rsid w:val="00E74361"/>
    <w:rsid w:val="00E74837"/>
    <w:rsid w:val="00E749C6"/>
    <w:rsid w:val="00E74F82"/>
    <w:rsid w:val="00E75026"/>
    <w:rsid w:val="00E75481"/>
    <w:rsid w:val="00E7738D"/>
    <w:rsid w:val="00E7769E"/>
    <w:rsid w:val="00E779D6"/>
    <w:rsid w:val="00E77BB6"/>
    <w:rsid w:val="00E77F38"/>
    <w:rsid w:val="00E80551"/>
    <w:rsid w:val="00E80FDE"/>
    <w:rsid w:val="00E8104F"/>
    <w:rsid w:val="00E8336F"/>
    <w:rsid w:val="00E844CE"/>
    <w:rsid w:val="00E8534A"/>
    <w:rsid w:val="00E86B40"/>
    <w:rsid w:val="00E873D5"/>
    <w:rsid w:val="00E874C0"/>
    <w:rsid w:val="00E87620"/>
    <w:rsid w:val="00E87A92"/>
    <w:rsid w:val="00E87DFE"/>
    <w:rsid w:val="00E9096A"/>
    <w:rsid w:val="00E90ACA"/>
    <w:rsid w:val="00E91F17"/>
    <w:rsid w:val="00E922B7"/>
    <w:rsid w:val="00E94713"/>
    <w:rsid w:val="00E95123"/>
    <w:rsid w:val="00E95838"/>
    <w:rsid w:val="00E95929"/>
    <w:rsid w:val="00E95CCC"/>
    <w:rsid w:val="00E962F1"/>
    <w:rsid w:val="00EA0377"/>
    <w:rsid w:val="00EA0553"/>
    <w:rsid w:val="00EA10CF"/>
    <w:rsid w:val="00EA1E12"/>
    <w:rsid w:val="00EA2493"/>
    <w:rsid w:val="00EA285D"/>
    <w:rsid w:val="00EA2E55"/>
    <w:rsid w:val="00EA340C"/>
    <w:rsid w:val="00EA4C08"/>
    <w:rsid w:val="00EA528C"/>
    <w:rsid w:val="00EA5B0C"/>
    <w:rsid w:val="00EA66D9"/>
    <w:rsid w:val="00EA69CF"/>
    <w:rsid w:val="00EA6D5E"/>
    <w:rsid w:val="00EA7281"/>
    <w:rsid w:val="00EB1000"/>
    <w:rsid w:val="00EB10AB"/>
    <w:rsid w:val="00EB1445"/>
    <w:rsid w:val="00EB15E9"/>
    <w:rsid w:val="00EB1FFE"/>
    <w:rsid w:val="00EB2319"/>
    <w:rsid w:val="00EB2601"/>
    <w:rsid w:val="00EB357C"/>
    <w:rsid w:val="00EB3F93"/>
    <w:rsid w:val="00EB5728"/>
    <w:rsid w:val="00EB660C"/>
    <w:rsid w:val="00EB6B58"/>
    <w:rsid w:val="00EB7815"/>
    <w:rsid w:val="00EB7F55"/>
    <w:rsid w:val="00EC0199"/>
    <w:rsid w:val="00EC02C2"/>
    <w:rsid w:val="00EC07F9"/>
    <w:rsid w:val="00EC0AFC"/>
    <w:rsid w:val="00EC11DC"/>
    <w:rsid w:val="00EC1606"/>
    <w:rsid w:val="00EC290B"/>
    <w:rsid w:val="00EC316E"/>
    <w:rsid w:val="00EC4C0B"/>
    <w:rsid w:val="00EC4E21"/>
    <w:rsid w:val="00EC4F4A"/>
    <w:rsid w:val="00EC53FB"/>
    <w:rsid w:val="00EC5B43"/>
    <w:rsid w:val="00EC6AC9"/>
    <w:rsid w:val="00EC6BB0"/>
    <w:rsid w:val="00EC6C3B"/>
    <w:rsid w:val="00EC6FBB"/>
    <w:rsid w:val="00EC75D2"/>
    <w:rsid w:val="00EC767B"/>
    <w:rsid w:val="00ED01DC"/>
    <w:rsid w:val="00ED05B6"/>
    <w:rsid w:val="00ED14F3"/>
    <w:rsid w:val="00ED166A"/>
    <w:rsid w:val="00ED17DA"/>
    <w:rsid w:val="00ED1AAE"/>
    <w:rsid w:val="00ED1D50"/>
    <w:rsid w:val="00ED2422"/>
    <w:rsid w:val="00ED26E6"/>
    <w:rsid w:val="00ED372A"/>
    <w:rsid w:val="00ED4AE3"/>
    <w:rsid w:val="00ED5008"/>
    <w:rsid w:val="00ED507B"/>
    <w:rsid w:val="00ED543F"/>
    <w:rsid w:val="00ED5C70"/>
    <w:rsid w:val="00EE0545"/>
    <w:rsid w:val="00EE0A26"/>
    <w:rsid w:val="00EE0D9B"/>
    <w:rsid w:val="00EE173D"/>
    <w:rsid w:val="00EE1EFC"/>
    <w:rsid w:val="00EE2EC7"/>
    <w:rsid w:val="00EE3054"/>
    <w:rsid w:val="00EE41DB"/>
    <w:rsid w:val="00EE42ED"/>
    <w:rsid w:val="00EE4716"/>
    <w:rsid w:val="00EE4BEC"/>
    <w:rsid w:val="00EE4FC5"/>
    <w:rsid w:val="00EE584A"/>
    <w:rsid w:val="00EE5B81"/>
    <w:rsid w:val="00EE61A4"/>
    <w:rsid w:val="00EE66AF"/>
    <w:rsid w:val="00EE709A"/>
    <w:rsid w:val="00EE7B03"/>
    <w:rsid w:val="00EF2340"/>
    <w:rsid w:val="00EF51FA"/>
    <w:rsid w:val="00EF623B"/>
    <w:rsid w:val="00F00316"/>
    <w:rsid w:val="00F01019"/>
    <w:rsid w:val="00F01320"/>
    <w:rsid w:val="00F01BD6"/>
    <w:rsid w:val="00F021E6"/>
    <w:rsid w:val="00F036F8"/>
    <w:rsid w:val="00F03941"/>
    <w:rsid w:val="00F03BFD"/>
    <w:rsid w:val="00F049D3"/>
    <w:rsid w:val="00F07DCD"/>
    <w:rsid w:val="00F10D78"/>
    <w:rsid w:val="00F11D64"/>
    <w:rsid w:val="00F11FD9"/>
    <w:rsid w:val="00F12C58"/>
    <w:rsid w:val="00F131D7"/>
    <w:rsid w:val="00F14544"/>
    <w:rsid w:val="00F14A0B"/>
    <w:rsid w:val="00F14B9B"/>
    <w:rsid w:val="00F15164"/>
    <w:rsid w:val="00F15ED4"/>
    <w:rsid w:val="00F1608D"/>
    <w:rsid w:val="00F173FC"/>
    <w:rsid w:val="00F177B0"/>
    <w:rsid w:val="00F20289"/>
    <w:rsid w:val="00F21111"/>
    <w:rsid w:val="00F215CC"/>
    <w:rsid w:val="00F21C18"/>
    <w:rsid w:val="00F221BA"/>
    <w:rsid w:val="00F2276E"/>
    <w:rsid w:val="00F22C88"/>
    <w:rsid w:val="00F23A97"/>
    <w:rsid w:val="00F23A9F"/>
    <w:rsid w:val="00F23B2E"/>
    <w:rsid w:val="00F23F73"/>
    <w:rsid w:val="00F2642D"/>
    <w:rsid w:val="00F27B51"/>
    <w:rsid w:val="00F30373"/>
    <w:rsid w:val="00F30535"/>
    <w:rsid w:val="00F30808"/>
    <w:rsid w:val="00F309A7"/>
    <w:rsid w:val="00F31888"/>
    <w:rsid w:val="00F3276E"/>
    <w:rsid w:val="00F3342B"/>
    <w:rsid w:val="00F334F5"/>
    <w:rsid w:val="00F33B40"/>
    <w:rsid w:val="00F33E85"/>
    <w:rsid w:val="00F34ED5"/>
    <w:rsid w:val="00F35481"/>
    <w:rsid w:val="00F35717"/>
    <w:rsid w:val="00F37257"/>
    <w:rsid w:val="00F37351"/>
    <w:rsid w:val="00F37E5A"/>
    <w:rsid w:val="00F40291"/>
    <w:rsid w:val="00F402B2"/>
    <w:rsid w:val="00F40AAB"/>
    <w:rsid w:val="00F410CD"/>
    <w:rsid w:val="00F41547"/>
    <w:rsid w:val="00F421F7"/>
    <w:rsid w:val="00F4259C"/>
    <w:rsid w:val="00F42900"/>
    <w:rsid w:val="00F42A47"/>
    <w:rsid w:val="00F437FD"/>
    <w:rsid w:val="00F4444A"/>
    <w:rsid w:val="00F444FA"/>
    <w:rsid w:val="00F44535"/>
    <w:rsid w:val="00F44884"/>
    <w:rsid w:val="00F44893"/>
    <w:rsid w:val="00F44BCA"/>
    <w:rsid w:val="00F454D7"/>
    <w:rsid w:val="00F4578C"/>
    <w:rsid w:val="00F45EC8"/>
    <w:rsid w:val="00F46A12"/>
    <w:rsid w:val="00F46D13"/>
    <w:rsid w:val="00F47F1B"/>
    <w:rsid w:val="00F5000B"/>
    <w:rsid w:val="00F50696"/>
    <w:rsid w:val="00F50708"/>
    <w:rsid w:val="00F507AA"/>
    <w:rsid w:val="00F50B1B"/>
    <w:rsid w:val="00F51831"/>
    <w:rsid w:val="00F51BEF"/>
    <w:rsid w:val="00F527C1"/>
    <w:rsid w:val="00F5354B"/>
    <w:rsid w:val="00F53860"/>
    <w:rsid w:val="00F539B2"/>
    <w:rsid w:val="00F53CBE"/>
    <w:rsid w:val="00F55F27"/>
    <w:rsid w:val="00F55FEC"/>
    <w:rsid w:val="00F5682A"/>
    <w:rsid w:val="00F572F0"/>
    <w:rsid w:val="00F575BF"/>
    <w:rsid w:val="00F57731"/>
    <w:rsid w:val="00F60058"/>
    <w:rsid w:val="00F600F9"/>
    <w:rsid w:val="00F609C7"/>
    <w:rsid w:val="00F60BF2"/>
    <w:rsid w:val="00F615E1"/>
    <w:rsid w:val="00F616BF"/>
    <w:rsid w:val="00F62235"/>
    <w:rsid w:val="00F6228F"/>
    <w:rsid w:val="00F63535"/>
    <w:rsid w:val="00F644B5"/>
    <w:rsid w:val="00F64692"/>
    <w:rsid w:val="00F65E73"/>
    <w:rsid w:val="00F6655A"/>
    <w:rsid w:val="00F67948"/>
    <w:rsid w:val="00F67B5C"/>
    <w:rsid w:val="00F7071F"/>
    <w:rsid w:val="00F71338"/>
    <w:rsid w:val="00F716BC"/>
    <w:rsid w:val="00F71C70"/>
    <w:rsid w:val="00F7247C"/>
    <w:rsid w:val="00F73171"/>
    <w:rsid w:val="00F73189"/>
    <w:rsid w:val="00F7350A"/>
    <w:rsid w:val="00F73A9F"/>
    <w:rsid w:val="00F73EF3"/>
    <w:rsid w:val="00F74A3D"/>
    <w:rsid w:val="00F74A64"/>
    <w:rsid w:val="00F75DE6"/>
    <w:rsid w:val="00F75DF2"/>
    <w:rsid w:val="00F76719"/>
    <w:rsid w:val="00F770E8"/>
    <w:rsid w:val="00F777BD"/>
    <w:rsid w:val="00F779B6"/>
    <w:rsid w:val="00F80A23"/>
    <w:rsid w:val="00F810E4"/>
    <w:rsid w:val="00F81D14"/>
    <w:rsid w:val="00F83CE8"/>
    <w:rsid w:val="00F83EF2"/>
    <w:rsid w:val="00F84873"/>
    <w:rsid w:val="00F84C87"/>
    <w:rsid w:val="00F84DA6"/>
    <w:rsid w:val="00F85268"/>
    <w:rsid w:val="00F85448"/>
    <w:rsid w:val="00F86645"/>
    <w:rsid w:val="00F86B0E"/>
    <w:rsid w:val="00F903EF"/>
    <w:rsid w:val="00F90524"/>
    <w:rsid w:val="00F911F8"/>
    <w:rsid w:val="00F913E3"/>
    <w:rsid w:val="00F91A1B"/>
    <w:rsid w:val="00F92E26"/>
    <w:rsid w:val="00F93866"/>
    <w:rsid w:val="00F939AB"/>
    <w:rsid w:val="00F93B0A"/>
    <w:rsid w:val="00F94113"/>
    <w:rsid w:val="00F948EB"/>
    <w:rsid w:val="00F94A80"/>
    <w:rsid w:val="00F94EAF"/>
    <w:rsid w:val="00F95AF2"/>
    <w:rsid w:val="00F96748"/>
    <w:rsid w:val="00F96AD5"/>
    <w:rsid w:val="00F96BBC"/>
    <w:rsid w:val="00FA064A"/>
    <w:rsid w:val="00FA06DC"/>
    <w:rsid w:val="00FA096D"/>
    <w:rsid w:val="00FA162A"/>
    <w:rsid w:val="00FA18FA"/>
    <w:rsid w:val="00FA1CFB"/>
    <w:rsid w:val="00FA34DA"/>
    <w:rsid w:val="00FA5924"/>
    <w:rsid w:val="00FA77AE"/>
    <w:rsid w:val="00FA7EBB"/>
    <w:rsid w:val="00FA7F67"/>
    <w:rsid w:val="00FB14CF"/>
    <w:rsid w:val="00FB208B"/>
    <w:rsid w:val="00FB241E"/>
    <w:rsid w:val="00FB40CB"/>
    <w:rsid w:val="00FB4F73"/>
    <w:rsid w:val="00FB4FD0"/>
    <w:rsid w:val="00FB5950"/>
    <w:rsid w:val="00FB6595"/>
    <w:rsid w:val="00FB69D6"/>
    <w:rsid w:val="00FB7580"/>
    <w:rsid w:val="00FC00FD"/>
    <w:rsid w:val="00FC0E29"/>
    <w:rsid w:val="00FC10A0"/>
    <w:rsid w:val="00FC1160"/>
    <w:rsid w:val="00FC15C0"/>
    <w:rsid w:val="00FC1715"/>
    <w:rsid w:val="00FC17AA"/>
    <w:rsid w:val="00FC1A72"/>
    <w:rsid w:val="00FC2F39"/>
    <w:rsid w:val="00FC3D0C"/>
    <w:rsid w:val="00FC41B2"/>
    <w:rsid w:val="00FC4653"/>
    <w:rsid w:val="00FC4E85"/>
    <w:rsid w:val="00FC4EB6"/>
    <w:rsid w:val="00FC604D"/>
    <w:rsid w:val="00FC614E"/>
    <w:rsid w:val="00FC6457"/>
    <w:rsid w:val="00FC64DE"/>
    <w:rsid w:val="00FD06C4"/>
    <w:rsid w:val="00FD161E"/>
    <w:rsid w:val="00FD2C25"/>
    <w:rsid w:val="00FD31F7"/>
    <w:rsid w:val="00FD3322"/>
    <w:rsid w:val="00FD3548"/>
    <w:rsid w:val="00FD3795"/>
    <w:rsid w:val="00FD43BE"/>
    <w:rsid w:val="00FD4865"/>
    <w:rsid w:val="00FD487C"/>
    <w:rsid w:val="00FD4933"/>
    <w:rsid w:val="00FD4A7E"/>
    <w:rsid w:val="00FD4E7E"/>
    <w:rsid w:val="00FD54BD"/>
    <w:rsid w:val="00FD5D8A"/>
    <w:rsid w:val="00FD7BF3"/>
    <w:rsid w:val="00FD7DF5"/>
    <w:rsid w:val="00FE12D2"/>
    <w:rsid w:val="00FE14DE"/>
    <w:rsid w:val="00FE1ECE"/>
    <w:rsid w:val="00FE383B"/>
    <w:rsid w:val="00FE46EE"/>
    <w:rsid w:val="00FE625B"/>
    <w:rsid w:val="00FE7254"/>
    <w:rsid w:val="00FE7C77"/>
    <w:rsid w:val="00FF048B"/>
    <w:rsid w:val="00FF0521"/>
    <w:rsid w:val="00FF063F"/>
    <w:rsid w:val="00FF096F"/>
    <w:rsid w:val="00FF10BE"/>
    <w:rsid w:val="00FF1195"/>
    <w:rsid w:val="00FF1AA8"/>
    <w:rsid w:val="00FF2030"/>
    <w:rsid w:val="00FF2501"/>
    <w:rsid w:val="00FF2ED4"/>
    <w:rsid w:val="00FF3797"/>
    <w:rsid w:val="00FF406D"/>
    <w:rsid w:val="00FF444A"/>
    <w:rsid w:val="00FF469B"/>
    <w:rsid w:val="00FF5492"/>
    <w:rsid w:val="00FF592C"/>
    <w:rsid w:val="00FF63EF"/>
    <w:rsid w:val="00FF6DCE"/>
    <w:rsid w:val="00FF6E42"/>
    <w:rsid w:val="00FF751E"/>
    <w:rsid w:val="00FF75BD"/>
    <w:rsid w:val="00FF76AC"/>
    <w:rsid w:val="00FF797B"/>
    <w:rsid w:val="00FF7F07"/>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17C3E4EF-1336-4ADB-A5DC-DED34344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Titre1">
    <w:name w:val="heading 1"/>
    <w:basedOn w:val="Normal"/>
    <w:next w:val="Titre2"/>
    <w:link w:val="Titre1Car"/>
    <w:uiPriority w:val="9"/>
    <w:qFormat/>
    <w:rsid w:val="00424E0F"/>
    <w:pPr>
      <w:keepNext/>
      <w:tabs>
        <w:tab w:val="left" w:pos="720"/>
      </w:tabs>
      <w:spacing w:before="240" w:after="120"/>
      <w:jc w:val="center"/>
      <w:outlineLvl w:val="0"/>
    </w:pPr>
    <w:rPr>
      <w:b/>
      <w:caps/>
    </w:rPr>
  </w:style>
  <w:style w:type="paragraph" w:styleId="Titre2">
    <w:name w:val="heading 2"/>
    <w:basedOn w:val="Normal"/>
    <w:uiPriority w:val="9"/>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link w:val="Titre4Car"/>
    <w:uiPriority w:val="9"/>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Numrodepage">
    <w:name w:val="page number"/>
    <w:uiPriority w:val="99"/>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uiPriority w:val="99"/>
    <w:rsid w:val="00424E0F"/>
    <w:pPr>
      <w:tabs>
        <w:tab w:val="center" w:pos="4320"/>
        <w:tab w:val="right" w:pos="8640"/>
      </w:tabs>
      <w:ind w:firstLine="720"/>
      <w:jc w:val="right"/>
    </w:p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sz w:val="18"/>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link w:val="TitreCar"/>
    <w:uiPriority w:val="10"/>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Lienhypertextesuivivisit">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lang w:val="en-GB"/>
    </w:rPr>
  </w:style>
  <w:style w:type="character" w:styleId="lev">
    <w:name w:val="Strong"/>
    <w:uiPriority w:val="22"/>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Textedebulles">
    <w:name w:val="Balloon Text"/>
    <w:basedOn w:val="Normal"/>
    <w:link w:val="TextedebullesC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Accentuation">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link w:val="ObjetducommentaireC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uiPriority w:val="9"/>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link w:val="ParagraphedelisteCar"/>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en-GB"/>
    </w:rPr>
  </w:style>
  <w:style w:type="character" w:styleId="Textedelespacerserv">
    <w:name w:val="Placeholder Text"/>
    <w:basedOn w:val="Policepardfaut"/>
    <w:uiPriority w:val="67"/>
    <w:rsid w:val="007217C4"/>
    <w:rPr>
      <w:color w:val="808080"/>
    </w:rPr>
  </w:style>
  <w:style w:type="character" w:customStyle="1" w:styleId="UnresolvedMention1">
    <w:name w:val="Unresolved Mention1"/>
    <w:basedOn w:val="Policepardfaut"/>
    <w:uiPriority w:val="99"/>
    <w:semiHidden/>
    <w:unhideWhenUsed/>
    <w:rsid w:val="00DE1B4F"/>
    <w:rPr>
      <w:color w:val="605E5C"/>
      <w:shd w:val="clear" w:color="auto" w:fill="E1DFDD"/>
    </w:rPr>
  </w:style>
  <w:style w:type="table" w:styleId="Grilledutableau">
    <w:name w:val="Table Grid"/>
    <w:basedOn w:val="Tableau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A200D4"/>
    <w:rPr>
      <w:rFonts w:eastAsia="Times New Roman"/>
      <w:sz w:val="24"/>
      <w:szCs w:val="24"/>
      <w:lang w:val="en-CA"/>
    </w:rPr>
  </w:style>
  <w:style w:type="character" w:customStyle="1" w:styleId="TitreCar">
    <w:name w:val="Titre Car"/>
    <w:basedOn w:val="Policepardfaut"/>
    <w:link w:val="Titre"/>
    <w:uiPriority w:val="10"/>
    <w:rsid w:val="00864C9D"/>
    <w:rPr>
      <w:rFonts w:eastAsia="Times New Roman"/>
      <w:i/>
      <w:iCs/>
      <w:sz w:val="24"/>
      <w:szCs w:val="24"/>
      <w:lang w:val="en-CA"/>
    </w:rPr>
  </w:style>
  <w:style w:type="table" w:customStyle="1" w:styleId="GridTable2-Accent11">
    <w:name w:val="Grid Table 2 - Accent 1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debullesCar">
    <w:name w:val="Texte de bulles Car"/>
    <w:basedOn w:val="Policepardfaut"/>
    <w:link w:val="Textedebulles"/>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au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au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au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au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au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au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auNormal"/>
    <w:next w:val="Grilledutableau"/>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rPr>
      <w:lang w:val="en-US" w:bidi="he-IL"/>
    </w:rPr>
  </w:style>
  <w:style w:type="paragraph" w:customStyle="1" w:styleId="xl69">
    <w:name w:val="xl69"/>
    <w:basedOn w:val="Normal"/>
    <w:rsid w:val="00864C9D"/>
    <w:pPr>
      <w:shd w:val="clear" w:color="000000" w:fill="FFFFFF"/>
      <w:spacing w:before="100" w:beforeAutospacing="1" w:after="100" w:afterAutospacing="1"/>
    </w:pPr>
    <w:rPr>
      <w:sz w:val="20"/>
      <w:szCs w:val="20"/>
      <w:lang w:val="en-US" w:bidi="he-IL"/>
    </w:rPr>
  </w:style>
  <w:style w:type="paragraph" w:customStyle="1" w:styleId="xl70">
    <w:name w:val="xl70"/>
    <w:basedOn w:val="Normal"/>
    <w:rsid w:val="00864C9D"/>
    <w:pPr>
      <w:shd w:val="clear" w:color="000000" w:fill="FFFFFF"/>
      <w:spacing w:before="100" w:beforeAutospacing="1" w:after="100" w:afterAutospacing="1"/>
    </w:pPr>
    <w:rPr>
      <w:sz w:val="20"/>
      <w:szCs w:val="20"/>
      <w:lang w:val="en-US" w:bidi="he-IL"/>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lang w:val="en-US" w:bidi="he-IL"/>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lang w:val="en-US" w:bidi="he-IL"/>
    </w:rPr>
  </w:style>
  <w:style w:type="paragraph" w:customStyle="1" w:styleId="xl78">
    <w:name w:val="xl78"/>
    <w:basedOn w:val="Normal"/>
    <w:rsid w:val="00864C9D"/>
    <w:pPr>
      <w:shd w:val="clear" w:color="000000" w:fill="FFFFFF"/>
      <w:spacing w:before="100" w:beforeAutospacing="1" w:after="100" w:afterAutospacing="1"/>
    </w:pPr>
    <w:rPr>
      <w:sz w:val="20"/>
      <w:szCs w:val="20"/>
      <w:lang w:val="en-US" w:bidi="he-IL"/>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lang w:val="en-US" w:bidi="he-IL"/>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5">
    <w:name w:val="xl85"/>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6">
    <w:name w:val="xl86"/>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7">
    <w:name w:val="xl87"/>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8">
    <w:name w:val="xl88"/>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9">
    <w:name w:val="xl89"/>
    <w:basedOn w:val="Normal"/>
    <w:rsid w:val="00864C9D"/>
    <w:pPr>
      <w:shd w:val="clear" w:color="000000" w:fill="FFFFFF"/>
      <w:spacing w:before="100" w:beforeAutospacing="1" w:after="100" w:afterAutospacing="1"/>
    </w:pPr>
    <w:rPr>
      <w:lang w:val="en-US" w:bidi="he-IL"/>
    </w:rPr>
  </w:style>
  <w:style w:type="paragraph" w:customStyle="1" w:styleId="xl90">
    <w:name w:val="xl90"/>
    <w:basedOn w:val="Normal"/>
    <w:rsid w:val="00864C9D"/>
    <w:pPr>
      <w:shd w:val="clear" w:color="000000" w:fill="FFFFFF"/>
      <w:spacing w:before="100" w:beforeAutospacing="1" w:after="100" w:afterAutospacing="1"/>
    </w:pPr>
    <w:rPr>
      <w:sz w:val="20"/>
      <w:szCs w:val="20"/>
      <w:lang w:val="en-US" w:bidi="he-IL"/>
    </w:rPr>
  </w:style>
  <w:style w:type="paragraph" w:customStyle="1" w:styleId="xl91">
    <w:name w:val="xl91"/>
    <w:basedOn w:val="Normal"/>
    <w:rsid w:val="00864C9D"/>
    <w:pPr>
      <w:shd w:val="clear" w:color="000000" w:fill="FFFFFF"/>
      <w:spacing w:before="100" w:beforeAutospacing="1" w:after="100" w:afterAutospacing="1"/>
    </w:pPr>
    <w:rPr>
      <w:lang w:val="en-US" w:bidi="he-IL"/>
    </w:rPr>
  </w:style>
  <w:style w:type="paragraph" w:customStyle="1" w:styleId="xl92">
    <w:name w:val="xl92"/>
    <w:basedOn w:val="Normal"/>
    <w:rsid w:val="00864C9D"/>
    <w:pPr>
      <w:shd w:val="clear" w:color="000000" w:fill="FFFFFF"/>
      <w:spacing w:before="100" w:beforeAutospacing="1" w:after="100" w:afterAutospacing="1"/>
    </w:pPr>
    <w:rPr>
      <w:lang w:val="en-US" w:bidi="he-IL"/>
    </w:rPr>
  </w:style>
  <w:style w:type="paragraph" w:customStyle="1" w:styleId="xl93">
    <w:name w:val="xl93"/>
    <w:basedOn w:val="Normal"/>
    <w:rsid w:val="00864C9D"/>
    <w:pPr>
      <w:shd w:val="clear" w:color="000000" w:fill="FFFFFF"/>
      <w:spacing w:before="100" w:beforeAutospacing="1" w:after="100" w:afterAutospacing="1"/>
    </w:pPr>
    <w:rPr>
      <w:lang w:val="en-US" w:bidi="he-IL"/>
    </w:r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95">
    <w:name w:val="xl95"/>
    <w:basedOn w:val="Normal"/>
    <w:rsid w:val="00864C9D"/>
    <w:pPr>
      <w:shd w:val="clear" w:color="000000" w:fill="FFFFFF"/>
      <w:spacing w:before="100" w:beforeAutospacing="1" w:after="100" w:afterAutospacing="1"/>
    </w:pPr>
    <w:rPr>
      <w:lang w:val="en-US" w:bidi="he-IL"/>
    </w:rPr>
  </w:style>
  <w:style w:type="paragraph" w:customStyle="1" w:styleId="xl96">
    <w:name w:val="xl96"/>
    <w:basedOn w:val="Normal"/>
    <w:rsid w:val="00864C9D"/>
    <w:pPr>
      <w:shd w:val="clear" w:color="000000" w:fill="FFFFFF"/>
      <w:spacing w:before="100" w:beforeAutospacing="1" w:after="100" w:afterAutospacing="1"/>
    </w:pPr>
    <w:rPr>
      <w:sz w:val="20"/>
      <w:szCs w:val="20"/>
      <w:lang w:val="en-US" w:bidi="he-IL"/>
    </w:rPr>
  </w:style>
  <w:style w:type="paragraph" w:customStyle="1" w:styleId="xl97">
    <w:name w:val="xl97"/>
    <w:basedOn w:val="Normal"/>
    <w:rsid w:val="00864C9D"/>
    <w:pPr>
      <w:shd w:val="clear" w:color="000000" w:fill="FFFFFF"/>
      <w:spacing w:before="100" w:beforeAutospacing="1" w:after="100" w:afterAutospacing="1"/>
    </w:pPr>
    <w:rPr>
      <w:lang w:val="en-US" w:bidi="he-IL"/>
    </w:rPr>
  </w:style>
  <w:style w:type="paragraph" w:customStyle="1" w:styleId="xl98">
    <w:name w:val="xl98"/>
    <w:basedOn w:val="Normal"/>
    <w:rsid w:val="00864C9D"/>
    <w:pPr>
      <w:shd w:val="clear" w:color="000000" w:fill="FFFFFF"/>
      <w:spacing w:before="100" w:beforeAutospacing="1" w:after="100" w:afterAutospacing="1"/>
    </w:pPr>
    <w:rPr>
      <w:lang w:val="en-US" w:bidi="he-IL"/>
    </w:rPr>
  </w:style>
  <w:style w:type="paragraph" w:customStyle="1" w:styleId="xl99">
    <w:name w:val="xl99"/>
    <w:basedOn w:val="Normal"/>
    <w:rsid w:val="00864C9D"/>
    <w:pPr>
      <w:shd w:val="clear" w:color="000000" w:fill="FFFFFF"/>
      <w:spacing w:before="100" w:beforeAutospacing="1" w:after="100" w:afterAutospacing="1"/>
    </w:pPr>
    <w:rPr>
      <w:lang w:val="en-US" w:bidi="he-IL"/>
    </w:r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101">
    <w:name w:val="xl101"/>
    <w:basedOn w:val="Normal"/>
    <w:rsid w:val="00864C9D"/>
    <w:pPr>
      <w:shd w:val="clear" w:color="000000" w:fill="FFFFFF"/>
      <w:spacing w:before="100" w:beforeAutospacing="1" w:after="100" w:afterAutospacing="1"/>
    </w:pPr>
    <w:rPr>
      <w:lang w:val="en-US" w:bidi="he-IL"/>
    </w:rPr>
  </w:style>
  <w:style w:type="paragraph" w:customStyle="1" w:styleId="xl102">
    <w:name w:val="xl102"/>
    <w:basedOn w:val="Normal"/>
    <w:rsid w:val="00864C9D"/>
    <w:pPr>
      <w:shd w:val="clear" w:color="000000" w:fill="FFFFFF"/>
      <w:spacing w:before="100" w:beforeAutospacing="1" w:after="100" w:afterAutospacing="1"/>
    </w:pPr>
    <w:rPr>
      <w:b/>
      <w:bCs/>
      <w:sz w:val="20"/>
      <w:szCs w:val="20"/>
      <w:lang w:val="en-US" w:bidi="he-IL"/>
    </w:rPr>
  </w:style>
  <w:style w:type="paragraph" w:customStyle="1" w:styleId="xl103">
    <w:name w:val="xl103"/>
    <w:basedOn w:val="Normal"/>
    <w:rsid w:val="00864C9D"/>
    <w:pPr>
      <w:shd w:val="clear" w:color="000000" w:fill="FFFFFF"/>
      <w:spacing w:before="100" w:beforeAutospacing="1" w:after="100" w:afterAutospacing="1"/>
    </w:pPr>
    <w:rPr>
      <w:lang w:val="en-US" w:bidi="he-IL"/>
    </w:rPr>
  </w:style>
  <w:style w:type="character" w:customStyle="1" w:styleId="ObjetducommentaireCar">
    <w:name w:val="Objet du commentaire Car"/>
    <w:basedOn w:val="CommentaireCar"/>
    <w:link w:val="Objetducommentaire"/>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864C9D"/>
    <w:pPr>
      <w:spacing w:after="160" w:line="240" w:lineRule="exact"/>
      <w:jc w:val="both"/>
    </w:pPr>
    <w:rPr>
      <w:rFonts w:eastAsia="MS Mincho"/>
      <w:sz w:val="18"/>
      <w:szCs w:val="20"/>
      <w:u w:val="single"/>
      <w:lang w:val="en-US"/>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lang w:bidi="he-IL"/>
    </w:rPr>
  </w:style>
  <w:style w:type="character" w:customStyle="1" w:styleId="A1">
    <w:name w:val="A1"/>
    <w:uiPriority w:val="99"/>
    <w:rsid w:val="00864C9D"/>
    <w:rPr>
      <w:rFonts w:cs="HelveticaNeueLT Pro 55 Roman"/>
      <w:color w:val="211D1E"/>
      <w:sz w:val="14"/>
      <w:szCs w:val="14"/>
    </w:rPr>
  </w:style>
  <w:style w:type="paragraph" w:styleId="Bibliographie">
    <w:name w:val="Bibliography"/>
    <w:basedOn w:val="Normal"/>
    <w:next w:val="Normal"/>
    <w:uiPriority w:val="37"/>
    <w:unhideWhenUsed/>
    <w:rsid w:val="00864C9D"/>
    <w:rPr>
      <w:lang w:val="en-US" w:bidi="he-IL"/>
    </w:rPr>
  </w:style>
  <w:style w:type="character" w:customStyle="1" w:styleId="Titre4Car">
    <w:name w:val="Titre 4 Car"/>
    <w:basedOn w:val="Policepardfaut"/>
    <w:link w:val="Titre4"/>
    <w:uiPriority w:val="9"/>
    <w:rsid w:val="00864C9D"/>
    <w:rPr>
      <w:rFonts w:ascii="Times New Roman Bold" w:eastAsia="Arial Unicode MS" w:hAnsi="Times New Roman Bold" w:cs="Arial"/>
      <w:b/>
      <w:bCs/>
      <w:i/>
      <w:iCs/>
      <w:sz w:val="24"/>
      <w:szCs w:val="24"/>
      <w:lang w:val="en-CA"/>
    </w:rPr>
  </w:style>
  <w:style w:type="character" w:customStyle="1" w:styleId="UnresolvedMention2">
    <w:name w:val="Unresolved Mention2"/>
    <w:basedOn w:val="Policepardfaut"/>
    <w:uiPriority w:val="99"/>
    <w:semiHidden/>
    <w:unhideWhenUsed/>
    <w:rsid w:val="00D15826"/>
    <w:rPr>
      <w:color w:val="605E5C"/>
      <w:shd w:val="clear" w:color="auto" w:fill="E1DFDD"/>
    </w:rPr>
  </w:style>
  <w:style w:type="character" w:customStyle="1" w:styleId="UnresolvedMention3">
    <w:name w:val="Unresolved Mention3"/>
    <w:basedOn w:val="Policepardfaut"/>
    <w:uiPriority w:val="99"/>
    <w:semiHidden/>
    <w:unhideWhenUsed/>
    <w:rsid w:val="002F76AA"/>
    <w:rPr>
      <w:color w:val="605E5C"/>
      <w:shd w:val="clear" w:color="auto" w:fill="E1DFDD"/>
    </w:rPr>
  </w:style>
  <w:style w:type="character" w:customStyle="1" w:styleId="UnresolvedMention">
    <w:name w:val="Unresolved Mention"/>
    <w:basedOn w:val="Policepardfaut"/>
    <w:uiPriority w:val="99"/>
    <w:semiHidden/>
    <w:unhideWhenUsed/>
    <w:rsid w:val="00D8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17981088">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8328657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9299045">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0286895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402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2-fr.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Textedelespacerserv"/>
            </w:rPr>
            <w:t>[Subject]</w:t>
          </w:r>
        </w:p>
      </w:docPartBody>
    </w:docPart>
    <w:docPart>
      <w:docPartPr>
        <w:name w:val="2817F8C7833946B89C41C4F1353FDD76"/>
        <w:category>
          <w:name w:val="General"/>
          <w:gallery w:val="placeholder"/>
        </w:category>
        <w:types>
          <w:type w:val="bbPlcHdr"/>
        </w:types>
        <w:behaviors>
          <w:behavior w:val="content"/>
        </w:behaviors>
        <w:guid w:val="{D679FEC2-794E-4819-84D3-7CE81239616E}"/>
      </w:docPartPr>
      <w:docPartBody>
        <w:p w:rsidR="00AA3F20" w:rsidRDefault="00D87429" w:rsidP="00D87429">
          <w:pPr>
            <w:pStyle w:val="2817F8C7833946B89C41C4F1353FDD76"/>
          </w:pPr>
          <w:r w:rsidRPr="007E02EB">
            <w:rPr>
              <w:rStyle w:val="Textedelespacerserv"/>
            </w:rPr>
            <w:t>[Status]</w:t>
          </w:r>
        </w:p>
      </w:docPartBody>
    </w:docPart>
    <w:docPart>
      <w:docPartPr>
        <w:name w:val="B8B4DC5FC06048B98F0AB59CF4DDE260"/>
        <w:category>
          <w:name w:val="General"/>
          <w:gallery w:val="placeholder"/>
        </w:category>
        <w:types>
          <w:type w:val="bbPlcHdr"/>
        </w:types>
        <w:behaviors>
          <w:behavior w:val="content"/>
        </w:behaviors>
        <w:guid w:val="{6DDCB93E-3362-4B78-9E1E-091D4AB8C838}"/>
      </w:docPartPr>
      <w:docPartBody>
        <w:p w:rsidR="00AA3F20" w:rsidRDefault="00D87429" w:rsidP="00D87429">
          <w:pPr>
            <w:pStyle w:val="B8B4DC5FC06048B98F0AB59CF4DDE260"/>
          </w:pPr>
          <w:r w:rsidRPr="007E02EB">
            <w:rPr>
              <w:rStyle w:val="Textedelespacerserv"/>
            </w:rPr>
            <w:t>[Publish Date]</w:t>
          </w:r>
        </w:p>
      </w:docPartBody>
    </w:docPart>
    <w:docPart>
      <w:docPartPr>
        <w:name w:val="25677F2E74A84738BE8D1B89523AA004"/>
        <w:category>
          <w:name w:val="General"/>
          <w:gallery w:val="placeholder"/>
        </w:category>
        <w:types>
          <w:type w:val="bbPlcHdr"/>
        </w:types>
        <w:behaviors>
          <w:behavior w:val="content"/>
        </w:behaviors>
        <w:guid w:val="{258D901F-8568-40DF-8D47-FACF5CE141F5}"/>
      </w:docPartPr>
      <w:docPartBody>
        <w:p w:rsidR="00AA3F20" w:rsidRDefault="00D87429" w:rsidP="00D87429">
          <w:pPr>
            <w:pStyle w:val="25677F2E74A84738BE8D1B89523AA004"/>
          </w:pPr>
          <w:r w:rsidRPr="00C725B6">
            <w:rPr>
              <w:rStyle w:val="Textedelespacerserv"/>
            </w:rPr>
            <w:t>[Subject]</w:t>
          </w:r>
        </w:p>
      </w:docPartBody>
    </w:docPart>
    <w:docPart>
      <w:docPartPr>
        <w:name w:val="DC359E173DA34D28B55ADB18669B1879"/>
        <w:category>
          <w:name w:val="General"/>
          <w:gallery w:val="placeholder"/>
        </w:category>
        <w:types>
          <w:type w:val="bbPlcHdr"/>
        </w:types>
        <w:behaviors>
          <w:behavior w:val="content"/>
        </w:behaviors>
        <w:guid w:val="{35634B81-B613-48BF-BBBB-E0FD8609F870}"/>
      </w:docPartPr>
      <w:docPartBody>
        <w:p w:rsidR="00AA3F20" w:rsidRDefault="00D87429" w:rsidP="00D87429">
          <w:pPr>
            <w:pStyle w:val="DC359E173DA34D28B55ADB18669B1879"/>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03338"/>
    <w:rsid w:val="00092894"/>
    <w:rsid w:val="000A4067"/>
    <w:rsid w:val="0013274C"/>
    <w:rsid w:val="00141723"/>
    <w:rsid w:val="00142AA6"/>
    <w:rsid w:val="0018263C"/>
    <w:rsid w:val="00185D9E"/>
    <w:rsid w:val="001E3D65"/>
    <w:rsid w:val="002117CD"/>
    <w:rsid w:val="00211EA6"/>
    <w:rsid w:val="00214C3E"/>
    <w:rsid w:val="00223BAC"/>
    <w:rsid w:val="00275578"/>
    <w:rsid w:val="0028257F"/>
    <w:rsid w:val="002C1A63"/>
    <w:rsid w:val="003572F0"/>
    <w:rsid w:val="003A23C0"/>
    <w:rsid w:val="00423E24"/>
    <w:rsid w:val="00434A69"/>
    <w:rsid w:val="00435930"/>
    <w:rsid w:val="004A3EF8"/>
    <w:rsid w:val="00595897"/>
    <w:rsid w:val="006251B4"/>
    <w:rsid w:val="006911C7"/>
    <w:rsid w:val="006A2B4E"/>
    <w:rsid w:val="006F2A07"/>
    <w:rsid w:val="007A2C75"/>
    <w:rsid w:val="007D2595"/>
    <w:rsid w:val="007F7EA0"/>
    <w:rsid w:val="008537C7"/>
    <w:rsid w:val="0089270E"/>
    <w:rsid w:val="0089316B"/>
    <w:rsid w:val="008D0FD9"/>
    <w:rsid w:val="0091785E"/>
    <w:rsid w:val="009620BA"/>
    <w:rsid w:val="00993EB6"/>
    <w:rsid w:val="009D3B57"/>
    <w:rsid w:val="00A334FC"/>
    <w:rsid w:val="00A52E7A"/>
    <w:rsid w:val="00A95B5C"/>
    <w:rsid w:val="00AA3F20"/>
    <w:rsid w:val="00AC0FFE"/>
    <w:rsid w:val="00AC3CFB"/>
    <w:rsid w:val="00AF2D09"/>
    <w:rsid w:val="00B46D7B"/>
    <w:rsid w:val="00C17225"/>
    <w:rsid w:val="00C4394C"/>
    <w:rsid w:val="00CB09E9"/>
    <w:rsid w:val="00CE2549"/>
    <w:rsid w:val="00D165A0"/>
    <w:rsid w:val="00D3572E"/>
    <w:rsid w:val="00D87429"/>
    <w:rsid w:val="00DE729E"/>
    <w:rsid w:val="00DF3677"/>
    <w:rsid w:val="00E20372"/>
    <w:rsid w:val="00E50870"/>
    <w:rsid w:val="00E60471"/>
    <w:rsid w:val="00E6379A"/>
    <w:rsid w:val="00EB76B8"/>
    <w:rsid w:val="00EF1F0C"/>
    <w:rsid w:val="00F743A9"/>
    <w:rsid w:val="00F76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185D9E"/>
    <w:rPr>
      <w:color w:val="808080"/>
    </w:rPr>
  </w:style>
  <w:style w:type="paragraph" w:customStyle="1" w:styleId="2817F8C7833946B89C41C4F1353FDD76">
    <w:name w:val="2817F8C7833946B89C41C4F1353FDD76"/>
    <w:rsid w:val="00D87429"/>
    <w:pPr>
      <w:spacing w:after="200" w:line="276" w:lineRule="auto"/>
    </w:pPr>
    <w:rPr>
      <w:lang w:val="en-US" w:eastAsia="en-US"/>
    </w:rPr>
  </w:style>
  <w:style w:type="paragraph" w:customStyle="1" w:styleId="B8B4DC5FC06048B98F0AB59CF4DDE260">
    <w:name w:val="B8B4DC5FC06048B98F0AB59CF4DDE260"/>
    <w:rsid w:val="00D87429"/>
    <w:pPr>
      <w:spacing w:after="200" w:line="276" w:lineRule="auto"/>
    </w:pPr>
    <w:rPr>
      <w:lang w:val="en-US" w:eastAsia="en-US"/>
    </w:rPr>
  </w:style>
  <w:style w:type="paragraph" w:customStyle="1" w:styleId="3D10F1B3FD3A4E81978652495A5A912B">
    <w:name w:val="3D10F1B3FD3A4E81978652495A5A912B"/>
    <w:rsid w:val="00D87429"/>
    <w:pPr>
      <w:spacing w:after="200" w:line="276" w:lineRule="auto"/>
    </w:pPr>
    <w:rPr>
      <w:lang w:val="en-US" w:eastAsia="en-US"/>
    </w:rPr>
  </w:style>
  <w:style w:type="paragraph" w:customStyle="1" w:styleId="25677F2E74A84738BE8D1B89523AA004">
    <w:name w:val="25677F2E74A84738BE8D1B89523AA004"/>
    <w:rsid w:val="00D87429"/>
    <w:pPr>
      <w:spacing w:after="200" w:line="276" w:lineRule="auto"/>
    </w:pPr>
    <w:rPr>
      <w:lang w:val="en-US" w:eastAsia="en-US"/>
    </w:rPr>
  </w:style>
  <w:style w:type="paragraph" w:customStyle="1" w:styleId="DC359E173DA34D28B55ADB18669B1879">
    <w:name w:val="DC359E173DA34D28B55ADB18669B1879"/>
    <w:rsid w:val="00D87429"/>
    <w:pPr>
      <w:spacing w:after="200" w:line="276" w:lineRule="auto"/>
    </w:pPr>
    <w:rPr>
      <w:lang w:val="en-US" w:eastAsia="en-US"/>
    </w:rPr>
  </w:style>
  <w:style w:type="paragraph" w:customStyle="1" w:styleId="31FBCFB0C5964BEEBFB2ECE68C9E1497">
    <w:name w:val="31FBCFB0C5964BEEBFB2ECE68C9E1497"/>
    <w:rsid w:val="00185D9E"/>
    <w:pPr>
      <w:spacing w:after="200" w:line="276" w:lineRule="auto"/>
    </w:pPr>
    <w:rPr>
      <w:lang w:val="en-US" w:eastAsia="en-US"/>
    </w:rPr>
  </w:style>
  <w:style w:type="paragraph" w:customStyle="1" w:styleId="87C28A523786444F89E0CE2861E50BC5">
    <w:name w:val="87C28A523786444F89E0CE2861E50BC5"/>
    <w:rsid w:val="00185D9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FE7C305D-3367-41EB-9207-6E2ABAFA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F783BC-9B77-4B0C-ABD7-4BB7CFEA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20</Pages>
  <Words>10763</Words>
  <Characters>59202</Characters>
  <Application>Microsoft Office Word</Application>
  <DocSecurity>0</DocSecurity>
  <Lines>493</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Contribution to a draft resource mobilization component of the post-2020 biodiversity framework as a follow-up to the current strategy for resource mobilization: Third report of the panel of experts on resource mobilization</vt:lpstr>
      <vt:lpstr>Contribution to a draft resource mobilization component of the post-2020 biodiversity framework as a follow-up to the current strategy for resource mobilization: Third report of the panel of experts on resource mobilization</vt:lpstr>
    </vt:vector>
  </TitlesOfParts>
  <Company>SCBD</Company>
  <LinksUpToDate>false</LinksUpToDate>
  <CharactersWithSpaces>69826</CharactersWithSpaces>
  <SharedDoc>false</SharedDoc>
  <HLinks>
    <vt:vector size="126" baseType="variant">
      <vt:variant>
        <vt:i4>786506</vt:i4>
      </vt:variant>
      <vt:variant>
        <vt:i4>3</vt:i4>
      </vt:variant>
      <vt:variant>
        <vt:i4>0</vt:i4>
      </vt:variant>
      <vt:variant>
        <vt:i4>5</vt:i4>
      </vt:variant>
      <vt:variant>
        <vt:lpwstr>https://www.cbd.int/doc/decisions/cop-14/cop-14-dec-03-en.pdf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393288</vt:i4>
      </vt:variant>
      <vt:variant>
        <vt:i4>57</vt:i4>
      </vt:variant>
      <vt:variant>
        <vt:i4>0</vt:i4>
      </vt:variant>
      <vt:variant>
        <vt:i4>5</vt:i4>
      </vt:variant>
      <vt:variant>
        <vt:lpwstr>https://www.cbd.int/doc/decisions/cop-14/cop-14-dec-29-en.pdf</vt:lpwstr>
      </vt:variant>
      <vt:variant>
        <vt:lpwstr/>
      </vt:variant>
      <vt:variant>
        <vt:i4>7733350</vt:i4>
      </vt:variant>
      <vt:variant>
        <vt:i4>54</vt:i4>
      </vt:variant>
      <vt:variant>
        <vt:i4>0</vt:i4>
      </vt:variant>
      <vt:variant>
        <vt:i4>5</vt:i4>
      </vt:variant>
      <vt:variant>
        <vt:lpwstr>https://www.greenclimate.fund/</vt:lpwstr>
      </vt:variant>
      <vt:variant>
        <vt:lpwstr/>
      </vt:variant>
      <vt:variant>
        <vt:i4>786504</vt:i4>
      </vt:variant>
      <vt:variant>
        <vt:i4>51</vt:i4>
      </vt:variant>
      <vt:variant>
        <vt:i4>0</vt:i4>
      </vt:variant>
      <vt:variant>
        <vt:i4>5</vt:i4>
      </vt:variant>
      <vt:variant>
        <vt:lpwstr>https://www.cbd.int/doc/decisions/cop-14/cop-14-dec-23-en.pdf</vt:lpwstr>
      </vt:variant>
      <vt:variant>
        <vt:lpwstr/>
      </vt:variant>
      <vt:variant>
        <vt:i4>196734</vt:i4>
      </vt:variant>
      <vt:variant>
        <vt:i4>48</vt:i4>
      </vt:variant>
      <vt:variant>
        <vt:i4>0</vt:i4>
      </vt:variant>
      <vt:variant>
        <vt:i4>5</vt:i4>
      </vt:variant>
      <vt:variant>
        <vt:lpwstr>https://www.biodiversityfinance.net/sites/default/files/content/publications/BIOFIN Workbook 2018_0.pdf</vt:lpwstr>
      </vt:variant>
      <vt:variant>
        <vt:lpwstr/>
      </vt:variant>
      <vt:variant>
        <vt:i4>7929977</vt:i4>
      </vt:variant>
      <vt:variant>
        <vt:i4>42</vt:i4>
      </vt:variant>
      <vt:variant>
        <vt:i4>0</vt:i4>
      </vt:variant>
      <vt:variant>
        <vt:i4>5</vt:i4>
      </vt:variant>
      <vt:variant>
        <vt:lpwstr>http://cpicfinance.com/blueprints/</vt:lpwstr>
      </vt:variant>
      <vt:variant>
        <vt:lpwstr/>
      </vt:variant>
      <vt:variant>
        <vt:i4>2424945</vt:i4>
      </vt:variant>
      <vt:variant>
        <vt:i4>39</vt:i4>
      </vt:variant>
      <vt:variant>
        <vt:i4>0</vt:i4>
      </vt:variant>
      <vt:variant>
        <vt:i4>5</vt:i4>
      </vt:variant>
      <vt:variant>
        <vt:lpwstr>https://naturalcapitalcoalition.org/projects/biodiversity/</vt:lpwstr>
      </vt:variant>
      <vt:variant>
        <vt:lpwstr/>
      </vt:variant>
      <vt:variant>
        <vt:i4>5898339</vt:i4>
      </vt:variant>
      <vt:variant>
        <vt:i4>36</vt:i4>
      </vt:variant>
      <vt:variant>
        <vt:i4>0</vt:i4>
      </vt:variant>
      <vt:variant>
        <vt:i4>5</vt:i4>
      </vt:variant>
      <vt:variant>
        <vt:lpwstr>https://www.ifc.org/wps/wcm/connect/topics_ext_content/ifc_external_corporate_site/sustainability-at-ifc/policies-standards/performance-standards/ps6</vt:lpwstr>
      </vt:variant>
      <vt:variant>
        <vt:lpwstr/>
      </vt:variant>
      <vt:variant>
        <vt:i4>4849687</vt:i4>
      </vt:variant>
      <vt:variant>
        <vt:i4>33</vt:i4>
      </vt:variant>
      <vt:variant>
        <vt:i4>0</vt:i4>
      </vt:variant>
      <vt:variant>
        <vt:i4>5</vt:i4>
      </vt:variant>
      <vt:variant>
        <vt:lpwstr>https://projects.worldbank.org/en/projects-operations/environmental-and-social-framework/brief/environmental-and-social-standards</vt:lpwstr>
      </vt:variant>
      <vt:variant>
        <vt:lpwstr/>
      </vt:variant>
      <vt:variant>
        <vt:i4>2883584</vt:i4>
      </vt:variant>
      <vt:variant>
        <vt:i4>30</vt:i4>
      </vt:variant>
      <vt:variant>
        <vt:i4>0</vt:i4>
      </vt:variant>
      <vt:variant>
        <vt:i4>5</vt:i4>
      </vt:variant>
      <vt:variant>
        <vt:lpwstr>https://www.finance-watch.org/wp-content/uploads/2019/05/Making-Finance-Serve-Nature_Finance-Watch-Report_24May2019_web.pdf</vt:lpwstr>
      </vt:variant>
      <vt:variant>
        <vt:lpwstr/>
      </vt:variant>
      <vt:variant>
        <vt:i4>6357031</vt:i4>
      </vt:variant>
      <vt:variant>
        <vt:i4>27</vt:i4>
      </vt:variant>
      <vt:variant>
        <vt:i4>0</vt:i4>
      </vt:variant>
      <vt:variant>
        <vt:i4>5</vt:i4>
      </vt:variant>
      <vt:variant>
        <vt:lpwstr>https://www.oecd.org/environment/resources/biodiversity/report-a-comprehensive-overview-of-global-biodiversity-finance.pdf</vt:lpwstr>
      </vt:variant>
      <vt:variant>
        <vt:lpwstr/>
      </vt:variant>
      <vt:variant>
        <vt:i4>7536682</vt:i4>
      </vt:variant>
      <vt:variant>
        <vt:i4>24</vt:i4>
      </vt:variant>
      <vt:variant>
        <vt:i4>0</vt:i4>
      </vt:variant>
      <vt:variant>
        <vt:i4>5</vt:i4>
      </vt:variant>
      <vt:variant>
        <vt:lpwstr>https://bit.ly/39A6G0i</vt:lpwstr>
      </vt:variant>
      <vt:variant>
        <vt:lpwstr/>
      </vt:variant>
      <vt:variant>
        <vt:i4>5242880</vt:i4>
      </vt:variant>
      <vt:variant>
        <vt:i4>21</vt:i4>
      </vt:variant>
      <vt:variant>
        <vt:i4>0</vt:i4>
      </vt:variant>
      <vt:variant>
        <vt:i4>5</vt:i4>
      </vt:variant>
      <vt:variant>
        <vt:lpwstr>http://www.pwc.ch/wwf-report</vt:lpwstr>
      </vt:variant>
      <vt:variant>
        <vt:lpwstr/>
      </vt:variant>
      <vt:variant>
        <vt:i4>5701713</vt:i4>
      </vt:variant>
      <vt:variant>
        <vt:i4>18</vt:i4>
      </vt:variant>
      <vt:variant>
        <vt:i4>0</vt:i4>
      </vt:variant>
      <vt:variant>
        <vt:i4>5</vt:i4>
      </vt:variant>
      <vt:variant>
        <vt:lpwstr>https://www.weforum.org/global-risks/reports</vt:lpwstr>
      </vt:variant>
      <vt:variant>
        <vt:lpwstr/>
      </vt:variant>
      <vt:variant>
        <vt:i4>2883584</vt:i4>
      </vt:variant>
      <vt:variant>
        <vt:i4>15</vt:i4>
      </vt:variant>
      <vt:variant>
        <vt:i4>0</vt:i4>
      </vt:variant>
      <vt:variant>
        <vt:i4>5</vt:i4>
      </vt:variant>
      <vt:variant>
        <vt:lpwstr>https://www.finance-watch.org/wp-content/uploads/2019/05/Making-Finance-Serve-Nature_Finance-Watch-Report_24May2019_web.pdf</vt:lpwstr>
      </vt:variant>
      <vt:variant>
        <vt:lpwstr/>
      </vt:variant>
      <vt:variant>
        <vt:i4>7536682</vt:i4>
      </vt:variant>
      <vt:variant>
        <vt:i4>12</vt:i4>
      </vt:variant>
      <vt:variant>
        <vt:i4>0</vt:i4>
      </vt:variant>
      <vt:variant>
        <vt:i4>5</vt:i4>
      </vt:variant>
      <vt:variant>
        <vt:lpwstr>https://bit.ly/39A6G0i</vt:lpwstr>
      </vt:variant>
      <vt:variant>
        <vt:lpwstr/>
      </vt:variant>
      <vt:variant>
        <vt:i4>524366</vt:i4>
      </vt:variant>
      <vt:variant>
        <vt:i4>9</vt:i4>
      </vt:variant>
      <vt:variant>
        <vt:i4>0</vt:i4>
      </vt:variant>
      <vt:variant>
        <vt:i4>5</vt:i4>
      </vt:variant>
      <vt:variant>
        <vt:lpwstr>https://www.cbd.int/doc/decisions/cop-10/cop-10-dec-03-en.pdf</vt:lpwstr>
      </vt:variant>
      <vt:variant>
        <vt:lpwstr/>
      </vt:variant>
      <vt:variant>
        <vt:i4>327768</vt:i4>
      </vt:variant>
      <vt:variant>
        <vt:i4>6</vt:i4>
      </vt:variant>
      <vt:variant>
        <vt:i4>0</vt:i4>
      </vt:variant>
      <vt:variant>
        <vt:i4>5</vt:i4>
      </vt:variant>
      <vt:variant>
        <vt:lpwstr>https://www.biodiversityfinance.net/finance-solutions</vt:lpwstr>
      </vt:variant>
      <vt:variant>
        <vt:lpwstr/>
      </vt:variant>
      <vt:variant>
        <vt:i4>6291558</vt:i4>
      </vt:variant>
      <vt:variant>
        <vt:i4>3</vt:i4>
      </vt:variant>
      <vt:variant>
        <vt:i4>0</vt:i4>
      </vt:variant>
      <vt:variant>
        <vt:i4>5</vt:i4>
      </vt:variant>
      <vt:variant>
        <vt:lpwstr>https://ipbes.net/global-assessment</vt:lpwstr>
      </vt:variant>
      <vt:variant>
        <vt:lpwstr/>
      </vt:variant>
      <vt:variant>
        <vt:i4>1245204</vt:i4>
      </vt:variant>
      <vt:variant>
        <vt:i4>0</vt:i4>
      </vt:variant>
      <vt:variant>
        <vt:i4>0</vt:i4>
      </vt:variant>
      <vt:variant>
        <vt:i4>5</vt:i4>
      </vt:variant>
      <vt:variant>
        <vt:lpwstr>https://undocs.org/A/RES/70/1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a draft resource mobilization component of the post-2020 biodiversity framework as a follow-up to the current strategy for resource mobilization: Third report of the panel of experts on resource mobilization</dc:title>
  <dc:subject>CBD/SBI/3/5/Add.3</dc:subject>
  <dc:creator>SCBD</dc:creator>
  <cp:keywords>Subsidiary Body on Implementation, third meeting, Convention on Biological Diversity</cp:keywords>
  <cp:lastModifiedBy>Louise</cp:lastModifiedBy>
  <cp:revision>6</cp:revision>
  <cp:lastPrinted>2020-04-01T13:12:00Z</cp:lastPrinted>
  <dcterms:created xsi:type="dcterms:W3CDTF">2020-06-30T12:23:00Z</dcterms:created>
  <dcterms:modified xsi:type="dcterms:W3CDTF">2020-06-30T15:04:00Z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