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2E3F9B" w14:paraId="5F80F68B" w14:textId="77777777" w:rsidTr="00CA3535">
        <w:trPr>
          <w:trHeight w:val="850"/>
        </w:trPr>
        <w:tc>
          <w:tcPr>
            <w:tcW w:w="975" w:type="dxa"/>
            <w:shd w:val="clear" w:color="auto" w:fill="auto"/>
            <w:vAlign w:val="bottom"/>
          </w:tcPr>
          <w:p w14:paraId="7CFE35A8" w14:textId="77777777" w:rsidR="00A43334" w:rsidRPr="002E3F9B" w:rsidRDefault="00A43334" w:rsidP="00A43334">
            <w:pPr>
              <w:pStyle w:val="AASmallLogo"/>
              <w:rPr>
                <w:lang w:val="es-ES_tradnl"/>
              </w:rPr>
            </w:pPr>
            <w:r w:rsidRPr="002E3F9B">
              <w:rPr>
                <w:noProof/>
                <w:lang w:val="es-ES_tradnl"/>
                <w14:ligatures w14:val="standardContextual"/>
              </w:rPr>
              <w:drawing>
                <wp:inline distT="0" distB="0" distL="0" distR="0" wp14:anchorId="29B76817" wp14:editId="725A5728">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2E3F9B">
              <w:rPr>
                <w:lang w:val="es-ES_tradnl"/>
              </w:rPr>
              <w:t xml:space="preserve"> </w:t>
            </w:r>
          </w:p>
          <w:p w14:paraId="3F5D5C8D" w14:textId="77777777" w:rsidR="00A43334" w:rsidRPr="002E3F9B" w:rsidRDefault="00A43334" w:rsidP="00A43334">
            <w:pPr>
              <w:pStyle w:val="AASmallLogo"/>
              <w:rPr>
                <w:lang w:val="es-ES_tradnl"/>
              </w:rPr>
            </w:pPr>
          </w:p>
        </w:tc>
        <w:tc>
          <w:tcPr>
            <w:tcW w:w="975" w:type="dxa"/>
            <w:shd w:val="clear" w:color="auto" w:fill="auto"/>
            <w:noWrap/>
            <w:vAlign w:val="bottom"/>
          </w:tcPr>
          <w:p w14:paraId="7BB46410" w14:textId="2F959200" w:rsidR="00A43334" w:rsidRPr="002E3F9B" w:rsidRDefault="00127D5D" w:rsidP="00A43334">
            <w:pPr>
              <w:pStyle w:val="AASmallLogo"/>
              <w:rPr>
                <w:lang w:val="es-ES_tradnl"/>
              </w:rPr>
            </w:pPr>
            <w:r w:rsidRPr="002E3F9B">
              <w:rPr>
                <w:noProof/>
                <w:lang w:val="es-ES_tradnl"/>
              </w:rPr>
              <w:drawing>
                <wp:inline distT="0" distB="0" distL="0" distR="0" wp14:anchorId="180EE710" wp14:editId="0EC31B38">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A43334" w:rsidRPr="002E3F9B">
              <w:rPr>
                <w:lang w:val="es-ES_tradnl"/>
              </w:rPr>
              <w:t xml:space="preserve"> </w:t>
            </w:r>
          </w:p>
          <w:p w14:paraId="526FA7A8" w14:textId="77777777" w:rsidR="00A43334" w:rsidRPr="002E3F9B" w:rsidRDefault="00A43334" w:rsidP="00A43334">
            <w:pPr>
              <w:pStyle w:val="AASmallLogo"/>
              <w:rPr>
                <w:lang w:val="es-ES_tradnl"/>
              </w:rPr>
            </w:pPr>
          </w:p>
        </w:tc>
        <w:tc>
          <w:tcPr>
            <w:tcW w:w="8532" w:type="dxa"/>
            <w:shd w:val="clear" w:color="auto" w:fill="auto"/>
            <w:vAlign w:val="bottom"/>
          </w:tcPr>
          <w:p w14:paraId="207FBCF6" w14:textId="1697F2BA" w:rsidR="00A43334" w:rsidRPr="002E3F9B" w:rsidRDefault="00A43334" w:rsidP="00A43334">
            <w:pPr>
              <w:pStyle w:val="ABSymbol"/>
              <w:rPr>
                <w:lang w:val="es-ES_tradnl"/>
              </w:rPr>
            </w:pPr>
            <w:r w:rsidRPr="002E3F9B">
              <w:rPr>
                <w:sz w:val="40"/>
                <w:lang w:val="es-ES_tradnl"/>
              </w:rPr>
              <w:t>CBD</w:t>
            </w:r>
            <w:r w:rsidRPr="002E3F9B">
              <w:rPr>
                <w:lang w:val="es-ES_tradnl"/>
              </w:rPr>
              <w:t>/</w:t>
            </w:r>
            <w:bookmarkStart w:id="0" w:name="CBDSymbolPart2"/>
            <w:r w:rsidRPr="002E3F9B">
              <w:rPr>
                <w:lang w:val="es-ES_tradnl"/>
              </w:rPr>
              <w:t>CP/</w:t>
            </w:r>
            <w:bookmarkStart w:id="1" w:name="CBDSymbolPart3"/>
            <w:bookmarkEnd w:id="0"/>
            <w:r w:rsidRPr="002E3F9B">
              <w:rPr>
                <w:lang w:val="es-ES_tradnl"/>
              </w:rPr>
              <w:t>MOP/</w:t>
            </w:r>
            <w:bookmarkEnd w:id="1"/>
            <w:r w:rsidRPr="002E3F9B">
              <w:rPr>
                <w:lang w:val="es-ES_tradnl"/>
              </w:rPr>
              <w:t>11/</w:t>
            </w:r>
            <w:r w:rsidR="0067076C" w:rsidRPr="002E3F9B">
              <w:rPr>
                <w:lang w:val="es-ES_tradnl"/>
              </w:rPr>
              <w:t>6</w:t>
            </w:r>
          </w:p>
        </w:tc>
      </w:tr>
    </w:tbl>
    <w:p w14:paraId="717F0FC7" w14:textId="77777777" w:rsidR="00A43334" w:rsidRPr="002E3F9B" w:rsidRDefault="00A43334" w:rsidP="00A43334">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2E3F9B" w14:paraId="52946D67" w14:textId="77777777" w:rsidTr="00A43334">
        <w:trPr>
          <w:trHeight w:val="2098"/>
        </w:trPr>
        <w:tc>
          <w:tcPr>
            <w:tcW w:w="7370" w:type="dxa"/>
            <w:shd w:val="clear" w:color="auto" w:fill="auto"/>
          </w:tcPr>
          <w:p w14:paraId="328D4AF7" w14:textId="3245D202" w:rsidR="00A43334" w:rsidRPr="002E3F9B" w:rsidRDefault="00127D5D" w:rsidP="00A43334">
            <w:pPr>
              <w:pStyle w:val="ACLargeLogo"/>
              <w:rPr>
                <w:lang w:val="es-ES_tradnl"/>
              </w:rPr>
            </w:pPr>
            <w:r w:rsidRPr="002E3F9B">
              <w:rPr>
                <w:noProof/>
                <w:lang w:val="es-ES_tradnl"/>
              </w:rPr>
              <w:drawing>
                <wp:inline distT="0" distB="0" distL="0" distR="0" wp14:anchorId="3B9671EA" wp14:editId="159CFA06">
                  <wp:extent cx="2901948" cy="1066892"/>
                  <wp:effectExtent l="0" t="0" r="0" b="0"/>
                  <wp:docPr id="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r w:rsidR="00A43334" w:rsidRPr="002E3F9B">
              <w:rPr>
                <w:lang w:val="es-ES_tradnl"/>
              </w:rPr>
              <w:t xml:space="preserve"> </w:t>
            </w:r>
          </w:p>
          <w:p w14:paraId="7181C15D" w14:textId="77777777" w:rsidR="00A43334" w:rsidRPr="002E3F9B" w:rsidRDefault="00A43334" w:rsidP="00A43334">
            <w:pPr>
              <w:pStyle w:val="ACLargeLogo"/>
              <w:rPr>
                <w:lang w:val="es-ES_tradnl"/>
              </w:rPr>
            </w:pPr>
          </w:p>
        </w:tc>
        <w:tc>
          <w:tcPr>
            <w:tcW w:w="3112" w:type="dxa"/>
            <w:shd w:val="clear" w:color="auto" w:fill="auto"/>
          </w:tcPr>
          <w:p w14:paraId="19E4129C" w14:textId="18B03957" w:rsidR="00A43334" w:rsidRPr="002E3F9B" w:rsidRDefault="00A43334" w:rsidP="00A43334">
            <w:pPr>
              <w:pStyle w:val="AEDistrNormal"/>
              <w:rPr>
                <w:lang w:val="es-ES_tradnl"/>
              </w:rPr>
            </w:pPr>
            <w:proofErr w:type="spellStart"/>
            <w:r w:rsidRPr="002E3F9B">
              <w:rPr>
                <w:lang w:val="es-ES_tradnl"/>
              </w:rPr>
              <w:t>Distr</w:t>
            </w:r>
            <w:proofErr w:type="spellEnd"/>
            <w:r w:rsidRPr="002E3F9B">
              <w:rPr>
                <w:lang w:val="es-ES_tradnl"/>
              </w:rPr>
              <w:t xml:space="preserve">.: </w:t>
            </w:r>
            <w:bookmarkStart w:id="2" w:name="CBDDistributionType"/>
            <w:r w:rsidR="00127D5D" w:rsidRPr="002E3F9B">
              <w:rPr>
                <w:lang w:val="es-ES_tradnl"/>
              </w:rPr>
              <w:t>g</w:t>
            </w:r>
            <w:r w:rsidRPr="002E3F9B">
              <w:rPr>
                <w:lang w:val="es-ES_tradnl"/>
              </w:rPr>
              <w:t>eneral</w:t>
            </w:r>
            <w:bookmarkEnd w:id="2"/>
          </w:p>
          <w:p w14:paraId="5DAAAE08" w14:textId="702E5714" w:rsidR="00A43334" w:rsidRPr="002E3F9B" w:rsidRDefault="0077288D" w:rsidP="00A43334">
            <w:pPr>
              <w:pStyle w:val="AEDistrNormal"/>
              <w:rPr>
                <w:lang w:val="es-ES_tradnl"/>
              </w:rPr>
            </w:pPr>
            <w:bookmarkStart w:id="3" w:name="CBDDistributionDate"/>
            <w:r w:rsidRPr="002E3F9B">
              <w:rPr>
                <w:lang w:val="es-ES_tradnl"/>
              </w:rPr>
              <w:t xml:space="preserve">21 </w:t>
            </w:r>
            <w:r w:rsidR="00127D5D" w:rsidRPr="002E3F9B">
              <w:rPr>
                <w:lang w:val="es-ES_tradnl"/>
              </w:rPr>
              <w:t xml:space="preserve">de septiembre de </w:t>
            </w:r>
            <w:r w:rsidR="00A43334" w:rsidRPr="002E3F9B">
              <w:rPr>
                <w:lang w:val="es-ES_tradnl"/>
              </w:rPr>
              <w:t>2024</w:t>
            </w:r>
            <w:bookmarkEnd w:id="3"/>
          </w:p>
          <w:p w14:paraId="77E34E0E" w14:textId="5D314BEA" w:rsidR="00A43334" w:rsidRPr="002E3F9B" w:rsidRDefault="00127D5D" w:rsidP="00127D5D">
            <w:pPr>
              <w:pStyle w:val="AEDistrNormal"/>
              <w:rPr>
                <w:lang w:val="es-ES_tradnl"/>
              </w:rPr>
            </w:pPr>
            <w:r w:rsidRPr="002E3F9B">
              <w:rPr>
                <w:lang w:val="es-ES_tradnl"/>
              </w:rPr>
              <w:t>Español</w:t>
            </w:r>
            <w:bookmarkStart w:id="4" w:name="CBDDistributionLanguage"/>
            <w:r w:rsidRPr="002E3F9B">
              <w:rPr>
                <w:lang w:val="es-ES_tradnl"/>
              </w:rPr>
              <w:br/>
            </w:r>
            <w:r w:rsidR="00A43334" w:rsidRPr="002E3F9B">
              <w:rPr>
                <w:lang w:val="es-ES_tradnl"/>
              </w:rPr>
              <w:t xml:space="preserve">Original: </w:t>
            </w:r>
            <w:r w:rsidRPr="002E3F9B">
              <w:rPr>
                <w:lang w:val="es-ES_tradnl"/>
              </w:rPr>
              <w:t>inglés</w:t>
            </w:r>
            <w:bookmarkEnd w:id="4"/>
          </w:p>
          <w:p w14:paraId="66367787" w14:textId="77777777" w:rsidR="00A43334" w:rsidRPr="002E3F9B" w:rsidRDefault="00A43334" w:rsidP="00A43334">
            <w:pPr>
              <w:pStyle w:val="AEDistrNormal6pt"/>
              <w:rPr>
                <w:lang w:val="es-ES_tradnl"/>
              </w:rPr>
            </w:pPr>
          </w:p>
        </w:tc>
      </w:tr>
    </w:tbl>
    <w:p w14:paraId="2335EFD2" w14:textId="77777777" w:rsidR="00A43334" w:rsidRPr="002E3F9B" w:rsidRDefault="00A43334" w:rsidP="00A43334">
      <w:pPr>
        <w:pStyle w:val="AISpacer"/>
        <w:rPr>
          <w:lang w:val="es-ES_tradnl"/>
        </w:rPr>
      </w:pPr>
    </w:p>
    <w:tbl>
      <w:tblPr>
        <w:tblW w:w="11334" w:type="dxa"/>
        <w:tblInd w:w="-142" w:type="dxa"/>
        <w:tblLayout w:type="fixed"/>
        <w:tblCellMar>
          <w:left w:w="0" w:type="dxa"/>
        </w:tblCellMar>
        <w:tblLook w:val="0000" w:firstRow="0" w:lastRow="0" w:firstColumn="0" w:lastColumn="0" w:noHBand="0" w:noVBand="0"/>
      </w:tblPr>
      <w:tblGrid>
        <w:gridCol w:w="6096"/>
        <w:gridCol w:w="5238"/>
      </w:tblGrid>
      <w:tr w:rsidR="00A43334" w:rsidRPr="00D134AF" w14:paraId="23435DE7" w14:textId="77777777" w:rsidTr="00127D5D">
        <w:trPr>
          <w:trHeight w:val="57"/>
        </w:trPr>
        <w:tc>
          <w:tcPr>
            <w:tcW w:w="6096" w:type="dxa"/>
            <w:shd w:val="clear" w:color="auto" w:fill="auto"/>
          </w:tcPr>
          <w:p w14:paraId="23AD5CE5" w14:textId="6E452025" w:rsidR="00127D5D" w:rsidRPr="002E3F9B" w:rsidRDefault="00127D5D" w:rsidP="00127D5D">
            <w:pPr>
              <w:pStyle w:val="AFCorNotNormal"/>
              <w:ind w:right="-105"/>
              <w:rPr>
                <w:b/>
                <w:bCs/>
                <w:sz w:val="24"/>
                <w:szCs w:val="24"/>
                <w:lang w:val="es-ES_tradnl"/>
              </w:rPr>
            </w:pPr>
            <w:r w:rsidRPr="002E3F9B">
              <w:rPr>
                <w:b/>
                <w:bCs/>
                <w:sz w:val="24"/>
                <w:szCs w:val="24"/>
                <w:lang w:val="es-ES_tradnl"/>
              </w:rPr>
              <w:t>Conferencia de las Partes en el Convenio sobre la Diversidad Biológica que actúa como reunión de las Partes en el Protocolo de Cartagena sobre Seguridad de la Biotecnología</w:t>
            </w:r>
          </w:p>
          <w:p w14:paraId="5AECDF94" w14:textId="77777777" w:rsidR="00127D5D" w:rsidRPr="002E3F9B" w:rsidRDefault="00127D5D" w:rsidP="00127D5D">
            <w:pPr>
              <w:pStyle w:val="Venuedate"/>
              <w:rPr>
                <w:b/>
                <w:bCs w:val="0"/>
                <w:lang w:val="es-ES_tradnl"/>
              </w:rPr>
            </w:pPr>
            <w:bookmarkStart w:id="5" w:name="CBDMeetingName2"/>
            <w:r w:rsidRPr="002E3F9B">
              <w:rPr>
                <w:b/>
                <w:lang w:val="es-ES_tradnl"/>
              </w:rPr>
              <w:t>11</w:t>
            </w:r>
            <w:r w:rsidRPr="002E3F9B">
              <w:rPr>
                <w:b/>
                <w:vertAlign w:val="superscript"/>
                <w:lang w:val="es-ES_tradnl"/>
              </w:rPr>
              <w:t>a</w:t>
            </w:r>
            <w:r w:rsidRPr="002E3F9B">
              <w:rPr>
                <w:b/>
                <w:lang w:val="es-ES_tradnl"/>
              </w:rPr>
              <w:t xml:space="preserve"> reunión</w:t>
            </w:r>
          </w:p>
          <w:p w14:paraId="4C4A0D00" w14:textId="77777777" w:rsidR="00127D5D" w:rsidRPr="002E3F9B" w:rsidRDefault="00127D5D" w:rsidP="00127D5D">
            <w:pPr>
              <w:pStyle w:val="Venuedate"/>
              <w:ind w:right="883"/>
              <w:rPr>
                <w:lang w:val="es-ES_tradnl"/>
              </w:rPr>
            </w:pPr>
            <w:r w:rsidRPr="002E3F9B">
              <w:rPr>
                <w:lang w:val="es-ES_tradnl"/>
              </w:rPr>
              <w:t>Cali (Colombia), 21 de octubre a 1 de noviembre de 2024</w:t>
            </w:r>
          </w:p>
          <w:p w14:paraId="5652DA5E" w14:textId="0400B330" w:rsidR="00A43334" w:rsidRPr="002E3F9B" w:rsidRDefault="00127D5D" w:rsidP="00127D5D">
            <w:pPr>
              <w:pStyle w:val="AFCorNotBold"/>
              <w:rPr>
                <w:lang w:val="es-ES_tradnl"/>
              </w:rPr>
            </w:pPr>
            <w:r w:rsidRPr="002E3F9B">
              <w:rPr>
                <w:b w:val="0"/>
                <w:lang w:val="es-ES_tradnl"/>
              </w:rPr>
              <w:t>Tema 7 del programa provisional</w:t>
            </w:r>
            <w:bookmarkEnd w:id="5"/>
            <w:r w:rsidR="00A43334" w:rsidRPr="002E3F9B">
              <w:rPr>
                <w:rStyle w:val="FootnoteReference"/>
                <w:lang w:val="es-ES_tradnl"/>
              </w:rPr>
              <w:footnoteReference w:customMarkFollows="1" w:id="2"/>
              <w:t>*</w:t>
            </w:r>
            <w:r w:rsidR="00A43334" w:rsidRPr="002E3F9B">
              <w:rPr>
                <w:lang w:val="es-ES_tradnl"/>
              </w:rPr>
              <w:t xml:space="preserve"> </w:t>
            </w:r>
          </w:p>
          <w:p w14:paraId="4390322C" w14:textId="389D019F" w:rsidR="00A43334" w:rsidRPr="002E3F9B" w:rsidRDefault="00DF2008" w:rsidP="00CA3535">
            <w:pPr>
              <w:pStyle w:val="AFCorNotBold"/>
              <w:jc w:val="left"/>
              <w:rPr>
                <w:lang w:val="es-ES_tradnl"/>
              </w:rPr>
            </w:pPr>
            <w:r w:rsidRPr="002E3F9B">
              <w:rPr>
                <w:lang w:val="es-ES_tradnl"/>
              </w:rPr>
              <w:t>Asuntos relacionados con el mecanismo financiero y los recursos financieros</w:t>
            </w:r>
          </w:p>
        </w:tc>
        <w:tc>
          <w:tcPr>
            <w:tcW w:w="5238" w:type="dxa"/>
            <w:shd w:val="clear" w:color="auto" w:fill="auto"/>
          </w:tcPr>
          <w:p w14:paraId="0DE19CA7" w14:textId="77777777" w:rsidR="00A43334" w:rsidRPr="002E3F9B" w:rsidRDefault="00A43334" w:rsidP="00A43334">
            <w:pPr>
              <w:jc w:val="left"/>
              <w:rPr>
                <w:lang w:val="es-ES_tradnl"/>
              </w:rPr>
            </w:pPr>
          </w:p>
        </w:tc>
      </w:tr>
    </w:tbl>
    <w:p w14:paraId="6A763956" w14:textId="79B6644A" w:rsidR="00A96B21" w:rsidRPr="002E3F9B" w:rsidRDefault="00D134AF" w:rsidP="00A43334">
      <w:pPr>
        <w:pStyle w:val="CBDTitle"/>
        <w:rPr>
          <w:lang w:val="es-ES_tradnl"/>
        </w:rPr>
      </w:pPr>
      <w:sdt>
        <w:sdtPr>
          <w:rPr>
            <w:lang w:val="es-ES_tradnl"/>
          </w:rPr>
          <w:alias w:val="Title"/>
          <w:tag w:val=""/>
          <w:id w:val="-1975355689"/>
          <w:placeholder>
            <w:docPart w:val="6F5DEFB9F8A84A80917F20287DE8E427"/>
          </w:placeholder>
          <w:dataBinding w:prefixMappings="xmlns:ns0='http://purl.org/dc/elements/1.1/' xmlns:ns1='http://schemas.openxmlformats.org/package/2006/metadata/core-properties' " w:xpath="/ns1:coreProperties[1]/ns0:title[1]" w:storeItemID="{6C3C8BC8-F283-45AE-878A-BAB7291924A1}"/>
          <w:text/>
        </w:sdtPr>
        <w:sdtEndPr/>
        <w:sdtContent>
          <w:r w:rsidR="00DF2008" w:rsidRPr="002E3F9B">
            <w:rPr>
              <w:lang w:val="es-ES_tradnl"/>
            </w:rPr>
            <w:t>Mecanismo financiero y recursos financieros</w:t>
          </w:r>
        </w:sdtContent>
      </w:sdt>
      <w:r w:rsidR="00772EFD" w:rsidRPr="002E3F9B">
        <w:rPr>
          <w:rStyle w:val="FootnoteReference"/>
          <w:lang w:val="es-ES_tradnl"/>
        </w:rPr>
        <w:footnoteReference w:customMarkFollows="1" w:id="3"/>
        <w:t>**</w:t>
      </w:r>
    </w:p>
    <w:p w14:paraId="548290F3" w14:textId="4EDD314B" w:rsidR="00A96B21" w:rsidRPr="002E3F9B" w:rsidRDefault="00CD538D" w:rsidP="00A43334">
      <w:pPr>
        <w:pStyle w:val="CBDSubTitle"/>
        <w:rPr>
          <w:lang w:val="es-ES_tradnl"/>
        </w:rPr>
      </w:pPr>
      <w:r w:rsidRPr="002E3F9B">
        <w:rPr>
          <w:lang w:val="es-ES_tradnl"/>
        </w:rPr>
        <w:t>Nota de la Secretaría</w:t>
      </w:r>
    </w:p>
    <w:p w14:paraId="2FFFAC05" w14:textId="3F1BDA08" w:rsidR="00FA18C9" w:rsidRPr="002E3F9B" w:rsidRDefault="00A43334" w:rsidP="00A43334">
      <w:pPr>
        <w:pStyle w:val="CBDH1"/>
        <w:rPr>
          <w:lang w:val="es-ES_tradnl"/>
        </w:rPr>
      </w:pPr>
      <w:bookmarkStart w:id="6" w:name="_Hlk177474744"/>
      <w:r w:rsidRPr="002E3F9B">
        <w:rPr>
          <w:lang w:val="es-ES_tradnl"/>
        </w:rPr>
        <w:t>I.</w:t>
      </w:r>
      <w:r w:rsidRPr="002E3F9B">
        <w:rPr>
          <w:lang w:val="es-ES_tradnl"/>
        </w:rPr>
        <w:tab/>
      </w:r>
      <w:r w:rsidR="00895FEE" w:rsidRPr="002E3F9B">
        <w:rPr>
          <w:lang w:val="es-ES_tradnl"/>
        </w:rPr>
        <w:t>Introdu</w:t>
      </w:r>
      <w:r w:rsidR="002B0B55" w:rsidRPr="002E3F9B">
        <w:rPr>
          <w:lang w:val="es-ES_tradnl"/>
        </w:rPr>
        <w:t>cción</w:t>
      </w:r>
    </w:p>
    <w:bookmarkEnd w:id="6"/>
    <w:p w14:paraId="3336D77F" w14:textId="53CE40DB" w:rsidR="00A11BEA" w:rsidRPr="002E3F9B" w:rsidRDefault="00A11BEA" w:rsidP="00A11BEA">
      <w:pPr>
        <w:pStyle w:val="CBDNormalNumber"/>
        <w:rPr>
          <w:lang w:val="es-ES_tradnl"/>
        </w:rPr>
      </w:pPr>
      <w:r w:rsidRPr="002E3F9B">
        <w:rPr>
          <w:lang w:val="es-ES_tradnl"/>
        </w:rPr>
        <w:t xml:space="preserve">De conformidad con el artículo 28 del Protocolo de Cartagena sobre Seguridad de la Biotecnología, la Conferencia de las Partes </w:t>
      </w:r>
      <w:r w:rsidR="00ED54EF" w:rsidRPr="002E3F9B">
        <w:rPr>
          <w:lang w:val="es-ES_tradnl"/>
        </w:rPr>
        <w:t>que actúa como reunión</w:t>
      </w:r>
      <w:r w:rsidRPr="002E3F9B">
        <w:rPr>
          <w:lang w:val="es-ES_tradnl"/>
        </w:rPr>
        <w:t xml:space="preserve"> de las Partes en el Protocolo formula recomendaciones a la Conferencia de las Partes a través de sus decisiones sobre cuestiones relativas al mecanismo </w:t>
      </w:r>
      <w:r w:rsidR="002F4863" w:rsidRPr="002E3F9B">
        <w:rPr>
          <w:lang w:val="es-ES_tradnl"/>
        </w:rPr>
        <w:t xml:space="preserve">financiero </w:t>
      </w:r>
      <w:r w:rsidRPr="002E3F9B">
        <w:rPr>
          <w:lang w:val="es-ES_tradnl"/>
        </w:rPr>
        <w:t xml:space="preserve">y </w:t>
      </w:r>
      <w:r w:rsidR="002F4863" w:rsidRPr="002E3F9B">
        <w:rPr>
          <w:lang w:val="es-ES_tradnl"/>
        </w:rPr>
        <w:t xml:space="preserve">a </w:t>
      </w:r>
      <w:r w:rsidRPr="002E3F9B">
        <w:rPr>
          <w:lang w:val="es-ES_tradnl"/>
        </w:rPr>
        <w:t>los recursos financieros. La Conferencia de las Partes examina las decisiones para incluirlas en sus orientaciones sobre el mecanismo financiero.</w:t>
      </w:r>
    </w:p>
    <w:p w14:paraId="7C45AE53" w14:textId="791D9EE4" w:rsidR="009B6687" w:rsidRPr="002E3F9B" w:rsidRDefault="00A11BEA" w:rsidP="00A11BEA">
      <w:pPr>
        <w:pStyle w:val="CBDNormalNumber"/>
        <w:rPr>
          <w:lang w:val="es-ES_tradnl"/>
        </w:rPr>
      </w:pPr>
      <w:r w:rsidRPr="002E3F9B">
        <w:rPr>
          <w:lang w:val="es-ES_tradnl"/>
        </w:rPr>
        <w:t xml:space="preserve">En su décima reunión, la Conferencia de las Partes </w:t>
      </w:r>
      <w:r w:rsidR="00ED54EF" w:rsidRPr="002E3F9B">
        <w:rPr>
          <w:lang w:val="es-ES_tradnl"/>
        </w:rPr>
        <w:t>que actúa como reunión</w:t>
      </w:r>
      <w:r w:rsidRPr="002E3F9B">
        <w:rPr>
          <w:lang w:val="es-ES_tradnl"/>
        </w:rPr>
        <w:t xml:space="preserve"> de las Partes en el Protocolo de Cartagena adoptó la decisión CP-10/6 sobre asuntos relacionados con el mecanismo financiero y los recursos</w:t>
      </w:r>
      <w:r w:rsidR="002F4863" w:rsidRPr="002E3F9B">
        <w:rPr>
          <w:lang w:val="es-ES_tradnl"/>
        </w:rPr>
        <w:t xml:space="preserve"> financieros</w:t>
      </w:r>
      <w:r w:rsidRPr="002E3F9B">
        <w:rPr>
          <w:lang w:val="es-ES_tradnl"/>
        </w:rPr>
        <w:t xml:space="preserve">. Esta decisión incluía recomendaciones a la </w:t>
      </w:r>
      <w:r w:rsidR="002F4863" w:rsidRPr="002E3F9B">
        <w:rPr>
          <w:lang w:val="es-ES_tradnl"/>
        </w:rPr>
        <w:t>15ª</w:t>
      </w:r>
      <w:r w:rsidRPr="002E3F9B">
        <w:rPr>
          <w:lang w:val="es-ES_tradnl"/>
        </w:rPr>
        <w:t xml:space="preserve"> reunión de la Conferencia de las Partes en el Convenio sobre la Diversidad Biológica relativas a nuevas orientaciones para el mecanismo financiero con respecto a la seguridad de la biotecnología. La Conferencia de las Partes transmitió las recomendaciones al Fondo para el Medio Ambiente Mundial en los párrafos 9 y 10 del anexo II B de la decisión 15/15, </w:t>
      </w:r>
      <w:r w:rsidR="002F4863" w:rsidRPr="002E3F9B">
        <w:rPr>
          <w:lang w:val="es-ES_tradnl"/>
        </w:rPr>
        <w:t xml:space="preserve">relativas a </w:t>
      </w:r>
      <w:r w:rsidRPr="002E3F9B">
        <w:rPr>
          <w:lang w:val="es-ES_tradnl"/>
        </w:rPr>
        <w:t>orientación adicional al Fondo para el Medio Ambiente Mundial.</w:t>
      </w:r>
    </w:p>
    <w:p w14:paraId="3825442E" w14:textId="77777777" w:rsidR="00903CB0" w:rsidRPr="002E3F9B" w:rsidRDefault="009B6687" w:rsidP="00A11BEA">
      <w:pPr>
        <w:pStyle w:val="CBDNormalNumber"/>
        <w:rPr>
          <w:lang w:val="es-ES_tradnl"/>
        </w:rPr>
      </w:pPr>
      <w:r w:rsidRPr="002E3F9B">
        <w:rPr>
          <w:lang w:val="es-ES_tradnl"/>
        </w:rPr>
        <w:t xml:space="preserve">La presente nota proporciona información actualizada sobre el estado de aplicación de la decisión CP-10/6. En la sección II se analizan posibles medidas para fomentar la identificación y movilización de recursos financieros adicionales para ayudar a las Partes que son países en desarrollo y a las Partes con economías en transición a aplicar el Protocolo de Cartagena. </w:t>
      </w:r>
      <w:r w:rsidR="00DF2008" w:rsidRPr="002E3F9B">
        <w:rPr>
          <w:lang w:val="es-ES_tradnl"/>
        </w:rPr>
        <w:t>En l</w:t>
      </w:r>
      <w:r w:rsidRPr="002E3F9B">
        <w:rPr>
          <w:lang w:val="es-ES_tradnl"/>
        </w:rPr>
        <w:t xml:space="preserve">a </w:t>
      </w:r>
      <w:r w:rsidR="00DF2008" w:rsidRPr="002E3F9B">
        <w:rPr>
          <w:lang w:val="es-ES_tradnl"/>
        </w:rPr>
        <w:t>s</w:t>
      </w:r>
      <w:r w:rsidRPr="002E3F9B">
        <w:rPr>
          <w:lang w:val="es-ES_tradnl"/>
        </w:rPr>
        <w:t xml:space="preserve">ección III </w:t>
      </w:r>
      <w:r w:rsidR="00DF2008" w:rsidRPr="002E3F9B">
        <w:rPr>
          <w:lang w:val="es-ES_tradnl"/>
        </w:rPr>
        <w:t xml:space="preserve">se </w:t>
      </w:r>
      <w:r w:rsidRPr="002E3F9B">
        <w:rPr>
          <w:lang w:val="es-ES_tradnl"/>
        </w:rPr>
        <w:t xml:space="preserve">examina la financiación del Fondo para el Medio Ambiente Mundial. En la sección IV se presentan las conclusiones pertinentes sobre </w:t>
      </w:r>
      <w:r w:rsidR="00057731" w:rsidRPr="002E3F9B">
        <w:rPr>
          <w:lang w:val="es-ES_tradnl"/>
        </w:rPr>
        <w:t>la revisión de la eficacia</w:t>
      </w:r>
      <w:r w:rsidRPr="002E3F9B">
        <w:rPr>
          <w:lang w:val="es-ES_tradnl"/>
        </w:rPr>
        <w:t xml:space="preserve"> de conformidad con el anexo V de la decisión 15/5 de la Conferencia de las Partes y el apartado b) del párrafo 6 de la decisión CP-10/6 de la Conferencia de las Partes </w:t>
      </w:r>
      <w:r w:rsidR="00ED54EF" w:rsidRPr="002E3F9B">
        <w:rPr>
          <w:lang w:val="es-ES_tradnl"/>
        </w:rPr>
        <w:t>que actúa como reunión</w:t>
      </w:r>
      <w:r w:rsidRPr="002E3F9B">
        <w:rPr>
          <w:lang w:val="es-ES_tradnl"/>
        </w:rPr>
        <w:t xml:space="preserve"> de las Partes en el Protocolo. </w:t>
      </w:r>
      <w:r w:rsidR="00DF2008" w:rsidRPr="002E3F9B">
        <w:rPr>
          <w:lang w:val="es-ES_tradnl"/>
        </w:rPr>
        <w:t>En l</w:t>
      </w:r>
      <w:r w:rsidRPr="002E3F9B">
        <w:rPr>
          <w:lang w:val="es-ES_tradnl"/>
        </w:rPr>
        <w:t xml:space="preserve">a sección V </w:t>
      </w:r>
      <w:r w:rsidR="00DF2008" w:rsidRPr="002E3F9B">
        <w:rPr>
          <w:lang w:val="es-ES_tradnl"/>
        </w:rPr>
        <w:lastRenderedPageBreak/>
        <w:t xml:space="preserve">se </w:t>
      </w:r>
      <w:r w:rsidRPr="002E3F9B">
        <w:rPr>
          <w:lang w:val="es-ES_tradnl"/>
        </w:rPr>
        <w:t xml:space="preserve">proporciona elementos de una posible decisión sobre asuntos relacionados con el </w:t>
      </w:r>
      <w:r w:rsidR="00903CB0" w:rsidRPr="002E3F9B">
        <w:rPr>
          <w:lang w:val="es-ES_tradnl"/>
        </w:rPr>
        <w:t>mecanismo financiero y los recursos financieros</w:t>
      </w:r>
      <w:r w:rsidRPr="002E3F9B">
        <w:rPr>
          <w:lang w:val="es-ES_tradnl"/>
        </w:rPr>
        <w:t xml:space="preserve">. </w:t>
      </w:r>
    </w:p>
    <w:p w14:paraId="2B17D52F" w14:textId="03C1D738" w:rsidR="00FB4288" w:rsidRPr="002E3F9B" w:rsidRDefault="00FB4288" w:rsidP="00FB4288">
      <w:pPr>
        <w:pStyle w:val="CBDNormalNumber"/>
        <w:rPr>
          <w:lang w:val="es-ES_tradnl"/>
        </w:rPr>
      </w:pPr>
      <w:r w:rsidRPr="002E3F9B">
        <w:rPr>
          <w:lang w:val="es-ES_tradnl"/>
        </w:rPr>
        <w:t xml:space="preserve">En su cuarta reunión, el </w:t>
      </w:r>
      <w:r w:rsidR="00ED54EF" w:rsidRPr="002E3F9B">
        <w:rPr>
          <w:lang w:val="es-ES_tradnl"/>
        </w:rPr>
        <w:t>Órgano Subsidiario sobre la Aplicación</w:t>
      </w:r>
      <w:r w:rsidRPr="002E3F9B">
        <w:rPr>
          <w:lang w:val="es-ES_tradnl"/>
        </w:rPr>
        <w:t xml:space="preserve"> examinó los documentos pertinentes preparados por </w:t>
      </w:r>
      <w:r w:rsidR="00AC3F44" w:rsidRPr="002E3F9B">
        <w:rPr>
          <w:lang w:val="es-ES_tradnl"/>
        </w:rPr>
        <w:t>la Secretaria Ejecutiva</w:t>
      </w:r>
      <w:r w:rsidRPr="002E3F9B">
        <w:rPr>
          <w:lang w:val="es-ES_tradnl"/>
        </w:rPr>
        <w:t xml:space="preserve"> y un informe preliminar del Fondo para el Medio Ambiente Mundial, y adoptó la recomendación 4/3 sobre la movilización de recursos y la </w:t>
      </w:r>
      <w:r w:rsidR="00903CB0" w:rsidRPr="002E3F9B">
        <w:rPr>
          <w:lang w:val="es-ES_tradnl"/>
        </w:rPr>
        <w:t xml:space="preserve">recomendación </w:t>
      </w:r>
      <w:r w:rsidRPr="002E3F9B">
        <w:rPr>
          <w:lang w:val="es-ES_tradnl"/>
        </w:rPr>
        <w:t>4/4 sobre el mecanismo financiero.</w:t>
      </w:r>
    </w:p>
    <w:p w14:paraId="01435DA1" w14:textId="4EF5EE65" w:rsidR="00A11BEA" w:rsidRPr="002E3F9B" w:rsidRDefault="00A11BEA" w:rsidP="00A11BEA">
      <w:pPr>
        <w:pStyle w:val="CBDNormalNumber"/>
        <w:rPr>
          <w:lang w:val="es-ES_tradnl"/>
        </w:rPr>
      </w:pPr>
      <w:r w:rsidRPr="002E3F9B">
        <w:rPr>
          <w:lang w:val="es-ES_tradnl"/>
        </w:rPr>
        <w:t>El informe final del Fondo para el Medio Ambiente Mundial figura en el documento CBD/COP/16/8.</w:t>
      </w:r>
    </w:p>
    <w:p w14:paraId="336DEEA5" w14:textId="2B838AF7" w:rsidR="00A11BEA" w:rsidRPr="002E3F9B" w:rsidRDefault="00A11BEA" w:rsidP="00A11BEA">
      <w:pPr>
        <w:pStyle w:val="CBDNormalNumber"/>
        <w:rPr>
          <w:lang w:val="es-ES_tradnl"/>
        </w:rPr>
      </w:pPr>
      <w:r w:rsidRPr="002E3F9B">
        <w:rPr>
          <w:lang w:val="es-ES_tradnl"/>
        </w:rPr>
        <w:t>Los resultados de</w:t>
      </w:r>
      <w:r w:rsidR="002205E2">
        <w:rPr>
          <w:lang w:val="es-ES_tradnl"/>
        </w:rPr>
        <w:t xml:space="preserve"> la sexta revisión </w:t>
      </w:r>
      <w:r w:rsidRPr="002E3F9B">
        <w:rPr>
          <w:lang w:val="es-ES_tradnl"/>
        </w:rPr>
        <w:t>cua</w:t>
      </w:r>
      <w:r w:rsidR="00903CB0" w:rsidRPr="002E3F9B">
        <w:rPr>
          <w:lang w:val="es-ES_tradnl"/>
        </w:rPr>
        <w:t>t</w:t>
      </w:r>
      <w:r w:rsidRPr="002E3F9B">
        <w:rPr>
          <w:lang w:val="es-ES_tradnl"/>
        </w:rPr>
        <w:t>rienal de la eficacia del mecanismo financiero figuran en el informe preparado por la Secretaría y en el documento CBD/COP/16/INF/25.</w:t>
      </w:r>
    </w:p>
    <w:p w14:paraId="1B68EDC3" w14:textId="5409DB77" w:rsidR="00A11BEA" w:rsidRPr="002E3F9B" w:rsidRDefault="00A11BEA" w:rsidP="00A11BEA">
      <w:pPr>
        <w:pStyle w:val="CBDNormalNumber"/>
        <w:rPr>
          <w:lang w:val="es-ES_tradnl"/>
        </w:rPr>
      </w:pPr>
      <w:r w:rsidRPr="002E3F9B">
        <w:rPr>
          <w:lang w:val="es-ES_tradnl"/>
        </w:rPr>
        <w:t xml:space="preserve">Se invita a las Partes en el Protocolo de Cartagena a que examinen la información proporcionada en la presente nota y en los informes mencionados y adopten una decisión sobre las cuestiones relacionadas con el </w:t>
      </w:r>
      <w:r w:rsidR="00D82DC3" w:rsidRPr="002E3F9B">
        <w:rPr>
          <w:lang w:val="es-ES_tradnl"/>
        </w:rPr>
        <w:t>mecanismo financiero y los recursos financieros</w:t>
      </w:r>
      <w:r w:rsidRPr="002E3F9B">
        <w:rPr>
          <w:lang w:val="es-ES_tradnl"/>
        </w:rPr>
        <w:t xml:space="preserve"> y en la formulación de recomendaciones a la Conferencia de las Partes en el Convenio sobre nuevas orientaciones al mecanismo financiero con respecto a la seguridad de la biotecnología en el contexto de la orientación </w:t>
      </w:r>
      <w:r w:rsidR="00D82DC3" w:rsidRPr="002E3F9B">
        <w:rPr>
          <w:lang w:val="es-ES_tradnl"/>
        </w:rPr>
        <w:t>plurianual propuesta</w:t>
      </w:r>
      <w:r w:rsidRPr="002E3F9B">
        <w:rPr>
          <w:lang w:val="es-ES_tradnl"/>
        </w:rPr>
        <w:t xml:space="preserve"> al Fondo para el Medio Ambiente Mundial para la novena reposición. </w:t>
      </w:r>
    </w:p>
    <w:p w14:paraId="421E981D" w14:textId="38ED41C9" w:rsidR="00F5496C" w:rsidRPr="002E3F9B" w:rsidRDefault="002D03F8" w:rsidP="00AC2CEE">
      <w:pPr>
        <w:pStyle w:val="CBDH1"/>
        <w:rPr>
          <w:lang w:val="es-ES_tradnl"/>
        </w:rPr>
      </w:pPr>
      <w:bookmarkStart w:id="7" w:name="_Hlk177478291"/>
      <w:r w:rsidRPr="002E3F9B">
        <w:rPr>
          <w:lang w:val="es-ES_tradnl"/>
        </w:rPr>
        <w:t>II.</w:t>
      </w:r>
      <w:r w:rsidRPr="002E3F9B">
        <w:rPr>
          <w:lang w:val="es-ES_tradnl"/>
        </w:rPr>
        <w:tab/>
      </w:r>
      <w:r w:rsidR="00CD538D" w:rsidRPr="002E3F9B">
        <w:rPr>
          <w:lang w:val="es-ES_tradnl"/>
        </w:rPr>
        <w:t>Recursos financieros para la bioseguridad</w:t>
      </w:r>
      <w:bookmarkEnd w:id="7"/>
    </w:p>
    <w:p w14:paraId="0C24873E" w14:textId="60206CEC" w:rsidR="00A11BEA" w:rsidRPr="002E3F9B" w:rsidRDefault="00A11BEA" w:rsidP="00A11BEA">
      <w:pPr>
        <w:pStyle w:val="CBDNormalNumber"/>
        <w:rPr>
          <w:lang w:val="es-ES_tradnl"/>
        </w:rPr>
      </w:pPr>
      <w:r w:rsidRPr="002E3F9B">
        <w:rPr>
          <w:lang w:val="es-ES_tradnl"/>
        </w:rPr>
        <w:t xml:space="preserve">El artículo 28 del Protocolo de Cartagena exige a las Partes que tengan en cuenta las disposiciones del artículo 20 del Convenio a la hora de considerar los recursos financieros para la aplicación del Protocolo. </w:t>
      </w:r>
    </w:p>
    <w:p w14:paraId="611CE7BB" w14:textId="39B2DCAB" w:rsidR="00A11BEA" w:rsidRPr="002E3F9B" w:rsidRDefault="00A11BEA" w:rsidP="00DC354F">
      <w:pPr>
        <w:pStyle w:val="CBDNormalNumber"/>
        <w:rPr>
          <w:lang w:val="es-ES_tradnl"/>
        </w:rPr>
      </w:pPr>
      <w:r w:rsidRPr="002E3F9B">
        <w:rPr>
          <w:lang w:val="es-ES_tradnl"/>
        </w:rPr>
        <w:t>La falta de recursos financieros sigue siendo uno de los principales factores que limitan la aplicación efectiva del Protocolo de Cartagena, en particular por las Partes que son países en desarrollo y las Partes con economías en transición. En sus cuartos informes nacionales</w:t>
      </w:r>
      <w:r w:rsidRPr="002E3F9B">
        <w:rPr>
          <w:rStyle w:val="FootnoteReference"/>
          <w:lang w:val="es-ES_tradnl"/>
        </w:rPr>
        <w:footnoteReference w:id="4"/>
      </w:r>
      <w:r w:rsidRPr="002E3F9B">
        <w:rPr>
          <w:lang w:val="es-ES_tradnl"/>
        </w:rPr>
        <w:t xml:space="preserve">, muchas Partes que son países en desarrollo y Partes que son países con economías en transición indicaron que habían recibido apoyo del Fondo para el Medio Ambiente Mundial para elaborar sus marcos nacionales de seguridad de la biotecnología, pero que carecen de recursos para aplicar </w:t>
      </w:r>
      <w:r w:rsidR="009D18BC" w:rsidRPr="002E3F9B">
        <w:rPr>
          <w:lang w:val="es-ES_tradnl"/>
        </w:rPr>
        <w:t>dich</w:t>
      </w:r>
      <w:r w:rsidRPr="002E3F9B">
        <w:rPr>
          <w:lang w:val="es-ES_tradnl"/>
        </w:rPr>
        <w:t>os marcos. La aplicación efectiva del Protocolo requerirá un acceso adecuado, predecible y oportuno a los recursos financieros.</w:t>
      </w:r>
    </w:p>
    <w:p w14:paraId="7723BB9A" w14:textId="59CC16FF" w:rsidR="00A11BEA" w:rsidRPr="002E3F9B" w:rsidRDefault="00A11BEA" w:rsidP="00A11BEA">
      <w:pPr>
        <w:pStyle w:val="CBDNormalNumber"/>
        <w:rPr>
          <w:lang w:val="es-ES_tradnl"/>
        </w:rPr>
      </w:pPr>
      <w:r w:rsidRPr="002E3F9B">
        <w:rPr>
          <w:lang w:val="es-ES_tradnl"/>
        </w:rPr>
        <w:t>Considerando la importancia vital de contar con recursos financieros adecuados para la aplicación del Protocolo de Cartagena, la decisión CP-10/6 consideró la necesidad de identificar y movilizar nuevos recursos financieros, además de los proporcionados a través del Fondo para el Medio Ambiente Mundial, para ayudar a las Partes que son países en desarrollo y a las Partes con economías en transición a aplicar el Protocolo de forma eficaz.</w:t>
      </w:r>
    </w:p>
    <w:p w14:paraId="30E1015A" w14:textId="78DA549B" w:rsidR="00A11BEA" w:rsidRPr="002E3F9B" w:rsidRDefault="00A11BEA" w:rsidP="00A11BEA">
      <w:pPr>
        <w:pStyle w:val="CBDNormalNumber"/>
        <w:rPr>
          <w:lang w:val="es-ES_tradnl"/>
        </w:rPr>
      </w:pPr>
      <w:r w:rsidRPr="002E3F9B">
        <w:rPr>
          <w:lang w:val="es-ES_tradnl"/>
        </w:rPr>
        <w:t>En respuesta al párrafo 4 de la decisión CP-10/6, la Secretaría recopiló un conjunto de posibles fuentes de financiación y enfoques que pueden aplicarse a la bioseguridad para abordar las limitaciones de financiación. Esta recopilación, que está disponible a través del Centro de Intercambio de Información sobre Seguridad de la Biotecnología</w:t>
      </w:r>
      <w:r w:rsidR="00570880" w:rsidRPr="002E3F9B">
        <w:rPr>
          <w:rStyle w:val="FootnoteReference"/>
          <w:kern w:val="22"/>
          <w:lang w:val="es-ES_tradnl"/>
        </w:rPr>
        <w:footnoteReference w:id="5"/>
      </w:r>
      <w:r w:rsidRPr="002E3F9B">
        <w:rPr>
          <w:lang w:val="es-ES_tradnl"/>
        </w:rPr>
        <w:t xml:space="preserve">, incluye información sobre posibles fuentes de financiación que pueden ser específicas para determinados grupos de Partes, así como oportunidades de financiación generales y no específicas que los organismos nacionales y regionales pueden considerar. Además, se han incluido algunos organismos internacionales de financiación que proporcionan acceso a subvenciones para los laboratorios y grupos de investigación que </w:t>
      </w:r>
      <w:r w:rsidR="00254F0D" w:rsidRPr="002E3F9B">
        <w:rPr>
          <w:lang w:val="es-ES_tradnl"/>
        </w:rPr>
        <w:t xml:space="preserve">sustentan los campos </w:t>
      </w:r>
      <w:r w:rsidRPr="002E3F9B">
        <w:rPr>
          <w:lang w:val="es-ES_tradnl"/>
        </w:rPr>
        <w:t>de la biotecnología y la bioseguridad. La lista se seguirá ampliando mediante actividades adicionales de divulgación entre los organismos de financiación y análisis de los informes de cooperación bilateral.</w:t>
      </w:r>
    </w:p>
    <w:p w14:paraId="42FD9DA8" w14:textId="26247CD6" w:rsidR="00A11BEA" w:rsidRPr="002E3F9B" w:rsidRDefault="00A11BEA" w:rsidP="00A11BEA">
      <w:pPr>
        <w:pStyle w:val="CBDNormalNumber"/>
        <w:rPr>
          <w:lang w:val="es-ES_tradnl"/>
        </w:rPr>
      </w:pPr>
      <w:r w:rsidRPr="002E3F9B">
        <w:rPr>
          <w:lang w:val="es-ES_tradnl"/>
        </w:rPr>
        <w:lastRenderedPageBreak/>
        <w:t xml:space="preserve">Los proveedores multilaterales de desarrollo, como los bancos multilaterales de desarrollo y los fondos multilaterales, son importantes contribuyentes para la financiación del desarrollo relacionado con la biodiversidad. Por lo tanto, son potencialmente importantes para proporcionar recursos específicos para la bioseguridad. Varias de estas instituciones </w:t>
      </w:r>
      <w:r w:rsidR="00833602" w:rsidRPr="002E3F9B">
        <w:rPr>
          <w:lang w:val="es-ES_tradnl"/>
        </w:rPr>
        <w:t xml:space="preserve">se </w:t>
      </w:r>
      <w:r w:rsidRPr="002E3F9B">
        <w:rPr>
          <w:lang w:val="es-ES_tradnl"/>
        </w:rPr>
        <w:t>han identificad</w:t>
      </w:r>
      <w:r w:rsidR="00833602" w:rsidRPr="002E3F9B">
        <w:rPr>
          <w:lang w:val="es-ES_tradnl"/>
        </w:rPr>
        <w:t>o</w:t>
      </w:r>
      <w:r w:rsidRPr="002E3F9B">
        <w:rPr>
          <w:lang w:val="es-ES_tradnl"/>
        </w:rPr>
        <w:t xml:space="preserve"> e incluid</w:t>
      </w:r>
      <w:r w:rsidR="00833602" w:rsidRPr="002E3F9B">
        <w:rPr>
          <w:lang w:val="es-ES_tradnl"/>
        </w:rPr>
        <w:t>o</w:t>
      </w:r>
      <w:r w:rsidRPr="002E3F9B">
        <w:rPr>
          <w:lang w:val="es-ES_tradnl"/>
        </w:rPr>
        <w:t xml:space="preserve"> en la </w:t>
      </w:r>
      <w:r w:rsidR="00833602" w:rsidRPr="002E3F9B">
        <w:rPr>
          <w:lang w:val="es-ES_tradnl"/>
        </w:rPr>
        <w:t>re</w:t>
      </w:r>
      <w:r w:rsidRPr="002E3F9B">
        <w:rPr>
          <w:lang w:val="es-ES_tradnl"/>
        </w:rPr>
        <w:t>copilación para información de las Partes.</w:t>
      </w:r>
    </w:p>
    <w:p w14:paraId="4EBE7FA9" w14:textId="0A47C497" w:rsidR="00570880" w:rsidRPr="002E3F9B" w:rsidRDefault="00570880" w:rsidP="00570880">
      <w:pPr>
        <w:pStyle w:val="CBDNormalNumber"/>
        <w:rPr>
          <w:lang w:val="es-ES_tradnl"/>
        </w:rPr>
      </w:pPr>
      <w:r w:rsidRPr="002E3F9B">
        <w:rPr>
          <w:lang w:val="es-ES_tradnl"/>
        </w:rPr>
        <w:t xml:space="preserve">En su decisión 15/7, la Conferencia de las Partes decidió, entre otras tareas, revisar la estrategia para la movilización de recursos </w:t>
      </w:r>
      <w:r w:rsidR="00833602" w:rsidRPr="002E3F9B">
        <w:rPr>
          <w:lang w:val="es-ES_tradnl"/>
        </w:rPr>
        <w:t xml:space="preserve">que figura </w:t>
      </w:r>
      <w:r w:rsidRPr="002E3F9B">
        <w:rPr>
          <w:lang w:val="es-ES_tradnl"/>
        </w:rPr>
        <w:t xml:space="preserve">en el anexo I de la decisión, explorar el panorama financiero actual con miras a evaluar </w:t>
      </w:r>
      <w:r w:rsidR="00833602" w:rsidRPr="002E3F9B">
        <w:rPr>
          <w:lang w:val="es-ES_tradnl"/>
        </w:rPr>
        <w:t xml:space="preserve">carencias </w:t>
      </w:r>
      <w:r w:rsidRPr="002E3F9B">
        <w:rPr>
          <w:lang w:val="es-ES_tradnl"/>
        </w:rPr>
        <w:t xml:space="preserve">y superposiciones e identificar oportunidades para fortalecer, simplificar y reformar instrumentos existentes </w:t>
      </w:r>
      <w:r w:rsidR="00833602" w:rsidRPr="002E3F9B">
        <w:rPr>
          <w:lang w:val="es-ES_tradnl"/>
        </w:rPr>
        <w:t xml:space="preserve">con el fin de </w:t>
      </w:r>
      <w:r w:rsidRPr="002E3F9B">
        <w:rPr>
          <w:lang w:val="es-ES_tradnl"/>
        </w:rPr>
        <w:t>fortalecer el panorama financiero actual para la diversidad biológica</w:t>
      </w:r>
      <w:r w:rsidR="00833602" w:rsidRPr="002E3F9B">
        <w:rPr>
          <w:lang w:val="es-ES_tradnl"/>
        </w:rPr>
        <w:t>,</w:t>
      </w:r>
      <w:r w:rsidRPr="002E3F9B">
        <w:rPr>
          <w:lang w:val="es-ES_tradnl"/>
        </w:rPr>
        <w:t xml:space="preserve"> y estableció el Comité Asesor sobre Movilización de Recursos para poner en práctica estas disposiciones. Los resultados de este proceso figuran en la recomendación 4/3 del Órgano Subsidiario sobre la Aplicación y en el documento CBD/COP/16/5. La estrategia revisada para la movilización de recursos, una vez adoptada, podría aplicarse, </w:t>
      </w:r>
      <w:r w:rsidRPr="002E3F9B">
        <w:rPr>
          <w:i/>
          <w:iCs/>
          <w:lang w:val="es-ES_tradnl"/>
        </w:rPr>
        <w:t>mutatis mutandis</w:t>
      </w:r>
      <w:r w:rsidRPr="002E3F9B">
        <w:rPr>
          <w:lang w:val="es-ES_tradnl"/>
        </w:rPr>
        <w:t>, para abordar y movilizar recursos adicionales para la bioseguridad.</w:t>
      </w:r>
    </w:p>
    <w:p w14:paraId="2BA66673" w14:textId="75E6EEA7" w:rsidR="008663F2" w:rsidRPr="002E3F9B" w:rsidRDefault="008663F2" w:rsidP="008663F2">
      <w:pPr>
        <w:pStyle w:val="CBDH1"/>
        <w:rPr>
          <w:lang w:val="es-ES_tradnl"/>
        </w:rPr>
      </w:pPr>
      <w:r w:rsidRPr="002E3F9B">
        <w:rPr>
          <w:lang w:val="es-ES_tradnl"/>
        </w:rPr>
        <w:t>I</w:t>
      </w:r>
      <w:r w:rsidR="00CE62CC" w:rsidRPr="002E3F9B">
        <w:rPr>
          <w:lang w:val="es-ES_tradnl"/>
        </w:rPr>
        <w:t>I</w:t>
      </w:r>
      <w:r w:rsidRPr="002E3F9B">
        <w:rPr>
          <w:lang w:val="es-ES_tradnl"/>
        </w:rPr>
        <w:t>I.</w:t>
      </w:r>
      <w:r w:rsidRPr="002E3F9B">
        <w:rPr>
          <w:lang w:val="es-ES_tradnl"/>
        </w:rPr>
        <w:tab/>
      </w:r>
      <w:r w:rsidR="00570880" w:rsidRPr="002E3F9B">
        <w:rPr>
          <w:lang w:val="es-ES_tradnl"/>
        </w:rPr>
        <w:t>Situación de la financiación del Fondo para el Medio Ambiente Mundial destinada a la biodiversidad</w:t>
      </w:r>
    </w:p>
    <w:p w14:paraId="16EF595E" w14:textId="688B88AA" w:rsidR="00570880" w:rsidRPr="002E3F9B" w:rsidRDefault="00570880" w:rsidP="00570880">
      <w:pPr>
        <w:pStyle w:val="CBDNormalNumber"/>
        <w:rPr>
          <w:lang w:val="es-ES_tradnl"/>
        </w:rPr>
      </w:pPr>
      <w:r w:rsidRPr="002E3F9B">
        <w:rPr>
          <w:lang w:val="es-ES_tradnl"/>
        </w:rPr>
        <w:t>El bienio actual coincide con la ejecución de dos ciclos de reposición del Fondo para el Medio Ambiente Mundial; parte de la séptima reposición (</w:t>
      </w:r>
      <w:r w:rsidR="00ED54EF" w:rsidRPr="002E3F9B">
        <w:rPr>
          <w:lang w:val="es-ES_tradnl"/>
        </w:rPr>
        <w:t>“</w:t>
      </w:r>
      <w:r w:rsidRPr="002E3F9B">
        <w:rPr>
          <w:lang w:val="es-ES_tradnl"/>
        </w:rPr>
        <w:t>FMAM-7</w:t>
      </w:r>
      <w:r w:rsidR="00ED54EF" w:rsidRPr="002E3F9B">
        <w:rPr>
          <w:lang w:val="es-ES_tradnl"/>
        </w:rPr>
        <w:t>”</w:t>
      </w:r>
      <w:r w:rsidRPr="002E3F9B">
        <w:rPr>
          <w:lang w:val="es-ES_tradnl"/>
        </w:rPr>
        <w:t>), que abarcó el período comprendido entre julio de 2018 y junio de 2022, y el inicio de la octava reposición (</w:t>
      </w:r>
      <w:r w:rsidR="00ED54EF" w:rsidRPr="002E3F9B">
        <w:rPr>
          <w:lang w:val="es-ES_tradnl"/>
        </w:rPr>
        <w:t>“</w:t>
      </w:r>
      <w:r w:rsidRPr="002E3F9B">
        <w:rPr>
          <w:lang w:val="es-ES_tradnl"/>
        </w:rPr>
        <w:t>FMAM-8</w:t>
      </w:r>
      <w:r w:rsidR="00ED54EF" w:rsidRPr="002E3F9B">
        <w:rPr>
          <w:lang w:val="es-ES_tradnl"/>
        </w:rPr>
        <w:t>”</w:t>
      </w:r>
      <w:r w:rsidRPr="002E3F9B">
        <w:rPr>
          <w:lang w:val="es-ES_tradnl"/>
        </w:rPr>
        <w:t xml:space="preserve">) a partir de julio de 2022. </w:t>
      </w:r>
    </w:p>
    <w:p w14:paraId="77442F1B" w14:textId="3C87FCE7" w:rsidR="00570880" w:rsidRPr="002E3F9B" w:rsidRDefault="00570880" w:rsidP="00570880">
      <w:pPr>
        <w:pStyle w:val="CBDNormalNumber"/>
        <w:rPr>
          <w:lang w:val="es-ES_tradnl"/>
        </w:rPr>
      </w:pPr>
      <w:r w:rsidRPr="002E3F9B">
        <w:rPr>
          <w:lang w:val="es-ES_tradnl"/>
        </w:rPr>
        <w:t>En el FMAM-7, se presentaron al Fondo Fiduciario del Fondo para el Medio Ambiente Mundial siete proyectos, incluidos dos proyectos multinacionales, que abarcaban 11 países</w:t>
      </w:r>
      <w:r w:rsidRPr="002E3F9B">
        <w:rPr>
          <w:rStyle w:val="FootnoteReference"/>
          <w:lang w:val="es-ES_tradnl"/>
        </w:rPr>
        <w:footnoteReference w:id="6"/>
      </w:r>
      <w:r w:rsidRPr="002E3F9B">
        <w:rPr>
          <w:lang w:val="es-ES_tradnl"/>
        </w:rPr>
        <w:t xml:space="preserve">  y </w:t>
      </w:r>
      <w:r w:rsidR="00F32F7B" w:rsidRPr="002E3F9B">
        <w:rPr>
          <w:lang w:val="es-ES_tradnl"/>
        </w:rPr>
        <w:t xml:space="preserve">en los que se </w:t>
      </w:r>
      <w:r w:rsidRPr="002E3F9B">
        <w:rPr>
          <w:lang w:val="es-ES_tradnl"/>
        </w:rPr>
        <w:t>solicitaba apoyo para la aplicación del Protocolo de Cartagena. Fueron aprobados por un total de 13,1 millones de dólares de financiación del Fondo para el Medio Ambiente Mundial. Esto contrasta con los tres proyectos</w:t>
      </w:r>
      <w:r w:rsidRPr="002E3F9B">
        <w:rPr>
          <w:rStyle w:val="FootnoteReference"/>
          <w:lang w:val="es-ES_tradnl"/>
        </w:rPr>
        <w:footnoteReference w:id="7"/>
      </w:r>
      <w:r w:rsidRPr="002E3F9B">
        <w:rPr>
          <w:lang w:val="es-ES_tradnl"/>
        </w:rPr>
        <w:t xml:space="preserve"> por un total de 4,2 millones de dólares para el sexto periodo de reposición. La captación del FMAM-6 fue muy inferior a la asignación teórica para el per</w:t>
      </w:r>
      <w:r w:rsidR="00F32F7B" w:rsidRPr="002E3F9B">
        <w:rPr>
          <w:lang w:val="es-ES_tradnl"/>
        </w:rPr>
        <w:t>í</w:t>
      </w:r>
      <w:r w:rsidRPr="002E3F9B">
        <w:rPr>
          <w:lang w:val="es-ES_tradnl"/>
        </w:rPr>
        <w:t>odo de 30 millones de dólares, mientras que la actualización del FMAM-7 fue muy superior a su asignación teórica de 7 millones de dólares.</w:t>
      </w:r>
    </w:p>
    <w:p w14:paraId="59A509A5" w14:textId="38EC86BB" w:rsidR="00516AE2" w:rsidRPr="002E3F9B" w:rsidRDefault="00570880" w:rsidP="00570880">
      <w:pPr>
        <w:pStyle w:val="CBDNormalNumber"/>
        <w:rPr>
          <w:lang w:val="es-ES_tradnl"/>
        </w:rPr>
      </w:pPr>
      <w:r w:rsidRPr="002E3F9B">
        <w:rPr>
          <w:lang w:val="es-ES_tradnl"/>
        </w:rPr>
        <w:t xml:space="preserve">El Objetivo II de la estrategia del Área Focal de Biodiversidad del Fondo para el Medio Ambiente Mundial apoya la creación de capacidades para la aplicación del Protocolo de Cartagena. Para el período </w:t>
      </w:r>
      <w:r w:rsidR="00281378" w:rsidRPr="002E3F9B">
        <w:rPr>
          <w:lang w:val="es-ES_tradnl"/>
        </w:rPr>
        <w:t xml:space="preserve">del </w:t>
      </w:r>
      <w:r w:rsidRPr="002E3F9B">
        <w:rPr>
          <w:lang w:val="es-ES_tradnl"/>
        </w:rPr>
        <w:t xml:space="preserve">FMAM-8, se asignó un total de 1.920 millones de dólares a la cartera de financiación del Fondo para el Medio Ambiente Mundial para la biodiversidad, incluida la esfera de actividad de la bioseguridad, de los cuales 1.450 millones de dólares se proporcionan a los países a través del </w:t>
      </w:r>
      <w:r w:rsidR="00FD755B" w:rsidRPr="002E3F9B">
        <w:rPr>
          <w:lang w:val="es-ES_tradnl"/>
        </w:rPr>
        <w:t xml:space="preserve">Sistema para la Asignación Transparente de Recursos destinados </w:t>
      </w:r>
      <w:r w:rsidRPr="002E3F9B">
        <w:rPr>
          <w:lang w:val="es-ES_tradnl"/>
        </w:rPr>
        <w:t>a la biodiversidad, con una asignación teórica combinada para proyectos de apoyo a la aplicación del Protocolo de Cartagena y el Protocolo de Nagoya sobre Acceso a los Recursos Genéticos y Participación Justa y Equitativa en los Beneficios que se Deriven de su Utilización de 82 millones de dólares. Después de dos años de</w:t>
      </w:r>
      <w:r w:rsidR="001E4EF8" w:rsidRPr="002E3F9B">
        <w:rPr>
          <w:lang w:val="es-ES_tradnl"/>
        </w:rPr>
        <w:t>l</w:t>
      </w:r>
      <w:r w:rsidRPr="002E3F9B">
        <w:rPr>
          <w:lang w:val="es-ES_tradnl"/>
        </w:rPr>
        <w:t xml:space="preserve"> FMAM-8, las </w:t>
      </w:r>
      <w:r w:rsidR="00C54D0C" w:rsidRPr="002E3F9B">
        <w:rPr>
          <w:lang w:val="es-ES_tradnl"/>
        </w:rPr>
        <w:t>Partes que reúnan las condiciones</w:t>
      </w:r>
      <w:r w:rsidR="001E4EF8" w:rsidRPr="002E3F9B">
        <w:rPr>
          <w:lang w:val="es-ES_tradnl"/>
        </w:rPr>
        <w:t xml:space="preserve"> </w:t>
      </w:r>
      <w:r w:rsidRPr="002E3F9B">
        <w:rPr>
          <w:lang w:val="es-ES_tradnl"/>
        </w:rPr>
        <w:t>aún no han presentado ningún proyecto para apoyar la aplicación del Protocolo de Cartagena.</w:t>
      </w:r>
      <w:r w:rsidR="00516AE2" w:rsidRPr="002E3F9B">
        <w:rPr>
          <w:lang w:val="es-ES_tradnl"/>
        </w:rPr>
        <w:t xml:space="preserve"> </w:t>
      </w:r>
    </w:p>
    <w:p w14:paraId="75CCD764" w14:textId="6E78CD71" w:rsidR="00570880" w:rsidRPr="002E3F9B" w:rsidRDefault="00516AE2" w:rsidP="00570880">
      <w:pPr>
        <w:pStyle w:val="CBDNormalNumber"/>
        <w:rPr>
          <w:lang w:val="es-ES_tradnl"/>
        </w:rPr>
      </w:pPr>
      <w:r w:rsidRPr="002E3F9B">
        <w:rPr>
          <w:lang w:val="es-ES_tradnl"/>
        </w:rPr>
        <w:t>El nivel de financiación para la bioseguridad depende de la medida en que los países den prioridad a la bioseguridad entre las cuestiones relacionadas con la diversidad</w:t>
      </w:r>
      <w:r w:rsidR="001E4EF8" w:rsidRPr="002E3F9B">
        <w:rPr>
          <w:lang w:val="es-ES_tradnl"/>
        </w:rPr>
        <w:t xml:space="preserve"> biológica</w:t>
      </w:r>
      <w:r w:rsidRPr="002E3F9B">
        <w:rPr>
          <w:lang w:val="es-ES_tradnl"/>
        </w:rPr>
        <w:t xml:space="preserve">. En este sentido, es necesario que los países consideren dar prioridad a los proyectos de bioseguridad dentro de la asignación de biodiversidad </w:t>
      </w:r>
      <w:r w:rsidR="001E4EF8" w:rsidRPr="002E3F9B">
        <w:rPr>
          <w:lang w:val="es-ES_tradnl"/>
        </w:rPr>
        <w:t xml:space="preserve">en el marco </w:t>
      </w:r>
      <w:r w:rsidRPr="002E3F9B">
        <w:rPr>
          <w:lang w:val="es-ES_tradnl"/>
        </w:rPr>
        <w:t xml:space="preserve">de sus procesos internos de establecimiento de prioridades para apoyar la aplicación efectiva del Protocolo de Cartagena. También es necesario que </w:t>
      </w:r>
      <w:r w:rsidRPr="002E3F9B">
        <w:rPr>
          <w:lang w:val="es-ES_tradnl"/>
        </w:rPr>
        <w:lastRenderedPageBreak/>
        <w:t>el Fondo para el Medio Ambiente Mundial estudie la forma de facilitar estas presentaciones, como se analiza en la siguiente sección.</w:t>
      </w:r>
    </w:p>
    <w:p w14:paraId="3597A99F" w14:textId="28BCAD61" w:rsidR="00570880" w:rsidRPr="002E3F9B" w:rsidRDefault="00570880" w:rsidP="00570880">
      <w:pPr>
        <w:pStyle w:val="CBDNormalNumber"/>
        <w:rPr>
          <w:lang w:val="es-ES_tradnl"/>
        </w:rPr>
      </w:pPr>
      <w:r w:rsidRPr="002E3F9B">
        <w:rPr>
          <w:lang w:val="es-ES_tradnl"/>
        </w:rPr>
        <w:t>El Consejo del Fondo para el Medio Ambiente Mundial aprobó en junio de 2023 la creación</w:t>
      </w:r>
      <w:r w:rsidRPr="002E3F9B">
        <w:rPr>
          <w:rStyle w:val="FootnoteReference"/>
          <w:lang w:val="es-ES_tradnl"/>
        </w:rPr>
        <w:footnoteReference w:id="8"/>
      </w:r>
      <w:r w:rsidRPr="002E3F9B">
        <w:rPr>
          <w:lang w:val="es-ES_tradnl"/>
        </w:rPr>
        <w:t xml:space="preserve"> del Fondo</w:t>
      </w:r>
      <w:r w:rsidR="00816D97" w:rsidRPr="002E3F9B">
        <w:rPr>
          <w:lang w:val="es-ES_tradnl"/>
        </w:rPr>
        <w:t xml:space="preserve"> del</w:t>
      </w:r>
      <w:r w:rsidRPr="002E3F9B">
        <w:rPr>
          <w:lang w:val="es-ES_tradnl"/>
        </w:rPr>
        <w:t xml:space="preserve"> Marco Mundial </w:t>
      </w:r>
      <w:r w:rsidR="00816D97" w:rsidRPr="002E3F9B">
        <w:rPr>
          <w:lang w:val="es-ES_tradnl"/>
        </w:rPr>
        <w:t>de</w:t>
      </w:r>
      <w:r w:rsidRPr="002E3F9B">
        <w:rPr>
          <w:lang w:val="es-ES_tradnl"/>
        </w:rPr>
        <w:t xml:space="preserve"> Biodiversidad y sus Directrices de Programación. </w:t>
      </w:r>
      <w:r w:rsidR="00AC6335" w:rsidRPr="002E3F9B">
        <w:rPr>
          <w:lang w:val="es-ES_tradnl"/>
        </w:rPr>
        <w:t>La esfera de acción 8</w:t>
      </w:r>
      <w:r w:rsidRPr="002E3F9B">
        <w:rPr>
          <w:lang w:val="es-ES_tradnl"/>
        </w:rPr>
        <w:t xml:space="preserve"> del Fondo </w:t>
      </w:r>
      <w:r w:rsidR="00816D97" w:rsidRPr="002E3F9B">
        <w:rPr>
          <w:lang w:val="es-ES_tradnl"/>
        </w:rPr>
        <w:t xml:space="preserve">del </w:t>
      </w:r>
      <w:r w:rsidRPr="002E3F9B">
        <w:rPr>
          <w:lang w:val="es-ES_tradnl"/>
        </w:rPr>
        <w:t>Marco aborda la creación de capacidades y el apoyo a la aplicación en materia de bioseguridad, manejo de la biotecnología y acceso y participación en los beneficios, incluso en el marco de los Protocolos de Cartagena y Nagoya (Metas 13 y 17).</w:t>
      </w:r>
    </w:p>
    <w:p w14:paraId="41CE0800" w14:textId="22F01591" w:rsidR="00CC7D7C" w:rsidRPr="002E3F9B" w:rsidRDefault="000A33B3" w:rsidP="00AC2CEE">
      <w:pPr>
        <w:pStyle w:val="CBDH1"/>
        <w:rPr>
          <w:snapToGrid w:val="0"/>
          <w:lang w:val="es-ES_tradnl"/>
        </w:rPr>
      </w:pPr>
      <w:bookmarkStart w:id="8" w:name="_Hlk177478511"/>
      <w:r w:rsidRPr="002E3F9B">
        <w:rPr>
          <w:lang w:val="es-ES_tradnl"/>
        </w:rPr>
        <w:t>IV.</w:t>
      </w:r>
      <w:r w:rsidRPr="002E3F9B">
        <w:rPr>
          <w:lang w:val="es-ES_tradnl"/>
        </w:rPr>
        <w:tab/>
      </w:r>
      <w:bookmarkEnd w:id="8"/>
      <w:r w:rsidR="003B1E39" w:rsidRPr="002E3F9B">
        <w:rPr>
          <w:lang w:val="es-ES_tradnl"/>
        </w:rPr>
        <w:t>Revisión de la eficacia del mecanismo financiero para la bioseguridad</w:t>
      </w:r>
    </w:p>
    <w:p w14:paraId="7077A0DA" w14:textId="066D3F84" w:rsidR="003B1E39" w:rsidRPr="002E3F9B" w:rsidRDefault="003B1E39" w:rsidP="003B1E39">
      <w:pPr>
        <w:pStyle w:val="CBDNormalNumber"/>
        <w:rPr>
          <w:lang w:val="es-ES_tradnl"/>
        </w:rPr>
      </w:pPr>
      <w:r w:rsidRPr="002E3F9B">
        <w:rPr>
          <w:lang w:val="es-ES_tradnl"/>
        </w:rPr>
        <w:t xml:space="preserve">En la decisión 15/15, la Conferencia de las Partes encomendó </w:t>
      </w:r>
      <w:r w:rsidR="00727740" w:rsidRPr="002E3F9B">
        <w:rPr>
          <w:lang w:val="es-ES_tradnl"/>
        </w:rPr>
        <w:t xml:space="preserve">la Sexta Revisión de la Eficacia del Mecanismo Financiero </w:t>
      </w:r>
      <w:r w:rsidRPr="002E3F9B">
        <w:rPr>
          <w:lang w:val="es-ES_tradnl"/>
        </w:rPr>
        <w:t xml:space="preserve">del Convenio y sus Protocolos. En la decisión CP-10/6, las Partes en el Protocolo de Cartagena también solicitaron a la Secretaría que analizara la eficacia del mecanismo financiero </w:t>
      </w:r>
      <w:r w:rsidR="00727740" w:rsidRPr="002E3F9B">
        <w:rPr>
          <w:lang w:val="es-ES_tradnl"/>
        </w:rPr>
        <w:t xml:space="preserve">a la hora de aplicar </w:t>
      </w:r>
      <w:r w:rsidRPr="002E3F9B">
        <w:rPr>
          <w:lang w:val="es-ES_tradnl"/>
        </w:rPr>
        <w:t xml:space="preserve">el Protocolo en </w:t>
      </w:r>
      <w:r w:rsidR="002205E2">
        <w:rPr>
          <w:lang w:val="es-ES_tradnl"/>
        </w:rPr>
        <w:t xml:space="preserve">la sexta revisión </w:t>
      </w:r>
      <w:r w:rsidRPr="002E3F9B">
        <w:rPr>
          <w:lang w:val="es-ES_tradnl"/>
        </w:rPr>
        <w:t xml:space="preserve">de la eficacia del mecanismo financiero. A este respecto, la Secretaría nombró a un consultor independiente y </w:t>
      </w:r>
      <w:r w:rsidR="00727740" w:rsidRPr="002E3F9B">
        <w:rPr>
          <w:lang w:val="es-ES_tradnl"/>
        </w:rPr>
        <w:t>publicó</w:t>
      </w:r>
      <w:r w:rsidRPr="002E3F9B">
        <w:rPr>
          <w:lang w:val="es-ES_tradnl"/>
        </w:rPr>
        <w:t xml:space="preserve"> la notificación </w:t>
      </w:r>
      <w:r w:rsidR="00044DE8" w:rsidRPr="002E3F9B">
        <w:rPr>
          <w:lang w:val="es-ES_tradnl"/>
        </w:rPr>
        <w:t xml:space="preserve">n.º </w:t>
      </w:r>
      <w:r w:rsidRPr="002E3F9B">
        <w:rPr>
          <w:lang w:val="es-ES_tradnl"/>
        </w:rPr>
        <w:t xml:space="preserve">2024-072 relativa a un cuestionario que fue elaborado por el evaluador independiente de acuerdo con </w:t>
      </w:r>
      <w:r w:rsidR="00727740" w:rsidRPr="002E3F9B">
        <w:rPr>
          <w:lang w:val="es-ES_tradnl"/>
        </w:rPr>
        <w:t xml:space="preserve">el mandato </w:t>
      </w:r>
      <w:r w:rsidRPr="002E3F9B">
        <w:rPr>
          <w:lang w:val="es-ES_tradnl"/>
        </w:rPr>
        <w:t>y que constituyó una base importante para participar en la revisión, así como para evaluar la eficacia del mecanismo financiero.</w:t>
      </w:r>
    </w:p>
    <w:p w14:paraId="3862C3C1" w14:textId="5C369679" w:rsidR="003B1E39" w:rsidRPr="002E3F9B" w:rsidRDefault="003B1E39" w:rsidP="003B1E39">
      <w:pPr>
        <w:pStyle w:val="CBDNormalNumber"/>
        <w:rPr>
          <w:lang w:val="es-ES_tradnl"/>
        </w:rPr>
      </w:pPr>
      <w:r w:rsidRPr="002E3F9B">
        <w:rPr>
          <w:lang w:val="es-ES_tradnl"/>
        </w:rPr>
        <w:t xml:space="preserve">Dado que </w:t>
      </w:r>
      <w:r w:rsidR="00057731" w:rsidRPr="002E3F9B">
        <w:rPr>
          <w:lang w:val="es-ES_tradnl"/>
        </w:rPr>
        <w:t>la revisión de la eficacia</w:t>
      </w:r>
      <w:r w:rsidRPr="002E3F9B">
        <w:rPr>
          <w:lang w:val="es-ES_tradnl"/>
        </w:rPr>
        <w:t xml:space="preserve"> del mecanismo financiero del Protocolo de Cartagena está integrad</w:t>
      </w:r>
      <w:r w:rsidR="00057731" w:rsidRPr="002E3F9B">
        <w:rPr>
          <w:lang w:val="es-ES_tradnl"/>
        </w:rPr>
        <w:t>a</w:t>
      </w:r>
      <w:r w:rsidRPr="002E3F9B">
        <w:rPr>
          <w:lang w:val="es-ES_tradnl"/>
        </w:rPr>
        <w:t xml:space="preserve"> con </w:t>
      </w:r>
      <w:r w:rsidR="00057731" w:rsidRPr="002E3F9B">
        <w:rPr>
          <w:lang w:val="es-ES_tradnl"/>
        </w:rPr>
        <w:t>la revisión de la eficacia</w:t>
      </w:r>
      <w:r w:rsidRPr="002E3F9B">
        <w:rPr>
          <w:lang w:val="es-ES_tradnl"/>
        </w:rPr>
        <w:t xml:space="preserve"> del mecanismo financiero, el cuestionario para </w:t>
      </w:r>
      <w:r w:rsidR="00057731" w:rsidRPr="002E3F9B">
        <w:rPr>
          <w:lang w:val="es-ES_tradnl"/>
        </w:rPr>
        <w:t>la revisión</w:t>
      </w:r>
      <w:r w:rsidRPr="002E3F9B">
        <w:rPr>
          <w:lang w:val="es-ES_tradnl"/>
        </w:rPr>
        <w:t xml:space="preserve"> incluía las tres preguntas siguientes de referencia específica al Protocolo de Cartagena:</w:t>
      </w:r>
    </w:p>
    <w:p w14:paraId="71F47BE9" w14:textId="2EA9C3AF" w:rsidR="009725CD" w:rsidRPr="002E3F9B" w:rsidRDefault="003B1E39" w:rsidP="00516AE2">
      <w:pPr>
        <w:pStyle w:val="CBDNormalNumber"/>
        <w:numPr>
          <w:ilvl w:val="0"/>
          <w:numId w:val="37"/>
        </w:numPr>
        <w:ind w:left="567" w:firstLine="567"/>
        <w:rPr>
          <w:lang w:val="es-ES_tradnl"/>
        </w:rPr>
      </w:pPr>
      <w:r w:rsidRPr="002E3F9B">
        <w:rPr>
          <w:lang w:val="es-ES_tradnl"/>
        </w:rPr>
        <w:t>¿Cuál ha sido la experiencia, así como las lecciones aprendidas, en el acceso y utilización de fondos para la aplicación del Protocolo de Cartagena?;</w:t>
      </w:r>
      <w:r w:rsidR="009725CD" w:rsidRPr="002E3F9B">
        <w:rPr>
          <w:lang w:val="es-ES_tradnl"/>
        </w:rPr>
        <w:t xml:space="preserve"> </w:t>
      </w:r>
    </w:p>
    <w:p w14:paraId="6ED80090" w14:textId="1C3844ED" w:rsidR="009725CD" w:rsidRPr="002E3F9B" w:rsidRDefault="003B1E39" w:rsidP="00516AE2">
      <w:pPr>
        <w:pStyle w:val="CBDNormalNumber"/>
        <w:numPr>
          <w:ilvl w:val="0"/>
          <w:numId w:val="37"/>
        </w:numPr>
        <w:ind w:left="567" w:firstLine="567"/>
        <w:rPr>
          <w:lang w:val="es-ES_tradnl"/>
        </w:rPr>
      </w:pPr>
      <w:r w:rsidRPr="002E3F9B">
        <w:rPr>
          <w:lang w:val="es-ES_tradnl"/>
        </w:rPr>
        <w:t xml:space="preserve">¿Cuáles son </w:t>
      </w:r>
      <w:r w:rsidR="004E1385" w:rsidRPr="002E3F9B">
        <w:rPr>
          <w:lang w:val="es-ES_tradnl"/>
        </w:rPr>
        <w:t xml:space="preserve">las dificultades </w:t>
      </w:r>
      <w:r w:rsidRPr="002E3F9B">
        <w:rPr>
          <w:lang w:val="es-ES_tradnl"/>
        </w:rPr>
        <w:t>para acceder y utilizar los fondos del Fondo para el Medio Ambiente Mundial?;</w:t>
      </w:r>
      <w:r w:rsidR="009725CD" w:rsidRPr="002E3F9B">
        <w:rPr>
          <w:lang w:val="es-ES_tradnl"/>
        </w:rPr>
        <w:t xml:space="preserve"> </w:t>
      </w:r>
    </w:p>
    <w:p w14:paraId="333A1EAD" w14:textId="3F0646D4" w:rsidR="003B1E39" w:rsidRPr="002E3F9B" w:rsidRDefault="003B1E39" w:rsidP="00516AE2">
      <w:pPr>
        <w:pStyle w:val="CBDNormalNumber"/>
        <w:numPr>
          <w:ilvl w:val="0"/>
          <w:numId w:val="37"/>
        </w:numPr>
        <w:ind w:left="567" w:firstLine="567"/>
        <w:rPr>
          <w:lang w:val="es-ES_tradnl"/>
        </w:rPr>
      </w:pPr>
      <w:r w:rsidRPr="002E3F9B">
        <w:rPr>
          <w:lang w:val="es-ES_tradnl"/>
        </w:rPr>
        <w:t>La pertinencia y el proceso de creación de una ventanilla independiente para la bioseguridad.</w:t>
      </w:r>
    </w:p>
    <w:p w14:paraId="1CE22F6C" w14:textId="77651FBC" w:rsidR="00AA41D0" w:rsidRPr="002E3F9B" w:rsidRDefault="00502B54" w:rsidP="005461BE">
      <w:pPr>
        <w:pStyle w:val="CBDNormalNumber"/>
        <w:rPr>
          <w:lang w:val="es-ES_tradnl"/>
        </w:rPr>
      </w:pPr>
      <w:r w:rsidRPr="002E3F9B">
        <w:rPr>
          <w:lang w:val="es-ES_tradnl"/>
        </w:rPr>
        <w:t xml:space="preserve">Entre las conclusiones de la revisión, las siguientes son de especial </w:t>
      </w:r>
      <w:r w:rsidR="004E1385" w:rsidRPr="002E3F9B">
        <w:rPr>
          <w:lang w:val="es-ES_tradnl"/>
        </w:rPr>
        <w:t xml:space="preserve">pertinencia </w:t>
      </w:r>
      <w:r w:rsidRPr="002E3F9B">
        <w:rPr>
          <w:lang w:val="es-ES_tradnl"/>
        </w:rPr>
        <w:t>para el Protocolo de Cartagena:</w:t>
      </w:r>
    </w:p>
    <w:p w14:paraId="414ADC4D" w14:textId="77777777" w:rsidR="00FB4288" w:rsidRPr="002E3F9B" w:rsidRDefault="00502B54" w:rsidP="00516AE2">
      <w:pPr>
        <w:pStyle w:val="CBDNormalNumber"/>
        <w:numPr>
          <w:ilvl w:val="0"/>
          <w:numId w:val="38"/>
        </w:numPr>
        <w:ind w:left="567" w:firstLine="567"/>
        <w:rPr>
          <w:lang w:val="es-ES_tradnl"/>
        </w:rPr>
      </w:pPr>
      <w:r w:rsidRPr="002E3F9B">
        <w:rPr>
          <w:lang w:val="es-ES_tradnl"/>
        </w:rPr>
        <w:t>El Fondo para el Medio Ambiente Mundial ha contribuido históricamente a acelerar la ratificación y ha promovido los procesos de aplicación del Protocolo de Cartagena;</w:t>
      </w:r>
    </w:p>
    <w:p w14:paraId="6FD52E4B" w14:textId="77777777" w:rsidR="00516AE2" w:rsidRPr="002E3F9B" w:rsidRDefault="00502B54" w:rsidP="00516AE2">
      <w:pPr>
        <w:pStyle w:val="CBDNormalNumber"/>
        <w:numPr>
          <w:ilvl w:val="0"/>
          <w:numId w:val="38"/>
        </w:numPr>
        <w:ind w:left="567" w:firstLine="567"/>
        <w:rPr>
          <w:lang w:val="es-ES_tradnl"/>
        </w:rPr>
      </w:pPr>
      <w:r w:rsidRPr="002E3F9B">
        <w:rPr>
          <w:lang w:val="es-ES_tradnl"/>
        </w:rPr>
        <w:t>Si bien el apoyo del Fondo para el Medio Ambiente Mundial ha sido coherente con el Protocolo de Cartagena cuando se ha programado, el Fondo para el Medio Ambiente Mundial no ha proporcionado niveles coherentes de apoyo para la aplicación del Protocolo;</w:t>
      </w:r>
    </w:p>
    <w:p w14:paraId="4230D746" w14:textId="56674397" w:rsidR="00516AE2" w:rsidRPr="002E3F9B" w:rsidRDefault="00502B54" w:rsidP="00516AE2">
      <w:pPr>
        <w:pStyle w:val="CBDNormalNumber"/>
        <w:numPr>
          <w:ilvl w:val="0"/>
          <w:numId w:val="38"/>
        </w:numPr>
        <w:ind w:left="567" w:firstLine="567"/>
        <w:rPr>
          <w:lang w:val="es-ES_tradnl"/>
        </w:rPr>
      </w:pPr>
      <w:r w:rsidRPr="002E3F9B">
        <w:rPr>
          <w:lang w:val="es-ES_tradnl"/>
        </w:rPr>
        <w:t xml:space="preserve">La utilización de las asignaciones teóricas para apoyar la aplicación del Protocolo de Cartagena por las </w:t>
      </w:r>
      <w:r w:rsidR="00C54D0C" w:rsidRPr="002E3F9B">
        <w:rPr>
          <w:lang w:val="es-ES_tradnl"/>
        </w:rPr>
        <w:t>Partes que reúnan las condiciones</w:t>
      </w:r>
      <w:r w:rsidR="001432D5" w:rsidRPr="002E3F9B">
        <w:rPr>
          <w:lang w:val="es-ES_tradnl"/>
        </w:rPr>
        <w:t xml:space="preserve"> </w:t>
      </w:r>
      <w:r w:rsidRPr="002E3F9B">
        <w:rPr>
          <w:lang w:val="es-ES_tradnl"/>
        </w:rPr>
        <w:t>ha sido variable y, en general, muy baja;</w:t>
      </w:r>
    </w:p>
    <w:p w14:paraId="426C9510" w14:textId="77777777" w:rsidR="00516AE2" w:rsidRPr="002E3F9B" w:rsidRDefault="00502B54" w:rsidP="00516AE2">
      <w:pPr>
        <w:pStyle w:val="CBDNormalNumber"/>
        <w:numPr>
          <w:ilvl w:val="0"/>
          <w:numId w:val="38"/>
        </w:numPr>
        <w:ind w:left="567" w:firstLine="567"/>
        <w:rPr>
          <w:lang w:val="es-ES_tradnl"/>
        </w:rPr>
      </w:pPr>
      <w:r w:rsidRPr="002E3F9B">
        <w:rPr>
          <w:lang w:val="es-ES_tradnl"/>
        </w:rPr>
        <w:t>Debe alentarse al Fondo para el Medio Ambiente Mundial a que siga desarrollando sus modalidades de financiación a fin de prestar apoyo a la aplicación del Protocolo de Cartagena de una manera sistemática y flexible, concebida para tener plenamente en cuenta las complejidades de las disposiciones institucionales relativas a los mandatos en materia de seguridad de la biotecnología;</w:t>
      </w:r>
    </w:p>
    <w:p w14:paraId="44C076FE" w14:textId="017F9713" w:rsidR="00516AE2" w:rsidRPr="002E3F9B" w:rsidRDefault="00502B54" w:rsidP="00516AE2">
      <w:pPr>
        <w:pStyle w:val="CBDNormalNumber"/>
        <w:numPr>
          <w:ilvl w:val="0"/>
          <w:numId w:val="38"/>
        </w:numPr>
        <w:ind w:left="567" w:firstLine="567"/>
        <w:rPr>
          <w:lang w:val="es-ES_tradnl"/>
        </w:rPr>
      </w:pPr>
      <w:r w:rsidRPr="002E3F9B">
        <w:rPr>
          <w:lang w:val="es-ES_tradnl"/>
        </w:rPr>
        <w:t xml:space="preserve">Es necesario realizar más actividades de </w:t>
      </w:r>
      <w:r w:rsidR="00024836" w:rsidRPr="002E3F9B">
        <w:rPr>
          <w:lang w:val="es-ES_tradnl"/>
        </w:rPr>
        <w:t xml:space="preserve">creación de capacidades </w:t>
      </w:r>
      <w:r w:rsidRPr="002E3F9B">
        <w:rPr>
          <w:lang w:val="es-ES_tradnl"/>
        </w:rPr>
        <w:t>para que los países se identifiquen más con los proyectos y para que los países en desarrollo puedan acceder a los fondos del Fondo para el Medio Ambiente Mundial sin verse obstaculizados por dificultades de procedimiento o por las prioridades de los organismos de ejecución;</w:t>
      </w:r>
    </w:p>
    <w:p w14:paraId="2B408F36" w14:textId="4A209AA1" w:rsidR="00516AE2" w:rsidRPr="002E3F9B" w:rsidRDefault="00502B54" w:rsidP="00516AE2">
      <w:pPr>
        <w:pStyle w:val="CBDNormalNumber"/>
        <w:numPr>
          <w:ilvl w:val="0"/>
          <w:numId w:val="38"/>
        </w:numPr>
        <w:ind w:left="567" w:firstLine="567"/>
        <w:rPr>
          <w:lang w:val="es-ES_tradnl"/>
        </w:rPr>
      </w:pPr>
      <w:r w:rsidRPr="002E3F9B">
        <w:rPr>
          <w:lang w:val="es-ES_tradnl"/>
        </w:rPr>
        <w:lastRenderedPageBreak/>
        <w:t xml:space="preserve">Es necesario supervisar los desembolsos puntuales de fondos en el marco del Protocolo de Cartagena para </w:t>
      </w:r>
      <w:r w:rsidR="00817B11" w:rsidRPr="002E3F9B">
        <w:rPr>
          <w:lang w:val="es-ES_tradnl"/>
        </w:rPr>
        <w:t xml:space="preserve">asegurar </w:t>
      </w:r>
      <w:r w:rsidRPr="002E3F9B">
        <w:rPr>
          <w:lang w:val="es-ES_tradnl"/>
        </w:rPr>
        <w:t>su eficacia;</w:t>
      </w:r>
      <w:r w:rsidR="00516AE2" w:rsidRPr="002E3F9B">
        <w:rPr>
          <w:lang w:val="es-ES_tradnl"/>
        </w:rPr>
        <w:t xml:space="preserve"> </w:t>
      </w:r>
    </w:p>
    <w:p w14:paraId="56C8F2EA" w14:textId="425711B8" w:rsidR="00516AE2" w:rsidRPr="002E3F9B" w:rsidRDefault="00502B54" w:rsidP="00516AE2">
      <w:pPr>
        <w:pStyle w:val="CBDNormalNumber"/>
        <w:numPr>
          <w:ilvl w:val="0"/>
          <w:numId w:val="38"/>
        </w:numPr>
        <w:ind w:left="567" w:firstLine="567"/>
        <w:rPr>
          <w:lang w:val="es-ES_tradnl"/>
        </w:rPr>
      </w:pPr>
      <w:r w:rsidRPr="002E3F9B">
        <w:rPr>
          <w:lang w:val="es-ES_tradnl"/>
        </w:rPr>
        <w:t xml:space="preserve">Es necesario considerar la creación de una ventanilla independiente o de un mecanismo alternativo de acceso a la bioseguridad </w:t>
      </w:r>
      <w:r w:rsidR="00BA1CA7" w:rsidRPr="002E3F9B">
        <w:rPr>
          <w:lang w:val="es-ES_tradnl"/>
        </w:rPr>
        <w:t xml:space="preserve">específico </w:t>
      </w:r>
      <w:r w:rsidRPr="002E3F9B">
        <w:rPr>
          <w:lang w:val="es-ES_tradnl"/>
        </w:rPr>
        <w:t>para mejorar la aplicación del Protocolo de Cartagena; los países en desarrollo que respondieron a la pregunta de crear una ventanilla independiente para la bioseguridad apoyaron unánimemente dicha ventanilla independiente;</w:t>
      </w:r>
    </w:p>
    <w:p w14:paraId="4CFD8B14" w14:textId="4A34630E" w:rsidR="00502B54" w:rsidRPr="002E3F9B" w:rsidRDefault="00502B54" w:rsidP="00516AE2">
      <w:pPr>
        <w:pStyle w:val="CBDNormalNumber"/>
        <w:numPr>
          <w:ilvl w:val="0"/>
          <w:numId w:val="38"/>
        </w:numPr>
        <w:ind w:left="567" w:firstLine="567"/>
        <w:rPr>
          <w:lang w:val="es-ES_tradnl"/>
        </w:rPr>
      </w:pPr>
      <w:r w:rsidRPr="002E3F9B">
        <w:rPr>
          <w:lang w:val="es-ES_tradnl"/>
        </w:rPr>
        <w:t>La programación para el Protocolo de Cartagena se ve aún más limitada por la falta de capacidad de los países receptores para diseñar propuestas de bioseguridad y la escasa asistencia de la Secretaría del Fondo para el Medio Ambiente Mundial y de los organismos de ejecución a este respecto.</w:t>
      </w:r>
    </w:p>
    <w:p w14:paraId="2C14941F" w14:textId="21B7D1E4" w:rsidR="009164F5" w:rsidRPr="002E3F9B" w:rsidRDefault="00C35DA8" w:rsidP="00AC2CEE">
      <w:pPr>
        <w:pStyle w:val="CBDH1"/>
        <w:rPr>
          <w:lang w:val="es-ES_tradnl"/>
        </w:rPr>
      </w:pPr>
      <w:r w:rsidRPr="002E3F9B">
        <w:rPr>
          <w:lang w:val="es-ES_tradnl"/>
        </w:rPr>
        <w:t>V.</w:t>
      </w:r>
      <w:r w:rsidRPr="002E3F9B">
        <w:rPr>
          <w:lang w:val="es-ES_tradnl"/>
        </w:rPr>
        <w:tab/>
      </w:r>
      <w:r w:rsidR="008619A3" w:rsidRPr="002E3F9B">
        <w:rPr>
          <w:lang w:val="es-ES_tradnl"/>
        </w:rPr>
        <w:t>Proyecto de decisión</w:t>
      </w:r>
    </w:p>
    <w:p w14:paraId="5BB4646F" w14:textId="2E81027F" w:rsidR="00FB0168" w:rsidRPr="002E3F9B" w:rsidRDefault="00BA1CA7" w:rsidP="00CA3535">
      <w:pPr>
        <w:pStyle w:val="CBDNormalNumber"/>
        <w:keepNext/>
        <w:spacing w:before="120"/>
        <w:rPr>
          <w:lang w:val="es-ES_tradnl"/>
        </w:rPr>
      </w:pPr>
      <w:r w:rsidRPr="002E3F9B">
        <w:rPr>
          <w:lang w:val="es-ES_tradnl"/>
        </w:rPr>
        <w:t xml:space="preserve">Habida cuenta de </w:t>
      </w:r>
      <w:r w:rsidR="006A57D8" w:rsidRPr="002E3F9B">
        <w:rPr>
          <w:lang w:val="es-ES_tradnl"/>
        </w:rPr>
        <w:t xml:space="preserve">la información proporcionada en la presente nota, y teniendo en cuenta los elementos pertinentes de la recomendación 4/4 del Órgano Subsidiario sobre la Aplicación, la Conferencia de las Partes </w:t>
      </w:r>
      <w:r w:rsidR="00ED54EF" w:rsidRPr="002E3F9B">
        <w:rPr>
          <w:lang w:val="es-ES_tradnl"/>
        </w:rPr>
        <w:t>que actúa como reunión</w:t>
      </w:r>
      <w:r w:rsidR="006A57D8" w:rsidRPr="002E3F9B">
        <w:rPr>
          <w:lang w:val="es-ES_tradnl"/>
        </w:rPr>
        <w:t xml:space="preserve"> de las Partes en el Protocolo de Cartagena tal vez desee adoptar una decisión del siguiente tenor:</w:t>
      </w:r>
    </w:p>
    <w:p w14:paraId="4E2E98CA" w14:textId="28E9C610" w:rsidR="00CE62CC" w:rsidRPr="002E3F9B" w:rsidRDefault="006A57D8" w:rsidP="00CA3535">
      <w:pPr>
        <w:pStyle w:val="Para10"/>
        <w:keepNext/>
        <w:tabs>
          <w:tab w:val="left" w:pos="567"/>
          <w:tab w:val="left" w:pos="1134"/>
          <w:tab w:val="left" w:pos="1701"/>
          <w:tab w:val="left" w:pos="2268"/>
        </w:tabs>
        <w:ind w:left="567" w:firstLine="567"/>
        <w:rPr>
          <w:i/>
          <w:iCs/>
          <w:szCs w:val="22"/>
          <w:lang w:val="es-ES_tradnl"/>
        </w:rPr>
      </w:pPr>
      <w:r w:rsidRPr="002E3F9B">
        <w:rPr>
          <w:i/>
          <w:iCs/>
          <w:szCs w:val="22"/>
          <w:lang w:val="es-ES_tradnl"/>
        </w:rPr>
        <w:t xml:space="preserve">La Conferencia de las Partes </w:t>
      </w:r>
      <w:r w:rsidR="00ED54EF" w:rsidRPr="002E3F9B">
        <w:rPr>
          <w:i/>
          <w:iCs/>
          <w:szCs w:val="22"/>
          <w:lang w:val="es-ES_tradnl"/>
        </w:rPr>
        <w:t>que actúa como reunión</w:t>
      </w:r>
      <w:r w:rsidRPr="002E3F9B">
        <w:rPr>
          <w:i/>
          <w:iCs/>
          <w:szCs w:val="22"/>
          <w:lang w:val="es-ES_tradnl"/>
        </w:rPr>
        <w:t xml:space="preserve"> de las Partes en el Protocolo de Cartagena sobre Seguridad de la Biotecnología,</w:t>
      </w:r>
    </w:p>
    <w:p w14:paraId="41501C34" w14:textId="22B08D50" w:rsidR="006A57D8" w:rsidRPr="002E3F9B" w:rsidRDefault="006A57D8" w:rsidP="006A57D8">
      <w:pPr>
        <w:pStyle w:val="Para1"/>
        <w:ind w:firstLine="567"/>
        <w:rPr>
          <w:snapToGrid w:val="0"/>
          <w:lang w:val="es-ES_tradnl"/>
        </w:rPr>
      </w:pPr>
      <w:r w:rsidRPr="002E3F9B">
        <w:rPr>
          <w:i/>
          <w:iCs/>
          <w:lang w:val="es-ES_tradnl"/>
        </w:rPr>
        <w:t>Tomando nota</w:t>
      </w:r>
      <w:r w:rsidRPr="002E3F9B">
        <w:rPr>
          <w:lang w:val="es-ES_tradnl"/>
        </w:rPr>
        <w:t xml:space="preserve"> del informe del Consejo del Fondo para el Medio Ambiente Mundial para la </w:t>
      </w:r>
      <w:r w:rsidR="00BA1CA7" w:rsidRPr="002E3F9B">
        <w:rPr>
          <w:lang w:val="es-ES_tradnl"/>
        </w:rPr>
        <w:t>16ª</w:t>
      </w:r>
      <w:r w:rsidRPr="002E3F9B">
        <w:rPr>
          <w:lang w:val="es-ES_tradnl"/>
        </w:rPr>
        <w:t xml:space="preserve"> reunión de la Conferencia de las Partes en el Convenio sobre la Diversidad Biológica</w:t>
      </w:r>
      <w:r w:rsidRPr="002E3F9B">
        <w:rPr>
          <w:rStyle w:val="FootnoteReference"/>
          <w:snapToGrid w:val="0"/>
          <w:lang w:val="es-ES_tradnl"/>
        </w:rPr>
        <w:footnoteReference w:id="9"/>
      </w:r>
      <w:r w:rsidRPr="002E3F9B">
        <w:rPr>
          <w:snapToGrid w:val="0"/>
          <w:vertAlign w:val="superscript"/>
          <w:lang w:val="es-ES_tradnl"/>
        </w:rPr>
        <w:t>,</w:t>
      </w:r>
      <w:r w:rsidRPr="002E3F9B">
        <w:rPr>
          <w:rStyle w:val="FootnoteReference"/>
          <w:lang w:val="es-ES_tradnl"/>
        </w:rPr>
        <w:footnoteReference w:id="10"/>
      </w:r>
      <w:r w:rsidRPr="002E3F9B">
        <w:rPr>
          <w:lang w:val="es-ES_tradnl"/>
        </w:rPr>
        <w:t xml:space="preserve">, y del informe sobre </w:t>
      </w:r>
      <w:r w:rsidR="00BA1CA7" w:rsidRPr="002E3F9B">
        <w:rPr>
          <w:lang w:val="es-ES_tradnl"/>
        </w:rPr>
        <w:t xml:space="preserve">la sexta revisión </w:t>
      </w:r>
      <w:r w:rsidRPr="002E3F9B">
        <w:rPr>
          <w:lang w:val="es-ES_tradnl"/>
        </w:rPr>
        <w:t>de la eficacia del mecanismo financiero</w:t>
      </w:r>
      <w:r w:rsidRPr="002E3F9B">
        <w:rPr>
          <w:rStyle w:val="FootnoteReference"/>
          <w:snapToGrid w:val="0"/>
          <w:lang w:val="es-ES_tradnl"/>
        </w:rPr>
        <w:footnoteReference w:id="11"/>
      </w:r>
      <w:r w:rsidRPr="002E3F9B">
        <w:rPr>
          <w:lang w:val="es-ES_tradnl"/>
        </w:rPr>
        <w:t xml:space="preserve">, </w:t>
      </w:r>
    </w:p>
    <w:p w14:paraId="610EEF96" w14:textId="52F3E7CF" w:rsidR="006A57D8" w:rsidRPr="002E3F9B" w:rsidRDefault="006A57D8" w:rsidP="006A57D8">
      <w:pPr>
        <w:pStyle w:val="Para1"/>
        <w:ind w:firstLine="567"/>
        <w:rPr>
          <w:lang w:val="es-ES_tradnl"/>
        </w:rPr>
      </w:pPr>
      <w:r w:rsidRPr="002E3F9B">
        <w:rPr>
          <w:i/>
          <w:iCs/>
          <w:lang w:val="es-ES_tradnl"/>
        </w:rPr>
        <w:t>Observando con preocupación</w:t>
      </w:r>
      <w:r w:rsidRPr="002E3F9B">
        <w:rPr>
          <w:lang w:val="es-ES_tradnl"/>
        </w:rPr>
        <w:t xml:space="preserve"> que, transcurridos dos años de la aplicación del octavo ciclo de reposición del Fondo Fiduciario del Fondo para el Medio Ambiente Mundial, no se ha presentado ningún proyecto para apoyar la aplicación del Protocolo de Cartagena sobre Seguridad de la Biotecnología</w:t>
      </w:r>
      <w:r w:rsidR="00BA1CA7" w:rsidRPr="002E3F9B">
        <w:rPr>
          <w:rStyle w:val="FootnoteReference"/>
          <w:bCs/>
          <w:lang w:val="es-ES_tradnl"/>
        </w:rPr>
        <w:footnoteReference w:id="12"/>
      </w:r>
      <w:r w:rsidRPr="002E3F9B">
        <w:rPr>
          <w:lang w:val="es-ES_tradnl"/>
        </w:rPr>
        <w:t xml:space="preserve">, </w:t>
      </w:r>
    </w:p>
    <w:p w14:paraId="4206309C" w14:textId="608F75FC" w:rsidR="006A57D8" w:rsidRPr="002E3F9B" w:rsidRDefault="006A57D8" w:rsidP="006A57D8">
      <w:pPr>
        <w:pStyle w:val="Para1"/>
        <w:ind w:firstLine="567"/>
        <w:rPr>
          <w:lang w:val="es-ES_tradnl"/>
        </w:rPr>
      </w:pPr>
      <w:r w:rsidRPr="002E3F9B">
        <w:rPr>
          <w:i/>
          <w:iCs/>
          <w:lang w:val="es-ES_tradnl"/>
        </w:rPr>
        <w:t>Acogiendo con satisfacción</w:t>
      </w:r>
      <w:r w:rsidRPr="002E3F9B">
        <w:rPr>
          <w:lang w:val="es-ES_tradnl"/>
        </w:rPr>
        <w:t xml:space="preserve"> el establecimiento y la puesta en funcionamiento del </w:t>
      </w:r>
      <w:r w:rsidR="00816D97" w:rsidRPr="002E3F9B">
        <w:rPr>
          <w:lang w:val="es-ES_tradnl"/>
        </w:rPr>
        <w:t>Fondo del Marco Mundial de Biodiversidad</w:t>
      </w:r>
      <w:r w:rsidRPr="002E3F9B">
        <w:rPr>
          <w:lang w:val="es-ES_tradnl"/>
        </w:rPr>
        <w:t xml:space="preserve"> y sus </w:t>
      </w:r>
      <w:r w:rsidR="00C44929" w:rsidRPr="002E3F9B">
        <w:rPr>
          <w:lang w:val="es-ES_tradnl"/>
        </w:rPr>
        <w:t>directrices de programación</w:t>
      </w:r>
      <w:r w:rsidRPr="002E3F9B">
        <w:rPr>
          <w:lang w:val="es-ES_tradnl"/>
        </w:rPr>
        <w:t xml:space="preserve">, que incluyen </w:t>
      </w:r>
      <w:r w:rsidR="00806722" w:rsidRPr="002E3F9B">
        <w:rPr>
          <w:lang w:val="es-ES_tradnl"/>
        </w:rPr>
        <w:t xml:space="preserve">esferas </w:t>
      </w:r>
      <w:r w:rsidRPr="002E3F9B">
        <w:rPr>
          <w:lang w:val="es-ES_tradnl"/>
        </w:rPr>
        <w:t>de acción para apoyar la aplicación del Protocolo de Cartagena,</w:t>
      </w:r>
      <w:r w:rsidR="002D06FA" w:rsidRPr="002E3F9B">
        <w:rPr>
          <w:lang w:val="es-ES_tradnl"/>
        </w:rPr>
        <w:t xml:space="preserve"> </w:t>
      </w:r>
    </w:p>
    <w:p w14:paraId="26A5C310" w14:textId="010C9626" w:rsidR="006A57D8" w:rsidRPr="002E3F9B" w:rsidRDefault="006A57D8" w:rsidP="006A57D8">
      <w:pPr>
        <w:pStyle w:val="Para1"/>
        <w:ind w:firstLine="567"/>
        <w:rPr>
          <w:snapToGrid w:val="0"/>
          <w:lang w:val="es-ES_tradnl"/>
        </w:rPr>
      </w:pPr>
      <w:r w:rsidRPr="002E3F9B">
        <w:rPr>
          <w:i/>
          <w:iCs/>
          <w:lang w:val="es-ES_tradnl"/>
        </w:rPr>
        <w:t>Recordando</w:t>
      </w:r>
      <w:r w:rsidRPr="002E3F9B">
        <w:rPr>
          <w:lang w:val="es-ES_tradnl"/>
        </w:rPr>
        <w:t xml:space="preserve"> la decisión </w:t>
      </w:r>
      <w:r w:rsidR="00D134AF">
        <w:fldChar w:fldCharType="begin"/>
      </w:r>
      <w:r w:rsidR="00D134AF" w:rsidRPr="00D134AF">
        <w:rPr>
          <w:lang w:val="es-ES"/>
        </w:rPr>
        <w:instrText>HYPERLINK "https://www.cbd.int/decisions/cop/?m=cop-15"</w:instrText>
      </w:r>
      <w:r w:rsidR="00D134AF">
        <w:fldChar w:fldCharType="separate"/>
      </w:r>
      <w:r w:rsidR="00436A2F" w:rsidRPr="002E3F9B">
        <w:rPr>
          <w:rStyle w:val="Hyperlink"/>
          <w:lang w:val="es-ES_tradnl"/>
        </w:rPr>
        <w:t>15/15</w:t>
      </w:r>
      <w:r w:rsidR="00D134AF">
        <w:rPr>
          <w:rStyle w:val="Hyperlink"/>
          <w:lang w:val="es-ES_tradnl"/>
        </w:rPr>
        <w:fldChar w:fldCharType="end"/>
      </w:r>
      <w:r w:rsidR="00436A2F" w:rsidRPr="002E3F9B">
        <w:rPr>
          <w:rStyle w:val="Hyperlink"/>
          <w:u w:val="none"/>
          <w:lang w:val="es-ES_tradnl"/>
        </w:rPr>
        <w:t xml:space="preserve"> </w:t>
      </w:r>
      <w:r w:rsidRPr="002E3F9B">
        <w:rPr>
          <w:lang w:val="es-ES_tradnl"/>
        </w:rPr>
        <w:t>de la Conferencia de las Partes en el Convenio, en la que la Conferencia de las Partes invitó al Consejo del Fondo para el Medio Ambiente Mundial a examinar la posibilidad de crear una ventanilla de financiación específica para el Protocolo de Cartagena,</w:t>
      </w:r>
    </w:p>
    <w:p w14:paraId="7ED43F09" w14:textId="032AAE40" w:rsidR="00436A2F" w:rsidRPr="002E3F9B" w:rsidRDefault="007B0E33" w:rsidP="00436A2F">
      <w:pPr>
        <w:pStyle w:val="Para1"/>
        <w:ind w:firstLine="567"/>
        <w:rPr>
          <w:lang w:val="es-ES_tradnl" w:eastAsia="en-GB"/>
        </w:rPr>
      </w:pPr>
      <w:r w:rsidRPr="002E3F9B">
        <w:rPr>
          <w:lang w:val="es-ES_tradnl" w:eastAsia="en-GB"/>
        </w:rPr>
        <w:t>1.</w:t>
      </w:r>
      <w:r w:rsidRPr="002E3F9B">
        <w:rPr>
          <w:lang w:val="es-ES_tradnl" w:eastAsia="en-GB"/>
        </w:rPr>
        <w:tab/>
      </w:r>
      <w:r w:rsidR="00436A2F" w:rsidRPr="002E3F9B">
        <w:rPr>
          <w:i/>
          <w:iCs/>
          <w:lang w:val="es-ES_tradnl" w:eastAsia="en-GB"/>
        </w:rPr>
        <w:t>Recomienda</w:t>
      </w:r>
      <w:r w:rsidR="00436A2F" w:rsidRPr="002E3F9B">
        <w:rPr>
          <w:lang w:val="es-ES_tradnl" w:eastAsia="en-GB"/>
        </w:rPr>
        <w:t xml:space="preserve"> que, al adoptar sus orientaciones al Fondo para el Medio Ambiente Mundial en relación con el apoyo a la aplicación del Protocolo de Cartagena sobre Seguridad de la Biotecnología, la Conferencia de las Partes en el Convenio sobre la Diversidad Biológica incluya las siguientes peticiones al Fondo para el Medio Ambiente Mundial: </w:t>
      </w:r>
    </w:p>
    <w:p w14:paraId="2F833E7F" w14:textId="4CD3BE46" w:rsidR="00436A2F" w:rsidRPr="002E3F9B" w:rsidRDefault="00436A2F" w:rsidP="00436A2F">
      <w:pPr>
        <w:pStyle w:val="Para1"/>
        <w:ind w:firstLine="567"/>
        <w:rPr>
          <w:lang w:val="es-ES_tradnl" w:eastAsia="en-GB"/>
        </w:rPr>
      </w:pPr>
      <w:r w:rsidRPr="002E3F9B">
        <w:rPr>
          <w:lang w:val="es-ES_tradnl" w:eastAsia="en-GB"/>
        </w:rPr>
        <w:t>a) Facili</w:t>
      </w:r>
      <w:r w:rsidR="00806722" w:rsidRPr="002E3F9B">
        <w:rPr>
          <w:lang w:val="es-ES_tradnl" w:eastAsia="en-GB"/>
        </w:rPr>
        <w:t>te</w:t>
      </w:r>
      <w:r w:rsidRPr="002E3F9B">
        <w:rPr>
          <w:lang w:val="es-ES_tradnl" w:eastAsia="en-GB"/>
        </w:rPr>
        <w:t xml:space="preserve"> fondos de manera oportuna para apoyar a las </w:t>
      </w:r>
      <w:r w:rsidR="00C54D0C" w:rsidRPr="002E3F9B">
        <w:rPr>
          <w:lang w:val="es-ES_tradnl" w:eastAsia="en-GB"/>
        </w:rPr>
        <w:t>Partes que reúnan las condiciones</w:t>
      </w:r>
      <w:r w:rsidR="001432D5" w:rsidRPr="002E3F9B">
        <w:rPr>
          <w:lang w:val="es-ES_tradnl" w:eastAsia="en-GB"/>
        </w:rPr>
        <w:t xml:space="preserve"> </w:t>
      </w:r>
      <w:r w:rsidRPr="002E3F9B">
        <w:rPr>
          <w:lang w:val="es-ES_tradnl" w:eastAsia="en-GB"/>
        </w:rPr>
        <w:t>en la preparación y presentación de sus quintos informes nacionales en virtud del Protocolo de Cartagena;</w:t>
      </w:r>
    </w:p>
    <w:p w14:paraId="0507B8BC" w14:textId="51CE088E" w:rsidR="00CE62CC" w:rsidRPr="002E3F9B" w:rsidRDefault="00436A2F" w:rsidP="00436A2F">
      <w:pPr>
        <w:pStyle w:val="Para1"/>
        <w:ind w:firstLine="567"/>
        <w:rPr>
          <w:lang w:val="es-ES_tradnl" w:eastAsia="en-GB"/>
        </w:rPr>
      </w:pPr>
      <w:r w:rsidRPr="002E3F9B">
        <w:rPr>
          <w:lang w:val="es-ES_tradnl" w:eastAsia="en-GB"/>
        </w:rPr>
        <w:t xml:space="preserve">b) </w:t>
      </w:r>
      <w:r w:rsidR="00806722" w:rsidRPr="002E3F9B">
        <w:rPr>
          <w:lang w:val="es-ES_tradnl" w:eastAsia="en-GB"/>
        </w:rPr>
        <w:t>R</w:t>
      </w:r>
      <w:r w:rsidRPr="002E3F9B">
        <w:rPr>
          <w:lang w:val="es-ES_tradnl" w:eastAsia="en-GB"/>
        </w:rPr>
        <w:t xml:space="preserve">efuerce su programa de financiación dedicado al Protocolo de Cartagena para apoyar a las </w:t>
      </w:r>
      <w:r w:rsidR="00C54D0C" w:rsidRPr="002E3F9B">
        <w:rPr>
          <w:lang w:val="es-ES_tradnl" w:eastAsia="en-GB"/>
        </w:rPr>
        <w:t>Partes que reúnan las condiciones</w:t>
      </w:r>
      <w:r w:rsidRPr="002E3F9B">
        <w:rPr>
          <w:lang w:val="es-ES_tradnl" w:eastAsia="en-GB"/>
        </w:rPr>
        <w:t xml:space="preserve"> en la aplicación del Protocolo, inclu</w:t>
      </w:r>
      <w:r w:rsidR="00806722" w:rsidRPr="002E3F9B">
        <w:rPr>
          <w:lang w:val="es-ES_tradnl" w:eastAsia="en-GB"/>
        </w:rPr>
        <w:t xml:space="preserve">ido </w:t>
      </w:r>
      <w:r w:rsidRPr="002E3F9B">
        <w:rPr>
          <w:lang w:val="es-ES_tradnl" w:eastAsia="en-GB"/>
        </w:rPr>
        <w:t>su plan de aplicación</w:t>
      </w:r>
      <w:r w:rsidRPr="002E3F9B">
        <w:rPr>
          <w:rStyle w:val="FootnoteReference"/>
          <w:lang w:val="es-ES_tradnl" w:eastAsia="en-GB"/>
        </w:rPr>
        <w:footnoteReference w:id="13"/>
      </w:r>
      <w:r w:rsidRPr="002E3F9B">
        <w:rPr>
          <w:lang w:val="es-ES_tradnl" w:eastAsia="en-GB"/>
        </w:rPr>
        <w:t xml:space="preserve"> y su plan de acción de creación de capacidades</w:t>
      </w:r>
      <w:r w:rsidRPr="002E3F9B">
        <w:rPr>
          <w:rStyle w:val="FootnoteReference"/>
          <w:lang w:val="es-ES_tradnl" w:eastAsia="en-GB"/>
        </w:rPr>
        <w:footnoteReference w:id="14"/>
      </w:r>
      <w:r w:rsidRPr="002E3F9B">
        <w:rPr>
          <w:lang w:val="es-ES_tradnl" w:eastAsia="en-GB"/>
        </w:rPr>
        <w:t>;</w:t>
      </w:r>
    </w:p>
    <w:p w14:paraId="0D8A12BF" w14:textId="0BE94F4A" w:rsidR="00CE62CC" w:rsidRPr="002E3F9B" w:rsidRDefault="00634A8B" w:rsidP="00CA3535">
      <w:pPr>
        <w:pStyle w:val="Para2"/>
        <w:ind w:left="567" w:firstLine="567"/>
        <w:rPr>
          <w:lang w:val="es-ES_tradnl" w:eastAsia="en-GB"/>
        </w:rPr>
      </w:pPr>
      <w:r w:rsidRPr="002E3F9B">
        <w:rPr>
          <w:lang w:val="es-ES_tradnl" w:eastAsia="en-GB"/>
        </w:rPr>
        <w:lastRenderedPageBreak/>
        <w:t>c)</w:t>
      </w:r>
      <w:r w:rsidRPr="002E3F9B">
        <w:rPr>
          <w:lang w:val="es-ES_tradnl" w:eastAsia="en-GB"/>
        </w:rPr>
        <w:tab/>
      </w:r>
      <w:r w:rsidR="006710E3" w:rsidRPr="002E3F9B">
        <w:rPr>
          <w:lang w:val="es-ES_tradnl"/>
        </w:rPr>
        <w:t>S</w:t>
      </w:r>
      <w:r w:rsidR="00806722" w:rsidRPr="002E3F9B">
        <w:rPr>
          <w:lang w:val="es-ES_tradnl"/>
        </w:rPr>
        <w:t xml:space="preserve">iga </w:t>
      </w:r>
      <w:r w:rsidR="006710E3" w:rsidRPr="002E3F9B">
        <w:rPr>
          <w:lang w:val="es-ES_tradnl"/>
        </w:rPr>
        <w:t>prestando apoyo a las Partes que reúnan l</w:t>
      </w:r>
      <w:r w:rsidR="00C54D0C" w:rsidRPr="002E3F9B">
        <w:rPr>
          <w:lang w:val="es-ES_tradnl"/>
        </w:rPr>
        <w:t xml:space="preserve">as condiciones </w:t>
      </w:r>
      <w:r w:rsidR="006710E3" w:rsidRPr="002E3F9B">
        <w:rPr>
          <w:lang w:val="es-ES_tradnl"/>
        </w:rPr>
        <w:t>para realizar actividades en los siguientes ámbitos:</w:t>
      </w:r>
    </w:p>
    <w:p w14:paraId="04FDF37F" w14:textId="61D3CBFF" w:rsidR="00CE62CC" w:rsidRPr="002E3F9B" w:rsidRDefault="007B0E33" w:rsidP="00CA3535">
      <w:pPr>
        <w:pStyle w:val="Para3"/>
        <w:ind w:firstLine="567"/>
        <w:rPr>
          <w:lang w:val="es-ES_tradnl"/>
        </w:rPr>
      </w:pPr>
      <w:r w:rsidRPr="002E3F9B">
        <w:rPr>
          <w:lang w:val="es-ES_tradnl" w:eastAsia="en-GB"/>
        </w:rPr>
        <w:t>i)</w:t>
      </w:r>
      <w:r w:rsidR="00634A8B" w:rsidRPr="002E3F9B">
        <w:rPr>
          <w:lang w:val="es-ES_tradnl" w:eastAsia="en-GB"/>
        </w:rPr>
        <w:tab/>
      </w:r>
      <w:r w:rsidR="00670275" w:rsidRPr="002E3F9B">
        <w:rPr>
          <w:lang w:val="es-ES_tradnl" w:eastAsia="en-GB"/>
        </w:rPr>
        <w:t>Elabor</w:t>
      </w:r>
      <w:r w:rsidR="00816D97" w:rsidRPr="002E3F9B">
        <w:rPr>
          <w:lang w:val="es-ES_tradnl" w:eastAsia="en-GB"/>
        </w:rPr>
        <w:t>a</w:t>
      </w:r>
      <w:r w:rsidR="00670275" w:rsidRPr="002E3F9B">
        <w:rPr>
          <w:lang w:val="es-ES_tradnl" w:eastAsia="en-GB"/>
        </w:rPr>
        <w:t>ción</w:t>
      </w:r>
      <w:r w:rsidR="006710E3" w:rsidRPr="002E3F9B">
        <w:rPr>
          <w:lang w:val="es-ES_tradnl"/>
        </w:rPr>
        <w:t xml:space="preserve"> y aplicación de medidas legales, administrativas y de otro tipo para aplicar el Protocolo de Cartagena;</w:t>
      </w:r>
    </w:p>
    <w:p w14:paraId="1D72F4E7" w14:textId="7655E90A" w:rsidR="00CE62CC" w:rsidRPr="002E3F9B" w:rsidRDefault="007B0E33" w:rsidP="00CA3535">
      <w:pPr>
        <w:pStyle w:val="Para3"/>
        <w:ind w:firstLine="567"/>
        <w:rPr>
          <w:lang w:val="es-ES_tradnl"/>
        </w:rPr>
      </w:pPr>
      <w:proofErr w:type="spellStart"/>
      <w:r w:rsidRPr="002E3F9B">
        <w:rPr>
          <w:lang w:val="es-ES_tradnl"/>
        </w:rPr>
        <w:t>ii</w:t>
      </w:r>
      <w:proofErr w:type="spellEnd"/>
      <w:r w:rsidRPr="002E3F9B">
        <w:rPr>
          <w:lang w:val="es-ES_tradnl"/>
        </w:rPr>
        <w:t>)</w:t>
      </w:r>
      <w:r w:rsidRPr="002E3F9B">
        <w:rPr>
          <w:lang w:val="es-ES_tradnl"/>
        </w:rPr>
        <w:tab/>
      </w:r>
      <w:r w:rsidR="006710E3" w:rsidRPr="002E3F9B">
        <w:rPr>
          <w:lang w:val="es-ES_tradnl"/>
        </w:rPr>
        <w:t>Evaluación y gestión de riesgos;</w:t>
      </w:r>
    </w:p>
    <w:p w14:paraId="770D919A" w14:textId="77777777" w:rsidR="006710E3" w:rsidRPr="002E3F9B" w:rsidRDefault="007B0E33" w:rsidP="006710E3">
      <w:pPr>
        <w:pStyle w:val="Para3"/>
        <w:ind w:firstLine="567"/>
        <w:rPr>
          <w:lang w:val="es-ES_tradnl"/>
        </w:rPr>
      </w:pPr>
      <w:proofErr w:type="spellStart"/>
      <w:r w:rsidRPr="002E3F9B">
        <w:rPr>
          <w:lang w:val="es-ES_tradnl"/>
        </w:rPr>
        <w:t>iii</w:t>
      </w:r>
      <w:proofErr w:type="spellEnd"/>
      <w:r w:rsidRPr="002E3F9B">
        <w:rPr>
          <w:lang w:val="es-ES_tradnl"/>
        </w:rPr>
        <w:t>)</w:t>
      </w:r>
      <w:r w:rsidRPr="002E3F9B">
        <w:rPr>
          <w:lang w:val="es-ES_tradnl"/>
        </w:rPr>
        <w:tab/>
      </w:r>
      <w:r w:rsidR="006710E3" w:rsidRPr="002E3F9B">
        <w:rPr>
          <w:lang w:val="es-ES_tradnl"/>
        </w:rPr>
        <w:t xml:space="preserve">Detección e identificación de organismos vivos modificados; </w:t>
      </w:r>
    </w:p>
    <w:p w14:paraId="438FAC19" w14:textId="21488B1D" w:rsidR="006710E3" w:rsidRPr="002E3F9B" w:rsidRDefault="007B0E33" w:rsidP="006710E3">
      <w:pPr>
        <w:pStyle w:val="Para3"/>
        <w:ind w:firstLine="567"/>
        <w:rPr>
          <w:lang w:val="es-ES_tradnl" w:eastAsia="en-GB"/>
        </w:rPr>
      </w:pPr>
      <w:proofErr w:type="spellStart"/>
      <w:r w:rsidRPr="002E3F9B">
        <w:rPr>
          <w:lang w:val="es-ES_tradnl"/>
        </w:rPr>
        <w:t>iv</w:t>
      </w:r>
      <w:proofErr w:type="spellEnd"/>
      <w:r w:rsidRPr="002E3F9B">
        <w:rPr>
          <w:lang w:val="es-ES_tradnl"/>
        </w:rPr>
        <w:t>)</w:t>
      </w:r>
      <w:r w:rsidRPr="002E3F9B">
        <w:rPr>
          <w:lang w:val="es-ES_tradnl"/>
        </w:rPr>
        <w:tab/>
      </w:r>
      <w:r w:rsidR="006710E3" w:rsidRPr="002E3F9B">
        <w:rPr>
          <w:lang w:val="es-ES_tradnl"/>
        </w:rPr>
        <w:t xml:space="preserve">Sensibilización, educación y participación del público; </w:t>
      </w:r>
    </w:p>
    <w:p w14:paraId="15DAFADB" w14:textId="79B6CB25" w:rsidR="00210637" w:rsidRPr="002E3F9B" w:rsidRDefault="006710E3" w:rsidP="006710E3">
      <w:pPr>
        <w:pStyle w:val="Para3"/>
        <w:ind w:firstLine="567"/>
        <w:rPr>
          <w:lang w:val="es-ES_tradnl"/>
        </w:rPr>
      </w:pPr>
      <w:r w:rsidRPr="002E3F9B">
        <w:rPr>
          <w:lang w:val="es-ES_tradnl"/>
        </w:rPr>
        <w:t>v)</w:t>
      </w:r>
      <w:r w:rsidR="00CE62CC" w:rsidRPr="002E3F9B">
        <w:rPr>
          <w:lang w:val="es-ES_tradnl"/>
        </w:rPr>
        <w:t xml:space="preserve"> </w:t>
      </w:r>
      <w:r w:rsidRPr="002E3F9B">
        <w:rPr>
          <w:lang w:val="es-ES_tradnl"/>
        </w:rPr>
        <w:tab/>
        <w:t>Consideraciones socioeconómicas;</w:t>
      </w:r>
    </w:p>
    <w:p w14:paraId="6B509B8F" w14:textId="5713B04C" w:rsidR="00CE62CC" w:rsidRPr="002E3F9B" w:rsidRDefault="007B0E33" w:rsidP="00CA3535">
      <w:pPr>
        <w:pStyle w:val="Para3"/>
        <w:ind w:firstLine="567"/>
        <w:rPr>
          <w:lang w:val="es-ES_tradnl"/>
        </w:rPr>
      </w:pPr>
      <w:r w:rsidRPr="002E3F9B">
        <w:rPr>
          <w:lang w:val="es-ES_tradnl"/>
        </w:rPr>
        <w:t>vi)</w:t>
      </w:r>
      <w:r w:rsidRPr="002E3F9B">
        <w:rPr>
          <w:lang w:val="es-ES_tradnl"/>
        </w:rPr>
        <w:tab/>
      </w:r>
      <w:r w:rsidR="006710E3" w:rsidRPr="002E3F9B">
        <w:rPr>
          <w:lang w:val="es-ES_tradnl"/>
        </w:rPr>
        <w:t>Responsabilidad y compensación</w:t>
      </w:r>
      <w:r w:rsidR="00CE62CC" w:rsidRPr="002E3F9B">
        <w:rPr>
          <w:lang w:val="es-ES_tradnl"/>
        </w:rPr>
        <w:t xml:space="preserve">; </w:t>
      </w:r>
    </w:p>
    <w:p w14:paraId="0E6CA75A" w14:textId="681D098D" w:rsidR="00CE62CC" w:rsidRPr="002E3F9B" w:rsidRDefault="007B0E33" w:rsidP="00CA3535">
      <w:pPr>
        <w:pStyle w:val="Para3"/>
        <w:ind w:firstLine="567"/>
        <w:rPr>
          <w:lang w:val="es-ES_tradnl"/>
        </w:rPr>
      </w:pPr>
      <w:proofErr w:type="spellStart"/>
      <w:r w:rsidRPr="002E3F9B">
        <w:rPr>
          <w:lang w:val="es-ES_tradnl"/>
        </w:rPr>
        <w:t>vii</w:t>
      </w:r>
      <w:proofErr w:type="spellEnd"/>
      <w:r w:rsidRPr="002E3F9B">
        <w:rPr>
          <w:lang w:val="es-ES_tradnl"/>
        </w:rPr>
        <w:t>)</w:t>
      </w:r>
      <w:r w:rsidRPr="002E3F9B">
        <w:rPr>
          <w:lang w:val="es-ES_tradnl"/>
        </w:rPr>
        <w:tab/>
      </w:r>
      <w:r w:rsidR="006710E3" w:rsidRPr="002E3F9B">
        <w:rPr>
          <w:lang w:val="es-ES_tradnl"/>
        </w:rPr>
        <w:t>Informes nacionales, intercambio de información y Centro de Intercambio de Información sobre Seguridad de la Biotecnología</w:t>
      </w:r>
      <w:r w:rsidR="00CE62CC" w:rsidRPr="002E3F9B">
        <w:rPr>
          <w:lang w:val="es-ES_tradnl"/>
        </w:rPr>
        <w:t xml:space="preserve">; </w:t>
      </w:r>
    </w:p>
    <w:p w14:paraId="795CD878" w14:textId="7F2FCA97" w:rsidR="00CE62CC" w:rsidRPr="002E3F9B" w:rsidRDefault="007B0E33" w:rsidP="00CA3535">
      <w:pPr>
        <w:pStyle w:val="Para3"/>
        <w:ind w:firstLine="567"/>
        <w:rPr>
          <w:lang w:val="es-ES_tradnl"/>
        </w:rPr>
      </w:pPr>
      <w:proofErr w:type="spellStart"/>
      <w:r w:rsidRPr="002E3F9B">
        <w:rPr>
          <w:lang w:val="es-ES_tradnl"/>
        </w:rPr>
        <w:t>viii</w:t>
      </w:r>
      <w:proofErr w:type="spellEnd"/>
      <w:r w:rsidRPr="002E3F9B">
        <w:rPr>
          <w:lang w:val="es-ES_tradnl"/>
        </w:rPr>
        <w:t>)</w:t>
      </w:r>
      <w:r w:rsidRPr="002E3F9B">
        <w:rPr>
          <w:lang w:val="es-ES_tradnl"/>
        </w:rPr>
        <w:tab/>
      </w:r>
      <w:r w:rsidR="006710E3" w:rsidRPr="002E3F9B">
        <w:rPr>
          <w:lang w:val="es-ES_tradnl"/>
        </w:rPr>
        <w:t>Intercambio de conocimientos y transferencia de tecnología</w:t>
      </w:r>
      <w:r w:rsidR="00CE62CC" w:rsidRPr="002E3F9B">
        <w:rPr>
          <w:lang w:val="es-ES_tradnl"/>
        </w:rPr>
        <w:t>;</w:t>
      </w:r>
    </w:p>
    <w:p w14:paraId="5AE15F31" w14:textId="6C2BF2D9" w:rsidR="006710E3" w:rsidRPr="002E3F9B" w:rsidRDefault="007B0E33" w:rsidP="006710E3">
      <w:pPr>
        <w:pStyle w:val="Para3"/>
        <w:ind w:firstLine="567"/>
        <w:rPr>
          <w:lang w:val="es-ES_tradnl" w:eastAsia="en-GB"/>
        </w:rPr>
      </w:pPr>
      <w:proofErr w:type="spellStart"/>
      <w:r w:rsidRPr="002E3F9B">
        <w:rPr>
          <w:lang w:val="es-ES_tradnl"/>
        </w:rPr>
        <w:t>ix</w:t>
      </w:r>
      <w:proofErr w:type="spellEnd"/>
      <w:r w:rsidRPr="002E3F9B">
        <w:rPr>
          <w:lang w:val="es-ES_tradnl"/>
        </w:rPr>
        <w:t>)</w:t>
      </w:r>
      <w:r w:rsidRPr="002E3F9B">
        <w:rPr>
          <w:lang w:val="es-ES_tradnl"/>
        </w:rPr>
        <w:tab/>
      </w:r>
      <w:r w:rsidR="006710E3" w:rsidRPr="002E3F9B">
        <w:rPr>
          <w:lang w:val="es-ES_tradnl"/>
        </w:rPr>
        <w:t>La aplicación de planes de acción para lograr el cumplimiento del Protocolo de Cartagena</w:t>
      </w:r>
      <w:r w:rsidR="00CE62CC" w:rsidRPr="002E3F9B">
        <w:rPr>
          <w:lang w:val="es-ES_tradnl" w:eastAsia="en-GB"/>
        </w:rPr>
        <w:t>;</w:t>
      </w:r>
    </w:p>
    <w:p w14:paraId="0D793A5C" w14:textId="6EC18161" w:rsidR="00CE62CC" w:rsidRPr="002E3F9B" w:rsidRDefault="007B0E33" w:rsidP="00CA3535">
      <w:pPr>
        <w:pStyle w:val="Para2"/>
        <w:ind w:left="567" w:firstLine="567"/>
        <w:rPr>
          <w:lang w:val="es-ES_tradnl" w:eastAsia="en-GB"/>
        </w:rPr>
      </w:pPr>
      <w:r w:rsidRPr="002E3F9B">
        <w:rPr>
          <w:lang w:val="es-ES_tradnl" w:eastAsia="en-GB"/>
        </w:rPr>
        <w:t>d)</w:t>
      </w:r>
      <w:r w:rsidRPr="002E3F9B">
        <w:rPr>
          <w:lang w:val="es-ES_tradnl" w:eastAsia="en-GB"/>
        </w:rPr>
        <w:tab/>
      </w:r>
      <w:r w:rsidR="00670275" w:rsidRPr="002E3F9B">
        <w:rPr>
          <w:lang w:val="es-ES_tradnl"/>
        </w:rPr>
        <w:t xml:space="preserve">Reformar sus operaciones, incluso mediante la consideración de una ventanilla independiente o una reserva para apoyar la aplicación del Protocolo de Cartagena, recursos </w:t>
      </w:r>
      <w:r w:rsidR="00C54D0C" w:rsidRPr="002E3F9B">
        <w:rPr>
          <w:lang w:val="es-ES_tradnl"/>
        </w:rPr>
        <w:t xml:space="preserve">diferentes </w:t>
      </w:r>
      <w:r w:rsidR="00670275" w:rsidRPr="002E3F9B">
        <w:rPr>
          <w:lang w:val="es-ES_tradnl"/>
        </w:rPr>
        <w:t xml:space="preserve">para la seguridad de la biotecnología y proyectos mundiales y regionales, de manera que pueda cumplir eficazmente sus responsabilidades en el funcionamiento del mecanismo financiero del Protocolo, e informar sobre estas cuestiones a la Conferencia de las Partes en el Convenio en su </w:t>
      </w:r>
      <w:r w:rsidR="00C54D0C" w:rsidRPr="002E3F9B">
        <w:rPr>
          <w:lang w:val="es-ES_tradnl"/>
        </w:rPr>
        <w:t xml:space="preserve">17ª </w:t>
      </w:r>
      <w:r w:rsidR="00670275" w:rsidRPr="002E3F9B">
        <w:rPr>
          <w:lang w:val="es-ES_tradnl"/>
        </w:rPr>
        <w:t>reunión;</w:t>
      </w:r>
    </w:p>
    <w:p w14:paraId="7EC09C3B" w14:textId="786426B3" w:rsidR="00CE62CC" w:rsidRPr="002E3F9B" w:rsidRDefault="007B0E33" w:rsidP="00CA3535">
      <w:pPr>
        <w:pStyle w:val="Para1"/>
        <w:ind w:firstLine="567"/>
        <w:rPr>
          <w:lang w:val="es-ES_tradnl" w:eastAsia="en-GB"/>
        </w:rPr>
      </w:pPr>
      <w:r w:rsidRPr="002E3F9B">
        <w:rPr>
          <w:lang w:val="es-ES_tradnl" w:eastAsia="en-GB"/>
        </w:rPr>
        <w:t>2.</w:t>
      </w:r>
      <w:r w:rsidRPr="002E3F9B">
        <w:rPr>
          <w:lang w:val="es-ES_tradnl" w:eastAsia="en-GB"/>
        </w:rPr>
        <w:tab/>
      </w:r>
      <w:r w:rsidR="00670275" w:rsidRPr="002E3F9B">
        <w:rPr>
          <w:i/>
          <w:iCs/>
          <w:lang w:val="es-ES_tradnl"/>
        </w:rPr>
        <w:t>Recomienda también</w:t>
      </w:r>
      <w:r w:rsidR="00670275" w:rsidRPr="002E3F9B">
        <w:rPr>
          <w:lang w:val="es-ES_tradnl"/>
        </w:rPr>
        <w:t xml:space="preserve"> que la Conferencia de las Partes en el Convenio incluya los elementos enumerados en los apartados b) y c) del párrafo 1 </w:t>
      </w:r>
      <w:r w:rsidR="00670275" w:rsidRPr="002E3F9B">
        <w:rPr>
          <w:i/>
          <w:iCs/>
          <w:lang w:val="es-ES_tradnl"/>
        </w:rPr>
        <w:t xml:space="preserve">supra </w:t>
      </w:r>
      <w:r w:rsidR="00670275" w:rsidRPr="002E3F9B">
        <w:rPr>
          <w:lang w:val="es-ES_tradnl"/>
        </w:rPr>
        <w:t>en el marco cuatrienal orientado a los resultados de las prioridades de los programas de biodiversidad para el noveno período de reposición del Fondo Fiduciario del Fondo para el Medio Ambiente Mundial (2026-2030)</w:t>
      </w:r>
      <w:r w:rsidR="00CE62CC" w:rsidRPr="002E3F9B">
        <w:rPr>
          <w:rStyle w:val="FootnoteReference"/>
          <w:lang w:val="es-ES_tradnl"/>
        </w:rPr>
        <w:footnoteReference w:id="15"/>
      </w:r>
      <w:r w:rsidR="00670275" w:rsidRPr="002E3F9B">
        <w:rPr>
          <w:lang w:val="es-ES_tradnl"/>
        </w:rPr>
        <w:t>;</w:t>
      </w:r>
    </w:p>
    <w:p w14:paraId="3E368835" w14:textId="7894BE8D" w:rsidR="00CE62CC" w:rsidRPr="002E3F9B" w:rsidRDefault="007B0E33" w:rsidP="00CA3535">
      <w:pPr>
        <w:pStyle w:val="Para1"/>
        <w:keepNext/>
        <w:ind w:firstLine="567"/>
        <w:rPr>
          <w:lang w:val="es-ES_tradnl" w:eastAsia="en-GB"/>
        </w:rPr>
      </w:pPr>
      <w:r w:rsidRPr="002E3F9B">
        <w:rPr>
          <w:rFonts w:asciiTheme="majorBidi" w:hAnsiTheme="majorBidi" w:cstheme="majorBidi"/>
          <w:lang w:val="es-ES_tradnl"/>
        </w:rPr>
        <w:t>3.</w:t>
      </w:r>
      <w:r w:rsidRPr="002E3F9B">
        <w:rPr>
          <w:rFonts w:asciiTheme="majorBidi" w:hAnsiTheme="majorBidi" w:cstheme="majorBidi"/>
          <w:lang w:val="es-ES_tradnl"/>
        </w:rPr>
        <w:tab/>
      </w:r>
      <w:r w:rsidR="00670275" w:rsidRPr="002E3F9B">
        <w:rPr>
          <w:i/>
          <w:lang w:val="es-ES_tradnl"/>
        </w:rPr>
        <w:t>Invita</w:t>
      </w:r>
      <w:r w:rsidR="00670275" w:rsidRPr="002E3F9B">
        <w:rPr>
          <w:lang w:val="es-ES_tradnl"/>
        </w:rPr>
        <w:t xml:space="preserve"> a las </w:t>
      </w:r>
      <w:r w:rsidR="00C54D0C" w:rsidRPr="002E3F9B">
        <w:rPr>
          <w:lang w:val="es-ES_tradnl"/>
        </w:rPr>
        <w:t>Partes que reúnan las condiciones</w:t>
      </w:r>
      <w:r w:rsidR="00CE62CC" w:rsidRPr="002E3F9B">
        <w:rPr>
          <w:lang w:val="es-ES_tradnl" w:eastAsia="en-GB"/>
        </w:rPr>
        <w:t>:</w:t>
      </w:r>
    </w:p>
    <w:p w14:paraId="61598119" w14:textId="3D912608" w:rsidR="00AC3F44" w:rsidRPr="002E3F9B" w:rsidRDefault="007B0E33" w:rsidP="00AC3F44">
      <w:pPr>
        <w:pStyle w:val="Para2"/>
        <w:ind w:left="567" w:firstLine="567"/>
        <w:rPr>
          <w:lang w:val="es-ES_tradnl" w:eastAsia="en-GB"/>
        </w:rPr>
      </w:pPr>
      <w:r w:rsidRPr="002E3F9B">
        <w:rPr>
          <w:lang w:val="es-ES_tradnl"/>
        </w:rPr>
        <w:t>a)</w:t>
      </w:r>
      <w:r w:rsidRPr="002E3F9B">
        <w:rPr>
          <w:lang w:val="es-ES_tradnl"/>
        </w:rPr>
        <w:tab/>
      </w:r>
      <w:r w:rsidR="00AC3F44" w:rsidRPr="002E3F9B">
        <w:rPr>
          <w:lang w:val="es-ES_tradnl"/>
        </w:rPr>
        <w:t xml:space="preserve">A presentar propuestas de proyectos al Fondo para el Medio Ambiente Mundial en apoyo de la aplicación de la Meta 17 del </w:t>
      </w:r>
      <w:r w:rsidR="00DF2008" w:rsidRPr="002E3F9B">
        <w:rPr>
          <w:lang w:val="es-ES_tradnl"/>
        </w:rPr>
        <w:t>Marco Mundial de Biodiversidad de Kunming-Montreal</w:t>
      </w:r>
      <w:r w:rsidR="00AC3F44" w:rsidRPr="002E3F9B">
        <w:rPr>
          <w:rStyle w:val="FootnoteReference"/>
          <w:lang w:val="es-ES_tradnl"/>
        </w:rPr>
        <w:footnoteReference w:id="16"/>
      </w:r>
      <w:r w:rsidR="00AC3F44" w:rsidRPr="002E3F9B">
        <w:rPr>
          <w:lang w:val="es-ES_tradnl"/>
        </w:rPr>
        <w:t xml:space="preserve"> y del plan de aplicación y el plan de acción de creación de capacidad</w:t>
      </w:r>
      <w:r w:rsidR="00024836" w:rsidRPr="002E3F9B">
        <w:rPr>
          <w:lang w:val="es-ES_tradnl"/>
        </w:rPr>
        <w:t>es</w:t>
      </w:r>
      <w:r w:rsidR="00AC3F44" w:rsidRPr="002E3F9B">
        <w:rPr>
          <w:lang w:val="es-ES_tradnl"/>
        </w:rPr>
        <w:t xml:space="preserve"> para el Protocolo de Cartagena, utilizar de forma proactiva las asignaciones teóricas para apoyar la aplicación del Protocolo en las </w:t>
      </w:r>
      <w:r w:rsidR="00C44929" w:rsidRPr="002E3F9B">
        <w:rPr>
          <w:lang w:val="es-ES_tradnl"/>
        </w:rPr>
        <w:t xml:space="preserve">directrices de programación </w:t>
      </w:r>
      <w:r w:rsidR="00AC3F44" w:rsidRPr="002E3F9B">
        <w:rPr>
          <w:lang w:val="es-ES_tradnl"/>
        </w:rPr>
        <w:t xml:space="preserve">de la octava reposición del Fondo para el Medio Ambiente Mundial y las </w:t>
      </w:r>
      <w:r w:rsidR="00390DD2" w:rsidRPr="002E3F9B">
        <w:rPr>
          <w:lang w:val="es-ES_tradnl"/>
        </w:rPr>
        <w:t xml:space="preserve">directrices </w:t>
      </w:r>
      <w:r w:rsidR="00AC3F44" w:rsidRPr="002E3F9B">
        <w:rPr>
          <w:lang w:val="es-ES_tradnl"/>
        </w:rPr>
        <w:t xml:space="preserve">de programación del Fondo para el Marco Mundial para la Diversidad Biológica, y tomar nota de la información pertinente en el informe del Consejo del Fondo para el Medio Ambiente Mundial para la </w:t>
      </w:r>
      <w:r w:rsidR="00611804" w:rsidRPr="002E3F9B">
        <w:rPr>
          <w:lang w:val="es-ES_tradnl"/>
        </w:rPr>
        <w:t>16ª</w:t>
      </w:r>
      <w:r w:rsidR="00AC3F44" w:rsidRPr="002E3F9B">
        <w:rPr>
          <w:lang w:val="es-ES_tradnl"/>
        </w:rPr>
        <w:t xml:space="preserve"> reunión de la Conferencia de las Partes en el Convenio al presentar dichas propuestas;</w:t>
      </w:r>
    </w:p>
    <w:p w14:paraId="0CDFA12E" w14:textId="569ED77B" w:rsidR="00AC3F44" w:rsidRPr="002E3F9B" w:rsidRDefault="007B0E33" w:rsidP="00AC3F44">
      <w:pPr>
        <w:pStyle w:val="Para2"/>
        <w:ind w:left="567" w:firstLine="567"/>
        <w:rPr>
          <w:lang w:val="es-ES_tradnl" w:eastAsia="en-GB"/>
        </w:rPr>
      </w:pPr>
      <w:r w:rsidRPr="002E3F9B">
        <w:rPr>
          <w:lang w:val="es-ES_tradnl" w:eastAsia="en-GB"/>
        </w:rPr>
        <w:t>b)</w:t>
      </w:r>
      <w:r w:rsidRPr="002E3F9B">
        <w:rPr>
          <w:lang w:val="es-ES_tradnl" w:eastAsia="en-GB"/>
        </w:rPr>
        <w:tab/>
      </w:r>
      <w:r w:rsidR="00AC3F44" w:rsidRPr="002E3F9B">
        <w:rPr>
          <w:lang w:val="es-ES_tradnl"/>
        </w:rPr>
        <w:t>Cooperar en los planos regional y subregional, según proceda, para preparar solicitudes de apoyo del Fondo para el Medio Ambiente Mundial para proyectos conjuntos, a fin de maximizar las sinergias y las oportunidades de compartir de manera rentable recursos, información, experiencias y conocimientos especializados;</w:t>
      </w:r>
    </w:p>
    <w:p w14:paraId="109D4228" w14:textId="526455BA" w:rsidR="00CE62CC" w:rsidRPr="002E3F9B" w:rsidRDefault="007B0E33" w:rsidP="00CA3535">
      <w:pPr>
        <w:pStyle w:val="Para1"/>
        <w:ind w:firstLine="567"/>
        <w:rPr>
          <w:lang w:val="es-ES_tradnl" w:eastAsia="en-GB"/>
        </w:rPr>
      </w:pPr>
      <w:r w:rsidRPr="002E3F9B">
        <w:rPr>
          <w:rFonts w:asciiTheme="majorBidi" w:hAnsiTheme="majorBidi" w:cstheme="majorBidi"/>
          <w:lang w:val="es-ES_tradnl"/>
        </w:rPr>
        <w:t>4.</w:t>
      </w:r>
      <w:r w:rsidRPr="002E3F9B">
        <w:rPr>
          <w:rFonts w:asciiTheme="majorBidi" w:hAnsiTheme="majorBidi" w:cstheme="majorBidi"/>
          <w:lang w:val="es-ES_tradnl"/>
        </w:rPr>
        <w:tab/>
      </w:r>
      <w:r w:rsidR="00AC3F44" w:rsidRPr="002E3F9B">
        <w:rPr>
          <w:i/>
          <w:iCs/>
          <w:lang w:val="es-ES_tradnl"/>
        </w:rPr>
        <w:t>Alienta</w:t>
      </w:r>
      <w:r w:rsidR="00AC3F44" w:rsidRPr="002E3F9B">
        <w:rPr>
          <w:lang w:val="es-ES_tradnl"/>
        </w:rPr>
        <w:t xml:space="preserve"> a las Partes a que incluyan las necesidades y disposiciones para aplicar la Meta 17 del Marco y el plan de aplicación y el plan de acción de creación de capacidad</w:t>
      </w:r>
      <w:r w:rsidR="00024836" w:rsidRPr="002E3F9B">
        <w:rPr>
          <w:lang w:val="es-ES_tradnl"/>
        </w:rPr>
        <w:t>es</w:t>
      </w:r>
      <w:r w:rsidR="00AC3F44" w:rsidRPr="002E3F9B">
        <w:rPr>
          <w:lang w:val="es-ES_tradnl"/>
        </w:rPr>
        <w:t xml:space="preserve"> para el Protocolo </w:t>
      </w:r>
      <w:r w:rsidR="00AC3F44" w:rsidRPr="002E3F9B">
        <w:rPr>
          <w:lang w:val="es-ES_tradnl"/>
        </w:rPr>
        <w:lastRenderedPageBreak/>
        <w:t>de Cartagena en sus planes nacionales de financiación de la biodiversidad y en su aplicación nacional de la estrategia de movilización de recursos para el Marco</w:t>
      </w:r>
      <w:r w:rsidR="005A2E62" w:rsidRPr="002E3F9B">
        <w:rPr>
          <w:rStyle w:val="FootnoteReference"/>
          <w:rFonts w:asciiTheme="majorBidi" w:hAnsiTheme="majorBidi" w:cstheme="majorBidi"/>
          <w:lang w:val="es-ES_tradnl"/>
        </w:rPr>
        <w:footnoteReference w:id="17"/>
      </w:r>
      <w:r w:rsidR="00AC3F44" w:rsidRPr="002E3F9B">
        <w:rPr>
          <w:lang w:val="es-ES_tradnl"/>
        </w:rPr>
        <w:t>;</w:t>
      </w:r>
    </w:p>
    <w:p w14:paraId="4E5B9030" w14:textId="6255BF67" w:rsidR="002B559C" w:rsidRPr="002E3F9B" w:rsidRDefault="007B0E33" w:rsidP="00CA3535">
      <w:pPr>
        <w:pStyle w:val="Para1"/>
        <w:ind w:firstLine="567"/>
        <w:rPr>
          <w:lang w:val="es-ES_tradnl"/>
        </w:rPr>
      </w:pPr>
      <w:r w:rsidRPr="002E3F9B">
        <w:rPr>
          <w:lang w:val="es-ES_tradnl"/>
        </w:rPr>
        <w:t>5.</w:t>
      </w:r>
      <w:r w:rsidRPr="002E3F9B">
        <w:rPr>
          <w:lang w:val="es-ES_tradnl"/>
        </w:rPr>
        <w:tab/>
      </w:r>
      <w:r w:rsidR="00AC3F44" w:rsidRPr="002E3F9B">
        <w:rPr>
          <w:i/>
          <w:iCs/>
          <w:lang w:val="es-ES_tradnl"/>
        </w:rPr>
        <w:t>Pide</w:t>
      </w:r>
      <w:r w:rsidR="00AC3F44" w:rsidRPr="002E3F9B">
        <w:rPr>
          <w:lang w:val="es-ES_tradnl"/>
        </w:rPr>
        <w:t xml:space="preserve"> a la Secretaria Ejecutiva que siga desarrollando y comunicando información sobre las fuentes de financiación de la seguridad de la biotecnología para apoyar a las Partes.</w:t>
      </w:r>
    </w:p>
    <w:p w14:paraId="0EB6B75E" w14:textId="1B2F3456" w:rsidR="003E5C7A" w:rsidRPr="002E3F9B" w:rsidRDefault="006537AB" w:rsidP="00CA3535">
      <w:pPr>
        <w:pStyle w:val="Para1"/>
        <w:jc w:val="center"/>
        <w:rPr>
          <w:lang w:val="es-ES_tradnl"/>
        </w:rPr>
      </w:pPr>
      <w:r w:rsidRPr="002E3F9B">
        <w:rPr>
          <w:color w:val="000000" w:themeColor="text1"/>
          <w:lang w:val="es-ES_tradnl"/>
        </w:rPr>
        <w:t>_________</w:t>
      </w:r>
    </w:p>
    <w:p w14:paraId="7B308270" w14:textId="77777777" w:rsidR="00AC3F44" w:rsidRPr="002E3F9B" w:rsidRDefault="00AC3F44">
      <w:pPr>
        <w:pStyle w:val="Para1"/>
        <w:jc w:val="center"/>
        <w:rPr>
          <w:lang w:val="es-ES_tradnl"/>
        </w:rPr>
      </w:pPr>
    </w:p>
    <w:sectPr w:rsidR="00AC3F44" w:rsidRPr="002E3F9B" w:rsidSect="003E5C7A">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207EB8" w14:textId="77777777" w:rsidR="008B6F49" w:rsidRPr="00A43334" w:rsidRDefault="008B6F49" w:rsidP="00A96B21">
      <w:r w:rsidRPr="00A43334">
        <w:separator/>
      </w:r>
    </w:p>
  </w:endnote>
  <w:endnote w:type="continuationSeparator" w:id="0">
    <w:p w14:paraId="3E607085" w14:textId="77777777" w:rsidR="008B6F49" w:rsidRPr="00A43334" w:rsidRDefault="008B6F49" w:rsidP="00A96B21">
      <w:r w:rsidRPr="00A43334">
        <w:continuationSeparator/>
      </w:r>
    </w:p>
  </w:endnote>
  <w:endnote w:type="continuationNotice" w:id="1">
    <w:p w14:paraId="103306C9" w14:textId="77777777" w:rsidR="008B6F49" w:rsidRDefault="008B6F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063824"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r w:rsidR="00D134AF">
      <w:fldChar w:fldCharType="begin"/>
    </w:r>
    <w:r w:rsidR="00D134AF">
      <w:instrText xml:space="preserve"> NUMPAGES \* MERGEFORMAT </w:instrText>
    </w:r>
    <w:r w:rsidR="00D134AF">
      <w:fldChar w:fldCharType="separate"/>
    </w:r>
    <w:r>
      <w:rPr>
        <w:noProof/>
      </w:rPr>
      <w:t>2</w:t>
    </w:r>
    <w:r w:rsidR="00D134AF">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3685734"/>
      <w:docPartObj>
        <w:docPartGallery w:val="Page Numbers (Bottom of Page)"/>
        <w:docPartUnique/>
      </w:docPartObj>
    </w:sdtPr>
    <w:sdtEndPr>
      <w:rPr>
        <w:noProof/>
      </w:rPr>
    </w:sdtEndPr>
    <w:sdtContent>
      <w:p w14:paraId="460DD4C0" w14:textId="0BFDA8B7" w:rsidR="002B559C" w:rsidRPr="009A5C30" w:rsidRDefault="00D134AF" w:rsidP="00D134AF">
        <w:pPr>
          <w:pStyle w:val="Footer"/>
          <w:jc w:val="right"/>
        </w:pPr>
        <w:r>
          <w:fldChar w:fldCharType="begin"/>
        </w:r>
        <w:r>
          <w:instrText xml:space="preserve"> PAGE   \* MERGEFORMAT </w:instrText>
        </w:r>
        <w:r>
          <w:fldChar w:fldCharType="separate"/>
        </w:r>
        <w:r>
          <w:rPr>
            <w:noProof/>
          </w:rPr>
          <w:t>2</w:t>
        </w:r>
        <w:r>
          <w:rPr>
            <w:noProof/>
          </w:rPr>
          <w:fldChar w:fldCharType="end"/>
        </w:r>
        <w:r>
          <w:rPr>
            <w:rFonts w:eastAsia="Yu Mincho" w:hint="eastAsia"/>
            <w:noProof/>
            <w:lang w:eastAsia="ja-JP"/>
          </w:rPr>
          <w:t>/7</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0F1074" w14:textId="77777777" w:rsidR="008B6F49" w:rsidRPr="00A43334" w:rsidRDefault="008B6F49" w:rsidP="00A96B21">
      <w:r w:rsidRPr="00A43334">
        <w:separator/>
      </w:r>
    </w:p>
  </w:footnote>
  <w:footnote w:type="continuationSeparator" w:id="0">
    <w:p w14:paraId="2940EB28" w14:textId="77777777" w:rsidR="008B6F49" w:rsidRPr="00A43334" w:rsidRDefault="008B6F49" w:rsidP="00A96B21">
      <w:r w:rsidRPr="00A43334">
        <w:continuationSeparator/>
      </w:r>
    </w:p>
  </w:footnote>
  <w:footnote w:type="continuationNotice" w:id="1">
    <w:p w14:paraId="62F10F64" w14:textId="77777777" w:rsidR="008B6F49" w:rsidRDefault="008B6F49"/>
  </w:footnote>
  <w:footnote w:id="2">
    <w:p w14:paraId="05B2E472" w14:textId="77777777" w:rsidR="00A43334" w:rsidRPr="00127D5D" w:rsidRDefault="00A43334">
      <w:pPr>
        <w:pStyle w:val="FootnoteText"/>
        <w:rPr>
          <w:lang w:val="es-ES"/>
        </w:rPr>
      </w:pPr>
      <w:r w:rsidRPr="00127D5D">
        <w:rPr>
          <w:rStyle w:val="FootnoteReference"/>
          <w:lang w:val="es-ES"/>
        </w:rPr>
        <w:t>*</w:t>
      </w:r>
      <w:r w:rsidRPr="00127D5D">
        <w:rPr>
          <w:lang w:val="es-ES"/>
        </w:rPr>
        <w:t xml:space="preserve"> CBD/CP/MOP/11/1.</w:t>
      </w:r>
    </w:p>
  </w:footnote>
  <w:footnote w:id="3">
    <w:p w14:paraId="0DF6F250" w14:textId="6080CE6F" w:rsidR="00772EFD" w:rsidRPr="00CD538D" w:rsidRDefault="00772EFD">
      <w:pPr>
        <w:pStyle w:val="FootnoteText"/>
        <w:rPr>
          <w:lang w:val="es-ES"/>
        </w:rPr>
      </w:pPr>
      <w:r w:rsidRPr="00CD538D">
        <w:rPr>
          <w:rStyle w:val="FootnoteReference"/>
          <w:lang w:val="es-ES"/>
        </w:rPr>
        <w:t>**</w:t>
      </w:r>
      <w:r w:rsidRPr="00CD538D">
        <w:rPr>
          <w:lang w:val="es-ES"/>
        </w:rPr>
        <w:t xml:space="preserve"> </w:t>
      </w:r>
      <w:r w:rsidR="00CD538D" w:rsidRPr="00CD538D">
        <w:rPr>
          <w:lang w:val="es-ES"/>
        </w:rPr>
        <w:t>El presente documento se publica sin haber sido objeto de edición oficial en inglés.</w:t>
      </w:r>
    </w:p>
  </w:footnote>
  <w:footnote w:id="4">
    <w:p w14:paraId="1F1826BD" w14:textId="248C61EE" w:rsidR="00A11BEA" w:rsidRPr="00CD538D" w:rsidRDefault="00A11BEA" w:rsidP="00A11BEA">
      <w:pPr>
        <w:pStyle w:val="FootnoteText"/>
        <w:rPr>
          <w:lang w:val="es-ES"/>
        </w:rPr>
      </w:pPr>
      <w:r w:rsidRPr="005648F4">
        <w:rPr>
          <w:rStyle w:val="FootnoteReference"/>
        </w:rPr>
        <w:footnoteRef/>
      </w:r>
      <w:r w:rsidRPr="00CD538D">
        <w:rPr>
          <w:lang w:val="es-ES"/>
        </w:rPr>
        <w:t xml:space="preserve"> </w:t>
      </w:r>
      <w:r w:rsidR="00CD538D" w:rsidRPr="00CD538D">
        <w:rPr>
          <w:lang w:val="es-ES"/>
        </w:rPr>
        <w:t xml:space="preserve">Véase el documento </w:t>
      </w:r>
      <w:r w:rsidRPr="00CD538D">
        <w:rPr>
          <w:lang w:val="es-ES"/>
        </w:rPr>
        <w:t>CBD/CP/MOP/10/5.</w:t>
      </w:r>
    </w:p>
  </w:footnote>
  <w:footnote w:id="5">
    <w:p w14:paraId="2EECA509" w14:textId="77777777" w:rsidR="00570880" w:rsidRPr="00D134AF" w:rsidRDefault="00570880" w:rsidP="00570880">
      <w:pPr>
        <w:pStyle w:val="FootnoteText"/>
        <w:rPr>
          <w:lang w:val="es-ES"/>
        </w:rPr>
      </w:pPr>
      <w:r w:rsidRPr="005648F4">
        <w:rPr>
          <w:rStyle w:val="FootnoteReference"/>
        </w:rPr>
        <w:footnoteRef/>
      </w:r>
      <w:r w:rsidRPr="00D134AF">
        <w:rPr>
          <w:lang w:val="es-ES"/>
        </w:rPr>
        <w:t xml:space="preserve"> </w:t>
      </w:r>
      <w:hyperlink r:id="rId1" w:anchor="resources" w:history="1">
        <w:r w:rsidRPr="00D134AF">
          <w:rPr>
            <w:rStyle w:val="Hyperlink"/>
            <w:lang w:val="es-ES"/>
          </w:rPr>
          <w:t>https://bch.cbd.int/protocol/cpb_art28_info.shtml#resources</w:t>
        </w:r>
      </w:hyperlink>
      <w:r w:rsidRPr="00D134AF">
        <w:rPr>
          <w:lang w:val="es-ES"/>
        </w:rPr>
        <w:t xml:space="preserve">. </w:t>
      </w:r>
    </w:p>
  </w:footnote>
  <w:footnote w:id="6">
    <w:p w14:paraId="0FFD6DF0" w14:textId="40C18FB0" w:rsidR="00570880" w:rsidRPr="00CD538D" w:rsidRDefault="00570880" w:rsidP="00570880">
      <w:pPr>
        <w:pStyle w:val="FootnoteText"/>
        <w:rPr>
          <w:lang w:val="es-ES"/>
        </w:rPr>
      </w:pPr>
      <w:r w:rsidRPr="005648F4">
        <w:rPr>
          <w:rStyle w:val="FootnoteReference"/>
        </w:rPr>
        <w:footnoteRef/>
      </w:r>
      <w:r w:rsidRPr="00CD538D">
        <w:rPr>
          <w:lang w:val="es-ES"/>
        </w:rPr>
        <w:t xml:space="preserve"> </w:t>
      </w:r>
      <w:r w:rsidR="00CD538D" w:rsidRPr="00CD538D">
        <w:rPr>
          <w:lang w:val="es-ES"/>
        </w:rPr>
        <w:t>Bangladesh, Camerún, Etiopía, Filipinas, India, Kirguistán, Madagascar, Mongolia, Namibia, República Democrática del Congo y República de Moldova</w:t>
      </w:r>
      <w:r w:rsidRPr="00CD538D">
        <w:rPr>
          <w:lang w:val="es-ES"/>
        </w:rPr>
        <w:t>.</w:t>
      </w:r>
    </w:p>
  </w:footnote>
  <w:footnote w:id="7">
    <w:p w14:paraId="7A0C2B40" w14:textId="2EA3AAA0" w:rsidR="00570880" w:rsidRPr="00CD538D" w:rsidRDefault="00570880" w:rsidP="00570880">
      <w:pPr>
        <w:pStyle w:val="FootnoteText"/>
        <w:rPr>
          <w:lang w:val="es-ES"/>
        </w:rPr>
      </w:pPr>
      <w:r w:rsidRPr="005648F4">
        <w:rPr>
          <w:rStyle w:val="FootnoteReference"/>
        </w:rPr>
        <w:footnoteRef/>
      </w:r>
      <w:r w:rsidRPr="00CD538D">
        <w:rPr>
          <w:lang w:val="es-ES"/>
        </w:rPr>
        <w:t xml:space="preserve"> </w:t>
      </w:r>
      <w:r w:rsidR="00CD538D" w:rsidRPr="00CD538D">
        <w:rPr>
          <w:lang w:val="es-ES"/>
        </w:rPr>
        <w:t>E</w:t>
      </w:r>
      <w:r w:rsidRPr="00CD538D">
        <w:rPr>
          <w:lang w:val="es-ES"/>
        </w:rPr>
        <w:t xml:space="preserve">n Cuba, Guatemala </w:t>
      </w:r>
      <w:r w:rsidR="00CD538D" w:rsidRPr="00CD538D">
        <w:rPr>
          <w:lang w:val="es-ES"/>
        </w:rPr>
        <w:t>y Malasia</w:t>
      </w:r>
      <w:r w:rsidRPr="00CD538D">
        <w:rPr>
          <w:lang w:val="es-ES"/>
        </w:rPr>
        <w:t>.</w:t>
      </w:r>
    </w:p>
  </w:footnote>
  <w:footnote w:id="8">
    <w:p w14:paraId="527B4682" w14:textId="31919187" w:rsidR="00570880" w:rsidRPr="005648F4" w:rsidRDefault="00570880" w:rsidP="00570880">
      <w:pPr>
        <w:pStyle w:val="FootnoteText"/>
      </w:pPr>
      <w:r w:rsidRPr="005648F4">
        <w:rPr>
          <w:rStyle w:val="FootnoteReference"/>
        </w:rPr>
        <w:footnoteRef/>
      </w:r>
      <w:r w:rsidRPr="005648F4">
        <w:t xml:space="preserve"> </w:t>
      </w:r>
      <w:r w:rsidR="00044DE8">
        <w:t>FMAM</w:t>
      </w:r>
      <w:r w:rsidRPr="005648F4">
        <w:t xml:space="preserve">, 2023, </w:t>
      </w:r>
      <w:hyperlink r:id="rId2" w:history="1">
        <w:r w:rsidRPr="005648F4">
          <w:rPr>
            <w:rStyle w:val="Hyperlink"/>
            <w:i/>
            <w:iCs/>
          </w:rPr>
          <w:t xml:space="preserve">Establishment of a New </w:t>
        </w:r>
        <w:r w:rsidRPr="00CA3535">
          <w:rPr>
            <w:rStyle w:val="Hyperlink"/>
            <w:i/>
            <w:iCs/>
          </w:rPr>
          <w:t xml:space="preserve">Trust Fund: </w:t>
        </w:r>
        <w:r>
          <w:rPr>
            <w:rStyle w:val="Hyperlink"/>
            <w:i/>
            <w:iCs/>
          </w:rPr>
          <w:t>t</w:t>
        </w:r>
        <w:r w:rsidRPr="005648F4">
          <w:rPr>
            <w:rStyle w:val="Hyperlink"/>
            <w:i/>
            <w:iCs/>
          </w:rPr>
          <w:t>he Global Biodiversity Framework Fund</w:t>
        </w:r>
      </w:hyperlink>
      <w:r w:rsidRPr="005648F4">
        <w:t xml:space="preserve">, </w:t>
      </w:r>
      <w:proofErr w:type="spellStart"/>
      <w:r w:rsidR="00044DE8">
        <w:t>Documento</w:t>
      </w:r>
      <w:proofErr w:type="spellEnd"/>
      <w:r w:rsidR="00044DE8">
        <w:t xml:space="preserve"> del Consejo</w:t>
      </w:r>
      <w:r w:rsidRPr="005648F4">
        <w:t xml:space="preserve"> </w:t>
      </w:r>
      <w:r w:rsidRPr="00CA3535">
        <w:t>GEF</w:t>
      </w:r>
      <w:r w:rsidRPr="005648F4">
        <w:t>/C.64/05/Rev.01.</w:t>
      </w:r>
    </w:p>
  </w:footnote>
  <w:footnote w:id="9">
    <w:p w14:paraId="495FFE3D" w14:textId="4B16F6C8" w:rsidR="006A57D8" w:rsidRPr="00044DE8" w:rsidRDefault="006A57D8" w:rsidP="006A57D8">
      <w:pPr>
        <w:pStyle w:val="FootnoteText"/>
        <w:rPr>
          <w:lang w:val="es-ES"/>
        </w:rPr>
      </w:pPr>
      <w:r>
        <w:rPr>
          <w:rStyle w:val="FootnoteReference"/>
        </w:rPr>
        <w:footnoteRef/>
      </w:r>
      <w:r w:rsidRPr="00044DE8">
        <w:rPr>
          <w:lang w:val="es-ES"/>
        </w:rPr>
        <w:t xml:space="preserve"> </w:t>
      </w:r>
      <w:r w:rsidR="00044DE8" w:rsidRPr="00044DE8">
        <w:rPr>
          <w:i/>
          <w:iCs/>
          <w:lang w:val="es-ES"/>
        </w:rPr>
        <w:t>Serie de los Tratados</w:t>
      </w:r>
      <w:r w:rsidR="00044DE8" w:rsidRPr="00044DE8">
        <w:rPr>
          <w:lang w:val="es-ES"/>
        </w:rPr>
        <w:t xml:space="preserve"> de las Naciones Unidas, </w:t>
      </w:r>
      <w:r w:rsidRPr="00044DE8">
        <w:rPr>
          <w:lang w:val="es-ES"/>
        </w:rPr>
        <w:t xml:space="preserve">vol. 1760, </w:t>
      </w:r>
      <w:r w:rsidR="00044DE8" w:rsidRPr="00044DE8">
        <w:rPr>
          <w:lang w:val="es-ES"/>
        </w:rPr>
        <w:t>n.º</w:t>
      </w:r>
      <w:r w:rsidRPr="00044DE8">
        <w:rPr>
          <w:lang w:val="es-ES"/>
        </w:rPr>
        <w:t xml:space="preserve"> 30619.</w:t>
      </w:r>
    </w:p>
  </w:footnote>
  <w:footnote w:id="10">
    <w:p w14:paraId="02A93398" w14:textId="77777777" w:rsidR="006A57D8" w:rsidRPr="00D134AF" w:rsidRDefault="006A57D8" w:rsidP="006A57D8">
      <w:pPr>
        <w:pStyle w:val="FootnoteText"/>
        <w:rPr>
          <w:lang w:val="es-ES"/>
        </w:rPr>
      </w:pPr>
      <w:r>
        <w:rPr>
          <w:rStyle w:val="FootnoteReference"/>
        </w:rPr>
        <w:footnoteRef/>
      </w:r>
      <w:r w:rsidRPr="00D134AF">
        <w:rPr>
          <w:lang w:val="es-ES"/>
        </w:rPr>
        <w:t xml:space="preserve"> CBD/COP/16/8.</w:t>
      </w:r>
    </w:p>
  </w:footnote>
  <w:footnote w:id="11">
    <w:p w14:paraId="0D92417D" w14:textId="77777777" w:rsidR="006A57D8" w:rsidRPr="00D134AF" w:rsidRDefault="006A57D8" w:rsidP="006A57D8">
      <w:pPr>
        <w:pStyle w:val="FootnoteText"/>
        <w:rPr>
          <w:lang w:val="es-ES"/>
        </w:rPr>
      </w:pPr>
      <w:r>
        <w:rPr>
          <w:rStyle w:val="FootnoteReference"/>
        </w:rPr>
        <w:footnoteRef/>
      </w:r>
      <w:r w:rsidRPr="00D134AF">
        <w:rPr>
          <w:lang w:val="es-ES"/>
        </w:rPr>
        <w:t xml:space="preserve"> CBD/COP/16/7.</w:t>
      </w:r>
    </w:p>
  </w:footnote>
  <w:footnote w:id="12">
    <w:p w14:paraId="7210CD68" w14:textId="1F07861F" w:rsidR="00BA1CA7" w:rsidRPr="00BA1CA7" w:rsidRDefault="00BA1CA7" w:rsidP="00BA1CA7">
      <w:pPr>
        <w:pStyle w:val="FootnoteText"/>
        <w:rPr>
          <w:lang w:val="es-ES"/>
        </w:rPr>
      </w:pPr>
      <w:r>
        <w:rPr>
          <w:rStyle w:val="FootnoteReference"/>
        </w:rPr>
        <w:footnoteRef/>
      </w:r>
      <w:r w:rsidRPr="00BA1CA7">
        <w:rPr>
          <w:lang w:val="es-ES"/>
        </w:rPr>
        <w:t xml:space="preserve"> </w:t>
      </w:r>
      <w:r w:rsidRPr="00044DE8">
        <w:rPr>
          <w:i/>
          <w:iCs/>
          <w:lang w:val="es-ES"/>
        </w:rPr>
        <w:t>Serie de los Tratados</w:t>
      </w:r>
      <w:r w:rsidRPr="00044DE8">
        <w:rPr>
          <w:lang w:val="es-ES"/>
        </w:rPr>
        <w:t xml:space="preserve"> de las Naciones Unidas</w:t>
      </w:r>
      <w:r w:rsidRPr="00BA1CA7">
        <w:rPr>
          <w:lang w:val="es-ES"/>
        </w:rPr>
        <w:t xml:space="preserve">, vol. 2226, </w:t>
      </w:r>
      <w:r w:rsidRPr="00044DE8">
        <w:rPr>
          <w:lang w:val="es-ES"/>
        </w:rPr>
        <w:t>n.º</w:t>
      </w:r>
      <w:r w:rsidRPr="00BA1CA7">
        <w:rPr>
          <w:lang w:val="es-ES"/>
        </w:rPr>
        <w:t xml:space="preserve"> 30619.</w:t>
      </w:r>
    </w:p>
  </w:footnote>
  <w:footnote w:id="13">
    <w:p w14:paraId="0D130FC2" w14:textId="5542ABCC" w:rsidR="00436A2F" w:rsidRPr="00044DE8" w:rsidRDefault="00436A2F" w:rsidP="00436A2F">
      <w:pPr>
        <w:pStyle w:val="FootnoteText"/>
        <w:rPr>
          <w:lang w:val="es-ES"/>
        </w:rPr>
      </w:pPr>
      <w:r>
        <w:rPr>
          <w:rStyle w:val="FootnoteReference"/>
        </w:rPr>
        <w:footnoteRef/>
      </w:r>
      <w:r w:rsidRPr="00044DE8">
        <w:rPr>
          <w:lang w:val="es-ES"/>
        </w:rPr>
        <w:t xml:space="preserve"> </w:t>
      </w:r>
      <w:r w:rsidR="00044DE8" w:rsidRPr="00044DE8">
        <w:rPr>
          <w:lang w:val="es-ES"/>
        </w:rPr>
        <w:t xml:space="preserve">Anexo de la decisión </w:t>
      </w:r>
      <w:r w:rsidRPr="00044DE8">
        <w:rPr>
          <w:lang w:val="es-ES"/>
        </w:rPr>
        <w:t>CP-10/3.</w:t>
      </w:r>
    </w:p>
  </w:footnote>
  <w:footnote w:id="14">
    <w:p w14:paraId="10B036E4" w14:textId="25087EB8" w:rsidR="00436A2F" w:rsidRPr="00044DE8" w:rsidRDefault="00436A2F" w:rsidP="00436A2F">
      <w:pPr>
        <w:pStyle w:val="FootnoteText"/>
        <w:rPr>
          <w:lang w:val="es-ES"/>
        </w:rPr>
      </w:pPr>
      <w:r>
        <w:rPr>
          <w:rStyle w:val="FootnoteReference"/>
        </w:rPr>
        <w:footnoteRef/>
      </w:r>
      <w:r w:rsidRPr="00044DE8">
        <w:rPr>
          <w:lang w:val="es-ES"/>
        </w:rPr>
        <w:t xml:space="preserve"> </w:t>
      </w:r>
      <w:r w:rsidR="00044DE8" w:rsidRPr="00044DE8">
        <w:rPr>
          <w:lang w:val="es-ES"/>
        </w:rPr>
        <w:t xml:space="preserve">Anexo de la decisión </w:t>
      </w:r>
      <w:r w:rsidRPr="00044DE8">
        <w:rPr>
          <w:lang w:val="es-ES"/>
        </w:rPr>
        <w:t>CP-10/4.</w:t>
      </w:r>
    </w:p>
  </w:footnote>
  <w:footnote w:id="15">
    <w:p w14:paraId="1AA77834" w14:textId="5F0D63C3" w:rsidR="00CE62CC" w:rsidRPr="007F3A19" w:rsidRDefault="00CE62CC" w:rsidP="00CE62CC">
      <w:pPr>
        <w:pStyle w:val="FootnoteText"/>
        <w:rPr>
          <w:lang w:val="es-ES"/>
        </w:rPr>
      </w:pPr>
      <w:r w:rsidRPr="005648F4">
        <w:rPr>
          <w:rStyle w:val="FootnoteReference"/>
        </w:rPr>
        <w:footnoteRef/>
      </w:r>
      <w:r w:rsidRPr="007F3A19">
        <w:rPr>
          <w:lang w:val="es-ES"/>
        </w:rPr>
        <w:t xml:space="preserve"> </w:t>
      </w:r>
      <w:r w:rsidR="007F3A19" w:rsidRPr="007F3A19">
        <w:rPr>
          <w:lang w:val="es-ES"/>
        </w:rPr>
        <w:t xml:space="preserve">Los elementos podrían incluirse en el apéndice II del anexo del proyecto de decisión </w:t>
      </w:r>
      <w:r w:rsidR="00611804">
        <w:rPr>
          <w:lang w:val="es-ES"/>
        </w:rPr>
        <w:t xml:space="preserve">que figura </w:t>
      </w:r>
      <w:r w:rsidR="007F3A19" w:rsidRPr="007F3A19">
        <w:rPr>
          <w:lang w:val="es-ES"/>
        </w:rPr>
        <w:t>en la recomendación 4/4 del Órgano Subsidiario s</w:t>
      </w:r>
      <w:r w:rsidR="007F3A19">
        <w:rPr>
          <w:lang w:val="es-ES"/>
        </w:rPr>
        <w:t>obre la Aplica</w:t>
      </w:r>
      <w:r w:rsidR="007F3A19" w:rsidRPr="007F3A19">
        <w:rPr>
          <w:lang w:val="es-ES"/>
        </w:rPr>
        <w:t>ción</w:t>
      </w:r>
      <w:r w:rsidR="007F3A19">
        <w:rPr>
          <w:lang w:val="es-ES"/>
        </w:rPr>
        <w:t>.</w:t>
      </w:r>
    </w:p>
  </w:footnote>
  <w:footnote w:id="16">
    <w:p w14:paraId="4921E744" w14:textId="3AEC8BE4" w:rsidR="00AC3F44" w:rsidRPr="00044DE8" w:rsidRDefault="00AC3F44" w:rsidP="00AC3F44">
      <w:pPr>
        <w:pStyle w:val="FootnoteText"/>
        <w:rPr>
          <w:lang w:val="es-ES"/>
        </w:rPr>
      </w:pPr>
      <w:r>
        <w:rPr>
          <w:rStyle w:val="FootnoteReference"/>
        </w:rPr>
        <w:footnoteRef/>
      </w:r>
      <w:r w:rsidRPr="00044DE8">
        <w:rPr>
          <w:lang w:val="es-ES"/>
        </w:rPr>
        <w:t xml:space="preserve"> </w:t>
      </w:r>
      <w:r w:rsidR="00044DE8" w:rsidRPr="00044DE8">
        <w:rPr>
          <w:lang w:val="es-ES"/>
        </w:rPr>
        <w:t xml:space="preserve">Anexo de la decisión </w:t>
      </w:r>
      <w:r w:rsidRPr="00044DE8">
        <w:rPr>
          <w:lang w:val="es-ES"/>
        </w:rPr>
        <w:t>15/4.</w:t>
      </w:r>
    </w:p>
  </w:footnote>
  <w:footnote w:id="17">
    <w:p w14:paraId="74C8FE17" w14:textId="5344DD68" w:rsidR="005A2E62" w:rsidRPr="00044DE8" w:rsidRDefault="005A2E62">
      <w:pPr>
        <w:pStyle w:val="FootnoteText"/>
        <w:rPr>
          <w:lang w:val="es-ES"/>
        </w:rPr>
      </w:pPr>
      <w:r>
        <w:rPr>
          <w:rStyle w:val="FootnoteReference"/>
        </w:rPr>
        <w:footnoteRef/>
      </w:r>
      <w:r w:rsidRPr="00044DE8">
        <w:rPr>
          <w:lang w:val="es-ES"/>
        </w:rPr>
        <w:t xml:space="preserve"> </w:t>
      </w:r>
      <w:r w:rsidR="00044DE8" w:rsidRPr="00044DE8">
        <w:rPr>
          <w:lang w:val="es-ES"/>
        </w:rPr>
        <w:t>Anexo de la decisión</w:t>
      </w:r>
      <w:r w:rsidRPr="00044DE8">
        <w:rPr>
          <w:lang w:val="es-ES"/>
        </w:rPr>
        <w:t xml:space="preserve"> 15/7.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E572A9" w14:textId="58F8F94D"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D134AF">
      <w:rPr>
        <w:noProof/>
        <w:sz w:val="20"/>
        <w:szCs w:val="20"/>
      </w:rPr>
      <w:t>CBD/CP/MOP/11/6</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2B6C5" w14:textId="7AED464A"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D134AF">
      <w:rPr>
        <w:noProof/>
        <w:sz w:val="20"/>
        <w:szCs w:val="20"/>
      </w:rPr>
      <w:t>CBD/CP/MOP/11/6</w:t>
    </w:r>
    <w:r>
      <w:rP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82679B"/>
    <w:multiLevelType w:val="hybridMultilevel"/>
    <w:tmpl w:val="62360E6E"/>
    <w:lvl w:ilvl="0" w:tplc="E204783E">
      <w:start w:val="2"/>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09D97F3A"/>
    <w:multiLevelType w:val="hybridMultilevel"/>
    <w:tmpl w:val="3F68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253977"/>
    <w:multiLevelType w:val="hybridMultilevel"/>
    <w:tmpl w:val="9F02BEF6"/>
    <w:lvl w:ilvl="0" w:tplc="08090017">
      <w:start w:val="1"/>
      <w:numFmt w:val="lowerLetter"/>
      <w:lvlText w:val="%1)"/>
      <w:lvlJc w:val="left"/>
      <w:pPr>
        <w:ind w:left="2563" w:hanging="360"/>
      </w:pPr>
    </w:lvl>
    <w:lvl w:ilvl="1" w:tplc="08090019" w:tentative="1">
      <w:start w:val="1"/>
      <w:numFmt w:val="lowerLetter"/>
      <w:lvlText w:val="%2."/>
      <w:lvlJc w:val="left"/>
      <w:pPr>
        <w:ind w:left="3283" w:hanging="360"/>
      </w:pPr>
    </w:lvl>
    <w:lvl w:ilvl="2" w:tplc="0809001B" w:tentative="1">
      <w:start w:val="1"/>
      <w:numFmt w:val="lowerRoman"/>
      <w:lvlText w:val="%3."/>
      <w:lvlJc w:val="right"/>
      <w:pPr>
        <w:ind w:left="4003" w:hanging="180"/>
      </w:pPr>
    </w:lvl>
    <w:lvl w:ilvl="3" w:tplc="0809000F" w:tentative="1">
      <w:start w:val="1"/>
      <w:numFmt w:val="decimal"/>
      <w:lvlText w:val="%4."/>
      <w:lvlJc w:val="left"/>
      <w:pPr>
        <w:ind w:left="4723" w:hanging="360"/>
      </w:pPr>
    </w:lvl>
    <w:lvl w:ilvl="4" w:tplc="08090019" w:tentative="1">
      <w:start w:val="1"/>
      <w:numFmt w:val="lowerLetter"/>
      <w:lvlText w:val="%5."/>
      <w:lvlJc w:val="left"/>
      <w:pPr>
        <w:ind w:left="5443" w:hanging="360"/>
      </w:pPr>
    </w:lvl>
    <w:lvl w:ilvl="5" w:tplc="0809001B" w:tentative="1">
      <w:start w:val="1"/>
      <w:numFmt w:val="lowerRoman"/>
      <w:lvlText w:val="%6."/>
      <w:lvlJc w:val="right"/>
      <w:pPr>
        <w:ind w:left="6163" w:hanging="180"/>
      </w:pPr>
    </w:lvl>
    <w:lvl w:ilvl="6" w:tplc="0809000F" w:tentative="1">
      <w:start w:val="1"/>
      <w:numFmt w:val="decimal"/>
      <w:lvlText w:val="%7."/>
      <w:lvlJc w:val="left"/>
      <w:pPr>
        <w:ind w:left="6883" w:hanging="360"/>
      </w:pPr>
    </w:lvl>
    <w:lvl w:ilvl="7" w:tplc="08090019" w:tentative="1">
      <w:start w:val="1"/>
      <w:numFmt w:val="lowerLetter"/>
      <w:lvlText w:val="%8."/>
      <w:lvlJc w:val="left"/>
      <w:pPr>
        <w:ind w:left="7603" w:hanging="360"/>
      </w:pPr>
    </w:lvl>
    <w:lvl w:ilvl="8" w:tplc="0809001B" w:tentative="1">
      <w:start w:val="1"/>
      <w:numFmt w:val="lowerRoman"/>
      <w:lvlText w:val="%9."/>
      <w:lvlJc w:val="right"/>
      <w:pPr>
        <w:ind w:left="8323" w:hanging="180"/>
      </w:pPr>
    </w:lvl>
  </w:abstractNum>
  <w:abstractNum w:abstractNumId="13" w15:restartNumberingAfterBreak="0">
    <w:nsid w:val="29A13009"/>
    <w:multiLevelType w:val="hybridMultilevel"/>
    <w:tmpl w:val="CBCE1B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E692E1C"/>
    <w:multiLevelType w:val="hybridMultilevel"/>
    <w:tmpl w:val="C80270DC"/>
    <w:lvl w:ilvl="0" w:tplc="87ECE9B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3CD57134"/>
    <w:multiLevelType w:val="hybridMultilevel"/>
    <w:tmpl w:val="BAC0CE58"/>
    <w:lvl w:ilvl="0" w:tplc="FB0801A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CE47BC"/>
    <w:multiLevelType w:val="multilevel"/>
    <w:tmpl w:val="79E4BC7E"/>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lowerRoman"/>
      <w:lvlText w:val="(%4)"/>
      <w:lvlJc w:val="left"/>
      <w:pPr>
        <w:tabs>
          <w:tab w:val="num" w:pos="2160"/>
        </w:tabs>
        <w:ind w:left="2160" w:hanging="720"/>
      </w:pPr>
      <w:rPr>
        <w:rFonts w:hint="default"/>
        <w:b w:val="0"/>
        <w:i w:val="0"/>
        <w:sz w:val="22"/>
        <w:szCs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BBC2805"/>
    <w:multiLevelType w:val="hybridMultilevel"/>
    <w:tmpl w:val="0B96DC9C"/>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9" w15:restartNumberingAfterBreak="0">
    <w:nsid w:val="4DA03D1B"/>
    <w:multiLevelType w:val="hybridMultilevel"/>
    <w:tmpl w:val="A566CBDE"/>
    <w:lvl w:ilvl="0" w:tplc="9440CA58">
      <w:start w:val="2"/>
      <w:numFmt w:val="decimal"/>
      <w:lvlText w:val="%1."/>
      <w:lvlJc w:val="left"/>
      <w:pPr>
        <w:tabs>
          <w:tab w:val="num" w:pos="1080"/>
        </w:tabs>
        <w:ind w:left="1080" w:hanging="720"/>
      </w:pPr>
      <w:rPr>
        <w:rFonts w:hint="default"/>
      </w:rPr>
    </w:lvl>
    <w:lvl w:ilvl="1" w:tplc="205E2EAA">
      <w:numFmt w:val="none"/>
      <w:lvlText w:val=""/>
      <w:lvlJc w:val="left"/>
      <w:pPr>
        <w:tabs>
          <w:tab w:val="num" w:pos="360"/>
        </w:tabs>
      </w:pPr>
    </w:lvl>
    <w:lvl w:ilvl="2" w:tplc="860E6304">
      <w:numFmt w:val="none"/>
      <w:lvlText w:val=""/>
      <w:lvlJc w:val="left"/>
      <w:pPr>
        <w:tabs>
          <w:tab w:val="num" w:pos="360"/>
        </w:tabs>
      </w:pPr>
    </w:lvl>
    <w:lvl w:ilvl="3" w:tplc="FFBC7E7E">
      <w:numFmt w:val="none"/>
      <w:lvlText w:val=""/>
      <w:lvlJc w:val="left"/>
      <w:pPr>
        <w:tabs>
          <w:tab w:val="num" w:pos="360"/>
        </w:tabs>
      </w:pPr>
    </w:lvl>
    <w:lvl w:ilvl="4" w:tplc="43D4A02C">
      <w:numFmt w:val="none"/>
      <w:lvlText w:val=""/>
      <w:lvlJc w:val="left"/>
      <w:pPr>
        <w:tabs>
          <w:tab w:val="num" w:pos="360"/>
        </w:tabs>
      </w:pPr>
    </w:lvl>
    <w:lvl w:ilvl="5" w:tplc="43DCA2DE">
      <w:numFmt w:val="none"/>
      <w:lvlText w:val=""/>
      <w:lvlJc w:val="left"/>
      <w:pPr>
        <w:tabs>
          <w:tab w:val="num" w:pos="360"/>
        </w:tabs>
      </w:pPr>
    </w:lvl>
    <w:lvl w:ilvl="6" w:tplc="C6F67D7A">
      <w:numFmt w:val="none"/>
      <w:lvlText w:val=""/>
      <w:lvlJc w:val="left"/>
      <w:pPr>
        <w:tabs>
          <w:tab w:val="num" w:pos="360"/>
        </w:tabs>
      </w:pPr>
    </w:lvl>
    <w:lvl w:ilvl="7" w:tplc="0D9A3552">
      <w:numFmt w:val="none"/>
      <w:lvlText w:val=""/>
      <w:lvlJc w:val="left"/>
      <w:pPr>
        <w:tabs>
          <w:tab w:val="num" w:pos="360"/>
        </w:tabs>
      </w:pPr>
    </w:lvl>
    <w:lvl w:ilvl="8" w:tplc="D75803B4">
      <w:numFmt w:val="none"/>
      <w:lvlText w:val=""/>
      <w:lvlJc w:val="left"/>
      <w:pPr>
        <w:tabs>
          <w:tab w:val="num" w:pos="360"/>
        </w:tabs>
      </w:pPr>
    </w:lvl>
  </w:abstractNum>
  <w:abstractNum w:abstractNumId="20" w15:restartNumberingAfterBreak="0">
    <w:nsid w:val="4E0442B4"/>
    <w:multiLevelType w:val="multilevel"/>
    <w:tmpl w:val="DA86F0A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4E2A6DAD"/>
    <w:multiLevelType w:val="hybridMultilevel"/>
    <w:tmpl w:val="727223FA"/>
    <w:lvl w:ilvl="0" w:tplc="60D2B45A">
      <w:start w:val="1"/>
      <w:numFmt w:val="lowerLetter"/>
      <w:lvlText w:val="%1)"/>
      <w:lvlJc w:val="left"/>
      <w:pPr>
        <w:ind w:left="1696" w:hanging="42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22" w15:restartNumberingAfterBreak="0">
    <w:nsid w:val="55026FC2"/>
    <w:multiLevelType w:val="hybridMultilevel"/>
    <w:tmpl w:val="64A6BAB6"/>
    <w:lvl w:ilvl="0" w:tplc="FFFFFFFF">
      <w:start w:val="1"/>
      <w:numFmt w:val="lowerLetter"/>
      <w:lvlText w:val="(%1)"/>
      <w:lvlJc w:val="left"/>
      <w:pPr>
        <w:ind w:left="720" w:hanging="360"/>
      </w:pPr>
      <w:rPr>
        <w:rFonts w:hint="default"/>
        <w:b w:val="0"/>
        <w:lang w:val="en-ZA"/>
      </w:rPr>
    </w:lvl>
    <w:lvl w:ilvl="1" w:tplc="D2046700">
      <w:start w:val="1"/>
      <w:numFmt w:val="lowerLetter"/>
      <w:lvlText w:val="(%2)"/>
      <w:lvlJc w:val="left"/>
      <w:pPr>
        <w:ind w:left="1854" w:hanging="360"/>
      </w:pPr>
      <w:rPr>
        <w:rFonts w:hint="default"/>
        <w:b w:val="0"/>
        <w:lang w:val="en-ZA"/>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D943BEE"/>
    <w:multiLevelType w:val="multilevel"/>
    <w:tmpl w:val="222A08B4"/>
    <w:numStyleLink w:val="ListCBD"/>
  </w:abstractNum>
  <w:abstractNum w:abstractNumId="24"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629B231E"/>
    <w:multiLevelType w:val="hybridMultilevel"/>
    <w:tmpl w:val="F3B89CA8"/>
    <w:lvl w:ilvl="0" w:tplc="CEEEF97A">
      <w:start w:val="1"/>
      <w:numFmt w:val="lowerRoman"/>
      <w:lvlText w:val="(%1)"/>
      <w:lvlJc w:val="right"/>
      <w:pPr>
        <w:ind w:left="2520" w:hanging="36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68CC1CA9"/>
    <w:multiLevelType w:val="hybridMultilevel"/>
    <w:tmpl w:val="EADECDC2"/>
    <w:lvl w:ilvl="0" w:tplc="E9CAA770">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68F85094"/>
    <w:multiLevelType w:val="multilevel"/>
    <w:tmpl w:val="05642C9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2"/>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3"/>
      <w:numFmt w:val="decimal"/>
      <w:lvlText w:val="%7."/>
      <w:lvlJc w:val="left"/>
      <w:pPr>
        <w:ind w:left="3186" w:hanging="360"/>
      </w:pPr>
      <w:rPr>
        <w:rFonts w:hint="default"/>
        <w:b w:val="0"/>
        <w:bCs/>
        <w:i/>
        <w:iCs w:val="0"/>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1" w15:restartNumberingAfterBreak="0">
    <w:nsid w:val="79F20DC6"/>
    <w:multiLevelType w:val="hybridMultilevel"/>
    <w:tmpl w:val="FE6C1A2E"/>
    <w:lvl w:ilvl="0" w:tplc="D2046700">
      <w:start w:val="1"/>
      <w:numFmt w:val="lowerLetter"/>
      <w:lvlText w:val="(%1)"/>
      <w:lvlJc w:val="left"/>
      <w:pPr>
        <w:ind w:left="1854" w:hanging="360"/>
      </w:pPr>
      <w:rPr>
        <w:rFonts w:hint="default"/>
        <w:b w:val="0"/>
        <w:lang w:val="en-ZA"/>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2" w15:restartNumberingAfterBreak="0">
    <w:nsid w:val="7F523ED3"/>
    <w:multiLevelType w:val="hybridMultilevel"/>
    <w:tmpl w:val="D4A66DAC"/>
    <w:lvl w:ilvl="0" w:tplc="D2046700">
      <w:start w:val="1"/>
      <w:numFmt w:val="lowerLetter"/>
      <w:lvlText w:val="(%1)"/>
      <w:lvlJc w:val="left"/>
      <w:pPr>
        <w:ind w:left="720" w:hanging="360"/>
      </w:pPr>
      <w:rPr>
        <w:rFonts w:hint="default"/>
        <w:b w:val="0"/>
        <w:lang w:val="en-ZA"/>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72390599">
    <w:abstractNumId w:val="30"/>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7"/>
  </w:num>
  <w:num w:numId="8" w16cid:durableId="893932166">
    <w:abstractNumId w:val="28"/>
  </w:num>
  <w:num w:numId="9" w16cid:durableId="323945383">
    <w:abstractNumId w:val="2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1418"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11811739">
    <w:abstractNumId w:val="20"/>
  </w:num>
  <w:num w:numId="17" w16cid:durableId="2140950642">
    <w:abstractNumId w:val="10"/>
  </w:num>
  <w:num w:numId="18" w16cid:durableId="783887405">
    <w:abstractNumId w:val="29"/>
  </w:num>
  <w:num w:numId="19" w16cid:durableId="299384040">
    <w:abstractNumId w:val="19"/>
  </w:num>
  <w:num w:numId="20" w16cid:durableId="2132165353">
    <w:abstractNumId w:val="16"/>
  </w:num>
  <w:num w:numId="21" w16cid:durableId="853811231">
    <w:abstractNumId w:val="31"/>
  </w:num>
  <w:num w:numId="22" w16cid:durableId="843011862">
    <w:abstractNumId w:val="24"/>
  </w:num>
  <w:num w:numId="23" w16cid:durableId="224685708">
    <w:abstractNumId w:val="11"/>
  </w:num>
  <w:num w:numId="24" w16cid:durableId="867374362">
    <w:abstractNumId w:val="18"/>
  </w:num>
  <w:num w:numId="25" w16cid:durableId="873663252">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9484919">
    <w:abstractNumId w:val="26"/>
  </w:num>
  <w:num w:numId="27" w16cid:durableId="2110465833">
    <w:abstractNumId w:val="13"/>
  </w:num>
  <w:num w:numId="28" w16cid:durableId="773523958">
    <w:abstractNumId w:val="14"/>
  </w:num>
  <w:num w:numId="29" w16cid:durableId="1071151163">
    <w:abstractNumId w:val="2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0" w16cid:durableId="971248904">
    <w:abstractNumId w:val="2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611396119">
    <w:abstractNumId w:val="27"/>
  </w:num>
  <w:num w:numId="32" w16cid:durableId="290942899">
    <w:abstractNumId w:val="25"/>
  </w:num>
  <w:num w:numId="33" w16cid:durableId="921910305">
    <w:abstractNumId w:val="15"/>
  </w:num>
  <w:num w:numId="34" w16cid:durableId="478419123">
    <w:abstractNumId w:val="2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1519852508">
    <w:abstractNumId w:val="32"/>
  </w:num>
  <w:num w:numId="36" w16cid:durableId="869300156">
    <w:abstractNumId w:val="22"/>
  </w:num>
  <w:num w:numId="37" w16cid:durableId="1182622717">
    <w:abstractNumId w:val="21"/>
  </w:num>
  <w:num w:numId="38" w16cid:durableId="515072614">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1D0"/>
    <w:rsid w:val="00007CFF"/>
    <w:rsid w:val="00011A14"/>
    <w:rsid w:val="000156B4"/>
    <w:rsid w:val="0001662B"/>
    <w:rsid w:val="00022233"/>
    <w:rsid w:val="00024836"/>
    <w:rsid w:val="00026733"/>
    <w:rsid w:val="000279DA"/>
    <w:rsid w:val="00030300"/>
    <w:rsid w:val="00037D01"/>
    <w:rsid w:val="00040598"/>
    <w:rsid w:val="00041A37"/>
    <w:rsid w:val="00042D36"/>
    <w:rsid w:val="000446C3"/>
    <w:rsid w:val="00044DE8"/>
    <w:rsid w:val="000472C3"/>
    <w:rsid w:val="0005060C"/>
    <w:rsid w:val="00053C86"/>
    <w:rsid w:val="00055D12"/>
    <w:rsid w:val="00057731"/>
    <w:rsid w:val="00057C55"/>
    <w:rsid w:val="00063D02"/>
    <w:rsid w:val="00064832"/>
    <w:rsid w:val="00064CC6"/>
    <w:rsid w:val="000675C6"/>
    <w:rsid w:val="00071E80"/>
    <w:rsid w:val="00071FEF"/>
    <w:rsid w:val="00073728"/>
    <w:rsid w:val="0007519E"/>
    <w:rsid w:val="00080FCE"/>
    <w:rsid w:val="00085B8B"/>
    <w:rsid w:val="00085C0B"/>
    <w:rsid w:val="00086802"/>
    <w:rsid w:val="00090155"/>
    <w:rsid w:val="00090C4F"/>
    <w:rsid w:val="000918F1"/>
    <w:rsid w:val="000A0A52"/>
    <w:rsid w:val="000A0BA6"/>
    <w:rsid w:val="000A33B3"/>
    <w:rsid w:val="000A4B30"/>
    <w:rsid w:val="000B0CEF"/>
    <w:rsid w:val="000B615C"/>
    <w:rsid w:val="000C2A11"/>
    <w:rsid w:val="000C55B9"/>
    <w:rsid w:val="000C5A51"/>
    <w:rsid w:val="000C5E34"/>
    <w:rsid w:val="000D1DCA"/>
    <w:rsid w:val="000D5781"/>
    <w:rsid w:val="000E122F"/>
    <w:rsid w:val="000E3B53"/>
    <w:rsid w:val="000F2A27"/>
    <w:rsid w:val="000F37C1"/>
    <w:rsid w:val="000F53A0"/>
    <w:rsid w:val="00100196"/>
    <w:rsid w:val="00100C9B"/>
    <w:rsid w:val="0010235E"/>
    <w:rsid w:val="00102AAB"/>
    <w:rsid w:val="00103EBD"/>
    <w:rsid w:val="00106446"/>
    <w:rsid w:val="0010668D"/>
    <w:rsid w:val="00111FC6"/>
    <w:rsid w:val="0011536A"/>
    <w:rsid w:val="00115A56"/>
    <w:rsid w:val="00126B99"/>
    <w:rsid w:val="00127D5D"/>
    <w:rsid w:val="001313F0"/>
    <w:rsid w:val="00132079"/>
    <w:rsid w:val="00132581"/>
    <w:rsid w:val="00132FA5"/>
    <w:rsid w:val="00133F49"/>
    <w:rsid w:val="001342DE"/>
    <w:rsid w:val="00134899"/>
    <w:rsid w:val="00134DE4"/>
    <w:rsid w:val="00136F25"/>
    <w:rsid w:val="001409F4"/>
    <w:rsid w:val="0014119C"/>
    <w:rsid w:val="00142AA6"/>
    <w:rsid w:val="001432D5"/>
    <w:rsid w:val="00143625"/>
    <w:rsid w:val="0014459A"/>
    <w:rsid w:val="00147F94"/>
    <w:rsid w:val="00155727"/>
    <w:rsid w:val="0015604D"/>
    <w:rsid w:val="001565F0"/>
    <w:rsid w:val="00170D50"/>
    <w:rsid w:val="00172242"/>
    <w:rsid w:val="00172EA1"/>
    <w:rsid w:val="001743C7"/>
    <w:rsid w:val="00176387"/>
    <w:rsid w:val="001766A8"/>
    <w:rsid w:val="001777E7"/>
    <w:rsid w:val="00183A1E"/>
    <w:rsid w:val="00184909"/>
    <w:rsid w:val="0018542A"/>
    <w:rsid w:val="001A1514"/>
    <w:rsid w:val="001A2195"/>
    <w:rsid w:val="001A7198"/>
    <w:rsid w:val="001B18CA"/>
    <w:rsid w:val="001B4579"/>
    <w:rsid w:val="001B5B8A"/>
    <w:rsid w:val="001B6FE5"/>
    <w:rsid w:val="001B710A"/>
    <w:rsid w:val="001C37FB"/>
    <w:rsid w:val="001C38CF"/>
    <w:rsid w:val="001C47A1"/>
    <w:rsid w:val="001C6790"/>
    <w:rsid w:val="001C7F17"/>
    <w:rsid w:val="001D08F7"/>
    <w:rsid w:val="001D2FD8"/>
    <w:rsid w:val="001D62DE"/>
    <w:rsid w:val="001D7501"/>
    <w:rsid w:val="001E3AE2"/>
    <w:rsid w:val="001E4EF8"/>
    <w:rsid w:val="001F414B"/>
    <w:rsid w:val="00201175"/>
    <w:rsid w:val="0020320D"/>
    <w:rsid w:val="0020485A"/>
    <w:rsid w:val="00207652"/>
    <w:rsid w:val="00210637"/>
    <w:rsid w:val="00211DCA"/>
    <w:rsid w:val="00211DFB"/>
    <w:rsid w:val="00211F3C"/>
    <w:rsid w:val="00212F5E"/>
    <w:rsid w:val="00216C63"/>
    <w:rsid w:val="002205E2"/>
    <w:rsid w:val="002207A6"/>
    <w:rsid w:val="00221AD0"/>
    <w:rsid w:val="002236FE"/>
    <w:rsid w:val="00223CB2"/>
    <w:rsid w:val="00227609"/>
    <w:rsid w:val="00230609"/>
    <w:rsid w:val="00232172"/>
    <w:rsid w:val="00233BFC"/>
    <w:rsid w:val="00236DA2"/>
    <w:rsid w:val="002419CD"/>
    <w:rsid w:val="00241C12"/>
    <w:rsid w:val="002504A2"/>
    <w:rsid w:val="002538FD"/>
    <w:rsid w:val="00254F0D"/>
    <w:rsid w:val="00256959"/>
    <w:rsid w:val="002569B8"/>
    <w:rsid w:val="00260F25"/>
    <w:rsid w:val="00265EA8"/>
    <w:rsid w:val="00271C6F"/>
    <w:rsid w:val="00272947"/>
    <w:rsid w:val="002743BF"/>
    <w:rsid w:val="00275487"/>
    <w:rsid w:val="00277E3D"/>
    <w:rsid w:val="00280610"/>
    <w:rsid w:val="00281378"/>
    <w:rsid w:val="002851F8"/>
    <w:rsid w:val="00286C9E"/>
    <w:rsid w:val="00287B76"/>
    <w:rsid w:val="00294746"/>
    <w:rsid w:val="002A2B00"/>
    <w:rsid w:val="002A3D28"/>
    <w:rsid w:val="002A622B"/>
    <w:rsid w:val="002B00CA"/>
    <w:rsid w:val="002B0B55"/>
    <w:rsid w:val="002B0B8B"/>
    <w:rsid w:val="002B4985"/>
    <w:rsid w:val="002B559C"/>
    <w:rsid w:val="002C7698"/>
    <w:rsid w:val="002D03F8"/>
    <w:rsid w:val="002D06FA"/>
    <w:rsid w:val="002D5270"/>
    <w:rsid w:val="002D7619"/>
    <w:rsid w:val="002E3000"/>
    <w:rsid w:val="002E3F9B"/>
    <w:rsid w:val="002E43CF"/>
    <w:rsid w:val="002E7F59"/>
    <w:rsid w:val="002F0B97"/>
    <w:rsid w:val="002F2A24"/>
    <w:rsid w:val="002F4863"/>
    <w:rsid w:val="002F708B"/>
    <w:rsid w:val="00302DBC"/>
    <w:rsid w:val="0030537E"/>
    <w:rsid w:val="00310522"/>
    <w:rsid w:val="00310608"/>
    <w:rsid w:val="00310ED6"/>
    <w:rsid w:val="00311CD6"/>
    <w:rsid w:val="00313673"/>
    <w:rsid w:val="00313B61"/>
    <w:rsid w:val="00313F44"/>
    <w:rsid w:val="003144CC"/>
    <w:rsid w:val="0031748B"/>
    <w:rsid w:val="003239B5"/>
    <w:rsid w:val="00323F22"/>
    <w:rsid w:val="00326608"/>
    <w:rsid w:val="003312A8"/>
    <w:rsid w:val="00335CF6"/>
    <w:rsid w:val="0033643C"/>
    <w:rsid w:val="00340550"/>
    <w:rsid w:val="00344A02"/>
    <w:rsid w:val="003476A9"/>
    <w:rsid w:val="0035047C"/>
    <w:rsid w:val="00363BBE"/>
    <w:rsid w:val="0036482F"/>
    <w:rsid w:val="003656A4"/>
    <w:rsid w:val="00370476"/>
    <w:rsid w:val="00371B9E"/>
    <w:rsid w:val="00375AA0"/>
    <w:rsid w:val="00380CC0"/>
    <w:rsid w:val="00382FA6"/>
    <w:rsid w:val="00384211"/>
    <w:rsid w:val="0038466F"/>
    <w:rsid w:val="0038750E"/>
    <w:rsid w:val="00390DD2"/>
    <w:rsid w:val="0039281B"/>
    <w:rsid w:val="003A0E10"/>
    <w:rsid w:val="003A2813"/>
    <w:rsid w:val="003A54CD"/>
    <w:rsid w:val="003A79D6"/>
    <w:rsid w:val="003B11B8"/>
    <w:rsid w:val="003B1E39"/>
    <w:rsid w:val="003B6933"/>
    <w:rsid w:val="003C0A1B"/>
    <w:rsid w:val="003C10D3"/>
    <w:rsid w:val="003C4A60"/>
    <w:rsid w:val="003C51DC"/>
    <w:rsid w:val="003C6890"/>
    <w:rsid w:val="003C6F10"/>
    <w:rsid w:val="003D017E"/>
    <w:rsid w:val="003D039E"/>
    <w:rsid w:val="003D1E5F"/>
    <w:rsid w:val="003E1115"/>
    <w:rsid w:val="003E3E4B"/>
    <w:rsid w:val="003E5C7A"/>
    <w:rsid w:val="003E6F2F"/>
    <w:rsid w:val="003F78DB"/>
    <w:rsid w:val="004018D9"/>
    <w:rsid w:val="0040229D"/>
    <w:rsid w:val="00403C05"/>
    <w:rsid w:val="004041CD"/>
    <w:rsid w:val="004053BB"/>
    <w:rsid w:val="004053EC"/>
    <w:rsid w:val="004106CB"/>
    <w:rsid w:val="00410F28"/>
    <w:rsid w:val="004126F1"/>
    <w:rsid w:val="00414A2E"/>
    <w:rsid w:val="00426654"/>
    <w:rsid w:val="00436A2F"/>
    <w:rsid w:val="00441498"/>
    <w:rsid w:val="00443AC0"/>
    <w:rsid w:val="00450441"/>
    <w:rsid w:val="00450AAD"/>
    <w:rsid w:val="004552E0"/>
    <w:rsid w:val="004555F6"/>
    <w:rsid w:val="00457A77"/>
    <w:rsid w:val="00460A34"/>
    <w:rsid w:val="00463181"/>
    <w:rsid w:val="00465384"/>
    <w:rsid w:val="004666B6"/>
    <w:rsid w:val="004701EE"/>
    <w:rsid w:val="004703A8"/>
    <w:rsid w:val="004706AD"/>
    <w:rsid w:val="004803E4"/>
    <w:rsid w:val="00480A8D"/>
    <w:rsid w:val="00480D96"/>
    <w:rsid w:val="00482CD0"/>
    <w:rsid w:val="00487BC5"/>
    <w:rsid w:val="00491385"/>
    <w:rsid w:val="00492259"/>
    <w:rsid w:val="0049258B"/>
    <w:rsid w:val="00494015"/>
    <w:rsid w:val="00494B27"/>
    <w:rsid w:val="00494FEC"/>
    <w:rsid w:val="0049750F"/>
    <w:rsid w:val="00497C09"/>
    <w:rsid w:val="004A1593"/>
    <w:rsid w:val="004A2A2D"/>
    <w:rsid w:val="004A2F93"/>
    <w:rsid w:val="004A6E8E"/>
    <w:rsid w:val="004B0E88"/>
    <w:rsid w:val="004B17E3"/>
    <w:rsid w:val="004B2641"/>
    <w:rsid w:val="004B5673"/>
    <w:rsid w:val="004B74DC"/>
    <w:rsid w:val="004C6118"/>
    <w:rsid w:val="004C7183"/>
    <w:rsid w:val="004D1D92"/>
    <w:rsid w:val="004D2404"/>
    <w:rsid w:val="004D3B21"/>
    <w:rsid w:val="004D445B"/>
    <w:rsid w:val="004D7325"/>
    <w:rsid w:val="004E1385"/>
    <w:rsid w:val="004E69A1"/>
    <w:rsid w:val="004E7514"/>
    <w:rsid w:val="004F2127"/>
    <w:rsid w:val="0050031D"/>
    <w:rsid w:val="00501B78"/>
    <w:rsid w:val="0050292A"/>
    <w:rsid w:val="00502AC0"/>
    <w:rsid w:val="00502B54"/>
    <w:rsid w:val="00502E2B"/>
    <w:rsid w:val="0050351B"/>
    <w:rsid w:val="00504552"/>
    <w:rsid w:val="00516AE2"/>
    <w:rsid w:val="0052221F"/>
    <w:rsid w:val="00530332"/>
    <w:rsid w:val="00530A41"/>
    <w:rsid w:val="0053140D"/>
    <w:rsid w:val="00534DDA"/>
    <w:rsid w:val="00537126"/>
    <w:rsid w:val="00537248"/>
    <w:rsid w:val="00543978"/>
    <w:rsid w:val="00544FC8"/>
    <w:rsid w:val="00545255"/>
    <w:rsid w:val="005461BE"/>
    <w:rsid w:val="00546C99"/>
    <w:rsid w:val="00547185"/>
    <w:rsid w:val="005476C3"/>
    <w:rsid w:val="0055065F"/>
    <w:rsid w:val="00553C18"/>
    <w:rsid w:val="00554B6D"/>
    <w:rsid w:val="00555AF7"/>
    <w:rsid w:val="00556893"/>
    <w:rsid w:val="005626C1"/>
    <w:rsid w:val="00562779"/>
    <w:rsid w:val="00562DC4"/>
    <w:rsid w:val="005648F4"/>
    <w:rsid w:val="005658B9"/>
    <w:rsid w:val="00566610"/>
    <w:rsid w:val="00566D81"/>
    <w:rsid w:val="0056773E"/>
    <w:rsid w:val="005677AF"/>
    <w:rsid w:val="00570880"/>
    <w:rsid w:val="00571D0D"/>
    <w:rsid w:val="00571DC9"/>
    <w:rsid w:val="00572CA5"/>
    <w:rsid w:val="005762D0"/>
    <w:rsid w:val="0057715C"/>
    <w:rsid w:val="005803AB"/>
    <w:rsid w:val="00580AF4"/>
    <w:rsid w:val="005921F8"/>
    <w:rsid w:val="005962B8"/>
    <w:rsid w:val="005A008A"/>
    <w:rsid w:val="005A1E26"/>
    <w:rsid w:val="005A206E"/>
    <w:rsid w:val="005A2718"/>
    <w:rsid w:val="005A27B8"/>
    <w:rsid w:val="005A2E62"/>
    <w:rsid w:val="005A4430"/>
    <w:rsid w:val="005A485D"/>
    <w:rsid w:val="005A4E3B"/>
    <w:rsid w:val="005A64C4"/>
    <w:rsid w:val="005B04C7"/>
    <w:rsid w:val="005B0FEE"/>
    <w:rsid w:val="005B143A"/>
    <w:rsid w:val="005B1882"/>
    <w:rsid w:val="005C0058"/>
    <w:rsid w:val="005C1E44"/>
    <w:rsid w:val="005D1822"/>
    <w:rsid w:val="005D2321"/>
    <w:rsid w:val="005D4485"/>
    <w:rsid w:val="005E2605"/>
    <w:rsid w:val="005E26B5"/>
    <w:rsid w:val="005E272B"/>
    <w:rsid w:val="005E2991"/>
    <w:rsid w:val="005E36BC"/>
    <w:rsid w:val="005E6464"/>
    <w:rsid w:val="005F06AE"/>
    <w:rsid w:val="005F1826"/>
    <w:rsid w:val="005F30E5"/>
    <w:rsid w:val="005F3192"/>
    <w:rsid w:val="005F3E47"/>
    <w:rsid w:val="006003BE"/>
    <w:rsid w:val="0060084F"/>
    <w:rsid w:val="0060290C"/>
    <w:rsid w:val="006042A2"/>
    <w:rsid w:val="006055A3"/>
    <w:rsid w:val="00606007"/>
    <w:rsid w:val="0060627D"/>
    <w:rsid w:val="00610119"/>
    <w:rsid w:val="00610E43"/>
    <w:rsid w:val="006110C6"/>
    <w:rsid w:val="00611804"/>
    <w:rsid w:val="00611A35"/>
    <w:rsid w:val="0061330A"/>
    <w:rsid w:val="006154F0"/>
    <w:rsid w:val="006257EA"/>
    <w:rsid w:val="00632D17"/>
    <w:rsid w:val="00634A8B"/>
    <w:rsid w:val="00643147"/>
    <w:rsid w:val="006537AB"/>
    <w:rsid w:val="00654AC6"/>
    <w:rsid w:val="006568B3"/>
    <w:rsid w:val="00656AEB"/>
    <w:rsid w:val="00657ED6"/>
    <w:rsid w:val="00661664"/>
    <w:rsid w:val="006628C3"/>
    <w:rsid w:val="006650A4"/>
    <w:rsid w:val="00665145"/>
    <w:rsid w:val="00670275"/>
    <w:rsid w:val="0067076C"/>
    <w:rsid w:val="006707DD"/>
    <w:rsid w:val="006709B9"/>
    <w:rsid w:val="00670B6F"/>
    <w:rsid w:val="00670F8F"/>
    <w:rsid w:val="006710E3"/>
    <w:rsid w:val="00673DAE"/>
    <w:rsid w:val="00674FED"/>
    <w:rsid w:val="006835D6"/>
    <w:rsid w:val="00683955"/>
    <w:rsid w:val="00685A09"/>
    <w:rsid w:val="00690009"/>
    <w:rsid w:val="006904DA"/>
    <w:rsid w:val="00690E0B"/>
    <w:rsid w:val="006A0377"/>
    <w:rsid w:val="006A2B5F"/>
    <w:rsid w:val="006A3B85"/>
    <w:rsid w:val="006A50A1"/>
    <w:rsid w:val="006A57D8"/>
    <w:rsid w:val="006A5EDF"/>
    <w:rsid w:val="006A6C10"/>
    <w:rsid w:val="006B293D"/>
    <w:rsid w:val="006C4736"/>
    <w:rsid w:val="006C67B3"/>
    <w:rsid w:val="006D0447"/>
    <w:rsid w:val="006D1180"/>
    <w:rsid w:val="006D2320"/>
    <w:rsid w:val="006D6BF4"/>
    <w:rsid w:val="006D762C"/>
    <w:rsid w:val="006F5296"/>
    <w:rsid w:val="006F7DA8"/>
    <w:rsid w:val="007001E5"/>
    <w:rsid w:val="00706371"/>
    <w:rsid w:val="00710674"/>
    <w:rsid w:val="007118AD"/>
    <w:rsid w:val="007147E9"/>
    <w:rsid w:val="007159FD"/>
    <w:rsid w:val="007176B0"/>
    <w:rsid w:val="00721082"/>
    <w:rsid w:val="007236FF"/>
    <w:rsid w:val="00725AF7"/>
    <w:rsid w:val="00725C0B"/>
    <w:rsid w:val="00727740"/>
    <w:rsid w:val="0073100E"/>
    <w:rsid w:val="007324F3"/>
    <w:rsid w:val="00732541"/>
    <w:rsid w:val="00735E0B"/>
    <w:rsid w:val="00737942"/>
    <w:rsid w:val="007400B6"/>
    <w:rsid w:val="00744369"/>
    <w:rsid w:val="00745382"/>
    <w:rsid w:val="00747225"/>
    <w:rsid w:val="0074760F"/>
    <w:rsid w:val="00750A8C"/>
    <w:rsid w:val="007515BC"/>
    <w:rsid w:val="007553EA"/>
    <w:rsid w:val="00755A74"/>
    <w:rsid w:val="0076039E"/>
    <w:rsid w:val="00761085"/>
    <w:rsid w:val="0076622F"/>
    <w:rsid w:val="00766CEC"/>
    <w:rsid w:val="00767853"/>
    <w:rsid w:val="0077288D"/>
    <w:rsid w:val="00772EFD"/>
    <w:rsid w:val="007778FC"/>
    <w:rsid w:val="00777EDF"/>
    <w:rsid w:val="007859DF"/>
    <w:rsid w:val="007903D5"/>
    <w:rsid w:val="00791552"/>
    <w:rsid w:val="007A025E"/>
    <w:rsid w:val="007A0C97"/>
    <w:rsid w:val="007A1C00"/>
    <w:rsid w:val="007A3D29"/>
    <w:rsid w:val="007A45C3"/>
    <w:rsid w:val="007B0E33"/>
    <w:rsid w:val="007B591F"/>
    <w:rsid w:val="007B6ACA"/>
    <w:rsid w:val="007C1801"/>
    <w:rsid w:val="007C5BB3"/>
    <w:rsid w:val="007C7660"/>
    <w:rsid w:val="007C77BC"/>
    <w:rsid w:val="007D071F"/>
    <w:rsid w:val="007D1772"/>
    <w:rsid w:val="007E48CD"/>
    <w:rsid w:val="007E56D3"/>
    <w:rsid w:val="007F190E"/>
    <w:rsid w:val="007F2D65"/>
    <w:rsid w:val="007F39F8"/>
    <w:rsid w:val="007F3A19"/>
    <w:rsid w:val="007F40B0"/>
    <w:rsid w:val="007F4A25"/>
    <w:rsid w:val="0080114D"/>
    <w:rsid w:val="00801B09"/>
    <w:rsid w:val="008051E4"/>
    <w:rsid w:val="00806722"/>
    <w:rsid w:val="008075B5"/>
    <w:rsid w:val="00807741"/>
    <w:rsid w:val="008116A1"/>
    <w:rsid w:val="00816D97"/>
    <w:rsid w:val="00816F32"/>
    <w:rsid w:val="0081773A"/>
    <w:rsid w:val="00817B11"/>
    <w:rsid w:val="0082005E"/>
    <w:rsid w:val="00820AA2"/>
    <w:rsid w:val="008242A4"/>
    <w:rsid w:val="00826023"/>
    <w:rsid w:val="00830581"/>
    <w:rsid w:val="008315B4"/>
    <w:rsid w:val="00833602"/>
    <w:rsid w:val="008353F9"/>
    <w:rsid w:val="008368F4"/>
    <w:rsid w:val="008371FF"/>
    <w:rsid w:val="00840F4D"/>
    <w:rsid w:val="00842B5E"/>
    <w:rsid w:val="0084565C"/>
    <w:rsid w:val="0084588C"/>
    <w:rsid w:val="00847D3A"/>
    <w:rsid w:val="00850FF0"/>
    <w:rsid w:val="00852C18"/>
    <w:rsid w:val="0085358E"/>
    <w:rsid w:val="00854394"/>
    <w:rsid w:val="00856595"/>
    <w:rsid w:val="008619A3"/>
    <w:rsid w:val="008663F2"/>
    <w:rsid w:val="008674CC"/>
    <w:rsid w:val="00867617"/>
    <w:rsid w:val="008735AF"/>
    <w:rsid w:val="00874541"/>
    <w:rsid w:val="00876E07"/>
    <w:rsid w:val="008776AA"/>
    <w:rsid w:val="00882301"/>
    <w:rsid w:val="008901AC"/>
    <w:rsid w:val="00894DB8"/>
    <w:rsid w:val="00895FEE"/>
    <w:rsid w:val="008A0BC4"/>
    <w:rsid w:val="008A0EB2"/>
    <w:rsid w:val="008A3751"/>
    <w:rsid w:val="008B1AFF"/>
    <w:rsid w:val="008B3DF7"/>
    <w:rsid w:val="008B51FA"/>
    <w:rsid w:val="008B66F1"/>
    <w:rsid w:val="008B6F49"/>
    <w:rsid w:val="008C2DDF"/>
    <w:rsid w:val="008C3979"/>
    <w:rsid w:val="008C5FE8"/>
    <w:rsid w:val="008C7BE9"/>
    <w:rsid w:val="008D11BE"/>
    <w:rsid w:val="008D1CAE"/>
    <w:rsid w:val="008D1F5B"/>
    <w:rsid w:val="008D2B64"/>
    <w:rsid w:val="008E0581"/>
    <w:rsid w:val="008E21CF"/>
    <w:rsid w:val="008E39AA"/>
    <w:rsid w:val="008E61EC"/>
    <w:rsid w:val="008F68DB"/>
    <w:rsid w:val="008F6DAA"/>
    <w:rsid w:val="008F7491"/>
    <w:rsid w:val="008F7A00"/>
    <w:rsid w:val="008F7E94"/>
    <w:rsid w:val="00903201"/>
    <w:rsid w:val="00903CB0"/>
    <w:rsid w:val="0090416D"/>
    <w:rsid w:val="009051C1"/>
    <w:rsid w:val="00907F4D"/>
    <w:rsid w:val="00910D07"/>
    <w:rsid w:val="00910D6A"/>
    <w:rsid w:val="0091356E"/>
    <w:rsid w:val="00914750"/>
    <w:rsid w:val="009164F5"/>
    <w:rsid w:val="0091740A"/>
    <w:rsid w:val="009174E6"/>
    <w:rsid w:val="00917FE9"/>
    <w:rsid w:val="00925964"/>
    <w:rsid w:val="00925C43"/>
    <w:rsid w:val="00926DB1"/>
    <w:rsid w:val="00926E89"/>
    <w:rsid w:val="0093014F"/>
    <w:rsid w:val="00932460"/>
    <w:rsid w:val="00935461"/>
    <w:rsid w:val="00942C78"/>
    <w:rsid w:val="009459E3"/>
    <w:rsid w:val="00950FAA"/>
    <w:rsid w:val="00952C96"/>
    <w:rsid w:val="00952F62"/>
    <w:rsid w:val="00953302"/>
    <w:rsid w:val="009535BF"/>
    <w:rsid w:val="00956E25"/>
    <w:rsid w:val="009621EA"/>
    <w:rsid w:val="009666E8"/>
    <w:rsid w:val="00967AA4"/>
    <w:rsid w:val="00970B92"/>
    <w:rsid w:val="0097118C"/>
    <w:rsid w:val="00971FCB"/>
    <w:rsid w:val="009725CD"/>
    <w:rsid w:val="00974CBE"/>
    <w:rsid w:val="009755A9"/>
    <w:rsid w:val="00985DCC"/>
    <w:rsid w:val="009869BF"/>
    <w:rsid w:val="00995DDC"/>
    <w:rsid w:val="00996BE6"/>
    <w:rsid w:val="009A2FDB"/>
    <w:rsid w:val="009A5C30"/>
    <w:rsid w:val="009B43CD"/>
    <w:rsid w:val="009B48BB"/>
    <w:rsid w:val="009B6687"/>
    <w:rsid w:val="009C05AD"/>
    <w:rsid w:val="009C1114"/>
    <w:rsid w:val="009C644F"/>
    <w:rsid w:val="009C6745"/>
    <w:rsid w:val="009C718D"/>
    <w:rsid w:val="009D18BC"/>
    <w:rsid w:val="009D244B"/>
    <w:rsid w:val="009D2895"/>
    <w:rsid w:val="009E0913"/>
    <w:rsid w:val="009E38BB"/>
    <w:rsid w:val="009E5127"/>
    <w:rsid w:val="009E737D"/>
    <w:rsid w:val="009E76ED"/>
    <w:rsid w:val="009E7C45"/>
    <w:rsid w:val="009F21BF"/>
    <w:rsid w:val="009F401D"/>
    <w:rsid w:val="009F461F"/>
    <w:rsid w:val="009F5D47"/>
    <w:rsid w:val="00A0031A"/>
    <w:rsid w:val="00A01281"/>
    <w:rsid w:val="00A030DD"/>
    <w:rsid w:val="00A05263"/>
    <w:rsid w:val="00A0621B"/>
    <w:rsid w:val="00A06299"/>
    <w:rsid w:val="00A06F52"/>
    <w:rsid w:val="00A07F30"/>
    <w:rsid w:val="00A11BEA"/>
    <w:rsid w:val="00A15294"/>
    <w:rsid w:val="00A16A31"/>
    <w:rsid w:val="00A219A5"/>
    <w:rsid w:val="00A22082"/>
    <w:rsid w:val="00A2635C"/>
    <w:rsid w:val="00A36496"/>
    <w:rsid w:val="00A377BE"/>
    <w:rsid w:val="00A41015"/>
    <w:rsid w:val="00A43334"/>
    <w:rsid w:val="00A50FFB"/>
    <w:rsid w:val="00A51C9D"/>
    <w:rsid w:val="00A54FA0"/>
    <w:rsid w:val="00A55C90"/>
    <w:rsid w:val="00A57417"/>
    <w:rsid w:val="00A576AB"/>
    <w:rsid w:val="00A70086"/>
    <w:rsid w:val="00A70DF5"/>
    <w:rsid w:val="00A736EE"/>
    <w:rsid w:val="00A74C50"/>
    <w:rsid w:val="00A80AF3"/>
    <w:rsid w:val="00A826F8"/>
    <w:rsid w:val="00A83023"/>
    <w:rsid w:val="00A92058"/>
    <w:rsid w:val="00A93B60"/>
    <w:rsid w:val="00A96B21"/>
    <w:rsid w:val="00A9775E"/>
    <w:rsid w:val="00AA41D0"/>
    <w:rsid w:val="00AA52E8"/>
    <w:rsid w:val="00AB0DFC"/>
    <w:rsid w:val="00AB3FB2"/>
    <w:rsid w:val="00AB538A"/>
    <w:rsid w:val="00AC13FA"/>
    <w:rsid w:val="00AC2CEE"/>
    <w:rsid w:val="00AC3F44"/>
    <w:rsid w:val="00AC477B"/>
    <w:rsid w:val="00AC5A0D"/>
    <w:rsid w:val="00AC6335"/>
    <w:rsid w:val="00AD174E"/>
    <w:rsid w:val="00AD4619"/>
    <w:rsid w:val="00AD579C"/>
    <w:rsid w:val="00AE1A95"/>
    <w:rsid w:val="00AE26FB"/>
    <w:rsid w:val="00AE3E92"/>
    <w:rsid w:val="00AE75C0"/>
    <w:rsid w:val="00AF3CE4"/>
    <w:rsid w:val="00B012B9"/>
    <w:rsid w:val="00B01773"/>
    <w:rsid w:val="00B03471"/>
    <w:rsid w:val="00B0697E"/>
    <w:rsid w:val="00B0704A"/>
    <w:rsid w:val="00B10FE6"/>
    <w:rsid w:val="00B12976"/>
    <w:rsid w:val="00B14F43"/>
    <w:rsid w:val="00B165A5"/>
    <w:rsid w:val="00B21E32"/>
    <w:rsid w:val="00B22262"/>
    <w:rsid w:val="00B241AE"/>
    <w:rsid w:val="00B247D9"/>
    <w:rsid w:val="00B27A08"/>
    <w:rsid w:val="00B27CC2"/>
    <w:rsid w:val="00B320F0"/>
    <w:rsid w:val="00B36BCB"/>
    <w:rsid w:val="00B36EA9"/>
    <w:rsid w:val="00B40D3F"/>
    <w:rsid w:val="00B42145"/>
    <w:rsid w:val="00B44173"/>
    <w:rsid w:val="00B475EE"/>
    <w:rsid w:val="00B50106"/>
    <w:rsid w:val="00B558ED"/>
    <w:rsid w:val="00B56A68"/>
    <w:rsid w:val="00B628F2"/>
    <w:rsid w:val="00B63BB1"/>
    <w:rsid w:val="00B72BB3"/>
    <w:rsid w:val="00B7316E"/>
    <w:rsid w:val="00B732A1"/>
    <w:rsid w:val="00B73757"/>
    <w:rsid w:val="00B75962"/>
    <w:rsid w:val="00B77848"/>
    <w:rsid w:val="00B81D53"/>
    <w:rsid w:val="00B83CBB"/>
    <w:rsid w:val="00B84121"/>
    <w:rsid w:val="00B84607"/>
    <w:rsid w:val="00B90EE4"/>
    <w:rsid w:val="00B91E5E"/>
    <w:rsid w:val="00B94EA7"/>
    <w:rsid w:val="00B97694"/>
    <w:rsid w:val="00BA04E6"/>
    <w:rsid w:val="00BA1054"/>
    <w:rsid w:val="00BA1ABA"/>
    <w:rsid w:val="00BA1CA7"/>
    <w:rsid w:val="00BA1E9D"/>
    <w:rsid w:val="00BA488A"/>
    <w:rsid w:val="00BA5F8A"/>
    <w:rsid w:val="00BA6516"/>
    <w:rsid w:val="00BB1338"/>
    <w:rsid w:val="00BB285C"/>
    <w:rsid w:val="00BB2881"/>
    <w:rsid w:val="00BB3977"/>
    <w:rsid w:val="00BB3D26"/>
    <w:rsid w:val="00BB75C9"/>
    <w:rsid w:val="00BC1476"/>
    <w:rsid w:val="00BC172B"/>
    <w:rsid w:val="00BC1C45"/>
    <w:rsid w:val="00BC2CB7"/>
    <w:rsid w:val="00BC366D"/>
    <w:rsid w:val="00BC43B8"/>
    <w:rsid w:val="00BC69A0"/>
    <w:rsid w:val="00BD0308"/>
    <w:rsid w:val="00BD1D3B"/>
    <w:rsid w:val="00BD1FDC"/>
    <w:rsid w:val="00BD36D1"/>
    <w:rsid w:val="00BD7F79"/>
    <w:rsid w:val="00BE1B8E"/>
    <w:rsid w:val="00BE2C95"/>
    <w:rsid w:val="00BE3ED1"/>
    <w:rsid w:val="00BE4142"/>
    <w:rsid w:val="00BE5F13"/>
    <w:rsid w:val="00BE71EE"/>
    <w:rsid w:val="00BE7D46"/>
    <w:rsid w:val="00BF25DF"/>
    <w:rsid w:val="00BF67D9"/>
    <w:rsid w:val="00BF748D"/>
    <w:rsid w:val="00C02425"/>
    <w:rsid w:val="00C056EE"/>
    <w:rsid w:val="00C06879"/>
    <w:rsid w:val="00C14998"/>
    <w:rsid w:val="00C14E11"/>
    <w:rsid w:val="00C15C81"/>
    <w:rsid w:val="00C16420"/>
    <w:rsid w:val="00C1688F"/>
    <w:rsid w:val="00C21BDA"/>
    <w:rsid w:val="00C22018"/>
    <w:rsid w:val="00C223DC"/>
    <w:rsid w:val="00C229CF"/>
    <w:rsid w:val="00C22EE5"/>
    <w:rsid w:val="00C2354A"/>
    <w:rsid w:val="00C33C10"/>
    <w:rsid w:val="00C34984"/>
    <w:rsid w:val="00C35DA8"/>
    <w:rsid w:val="00C36978"/>
    <w:rsid w:val="00C36B90"/>
    <w:rsid w:val="00C41341"/>
    <w:rsid w:val="00C41CE4"/>
    <w:rsid w:val="00C42F83"/>
    <w:rsid w:val="00C43883"/>
    <w:rsid w:val="00C44929"/>
    <w:rsid w:val="00C45CD7"/>
    <w:rsid w:val="00C50593"/>
    <w:rsid w:val="00C52D9D"/>
    <w:rsid w:val="00C5336D"/>
    <w:rsid w:val="00C54D0C"/>
    <w:rsid w:val="00C57DC9"/>
    <w:rsid w:val="00C62546"/>
    <w:rsid w:val="00C65170"/>
    <w:rsid w:val="00C7077A"/>
    <w:rsid w:val="00C74C75"/>
    <w:rsid w:val="00C75E21"/>
    <w:rsid w:val="00C763FD"/>
    <w:rsid w:val="00C76747"/>
    <w:rsid w:val="00C81CF7"/>
    <w:rsid w:val="00C8406F"/>
    <w:rsid w:val="00C87DBB"/>
    <w:rsid w:val="00C90EEC"/>
    <w:rsid w:val="00C92CF7"/>
    <w:rsid w:val="00C96AA0"/>
    <w:rsid w:val="00CA3535"/>
    <w:rsid w:val="00CB1427"/>
    <w:rsid w:val="00CB2547"/>
    <w:rsid w:val="00CB5CC3"/>
    <w:rsid w:val="00CC4ED2"/>
    <w:rsid w:val="00CC65B7"/>
    <w:rsid w:val="00CC6B19"/>
    <w:rsid w:val="00CC7D7C"/>
    <w:rsid w:val="00CD007D"/>
    <w:rsid w:val="00CD10F4"/>
    <w:rsid w:val="00CD538D"/>
    <w:rsid w:val="00CD7028"/>
    <w:rsid w:val="00CD7AE9"/>
    <w:rsid w:val="00CD7E3F"/>
    <w:rsid w:val="00CD7EBC"/>
    <w:rsid w:val="00CE62CC"/>
    <w:rsid w:val="00CE752F"/>
    <w:rsid w:val="00CF4EBA"/>
    <w:rsid w:val="00CF64FC"/>
    <w:rsid w:val="00CF70AB"/>
    <w:rsid w:val="00D02C66"/>
    <w:rsid w:val="00D05482"/>
    <w:rsid w:val="00D06867"/>
    <w:rsid w:val="00D107D3"/>
    <w:rsid w:val="00D12576"/>
    <w:rsid w:val="00D134AF"/>
    <w:rsid w:val="00D17459"/>
    <w:rsid w:val="00D21B75"/>
    <w:rsid w:val="00D264B6"/>
    <w:rsid w:val="00D27CCA"/>
    <w:rsid w:val="00D3059B"/>
    <w:rsid w:val="00D31750"/>
    <w:rsid w:val="00D31BDB"/>
    <w:rsid w:val="00D32AD9"/>
    <w:rsid w:val="00D3301A"/>
    <w:rsid w:val="00D3381F"/>
    <w:rsid w:val="00D40A33"/>
    <w:rsid w:val="00D430FF"/>
    <w:rsid w:val="00D43AC6"/>
    <w:rsid w:val="00D457BA"/>
    <w:rsid w:val="00D45A80"/>
    <w:rsid w:val="00D45D52"/>
    <w:rsid w:val="00D5058B"/>
    <w:rsid w:val="00D52999"/>
    <w:rsid w:val="00D56A64"/>
    <w:rsid w:val="00D60046"/>
    <w:rsid w:val="00D6124F"/>
    <w:rsid w:val="00D63F3C"/>
    <w:rsid w:val="00D66536"/>
    <w:rsid w:val="00D71FFB"/>
    <w:rsid w:val="00D73807"/>
    <w:rsid w:val="00D812E6"/>
    <w:rsid w:val="00D82DC3"/>
    <w:rsid w:val="00D84073"/>
    <w:rsid w:val="00D84BD1"/>
    <w:rsid w:val="00D86476"/>
    <w:rsid w:val="00D86999"/>
    <w:rsid w:val="00D9253C"/>
    <w:rsid w:val="00D93622"/>
    <w:rsid w:val="00D93F2C"/>
    <w:rsid w:val="00D948A0"/>
    <w:rsid w:val="00D95246"/>
    <w:rsid w:val="00DA0614"/>
    <w:rsid w:val="00DA0BD0"/>
    <w:rsid w:val="00DA2158"/>
    <w:rsid w:val="00DA3D57"/>
    <w:rsid w:val="00DB0734"/>
    <w:rsid w:val="00DB1755"/>
    <w:rsid w:val="00DB1B41"/>
    <w:rsid w:val="00DB4BD3"/>
    <w:rsid w:val="00DB7514"/>
    <w:rsid w:val="00DC354F"/>
    <w:rsid w:val="00DD133E"/>
    <w:rsid w:val="00DD1BC6"/>
    <w:rsid w:val="00DD42C1"/>
    <w:rsid w:val="00DD59D0"/>
    <w:rsid w:val="00DD5AD9"/>
    <w:rsid w:val="00DD7910"/>
    <w:rsid w:val="00DE09CE"/>
    <w:rsid w:val="00DE2140"/>
    <w:rsid w:val="00DE6FC2"/>
    <w:rsid w:val="00DF160E"/>
    <w:rsid w:val="00DF2008"/>
    <w:rsid w:val="00DF2687"/>
    <w:rsid w:val="00DF43CA"/>
    <w:rsid w:val="00DF5468"/>
    <w:rsid w:val="00DF599F"/>
    <w:rsid w:val="00DF79E4"/>
    <w:rsid w:val="00E1597C"/>
    <w:rsid w:val="00E15F97"/>
    <w:rsid w:val="00E16AD2"/>
    <w:rsid w:val="00E31A2F"/>
    <w:rsid w:val="00E31B4E"/>
    <w:rsid w:val="00E32358"/>
    <w:rsid w:val="00E332FA"/>
    <w:rsid w:val="00E33FCC"/>
    <w:rsid w:val="00E365E9"/>
    <w:rsid w:val="00E36F53"/>
    <w:rsid w:val="00E37969"/>
    <w:rsid w:val="00E40752"/>
    <w:rsid w:val="00E41F4F"/>
    <w:rsid w:val="00E53874"/>
    <w:rsid w:val="00E57DA6"/>
    <w:rsid w:val="00E6032A"/>
    <w:rsid w:val="00E6417A"/>
    <w:rsid w:val="00E65273"/>
    <w:rsid w:val="00E6535D"/>
    <w:rsid w:val="00E67F56"/>
    <w:rsid w:val="00E72553"/>
    <w:rsid w:val="00E76017"/>
    <w:rsid w:val="00E76CA6"/>
    <w:rsid w:val="00E76E43"/>
    <w:rsid w:val="00E8007E"/>
    <w:rsid w:val="00E823D4"/>
    <w:rsid w:val="00E8644B"/>
    <w:rsid w:val="00E87159"/>
    <w:rsid w:val="00E91FDE"/>
    <w:rsid w:val="00E92D47"/>
    <w:rsid w:val="00E9447C"/>
    <w:rsid w:val="00E96FDD"/>
    <w:rsid w:val="00EA044C"/>
    <w:rsid w:val="00EA0DE7"/>
    <w:rsid w:val="00EA2279"/>
    <w:rsid w:val="00EA2760"/>
    <w:rsid w:val="00EA2C8F"/>
    <w:rsid w:val="00EA3797"/>
    <w:rsid w:val="00EA7AC7"/>
    <w:rsid w:val="00EB0211"/>
    <w:rsid w:val="00EB0754"/>
    <w:rsid w:val="00EB19DD"/>
    <w:rsid w:val="00EB5C98"/>
    <w:rsid w:val="00EC0EBA"/>
    <w:rsid w:val="00EC0F47"/>
    <w:rsid w:val="00EC10C1"/>
    <w:rsid w:val="00EC45F7"/>
    <w:rsid w:val="00EC60E8"/>
    <w:rsid w:val="00EC6D1C"/>
    <w:rsid w:val="00EC7AE8"/>
    <w:rsid w:val="00ED2503"/>
    <w:rsid w:val="00ED28C1"/>
    <w:rsid w:val="00ED355C"/>
    <w:rsid w:val="00ED3849"/>
    <w:rsid w:val="00ED54EF"/>
    <w:rsid w:val="00EE53BC"/>
    <w:rsid w:val="00EE606F"/>
    <w:rsid w:val="00EE772F"/>
    <w:rsid w:val="00EF10FA"/>
    <w:rsid w:val="00EF4310"/>
    <w:rsid w:val="00EF437A"/>
    <w:rsid w:val="00EF5CAC"/>
    <w:rsid w:val="00EF6893"/>
    <w:rsid w:val="00EF7CCF"/>
    <w:rsid w:val="00F049C5"/>
    <w:rsid w:val="00F140B7"/>
    <w:rsid w:val="00F24D1E"/>
    <w:rsid w:val="00F258FB"/>
    <w:rsid w:val="00F26BBA"/>
    <w:rsid w:val="00F30825"/>
    <w:rsid w:val="00F30A06"/>
    <w:rsid w:val="00F32F7B"/>
    <w:rsid w:val="00F33D1B"/>
    <w:rsid w:val="00F372D0"/>
    <w:rsid w:val="00F45BB0"/>
    <w:rsid w:val="00F5050D"/>
    <w:rsid w:val="00F5496C"/>
    <w:rsid w:val="00F66847"/>
    <w:rsid w:val="00F7051C"/>
    <w:rsid w:val="00F73766"/>
    <w:rsid w:val="00F75F90"/>
    <w:rsid w:val="00F77CC2"/>
    <w:rsid w:val="00F81173"/>
    <w:rsid w:val="00F82AF8"/>
    <w:rsid w:val="00F83C8F"/>
    <w:rsid w:val="00F840E2"/>
    <w:rsid w:val="00F91635"/>
    <w:rsid w:val="00F91868"/>
    <w:rsid w:val="00F9366C"/>
    <w:rsid w:val="00F946BC"/>
    <w:rsid w:val="00F966C6"/>
    <w:rsid w:val="00F97419"/>
    <w:rsid w:val="00FA18C9"/>
    <w:rsid w:val="00FA51F3"/>
    <w:rsid w:val="00FA5A27"/>
    <w:rsid w:val="00FA60D4"/>
    <w:rsid w:val="00FB0168"/>
    <w:rsid w:val="00FB07ED"/>
    <w:rsid w:val="00FB4288"/>
    <w:rsid w:val="00FB463D"/>
    <w:rsid w:val="00FB4856"/>
    <w:rsid w:val="00FB76B8"/>
    <w:rsid w:val="00FC075C"/>
    <w:rsid w:val="00FD755B"/>
    <w:rsid w:val="00FE3974"/>
    <w:rsid w:val="00FE6799"/>
    <w:rsid w:val="00FE7D57"/>
    <w:rsid w:val="00FF03A4"/>
    <w:rsid w:val="00FF10BC"/>
    <w:rsid w:val="00FF1A25"/>
    <w:rsid w:val="00FF332A"/>
    <w:rsid w:val="00FF53E9"/>
    <w:rsid w:val="00FF61A6"/>
    <w:rsid w:val="02A57AF5"/>
    <w:rsid w:val="07213640"/>
    <w:rsid w:val="0F57F0A3"/>
    <w:rsid w:val="13D31CBD"/>
    <w:rsid w:val="28003978"/>
    <w:rsid w:val="2B9EDC19"/>
    <w:rsid w:val="2C105374"/>
    <w:rsid w:val="3E33DA2B"/>
    <w:rsid w:val="41F805E3"/>
    <w:rsid w:val="4B83FCA4"/>
    <w:rsid w:val="578042A7"/>
    <w:rsid w:val="587AC3F8"/>
    <w:rsid w:val="639B6D36"/>
    <w:rsid w:val="64EA1A48"/>
    <w:rsid w:val="6A77D476"/>
    <w:rsid w:val="6F88D164"/>
    <w:rsid w:val="79667DD5"/>
    <w:rsid w:val="7CF9F8B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1FCFA6"/>
  <w15:docId w15:val="{085332E1-6244-43A1-9F5D-F846A8980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cop report footnote,fn,Geneva 9,Font: Geneva 9,Boston 10,ft,Fotnotstext Char,ft Char,single space,footnote text,FOOTNOTES,ADB,single space1,footnote text1,FOOTNOTES1,fn1,ADB1,single space2,footnote text2,FOOTNOTES2,fn2,ADB2,single space3"/>
    <w:basedOn w:val="Normal"/>
    <w:link w:val="FootnoteTextChar"/>
    <w:unhideWhenUsed/>
    <w:qFormat/>
    <w:rsid w:val="00A43334"/>
    <w:pPr>
      <w:jc w:val="left"/>
    </w:pPr>
    <w:rPr>
      <w:sz w:val="18"/>
      <w:szCs w:val="20"/>
    </w:rPr>
  </w:style>
  <w:style w:type="character" w:customStyle="1" w:styleId="FootnoteTextChar">
    <w:name w:val="Footnote Text Char"/>
    <w:aliases w:val="cop report footnote Char,fn Char,Geneva 9 Char,Font: Geneva 9 Char,Boston 10 Char,ft Char1,Fotnotstext Char Char,ft Char Char,single space Char,footnote text Char,FOOTNOTES Char,ADB Char,single space1 Char,footnote text1 Char,fn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f"/>
    <w:basedOn w:val="DefaultParagraphFont"/>
    <w:link w:val="CharChar1CharCharCharChar1CharCharCharCharCharCharCha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aliases w:val="Bullets,List Paragraph1,Bullets1,List Paragraph11,Bullets2,List Paragraph12,Bullets3,List Paragraph13,Dot pt,F5 List Paragraph,No Spacing1,List Paragraph Char Char Char,Indicator Text,Colorful List - Accent 11,Numbered Para 1,Bullet 1,Ha"/>
    <w:basedOn w:val="Normal"/>
    <w:link w:val="ListParagraphCh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Para10">
    <w:name w:val="Para1"/>
    <w:basedOn w:val="Normal"/>
    <w:link w:val="Para1Char"/>
    <w:qFormat/>
    <w:rsid w:val="00DC354F"/>
    <w:pPr>
      <w:tabs>
        <w:tab w:val="clear" w:pos="567"/>
        <w:tab w:val="clear" w:pos="1134"/>
        <w:tab w:val="clear" w:pos="1701"/>
        <w:tab w:val="clear" w:pos="2268"/>
      </w:tabs>
      <w:spacing w:before="120" w:after="120"/>
    </w:pPr>
    <w:rPr>
      <w:rFonts w:eastAsia="Times New Roman"/>
      <w:snapToGrid w:val="0"/>
      <w:szCs w:val="18"/>
    </w:rPr>
  </w:style>
  <w:style w:type="paragraph" w:customStyle="1" w:styleId="Para30">
    <w:name w:val="Para3"/>
    <w:basedOn w:val="Normal"/>
    <w:rsid w:val="00DC354F"/>
    <w:pPr>
      <w:tabs>
        <w:tab w:val="clear" w:pos="567"/>
        <w:tab w:val="clear" w:pos="1134"/>
        <w:tab w:val="clear" w:pos="1701"/>
        <w:tab w:val="clear" w:pos="2268"/>
        <w:tab w:val="left" w:pos="1980"/>
      </w:tabs>
      <w:spacing w:before="80" w:after="80"/>
    </w:pPr>
    <w:rPr>
      <w:rFonts w:eastAsia="Times New Roman"/>
      <w:szCs w:val="20"/>
    </w:rPr>
  </w:style>
  <w:style w:type="paragraph" w:customStyle="1" w:styleId="Para4">
    <w:name w:val="Para4"/>
    <w:basedOn w:val="Para30"/>
    <w:rsid w:val="00DC354F"/>
    <w:pPr>
      <w:numPr>
        <w:ilvl w:val="7"/>
      </w:numPr>
      <w:tabs>
        <w:tab w:val="clear" w:pos="1980"/>
        <w:tab w:val="left" w:pos="2552"/>
      </w:tabs>
    </w:pPr>
  </w:style>
  <w:style w:type="character" w:customStyle="1" w:styleId="Para1Char">
    <w:name w:val="Para1 Char"/>
    <w:link w:val="Para10"/>
    <w:qFormat/>
    <w:locked/>
    <w:rsid w:val="00C92CF7"/>
    <w:rPr>
      <w:rFonts w:ascii="Times New Roman" w:eastAsia="Times New Roman" w:hAnsi="Times New Roman" w:cs="Times New Roman"/>
      <w:snapToGrid w:val="0"/>
      <w:kern w:val="0"/>
      <w:szCs w:val="18"/>
      <w:lang w:val="en-GB"/>
      <w14:ligatures w14:val="none"/>
    </w:rPr>
  </w:style>
  <w:style w:type="character" w:customStyle="1" w:styleId="ListParagraphChar">
    <w:name w:val="List Paragraph Char"/>
    <w:aliases w:val="Bullets Char,List Paragraph1 Char,Bullets1 Char,List Paragraph11 Char,Bullets2 Char,List Paragraph12 Char,Bullets3 Char,List Paragraph13 Char,Dot pt Char,F5 List Paragraph Char,No Spacing1 Char,List Paragraph Char Char Char Char"/>
    <w:basedOn w:val="DefaultParagraphFont"/>
    <w:link w:val="ListParagraph"/>
    <w:uiPriority w:val="34"/>
    <w:qFormat/>
    <w:rsid w:val="002D5270"/>
    <w:rPr>
      <w:rFonts w:ascii="Times New Roman" w:eastAsia="SimSun" w:hAnsi="Times New Roman" w:cs="Times New Roman"/>
      <w:kern w:val="0"/>
      <w:lang w:val="en-GB"/>
      <w14:ligatures w14:val="non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rsid w:val="002D5270"/>
    <w:pPr>
      <w:tabs>
        <w:tab w:val="clear" w:pos="567"/>
        <w:tab w:val="clear" w:pos="1134"/>
        <w:tab w:val="clear" w:pos="1701"/>
        <w:tab w:val="clear" w:pos="2268"/>
      </w:tabs>
      <w:snapToGrid w:val="0"/>
      <w:spacing w:before="60" w:after="160" w:line="240" w:lineRule="exact"/>
    </w:pPr>
    <w:rPr>
      <w:rFonts w:asciiTheme="minorHAnsi" w:eastAsiaTheme="minorHAnsi" w:hAnsiTheme="minorHAnsi" w:cstheme="minorBidi"/>
      <w:kern w:val="2"/>
      <w:vertAlign w:val="superscript"/>
      <w14:ligatures w14:val="standardContextual"/>
    </w:rPr>
  </w:style>
  <w:style w:type="character" w:customStyle="1" w:styleId="None">
    <w:name w:val="None"/>
    <w:rsid w:val="005D23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4022230">
      <w:bodyDiv w:val="1"/>
      <w:marLeft w:val="0"/>
      <w:marRight w:val="0"/>
      <w:marTop w:val="0"/>
      <w:marBottom w:val="0"/>
      <w:divBdr>
        <w:top w:val="none" w:sz="0" w:space="0" w:color="auto"/>
        <w:left w:val="none" w:sz="0" w:space="0" w:color="auto"/>
        <w:bottom w:val="none" w:sz="0" w:space="0" w:color="auto"/>
        <w:right w:val="none" w:sz="0" w:space="0" w:color="auto"/>
      </w:divBdr>
    </w:div>
    <w:div w:id="493567094">
      <w:bodyDiv w:val="1"/>
      <w:marLeft w:val="0"/>
      <w:marRight w:val="0"/>
      <w:marTop w:val="0"/>
      <w:marBottom w:val="0"/>
      <w:divBdr>
        <w:top w:val="none" w:sz="0" w:space="0" w:color="auto"/>
        <w:left w:val="none" w:sz="0" w:space="0" w:color="auto"/>
        <w:bottom w:val="none" w:sz="0" w:space="0" w:color="auto"/>
        <w:right w:val="none" w:sz="0" w:space="0" w:color="auto"/>
      </w:divBdr>
    </w:div>
    <w:div w:id="534075767">
      <w:bodyDiv w:val="1"/>
      <w:marLeft w:val="0"/>
      <w:marRight w:val="0"/>
      <w:marTop w:val="0"/>
      <w:marBottom w:val="0"/>
      <w:divBdr>
        <w:top w:val="none" w:sz="0" w:space="0" w:color="auto"/>
        <w:left w:val="none" w:sz="0" w:space="0" w:color="auto"/>
        <w:bottom w:val="none" w:sz="0" w:space="0" w:color="auto"/>
        <w:right w:val="none" w:sz="0" w:space="0" w:color="auto"/>
      </w:divBdr>
    </w:div>
    <w:div w:id="954991070">
      <w:bodyDiv w:val="1"/>
      <w:marLeft w:val="0"/>
      <w:marRight w:val="0"/>
      <w:marTop w:val="0"/>
      <w:marBottom w:val="0"/>
      <w:divBdr>
        <w:top w:val="none" w:sz="0" w:space="0" w:color="auto"/>
        <w:left w:val="none" w:sz="0" w:space="0" w:color="auto"/>
        <w:bottom w:val="none" w:sz="0" w:space="0" w:color="auto"/>
        <w:right w:val="none" w:sz="0" w:space="0" w:color="auto"/>
      </w:divBdr>
    </w:div>
    <w:div w:id="1019966883">
      <w:bodyDiv w:val="1"/>
      <w:marLeft w:val="0"/>
      <w:marRight w:val="0"/>
      <w:marTop w:val="0"/>
      <w:marBottom w:val="0"/>
      <w:divBdr>
        <w:top w:val="none" w:sz="0" w:space="0" w:color="auto"/>
        <w:left w:val="none" w:sz="0" w:space="0" w:color="auto"/>
        <w:bottom w:val="none" w:sz="0" w:space="0" w:color="auto"/>
        <w:right w:val="none" w:sz="0" w:space="0" w:color="auto"/>
      </w:divBdr>
    </w:div>
    <w:div w:id="1081289469">
      <w:bodyDiv w:val="1"/>
      <w:marLeft w:val="0"/>
      <w:marRight w:val="0"/>
      <w:marTop w:val="0"/>
      <w:marBottom w:val="0"/>
      <w:divBdr>
        <w:top w:val="none" w:sz="0" w:space="0" w:color="auto"/>
        <w:left w:val="none" w:sz="0" w:space="0" w:color="auto"/>
        <w:bottom w:val="none" w:sz="0" w:space="0" w:color="auto"/>
        <w:right w:val="none" w:sz="0" w:space="0" w:color="auto"/>
      </w:divBdr>
    </w:div>
    <w:div w:id="1182357233">
      <w:bodyDiv w:val="1"/>
      <w:marLeft w:val="0"/>
      <w:marRight w:val="0"/>
      <w:marTop w:val="0"/>
      <w:marBottom w:val="0"/>
      <w:divBdr>
        <w:top w:val="none" w:sz="0" w:space="0" w:color="auto"/>
        <w:left w:val="none" w:sz="0" w:space="0" w:color="auto"/>
        <w:bottom w:val="none" w:sz="0" w:space="0" w:color="auto"/>
        <w:right w:val="none" w:sz="0" w:space="0" w:color="auto"/>
      </w:divBdr>
    </w:div>
    <w:div w:id="1746218165">
      <w:bodyDiv w:val="1"/>
      <w:marLeft w:val="0"/>
      <w:marRight w:val="0"/>
      <w:marTop w:val="0"/>
      <w:marBottom w:val="0"/>
      <w:divBdr>
        <w:top w:val="none" w:sz="0" w:space="0" w:color="auto"/>
        <w:left w:val="none" w:sz="0" w:space="0" w:color="auto"/>
        <w:bottom w:val="none" w:sz="0" w:space="0" w:color="auto"/>
        <w:right w:val="none" w:sz="0" w:space="0" w:color="auto"/>
      </w:divBdr>
    </w:div>
    <w:div w:id="1783039666">
      <w:bodyDiv w:val="1"/>
      <w:marLeft w:val="0"/>
      <w:marRight w:val="0"/>
      <w:marTop w:val="0"/>
      <w:marBottom w:val="0"/>
      <w:divBdr>
        <w:top w:val="none" w:sz="0" w:space="0" w:color="auto"/>
        <w:left w:val="none" w:sz="0" w:space="0" w:color="auto"/>
        <w:bottom w:val="none" w:sz="0" w:space="0" w:color="auto"/>
        <w:right w:val="none" w:sz="0" w:space="0" w:color="auto"/>
      </w:divBdr>
    </w:div>
    <w:div w:id="1849444010">
      <w:bodyDiv w:val="1"/>
      <w:marLeft w:val="0"/>
      <w:marRight w:val="0"/>
      <w:marTop w:val="0"/>
      <w:marBottom w:val="0"/>
      <w:divBdr>
        <w:top w:val="none" w:sz="0" w:space="0" w:color="auto"/>
        <w:left w:val="none" w:sz="0" w:space="0" w:color="auto"/>
        <w:bottom w:val="none" w:sz="0" w:space="0" w:color="auto"/>
        <w:right w:val="none" w:sz="0" w:space="0" w:color="auto"/>
      </w:divBdr>
    </w:div>
    <w:div w:id="1977679967">
      <w:bodyDiv w:val="1"/>
      <w:marLeft w:val="0"/>
      <w:marRight w:val="0"/>
      <w:marTop w:val="0"/>
      <w:marBottom w:val="0"/>
      <w:divBdr>
        <w:top w:val="none" w:sz="0" w:space="0" w:color="auto"/>
        <w:left w:val="none" w:sz="0" w:space="0" w:color="auto"/>
        <w:bottom w:val="none" w:sz="0" w:space="0" w:color="auto"/>
        <w:right w:val="none" w:sz="0" w:space="0" w:color="auto"/>
      </w:divBdr>
    </w:div>
    <w:div w:id="20211558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thegef.org/sites/default/files/documents/2023-07/EN_GEF.C.64.05.REV01_Global%20Biodiversity_Framework_Fund_Establishment%20final%20checked.pdf" TargetMode="External"/><Relationship Id="rId1" Type="http://schemas.openxmlformats.org/officeDocument/2006/relationships/hyperlink" Target="https://bch.cbd.int/protocol/cpb_art28_info.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ANDIVE\OneDrive%20-%20United%20Nations\Documents\COPMOP11\Financial%20mechnism%20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F5DEFB9F8A84A80917F20287DE8E427"/>
        <w:category>
          <w:name w:val="General"/>
          <w:gallery w:val="placeholder"/>
        </w:category>
        <w:types>
          <w:type w:val="bbPlcHdr"/>
        </w:types>
        <w:behaviors>
          <w:behavior w:val="content"/>
        </w:behaviors>
        <w:guid w:val="{33066CEC-0342-4892-862D-957844EE27E1}"/>
      </w:docPartPr>
      <w:docPartBody>
        <w:p w:rsidR="00443278" w:rsidRDefault="00BC2CB7">
          <w:pPr>
            <w:pStyle w:val="6F5DEFB9F8A84A80917F20287DE8E42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69A"/>
    <w:rsid w:val="000071D6"/>
    <w:rsid w:val="00107FB1"/>
    <w:rsid w:val="001C363F"/>
    <w:rsid w:val="002538FD"/>
    <w:rsid w:val="00264ED4"/>
    <w:rsid w:val="0028272F"/>
    <w:rsid w:val="002F41ED"/>
    <w:rsid w:val="00374D9B"/>
    <w:rsid w:val="003E6F2F"/>
    <w:rsid w:val="00443278"/>
    <w:rsid w:val="004D2404"/>
    <w:rsid w:val="005B0FEE"/>
    <w:rsid w:val="00644C6F"/>
    <w:rsid w:val="006709B9"/>
    <w:rsid w:val="006C67B3"/>
    <w:rsid w:val="00744369"/>
    <w:rsid w:val="00782A0E"/>
    <w:rsid w:val="007A59CE"/>
    <w:rsid w:val="007D2C6A"/>
    <w:rsid w:val="00825BD6"/>
    <w:rsid w:val="0088741A"/>
    <w:rsid w:val="00890055"/>
    <w:rsid w:val="008A369A"/>
    <w:rsid w:val="00B64318"/>
    <w:rsid w:val="00BC1476"/>
    <w:rsid w:val="00BC2CB7"/>
    <w:rsid w:val="00BF748D"/>
    <w:rsid w:val="00C22018"/>
    <w:rsid w:val="00C41963"/>
    <w:rsid w:val="00CC4ED2"/>
    <w:rsid w:val="00D557D5"/>
    <w:rsid w:val="00D93F2C"/>
    <w:rsid w:val="00DD5AD9"/>
    <w:rsid w:val="00DE6FC2"/>
    <w:rsid w:val="00E17099"/>
    <w:rsid w:val="00E65273"/>
    <w:rsid w:val="00EE77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F5DEFB9F8A84A80917F20287DE8E427">
    <w:name w:val="6F5DEFB9F8A84A80917F20287DE8E4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0546C242-CA6D-4028-8D45-D7B940FC09EC}">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6EC01FC6-41C6-47C3-B72A-FCC15011A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Financial mechnism cp-mop-11-en</Template>
  <TotalTime>532</TotalTime>
  <Pages>7</Pages>
  <Words>3135</Words>
  <Characters>16888</Characters>
  <Application>Microsoft Office Word</Application>
  <DocSecurity>0</DocSecurity>
  <Lines>259</Lines>
  <Paragraphs>91</Paragraphs>
  <ScaleCrop>false</ScaleCrop>
  <HeadingPairs>
    <vt:vector size="2" baseType="variant">
      <vt:variant>
        <vt:lpstr>Title</vt:lpstr>
      </vt:variant>
      <vt:variant>
        <vt:i4>1</vt:i4>
      </vt:variant>
    </vt:vector>
  </HeadingPairs>
  <TitlesOfParts>
    <vt:vector size="1" baseType="lpstr">
      <vt:lpstr>Mecanismo financiero y recursos financieros</vt:lpstr>
    </vt:vector>
  </TitlesOfParts>
  <Company/>
  <LinksUpToDate>false</LinksUpToDate>
  <CharactersWithSpaces>19932</CharactersWithSpaces>
  <SharedDoc>false</SharedDoc>
  <HLinks>
    <vt:vector size="156" baseType="variant">
      <vt:variant>
        <vt:i4>5570681</vt:i4>
      </vt:variant>
      <vt:variant>
        <vt:i4>72</vt:i4>
      </vt:variant>
      <vt:variant>
        <vt:i4>0</vt:i4>
      </vt:variant>
      <vt:variant>
        <vt:i4>5</vt:i4>
      </vt:variant>
      <vt:variant>
        <vt:lpwstr>https://www.jsps.go.jp/english/e-contact_us/</vt:lpwstr>
      </vt:variant>
      <vt:variant>
        <vt:lpwstr/>
      </vt:variant>
      <vt:variant>
        <vt:i4>7471151</vt:i4>
      </vt:variant>
      <vt:variant>
        <vt:i4>69</vt:i4>
      </vt:variant>
      <vt:variant>
        <vt:i4>0</vt:i4>
      </vt:variant>
      <vt:variant>
        <vt:i4>5</vt:i4>
      </vt:variant>
      <vt:variant>
        <vt:lpwstr>https://www.jsps.go.jp/english/</vt:lpwstr>
      </vt:variant>
      <vt:variant>
        <vt:lpwstr/>
      </vt:variant>
      <vt:variant>
        <vt:i4>1507366</vt:i4>
      </vt:variant>
      <vt:variant>
        <vt:i4>66</vt:i4>
      </vt:variant>
      <vt:variant>
        <vt:i4>0</vt:i4>
      </vt:variant>
      <vt:variant>
        <vt:i4>5</vt:i4>
      </vt:variant>
      <vt:variant>
        <vt:lpwstr>mailto:inquiries@iaf.gov</vt:lpwstr>
      </vt:variant>
      <vt:variant>
        <vt:lpwstr/>
      </vt:variant>
      <vt:variant>
        <vt:i4>4653150</vt:i4>
      </vt:variant>
      <vt:variant>
        <vt:i4>63</vt:i4>
      </vt:variant>
      <vt:variant>
        <vt:i4>0</vt:i4>
      </vt:variant>
      <vt:variant>
        <vt:i4>5</vt:i4>
      </vt:variant>
      <vt:variant>
        <vt:lpwstr>https://www.iaf.gov/</vt:lpwstr>
      </vt:variant>
      <vt:variant>
        <vt:lpwstr/>
      </vt:variant>
      <vt:variant>
        <vt:i4>2359327</vt:i4>
      </vt:variant>
      <vt:variant>
        <vt:i4>60</vt:i4>
      </vt:variant>
      <vt:variant>
        <vt:i4>0</vt:i4>
      </vt:variant>
      <vt:variant>
        <vt:i4>5</vt:i4>
      </vt:variant>
      <vt:variant>
        <vt:lpwstr>mailto:info@arabfund.org</vt:lpwstr>
      </vt:variant>
      <vt:variant>
        <vt:lpwstr/>
      </vt:variant>
      <vt:variant>
        <vt:i4>4259860</vt:i4>
      </vt:variant>
      <vt:variant>
        <vt:i4>57</vt:i4>
      </vt:variant>
      <vt:variant>
        <vt:i4>0</vt:i4>
      </vt:variant>
      <vt:variant>
        <vt:i4>5</vt:i4>
      </vt:variant>
      <vt:variant>
        <vt:lpwstr>https://www.arabfund.org/</vt:lpwstr>
      </vt:variant>
      <vt:variant>
        <vt:lpwstr/>
      </vt:variant>
      <vt:variant>
        <vt:i4>3538974</vt:i4>
      </vt:variant>
      <vt:variant>
        <vt:i4>54</vt:i4>
      </vt:variant>
      <vt:variant>
        <vt:i4>0</vt:i4>
      </vt:variant>
      <vt:variant>
        <vt:i4>5</vt:i4>
      </vt:variant>
      <vt:variant>
        <vt:lpwstr>mailto:office@cost.eu</vt:lpwstr>
      </vt:variant>
      <vt:variant>
        <vt:lpwstr/>
      </vt:variant>
      <vt:variant>
        <vt:i4>1638411</vt:i4>
      </vt:variant>
      <vt:variant>
        <vt:i4>51</vt:i4>
      </vt:variant>
      <vt:variant>
        <vt:i4>0</vt:i4>
      </vt:variant>
      <vt:variant>
        <vt:i4>5</vt:i4>
      </vt:variant>
      <vt:variant>
        <vt:lpwstr>https://www.cost.eu/</vt:lpwstr>
      </vt:variant>
      <vt:variant>
        <vt:lpwstr/>
      </vt:variant>
      <vt:variant>
        <vt:i4>1704012</vt:i4>
      </vt:variant>
      <vt:variant>
        <vt:i4>48</vt:i4>
      </vt:variant>
      <vt:variant>
        <vt:i4>0</vt:i4>
      </vt:variant>
      <vt:variant>
        <vt:i4>5</vt:i4>
      </vt:variant>
      <vt:variant>
        <vt:lpwstr>https://www.usaid.gov/contact-us</vt:lpwstr>
      </vt:variant>
      <vt:variant>
        <vt:lpwstr/>
      </vt:variant>
      <vt:variant>
        <vt:i4>3932193</vt:i4>
      </vt:variant>
      <vt:variant>
        <vt:i4>45</vt:i4>
      </vt:variant>
      <vt:variant>
        <vt:i4>0</vt:i4>
      </vt:variant>
      <vt:variant>
        <vt:i4>5</vt:i4>
      </vt:variant>
      <vt:variant>
        <vt:lpwstr>https://www.usaid.gov/</vt:lpwstr>
      </vt:variant>
      <vt:variant>
        <vt:lpwstr/>
      </vt:variant>
      <vt:variant>
        <vt:i4>6946817</vt:i4>
      </vt:variant>
      <vt:variant>
        <vt:i4>42</vt:i4>
      </vt:variant>
      <vt:variant>
        <vt:i4>0</vt:i4>
      </vt:variant>
      <vt:variant>
        <vt:i4>5</vt:i4>
      </vt:variant>
      <vt:variant>
        <vt:lpwstr>mailto:bic@nsfc.gov.cn</vt:lpwstr>
      </vt:variant>
      <vt:variant>
        <vt:lpwstr/>
      </vt:variant>
      <vt:variant>
        <vt:i4>327753</vt:i4>
      </vt:variant>
      <vt:variant>
        <vt:i4>39</vt:i4>
      </vt:variant>
      <vt:variant>
        <vt:i4>0</vt:i4>
      </vt:variant>
      <vt:variant>
        <vt:i4>5</vt:i4>
      </vt:variant>
      <vt:variant>
        <vt:lpwstr>https://www.nsfc.gov.cn/</vt:lpwstr>
      </vt:variant>
      <vt:variant>
        <vt:lpwstr/>
      </vt:variant>
      <vt:variant>
        <vt:i4>4128807</vt:i4>
      </vt:variant>
      <vt:variant>
        <vt:i4>36</vt:i4>
      </vt:variant>
      <vt:variant>
        <vt:i4>0</vt:i4>
      </vt:variant>
      <vt:variant>
        <vt:i4>5</vt:i4>
      </vt:variant>
      <vt:variant>
        <vt:lpwstr>https://www.bmz.de/en/services/contact</vt:lpwstr>
      </vt:variant>
      <vt:variant>
        <vt:lpwstr/>
      </vt:variant>
      <vt:variant>
        <vt:i4>720915</vt:i4>
      </vt:variant>
      <vt:variant>
        <vt:i4>33</vt:i4>
      </vt:variant>
      <vt:variant>
        <vt:i4>0</vt:i4>
      </vt:variant>
      <vt:variant>
        <vt:i4>5</vt:i4>
      </vt:variant>
      <vt:variant>
        <vt:lpwstr>https://www.bmz.de/en</vt:lpwstr>
      </vt:variant>
      <vt:variant>
        <vt:lpwstr/>
      </vt:variant>
      <vt:variant>
        <vt:i4>2097180</vt:i4>
      </vt:variant>
      <vt:variant>
        <vt:i4>30</vt:i4>
      </vt:variant>
      <vt:variant>
        <vt:i4>0</vt:i4>
      </vt:variant>
      <vt:variant>
        <vt:i4>5</vt:i4>
      </vt:variant>
      <vt:variant>
        <vt:lpwstr>mailto:ifad@ifad.org</vt:lpwstr>
      </vt:variant>
      <vt:variant>
        <vt:lpwstr/>
      </vt:variant>
      <vt:variant>
        <vt:i4>4325396</vt:i4>
      </vt:variant>
      <vt:variant>
        <vt:i4>27</vt:i4>
      </vt:variant>
      <vt:variant>
        <vt:i4>0</vt:i4>
      </vt:variant>
      <vt:variant>
        <vt:i4>5</vt:i4>
      </vt:variant>
      <vt:variant>
        <vt:lpwstr>https://www.ifad.org/</vt:lpwstr>
      </vt:variant>
      <vt:variant>
        <vt:lpwstr/>
      </vt:variant>
      <vt:variant>
        <vt:i4>3276834</vt:i4>
      </vt:variant>
      <vt:variant>
        <vt:i4>24</vt:i4>
      </vt:variant>
      <vt:variant>
        <vt:i4>0</vt:i4>
      </vt:variant>
      <vt:variant>
        <vt:i4>5</vt:i4>
      </vt:variant>
      <vt:variant>
        <vt:lpwstr>https://idrc-crdi.ca/en/contact-us</vt:lpwstr>
      </vt:variant>
      <vt:variant>
        <vt:lpwstr/>
      </vt:variant>
      <vt:variant>
        <vt:i4>3866657</vt:i4>
      </vt:variant>
      <vt:variant>
        <vt:i4>21</vt:i4>
      </vt:variant>
      <vt:variant>
        <vt:i4>0</vt:i4>
      </vt:variant>
      <vt:variant>
        <vt:i4>5</vt:i4>
      </vt:variant>
      <vt:variant>
        <vt:lpwstr>https://idrc-crdi.ca/en</vt:lpwstr>
      </vt:variant>
      <vt:variant>
        <vt:lpwstr/>
      </vt:variant>
      <vt:variant>
        <vt:i4>7733348</vt:i4>
      </vt:variant>
      <vt:variant>
        <vt:i4>18</vt:i4>
      </vt:variant>
      <vt:variant>
        <vt:i4>0</vt:i4>
      </vt:variant>
      <vt:variant>
        <vt:i4>5</vt:i4>
      </vt:variant>
      <vt:variant>
        <vt:lpwstr>https://opecfund.org/contact-us</vt:lpwstr>
      </vt:variant>
      <vt:variant>
        <vt:lpwstr/>
      </vt:variant>
      <vt:variant>
        <vt:i4>1769502</vt:i4>
      </vt:variant>
      <vt:variant>
        <vt:i4>15</vt:i4>
      </vt:variant>
      <vt:variant>
        <vt:i4>0</vt:i4>
      </vt:variant>
      <vt:variant>
        <vt:i4>5</vt:i4>
      </vt:variant>
      <vt:variant>
        <vt:lpwstr>https://opecfund.org/</vt:lpwstr>
      </vt:variant>
      <vt:variant>
        <vt:lpwstr/>
      </vt:variant>
      <vt:variant>
        <vt:i4>4128818</vt:i4>
      </vt:variant>
      <vt:variant>
        <vt:i4>12</vt:i4>
      </vt:variant>
      <vt:variant>
        <vt:i4>0</vt:i4>
      </vt:variant>
      <vt:variant>
        <vt:i4>5</vt:i4>
      </vt:variant>
      <vt:variant>
        <vt:lpwstr>https://www.nepad.org/</vt:lpwstr>
      </vt:variant>
      <vt:variant>
        <vt:lpwstr/>
      </vt:variant>
      <vt:variant>
        <vt:i4>3997732</vt:i4>
      </vt:variant>
      <vt:variant>
        <vt:i4>9</vt:i4>
      </vt:variant>
      <vt:variant>
        <vt:i4>0</vt:i4>
      </vt:variant>
      <vt:variant>
        <vt:i4>5</vt:i4>
      </vt:variant>
      <vt:variant>
        <vt:lpwstr>https://www.icgeb.org/</vt:lpwstr>
      </vt:variant>
      <vt:variant>
        <vt:lpwstr/>
      </vt:variant>
      <vt:variant>
        <vt:i4>1048703</vt:i4>
      </vt:variant>
      <vt:variant>
        <vt:i4>6</vt:i4>
      </vt:variant>
      <vt:variant>
        <vt:i4>0</vt:i4>
      </vt:variant>
      <vt:variant>
        <vt:i4>5</vt:i4>
      </vt:variant>
      <vt:variant>
        <vt:lpwstr>mailto:unep-montevideo@un.org</vt:lpwstr>
      </vt:variant>
      <vt:variant>
        <vt:lpwstr/>
      </vt:variant>
      <vt:variant>
        <vt:i4>7995437</vt:i4>
      </vt:variant>
      <vt:variant>
        <vt:i4>3</vt:i4>
      </vt:variant>
      <vt:variant>
        <vt:i4>0</vt:i4>
      </vt:variant>
      <vt:variant>
        <vt:i4>5</vt:i4>
      </vt:variant>
      <vt:variant>
        <vt:lpwstr>https://www.thegef.org/what-we-do/topics/global-biodiversity-framework-fund</vt:lpwstr>
      </vt:variant>
      <vt:variant>
        <vt:lpwstr/>
      </vt:variant>
      <vt:variant>
        <vt:i4>524379</vt:i4>
      </vt:variant>
      <vt:variant>
        <vt:i4>0</vt:i4>
      </vt:variant>
      <vt:variant>
        <vt:i4>0</vt:i4>
      </vt:variant>
      <vt:variant>
        <vt:i4>5</vt:i4>
      </vt:variant>
      <vt:variant>
        <vt:lpwstr>https://www.cbd.int/gbf/</vt:lpwstr>
      </vt:variant>
      <vt:variant>
        <vt:lpwstr/>
      </vt:variant>
      <vt:variant>
        <vt:i4>4325487</vt:i4>
      </vt:variant>
      <vt:variant>
        <vt:i4>0</vt:i4>
      </vt:variant>
      <vt:variant>
        <vt:i4>0</vt:i4>
      </vt:variant>
      <vt:variant>
        <vt:i4>5</vt:i4>
      </vt:variant>
      <vt:variant>
        <vt:lpwstr>https://www.thegef.org/sites/default/files/documents/2023-07/EN_GEF.C.64.05.REV01_Global Biodiversity_Framework_Fund_Establishment final checked.pdf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financiero y recursos financieros</dc:title>
  <dc:subject>CBD/CP/MOP/11/---</dc:subject>
  <dc:creator>Wadzanayi Mandivenyi</dc:creator>
  <cp:keywords>Conference of the Parties to the Convention on Biological Diversity serving as the meeting of the Parties to the Cartagena Protocol on Biosafety</cp:keywords>
  <dc:description/>
  <cp:lastModifiedBy>Mariko Nishi</cp:lastModifiedBy>
  <cp:revision>34</cp:revision>
  <cp:lastPrinted>2024-09-25T09:39:00Z</cp:lastPrinted>
  <dcterms:created xsi:type="dcterms:W3CDTF">2024-09-24T19:42:00Z</dcterms:created>
  <dcterms:modified xsi:type="dcterms:W3CDTF">2024-09-25T20:48:00Z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