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EA442C" w14:paraId="5A9A1D8A" w14:textId="77777777" w:rsidTr="007325FD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620A68D1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59BD11CC" wp14:editId="4560ACBB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4640B38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28CF51CF" wp14:editId="34823DC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4D0F2F65" w14:textId="03D1E3D7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A00234">
              <w:rPr>
                <w:szCs w:val="40"/>
              </w:rPr>
              <w:t>/COP/16/</w:t>
            </w:r>
            <w:r w:rsidR="00F2294F">
              <w:rPr>
                <w:szCs w:val="40"/>
              </w:rPr>
              <w:t>INF/27</w:t>
            </w:r>
          </w:p>
        </w:tc>
      </w:tr>
      <w:tr w:rsidR="00A96B21" w:rsidRPr="00EA442C" w14:paraId="6478D76D" w14:textId="77777777" w:rsidTr="007325FD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56C2DE4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0389C5E1" wp14:editId="57790B80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02298037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0D285F2D" w14:textId="75AA8BF4" w:rsidR="00A96B21" w:rsidRPr="003C6F10" w:rsidRDefault="00F2294F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September</w:t>
            </w:r>
            <w:r w:rsidRPr="003C6F10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A00234">
              <w:rPr>
                <w:sz w:val="22"/>
                <w:szCs w:val="22"/>
              </w:rPr>
              <w:t>4</w:t>
            </w:r>
          </w:p>
          <w:p w14:paraId="60D806BB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5A872C68" w14:textId="2AC81324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F2294F">
              <w:rPr>
                <w:sz w:val="22"/>
                <w:szCs w:val="22"/>
              </w:rPr>
              <w:t xml:space="preserve"> only</w:t>
            </w:r>
          </w:p>
          <w:p w14:paraId="0EBF85B3" w14:textId="77777777" w:rsidR="00A96B21" w:rsidRPr="00550DCE" w:rsidRDefault="00A96B21" w:rsidP="00B60E5F"/>
        </w:tc>
      </w:tr>
    </w:tbl>
    <w:p w14:paraId="0AED61AB" w14:textId="77777777" w:rsidR="00874541" w:rsidRDefault="00A00234" w:rsidP="00A00234">
      <w:pPr>
        <w:pStyle w:val="Cornernotation"/>
        <w:ind w:left="0" w:right="5249" w:firstLine="0"/>
        <w:rPr>
          <w:bCs/>
        </w:rPr>
      </w:pPr>
      <w:r>
        <w:rPr>
          <w:bCs/>
        </w:rPr>
        <w:t>Conference of the Parties to the Convention on Biological Diversity</w:t>
      </w:r>
    </w:p>
    <w:p w14:paraId="4FC89445" w14:textId="77777777" w:rsidR="00A96B21" w:rsidRDefault="00A00234" w:rsidP="00A96B21">
      <w:pPr>
        <w:pStyle w:val="Cornernotation"/>
        <w:rPr>
          <w:bCs/>
          <w:sz w:val="22"/>
        </w:rPr>
      </w:pPr>
      <w:r>
        <w:rPr>
          <w:bCs/>
          <w:sz w:val="22"/>
        </w:rPr>
        <w:t>Sixteenth</w:t>
      </w:r>
      <w:r w:rsidR="00A96B21" w:rsidRPr="00A96B21">
        <w:rPr>
          <w:bCs/>
          <w:sz w:val="22"/>
        </w:rPr>
        <w:t xml:space="preserve"> meeting </w:t>
      </w:r>
    </w:p>
    <w:p w14:paraId="5CECE8EA" w14:textId="77777777" w:rsidR="00A96B21" w:rsidRPr="00935461" w:rsidRDefault="00A00234" w:rsidP="00A96B21">
      <w:pPr>
        <w:pStyle w:val="Venuedate"/>
        <w:rPr>
          <w:lang w:val="en-CA"/>
        </w:rPr>
      </w:pPr>
      <w:r>
        <w:rPr>
          <w:lang w:val="en-CA"/>
        </w:rPr>
        <w:t>Cali, Colombia, 21 October–1 November 2024</w:t>
      </w:r>
    </w:p>
    <w:p w14:paraId="07B04EA6" w14:textId="58931D86" w:rsidR="00A96B21" w:rsidRPr="00441498" w:rsidRDefault="00A96B21" w:rsidP="00A96B21">
      <w:pPr>
        <w:pStyle w:val="Cornernotation-Item"/>
        <w:rPr>
          <w:b w:val="0"/>
          <w:bCs w:val="0"/>
        </w:rPr>
      </w:pPr>
      <w:r w:rsidRPr="00441498">
        <w:rPr>
          <w:b w:val="0"/>
          <w:bCs w:val="0"/>
        </w:rPr>
        <w:t xml:space="preserve">Item </w:t>
      </w:r>
      <w:r w:rsidR="00F2294F">
        <w:rPr>
          <w:b w:val="0"/>
          <w:bCs w:val="0"/>
        </w:rPr>
        <w:t>11</w:t>
      </w:r>
      <w:r w:rsidRPr="00441498">
        <w:rPr>
          <w:b w:val="0"/>
          <w:bCs w:val="0"/>
        </w:rPr>
        <w:t xml:space="preserve"> of the provisional agenda</w:t>
      </w:r>
      <w:r w:rsidRPr="00441498">
        <w:rPr>
          <w:rStyle w:val="FootnoteReference"/>
          <w:b w:val="0"/>
          <w:bCs w:val="0"/>
        </w:rPr>
        <w:footnoteReference w:customMarkFollows="1" w:id="1"/>
        <w:t>*</w:t>
      </w:r>
    </w:p>
    <w:p w14:paraId="11C5F087" w14:textId="1EE08888" w:rsidR="00A96B21" w:rsidRDefault="002C0EB0" w:rsidP="00A96B21">
      <w:pPr>
        <w:pStyle w:val="Cornernotation-Item"/>
      </w:pPr>
      <w:r w:rsidRPr="002C0EB0">
        <w:t>Resource mobilization and financial mechanism</w:t>
      </w:r>
    </w:p>
    <w:bookmarkEnd w:id="0"/>
    <w:p w14:paraId="71A923B0" w14:textId="59FA7A7B" w:rsidR="00A96B21" w:rsidRDefault="00000000" w:rsidP="001454DA">
      <w:pPr>
        <w:pStyle w:val="CBDTitle"/>
      </w:pPr>
      <w:sdt>
        <w:sdtPr>
          <w:alias w:val="Title"/>
          <w:tag w:val=""/>
          <w:id w:val="-1975355689"/>
          <w:placeholder>
            <w:docPart w:val="C3157089895D4FA99B172512C0FA7FF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F030D" w:rsidRPr="004F030D">
            <w:t>E</w:t>
          </w:r>
          <w:r w:rsidR="004F030D">
            <w:t>lements of previous</w:t>
          </w:r>
          <w:r w:rsidR="004F030D" w:rsidRPr="004F030D">
            <w:t xml:space="preserve"> guidance to the Global Environment Facility related to </w:t>
          </w:r>
          <w:r w:rsidR="007B7A31">
            <w:t>s</w:t>
          </w:r>
          <w:r w:rsidR="004F030D" w:rsidRPr="004F030D">
            <w:t>ection C</w:t>
          </w:r>
          <w:r w:rsidR="004F030D">
            <w:t xml:space="preserve"> and </w:t>
          </w:r>
          <w:r w:rsidR="004F030D" w:rsidRPr="004F030D">
            <w:t>Target</w:t>
          </w:r>
          <w:r w:rsidR="00365941">
            <w:t>s</w:t>
          </w:r>
          <w:r w:rsidR="004F030D" w:rsidRPr="004F030D">
            <w:t xml:space="preserve"> 2 </w:t>
          </w:r>
          <w:r w:rsidR="00365941">
            <w:t xml:space="preserve">and 23 </w:t>
          </w:r>
          <w:r w:rsidR="004F030D" w:rsidRPr="004F030D">
            <w:t>of the Kunming-Montreal Global Biodiversity Framework</w:t>
          </w:r>
        </w:sdtContent>
      </w:sdt>
    </w:p>
    <w:p w14:paraId="00CAFD12" w14:textId="77777777" w:rsidR="00A96B21" w:rsidRDefault="00A96B21" w:rsidP="001454DA">
      <w:pPr>
        <w:pStyle w:val="CBDSubTitle"/>
      </w:pPr>
      <w:r w:rsidRPr="00A96B21">
        <w:t>Note by the Secretariat</w:t>
      </w:r>
    </w:p>
    <w:p w14:paraId="5CA60B77" w14:textId="21DB7B0F" w:rsidR="00484B7D" w:rsidRPr="007325FD" w:rsidRDefault="00324572" w:rsidP="00D7243A">
      <w:pPr>
        <w:pStyle w:val="CBDNormalNumber"/>
        <w:numPr>
          <w:ilvl w:val="0"/>
          <w:numId w:val="21"/>
        </w:numPr>
        <w:spacing w:before="120"/>
        <w:rPr>
          <w:lang w:val="en-US"/>
        </w:rPr>
      </w:pPr>
      <w:r w:rsidRPr="007325FD">
        <w:rPr>
          <w:lang w:val="en-US"/>
        </w:rPr>
        <w:t xml:space="preserve">The present document complements </w:t>
      </w:r>
      <w:r>
        <w:rPr>
          <w:lang w:val="en-US"/>
        </w:rPr>
        <w:t xml:space="preserve">information provided in </w:t>
      </w:r>
      <w:r w:rsidRPr="007325FD">
        <w:rPr>
          <w:lang w:val="en-US"/>
        </w:rPr>
        <w:t xml:space="preserve">section </w:t>
      </w:r>
      <w:r w:rsidR="00BA6522">
        <w:rPr>
          <w:lang w:val="en-US"/>
        </w:rPr>
        <w:t>IV</w:t>
      </w:r>
      <w:r w:rsidRPr="007325FD">
        <w:rPr>
          <w:lang w:val="en-US"/>
        </w:rPr>
        <w:t xml:space="preserve"> of </w:t>
      </w:r>
      <w:r w:rsidR="00BB0B3D">
        <w:rPr>
          <w:lang w:val="en-US"/>
        </w:rPr>
        <w:t xml:space="preserve">and the annex to </w:t>
      </w:r>
      <w:r w:rsidRPr="007325FD">
        <w:rPr>
          <w:lang w:val="en-US"/>
        </w:rPr>
        <w:t>do</w:t>
      </w:r>
      <w:r>
        <w:rPr>
          <w:lang w:val="en-US"/>
        </w:rPr>
        <w:t>cument CBD/COP/16/6</w:t>
      </w:r>
      <w:r w:rsidR="00BB0B3D">
        <w:rPr>
          <w:lang w:val="en-US"/>
        </w:rPr>
        <w:t>.</w:t>
      </w:r>
    </w:p>
    <w:p w14:paraId="1B1C1D9D" w14:textId="55F11694" w:rsidR="00A92F1E" w:rsidRDefault="00AD3CC2" w:rsidP="005A5CEE">
      <w:pPr>
        <w:pStyle w:val="CBDNormalNumber"/>
        <w:numPr>
          <w:ilvl w:val="0"/>
          <w:numId w:val="21"/>
        </w:numPr>
        <w:spacing w:before="120"/>
      </w:pPr>
      <w:r>
        <w:rPr>
          <w:lang w:val="en-US"/>
        </w:rPr>
        <w:t>In</w:t>
      </w:r>
      <w:r w:rsidR="00B64B56">
        <w:t xml:space="preserve"> </w:t>
      </w:r>
      <w:r w:rsidR="00D103B3">
        <w:t>its</w:t>
      </w:r>
      <w:r w:rsidR="00D7243A">
        <w:t xml:space="preserve"> </w:t>
      </w:r>
      <w:r>
        <w:t>guidance</w:t>
      </w:r>
      <w:r w:rsidR="00484B7D">
        <w:t xml:space="preserve"> </w:t>
      </w:r>
      <w:r w:rsidR="00F70543">
        <w:t>t</w:t>
      </w:r>
      <w:r w:rsidR="00802B43">
        <w:t xml:space="preserve">o the Global Environment Facility (GEF) </w:t>
      </w:r>
      <w:r w:rsidR="00484B7D">
        <w:t xml:space="preserve">provided </w:t>
      </w:r>
      <w:r w:rsidR="006A05B5">
        <w:t>in</w:t>
      </w:r>
      <w:r w:rsidR="00484B7D">
        <w:t xml:space="preserve"> the </w:t>
      </w:r>
      <w:r w:rsidR="0073451A">
        <w:t xml:space="preserve">four-year outcome-oriented </w:t>
      </w:r>
      <w:r w:rsidR="00EA3B32">
        <w:t xml:space="preserve">framework </w:t>
      </w:r>
      <w:r w:rsidR="00F10965">
        <w:t>o</w:t>
      </w:r>
      <w:r w:rsidR="002E6665">
        <w:t>f</w:t>
      </w:r>
      <w:r w:rsidR="00F10965">
        <w:t xml:space="preserve"> programme </w:t>
      </w:r>
      <w:r w:rsidR="0073451A">
        <w:t xml:space="preserve">priorities </w:t>
      </w:r>
      <w:r w:rsidR="00F10965">
        <w:t xml:space="preserve">of the </w:t>
      </w:r>
      <w:r w:rsidR="00F10965" w:rsidRPr="00F10965">
        <w:t xml:space="preserve">Convention </w:t>
      </w:r>
      <w:r w:rsidR="00F10965">
        <w:t>o</w:t>
      </w:r>
      <w:r w:rsidR="00F10965" w:rsidRPr="00F10965">
        <w:t xml:space="preserve">n Biological Diversity </w:t>
      </w:r>
      <w:r w:rsidR="0073451A">
        <w:t xml:space="preserve">for the eighth replenishment period </w:t>
      </w:r>
      <w:r w:rsidR="002E6665">
        <w:t>(2022–2026</w:t>
      </w:r>
      <w:r w:rsidR="002E6665">
        <w:rPr>
          <w:lang w:val="en-US"/>
        </w:rPr>
        <w:t xml:space="preserve">) </w:t>
      </w:r>
      <w:r w:rsidR="0073451A">
        <w:t xml:space="preserve">of the GEF </w:t>
      </w:r>
      <w:r w:rsidR="003A5682">
        <w:t xml:space="preserve">Trust Fund </w:t>
      </w:r>
      <w:r w:rsidR="0073451A">
        <w:t xml:space="preserve">adopted at </w:t>
      </w:r>
      <w:r w:rsidR="00D103B3">
        <w:t xml:space="preserve">the </w:t>
      </w:r>
      <w:r w:rsidR="0073451A">
        <w:t>fifteenth meeting,</w:t>
      </w:r>
      <w:r w:rsidR="0073451A">
        <w:rPr>
          <w:rStyle w:val="FootnoteReference"/>
        </w:rPr>
        <w:footnoteReference w:id="2"/>
      </w:r>
      <w:r w:rsidR="0073451A">
        <w:t xml:space="preserve"> </w:t>
      </w:r>
      <w:r w:rsidR="005A5CEE">
        <w:t xml:space="preserve">the Conference of the Parties included the </w:t>
      </w:r>
      <w:r w:rsidR="00D7243A">
        <w:t>provi</w:t>
      </w:r>
      <w:r w:rsidR="005A5CEE">
        <w:t>sion of</w:t>
      </w:r>
      <w:r w:rsidR="00D7243A">
        <w:t xml:space="preserve"> effective implementation support to the implementation of the </w:t>
      </w:r>
      <w:r w:rsidR="00A92F1E">
        <w:t xml:space="preserve">Kunming-Montreal Global Biodiversity Framework, including its goals and targets </w:t>
      </w:r>
      <w:r w:rsidR="00437534">
        <w:t xml:space="preserve">that </w:t>
      </w:r>
      <w:r w:rsidR="00A92F1E">
        <w:t>define</w:t>
      </w:r>
      <w:r w:rsidR="00F62481">
        <w:t>d</w:t>
      </w:r>
      <w:r w:rsidR="00A92F1E">
        <w:t xml:space="preserve"> the outcomes being sought</w:t>
      </w:r>
      <w:r w:rsidR="00BA6522">
        <w:t xml:space="preserve"> </w:t>
      </w:r>
      <w:r w:rsidR="00EF6DB9">
        <w:t>under</w:t>
      </w:r>
      <w:r w:rsidR="00BA6522">
        <w:t xml:space="preserve"> the four-year framework</w:t>
      </w:r>
      <w:r w:rsidR="00D7243A">
        <w:t>.</w:t>
      </w:r>
    </w:p>
    <w:p w14:paraId="013C27C2" w14:textId="5CDB437A" w:rsidR="00324572" w:rsidRDefault="00324572" w:rsidP="00D7243A">
      <w:pPr>
        <w:pStyle w:val="CBDNormalNumber"/>
        <w:numPr>
          <w:ilvl w:val="0"/>
          <w:numId w:val="21"/>
        </w:numPr>
        <w:spacing w:before="120"/>
      </w:pPr>
      <w:r>
        <w:t xml:space="preserve">In its recommendation 4/4, the Subsidiary Body on Implementation requested the Executive Secretary </w:t>
      </w:r>
      <w:r w:rsidRPr="00324572">
        <w:t>to develop, for consideration by the Conference of the Parties at its sixteenth meeting, elements of guidance to support the implementation of those sections, goals and targets of the Framework that ha</w:t>
      </w:r>
      <w:r w:rsidR="00B347C9">
        <w:t>d</w:t>
      </w:r>
      <w:r w:rsidRPr="00324572">
        <w:t xml:space="preserve"> not been covered specifically or comprehensively in any previous guidance to GEF, including section C and Targets 1, 2, 7, 9, 11, 16, 22 and 23. Accordingly, elements of guidance </w:t>
      </w:r>
      <w:r w:rsidR="00BA6522">
        <w:t>relevant to</w:t>
      </w:r>
      <w:r w:rsidRPr="00324572">
        <w:t xml:space="preserve"> </w:t>
      </w:r>
      <w:r w:rsidR="00FF0165">
        <w:t>s</w:t>
      </w:r>
      <w:r w:rsidRPr="00324572">
        <w:t xml:space="preserve">ection C and each of those targets </w:t>
      </w:r>
      <w:r w:rsidR="00BA6522">
        <w:t>are</w:t>
      </w:r>
      <w:r w:rsidRPr="00324572">
        <w:t xml:space="preserve"> </w:t>
      </w:r>
      <w:r w:rsidR="00FF0165">
        <w:t>provided</w:t>
      </w:r>
      <w:r w:rsidRPr="00324572">
        <w:t xml:space="preserve"> in the annex to </w:t>
      </w:r>
      <w:r w:rsidR="00BE60DE" w:rsidRPr="00BE60DE">
        <w:t>document CBD/COP/16/6</w:t>
      </w:r>
      <w:r w:rsidR="00BA6522">
        <w:t xml:space="preserve">, in which it is also </w:t>
      </w:r>
      <w:r w:rsidR="00BA6522" w:rsidRPr="00BA6522">
        <w:t>noted that some of th</w:t>
      </w:r>
      <w:r w:rsidR="005F69AB">
        <w:t>o</w:t>
      </w:r>
      <w:r w:rsidR="00BA6522" w:rsidRPr="00BA6522">
        <w:t xml:space="preserve">se targets and </w:t>
      </w:r>
      <w:r w:rsidR="00BA6522">
        <w:t xml:space="preserve">aspects of </w:t>
      </w:r>
      <w:r w:rsidR="00376B6F">
        <w:t>s</w:t>
      </w:r>
      <w:r w:rsidR="00BA6522">
        <w:t>ection</w:t>
      </w:r>
      <w:r w:rsidR="00376B6F">
        <w:t> </w:t>
      </w:r>
      <w:r w:rsidR="00BA6522">
        <w:t>C</w:t>
      </w:r>
      <w:r w:rsidR="00BA6522" w:rsidRPr="00BA6522">
        <w:t xml:space="preserve"> have been partially addressed in earlier guidance</w:t>
      </w:r>
      <w:r w:rsidR="00BA6522">
        <w:t xml:space="preserve">. </w:t>
      </w:r>
    </w:p>
    <w:p w14:paraId="732316DC" w14:textId="4B27DD48" w:rsidR="00484B7D" w:rsidRPr="00324572" w:rsidRDefault="00484B7D" w:rsidP="007325FD">
      <w:pPr>
        <w:pStyle w:val="CBDNormalNumber"/>
        <w:keepNext/>
        <w:numPr>
          <w:ilvl w:val="0"/>
          <w:numId w:val="0"/>
        </w:numPr>
        <w:tabs>
          <w:tab w:val="clear" w:pos="567"/>
        </w:tabs>
        <w:spacing w:before="120"/>
        <w:jc w:val="left"/>
        <w:rPr>
          <w:b/>
          <w:bCs/>
        </w:rPr>
      </w:pPr>
      <w:r w:rsidRPr="00324572">
        <w:rPr>
          <w:b/>
          <w:bCs/>
        </w:rPr>
        <w:t>Section C</w:t>
      </w:r>
      <w:r w:rsidR="00324572" w:rsidRPr="00324572">
        <w:rPr>
          <w:b/>
          <w:bCs/>
        </w:rPr>
        <w:t xml:space="preserve">. Considerations for the implementation of the </w:t>
      </w:r>
      <w:r w:rsidR="001E11E2">
        <w:rPr>
          <w:b/>
          <w:bCs/>
        </w:rPr>
        <w:br/>
      </w:r>
      <w:r w:rsidR="00324572" w:rsidRPr="00324572">
        <w:rPr>
          <w:b/>
          <w:bCs/>
        </w:rPr>
        <w:t>Kunming-Montreal Global Biodiversity Framework</w:t>
      </w:r>
    </w:p>
    <w:p w14:paraId="183DCBD5" w14:textId="24134E7B" w:rsidR="00C82DA8" w:rsidRPr="00B22505" w:rsidRDefault="003A45FC" w:rsidP="00C82DA8">
      <w:pPr>
        <w:pStyle w:val="CBDNormalNumber"/>
        <w:numPr>
          <w:ilvl w:val="0"/>
          <w:numId w:val="21"/>
        </w:numPr>
        <w:spacing w:before="120"/>
      </w:pPr>
      <w:r>
        <w:t xml:space="preserve">Previous guidance to GEF is relevant to several of the </w:t>
      </w:r>
      <w:r w:rsidR="004F030D">
        <w:t xml:space="preserve">considerations set out under </w:t>
      </w:r>
      <w:r w:rsidR="002C29D5">
        <w:t>s</w:t>
      </w:r>
      <w:r w:rsidR="00C82DA8" w:rsidRPr="00B22505">
        <w:t>ection</w:t>
      </w:r>
      <w:r w:rsidR="002C29D5">
        <w:t> </w:t>
      </w:r>
      <w:r w:rsidR="00C82DA8" w:rsidRPr="00B22505">
        <w:t>C</w:t>
      </w:r>
      <w:r w:rsidR="004F030D">
        <w:t xml:space="preserve"> of the Framework</w:t>
      </w:r>
      <w:r w:rsidR="00C82DA8" w:rsidRPr="00B22505">
        <w:t xml:space="preserve">, </w:t>
      </w:r>
      <w:r w:rsidR="007E753F" w:rsidRPr="006878CB">
        <w:t>as</w:t>
      </w:r>
      <w:r w:rsidR="007E753F">
        <w:t xml:space="preserve"> follows</w:t>
      </w:r>
      <w:r w:rsidR="00C82DA8" w:rsidRPr="00B22505">
        <w:t>:</w:t>
      </w:r>
    </w:p>
    <w:p w14:paraId="15C1649A" w14:textId="7479EFD8" w:rsidR="00C82DA8" w:rsidRPr="00213352" w:rsidRDefault="00C82DA8" w:rsidP="002C29D5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Fulfilment of the three objectives of the Convention and its Protocols and their balanced implementation</w:t>
      </w:r>
      <w:r w:rsidR="00F96F93">
        <w:rPr>
          <w:color w:val="000000" w:themeColor="text1"/>
        </w:rPr>
        <w:t>.</w:t>
      </w:r>
      <w:r w:rsidRPr="00B22505">
        <w:rPr>
          <w:color w:val="000000" w:themeColor="text1"/>
        </w:rPr>
        <w:t xml:space="preserve"> </w:t>
      </w:r>
      <w:r w:rsidR="00F96F93">
        <w:rPr>
          <w:color w:val="000000" w:themeColor="text1"/>
        </w:rPr>
        <w:t>T</w:t>
      </w:r>
      <w:r w:rsidRPr="00B22505">
        <w:rPr>
          <w:color w:val="000000" w:themeColor="text1"/>
        </w:rPr>
        <w:t xml:space="preserve">his consideration has been </w:t>
      </w:r>
      <w:r w:rsidR="002C29D5" w:rsidRPr="00B22505">
        <w:rPr>
          <w:color w:val="000000" w:themeColor="text1"/>
        </w:rPr>
        <w:t xml:space="preserve">consistently </w:t>
      </w:r>
      <w:r w:rsidRPr="00B22505">
        <w:rPr>
          <w:color w:val="000000" w:themeColor="text1"/>
        </w:rPr>
        <w:t xml:space="preserve">emphasized in </w:t>
      </w:r>
      <w:r w:rsidRPr="00213352">
        <w:rPr>
          <w:color w:val="000000" w:themeColor="text1"/>
        </w:rPr>
        <w:t xml:space="preserve">guidance to </w:t>
      </w:r>
      <w:proofErr w:type="gramStart"/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>;</w:t>
      </w:r>
      <w:proofErr w:type="gramEnd"/>
      <w:r w:rsidRPr="00213352">
        <w:rPr>
          <w:color w:val="000000" w:themeColor="text1"/>
        </w:rPr>
        <w:t xml:space="preserve"> </w:t>
      </w:r>
    </w:p>
    <w:p w14:paraId="373D2098" w14:textId="1FF3D6E1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lastRenderedPageBreak/>
        <w:t>Principles of the Rio Declaration</w:t>
      </w:r>
      <w:r w:rsidR="00A61134" w:rsidRPr="00A61134">
        <w:t xml:space="preserve"> </w:t>
      </w:r>
      <w:r w:rsidR="00A61134" w:rsidRPr="00A61134">
        <w:rPr>
          <w:i/>
          <w:iCs/>
          <w:color w:val="000000" w:themeColor="text1"/>
        </w:rPr>
        <w:t>on Environment and Development</w:t>
      </w:r>
      <w:r w:rsidR="00F96F93">
        <w:rPr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F96F93">
        <w:rPr>
          <w:color w:val="000000" w:themeColor="text1"/>
        </w:rPr>
        <w:t>T</w:t>
      </w:r>
      <w:r w:rsidRPr="00213352">
        <w:rPr>
          <w:color w:val="000000" w:themeColor="text1"/>
        </w:rPr>
        <w:t xml:space="preserve">his consideration is embedded in the </w:t>
      </w:r>
      <w:r w:rsidR="00E63F19">
        <w:rPr>
          <w:color w:val="000000" w:themeColor="text1"/>
        </w:rPr>
        <w:t xml:space="preserve">text of the </w:t>
      </w:r>
      <w:r w:rsidRPr="00213352">
        <w:rPr>
          <w:color w:val="000000" w:themeColor="text1"/>
        </w:rPr>
        <w:t xml:space="preserve">Convention and </w:t>
      </w:r>
      <w:r w:rsidR="00E63F19">
        <w:rPr>
          <w:color w:val="000000" w:themeColor="text1"/>
        </w:rPr>
        <w:t xml:space="preserve">in </w:t>
      </w:r>
      <w:r w:rsidRPr="00213352">
        <w:rPr>
          <w:color w:val="000000" w:themeColor="text1"/>
        </w:rPr>
        <w:t xml:space="preserve">guidance to </w:t>
      </w:r>
      <w:proofErr w:type="gramStart"/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>;</w:t>
      </w:r>
      <w:proofErr w:type="gramEnd"/>
    </w:p>
    <w:p w14:paraId="3F1826FC" w14:textId="726428E3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Science and innovation</w:t>
      </w:r>
      <w:r w:rsidR="00F96F93">
        <w:rPr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F96F93">
        <w:rPr>
          <w:color w:val="000000" w:themeColor="text1"/>
        </w:rPr>
        <w:t>G</w:t>
      </w:r>
      <w:r w:rsidRPr="00213352">
        <w:rPr>
          <w:color w:val="000000" w:themeColor="text1"/>
        </w:rPr>
        <w:t xml:space="preserve">uidance to </w:t>
      </w:r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 xml:space="preserve"> has been derived from the intergovernmental consideration under the Convention of scientific evidence and traditional knowledge and </w:t>
      </w:r>
      <w:proofErr w:type="gramStart"/>
      <w:r w:rsidRPr="00213352">
        <w:rPr>
          <w:color w:val="000000" w:themeColor="text1"/>
        </w:rPr>
        <w:t>practices;</w:t>
      </w:r>
      <w:proofErr w:type="gramEnd"/>
    </w:p>
    <w:p w14:paraId="1C9C5B21" w14:textId="19103DD0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Ecosystem approach</w:t>
      </w:r>
      <w:r w:rsidR="00A34F6A">
        <w:rPr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A34F6A">
        <w:rPr>
          <w:color w:val="000000" w:themeColor="text1"/>
        </w:rPr>
        <w:t>G</w:t>
      </w:r>
      <w:r w:rsidRPr="00213352">
        <w:rPr>
          <w:color w:val="000000" w:themeColor="text1"/>
        </w:rPr>
        <w:t xml:space="preserve">uidance to </w:t>
      </w:r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 xml:space="preserve"> in support of the ecosystem approach was developed in </w:t>
      </w:r>
      <w:r w:rsidR="00151F2B">
        <w:rPr>
          <w:color w:val="000000" w:themeColor="text1"/>
        </w:rPr>
        <w:t>sub</w:t>
      </w:r>
      <w:r w:rsidR="0046472D" w:rsidRPr="00213352">
        <w:rPr>
          <w:color w:val="000000" w:themeColor="text1"/>
        </w:rPr>
        <w:t>paragraph 2</w:t>
      </w:r>
      <w:r w:rsidR="0046472D">
        <w:rPr>
          <w:color w:val="000000" w:themeColor="text1"/>
        </w:rPr>
        <w:t> </w:t>
      </w:r>
      <w:r w:rsidR="0046472D" w:rsidRPr="00213352">
        <w:rPr>
          <w:color w:val="000000" w:themeColor="text1"/>
        </w:rPr>
        <w:t xml:space="preserve">(a) </w:t>
      </w:r>
      <w:r w:rsidR="0046472D">
        <w:rPr>
          <w:color w:val="000000" w:themeColor="text1"/>
        </w:rPr>
        <w:t xml:space="preserve">of </w:t>
      </w:r>
      <w:r w:rsidRPr="00213352">
        <w:rPr>
          <w:color w:val="000000" w:themeColor="text1"/>
        </w:rPr>
        <w:t xml:space="preserve">decision V/13 and </w:t>
      </w:r>
      <w:r w:rsidR="0046472D" w:rsidRPr="00213352">
        <w:rPr>
          <w:color w:val="000000" w:themeColor="text1"/>
        </w:rPr>
        <w:t>paragraph 5</w:t>
      </w:r>
      <w:r w:rsidR="0046472D">
        <w:rPr>
          <w:color w:val="000000" w:themeColor="text1"/>
        </w:rPr>
        <w:t xml:space="preserve"> of decision </w:t>
      </w:r>
      <w:r w:rsidRPr="00213352">
        <w:rPr>
          <w:color w:val="000000" w:themeColor="text1"/>
        </w:rPr>
        <w:t>VII/</w:t>
      </w:r>
      <w:proofErr w:type="gramStart"/>
      <w:r w:rsidRPr="00213352">
        <w:rPr>
          <w:color w:val="000000" w:themeColor="text1"/>
        </w:rPr>
        <w:t>20</w:t>
      </w:r>
      <w:r w:rsidR="00BC7082">
        <w:rPr>
          <w:color w:val="000000" w:themeColor="text1"/>
        </w:rPr>
        <w:t>;</w:t>
      </w:r>
      <w:proofErr w:type="gramEnd"/>
    </w:p>
    <w:p w14:paraId="3560C2B4" w14:textId="7CAE5CD8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Formal and informal education</w:t>
      </w:r>
      <w:r w:rsidR="00BC7082">
        <w:rPr>
          <w:i/>
          <w:iCs/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BC7082">
        <w:rPr>
          <w:color w:val="000000" w:themeColor="text1"/>
        </w:rPr>
        <w:t>G</w:t>
      </w:r>
      <w:r w:rsidRPr="00213352">
        <w:rPr>
          <w:color w:val="000000" w:themeColor="text1"/>
        </w:rPr>
        <w:t xml:space="preserve">uidance to </w:t>
      </w:r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 xml:space="preserve"> on communication, education and public awareness was provided in </w:t>
      </w:r>
      <w:r w:rsidR="00190BED">
        <w:rPr>
          <w:color w:val="000000" w:themeColor="text1"/>
        </w:rPr>
        <w:t>sub</w:t>
      </w:r>
      <w:r w:rsidR="0046472D" w:rsidRPr="00213352">
        <w:rPr>
          <w:color w:val="000000" w:themeColor="text1"/>
        </w:rPr>
        <w:t>paragraph 2</w:t>
      </w:r>
      <w:r w:rsidR="0046472D">
        <w:rPr>
          <w:color w:val="000000" w:themeColor="text1"/>
        </w:rPr>
        <w:t> </w:t>
      </w:r>
      <w:r w:rsidR="0046472D" w:rsidRPr="00213352">
        <w:rPr>
          <w:color w:val="000000" w:themeColor="text1"/>
        </w:rPr>
        <w:t>(l)</w:t>
      </w:r>
      <w:r w:rsidR="0046472D">
        <w:rPr>
          <w:color w:val="000000" w:themeColor="text1"/>
        </w:rPr>
        <w:t xml:space="preserve"> of</w:t>
      </w:r>
      <w:r w:rsidR="0046472D" w:rsidRPr="00213352">
        <w:rPr>
          <w:color w:val="000000" w:themeColor="text1"/>
        </w:rPr>
        <w:t xml:space="preserve"> </w:t>
      </w:r>
      <w:r w:rsidRPr="00213352">
        <w:rPr>
          <w:color w:val="000000" w:themeColor="text1"/>
        </w:rPr>
        <w:t xml:space="preserve">decision V/13 and </w:t>
      </w:r>
      <w:r w:rsidR="00151F2B">
        <w:rPr>
          <w:color w:val="000000" w:themeColor="text1"/>
        </w:rPr>
        <w:t>sub</w:t>
      </w:r>
      <w:r w:rsidR="0046472D" w:rsidRPr="00213352">
        <w:rPr>
          <w:color w:val="000000" w:themeColor="text1"/>
        </w:rPr>
        <w:t>paragraph 10</w:t>
      </w:r>
      <w:r w:rsidR="0046472D">
        <w:rPr>
          <w:color w:val="000000" w:themeColor="text1"/>
        </w:rPr>
        <w:t> </w:t>
      </w:r>
      <w:r w:rsidR="0046472D" w:rsidRPr="00213352">
        <w:rPr>
          <w:color w:val="000000" w:themeColor="text1"/>
        </w:rPr>
        <w:t>(o)</w:t>
      </w:r>
      <w:r w:rsidR="0046472D">
        <w:rPr>
          <w:color w:val="000000" w:themeColor="text1"/>
        </w:rPr>
        <w:t xml:space="preserve"> of decision </w:t>
      </w:r>
      <w:r w:rsidRPr="00213352">
        <w:rPr>
          <w:color w:val="000000" w:themeColor="text1"/>
        </w:rPr>
        <w:t>VI/</w:t>
      </w:r>
      <w:proofErr w:type="gramStart"/>
      <w:r w:rsidRPr="00213352">
        <w:rPr>
          <w:color w:val="000000" w:themeColor="text1"/>
        </w:rPr>
        <w:t>17</w:t>
      </w:r>
      <w:r w:rsidR="006B390A">
        <w:rPr>
          <w:color w:val="000000" w:themeColor="text1"/>
        </w:rPr>
        <w:t>;</w:t>
      </w:r>
      <w:proofErr w:type="gramEnd"/>
    </w:p>
    <w:p w14:paraId="5C1A3254" w14:textId="0D4DED27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Access to financial resources</w:t>
      </w:r>
      <w:r w:rsidR="00000B85">
        <w:rPr>
          <w:i/>
          <w:iCs/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000B85">
        <w:rPr>
          <w:color w:val="000000" w:themeColor="text1"/>
        </w:rPr>
        <w:t>T</w:t>
      </w:r>
      <w:r w:rsidRPr="00213352">
        <w:rPr>
          <w:color w:val="000000" w:themeColor="text1"/>
        </w:rPr>
        <w:t xml:space="preserve">he adequacy, predictability and easy access to financial resources have been a recurring theme in guidance to </w:t>
      </w:r>
      <w:proofErr w:type="gramStart"/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>;</w:t>
      </w:r>
      <w:proofErr w:type="gramEnd"/>
    </w:p>
    <w:p w14:paraId="7409B088" w14:textId="02ECDC88" w:rsidR="00C82DA8" w:rsidRPr="00213352" w:rsidRDefault="00C82DA8" w:rsidP="00C82DA8">
      <w:pPr>
        <w:pStyle w:val="CBDNormalNumber"/>
        <w:numPr>
          <w:ilvl w:val="1"/>
          <w:numId w:val="22"/>
        </w:numPr>
        <w:spacing w:before="120"/>
        <w:rPr>
          <w:color w:val="000000" w:themeColor="text1"/>
        </w:rPr>
      </w:pPr>
      <w:r w:rsidRPr="007325FD">
        <w:rPr>
          <w:i/>
          <w:iCs/>
          <w:color w:val="000000" w:themeColor="text1"/>
        </w:rPr>
        <w:t>Cooperation and synergies</w:t>
      </w:r>
      <w:r w:rsidR="00D7036C">
        <w:rPr>
          <w:color w:val="000000" w:themeColor="text1"/>
        </w:rPr>
        <w:t>.</w:t>
      </w:r>
      <w:r w:rsidRPr="00213352">
        <w:rPr>
          <w:color w:val="000000" w:themeColor="text1"/>
        </w:rPr>
        <w:t xml:space="preserve"> </w:t>
      </w:r>
      <w:r w:rsidR="00D7036C">
        <w:rPr>
          <w:color w:val="000000" w:themeColor="text1"/>
        </w:rPr>
        <w:t>I</w:t>
      </w:r>
      <w:r w:rsidRPr="00213352">
        <w:rPr>
          <w:color w:val="000000" w:themeColor="text1"/>
        </w:rPr>
        <w:t xml:space="preserve">n decision </w:t>
      </w:r>
      <w:r w:rsidRPr="007325FD">
        <w:rPr>
          <w:color w:val="000000" w:themeColor="text1"/>
        </w:rPr>
        <w:t>X</w:t>
      </w:r>
      <w:r w:rsidRPr="00213352">
        <w:rPr>
          <w:color w:val="000000" w:themeColor="text1"/>
        </w:rPr>
        <w:t>II/30</w:t>
      </w:r>
      <w:r w:rsidR="0046472D">
        <w:rPr>
          <w:color w:val="000000" w:themeColor="text1"/>
        </w:rPr>
        <w:t> </w:t>
      </w:r>
      <w:r w:rsidRPr="00213352">
        <w:rPr>
          <w:color w:val="000000" w:themeColor="text1"/>
        </w:rPr>
        <w:t>A, the Conference of the Parties invit</w:t>
      </w:r>
      <w:r w:rsidR="000E3F95">
        <w:rPr>
          <w:color w:val="000000" w:themeColor="text1"/>
        </w:rPr>
        <w:t>ed</w:t>
      </w:r>
      <w:r w:rsidRPr="00213352">
        <w:rPr>
          <w:color w:val="000000" w:themeColor="text1"/>
        </w:rPr>
        <w:t xml:space="preserve"> the governing bodies of the various biodiversity-related conventions </w:t>
      </w:r>
      <w:r w:rsidR="000D7148">
        <w:rPr>
          <w:color w:val="000000" w:themeColor="text1"/>
        </w:rPr>
        <w:t xml:space="preserve">to provide </w:t>
      </w:r>
      <w:r w:rsidR="000D7148" w:rsidRPr="00213352">
        <w:rPr>
          <w:color w:val="000000" w:themeColor="text1"/>
        </w:rPr>
        <w:t xml:space="preserve">elements of advice </w:t>
      </w:r>
      <w:r w:rsidRPr="00213352">
        <w:rPr>
          <w:color w:val="000000" w:themeColor="text1"/>
        </w:rPr>
        <w:t xml:space="preserve">for inclusion in its guidance to </w:t>
      </w:r>
      <w:r w:rsidRPr="007325FD">
        <w:rPr>
          <w:color w:val="000000" w:themeColor="text1"/>
        </w:rPr>
        <w:t>GEF</w:t>
      </w:r>
      <w:r w:rsidRPr="00213352">
        <w:rPr>
          <w:color w:val="000000" w:themeColor="text1"/>
        </w:rPr>
        <w:t>.</w:t>
      </w:r>
    </w:p>
    <w:p w14:paraId="43093BF5" w14:textId="0FEC2984" w:rsidR="00484B7D" w:rsidRPr="00213352" w:rsidRDefault="00484B7D" w:rsidP="007325FD">
      <w:pPr>
        <w:pStyle w:val="CBDNormalNumber"/>
        <w:numPr>
          <w:ilvl w:val="0"/>
          <w:numId w:val="0"/>
        </w:numPr>
        <w:spacing w:before="120"/>
        <w:ind w:left="567"/>
        <w:rPr>
          <w:b/>
          <w:bCs/>
        </w:rPr>
      </w:pPr>
      <w:r w:rsidRPr="00213352">
        <w:rPr>
          <w:b/>
          <w:bCs/>
        </w:rPr>
        <w:t>Target 2</w:t>
      </w:r>
    </w:p>
    <w:p w14:paraId="67AA7CEC" w14:textId="354521D1" w:rsidR="00365941" w:rsidRPr="00213352" w:rsidRDefault="00D84F42" w:rsidP="004F030D">
      <w:pPr>
        <w:pStyle w:val="CBDNormalNumber"/>
        <w:numPr>
          <w:ilvl w:val="0"/>
          <w:numId w:val="21"/>
        </w:numPr>
        <w:spacing w:before="120"/>
      </w:pPr>
      <w:r w:rsidRPr="00213352">
        <w:t>Of relevance</w:t>
      </w:r>
      <w:r w:rsidR="004F030D" w:rsidRPr="00213352">
        <w:t xml:space="preserve"> to Target 2</w:t>
      </w:r>
      <w:r w:rsidR="00365941" w:rsidRPr="00213352">
        <w:t xml:space="preserve"> of the Framework</w:t>
      </w:r>
      <w:r w:rsidR="004F030D" w:rsidRPr="00213352">
        <w:t xml:space="preserve"> </w:t>
      </w:r>
      <w:r w:rsidR="002E42B5">
        <w:t xml:space="preserve">is the invitation that </w:t>
      </w:r>
      <w:r w:rsidR="004F030D" w:rsidRPr="00213352">
        <w:t xml:space="preserve">the Conference of the Parties </w:t>
      </w:r>
      <w:r w:rsidR="000F1FA2">
        <w:t>extended</w:t>
      </w:r>
      <w:r w:rsidR="002E42B5">
        <w:t xml:space="preserve"> to</w:t>
      </w:r>
      <w:r w:rsidR="00574783" w:rsidRPr="00213352">
        <w:t xml:space="preserve"> </w:t>
      </w:r>
      <w:r w:rsidR="004F030D" w:rsidRPr="007325FD">
        <w:t>GEF</w:t>
      </w:r>
      <w:r w:rsidR="004F030D" w:rsidRPr="00213352">
        <w:t xml:space="preserve"> </w:t>
      </w:r>
      <w:r w:rsidR="00941C90" w:rsidRPr="00213352">
        <w:t xml:space="preserve">in its decision </w:t>
      </w:r>
      <w:r w:rsidR="00941C90" w:rsidRPr="00F00626">
        <w:t>X</w:t>
      </w:r>
      <w:r w:rsidR="00941C90" w:rsidRPr="00213352">
        <w:t xml:space="preserve">III/21 </w:t>
      </w:r>
      <w:r w:rsidR="004F030D" w:rsidRPr="00213352">
        <w:t xml:space="preserve">to </w:t>
      </w:r>
      <w:r w:rsidR="007D4EF7">
        <w:t xml:space="preserve">provide </w:t>
      </w:r>
      <w:r w:rsidR="004F030D" w:rsidRPr="00213352">
        <w:t xml:space="preserve">support </w:t>
      </w:r>
      <w:r w:rsidR="007D4EF7">
        <w:t xml:space="preserve">for </w:t>
      </w:r>
      <w:r w:rsidR="004F030D" w:rsidRPr="00213352">
        <w:t xml:space="preserve">ecosystem restoration activities. </w:t>
      </w:r>
      <w:r w:rsidRPr="00213352">
        <w:t>Th</w:t>
      </w:r>
      <w:r w:rsidR="00187633">
        <w:t>e</w:t>
      </w:r>
      <w:r w:rsidRPr="00213352">
        <w:t xml:space="preserve"> </w:t>
      </w:r>
      <w:r w:rsidR="007D4EF7">
        <w:t>invitation</w:t>
      </w:r>
      <w:r w:rsidRPr="00213352">
        <w:t xml:space="preserve"> was </w:t>
      </w:r>
      <w:r w:rsidR="00941C90">
        <w:t>included</w:t>
      </w:r>
      <w:r w:rsidRPr="00213352">
        <w:t xml:space="preserve"> in the </w:t>
      </w:r>
      <w:r w:rsidR="00FB3C79">
        <w:t>consol</w:t>
      </w:r>
      <w:r w:rsidR="00256CC4">
        <w:t xml:space="preserve">idated previous </w:t>
      </w:r>
      <w:r w:rsidRPr="00213352">
        <w:t xml:space="preserve">guidance </w:t>
      </w:r>
      <w:r w:rsidR="00FB3C79">
        <w:t xml:space="preserve">to GEF </w:t>
      </w:r>
      <w:r w:rsidRPr="00213352">
        <w:t xml:space="preserve">adopted by the Conference of the Parties at its </w:t>
      </w:r>
      <w:r w:rsidR="008A3EBD">
        <w:t>fifteenth</w:t>
      </w:r>
      <w:r w:rsidRPr="00213352">
        <w:t xml:space="preserve"> meeting.</w:t>
      </w:r>
      <w:r w:rsidRPr="00213352">
        <w:rPr>
          <w:rStyle w:val="FootnoteReference"/>
        </w:rPr>
        <w:footnoteReference w:id="3"/>
      </w:r>
      <w:r w:rsidRPr="00213352">
        <w:t xml:space="preserve"> </w:t>
      </w:r>
      <w:r w:rsidR="00484B7D" w:rsidRPr="00213352">
        <w:t>Continuing</w:t>
      </w:r>
      <w:r w:rsidR="004F030D" w:rsidRPr="00213352">
        <w:t xml:space="preserve"> and scaling up </w:t>
      </w:r>
      <w:r w:rsidR="004F030D" w:rsidRPr="007325FD">
        <w:t xml:space="preserve">the </w:t>
      </w:r>
      <w:r w:rsidR="004F030D" w:rsidRPr="00213352">
        <w:t xml:space="preserve">integrated </w:t>
      </w:r>
      <w:r w:rsidR="004F030D" w:rsidRPr="007325FD">
        <w:t>programme</w:t>
      </w:r>
      <w:r w:rsidR="00D7243A" w:rsidRPr="007325FD">
        <w:t xml:space="preserve"> for ecosystem restoration </w:t>
      </w:r>
      <w:r w:rsidR="00484B7D" w:rsidRPr="00213352">
        <w:t>in the ninth replenishment period (2026</w:t>
      </w:r>
      <w:r w:rsidR="00D677BF">
        <w:t>–</w:t>
      </w:r>
      <w:r w:rsidR="00484B7D" w:rsidRPr="00213352">
        <w:t>2030)</w:t>
      </w:r>
      <w:r w:rsidR="004F030D" w:rsidRPr="007325FD">
        <w:t xml:space="preserve"> </w:t>
      </w:r>
      <w:r w:rsidR="002E098C" w:rsidRPr="00213352">
        <w:t xml:space="preserve">of </w:t>
      </w:r>
      <w:r w:rsidR="002E098C">
        <w:t xml:space="preserve">the </w:t>
      </w:r>
      <w:r w:rsidR="002E098C" w:rsidRPr="00213352">
        <w:t xml:space="preserve">GEF </w:t>
      </w:r>
      <w:r w:rsidR="002E098C">
        <w:t xml:space="preserve">Trust Fund </w:t>
      </w:r>
      <w:r w:rsidR="004F030D" w:rsidRPr="00213352">
        <w:t xml:space="preserve">could </w:t>
      </w:r>
      <w:r w:rsidR="00365941" w:rsidRPr="00213352">
        <w:t>contribute to</w:t>
      </w:r>
      <w:r w:rsidR="004F030D" w:rsidRPr="00213352">
        <w:t xml:space="preserve"> the funding needs f</w:t>
      </w:r>
      <w:r w:rsidR="008301E5">
        <w:t>or</w:t>
      </w:r>
      <w:r w:rsidR="004F030D" w:rsidRPr="00213352">
        <w:t xml:space="preserve"> restoring 30 per cent of areas of degraded terrestrial, inland water</w:t>
      </w:r>
      <w:r w:rsidR="004F030D" w:rsidRPr="007325FD">
        <w:t>, and</w:t>
      </w:r>
      <w:r w:rsidR="004F030D" w:rsidRPr="00213352">
        <w:t xml:space="preserve"> marine and coastal ecosystems by 2030.</w:t>
      </w:r>
    </w:p>
    <w:p w14:paraId="3D864379" w14:textId="34520B7F" w:rsidR="00484B7D" w:rsidRPr="00213352" w:rsidRDefault="00484B7D" w:rsidP="007325FD">
      <w:pPr>
        <w:pStyle w:val="CBDNormalNumber"/>
        <w:numPr>
          <w:ilvl w:val="0"/>
          <w:numId w:val="0"/>
        </w:numPr>
        <w:spacing w:before="120"/>
        <w:ind w:left="567"/>
        <w:rPr>
          <w:b/>
          <w:bCs/>
        </w:rPr>
      </w:pPr>
      <w:r w:rsidRPr="00213352">
        <w:rPr>
          <w:b/>
          <w:bCs/>
        </w:rPr>
        <w:t>Target 23</w:t>
      </w:r>
    </w:p>
    <w:p w14:paraId="3DCA2853" w14:textId="59BAE782" w:rsidR="004F030D" w:rsidRPr="00213352" w:rsidRDefault="00484B7D" w:rsidP="009E7C35">
      <w:pPr>
        <w:pStyle w:val="CBDNormalNumber"/>
        <w:numPr>
          <w:ilvl w:val="0"/>
          <w:numId w:val="21"/>
        </w:numPr>
        <w:spacing w:before="120"/>
      </w:pPr>
      <w:r w:rsidRPr="00213352">
        <w:t>Of relevance</w:t>
      </w:r>
      <w:r w:rsidR="004F030D" w:rsidRPr="00213352">
        <w:t xml:space="preserve"> to Target 23</w:t>
      </w:r>
      <w:r w:rsidR="00D84F42" w:rsidRPr="00213352">
        <w:t xml:space="preserve"> of the Framework</w:t>
      </w:r>
      <w:r w:rsidR="00187633">
        <w:t xml:space="preserve"> is </w:t>
      </w:r>
      <w:r w:rsidR="004F030D" w:rsidRPr="00213352">
        <w:t xml:space="preserve">the </w:t>
      </w:r>
      <w:r w:rsidR="00187633">
        <w:t xml:space="preserve">request that the </w:t>
      </w:r>
      <w:r w:rsidR="004F030D" w:rsidRPr="00213352">
        <w:t xml:space="preserve">Conference of the Parties </w:t>
      </w:r>
      <w:r w:rsidR="00187633">
        <w:t xml:space="preserve">made to </w:t>
      </w:r>
      <w:r w:rsidR="004F030D" w:rsidRPr="007325FD">
        <w:t>GEF</w:t>
      </w:r>
      <w:r w:rsidR="004F030D" w:rsidRPr="00213352">
        <w:t xml:space="preserve"> </w:t>
      </w:r>
      <w:r w:rsidR="00187633" w:rsidRPr="00213352">
        <w:t xml:space="preserve">in its decision 15/11 </w:t>
      </w:r>
      <w:r w:rsidR="004F030D" w:rsidRPr="00213352">
        <w:t xml:space="preserve">to </w:t>
      </w:r>
      <w:r w:rsidR="009E7C35" w:rsidRPr="009E7C35">
        <w:rPr>
          <w:lang w:val="en-US"/>
        </w:rPr>
        <w:t xml:space="preserve">provide technical and financial </w:t>
      </w:r>
      <w:r w:rsidR="004F030D" w:rsidRPr="00213352">
        <w:t xml:space="preserve">support </w:t>
      </w:r>
      <w:r w:rsidR="004F2BB9">
        <w:t xml:space="preserve">for </w:t>
      </w:r>
      <w:r w:rsidR="004F030D" w:rsidRPr="00213352">
        <w:t>the implementation of the Gender Plan of Action</w:t>
      </w:r>
      <w:r w:rsidR="00D84F42" w:rsidRPr="00213352">
        <w:t xml:space="preserve"> adopted </w:t>
      </w:r>
      <w:r w:rsidR="002658FF">
        <w:t>in</w:t>
      </w:r>
      <w:r w:rsidR="00D84F42" w:rsidRPr="00213352">
        <w:t xml:space="preserve"> the same decision</w:t>
      </w:r>
      <w:r w:rsidR="004F030D" w:rsidRPr="00213352">
        <w:rPr>
          <w:snapToGrid w:val="0"/>
          <w:kern w:val="22"/>
        </w:rPr>
        <w:t xml:space="preserve">. </w:t>
      </w:r>
      <w:r w:rsidR="00D84F42" w:rsidRPr="00213352">
        <w:rPr>
          <w:snapToGrid w:val="0"/>
          <w:kern w:val="22"/>
        </w:rPr>
        <w:t>That</w:t>
      </w:r>
      <w:r w:rsidR="004F030D" w:rsidRPr="00213352">
        <w:rPr>
          <w:snapToGrid w:val="0"/>
          <w:kern w:val="22"/>
        </w:rPr>
        <w:t xml:space="preserve"> </w:t>
      </w:r>
      <w:r w:rsidR="0067534F">
        <w:rPr>
          <w:snapToGrid w:val="0"/>
          <w:kern w:val="22"/>
        </w:rPr>
        <w:t xml:space="preserve">invitation </w:t>
      </w:r>
      <w:r w:rsidR="0067534F" w:rsidRPr="00213352">
        <w:rPr>
          <w:snapToGrid w:val="0"/>
          <w:kern w:val="22"/>
        </w:rPr>
        <w:t xml:space="preserve">was </w:t>
      </w:r>
      <w:r w:rsidR="000B51A6">
        <w:rPr>
          <w:snapToGrid w:val="0"/>
          <w:kern w:val="22"/>
        </w:rPr>
        <w:t xml:space="preserve">also </w:t>
      </w:r>
      <w:r w:rsidR="0067534F">
        <w:rPr>
          <w:snapToGrid w:val="0"/>
          <w:kern w:val="22"/>
        </w:rPr>
        <w:t xml:space="preserve">included </w:t>
      </w:r>
      <w:r w:rsidR="004F030D" w:rsidRPr="00213352">
        <w:rPr>
          <w:snapToGrid w:val="0"/>
          <w:kern w:val="22"/>
        </w:rPr>
        <w:t xml:space="preserve">in the </w:t>
      </w:r>
      <w:r w:rsidR="00121E87">
        <w:rPr>
          <w:snapToGrid w:val="0"/>
          <w:kern w:val="22"/>
        </w:rPr>
        <w:t xml:space="preserve">additional </w:t>
      </w:r>
      <w:r w:rsidR="004F030D" w:rsidRPr="00213352">
        <w:rPr>
          <w:snapToGrid w:val="0"/>
          <w:kern w:val="22"/>
        </w:rPr>
        <w:t xml:space="preserve">guidance </w:t>
      </w:r>
      <w:r w:rsidR="00512067">
        <w:rPr>
          <w:snapToGrid w:val="0"/>
          <w:kern w:val="22"/>
        </w:rPr>
        <w:t xml:space="preserve">to GEF </w:t>
      </w:r>
      <w:r w:rsidR="004F030D" w:rsidRPr="00213352">
        <w:rPr>
          <w:snapToGrid w:val="0"/>
          <w:kern w:val="22"/>
        </w:rPr>
        <w:t>adopted by the Conference of the Parties at its fifteenth meeting.</w:t>
      </w:r>
      <w:r w:rsidR="00D84F42" w:rsidRPr="00213352">
        <w:rPr>
          <w:rStyle w:val="FootnoteReference"/>
          <w:snapToGrid w:val="0"/>
          <w:kern w:val="22"/>
        </w:rPr>
        <w:footnoteReference w:id="4"/>
      </w:r>
    </w:p>
    <w:p w14:paraId="78651AAB" w14:textId="71C063C8" w:rsidR="002B559C" w:rsidRPr="00C82DA8" w:rsidRDefault="00954797" w:rsidP="007325FD">
      <w:pPr>
        <w:pStyle w:val="Para1"/>
        <w:numPr>
          <w:ilvl w:val="0"/>
          <w:numId w:val="0"/>
        </w:numPr>
        <w:ind w:left="567"/>
        <w:jc w:val="center"/>
        <w:rPr>
          <w:lang w:val="en-GB"/>
        </w:rPr>
      </w:pPr>
      <w:r>
        <w:rPr>
          <w:color w:val="000000" w:themeColor="text1"/>
        </w:rPr>
        <w:t>__________</w:t>
      </w:r>
    </w:p>
    <w:sectPr w:rsidR="002B559C" w:rsidRPr="00C82DA8" w:rsidSect="007325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F310C" w14:textId="77777777" w:rsidR="00677051" w:rsidRDefault="00677051" w:rsidP="00A96B21">
      <w:r>
        <w:separator/>
      </w:r>
    </w:p>
  </w:endnote>
  <w:endnote w:type="continuationSeparator" w:id="0">
    <w:p w14:paraId="63D433E3" w14:textId="77777777" w:rsidR="00677051" w:rsidRDefault="00677051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167BC46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F945E0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50A64B" w14:textId="77777777" w:rsidR="00677051" w:rsidRDefault="00677051" w:rsidP="00A96B21">
      <w:r>
        <w:separator/>
      </w:r>
    </w:p>
  </w:footnote>
  <w:footnote w:type="continuationSeparator" w:id="0">
    <w:p w14:paraId="44AE98A3" w14:textId="77777777" w:rsidR="00677051" w:rsidRDefault="00677051" w:rsidP="00A96B21">
      <w:r>
        <w:continuationSeparator/>
      </w:r>
    </w:p>
  </w:footnote>
  <w:footnote w:id="1">
    <w:p w14:paraId="76609ED3" w14:textId="77777777" w:rsidR="00A96B21" w:rsidRPr="00A96B21" w:rsidRDefault="00A96B21" w:rsidP="00D71FFB">
      <w:pPr>
        <w:pStyle w:val="Footnote"/>
      </w:pPr>
      <w:r>
        <w:rPr>
          <w:rStyle w:val="FootnoteReference"/>
        </w:rPr>
        <w:t>*</w:t>
      </w:r>
      <w:r>
        <w:t xml:space="preserve"> </w:t>
      </w:r>
      <w:r w:rsidRPr="00A96B21">
        <w:t>CBD</w:t>
      </w:r>
      <w:r w:rsidR="00A00234">
        <w:t>/COP/16/1.</w:t>
      </w:r>
    </w:p>
  </w:footnote>
  <w:footnote w:id="2">
    <w:p w14:paraId="0F03B8B0" w14:textId="40597FCB" w:rsidR="0073451A" w:rsidRDefault="0073451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B4C3A">
        <w:t xml:space="preserve">Decision </w:t>
      </w:r>
      <w:r w:rsidR="0046472D">
        <w:t>15/15, annex I.</w:t>
      </w:r>
    </w:p>
  </w:footnote>
  <w:footnote w:id="3">
    <w:p w14:paraId="13DEA484" w14:textId="7006C561" w:rsidR="00D84F42" w:rsidRDefault="00D84F42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r w:rsidR="008F2F76">
        <w:t>15/15, annex II A, para. 6</w:t>
      </w:r>
      <w:r>
        <w:t>.</w:t>
      </w:r>
    </w:p>
  </w:footnote>
  <w:footnote w:id="4">
    <w:p w14:paraId="2E564CA3" w14:textId="4ECF0BAE" w:rsidR="00D84F42" w:rsidRDefault="00D84F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F2F76">
        <w:t>Ibid</w:t>
      </w:r>
      <w:r>
        <w:t>.</w:t>
      </w:r>
      <w:r w:rsidR="008F2F76">
        <w:t xml:space="preserve">, </w:t>
      </w:r>
      <w:r w:rsidR="00512067">
        <w:t xml:space="preserve">annex II B, para. </w:t>
      </w:r>
      <w:r w:rsidR="009D4E78">
        <w:t>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0AFBED3B" w14:textId="1CCEA1E1" w:rsidR="00A00234" w:rsidRDefault="00000000" w:rsidP="007325FD">
    <w:pPr>
      <w:pStyle w:val="Header"/>
      <w:spacing w:after="240"/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455B6C" w:rsidRPr="00A00234">
          <w:rPr>
            <w:szCs w:val="20"/>
            <w:lang w:val="fr-FR"/>
          </w:rPr>
          <w:t>CBD</w:t>
        </w:r>
        <w:r w:rsidR="00455B6C">
          <w:rPr>
            <w:szCs w:val="20"/>
            <w:lang w:val="fr-FR"/>
          </w:rPr>
          <w:t>/</w:t>
        </w:r>
        <w:r w:rsidR="00455B6C" w:rsidRPr="00A00234">
          <w:rPr>
            <w:szCs w:val="20"/>
            <w:lang w:val="fr-FR"/>
          </w:rPr>
          <w:t>COP/16/</w:t>
        </w:r>
        <w:r w:rsidR="00455B6C">
          <w:rPr>
            <w:szCs w:val="20"/>
            <w:lang w:val="fr-FR"/>
          </w:rPr>
          <w:t>INF/27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4AC9A2C" w14:textId="6D23E867" w:rsidR="002B559C" w:rsidRPr="002B559C" w:rsidRDefault="00455B6C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CBD/COP/16/INF/27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2DFB8" w14:textId="77777777" w:rsidR="00F2294F" w:rsidRDefault="00F2294F" w:rsidP="007325FD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344255">
    <w:abstractNumId w:val="4"/>
  </w:num>
  <w:num w:numId="2" w16cid:durableId="53703014">
    <w:abstractNumId w:val="12"/>
  </w:num>
  <w:num w:numId="3" w16cid:durableId="716201637">
    <w:abstractNumId w:val="15"/>
  </w:num>
  <w:num w:numId="4" w16cid:durableId="1342588789">
    <w:abstractNumId w:val="0"/>
  </w:num>
  <w:num w:numId="5" w16cid:durableId="1269461747">
    <w:abstractNumId w:val="1"/>
  </w:num>
  <w:num w:numId="6" w16cid:durableId="909995608">
    <w:abstractNumId w:val="1"/>
  </w:num>
  <w:num w:numId="7" w16cid:durableId="505631744">
    <w:abstractNumId w:val="3"/>
  </w:num>
  <w:num w:numId="8" w16cid:durableId="1071660373">
    <w:abstractNumId w:val="7"/>
  </w:num>
  <w:num w:numId="9" w16cid:durableId="1400397901">
    <w:abstractNumId w:val="11"/>
  </w:num>
  <w:num w:numId="10" w16cid:durableId="515193681">
    <w:abstractNumId w:val="10"/>
  </w:num>
  <w:num w:numId="11" w16cid:durableId="1762598838">
    <w:abstractNumId w:val="6"/>
  </w:num>
  <w:num w:numId="12" w16cid:durableId="1875999096">
    <w:abstractNumId w:val="2"/>
  </w:num>
  <w:num w:numId="13" w16cid:durableId="189531808">
    <w:abstractNumId w:val="2"/>
    <w:lvlOverride w:ilvl="0">
      <w:startOverride w:val="1"/>
    </w:lvlOverride>
  </w:num>
  <w:num w:numId="14" w16cid:durableId="1765108239">
    <w:abstractNumId w:val="9"/>
  </w:num>
  <w:num w:numId="15" w16cid:durableId="1962033662">
    <w:abstractNumId w:val="9"/>
    <w:lvlOverride w:ilvl="0">
      <w:startOverride w:val="1"/>
    </w:lvlOverride>
  </w:num>
  <w:num w:numId="16" w16cid:durableId="404574211">
    <w:abstractNumId w:val="12"/>
    <w:lvlOverride w:ilvl="0">
      <w:startOverride w:val="1"/>
    </w:lvlOverride>
  </w:num>
  <w:num w:numId="17" w16cid:durableId="1229270132">
    <w:abstractNumId w:val="9"/>
    <w:lvlOverride w:ilvl="0">
      <w:startOverride w:val="1"/>
    </w:lvlOverride>
  </w:num>
  <w:num w:numId="18" w16cid:durableId="2065835275">
    <w:abstractNumId w:val="16"/>
  </w:num>
  <w:num w:numId="19" w16cid:durableId="717630409">
    <w:abstractNumId w:val="12"/>
    <w:lvlOverride w:ilvl="0">
      <w:startOverride w:val="1"/>
    </w:lvlOverride>
  </w:num>
  <w:num w:numId="20" w16cid:durableId="1074663690">
    <w:abstractNumId w:val="12"/>
    <w:lvlOverride w:ilvl="0">
      <w:startOverride w:val="1"/>
    </w:lvlOverride>
  </w:num>
  <w:num w:numId="21" w16cid:durableId="1813398636">
    <w:abstractNumId w:val="8"/>
  </w:num>
  <w:num w:numId="22" w16cid:durableId="563879353">
    <w:abstractNumId w:val="5"/>
  </w:num>
  <w:num w:numId="23" w16cid:durableId="778259278">
    <w:abstractNumId w:val="13"/>
  </w:num>
  <w:num w:numId="24" w16cid:durableId="1564608618">
    <w:abstractNumId w:val="13"/>
  </w:num>
  <w:num w:numId="25" w16cid:durableId="562369533">
    <w:abstractNumId w:val="13"/>
  </w:num>
  <w:num w:numId="26" w16cid:durableId="1648778990">
    <w:abstractNumId w:val="13"/>
  </w:num>
  <w:num w:numId="27" w16cid:durableId="2037541643">
    <w:abstractNumId w:val="13"/>
  </w:num>
  <w:num w:numId="28" w16cid:durableId="433020931">
    <w:abstractNumId w:val="13"/>
  </w:num>
  <w:num w:numId="29" w16cid:durableId="2019963482">
    <w:abstractNumId w:val="14"/>
  </w:num>
  <w:num w:numId="30" w16cid:durableId="242378373">
    <w:abstractNumId w:val="14"/>
  </w:num>
  <w:num w:numId="31" w16cid:durableId="1127622322">
    <w:abstractNumId w:val="14"/>
  </w:num>
  <w:num w:numId="32" w16cid:durableId="817767675">
    <w:abstractNumId w:val="14"/>
  </w:num>
  <w:num w:numId="33" w16cid:durableId="710035986">
    <w:abstractNumId w:val="5"/>
  </w:num>
  <w:num w:numId="34" w16cid:durableId="530260691">
    <w:abstractNumId w:val="5"/>
  </w:num>
  <w:num w:numId="35" w16cid:durableId="256907830">
    <w:abstractNumId w:val="5"/>
  </w:num>
  <w:num w:numId="36" w16cid:durableId="139886575">
    <w:abstractNumId w:val="5"/>
  </w:num>
  <w:num w:numId="37" w16cid:durableId="189951999">
    <w:abstractNumId w:val="5"/>
  </w:num>
  <w:num w:numId="38" w16cid:durableId="1998918676">
    <w:abstractNumId w:val="5"/>
  </w:num>
  <w:num w:numId="39" w16cid:durableId="706225374">
    <w:abstractNumId w:val="5"/>
  </w:num>
  <w:num w:numId="40" w16cid:durableId="487672930">
    <w:abstractNumId w:val="5"/>
  </w:num>
  <w:num w:numId="41" w16cid:durableId="4447344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088984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A8"/>
    <w:rsid w:val="00000B85"/>
    <w:rsid w:val="00040598"/>
    <w:rsid w:val="00077DBD"/>
    <w:rsid w:val="000A5832"/>
    <w:rsid w:val="000B51A6"/>
    <w:rsid w:val="000D7148"/>
    <w:rsid w:val="000E3F95"/>
    <w:rsid w:val="000F1FA2"/>
    <w:rsid w:val="00121E87"/>
    <w:rsid w:val="00132581"/>
    <w:rsid w:val="001454DA"/>
    <w:rsid w:val="00151F2B"/>
    <w:rsid w:val="00184909"/>
    <w:rsid w:val="00187633"/>
    <w:rsid w:val="00190BED"/>
    <w:rsid w:val="001A2527"/>
    <w:rsid w:val="001D7501"/>
    <w:rsid w:val="001E11E2"/>
    <w:rsid w:val="00213352"/>
    <w:rsid w:val="00215089"/>
    <w:rsid w:val="00256CC4"/>
    <w:rsid w:val="002658FF"/>
    <w:rsid w:val="002851BA"/>
    <w:rsid w:val="0029612A"/>
    <w:rsid w:val="002B00CA"/>
    <w:rsid w:val="002B559C"/>
    <w:rsid w:val="002C0EB0"/>
    <w:rsid w:val="002C29D5"/>
    <w:rsid w:val="002E098C"/>
    <w:rsid w:val="002E42B5"/>
    <w:rsid w:val="002E6665"/>
    <w:rsid w:val="00310608"/>
    <w:rsid w:val="00323F22"/>
    <w:rsid w:val="00324572"/>
    <w:rsid w:val="003476A9"/>
    <w:rsid w:val="0035361F"/>
    <w:rsid w:val="00365941"/>
    <w:rsid w:val="00376B6F"/>
    <w:rsid w:val="003A45FC"/>
    <w:rsid w:val="003A5682"/>
    <w:rsid w:val="003C6F10"/>
    <w:rsid w:val="00437534"/>
    <w:rsid w:val="00441498"/>
    <w:rsid w:val="004451D1"/>
    <w:rsid w:val="00455B6C"/>
    <w:rsid w:val="0046472D"/>
    <w:rsid w:val="004701EE"/>
    <w:rsid w:val="00477D96"/>
    <w:rsid w:val="00480A8D"/>
    <w:rsid w:val="00484B7D"/>
    <w:rsid w:val="004A2A2D"/>
    <w:rsid w:val="004B4C3A"/>
    <w:rsid w:val="004F030D"/>
    <w:rsid w:val="004F2BB9"/>
    <w:rsid w:val="00512067"/>
    <w:rsid w:val="00537248"/>
    <w:rsid w:val="00574783"/>
    <w:rsid w:val="00581EAB"/>
    <w:rsid w:val="00595A79"/>
    <w:rsid w:val="005A206E"/>
    <w:rsid w:val="005A3104"/>
    <w:rsid w:val="005A5CEE"/>
    <w:rsid w:val="005C0058"/>
    <w:rsid w:val="005E2605"/>
    <w:rsid w:val="005F69AB"/>
    <w:rsid w:val="00621818"/>
    <w:rsid w:val="00623DBA"/>
    <w:rsid w:val="006355BD"/>
    <w:rsid w:val="00657ED6"/>
    <w:rsid w:val="0067534F"/>
    <w:rsid w:val="00677051"/>
    <w:rsid w:val="006878CB"/>
    <w:rsid w:val="006A05B5"/>
    <w:rsid w:val="006B293D"/>
    <w:rsid w:val="006B390A"/>
    <w:rsid w:val="00720648"/>
    <w:rsid w:val="007325FD"/>
    <w:rsid w:val="0073451A"/>
    <w:rsid w:val="0075018F"/>
    <w:rsid w:val="0076622F"/>
    <w:rsid w:val="007A136D"/>
    <w:rsid w:val="007B7A31"/>
    <w:rsid w:val="007C71AA"/>
    <w:rsid w:val="007C77BC"/>
    <w:rsid w:val="007D4EF7"/>
    <w:rsid w:val="007E753F"/>
    <w:rsid w:val="00802B43"/>
    <w:rsid w:val="008301E5"/>
    <w:rsid w:val="00874541"/>
    <w:rsid w:val="00880330"/>
    <w:rsid w:val="008A3EBD"/>
    <w:rsid w:val="008E0581"/>
    <w:rsid w:val="008F2F76"/>
    <w:rsid w:val="00935461"/>
    <w:rsid w:val="00941C90"/>
    <w:rsid w:val="009459E3"/>
    <w:rsid w:val="00954797"/>
    <w:rsid w:val="009950EB"/>
    <w:rsid w:val="00995DDC"/>
    <w:rsid w:val="009C1114"/>
    <w:rsid w:val="009D4E78"/>
    <w:rsid w:val="009E7C35"/>
    <w:rsid w:val="00A00234"/>
    <w:rsid w:val="00A05373"/>
    <w:rsid w:val="00A15923"/>
    <w:rsid w:val="00A34F6A"/>
    <w:rsid w:val="00A52FF0"/>
    <w:rsid w:val="00A54FA0"/>
    <w:rsid w:val="00A61134"/>
    <w:rsid w:val="00A92F1E"/>
    <w:rsid w:val="00A96B21"/>
    <w:rsid w:val="00AA5361"/>
    <w:rsid w:val="00AD3CC2"/>
    <w:rsid w:val="00AE1A95"/>
    <w:rsid w:val="00B347C9"/>
    <w:rsid w:val="00B36EA9"/>
    <w:rsid w:val="00B47BB1"/>
    <w:rsid w:val="00B64B56"/>
    <w:rsid w:val="00B66E91"/>
    <w:rsid w:val="00B93533"/>
    <w:rsid w:val="00BA6522"/>
    <w:rsid w:val="00BB0B3D"/>
    <w:rsid w:val="00BC7082"/>
    <w:rsid w:val="00BE60DE"/>
    <w:rsid w:val="00C04517"/>
    <w:rsid w:val="00C2354A"/>
    <w:rsid w:val="00C47F6E"/>
    <w:rsid w:val="00C54B2E"/>
    <w:rsid w:val="00C82DA8"/>
    <w:rsid w:val="00CD4C7D"/>
    <w:rsid w:val="00CF70AB"/>
    <w:rsid w:val="00D103B3"/>
    <w:rsid w:val="00D3059B"/>
    <w:rsid w:val="00D40E3F"/>
    <w:rsid w:val="00D60046"/>
    <w:rsid w:val="00D677BF"/>
    <w:rsid w:val="00D7036C"/>
    <w:rsid w:val="00D71FFB"/>
    <w:rsid w:val="00D7243A"/>
    <w:rsid w:val="00D84F42"/>
    <w:rsid w:val="00DB672E"/>
    <w:rsid w:val="00E1597C"/>
    <w:rsid w:val="00E51AE9"/>
    <w:rsid w:val="00E63F19"/>
    <w:rsid w:val="00E740AC"/>
    <w:rsid w:val="00E9679E"/>
    <w:rsid w:val="00EA3B32"/>
    <w:rsid w:val="00ED3849"/>
    <w:rsid w:val="00EF6DB9"/>
    <w:rsid w:val="00F10965"/>
    <w:rsid w:val="00F2294F"/>
    <w:rsid w:val="00F22FB2"/>
    <w:rsid w:val="00F258FB"/>
    <w:rsid w:val="00F3483B"/>
    <w:rsid w:val="00F45CE4"/>
    <w:rsid w:val="00F62481"/>
    <w:rsid w:val="00F66720"/>
    <w:rsid w:val="00F70543"/>
    <w:rsid w:val="00F75F90"/>
    <w:rsid w:val="00F96F93"/>
    <w:rsid w:val="00FA18C9"/>
    <w:rsid w:val="00FB3C79"/>
    <w:rsid w:val="00FF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2CEBF"/>
  <w15:chartTrackingRefBased/>
  <w15:docId w15:val="{08A67A1E-792C-45E2-8FFD-CCCA9477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paragraph" w:styleId="Revision">
    <w:name w:val="Revision"/>
    <w:hidden/>
    <w:uiPriority w:val="99"/>
    <w:semiHidden/>
    <w:rsid w:val="00F2294F"/>
    <w:pPr>
      <w:spacing w:after="0" w:line="240" w:lineRule="auto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30D"/>
    <w:rPr>
      <w:rFonts w:ascii="Segoe UI" w:eastAsia="SimSu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COP\cop-16\templates&amp;statu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3157089895D4FA99B172512C0FA7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A825B-C155-4E0B-9C04-7B1C44A3CC53}"/>
      </w:docPartPr>
      <w:docPartBody>
        <w:p w:rsidR="00721915" w:rsidRDefault="00721915">
          <w:pPr>
            <w:pStyle w:val="C3157089895D4FA99B172512C0FA7FF2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15"/>
    <w:rsid w:val="00721915"/>
    <w:rsid w:val="007937BF"/>
    <w:rsid w:val="00A15923"/>
    <w:rsid w:val="00B04B91"/>
    <w:rsid w:val="00B66E91"/>
    <w:rsid w:val="00C04517"/>
    <w:rsid w:val="00D8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157089895D4FA99B172512C0FA7FF2">
    <w:name w:val="C3157089895D4FA99B172512C0FA7F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7D1462-D5B0-4681-A013-2BF14CE2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2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Elements of previous guidance to the Global Environment Facility related to Section C and Targets 2 and 23 of the Kunming-Montreal Global Biodiversity Framework</vt:lpstr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Elements of previous guidance to the Global Environment Facility related to section C and Targets 2 and 23 of the Kunming-Montreal Global Biodiversity Framework</dc:title>
  <dc:subject>CBD/COP/16/INF/27</dc:subject>
  <dc:creator>Veronique Lefebvre</dc:creator>
  <cp:keywords>Conference of the Parties to the Convention on Biological Diversity</cp:keywords>
  <dc:description/>
  <cp:lastModifiedBy>Veronique Lefebvre</cp:lastModifiedBy>
  <cp:revision>4</cp:revision>
  <dcterms:created xsi:type="dcterms:W3CDTF">2024-10-11T18:05:00Z</dcterms:created>
  <dcterms:modified xsi:type="dcterms:W3CDTF">2024-10-11T18:07:00Z</dcterms:modified>
</cp:coreProperties>
</file>