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426" w:type="dxa"/>
        <w:tblLook w:val="04A0" w:firstRow="1" w:lastRow="0" w:firstColumn="1" w:lastColumn="0" w:noHBand="0" w:noVBand="1"/>
      </w:tblPr>
      <w:tblGrid>
        <w:gridCol w:w="795"/>
        <w:gridCol w:w="5141"/>
        <w:gridCol w:w="4413"/>
      </w:tblGrid>
      <w:tr w:rsidR="008E53EA" w:rsidRPr="001D0565" w14:paraId="62A90E66" w14:textId="77777777" w:rsidTr="00CD12C0">
        <w:trPr>
          <w:trHeight w:val="844"/>
        </w:trPr>
        <w:tc>
          <w:tcPr>
            <w:tcW w:w="795" w:type="dxa"/>
          </w:tcPr>
          <w:p w14:paraId="739E3446" w14:textId="77777777" w:rsidR="008E53EA" w:rsidRPr="001D0565" w:rsidRDefault="008E53EA" w:rsidP="00456490">
            <w:pPr>
              <w:suppressLineNumbers/>
              <w:suppressAutoHyphens/>
              <w:rPr>
                <w:kern w:val="22"/>
              </w:rPr>
            </w:pPr>
            <w:r w:rsidRPr="00456490">
              <w:rPr>
                <w:noProof/>
                <w:kern w:val="22"/>
                <w:lang w:val="en-US"/>
              </w:rPr>
              <w:drawing>
                <wp:anchor distT="0" distB="0" distL="114300" distR="114300" simplePos="0" relativeHeight="251660288" behindDoc="0" locked="0" layoutInCell="1" allowOverlap="1" wp14:anchorId="0A9A5991" wp14:editId="5E6AC27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1748544C" w14:textId="2A39D4BF" w:rsidR="008E53EA" w:rsidRPr="001D0565" w:rsidRDefault="00337E6E" w:rsidP="00456490">
            <w:pPr>
              <w:suppressLineNumbers/>
              <w:suppressAutoHyphens/>
              <w:rPr>
                <w:kern w:val="22"/>
              </w:rPr>
            </w:pPr>
            <w:r w:rsidRPr="00337E6E">
              <w:rPr>
                <w:noProof/>
                <w:lang w:val="en-US"/>
              </w:rPr>
              <w:drawing>
                <wp:inline distT="0" distB="0" distL="0" distR="0" wp14:anchorId="07A36421" wp14:editId="2244F71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413" w:type="dxa"/>
          </w:tcPr>
          <w:p w14:paraId="4CD6AC9E" w14:textId="77777777" w:rsidR="008E53EA" w:rsidRPr="001D0565" w:rsidRDefault="008E53EA" w:rsidP="00456490">
            <w:pPr>
              <w:suppressLineNumbers/>
              <w:suppressAutoHyphens/>
              <w:jc w:val="right"/>
              <w:rPr>
                <w:rFonts w:ascii="Arial" w:hAnsi="Arial" w:cs="Arial"/>
                <w:b/>
                <w:kern w:val="22"/>
                <w:sz w:val="32"/>
                <w:szCs w:val="32"/>
              </w:rPr>
            </w:pPr>
            <w:r w:rsidRPr="001D0565">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C9161D" w:rsidRPr="001D0565" w14:paraId="56E658C1" w14:textId="77777777" w:rsidTr="00CF1848">
        <w:tc>
          <w:tcPr>
            <w:tcW w:w="6117" w:type="dxa"/>
            <w:tcBorders>
              <w:top w:val="single" w:sz="12" w:space="0" w:color="auto"/>
              <w:bottom w:val="single" w:sz="36" w:space="0" w:color="auto"/>
            </w:tcBorders>
            <w:vAlign w:val="center"/>
          </w:tcPr>
          <w:p w14:paraId="0C17A3A6" w14:textId="1B7B0FED" w:rsidR="00C9161D" w:rsidRPr="001D0565" w:rsidRDefault="00337E6E">
            <w:pPr>
              <w:suppressLineNumbers/>
              <w:suppressAutoHyphens/>
              <w:kinsoku w:val="0"/>
              <w:overflowPunct w:val="0"/>
              <w:autoSpaceDE w:val="0"/>
              <w:autoSpaceDN w:val="0"/>
              <w:adjustRightInd w:val="0"/>
              <w:snapToGrid w:val="0"/>
              <w:rPr>
                <w:kern w:val="22"/>
              </w:rPr>
            </w:pPr>
            <w:r>
              <w:rPr>
                <w:bCs/>
                <w:noProof/>
                <w:szCs w:val="22"/>
                <w:lang w:val="en-US"/>
              </w:rPr>
              <w:drawing>
                <wp:inline distT="0" distB="0" distL="0" distR="0" wp14:anchorId="5B1EBFB4" wp14:editId="45AD369B">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EDCF21" w14:textId="77777777" w:rsidR="00C9161D" w:rsidRPr="001D0565" w:rsidRDefault="00C9161D" w:rsidP="00456490">
            <w:pPr>
              <w:suppressLineNumbers/>
              <w:suppressAutoHyphens/>
              <w:kinsoku w:val="0"/>
              <w:overflowPunct w:val="0"/>
              <w:autoSpaceDE w:val="0"/>
              <w:autoSpaceDN w:val="0"/>
              <w:adjustRightInd w:val="0"/>
              <w:snapToGrid w:val="0"/>
              <w:ind w:left="1213"/>
              <w:jc w:val="left"/>
              <w:rPr>
                <w:kern w:val="22"/>
                <w:szCs w:val="22"/>
              </w:rPr>
            </w:pPr>
            <w:r w:rsidRPr="001D0565">
              <w:rPr>
                <w:kern w:val="22"/>
                <w:szCs w:val="22"/>
              </w:rPr>
              <w:t>Distr.</w:t>
            </w:r>
          </w:p>
          <w:p w14:paraId="1B2FE4D4" w14:textId="339D67F1" w:rsidR="00C9161D" w:rsidRPr="001D0565" w:rsidRDefault="00E25ED5" w:rsidP="00456490">
            <w:pPr>
              <w:suppressLineNumbers/>
              <w:suppressAutoHyphens/>
              <w:kinsoku w:val="0"/>
              <w:overflowPunct w:val="0"/>
              <w:autoSpaceDE w:val="0"/>
              <w:autoSpaceDN w:val="0"/>
              <w:adjustRightInd w:val="0"/>
              <w:snapToGrid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F70F5">
                  <w:rPr>
                    <w:kern w:val="22"/>
                    <w:szCs w:val="22"/>
                  </w:rPr>
                  <w:t>GÉNÉRALE</w:t>
                </w:r>
              </w:sdtContent>
            </w:sdt>
          </w:p>
          <w:p w14:paraId="176A6992" w14:textId="77777777" w:rsidR="00C9161D" w:rsidRPr="001D0565" w:rsidRDefault="00C9161D" w:rsidP="00456490">
            <w:pPr>
              <w:suppressLineNumbers/>
              <w:suppressAutoHyphens/>
              <w:kinsoku w:val="0"/>
              <w:overflowPunct w:val="0"/>
              <w:autoSpaceDE w:val="0"/>
              <w:autoSpaceDN w:val="0"/>
              <w:adjustRightInd w:val="0"/>
              <w:snapToGrid w:val="0"/>
              <w:ind w:left="1213"/>
              <w:jc w:val="left"/>
              <w:rPr>
                <w:kern w:val="22"/>
                <w:szCs w:val="22"/>
              </w:rPr>
            </w:pPr>
          </w:p>
          <w:p w14:paraId="6860B445" w14:textId="388E45CB" w:rsidR="00C9161D" w:rsidRPr="001D0565" w:rsidRDefault="00E25ED5" w:rsidP="00456490">
            <w:pPr>
              <w:suppressLineNumbers/>
              <w:suppressAutoHyphens/>
              <w:kinsoku w:val="0"/>
              <w:overflowPunct w:val="0"/>
              <w:autoSpaceDE w:val="0"/>
              <w:autoSpaceDN w:val="0"/>
              <w:adjustRightInd w:val="0"/>
              <w:snapToGrid w:val="0"/>
              <w:ind w:left="1213"/>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C4969" w:rsidRPr="00456490">
                  <w:rPr>
                    <w:kern w:val="22"/>
                  </w:rPr>
                  <w:t>CBD/SBI/3/</w:t>
                </w:r>
                <w:r w:rsidR="005E1DF4" w:rsidRPr="00456490">
                  <w:rPr>
                    <w:kern w:val="22"/>
                  </w:rPr>
                  <w:t>2</w:t>
                </w:r>
              </w:sdtContent>
            </w:sdt>
          </w:p>
          <w:p w14:paraId="60F097AD" w14:textId="7D65FF7A" w:rsidR="00C9161D" w:rsidRPr="001D0565" w:rsidRDefault="00E25ED5" w:rsidP="00456490">
            <w:pPr>
              <w:suppressLineNumbers/>
              <w:suppressAutoHyphens/>
              <w:kinsoku w:val="0"/>
              <w:overflowPunct w:val="0"/>
              <w:autoSpaceDE w:val="0"/>
              <w:autoSpaceDN w:val="0"/>
              <w:adjustRightInd w:val="0"/>
              <w:snapToGrid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082FC9" w:rsidRPr="00456490">
                  <w:rPr>
                    <w:kern w:val="22"/>
                    <w:szCs w:val="22"/>
                  </w:rPr>
                  <w:t>2</w:t>
                </w:r>
                <w:r w:rsidR="00082B0B" w:rsidRPr="00456490">
                  <w:rPr>
                    <w:kern w:val="22"/>
                    <w:szCs w:val="22"/>
                  </w:rPr>
                  <w:t xml:space="preserve">6 </w:t>
                </w:r>
                <w:r w:rsidR="007F70F5">
                  <w:rPr>
                    <w:kern w:val="22"/>
                    <w:szCs w:val="22"/>
                  </w:rPr>
                  <w:t xml:space="preserve">juin </w:t>
                </w:r>
                <w:r w:rsidR="00082B0B" w:rsidRPr="00456490">
                  <w:rPr>
                    <w:kern w:val="22"/>
                    <w:szCs w:val="22"/>
                  </w:rPr>
                  <w:t>2020</w:t>
                </w:r>
              </w:sdtContent>
            </w:sdt>
          </w:p>
          <w:p w14:paraId="08F7B52C" w14:textId="77777777" w:rsidR="00C9161D" w:rsidRDefault="00C9161D" w:rsidP="00456490">
            <w:pPr>
              <w:suppressLineNumbers/>
              <w:suppressAutoHyphens/>
              <w:kinsoku w:val="0"/>
              <w:overflowPunct w:val="0"/>
              <w:autoSpaceDE w:val="0"/>
              <w:autoSpaceDN w:val="0"/>
              <w:adjustRightInd w:val="0"/>
              <w:snapToGrid w:val="0"/>
              <w:ind w:left="1213"/>
              <w:jc w:val="left"/>
              <w:rPr>
                <w:kern w:val="22"/>
                <w:szCs w:val="22"/>
              </w:rPr>
            </w:pPr>
          </w:p>
          <w:p w14:paraId="4D06EA66" w14:textId="0356283D" w:rsidR="007F70F5" w:rsidRPr="001D0565" w:rsidRDefault="007F70F5" w:rsidP="00456490">
            <w:pPr>
              <w:suppressLineNumbers/>
              <w:suppressAutoHyphens/>
              <w:kinsoku w:val="0"/>
              <w:overflowPunct w:val="0"/>
              <w:autoSpaceDE w:val="0"/>
              <w:autoSpaceDN w:val="0"/>
              <w:adjustRightInd w:val="0"/>
              <w:snapToGrid w:val="0"/>
              <w:ind w:left="1213"/>
              <w:jc w:val="left"/>
              <w:rPr>
                <w:kern w:val="22"/>
                <w:szCs w:val="22"/>
              </w:rPr>
            </w:pPr>
            <w:r>
              <w:rPr>
                <w:kern w:val="22"/>
                <w:szCs w:val="22"/>
              </w:rPr>
              <w:t>FRANÇAIS</w:t>
            </w:r>
          </w:p>
          <w:p w14:paraId="4474FBA2" w14:textId="37257850" w:rsidR="00C9161D" w:rsidRPr="001D0565" w:rsidRDefault="006B2290" w:rsidP="00456490">
            <w:pPr>
              <w:suppressLineNumbers/>
              <w:suppressAutoHyphens/>
              <w:kinsoku w:val="0"/>
              <w:overflowPunct w:val="0"/>
              <w:autoSpaceDE w:val="0"/>
              <w:autoSpaceDN w:val="0"/>
              <w:adjustRightInd w:val="0"/>
              <w:snapToGrid w:val="0"/>
              <w:ind w:left="1213"/>
              <w:jc w:val="left"/>
              <w:rPr>
                <w:kern w:val="22"/>
                <w:szCs w:val="22"/>
              </w:rPr>
            </w:pPr>
            <w:r w:rsidRPr="001D0565">
              <w:rPr>
                <w:kern w:val="22"/>
                <w:szCs w:val="22"/>
              </w:rPr>
              <w:t xml:space="preserve">ORIGINAL: </w:t>
            </w:r>
            <w:r w:rsidR="00C9161D" w:rsidRPr="001D0565">
              <w:rPr>
                <w:kern w:val="22"/>
                <w:szCs w:val="22"/>
              </w:rPr>
              <w:t>ENGLISH</w:t>
            </w:r>
          </w:p>
        </w:tc>
      </w:tr>
    </w:tbl>
    <w:p w14:paraId="5DE7DB53" w14:textId="56667E20" w:rsidR="00172AF6" w:rsidRPr="00BB02E4" w:rsidRDefault="007F70F5">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rPr>
      </w:pPr>
      <w:r>
        <w:rPr>
          <w:color w:val="000000"/>
          <w:kern w:val="22"/>
          <w:szCs w:val="22"/>
          <w:shd w:val="clear" w:color="auto" w:fill="FFFFFF"/>
        </w:rPr>
        <w:t>ORGANE SUBSIDIAIRE CHARGÉ DE L’APPLICATION</w:t>
      </w:r>
    </w:p>
    <w:p w14:paraId="22D5D89E" w14:textId="49BFE7B4" w:rsidR="001133C5" w:rsidRPr="007F70F5" w:rsidRDefault="007F70F5">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rPr>
      </w:pPr>
      <w:r w:rsidRPr="007F70F5">
        <w:rPr>
          <w:color w:val="000000"/>
          <w:kern w:val="22"/>
          <w:szCs w:val="22"/>
          <w:shd w:val="clear" w:color="auto" w:fill="FFFFFF"/>
        </w:rPr>
        <w:t>Troisième réunion</w:t>
      </w:r>
    </w:p>
    <w:p w14:paraId="00E3FA99" w14:textId="6161F04E" w:rsidR="001133C5" w:rsidRPr="007F70F5" w:rsidRDefault="007F70F5">
      <w:pPr>
        <w:pStyle w:val="Cornernotation"/>
        <w:suppressLineNumbers/>
        <w:suppressAutoHyphens/>
        <w:kinsoku w:val="0"/>
        <w:overflowPunct w:val="0"/>
        <w:autoSpaceDE w:val="0"/>
        <w:autoSpaceDN w:val="0"/>
        <w:adjustRightInd w:val="0"/>
        <w:snapToGrid w:val="0"/>
        <w:ind w:left="0" w:firstLine="0"/>
        <w:jc w:val="both"/>
        <w:rPr>
          <w:kern w:val="22"/>
          <w:szCs w:val="22"/>
        </w:rPr>
      </w:pPr>
      <w:r>
        <w:rPr>
          <w:kern w:val="22"/>
          <w:szCs w:val="22"/>
        </w:rPr>
        <w:t xml:space="preserve">Québec (à confirmer), Canada, 9-14 novembre 2020 </w:t>
      </w:r>
    </w:p>
    <w:p w14:paraId="451160DA" w14:textId="5EB2D3A3" w:rsidR="001133C5" w:rsidRPr="007F70F5" w:rsidRDefault="007F70F5">
      <w:pPr>
        <w:suppressLineNumbers/>
        <w:suppressAutoHyphens/>
        <w:kinsoku w:val="0"/>
        <w:overflowPunct w:val="0"/>
        <w:autoSpaceDE w:val="0"/>
        <w:autoSpaceDN w:val="0"/>
        <w:adjustRightInd w:val="0"/>
        <w:snapToGrid w:val="0"/>
        <w:rPr>
          <w:kern w:val="22"/>
          <w:szCs w:val="22"/>
        </w:rPr>
      </w:pPr>
      <w:r>
        <w:rPr>
          <w:kern w:val="22"/>
          <w:szCs w:val="22"/>
        </w:rPr>
        <w:t>Point 3 de l’ordre du jour provisoire</w:t>
      </w:r>
      <w:r w:rsidR="001133C5" w:rsidRPr="007F70F5">
        <w:rPr>
          <w:rStyle w:val="FootnoteReference"/>
          <w:kern w:val="22"/>
          <w:szCs w:val="22"/>
        </w:rPr>
        <w:footnoteReference w:customMarkFollows="1" w:id="2"/>
        <w:t>*</w:t>
      </w:r>
    </w:p>
    <w:p w14:paraId="46BD578C" w14:textId="58F8D57F" w:rsidR="00C9161D" w:rsidRPr="007F70F5" w:rsidRDefault="00681787">
      <w:pPr>
        <w:suppressLineNumbers/>
        <w:suppressAutoHyphens/>
        <w:kinsoku w:val="0"/>
        <w:overflowPunct w:val="0"/>
        <w:autoSpaceDE w:val="0"/>
        <w:autoSpaceDN w:val="0"/>
        <w:adjustRightInd w:val="0"/>
        <w:snapToGrid w:val="0"/>
        <w:rPr>
          <w:kern w:val="22"/>
          <w:szCs w:val="22"/>
        </w:rPr>
      </w:pPr>
      <w:r>
        <w:rPr>
          <w:kern w:val="22"/>
          <w:szCs w:val="22"/>
        </w:rPr>
        <w:t xml:space="preserve"> </w:t>
      </w:r>
    </w:p>
    <w:p w14:paraId="68D47EAF" w14:textId="1A4BAFD6" w:rsidR="00C9161D" w:rsidRPr="007F70F5" w:rsidRDefault="00E25ED5">
      <w:pPr>
        <w:suppressLineNumbers/>
        <w:suppressAutoHyphens/>
        <w:kinsoku w:val="0"/>
        <w:overflowPunct w:val="0"/>
        <w:autoSpaceDE w:val="0"/>
        <w:autoSpaceDN w:val="0"/>
        <w:adjustRightInd w:val="0"/>
        <w:snapToGrid w:val="0"/>
        <w:spacing w:before="120" w:after="120"/>
        <w:jc w:val="center"/>
        <w:rPr>
          <w:b/>
          <w:caps/>
          <w:kern w:val="22"/>
          <w:szCs w:val="22"/>
        </w:rPr>
      </w:pPr>
      <w:sdt>
        <w:sdtPr>
          <w:rPr>
            <w:rStyle w:val="Heading2Char"/>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9392E">
            <w:rPr>
              <w:rStyle w:val="Heading2Char"/>
              <w:caps/>
              <w:kern w:val="22"/>
              <w:szCs w:val="22"/>
              <w:lang w:val="fr-CA"/>
            </w:rPr>
            <w:t xml:space="preserve">EXamen des progrès accomplis dans la mise en œuvre de la convention et du plan stratégique </w:t>
          </w:r>
          <w:r w:rsidR="00681787">
            <w:rPr>
              <w:rStyle w:val="Heading2Char"/>
              <w:caps/>
              <w:kern w:val="22"/>
              <w:szCs w:val="22"/>
              <w:lang w:val="fr-CA"/>
            </w:rPr>
            <w:t xml:space="preserve">2011-2020 </w:t>
          </w:r>
          <w:r w:rsidR="0099392E">
            <w:rPr>
              <w:rStyle w:val="Heading2Char"/>
              <w:caps/>
              <w:kern w:val="22"/>
              <w:szCs w:val="22"/>
              <w:lang w:val="fr-CA"/>
            </w:rPr>
            <w:t xml:space="preserve">pour la diversité biologique </w:t>
          </w:r>
        </w:sdtContent>
      </w:sdt>
    </w:p>
    <w:p w14:paraId="3B0CDDD6" w14:textId="3E0187ED" w:rsidR="009E4766" w:rsidRPr="007F70F5" w:rsidRDefault="0099392E">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kern w:val="22"/>
          <w:szCs w:val="22"/>
        </w:rPr>
        <w:t>Note de la Secrétaire exécutive</w:t>
      </w:r>
    </w:p>
    <w:p w14:paraId="77A7218C" w14:textId="4DECFA54" w:rsidR="009E4766" w:rsidRPr="007F70F5" w:rsidRDefault="00763864">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kern w:val="22"/>
          <w:szCs w:val="22"/>
        </w:rPr>
        <w:t>CONTEXTE</w:t>
      </w:r>
    </w:p>
    <w:p w14:paraId="4CAEA56C" w14:textId="7D99E607" w:rsidR="00BF72C6" w:rsidRDefault="000F26E9" w:rsidP="00BF72C6">
      <w:pPr>
        <w:pStyle w:val="Para1"/>
      </w:pPr>
      <w:r w:rsidRPr="000F26E9">
        <w:t xml:space="preserve">Dans la décision </w:t>
      </w:r>
      <w:hyperlink r:id="rId18" w:history="1">
        <w:r w:rsidRPr="000F26E9">
          <w:rPr>
            <w:rStyle w:val="Hyperlink"/>
            <w:spacing w:val="-3"/>
            <w:kern w:val="22"/>
            <w:sz w:val="22"/>
            <w:szCs w:val="22"/>
          </w:rPr>
          <w:t>X/2</w:t>
        </w:r>
      </w:hyperlink>
      <w:r w:rsidRPr="000F26E9">
        <w:t>, la Conférence des Parties a décidé que, lor</w:t>
      </w:r>
      <w:r>
        <w:t xml:space="preserve">s de ses futures réunions, celle-ci </w:t>
      </w:r>
      <w:r w:rsidRPr="000F26E9">
        <w:t xml:space="preserve">examinerait les progrès accomplis dans la mise en œuvre du </w:t>
      </w:r>
      <w:hyperlink r:id="rId19" w:history="1">
        <w:r w:rsidRPr="00681787">
          <w:rPr>
            <w:rStyle w:val="Hyperlink"/>
            <w:spacing w:val="-3"/>
            <w:kern w:val="22"/>
            <w:sz w:val="22"/>
            <w:szCs w:val="22"/>
          </w:rPr>
          <w:t xml:space="preserve">Plan </w:t>
        </w:r>
        <w:r w:rsidR="002B0903" w:rsidRPr="00681787">
          <w:rPr>
            <w:rStyle w:val="Hyperlink"/>
            <w:spacing w:val="-3"/>
            <w:kern w:val="22"/>
            <w:sz w:val="22"/>
            <w:szCs w:val="22"/>
          </w:rPr>
          <w:t xml:space="preserve">stratégique </w:t>
        </w:r>
        <w:r w:rsidR="00681787" w:rsidRPr="00681787">
          <w:rPr>
            <w:rStyle w:val="Hyperlink"/>
            <w:spacing w:val="-3"/>
            <w:kern w:val="22"/>
            <w:sz w:val="22"/>
            <w:szCs w:val="22"/>
          </w:rPr>
          <w:t xml:space="preserve">2011-2020 </w:t>
        </w:r>
        <w:r w:rsidR="002B0903" w:rsidRPr="00681787">
          <w:rPr>
            <w:rStyle w:val="Hyperlink"/>
            <w:spacing w:val="-3"/>
            <w:kern w:val="22"/>
            <w:sz w:val="22"/>
            <w:szCs w:val="22"/>
          </w:rPr>
          <w:t>pour la diversité biologique</w:t>
        </w:r>
      </w:hyperlink>
      <w:r w:rsidR="00681787">
        <w:t xml:space="preserve"> </w:t>
      </w:r>
      <w:r w:rsidRPr="000F26E9">
        <w:t xml:space="preserve">(paragraphe 14) et a </w:t>
      </w:r>
      <w:r w:rsidR="00043E41">
        <w:t>prié</w:t>
      </w:r>
      <w:r>
        <w:t xml:space="preserve"> la Secrétaire exécutive</w:t>
      </w:r>
      <w:r w:rsidRPr="000F26E9">
        <w:t xml:space="preserve"> de préparer une analyse/synthèse des ac</w:t>
      </w:r>
      <w:r w:rsidR="00B5593F">
        <w:t xml:space="preserve">tions nationales, régionales </w:t>
      </w:r>
      <w:r w:rsidR="00585E34">
        <w:t xml:space="preserve">et autres, </w:t>
      </w:r>
      <w:r>
        <w:t>y compris des objectifs,</w:t>
      </w:r>
      <w:r w:rsidRPr="000F26E9">
        <w:t xml:space="preserve"> </w:t>
      </w:r>
      <w:r w:rsidR="004D130E">
        <w:t xml:space="preserve">au besoin, </w:t>
      </w:r>
      <w:r w:rsidRPr="000F26E9">
        <w:t>établis conformément au Plan stratégique (paragraphe 17(b)), pour permettre à la Conférence des Parties d'évaluer la contribution de ces objectifs nationaux et régionaux aux objectifs mondiaux.</w:t>
      </w:r>
      <w:r>
        <w:t xml:space="preserve"> En réponse à cette décision et aux décisions ultérieures connexes</w:t>
      </w:r>
      <w:r w:rsidR="00E81656">
        <w:rPr>
          <w:rStyle w:val="FootnoteReference"/>
        </w:rPr>
        <w:footnoteReference w:id="3"/>
      </w:r>
      <w:r>
        <w:t xml:space="preserve">, </w:t>
      </w:r>
      <w:r w:rsidR="004D130E">
        <w:t xml:space="preserve">la Conférence des Parties, </w:t>
      </w:r>
      <w:r>
        <w:t>à chacune</w:t>
      </w:r>
      <w:r w:rsidR="007F6E05">
        <w:t xml:space="preserve"> de ses réunions et depuis sa dixième réunion, a examiné les progrès réalisés dans la mise en œuvre du Plan stratégique</w:t>
      </w:r>
      <w:r w:rsidR="00585E34">
        <w:t xml:space="preserve"> 2011-2020 pour la diversité biologique</w:t>
      </w:r>
      <w:r w:rsidR="005B601A">
        <w:t xml:space="preserve"> </w:t>
      </w:r>
      <w:r w:rsidR="007F6E05">
        <w:t xml:space="preserve">sur la base de rapports nationaux et de stratégies et plans d’action pour la </w:t>
      </w:r>
      <w:r w:rsidR="009B7FF8">
        <w:t>biodiversité</w:t>
      </w:r>
      <w:r w:rsidR="007F6E05">
        <w:t xml:space="preserve"> (SPANB).</w:t>
      </w:r>
      <w:r w:rsidR="00CA62B4" w:rsidRPr="007F70F5">
        <w:rPr>
          <w:rStyle w:val="FootnoteReference"/>
          <w:spacing w:val="-3"/>
          <w:kern w:val="22"/>
          <w:szCs w:val="22"/>
        </w:rPr>
        <w:footnoteReference w:id="4"/>
      </w:r>
    </w:p>
    <w:p w14:paraId="4FD52866" w14:textId="5B50877A" w:rsidR="00AB5245" w:rsidRPr="00BF72C6" w:rsidRDefault="00AB5245" w:rsidP="00BF72C6">
      <w:pPr>
        <w:pStyle w:val="Para1"/>
      </w:pPr>
      <w:r w:rsidRPr="00BF72C6">
        <w:rPr>
          <w:kern w:val="22"/>
          <w:szCs w:val="22"/>
        </w:rPr>
        <w:t xml:space="preserve">Dans la décision </w:t>
      </w:r>
      <w:hyperlink r:id="rId20" w:history="1">
        <w:r w:rsidRPr="00BF72C6">
          <w:rPr>
            <w:rStyle w:val="Hyperlink"/>
            <w:sz w:val="22"/>
          </w:rPr>
          <w:t>14/1</w:t>
        </w:r>
      </w:hyperlink>
      <w:r w:rsidRPr="00BF72C6">
        <w:rPr>
          <w:kern w:val="22"/>
          <w:szCs w:val="22"/>
        </w:rPr>
        <w:t>, la Conféren</w:t>
      </w:r>
      <w:r w:rsidR="005B601A" w:rsidRPr="00BF72C6">
        <w:rPr>
          <w:kern w:val="22"/>
          <w:szCs w:val="22"/>
        </w:rPr>
        <w:t>ce des Parties a encouragé les P</w:t>
      </w:r>
      <w:r w:rsidRPr="00BF72C6">
        <w:rPr>
          <w:kern w:val="22"/>
          <w:szCs w:val="22"/>
        </w:rPr>
        <w:t>arties à soumettre le sixième rapport national en temps voulu, et a prié la Secrétaire exécutive de continuer à mettre à jour l’analyse des progrès accomplis dans la mise en œuvre du Plan stratégique</w:t>
      </w:r>
      <w:r w:rsidR="005B601A" w:rsidRPr="00BF72C6">
        <w:rPr>
          <w:kern w:val="22"/>
          <w:szCs w:val="22"/>
        </w:rPr>
        <w:t xml:space="preserve"> 2011-2020 </w:t>
      </w:r>
      <w:r w:rsidRPr="00BF72C6">
        <w:rPr>
          <w:kern w:val="22"/>
          <w:szCs w:val="22"/>
        </w:rPr>
        <w:t>pour la</w:t>
      </w:r>
      <w:r w:rsidR="005B601A" w:rsidRPr="00BF72C6">
        <w:rPr>
          <w:kern w:val="22"/>
          <w:szCs w:val="22"/>
        </w:rPr>
        <w:t xml:space="preserve"> diversité biologique </w:t>
      </w:r>
      <w:r w:rsidRPr="00BF72C6">
        <w:rPr>
          <w:kern w:val="22"/>
          <w:szCs w:val="22"/>
        </w:rPr>
        <w:t>sur la base des informations contenues dans les sixièmes rapports nationaux, qui devraient être soumis au p</w:t>
      </w:r>
      <w:r w:rsidR="009B7FF8">
        <w:rPr>
          <w:kern w:val="22"/>
          <w:szCs w:val="22"/>
        </w:rPr>
        <w:t>lus tard le 31 décembre 2018, ainsi que</w:t>
      </w:r>
      <w:r w:rsidRPr="00BF72C6">
        <w:rPr>
          <w:kern w:val="22"/>
          <w:szCs w:val="22"/>
        </w:rPr>
        <w:t xml:space="preserve"> de mettre </w:t>
      </w:r>
      <w:r w:rsidR="005B601A" w:rsidRPr="00BF72C6">
        <w:rPr>
          <w:kern w:val="22"/>
          <w:szCs w:val="22"/>
        </w:rPr>
        <w:t>l’analyse actualisée</w:t>
      </w:r>
      <w:r w:rsidRPr="00BF72C6">
        <w:rPr>
          <w:kern w:val="22"/>
          <w:szCs w:val="22"/>
        </w:rPr>
        <w:t xml:space="preserve"> à la disposition de l'Organe subsidiaire </w:t>
      </w:r>
      <w:r w:rsidR="005B601A" w:rsidRPr="00BF72C6">
        <w:rPr>
          <w:kern w:val="22"/>
          <w:szCs w:val="22"/>
        </w:rPr>
        <w:t>chargé de l’application aux fins d’</w:t>
      </w:r>
      <w:r w:rsidRPr="00BF72C6">
        <w:rPr>
          <w:kern w:val="22"/>
          <w:szCs w:val="22"/>
        </w:rPr>
        <w:t xml:space="preserve">examen à sa troisième réunion. En outre, dans sa décision </w:t>
      </w:r>
      <w:hyperlink r:id="rId21" w:history="1">
        <w:r w:rsidRPr="00BF72C6">
          <w:rPr>
            <w:rStyle w:val="Hyperlink"/>
            <w:kern w:val="22"/>
            <w:sz w:val="22"/>
            <w:szCs w:val="22"/>
          </w:rPr>
          <w:t>14/18</w:t>
        </w:r>
      </w:hyperlink>
      <w:r w:rsidRPr="00BF72C6">
        <w:rPr>
          <w:kern w:val="22"/>
          <w:szCs w:val="22"/>
        </w:rPr>
        <w:t>, la Conférence des Part</w:t>
      </w:r>
      <w:r w:rsidR="005B601A" w:rsidRPr="00BF72C6">
        <w:rPr>
          <w:kern w:val="22"/>
          <w:szCs w:val="22"/>
        </w:rPr>
        <w:t xml:space="preserve">ies a </w:t>
      </w:r>
      <w:r w:rsidR="00D85BA2" w:rsidRPr="00BF72C6">
        <w:rPr>
          <w:kern w:val="22"/>
          <w:szCs w:val="22"/>
        </w:rPr>
        <w:t>prié</w:t>
      </w:r>
      <w:r w:rsidR="005B601A" w:rsidRPr="00BF72C6">
        <w:rPr>
          <w:kern w:val="22"/>
          <w:szCs w:val="22"/>
        </w:rPr>
        <w:t xml:space="preserve"> la Secrétaire exécutive </w:t>
      </w:r>
      <w:r w:rsidRPr="00BF72C6">
        <w:rPr>
          <w:kern w:val="22"/>
          <w:szCs w:val="22"/>
        </w:rPr>
        <w:t>d'entreprendre un</w:t>
      </w:r>
      <w:r w:rsidR="00D85BA2" w:rsidRPr="00BF72C6">
        <w:rPr>
          <w:kern w:val="22"/>
          <w:szCs w:val="22"/>
        </w:rPr>
        <w:t xml:space="preserve"> examen de la mise en œuvre du P</w:t>
      </w:r>
      <w:r w:rsidRPr="00BF72C6">
        <w:rPr>
          <w:kern w:val="22"/>
          <w:szCs w:val="22"/>
        </w:rPr>
        <w:t>lan d'action 2015-2020 pour l'égalité entre les sexes afin de rece</w:t>
      </w:r>
      <w:r w:rsidR="00D85BA2" w:rsidRPr="00BF72C6">
        <w:rPr>
          <w:kern w:val="22"/>
          <w:szCs w:val="22"/>
        </w:rPr>
        <w:t>nser les lacunes, les bonnes</w:t>
      </w:r>
      <w:r w:rsidRPr="00BF72C6">
        <w:rPr>
          <w:kern w:val="22"/>
          <w:szCs w:val="22"/>
        </w:rPr>
        <w:t xml:space="preserve"> pratiques et les enseignements tirés.</w:t>
      </w:r>
    </w:p>
    <w:p w14:paraId="76733C38" w14:textId="056D9171" w:rsidR="009E4766" w:rsidRPr="007F70F5" w:rsidRDefault="00093022">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93022">
        <w:rPr>
          <w:rFonts w:eastAsia="Malgun Gothic"/>
          <w:kern w:val="22"/>
          <w:szCs w:val="22"/>
        </w:rPr>
        <w:lastRenderedPageBreak/>
        <w:t>Le présent document fournit une évaluation des progrès acco</w:t>
      </w:r>
      <w:r w:rsidR="00D85BA2">
        <w:rPr>
          <w:rFonts w:eastAsia="Malgun Gothic"/>
          <w:kern w:val="22"/>
          <w:szCs w:val="22"/>
        </w:rPr>
        <w:t>mplis dans la mise en œuvre du P</w:t>
      </w:r>
      <w:r w:rsidRPr="00093022">
        <w:rPr>
          <w:rFonts w:eastAsia="Malgun Gothic"/>
          <w:kern w:val="22"/>
          <w:szCs w:val="22"/>
        </w:rPr>
        <w:t xml:space="preserve">lan stratégique </w:t>
      </w:r>
      <w:r w:rsidR="006F2034">
        <w:rPr>
          <w:rFonts w:eastAsia="Malgun Gothic"/>
          <w:kern w:val="22"/>
          <w:szCs w:val="22"/>
        </w:rPr>
        <w:t xml:space="preserve">2011-2020 pour la diversité biologique </w:t>
      </w:r>
      <w:r w:rsidRPr="00093022">
        <w:rPr>
          <w:rFonts w:eastAsia="Malgun Gothic"/>
          <w:kern w:val="22"/>
          <w:szCs w:val="22"/>
        </w:rPr>
        <w:t xml:space="preserve">et dans la réalisation des objectifs d'Aichi </w:t>
      </w:r>
      <w:r w:rsidR="00D85BA2">
        <w:rPr>
          <w:rFonts w:eastAsia="Malgun Gothic"/>
          <w:kern w:val="22"/>
          <w:szCs w:val="22"/>
        </w:rPr>
        <w:t>pour la</w:t>
      </w:r>
      <w:r w:rsidRPr="00093022">
        <w:rPr>
          <w:rFonts w:eastAsia="Malgun Gothic"/>
          <w:kern w:val="22"/>
          <w:szCs w:val="22"/>
        </w:rPr>
        <w:t xml:space="preserve"> biodiversité, conformément aux décisions susmentionnées.</w:t>
      </w:r>
      <w:r>
        <w:rPr>
          <w:rFonts w:eastAsia="Malgun Gothic"/>
          <w:kern w:val="22"/>
          <w:szCs w:val="22"/>
        </w:rPr>
        <w:t xml:space="preserve"> </w:t>
      </w:r>
      <w:r w:rsidR="00D85BA2">
        <w:rPr>
          <w:rFonts w:eastAsia="Malgun Gothic"/>
          <w:kern w:val="22"/>
          <w:szCs w:val="22"/>
        </w:rPr>
        <w:t>Celui-ci</w:t>
      </w:r>
      <w:r w:rsidRPr="00093022">
        <w:rPr>
          <w:rFonts w:eastAsia="Malgun Gothic"/>
          <w:kern w:val="22"/>
          <w:szCs w:val="22"/>
        </w:rPr>
        <w:t xml:space="preserve"> fournit également une évaluation des progrès réalisés dans la </w:t>
      </w:r>
      <w:r w:rsidR="00D85BA2">
        <w:rPr>
          <w:rFonts w:eastAsia="Malgun Gothic"/>
          <w:kern w:val="22"/>
          <w:szCs w:val="22"/>
        </w:rPr>
        <w:t>réalisation du P</w:t>
      </w:r>
      <w:r w:rsidRPr="00093022">
        <w:rPr>
          <w:rFonts w:eastAsia="Malgun Gothic"/>
          <w:kern w:val="22"/>
          <w:szCs w:val="22"/>
        </w:rPr>
        <w:t>lan d'act</w:t>
      </w:r>
      <w:r w:rsidR="00D85BA2">
        <w:rPr>
          <w:rFonts w:eastAsia="Malgun Gothic"/>
          <w:kern w:val="22"/>
          <w:szCs w:val="22"/>
        </w:rPr>
        <w:t>ion 2015-2020 pour l'égalité entre les</w:t>
      </w:r>
      <w:r w:rsidRPr="00093022">
        <w:rPr>
          <w:rFonts w:eastAsia="Malgun Gothic"/>
          <w:kern w:val="22"/>
          <w:szCs w:val="22"/>
        </w:rPr>
        <w:t xml:space="preserve"> sexes.</w:t>
      </w:r>
      <w:r>
        <w:rPr>
          <w:rFonts w:eastAsia="Malgun Gothic"/>
          <w:kern w:val="22"/>
          <w:szCs w:val="22"/>
        </w:rPr>
        <w:t xml:space="preserve"> Il est principalement basé sur les informations contenues dans les SPANB révisés et </w:t>
      </w:r>
      <w:r w:rsidR="00D85BA2">
        <w:rPr>
          <w:rFonts w:eastAsia="Malgun Gothic"/>
          <w:kern w:val="22"/>
          <w:szCs w:val="22"/>
        </w:rPr>
        <w:t>actualisés</w:t>
      </w:r>
      <w:r>
        <w:rPr>
          <w:rFonts w:eastAsia="Malgun Gothic"/>
          <w:kern w:val="22"/>
          <w:szCs w:val="22"/>
        </w:rPr>
        <w:t xml:space="preserve"> ainsi que sur les sixièmes rap</w:t>
      </w:r>
      <w:r w:rsidR="00DA2A67">
        <w:rPr>
          <w:rFonts w:eastAsia="Malgun Gothic"/>
          <w:kern w:val="22"/>
          <w:szCs w:val="22"/>
        </w:rPr>
        <w:t>p</w:t>
      </w:r>
      <w:r>
        <w:rPr>
          <w:rFonts w:eastAsia="Malgun Gothic"/>
          <w:kern w:val="22"/>
          <w:szCs w:val="22"/>
        </w:rPr>
        <w:t>orts nationaux reçus a</w:t>
      </w:r>
      <w:r w:rsidR="00D85BA2">
        <w:rPr>
          <w:rFonts w:eastAsia="Malgun Gothic"/>
          <w:kern w:val="22"/>
          <w:szCs w:val="22"/>
        </w:rPr>
        <w:t>u 26 mars 2020. Celui-ci</w:t>
      </w:r>
      <w:r>
        <w:rPr>
          <w:rFonts w:eastAsia="Malgun Gothic"/>
          <w:kern w:val="22"/>
          <w:szCs w:val="22"/>
        </w:rPr>
        <w:t xml:space="preserve"> est complété par les addenda suivants : </w:t>
      </w:r>
    </w:p>
    <w:p w14:paraId="3F5CC3E8" w14:textId="129A2A9B" w:rsidR="00DA2A67" w:rsidRPr="00DA2A67" w:rsidRDefault="0070334E"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Mis à jour</w:t>
      </w:r>
      <w:r w:rsidR="00DA2A67" w:rsidRPr="00DA2A67">
        <w:rPr>
          <w:kern w:val="22"/>
          <w:szCs w:val="22"/>
        </w:rPr>
        <w:t xml:space="preserve"> sur les progrès accomplis dans la révision/actualisation et la mise en œuvre des stratégies et plans d'action nationaux pour la diversité biologique, y compris les objectifs nationaux (CBD/SBI/3/2/Add.1) ;</w:t>
      </w:r>
    </w:p>
    <w:p w14:paraId="1E7C5221" w14:textId="0DE909E7" w:rsidR="00DA2A67" w:rsidRPr="00DA2A67" w:rsidRDefault="00DA2A67"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DA2A67">
        <w:rPr>
          <w:kern w:val="22"/>
          <w:szCs w:val="22"/>
        </w:rPr>
        <w:t xml:space="preserve">Analyse de la contribution des objectifs fixés par les Parties et des progrès accomplis dans la réalisation des objectifs d'Aichi </w:t>
      </w:r>
      <w:r w:rsidR="00E06554">
        <w:rPr>
          <w:kern w:val="22"/>
          <w:szCs w:val="22"/>
        </w:rPr>
        <w:t>pour la</w:t>
      </w:r>
      <w:r w:rsidRPr="00DA2A67">
        <w:rPr>
          <w:kern w:val="22"/>
          <w:szCs w:val="22"/>
        </w:rPr>
        <w:t xml:space="preserve"> </w:t>
      </w:r>
      <w:r w:rsidR="0070334E">
        <w:rPr>
          <w:kern w:val="22"/>
          <w:szCs w:val="22"/>
        </w:rPr>
        <w:t>biodiversité</w:t>
      </w:r>
      <w:r w:rsidRPr="00DA2A67">
        <w:rPr>
          <w:kern w:val="22"/>
          <w:szCs w:val="22"/>
        </w:rPr>
        <w:t xml:space="preserve"> (CBD/SBI/3/2/Add.2) ;</w:t>
      </w:r>
    </w:p>
    <w:p w14:paraId="6498F995" w14:textId="25E4CCEB" w:rsidR="00DA2A67" w:rsidRPr="00DA2A67" w:rsidRDefault="00DA2A67"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DA2A67">
        <w:rPr>
          <w:kern w:val="22"/>
          <w:szCs w:val="22"/>
        </w:rPr>
        <w:t xml:space="preserve">Examen de la mise en œuvre du </w:t>
      </w:r>
      <w:r w:rsidR="00E06554">
        <w:rPr>
          <w:kern w:val="22"/>
          <w:szCs w:val="22"/>
        </w:rPr>
        <w:t>P</w:t>
      </w:r>
      <w:r w:rsidRPr="00DA2A67">
        <w:rPr>
          <w:kern w:val="22"/>
          <w:szCs w:val="22"/>
        </w:rPr>
        <w:t>lan d'action 2015-2</w:t>
      </w:r>
      <w:r w:rsidR="00E06554">
        <w:rPr>
          <w:kern w:val="22"/>
          <w:szCs w:val="22"/>
        </w:rPr>
        <w:t>020 pour l'égalité entre les</w:t>
      </w:r>
      <w:r w:rsidRPr="00DA2A67">
        <w:rPr>
          <w:kern w:val="22"/>
          <w:szCs w:val="22"/>
        </w:rPr>
        <w:t xml:space="preserve"> sexes (CBD/SBI/3/2/Add.3) ;</w:t>
      </w:r>
    </w:p>
    <w:p w14:paraId="676506C9" w14:textId="6A356529" w:rsidR="00AB5BC2" w:rsidRPr="007F70F5" w:rsidRDefault="00DA2A67"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Progrès en ce q</w:t>
      </w:r>
      <w:r w:rsidR="00AF03BD">
        <w:rPr>
          <w:kern w:val="22"/>
          <w:szCs w:val="22"/>
        </w:rPr>
        <w:t xml:space="preserve">ui concerne la réalisation de l’objectif 18 des objectifs d’Aichi sur les connaissances traditionnelles et l’utilisation coutumière durable de la diversité biologique </w:t>
      </w:r>
      <w:r w:rsidR="00AB5BC2" w:rsidRPr="007F70F5">
        <w:rPr>
          <w:kern w:val="22"/>
          <w:szCs w:val="22"/>
        </w:rPr>
        <w:t>(CBD/SBI/3/2/Add.4)</w:t>
      </w:r>
      <w:r w:rsidR="00D1481C" w:rsidRPr="007F70F5">
        <w:rPr>
          <w:kern w:val="22"/>
          <w:szCs w:val="22"/>
        </w:rPr>
        <w:t>.</w:t>
      </w:r>
    </w:p>
    <w:p w14:paraId="487E89CA" w14:textId="7F007E54" w:rsidR="000F18AA" w:rsidRPr="000F18AA" w:rsidRDefault="000F18AA" w:rsidP="00456490">
      <w:pPr>
        <w:pStyle w:val="Para1"/>
        <w:suppressLineNumbers/>
        <w:tabs>
          <w:tab w:val="clear" w:pos="360"/>
        </w:tabs>
        <w:suppressAutoHyphens/>
        <w:kinsoku w:val="0"/>
        <w:overflowPunct w:val="0"/>
        <w:autoSpaceDE w:val="0"/>
        <w:autoSpaceDN w:val="0"/>
        <w:adjustRightInd w:val="0"/>
        <w:snapToGrid w:val="0"/>
        <w:rPr>
          <w:kern w:val="22"/>
          <w:szCs w:val="22"/>
        </w:rPr>
      </w:pPr>
      <w:r w:rsidRPr="000F18AA">
        <w:rPr>
          <w:kern w:val="22"/>
          <w:szCs w:val="22"/>
        </w:rPr>
        <w:t xml:space="preserve">Les documents préparés pour ce point de l'ordre du jour, en particulier les documents CBD/SBI/3/2/Add.1 et Add.2, sont également pertinents pour le point 9 de l'ordre du jour (mécanismes de </w:t>
      </w:r>
      <w:r w:rsidR="00035F94">
        <w:rPr>
          <w:kern w:val="22"/>
          <w:szCs w:val="22"/>
        </w:rPr>
        <w:t>suivi</w:t>
      </w:r>
      <w:r w:rsidRPr="000F18AA">
        <w:rPr>
          <w:kern w:val="22"/>
          <w:szCs w:val="22"/>
        </w:rPr>
        <w:t xml:space="preserve">, d'évaluation et d'examen de </w:t>
      </w:r>
      <w:r w:rsidR="00035F94">
        <w:rPr>
          <w:kern w:val="22"/>
          <w:szCs w:val="22"/>
        </w:rPr>
        <w:t>mise en œuvre).</w:t>
      </w:r>
      <w:r w:rsidRPr="000F18AA">
        <w:rPr>
          <w:kern w:val="22"/>
          <w:szCs w:val="22"/>
        </w:rPr>
        <w:t xml:space="preserve"> Ce document est également complété par la cinquième édition des </w:t>
      </w:r>
      <w:r w:rsidRPr="00035F94">
        <w:rPr>
          <w:i/>
          <w:kern w:val="22"/>
          <w:szCs w:val="22"/>
        </w:rPr>
        <w:t>Perspectives mondiales de la diversité biologique</w:t>
      </w:r>
      <w:r w:rsidRPr="000F18AA">
        <w:rPr>
          <w:kern w:val="22"/>
          <w:szCs w:val="22"/>
        </w:rPr>
        <w:t>, qui sera exami</w:t>
      </w:r>
      <w:r w:rsidR="00035F94">
        <w:rPr>
          <w:kern w:val="22"/>
          <w:szCs w:val="22"/>
        </w:rPr>
        <w:t xml:space="preserve">née par l'Organe subsidiaire chargé de fournir des avis </w:t>
      </w:r>
      <w:r w:rsidRPr="000F18AA">
        <w:rPr>
          <w:kern w:val="22"/>
          <w:szCs w:val="22"/>
        </w:rPr>
        <w:t>scientifique</w:t>
      </w:r>
      <w:r w:rsidR="00035F94">
        <w:rPr>
          <w:kern w:val="22"/>
          <w:szCs w:val="22"/>
        </w:rPr>
        <w:t>s</w:t>
      </w:r>
      <w:r w:rsidRPr="000F18AA">
        <w:rPr>
          <w:kern w:val="22"/>
          <w:szCs w:val="22"/>
        </w:rPr>
        <w:t>, technique</w:t>
      </w:r>
      <w:r w:rsidR="00035F94">
        <w:rPr>
          <w:kern w:val="22"/>
          <w:szCs w:val="22"/>
        </w:rPr>
        <w:t>s</w:t>
      </w:r>
      <w:r w:rsidRPr="000F18AA">
        <w:rPr>
          <w:kern w:val="22"/>
          <w:szCs w:val="22"/>
        </w:rPr>
        <w:t xml:space="preserve"> et technologique</w:t>
      </w:r>
      <w:r w:rsidR="00035F94">
        <w:rPr>
          <w:kern w:val="22"/>
          <w:szCs w:val="22"/>
        </w:rPr>
        <w:t>s</w:t>
      </w:r>
      <w:r w:rsidRPr="000F18AA">
        <w:rPr>
          <w:kern w:val="22"/>
          <w:szCs w:val="22"/>
        </w:rPr>
        <w:t xml:space="preserve"> à sa vingt-quatrième réunion.</w:t>
      </w:r>
    </w:p>
    <w:p w14:paraId="36F1FE35" w14:textId="332908B9" w:rsidR="009E4766" w:rsidRPr="007F70F5" w:rsidRDefault="000F18AA"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Pr>
          <w:caps w:val="0"/>
          <w:snapToGrid w:val="0"/>
          <w:kern w:val="22"/>
          <w:szCs w:val="22"/>
        </w:rPr>
        <w:t xml:space="preserve">EXAMEN DE LA MISE EN ŒUVRE </w:t>
      </w:r>
    </w:p>
    <w:p w14:paraId="5435AF30" w14:textId="59DE4294" w:rsidR="009E4766" w:rsidRPr="007F70F5" w:rsidRDefault="000F18A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Pr>
          <w:b/>
          <w:bCs/>
          <w:snapToGrid w:val="0"/>
          <w:kern w:val="22"/>
          <w:szCs w:val="22"/>
        </w:rPr>
        <w:t xml:space="preserve">Mise </w:t>
      </w:r>
      <w:r w:rsidR="0070334E">
        <w:rPr>
          <w:b/>
          <w:bCs/>
          <w:snapToGrid w:val="0"/>
          <w:kern w:val="22"/>
          <w:szCs w:val="22"/>
        </w:rPr>
        <w:t>à jour des stratégies et des p</w:t>
      </w:r>
      <w:r w:rsidRPr="000F18AA">
        <w:rPr>
          <w:b/>
          <w:bCs/>
          <w:snapToGrid w:val="0"/>
          <w:kern w:val="22"/>
          <w:szCs w:val="22"/>
        </w:rPr>
        <w:t xml:space="preserve">lans d'action nationaux </w:t>
      </w:r>
      <w:r w:rsidR="0070334E">
        <w:rPr>
          <w:b/>
          <w:bCs/>
          <w:snapToGrid w:val="0"/>
          <w:kern w:val="22"/>
          <w:szCs w:val="22"/>
        </w:rPr>
        <w:t>pour la</w:t>
      </w:r>
      <w:r>
        <w:rPr>
          <w:b/>
          <w:bCs/>
          <w:snapToGrid w:val="0"/>
          <w:kern w:val="22"/>
          <w:szCs w:val="22"/>
        </w:rPr>
        <w:t xml:space="preserve"> diversité biologique et établissement des </w:t>
      </w:r>
      <w:r w:rsidRPr="000F18AA">
        <w:rPr>
          <w:b/>
          <w:bCs/>
          <w:snapToGrid w:val="0"/>
          <w:kern w:val="22"/>
          <w:szCs w:val="22"/>
        </w:rPr>
        <w:t>objectifs nationaux</w:t>
      </w:r>
    </w:p>
    <w:p w14:paraId="5F5FF891" w14:textId="1EE49CAF" w:rsidR="008642F5" w:rsidRPr="007F70F5" w:rsidRDefault="00BF1B1F">
      <w:pPr>
        <w:pStyle w:val="Para1"/>
        <w:suppressLineNumbers/>
        <w:tabs>
          <w:tab w:val="clear" w:pos="360"/>
          <w:tab w:val="num" w:pos="720"/>
        </w:tabs>
        <w:suppressAutoHyphens/>
        <w:kinsoku w:val="0"/>
        <w:overflowPunct w:val="0"/>
        <w:autoSpaceDE w:val="0"/>
        <w:autoSpaceDN w:val="0"/>
        <w:adjustRightInd w:val="0"/>
        <w:snapToGrid w:val="0"/>
        <w:rPr>
          <w:kern w:val="22"/>
          <w:szCs w:val="22"/>
        </w:rPr>
      </w:pPr>
      <w:bookmarkStart w:id="0" w:name="_Hlk43968816"/>
      <w:r w:rsidRPr="00BF1B1F">
        <w:rPr>
          <w:kern w:val="22"/>
          <w:szCs w:val="22"/>
        </w:rPr>
        <w:t xml:space="preserve">Les SPANB sont le principal instrument de mise en œuvre de la Convention au niveau national. Depuis 1993, 191 Parties ont élaboré au moins un SPANB. Dans la décision X/2, la Conférence des Parties a invité les Parties à examiner, réviser et mettre à jour, le cas échéant, leurs SPANB conformément au Plan stratégique </w:t>
      </w:r>
      <w:r w:rsidR="003F3EA0">
        <w:rPr>
          <w:kern w:val="22"/>
          <w:szCs w:val="22"/>
        </w:rPr>
        <w:t xml:space="preserve">2011-2020 </w:t>
      </w:r>
      <w:r w:rsidR="006917A8">
        <w:rPr>
          <w:kern w:val="22"/>
          <w:szCs w:val="22"/>
        </w:rPr>
        <w:t xml:space="preserve">pour la </w:t>
      </w:r>
      <w:r w:rsidR="003F3EA0">
        <w:rPr>
          <w:kern w:val="22"/>
          <w:szCs w:val="22"/>
        </w:rPr>
        <w:t>diversité biologique. Les P</w:t>
      </w:r>
      <w:r w:rsidRPr="00BF1B1F">
        <w:rPr>
          <w:kern w:val="22"/>
          <w:szCs w:val="22"/>
        </w:rPr>
        <w:t>arties se sont également engagées à établir des object</w:t>
      </w:r>
      <w:r w:rsidR="003F3EA0">
        <w:rPr>
          <w:kern w:val="22"/>
          <w:szCs w:val="22"/>
        </w:rPr>
        <w:t>ifs nationaux, en utilisant le P</w:t>
      </w:r>
      <w:r w:rsidRPr="00BF1B1F">
        <w:rPr>
          <w:kern w:val="22"/>
          <w:szCs w:val="22"/>
        </w:rPr>
        <w:t>lan stratégique et</w:t>
      </w:r>
      <w:r w:rsidR="006917A8">
        <w:rPr>
          <w:kern w:val="22"/>
          <w:szCs w:val="22"/>
        </w:rPr>
        <w:t xml:space="preserve"> les</w:t>
      </w:r>
      <w:r w:rsidR="003F3EA0">
        <w:rPr>
          <w:kern w:val="22"/>
          <w:szCs w:val="22"/>
        </w:rPr>
        <w:t xml:space="preserve"> objectifs </w:t>
      </w:r>
      <w:r w:rsidRPr="00BF1B1F">
        <w:rPr>
          <w:kern w:val="22"/>
          <w:szCs w:val="22"/>
        </w:rPr>
        <w:t xml:space="preserve">d'Aichi </w:t>
      </w:r>
      <w:r w:rsidR="003F3EA0">
        <w:rPr>
          <w:kern w:val="22"/>
          <w:szCs w:val="22"/>
        </w:rPr>
        <w:t xml:space="preserve">pour la biodiversité </w:t>
      </w:r>
      <w:r w:rsidRPr="00BF1B1F">
        <w:rPr>
          <w:kern w:val="22"/>
          <w:szCs w:val="22"/>
        </w:rPr>
        <w:t xml:space="preserve">comme </w:t>
      </w:r>
      <w:r w:rsidR="006917A8">
        <w:rPr>
          <w:kern w:val="22"/>
          <w:szCs w:val="22"/>
        </w:rPr>
        <w:t xml:space="preserve">un cadre souple. En outre, l’objectif </w:t>
      </w:r>
      <w:r w:rsidRPr="00BF1B1F">
        <w:rPr>
          <w:kern w:val="22"/>
          <w:szCs w:val="22"/>
        </w:rPr>
        <w:t xml:space="preserve">17 </w:t>
      </w:r>
      <w:r w:rsidR="006917A8">
        <w:rPr>
          <w:kern w:val="22"/>
          <w:szCs w:val="22"/>
        </w:rPr>
        <w:t>d’Aichi pour la biodiversité</w:t>
      </w:r>
      <w:r w:rsidRPr="00BF1B1F">
        <w:rPr>
          <w:kern w:val="22"/>
          <w:szCs w:val="22"/>
        </w:rPr>
        <w:t xml:space="preserve">, dont l'échéance </w:t>
      </w:r>
      <w:r w:rsidR="006917A8">
        <w:rPr>
          <w:kern w:val="22"/>
          <w:szCs w:val="22"/>
        </w:rPr>
        <w:t xml:space="preserve">était fixée à 2015, invite les Parties à élaborer, </w:t>
      </w:r>
      <w:r w:rsidRPr="00BF1B1F">
        <w:rPr>
          <w:kern w:val="22"/>
          <w:szCs w:val="22"/>
        </w:rPr>
        <w:t>ado</w:t>
      </w:r>
      <w:r w:rsidR="00E318D6">
        <w:rPr>
          <w:kern w:val="22"/>
          <w:szCs w:val="22"/>
        </w:rPr>
        <w:t xml:space="preserve">pter comme instrument politique et </w:t>
      </w:r>
      <w:r w:rsidRPr="00BF1B1F">
        <w:rPr>
          <w:kern w:val="22"/>
          <w:szCs w:val="22"/>
        </w:rPr>
        <w:t>mettre en œuvre un SPANB efficace, participatif et actualisé. Au total, 69 Parties ont respecté l'éché</w:t>
      </w:r>
      <w:r w:rsidR="006917A8">
        <w:rPr>
          <w:kern w:val="22"/>
          <w:szCs w:val="22"/>
        </w:rPr>
        <w:t xml:space="preserve">ance de 2015 fixée pour l’objectif 17 d’Aichi pour </w:t>
      </w:r>
      <w:r w:rsidR="00D34318">
        <w:rPr>
          <w:kern w:val="22"/>
          <w:szCs w:val="22"/>
        </w:rPr>
        <w:t xml:space="preserve">la </w:t>
      </w:r>
      <w:r w:rsidR="006917A8">
        <w:rPr>
          <w:kern w:val="22"/>
          <w:szCs w:val="22"/>
        </w:rPr>
        <w:t>biodiversité</w:t>
      </w:r>
      <w:r w:rsidRPr="00BF1B1F">
        <w:rPr>
          <w:kern w:val="22"/>
          <w:szCs w:val="22"/>
        </w:rPr>
        <w:t>, et 101 autres ont soumis leur SPANB avant le 16 mars 2020, soit un total de 170.</w:t>
      </w:r>
      <w:r w:rsidR="009E4766" w:rsidRPr="007F70F5">
        <w:rPr>
          <w:kern w:val="22"/>
          <w:szCs w:val="22"/>
          <w:vertAlign w:val="superscript"/>
        </w:rPr>
        <w:footnoteReference w:id="5"/>
      </w:r>
      <w:r w:rsidR="009E4766" w:rsidRPr="007F70F5">
        <w:rPr>
          <w:kern w:val="22"/>
          <w:szCs w:val="22"/>
        </w:rPr>
        <w:t xml:space="preserve"> </w:t>
      </w:r>
      <w:r w:rsidRPr="00BF1B1F">
        <w:rPr>
          <w:kern w:val="22"/>
          <w:szCs w:val="22"/>
        </w:rPr>
        <w:t>Cela représente plus de 85 % des Parties à la Convention. Le soutien et les ressources pour le développement et la révision/mise à jour des SPANB ont été fournis par plusieurs organisations, notamment le Fonds pour l'environnement mondial, le Programme des Nations unies pour le développement, le Programme des Nations unies pour l'environnement, l'Organisation des Nations unies pour l'a</w:t>
      </w:r>
      <w:r w:rsidR="00D0244F">
        <w:rPr>
          <w:kern w:val="22"/>
          <w:szCs w:val="22"/>
        </w:rPr>
        <w:t xml:space="preserve">limentation et l'agriculture ainsi que </w:t>
      </w:r>
      <w:r w:rsidRPr="00BF1B1F">
        <w:rPr>
          <w:kern w:val="22"/>
          <w:szCs w:val="22"/>
        </w:rPr>
        <w:t>la Banque interaméricaine de dével</w:t>
      </w:r>
      <w:r w:rsidR="008C3E3F">
        <w:rPr>
          <w:kern w:val="22"/>
          <w:szCs w:val="22"/>
        </w:rPr>
        <w:t>oppement. Un certain nombre de P</w:t>
      </w:r>
      <w:r w:rsidRPr="00BF1B1F">
        <w:rPr>
          <w:kern w:val="22"/>
          <w:szCs w:val="22"/>
        </w:rPr>
        <w:t>arties, dont le Japon, par l'intermédiaire du Fonds japonais pour la biodiversité, ont également apporté leur soutien aux révisions et aux processus de mise en œuvre du SPANB, ainsi qu'à l'examen volontaire par le</w:t>
      </w:r>
      <w:r w:rsidR="00FD7032">
        <w:rPr>
          <w:kern w:val="22"/>
          <w:szCs w:val="22"/>
        </w:rPr>
        <w:t>s pairs de la mise en œuvre de celui-ci</w:t>
      </w:r>
      <w:r w:rsidR="008C2E47" w:rsidRPr="007F70F5">
        <w:rPr>
          <w:kern w:val="22"/>
          <w:szCs w:val="22"/>
        </w:rPr>
        <w:t>.</w:t>
      </w:r>
      <w:r w:rsidR="00B13B0A" w:rsidRPr="007F70F5">
        <w:rPr>
          <w:kern w:val="22"/>
          <w:szCs w:val="22"/>
        </w:rPr>
        <w:t xml:space="preserve"> </w:t>
      </w:r>
      <w:r w:rsidRPr="00BF1B1F">
        <w:rPr>
          <w:kern w:val="22"/>
          <w:szCs w:val="22"/>
        </w:rPr>
        <w:t>Un certain nombre d'organisations non gouvernementales, dont le Centre de l'ANASE pour la biodiversité, Birdlife, l'Union internationale pour la conservation de la nature, l'Institut de l'Université des Nations unies pour l'étude avancée de la durabilité et le Fonds mondial pour la nature (WWF), ont également apporté leur soutien aux Parties dans l'élaboration et la révision/mise à jour des SPANB.</w:t>
      </w:r>
    </w:p>
    <w:bookmarkEnd w:id="0"/>
    <w:p w14:paraId="71F685EE" w14:textId="687BDA75" w:rsidR="006B292D" w:rsidRDefault="00BF1B1F">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BF1B1F">
        <w:rPr>
          <w:kern w:val="22"/>
          <w:szCs w:val="22"/>
        </w:rPr>
        <w:lastRenderedPageBreak/>
        <w:t xml:space="preserve">L'analyse actualisée des SPANB présentée dans le document CBD/SBI/3/2/Add.1 résume les progrès réalisés dans l'élaboration ou la révision </w:t>
      </w:r>
      <w:r w:rsidR="00BE2CE1">
        <w:rPr>
          <w:kern w:val="22"/>
          <w:szCs w:val="22"/>
        </w:rPr>
        <w:t xml:space="preserve">de ces derniers </w:t>
      </w:r>
      <w:r w:rsidRPr="00BF1B1F">
        <w:rPr>
          <w:kern w:val="22"/>
          <w:szCs w:val="22"/>
        </w:rPr>
        <w:t xml:space="preserve">et analyse le contenu des SPANB post-Nagoya soumis avant le 16 mars 2020. Cette analyse est basée sur les critères de la décision </w:t>
      </w:r>
      <w:hyperlink r:id="rId22" w:history="1">
        <w:r w:rsidRPr="007F70F5">
          <w:rPr>
            <w:rStyle w:val="Hyperlink"/>
            <w:kern w:val="22"/>
            <w:sz w:val="22"/>
            <w:szCs w:val="22"/>
          </w:rPr>
          <w:t>IX/8</w:t>
        </w:r>
      </w:hyperlink>
      <w:r>
        <w:rPr>
          <w:kern w:val="22"/>
          <w:szCs w:val="22"/>
        </w:rPr>
        <w:t xml:space="preserve"> </w:t>
      </w:r>
      <w:r w:rsidRPr="00BF1B1F">
        <w:rPr>
          <w:kern w:val="22"/>
          <w:szCs w:val="22"/>
        </w:rPr>
        <w:t>qui fournit des orientations détaillées sur le processus</w:t>
      </w:r>
      <w:r w:rsidR="00876214">
        <w:rPr>
          <w:kern w:val="22"/>
          <w:szCs w:val="22"/>
        </w:rPr>
        <w:t xml:space="preserve">, le contenu et les composantes </w:t>
      </w:r>
      <w:r w:rsidRPr="00BF1B1F">
        <w:rPr>
          <w:kern w:val="22"/>
          <w:szCs w:val="22"/>
        </w:rPr>
        <w:t xml:space="preserve">des SPANB. </w:t>
      </w:r>
      <w:r w:rsidR="00913785" w:rsidRPr="00913785">
        <w:rPr>
          <w:kern w:val="22"/>
          <w:szCs w:val="22"/>
        </w:rPr>
        <w:t xml:space="preserve">L'analyse suggère une amélioration, notamment en ce qui concerne l'éventail des parties prenantes impliquées dans le processus des </w:t>
      </w:r>
      <w:r w:rsidR="00913785">
        <w:rPr>
          <w:kern w:val="22"/>
          <w:szCs w:val="22"/>
        </w:rPr>
        <w:t>SPANB</w:t>
      </w:r>
      <w:r w:rsidR="00913785" w:rsidRPr="00913785">
        <w:rPr>
          <w:kern w:val="22"/>
          <w:szCs w:val="22"/>
        </w:rPr>
        <w:t>, par rapport à la première génération de</w:t>
      </w:r>
      <w:r w:rsidR="00913785">
        <w:rPr>
          <w:kern w:val="22"/>
          <w:szCs w:val="22"/>
        </w:rPr>
        <w:t xml:space="preserve"> </w:t>
      </w:r>
      <w:r w:rsidR="00876214">
        <w:rPr>
          <w:kern w:val="22"/>
          <w:szCs w:val="22"/>
        </w:rPr>
        <w:t>ceux-ci</w:t>
      </w:r>
      <w:r w:rsidR="00913785" w:rsidRPr="00913785">
        <w:rPr>
          <w:kern w:val="22"/>
          <w:szCs w:val="22"/>
        </w:rPr>
        <w:t>, comm</w:t>
      </w:r>
      <w:r w:rsidR="00876214">
        <w:rPr>
          <w:kern w:val="22"/>
          <w:szCs w:val="22"/>
        </w:rPr>
        <w:t>e le montre l'évaluation mondiale</w:t>
      </w:r>
      <w:r w:rsidR="00913785" w:rsidRPr="00913785">
        <w:rPr>
          <w:kern w:val="22"/>
          <w:szCs w:val="22"/>
        </w:rPr>
        <w:t xml:space="preserve"> entr</w:t>
      </w:r>
      <w:r w:rsidR="00876214">
        <w:rPr>
          <w:kern w:val="22"/>
          <w:szCs w:val="22"/>
        </w:rPr>
        <w:t>eprise en 2010.</w:t>
      </w:r>
      <w:r w:rsidR="00786FE2">
        <w:rPr>
          <w:rStyle w:val="FootnoteReference"/>
          <w:kern w:val="22"/>
          <w:szCs w:val="22"/>
        </w:rPr>
        <w:footnoteReference w:id="6"/>
      </w:r>
      <w:r w:rsidR="00876214">
        <w:rPr>
          <w:kern w:val="22"/>
          <w:szCs w:val="22"/>
        </w:rPr>
        <w:t xml:space="preserve">  Toutefois, celle-ci</w:t>
      </w:r>
      <w:r w:rsidR="00913785" w:rsidRPr="00913785">
        <w:rPr>
          <w:kern w:val="22"/>
          <w:szCs w:val="22"/>
        </w:rPr>
        <w:t xml:space="preserve"> met également en évidence les domaines dans lesquels des progrès supplémentaires sont nécessaires.</w:t>
      </w:r>
    </w:p>
    <w:p w14:paraId="50075F6B" w14:textId="63692020" w:rsidR="009741C7" w:rsidRDefault="009741C7" w:rsidP="009741C7">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9741C7">
        <w:rPr>
          <w:kern w:val="22"/>
          <w:szCs w:val="22"/>
        </w:rPr>
        <w:t>L'analyse a révélé que 69 SPANB révisés ont été adoptés en tant qu'instruments "pangouvernementaux" et 8 autres SPANB ont été adoptés en tant qu'instruments s'appliquant au secteur de l'environnement. Cependant, 72 Parties (37 %) ne fournissent pas suffisamment d'éléments pour savoir si leurs SPANB ont été adoptés en tant qu'instrument politique ou non. L'analyse montre également que peu de SPANB contiennent des stratégies de mobilisation des ressources (25 Parties), des stratégies de communication et de sensibilisatio</w:t>
      </w:r>
      <w:r w:rsidR="00BF72C6">
        <w:rPr>
          <w:kern w:val="22"/>
          <w:szCs w:val="22"/>
        </w:rPr>
        <w:t xml:space="preserve">n au </w:t>
      </w:r>
      <w:r w:rsidRPr="009741C7">
        <w:rPr>
          <w:kern w:val="22"/>
          <w:szCs w:val="22"/>
        </w:rPr>
        <w:t>public (38 Parties), ou des stratégies de développement des capacités (97 Parties)</w:t>
      </w:r>
      <w:r w:rsidR="00FD7032">
        <w:rPr>
          <w:kern w:val="22"/>
          <w:szCs w:val="22"/>
        </w:rPr>
        <w:t>,</w:t>
      </w:r>
      <w:r w:rsidRPr="009741C7">
        <w:rPr>
          <w:kern w:val="22"/>
          <w:szCs w:val="22"/>
        </w:rPr>
        <w:t xml:space="preserve"> comme le recommande le guide des SPANB. </w:t>
      </w:r>
      <w:r w:rsidR="00BF72C6">
        <w:rPr>
          <w:kern w:val="22"/>
          <w:szCs w:val="22"/>
        </w:rPr>
        <w:t>Par ailleurs</w:t>
      </w:r>
      <w:r w:rsidRPr="009741C7">
        <w:rPr>
          <w:kern w:val="22"/>
          <w:szCs w:val="22"/>
        </w:rPr>
        <w:t>, seuls quelques SPANB démontrent que la biodiversité est intégrée de manière significative dans les plans et politiques intersectorie</w:t>
      </w:r>
      <w:r w:rsidR="006C3BA2">
        <w:rPr>
          <w:kern w:val="22"/>
          <w:szCs w:val="22"/>
        </w:rPr>
        <w:t>ls, d</w:t>
      </w:r>
      <w:r w:rsidR="00FD7032">
        <w:rPr>
          <w:kern w:val="22"/>
          <w:szCs w:val="22"/>
        </w:rPr>
        <w:t>ans l</w:t>
      </w:r>
      <w:r w:rsidR="006C3BA2">
        <w:rPr>
          <w:kern w:val="22"/>
          <w:szCs w:val="22"/>
        </w:rPr>
        <w:t xml:space="preserve">es </w:t>
      </w:r>
      <w:r w:rsidR="00BF72C6">
        <w:rPr>
          <w:kern w:val="22"/>
          <w:szCs w:val="22"/>
        </w:rPr>
        <w:t>politiques d'élimination</w:t>
      </w:r>
      <w:r w:rsidRPr="009741C7">
        <w:rPr>
          <w:kern w:val="22"/>
          <w:szCs w:val="22"/>
        </w:rPr>
        <w:t xml:space="preserve"> de la pauvreté ou les plans de développement durable. Les SPANB préparés</w:t>
      </w:r>
      <w:r w:rsidR="00BF72C6">
        <w:rPr>
          <w:kern w:val="22"/>
          <w:szCs w:val="22"/>
        </w:rPr>
        <w:t xml:space="preserve"> depuis l'adoption de l'actuel P</w:t>
      </w:r>
      <w:r w:rsidRPr="009741C7">
        <w:rPr>
          <w:kern w:val="22"/>
          <w:szCs w:val="22"/>
        </w:rPr>
        <w:t xml:space="preserve">lan stratégique pour la </w:t>
      </w:r>
      <w:r w:rsidR="00BF72C6">
        <w:rPr>
          <w:kern w:val="22"/>
          <w:szCs w:val="22"/>
        </w:rPr>
        <w:t>diversité biologique</w:t>
      </w:r>
      <w:r w:rsidRPr="009741C7">
        <w:rPr>
          <w:kern w:val="22"/>
          <w:szCs w:val="22"/>
        </w:rPr>
        <w:t xml:space="preserve"> ne contiennent que peu d'éléments prouvant l'utilisation d'études d'évaluation pour encourager l'intégration dans les pays. Ces résultats contrastent fortement avec les aspirations communiquées dans les SPANB qui indiquent que de nombreuses Parties ont soit fixé des objectifs, soit déclaré leur intention de mettre en œuvre des actions sur la mobilisation des ressources, l'évaluation, la création d'un centre d'échange national, la commun</w:t>
      </w:r>
      <w:r w:rsidR="00BF72C6">
        <w:rPr>
          <w:kern w:val="22"/>
          <w:szCs w:val="22"/>
        </w:rPr>
        <w:t>ication et la sensibilisation au</w:t>
      </w:r>
      <w:r w:rsidRPr="009741C7">
        <w:rPr>
          <w:kern w:val="22"/>
          <w:szCs w:val="22"/>
        </w:rPr>
        <w:t xml:space="preserve"> public, le développement</w:t>
      </w:r>
      <w:r w:rsidR="00216435">
        <w:rPr>
          <w:kern w:val="22"/>
          <w:szCs w:val="22"/>
        </w:rPr>
        <w:t xml:space="preserve"> des capacités et l'élaboration, entre autres, </w:t>
      </w:r>
      <w:r w:rsidRPr="009741C7">
        <w:rPr>
          <w:kern w:val="22"/>
          <w:szCs w:val="22"/>
        </w:rPr>
        <w:t>de plans infranationaux pour la biodiversité</w:t>
      </w:r>
      <w:r w:rsidR="00216435">
        <w:rPr>
          <w:kern w:val="22"/>
          <w:szCs w:val="22"/>
        </w:rPr>
        <w:t>.</w:t>
      </w:r>
    </w:p>
    <w:p w14:paraId="1691BA66" w14:textId="0D463EBA" w:rsidR="009E4766" w:rsidRPr="009741C7" w:rsidRDefault="009741C7" w:rsidP="009741C7">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9741C7">
        <w:rPr>
          <w:kern w:val="22"/>
          <w:szCs w:val="22"/>
        </w:rPr>
        <w:t>La majorité des SPANB préparés ou révisés depuis la dixièm</w:t>
      </w:r>
      <w:r w:rsidR="00472AC6">
        <w:rPr>
          <w:kern w:val="22"/>
          <w:szCs w:val="22"/>
        </w:rPr>
        <w:t>e réunion de la Conférence des P</w:t>
      </w:r>
      <w:r w:rsidRPr="009741C7">
        <w:rPr>
          <w:kern w:val="22"/>
          <w:szCs w:val="22"/>
        </w:rPr>
        <w:t xml:space="preserve">arties contiennent des objectifs liés aux objectifs d'Aichi </w:t>
      </w:r>
      <w:r w:rsidR="00BA77AC">
        <w:rPr>
          <w:kern w:val="22"/>
          <w:szCs w:val="22"/>
        </w:rPr>
        <w:t>pour la biodiversité. B</w:t>
      </w:r>
      <w:r w:rsidRPr="009741C7">
        <w:rPr>
          <w:kern w:val="22"/>
          <w:szCs w:val="22"/>
        </w:rPr>
        <w:t>ien que pour certains objectifs d'Aichi, tels que les objectifs 3, 6, 10 et 14, il existe de nombreux SPANB (plus de 30 %) sans objectifs ou engagements nationaux associés. Les objectifs 1, 9, 16, 17, 19 et 20</w:t>
      </w:r>
      <w:r w:rsidR="00FD7032">
        <w:rPr>
          <w:kern w:val="22"/>
          <w:szCs w:val="22"/>
        </w:rPr>
        <w:t xml:space="preserve"> de la Convention d'Aichi pour la</w:t>
      </w:r>
      <w:r w:rsidRPr="009741C7">
        <w:rPr>
          <w:kern w:val="22"/>
          <w:szCs w:val="22"/>
        </w:rPr>
        <w:t xml:space="preserve"> </w:t>
      </w:r>
      <w:r w:rsidR="00F23F5B">
        <w:rPr>
          <w:kern w:val="22"/>
          <w:szCs w:val="22"/>
        </w:rPr>
        <w:t xml:space="preserve">diversité biologique </w:t>
      </w:r>
      <w:r w:rsidRPr="009741C7">
        <w:rPr>
          <w:kern w:val="22"/>
          <w:szCs w:val="22"/>
        </w:rPr>
        <w:t xml:space="preserve">sont les objectifs de la Convention d'Aichi qui comportent le plus grand nombre d'objectifs ou d'engagements nationaux largement similaires. Cependant, même dans ces cas, le nombre de SPANB dont les objectifs ont une portée et un niveau d'ambition similaires à ceux des objectifs d'Aichi était en moyenne d'un peu plus d'un cinquième (22 %) (allant de 19 % pour les objectifs 16 et 17 d'Aichi à 28 % pour l'objectif 1 </w:t>
      </w:r>
      <w:r w:rsidR="00BA77AC">
        <w:rPr>
          <w:kern w:val="22"/>
          <w:szCs w:val="22"/>
        </w:rPr>
        <w:t>d’Aichi pour la biodiver</w:t>
      </w:r>
      <w:r w:rsidR="00FA600D">
        <w:rPr>
          <w:kern w:val="22"/>
          <w:szCs w:val="22"/>
        </w:rPr>
        <w:t>si</w:t>
      </w:r>
      <w:r w:rsidR="00BA77AC">
        <w:rPr>
          <w:kern w:val="22"/>
          <w:szCs w:val="22"/>
        </w:rPr>
        <w:t>té</w:t>
      </w:r>
      <w:r w:rsidRPr="009741C7">
        <w:rPr>
          <w:kern w:val="22"/>
          <w:szCs w:val="22"/>
        </w:rPr>
        <w:t xml:space="preserve">). Dans l'ensemble, la majorité des objectifs et/ou engagements nationaux contenus dans les SPANB étaient inférieurs aux objectifs d'Aichi ou n'abordaient pas tous les éléments de l'objectif. Ces conclusions sont conformes à l'analyse présentée lors des première et deuxième réunions de l'Organe subsidiaire </w:t>
      </w:r>
      <w:r w:rsidR="002D19A3">
        <w:rPr>
          <w:kern w:val="22"/>
          <w:szCs w:val="22"/>
        </w:rPr>
        <w:t>chargé de l’application</w:t>
      </w:r>
      <w:r w:rsidR="002D19A3">
        <w:rPr>
          <w:rStyle w:val="FootnoteReference"/>
          <w:kern w:val="22"/>
          <w:szCs w:val="22"/>
        </w:rPr>
        <w:footnoteReference w:id="7"/>
      </w:r>
      <w:r w:rsidR="00F4298B">
        <w:rPr>
          <w:kern w:val="22"/>
          <w:szCs w:val="22"/>
        </w:rPr>
        <w:t xml:space="preserve"> </w:t>
      </w:r>
      <w:r w:rsidRPr="009741C7">
        <w:rPr>
          <w:kern w:val="22"/>
          <w:szCs w:val="22"/>
        </w:rPr>
        <w:t>et des treizième et quatorzième réuni</w:t>
      </w:r>
      <w:r w:rsidR="00F23F5B">
        <w:rPr>
          <w:kern w:val="22"/>
          <w:szCs w:val="22"/>
        </w:rPr>
        <w:t>ons de la Conférence des P</w:t>
      </w:r>
      <w:r w:rsidRPr="009741C7">
        <w:rPr>
          <w:kern w:val="22"/>
          <w:szCs w:val="22"/>
        </w:rPr>
        <w:t>arties à la Convention sur la diversité biologique</w:t>
      </w:r>
      <w:r w:rsidR="00275374">
        <w:rPr>
          <w:rStyle w:val="FootnoteReference"/>
          <w:kern w:val="22"/>
          <w:szCs w:val="22"/>
        </w:rPr>
        <w:footnoteReference w:id="8"/>
      </w:r>
      <w:r w:rsidRPr="009741C7">
        <w:rPr>
          <w:kern w:val="22"/>
          <w:szCs w:val="22"/>
        </w:rPr>
        <w:t>.  Elles suggèrent que les objectifs nationaux et régionaux qui ont été adoptés ne correspondent pas collectivement au niveau d'ambition fixé</w:t>
      </w:r>
      <w:r w:rsidR="00FA600D">
        <w:rPr>
          <w:kern w:val="22"/>
          <w:szCs w:val="22"/>
        </w:rPr>
        <w:t>e</w:t>
      </w:r>
      <w:r w:rsidRPr="009741C7">
        <w:rPr>
          <w:kern w:val="22"/>
          <w:szCs w:val="22"/>
        </w:rPr>
        <w:t xml:space="preserve"> dans les objectifs d'Aichi pour la bio</w:t>
      </w:r>
      <w:r w:rsidR="00F23F5B">
        <w:rPr>
          <w:kern w:val="22"/>
          <w:szCs w:val="22"/>
        </w:rPr>
        <w:t xml:space="preserve">diversité. Des informations supplémentaires </w:t>
      </w:r>
      <w:r w:rsidRPr="009741C7">
        <w:rPr>
          <w:kern w:val="22"/>
          <w:szCs w:val="22"/>
        </w:rPr>
        <w:t>sur les progrès réalisés dans l'élaboration, la révision et la mise à jour des SPANB et la fixation d'objectifs nationaux figurent dans les documents CBD/SBI/3/2/Add.1 et Add.2.</w:t>
      </w:r>
    </w:p>
    <w:p w14:paraId="6FA889A8" w14:textId="370BBEBC" w:rsidR="009E4766" w:rsidRPr="007F70F5" w:rsidRDefault="006007F7">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bCs/>
          <w:snapToGrid w:val="0"/>
          <w:kern w:val="22"/>
          <w:szCs w:val="22"/>
        </w:rPr>
        <w:lastRenderedPageBreak/>
        <w:t>Progrès dans la mise en œuvre du Plan stratégique – informations tirées des rapports nationaux</w:t>
      </w:r>
    </w:p>
    <w:p w14:paraId="71FDFAD6" w14:textId="10CD6755" w:rsidR="009E4766" w:rsidRPr="007F70F5" w:rsidRDefault="006007F7">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6007F7">
        <w:rPr>
          <w:kern w:val="22"/>
          <w:szCs w:val="22"/>
        </w:rPr>
        <w:t xml:space="preserve">Les rapports nationaux sont une source d'information essentielle pour évaluer la mise en œuvre du plan stratégique pour la biodiversité. Au total, 23 % des Parties ont soumis leur sixième rapport national avant ou à la date limite du 31 décembre 2018 convenue par la Conférence des Parties. Six mois après la date limite, 49 % des Parties avaient soumis leur rapport. Au 26 mars 2020, 156 sixièmes rapports nationaux avaient été reçus. L'évaluation des informations soumises dans les sixièmes rapports nationaux indique que la majorité des Parties ont </w:t>
      </w:r>
      <w:r w:rsidR="00B60ABD">
        <w:rPr>
          <w:kern w:val="22"/>
          <w:szCs w:val="22"/>
        </w:rPr>
        <w:t>fait des progrès dans la réalisation des objectifs d'Aichi. Cependant, malgré les progrès observés, le rythme pour leur permett</w:t>
      </w:r>
      <w:r w:rsidR="00FA600D">
        <w:rPr>
          <w:kern w:val="22"/>
          <w:szCs w:val="22"/>
        </w:rPr>
        <w:t>r</w:t>
      </w:r>
      <w:r w:rsidR="00B60ABD">
        <w:rPr>
          <w:kern w:val="22"/>
          <w:szCs w:val="22"/>
        </w:rPr>
        <w:t xml:space="preserve">e de les atteindre n’est pas suffisant. </w:t>
      </w:r>
    </w:p>
    <w:p w14:paraId="0B980909" w14:textId="3388BA55" w:rsidR="003C0936" w:rsidRPr="007F70F5" w:rsidRDefault="006007F7" w:rsidP="00456490">
      <w:pPr>
        <w:pStyle w:val="Para1"/>
        <w:suppressLineNumbers/>
        <w:tabs>
          <w:tab w:val="clear" w:pos="360"/>
        </w:tabs>
        <w:suppressAutoHyphens/>
        <w:rPr>
          <w:rFonts w:eastAsia="Malgun Gothic"/>
          <w:kern w:val="22"/>
          <w:szCs w:val="22"/>
        </w:rPr>
      </w:pPr>
      <w:r w:rsidRPr="006007F7">
        <w:rPr>
          <w:rFonts w:eastAsia="Malgun Gothic"/>
          <w:kern w:val="22"/>
          <w:szCs w:val="22"/>
        </w:rPr>
        <w:t xml:space="preserve">En moyenne, plus d'un tiers de tous les objectifs nationaux sont en voie d'être atteints (34 %) ou dépassés (3 %). Cependant, seul un dixième (10 %) des objectifs nationaux qui sont similaires à un objectif d'Aichi </w:t>
      </w:r>
      <w:r w:rsidR="00751B1A">
        <w:rPr>
          <w:rFonts w:eastAsia="Malgun Gothic"/>
          <w:kern w:val="22"/>
          <w:szCs w:val="22"/>
        </w:rPr>
        <w:t xml:space="preserve">pour la diversité biologique </w:t>
      </w:r>
      <w:r w:rsidRPr="006007F7">
        <w:rPr>
          <w:rFonts w:eastAsia="Malgun Gothic"/>
          <w:kern w:val="22"/>
          <w:szCs w:val="22"/>
        </w:rPr>
        <w:t xml:space="preserve">sont en voie d'être atteint. En moyenne, pour environ la moitié des objectifs nationaux (51 %), des progrès sont réalisés, mais </w:t>
      </w:r>
      <w:r w:rsidR="005E3FEB">
        <w:rPr>
          <w:rFonts w:eastAsia="Malgun Gothic"/>
          <w:kern w:val="22"/>
          <w:szCs w:val="22"/>
        </w:rPr>
        <w:t>à</w:t>
      </w:r>
      <w:r w:rsidRPr="006007F7">
        <w:rPr>
          <w:rFonts w:eastAsia="Malgun Gothic"/>
          <w:kern w:val="22"/>
          <w:szCs w:val="22"/>
        </w:rPr>
        <w:t xml:space="preserve"> un rythme </w:t>
      </w:r>
      <w:r w:rsidR="007E40BE">
        <w:rPr>
          <w:rFonts w:eastAsia="Malgun Gothic"/>
          <w:kern w:val="22"/>
          <w:szCs w:val="22"/>
        </w:rPr>
        <w:t>in</w:t>
      </w:r>
      <w:r w:rsidR="005E3FEB">
        <w:rPr>
          <w:rFonts w:eastAsia="Malgun Gothic"/>
          <w:kern w:val="22"/>
          <w:szCs w:val="22"/>
        </w:rPr>
        <w:t xml:space="preserve">suffisant </w:t>
      </w:r>
      <w:r w:rsidR="007E40BE">
        <w:rPr>
          <w:rFonts w:eastAsia="Malgun Gothic"/>
          <w:kern w:val="22"/>
          <w:szCs w:val="22"/>
        </w:rPr>
        <w:t>afin de les atteindre</w:t>
      </w:r>
      <w:r w:rsidRPr="006007F7">
        <w:rPr>
          <w:rFonts w:eastAsia="Malgun Gothic"/>
          <w:kern w:val="22"/>
          <w:szCs w:val="22"/>
        </w:rPr>
        <w:t xml:space="preserve">. </w:t>
      </w:r>
      <w:r w:rsidR="006705DB">
        <w:rPr>
          <w:rFonts w:eastAsia="Malgun Gothic"/>
          <w:kern w:val="22"/>
          <w:szCs w:val="22"/>
        </w:rPr>
        <w:t>De plus,</w:t>
      </w:r>
      <w:r w:rsidRPr="006007F7">
        <w:rPr>
          <w:rFonts w:eastAsia="Malgun Gothic"/>
          <w:kern w:val="22"/>
          <w:szCs w:val="22"/>
        </w:rPr>
        <w:t xml:space="preserve"> en moyenne, environ un dixième des objectifs nationaux n'ont pas progressé de manière significative (11 %) ou vont dans la mauvaise direction (1 %). La plupart des progrès semblent avoir été accomplis dans la réalisation des objectifs nationaux liés aux objectifs 1, 11, 16, 17 et 19 de la Convention d'Aichi sur la</w:t>
      </w:r>
      <w:r w:rsidR="006705DB">
        <w:rPr>
          <w:rFonts w:eastAsia="Malgun Gothic"/>
          <w:kern w:val="22"/>
          <w:szCs w:val="22"/>
        </w:rPr>
        <w:t xml:space="preserve"> diversité biologique</w:t>
      </w:r>
      <w:r w:rsidRPr="006007F7">
        <w:rPr>
          <w:rFonts w:eastAsia="Malgun Gothic"/>
          <w:kern w:val="22"/>
          <w:szCs w:val="22"/>
        </w:rPr>
        <w:t>. En comparaison, les progrès semblent beaucoup moins importants en ce qui concerne les objectifs nationaux liés aux objectifs 5, 8, 9, 10, 13, 14 et 20 de la Convention d'Aichi sur la diversité biologique.</w:t>
      </w:r>
    </w:p>
    <w:p w14:paraId="30158F41" w14:textId="491E86B7" w:rsidR="009E4766" w:rsidRPr="007F70F5" w:rsidRDefault="006007F7">
      <w:pPr>
        <w:pStyle w:val="Para1"/>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rPr>
      </w:pPr>
      <w:r w:rsidRPr="006007F7">
        <w:rPr>
          <w:rFonts w:eastAsia="Malgun Gothic"/>
          <w:kern w:val="22"/>
          <w:szCs w:val="22"/>
        </w:rPr>
        <w:t xml:space="preserve">Cette évaluation est conforme à celle présentée dans la quatrième édition des </w:t>
      </w:r>
      <w:r w:rsidRPr="00E20600">
        <w:rPr>
          <w:rFonts w:eastAsia="Malgun Gothic"/>
          <w:i/>
          <w:kern w:val="22"/>
          <w:szCs w:val="22"/>
        </w:rPr>
        <w:t>Perspectives mondiales de la biodiversité</w:t>
      </w:r>
      <w:r w:rsidRPr="006007F7">
        <w:rPr>
          <w:rFonts w:eastAsia="Malgun Gothic"/>
          <w:kern w:val="22"/>
          <w:szCs w:val="22"/>
        </w:rPr>
        <w:t>, qui a conclu que, si des progrès ont été accomplis dans la réalisation de tous les objectifs, ils n'ont pas été suffisants pour att</w:t>
      </w:r>
      <w:r>
        <w:rPr>
          <w:rFonts w:eastAsia="Malgun Gothic"/>
          <w:kern w:val="22"/>
          <w:szCs w:val="22"/>
        </w:rPr>
        <w:t xml:space="preserve">eindre les objectifs d'Aichi </w:t>
      </w:r>
      <w:r w:rsidR="00753C8C">
        <w:rPr>
          <w:rFonts w:eastAsia="Malgun Gothic"/>
          <w:kern w:val="22"/>
          <w:szCs w:val="22"/>
        </w:rPr>
        <w:t>pour la biodiversité.</w:t>
      </w:r>
      <w:r>
        <w:rPr>
          <w:rFonts w:eastAsia="Malgun Gothic"/>
          <w:kern w:val="22"/>
          <w:szCs w:val="22"/>
        </w:rPr>
        <w:t xml:space="preserve"> </w:t>
      </w:r>
      <w:r w:rsidR="00E20600">
        <w:rPr>
          <w:rFonts w:eastAsia="Malgun Gothic"/>
          <w:kern w:val="22"/>
          <w:szCs w:val="22"/>
        </w:rPr>
        <w:t xml:space="preserve">Celle-ci </w:t>
      </w:r>
      <w:r w:rsidRPr="006007F7">
        <w:rPr>
          <w:rFonts w:eastAsia="Malgun Gothic"/>
          <w:kern w:val="22"/>
          <w:szCs w:val="22"/>
        </w:rPr>
        <w:t xml:space="preserve">est également conforme au </w:t>
      </w:r>
      <w:r w:rsidRPr="00E20600">
        <w:rPr>
          <w:rFonts w:eastAsia="Malgun Gothic"/>
          <w:i/>
          <w:kern w:val="22"/>
          <w:szCs w:val="22"/>
        </w:rPr>
        <w:t xml:space="preserve">rapport d'évaluation mondiale sur la biodiversité et les services écosystémiques </w:t>
      </w:r>
      <w:r w:rsidRPr="006007F7">
        <w:rPr>
          <w:rFonts w:eastAsia="Malgun Gothic"/>
          <w:kern w:val="22"/>
          <w:szCs w:val="22"/>
        </w:rPr>
        <w:t>de la plateforme intergouvernementale scientifique et politique sur la biodiversité et les services écosystémiques, qui</w:t>
      </w:r>
      <w:r w:rsidR="00E20600">
        <w:rPr>
          <w:rFonts w:eastAsia="Malgun Gothic"/>
          <w:kern w:val="22"/>
          <w:szCs w:val="22"/>
        </w:rPr>
        <w:t xml:space="preserve"> observe que « </w:t>
      </w:r>
      <w:r w:rsidRPr="006007F7">
        <w:rPr>
          <w:rFonts w:eastAsia="Malgun Gothic"/>
          <w:kern w:val="22"/>
          <w:szCs w:val="22"/>
        </w:rPr>
        <w:t xml:space="preserve">la mise en œuvre des réponses et des actions politiques visant à conserver la nature et à la gérer de manière </w:t>
      </w:r>
      <w:r w:rsidR="002B3A64">
        <w:rPr>
          <w:rFonts w:eastAsia="Malgun Gothic"/>
          <w:kern w:val="22"/>
          <w:szCs w:val="22"/>
        </w:rPr>
        <w:t xml:space="preserve">la </w:t>
      </w:r>
      <w:r w:rsidRPr="006007F7">
        <w:rPr>
          <w:rFonts w:eastAsia="Malgun Gothic"/>
          <w:kern w:val="22"/>
          <w:szCs w:val="22"/>
        </w:rPr>
        <w:t>plus durable a progressé, donnant des résultats positifs par rapport aux scénarios de non-intervention, mais les progrès ne sont pas suffisants pour endiguer les facteurs directs et indirect</w:t>
      </w:r>
      <w:r>
        <w:rPr>
          <w:rFonts w:eastAsia="Malgun Gothic"/>
          <w:kern w:val="22"/>
          <w:szCs w:val="22"/>
        </w:rPr>
        <w:t>s de détérioration de la nature</w:t>
      </w:r>
      <w:r w:rsidR="00172929" w:rsidRPr="007F70F5">
        <w:rPr>
          <w:kern w:val="22"/>
          <w:szCs w:val="22"/>
        </w:rPr>
        <w:t xml:space="preserve">. </w:t>
      </w:r>
      <w:r w:rsidRPr="006007F7">
        <w:rPr>
          <w:kern w:val="22"/>
          <w:szCs w:val="22"/>
        </w:rPr>
        <w:t>Il est donc probable</w:t>
      </w:r>
      <w:r w:rsidR="00344595">
        <w:rPr>
          <w:kern w:val="22"/>
          <w:szCs w:val="22"/>
        </w:rPr>
        <w:t xml:space="preserve"> que la plupart des objectifs d’Aichi pour </w:t>
      </w:r>
      <w:r w:rsidR="002B3A64">
        <w:rPr>
          <w:kern w:val="22"/>
          <w:szCs w:val="22"/>
        </w:rPr>
        <w:t>la biodiversité</w:t>
      </w:r>
      <w:r w:rsidR="00344595">
        <w:rPr>
          <w:kern w:val="22"/>
          <w:szCs w:val="22"/>
        </w:rPr>
        <w:t xml:space="preserve"> </w:t>
      </w:r>
      <w:r w:rsidRPr="006007F7">
        <w:rPr>
          <w:kern w:val="22"/>
          <w:szCs w:val="22"/>
        </w:rPr>
        <w:t>p</w:t>
      </w:r>
      <w:r w:rsidR="002B3A64">
        <w:rPr>
          <w:kern w:val="22"/>
          <w:szCs w:val="22"/>
        </w:rPr>
        <w:t>our 2020 ne seront pas atteints »</w:t>
      </w:r>
      <w:r w:rsidRPr="006007F7">
        <w:rPr>
          <w:kern w:val="22"/>
          <w:szCs w:val="22"/>
        </w:rPr>
        <w:t xml:space="preserve">. </w:t>
      </w:r>
      <w:r w:rsidR="00344595">
        <w:rPr>
          <w:kern w:val="22"/>
          <w:szCs w:val="22"/>
        </w:rPr>
        <w:t>Des informations supplémentaires</w:t>
      </w:r>
      <w:r w:rsidRPr="006007F7">
        <w:rPr>
          <w:kern w:val="22"/>
          <w:szCs w:val="22"/>
        </w:rPr>
        <w:t xml:space="preserve"> sur les progrès accomplis dans la réalisation des objectifs </w:t>
      </w:r>
      <w:r w:rsidR="00344595">
        <w:rPr>
          <w:kern w:val="22"/>
          <w:szCs w:val="22"/>
        </w:rPr>
        <w:t xml:space="preserve">d’Aichi pour la </w:t>
      </w:r>
      <w:r w:rsidR="00551B0F">
        <w:rPr>
          <w:kern w:val="22"/>
          <w:szCs w:val="22"/>
        </w:rPr>
        <w:t>biodiversité</w:t>
      </w:r>
      <w:r w:rsidRPr="006007F7">
        <w:rPr>
          <w:kern w:val="22"/>
          <w:szCs w:val="22"/>
        </w:rPr>
        <w:t xml:space="preserve">, telles que présentées dans les rapports nationaux, figurent dans le document CBD/SBI/2/2/Add.2 ainsi que dans la cinquième édition des </w:t>
      </w:r>
      <w:r w:rsidRPr="00344595">
        <w:rPr>
          <w:i/>
          <w:kern w:val="22"/>
          <w:szCs w:val="22"/>
        </w:rPr>
        <w:t>Perspectives mondiales de la diversité biologique.</w:t>
      </w:r>
      <w:r>
        <w:rPr>
          <w:kern w:val="22"/>
          <w:szCs w:val="22"/>
        </w:rPr>
        <w:t xml:space="preserve"> </w:t>
      </w:r>
    </w:p>
    <w:p w14:paraId="46256F1A" w14:textId="434DA39B" w:rsidR="009E4766" w:rsidRPr="007F70F5" w:rsidRDefault="006007F7">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Pr>
          <w:b/>
          <w:bCs/>
          <w:snapToGrid w:val="0"/>
          <w:kern w:val="22"/>
          <w:szCs w:val="22"/>
        </w:rPr>
        <w:t xml:space="preserve">Progrès dans la mise en œuvre du Plan d’action pour l’égalité entre les sexes </w:t>
      </w:r>
    </w:p>
    <w:p w14:paraId="65C0E5D9" w14:textId="723B73A1" w:rsidR="00646BEE" w:rsidRPr="001A4D97" w:rsidRDefault="006007F7" w:rsidP="001A4D97">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Pr>
          <w:rFonts w:eastAsia="Malgun Gothic"/>
          <w:kern w:val="22"/>
          <w:szCs w:val="22"/>
        </w:rPr>
        <w:t xml:space="preserve">Dans la décision </w:t>
      </w:r>
      <w:hyperlink r:id="rId23" w:history="1">
        <w:r w:rsidR="009E4766" w:rsidRPr="007F70F5">
          <w:rPr>
            <w:rStyle w:val="Hyperlink"/>
            <w:rFonts w:eastAsia="Malgun Gothic"/>
            <w:kern w:val="22"/>
            <w:sz w:val="22"/>
            <w:szCs w:val="22"/>
          </w:rPr>
          <w:t>XII/7</w:t>
        </w:r>
      </w:hyperlink>
      <w:r w:rsidR="009E4766" w:rsidRPr="007F70F5">
        <w:rPr>
          <w:rFonts w:eastAsia="Malgun Gothic"/>
          <w:kern w:val="22"/>
          <w:szCs w:val="22"/>
        </w:rPr>
        <w:t xml:space="preserve">, </w:t>
      </w:r>
      <w:r w:rsidR="007F5289" w:rsidRPr="007F5289">
        <w:rPr>
          <w:rFonts w:eastAsia="Malgun Gothic"/>
          <w:kern w:val="22"/>
          <w:szCs w:val="22"/>
        </w:rPr>
        <w:t>la Conférence des Parties a accueilli favorablement le Plan d'action 2015-20</w:t>
      </w:r>
      <w:r w:rsidR="00344595">
        <w:rPr>
          <w:rFonts w:eastAsia="Malgun Gothic"/>
          <w:kern w:val="22"/>
          <w:szCs w:val="22"/>
        </w:rPr>
        <w:t>20 pour l'égalité entre les</w:t>
      </w:r>
      <w:r w:rsidR="007F5289" w:rsidRPr="007F5289">
        <w:rPr>
          <w:rFonts w:eastAsia="Malgun Gothic"/>
          <w:kern w:val="22"/>
          <w:szCs w:val="22"/>
        </w:rPr>
        <w:t xml:space="preserve"> sexes dans le cadre de la Convention sur la diversité biologique, et a </w:t>
      </w:r>
      <w:r w:rsidR="00344595">
        <w:rPr>
          <w:rFonts w:eastAsia="Malgun Gothic"/>
          <w:kern w:val="22"/>
          <w:szCs w:val="22"/>
        </w:rPr>
        <w:t>prié la Secrétaire exécutive</w:t>
      </w:r>
      <w:r w:rsidR="007F5289" w:rsidRPr="007F5289">
        <w:rPr>
          <w:rFonts w:eastAsia="Malgun Gothic"/>
          <w:kern w:val="22"/>
          <w:szCs w:val="22"/>
        </w:rPr>
        <w:t xml:space="preserve"> de soutenir sa mise en œuvre et aux Parties de faire rapport sur les mesures prises à cet égard. </w:t>
      </w:r>
      <w:r w:rsidR="007F5289">
        <w:rPr>
          <w:rFonts w:eastAsia="Malgun Gothic"/>
          <w:kern w:val="22"/>
          <w:szCs w:val="22"/>
        </w:rPr>
        <w:t xml:space="preserve">L’examen de la mise en œuvre du Plan d’action pour l’égalité entre les sexes présenté dans le document CBD/SBI/3/2/Add.3, a été entrepris en réponse à la décision </w:t>
      </w:r>
      <w:hyperlink r:id="rId24" w:history="1">
        <w:r w:rsidR="006670A9" w:rsidRPr="007F5289">
          <w:rPr>
            <w:rStyle w:val="Hyperlink"/>
            <w:kern w:val="22"/>
            <w:sz w:val="22"/>
            <w:szCs w:val="22"/>
          </w:rPr>
          <w:t>XIV/18</w:t>
        </w:r>
      </w:hyperlink>
      <w:r w:rsidR="001D508F" w:rsidRPr="007F5289">
        <w:rPr>
          <w:kern w:val="22"/>
          <w:szCs w:val="22"/>
        </w:rPr>
        <w:t>,</w:t>
      </w:r>
      <w:r w:rsidR="006670A9" w:rsidRPr="007F5289">
        <w:rPr>
          <w:kern w:val="22"/>
          <w:szCs w:val="22"/>
        </w:rPr>
        <w:t xml:space="preserve"> </w:t>
      </w:r>
      <w:r w:rsidR="001A4D97" w:rsidRPr="001A4D97">
        <w:rPr>
          <w:kern w:val="22"/>
          <w:szCs w:val="22"/>
        </w:rPr>
        <w:t xml:space="preserve">et évalue les actions entreprises par les Parties et le Secrétariat, et identifie les </w:t>
      </w:r>
      <w:r w:rsidR="00344595">
        <w:rPr>
          <w:kern w:val="22"/>
          <w:szCs w:val="22"/>
        </w:rPr>
        <w:t>bonnes</w:t>
      </w:r>
      <w:r w:rsidR="001A4D97" w:rsidRPr="001A4D97">
        <w:rPr>
          <w:kern w:val="22"/>
          <w:szCs w:val="22"/>
        </w:rPr>
        <w:t xml:space="preserve"> pratiques, les </w:t>
      </w:r>
      <w:r w:rsidR="00344595">
        <w:rPr>
          <w:kern w:val="22"/>
          <w:szCs w:val="22"/>
        </w:rPr>
        <w:t>enseignements tirés</w:t>
      </w:r>
      <w:r w:rsidR="001A4D97" w:rsidRPr="001A4D97">
        <w:rPr>
          <w:kern w:val="22"/>
          <w:szCs w:val="22"/>
        </w:rPr>
        <w:t xml:space="preserve"> et les lacunes.  L'examen </w:t>
      </w:r>
      <w:r w:rsidR="00344595">
        <w:rPr>
          <w:kern w:val="22"/>
          <w:szCs w:val="22"/>
        </w:rPr>
        <w:t xml:space="preserve">se base </w:t>
      </w:r>
      <w:r w:rsidR="001A4D97" w:rsidRPr="001A4D97">
        <w:rPr>
          <w:kern w:val="22"/>
          <w:szCs w:val="22"/>
        </w:rPr>
        <w:t xml:space="preserve">sur l'évaluation des sixièmes rapports nationaux </w:t>
      </w:r>
      <w:r w:rsidR="001A4D97" w:rsidRPr="007F70F5">
        <w:rPr>
          <w:rStyle w:val="FootnoteReference"/>
          <w:kern w:val="22"/>
          <w:szCs w:val="22"/>
        </w:rPr>
        <w:footnoteReference w:id="9"/>
      </w:r>
      <w:r w:rsidR="001A4D97" w:rsidRPr="007F5289">
        <w:rPr>
          <w:kern w:val="22"/>
          <w:szCs w:val="22"/>
        </w:rPr>
        <w:t xml:space="preserve"> </w:t>
      </w:r>
      <w:r w:rsidR="001A4D97" w:rsidRPr="001A4D97">
        <w:rPr>
          <w:kern w:val="22"/>
          <w:szCs w:val="22"/>
        </w:rPr>
        <w:t>reçus par le Secrétariat, et sur les résultats de deux enquêtes mondiales, l'une destinée aux représentants des gouvernements, et l'au</w:t>
      </w:r>
      <w:r w:rsidR="00606849">
        <w:rPr>
          <w:kern w:val="22"/>
          <w:szCs w:val="22"/>
        </w:rPr>
        <w:t>tre aux autres organisations pertinentes</w:t>
      </w:r>
      <w:r w:rsidR="001A4D97" w:rsidRPr="001A4D97">
        <w:rPr>
          <w:kern w:val="22"/>
          <w:szCs w:val="22"/>
        </w:rPr>
        <w:t>.</w:t>
      </w:r>
      <w:r w:rsidR="00646BEE" w:rsidRPr="007F70F5">
        <w:rPr>
          <w:rStyle w:val="FootnoteReference"/>
          <w:kern w:val="22"/>
          <w:szCs w:val="22"/>
        </w:rPr>
        <w:footnoteReference w:id="10"/>
      </w:r>
    </w:p>
    <w:p w14:paraId="3FC28E26" w14:textId="55FCC30C" w:rsidR="00D96D21" w:rsidRDefault="00D96D21" w:rsidP="00D96D21">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D96D21">
        <w:rPr>
          <w:kern w:val="22"/>
          <w:szCs w:val="22"/>
        </w:rPr>
        <w:lastRenderedPageBreak/>
        <w:t xml:space="preserve">L'examen suggère qu'il y a une </w:t>
      </w:r>
      <w:r w:rsidR="00AF4E38">
        <w:rPr>
          <w:kern w:val="22"/>
          <w:szCs w:val="22"/>
        </w:rPr>
        <w:t>meilleure prise de conscience ainsi qu’une meilleure</w:t>
      </w:r>
      <w:r w:rsidRPr="00D96D21">
        <w:rPr>
          <w:kern w:val="22"/>
          <w:szCs w:val="22"/>
        </w:rPr>
        <w:t xml:space="preserve"> compréhension parmi les Parties</w:t>
      </w:r>
      <w:r w:rsidR="00D151EE">
        <w:rPr>
          <w:kern w:val="22"/>
          <w:szCs w:val="22"/>
        </w:rPr>
        <w:t xml:space="preserve"> relatives aux</w:t>
      </w:r>
      <w:r w:rsidRPr="00D96D21">
        <w:rPr>
          <w:kern w:val="22"/>
          <w:szCs w:val="22"/>
        </w:rPr>
        <w:t xml:space="preserve"> liens entre le genre et la biod</w:t>
      </w:r>
      <w:r w:rsidR="00441FAA">
        <w:rPr>
          <w:kern w:val="22"/>
          <w:szCs w:val="22"/>
        </w:rPr>
        <w:t>iversité. Une meilleure prise de conscience se fait également apercevoir</w:t>
      </w:r>
      <w:r w:rsidR="00D151EE">
        <w:rPr>
          <w:kern w:val="22"/>
          <w:szCs w:val="22"/>
        </w:rPr>
        <w:t xml:space="preserve"> </w:t>
      </w:r>
      <w:r w:rsidR="00441FAA">
        <w:rPr>
          <w:kern w:val="22"/>
          <w:szCs w:val="22"/>
        </w:rPr>
        <w:t>en ce qui concerne les</w:t>
      </w:r>
      <w:r w:rsidRPr="00D96D21">
        <w:rPr>
          <w:kern w:val="22"/>
          <w:szCs w:val="22"/>
        </w:rPr>
        <w:t xml:space="preserve"> mesures pertinentes qui doivent être prises pour </w:t>
      </w:r>
      <w:r w:rsidR="00D151EE">
        <w:rPr>
          <w:kern w:val="22"/>
          <w:szCs w:val="22"/>
        </w:rPr>
        <w:t>permettre une mise en œuvre</w:t>
      </w:r>
      <w:r w:rsidRPr="00D96D21">
        <w:rPr>
          <w:kern w:val="22"/>
          <w:szCs w:val="22"/>
        </w:rPr>
        <w:t xml:space="preserve"> </w:t>
      </w:r>
      <w:r w:rsidR="00D151EE">
        <w:rPr>
          <w:kern w:val="22"/>
          <w:szCs w:val="22"/>
        </w:rPr>
        <w:t xml:space="preserve">des actions sensibles au genre </w:t>
      </w:r>
      <w:r w:rsidRPr="00D96D21">
        <w:rPr>
          <w:kern w:val="22"/>
          <w:szCs w:val="22"/>
        </w:rPr>
        <w:t xml:space="preserve">visant à stopper la perte de </w:t>
      </w:r>
      <w:r w:rsidR="00A15590">
        <w:rPr>
          <w:kern w:val="22"/>
          <w:szCs w:val="22"/>
        </w:rPr>
        <w:t xml:space="preserve">la </w:t>
      </w:r>
      <w:r w:rsidRPr="00D96D21">
        <w:rPr>
          <w:kern w:val="22"/>
          <w:szCs w:val="22"/>
        </w:rPr>
        <w:t>biodiversi</w:t>
      </w:r>
      <w:r w:rsidR="00AF1C17">
        <w:rPr>
          <w:kern w:val="22"/>
          <w:szCs w:val="22"/>
        </w:rPr>
        <w:t>té. Cependant</w:t>
      </w:r>
      <w:r w:rsidR="0024726D">
        <w:rPr>
          <w:kern w:val="22"/>
          <w:szCs w:val="22"/>
        </w:rPr>
        <w:t>, les efforts des P</w:t>
      </w:r>
      <w:r w:rsidRPr="00D96D21">
        <w:rPr>
          <w:kern w:val="22"/>
          <w:szCs w:val="22"/>
        </w:rPr>
        <w:t>arties doivent être maintenus et renforcés, notamment en ce qui concerne l'engagement total et effectif des femmes dans la mise en œuvre et l'inté</w:t>
      </w:r>
      <w:r w:rsidR="00AF1C17">
        <w:rPr>
          <w:kern w:val="22"/>
          <w:szCs w:val="22"/>
        </w:rPr>
        <w:t>gration des questions de genre relati</w:t>
      </w:r>
      <w:r w:rsidR="00FA600D">
        <w:rPr>
          <w:kern w:val="22"/>
          <w:szCs w:val="22"/>
        </w:rPr>
        <w:t>ve</w:t>
      </w:r>
      <w:r w:rsidR="00AF1C17">
        <w:rPr>
          <w:kern w:val="22"/>
          <w:szCs w:val="22"/>
        </w:rPr>
        <w:t>s aux actions</w:t>
      </w:r>
      <w:r w:rsidRPr="00D96D21">
        <w:rPr>
          <w:kern w:val="22"/>
          <w:szCs w:val="22"/>
        </w:rPr>
        <w:t xml:space="preserve"> </w:t>
      </w:r>
      <w:r w:rsidR="00AF1C17">
        <w:rPr>
          <w:kern w:val="22"/>
          <w:szCs w:val="22"/>
        </w:rPr>
        <w:t xml:space="preserve">de </w:t>
      </w:r>
      <w:r w:rsidRPr="00D96D21">
        <w:rPr>
          <w:kern w:val="22"/>
          <w:szCs w:val="22"/>
        </w:rPr>
        <w:t>biodiversité, une meilleure coordination avec les organisations de femmes, les ministères et les partenaires locaux, ainsi que la sensibilisation et le renforcement des ca</w:t>
      </w:r>
      <w:r w:rsidR="00AF1C17">
        <w:rPr>
          <w:kern w:val="22"/>
          <w:szCs w:val="22"/>
        </w:rPr>
        <w:t>pacités des différents acteurs parmi d’autres domaines, afin de</w:t>
      </w:r>
      <w:r w:rsidRPr="00D96D21">
        <w:rPr>
          <w:kern w:val="22"/>
          <w:szCs w:val="22"/>
        </w:rPr>
        <w:t xml:space="preserve"> garantir des rés</w:t>
      </w:r>
      <w:r w:rsidR="00AF1C17">
        <w:rPr>
          <w:kern w:val="22"/>
          <w:szCs w:val="22"/>
        </w:rPr>
        <w:t xml:space="preserve">ultats relatifs au genre et à la biodiversité à l’avenir. </w:t>
      </w:r>
    </w:p>
    <w:p w14:paraId="62E135DB" w14:textId="574D7B1B" w:rsidR="0058244B" w:rsidRPr="00D96D21" w:rsidRDefault="00D96D21" w:rsidP="00D96D21">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D96D21">
        <w:rPr>
          <w:kern w:val="22"/>
          <w:szCs w:val="22"/>
        </w:rPr>
        <w:t xml:space="preserve">Les </w:t>
      </w:r>
      <w:r w:rsidR="00FF0567">
        <w:rPr>
          <w:kern w:val="22"/>
          <w:szCs w:val="22"/>
        </w:rPr>
        <w:t>bonnes</w:t>
      </w:r>
      <w:r w:rsidRPr="00D96D21">
        <w:rPr>
          <w:kern w:val="22"/>
          <w:szCs w:val="22"/>
        </w:rPr>
        <w:t xml:space="preserve"> pratiques identi</w:t>
      </w:r>
      <w:r w:rsidR="00FF0567">
        <w:rPr>
          <w:kern w:val="22"/>
          <w:szCs w:val="22"/>
        </w:rPr>
        <w:t>fiées dans la mise en œuvre du Plan d'action pour l'égalité entre les</w:t>
      </w:r>
      <w:r w:rsidRPr="00D96D21">
        <w:rPr>
          <w:kern w:val="22"/>
          <w:szCs w:val="22"/>
        </w:rPr>
        <w:t xml:space="preserve"> sexes comprennent des actions spécifiques visant à intégrer plus efficacement les considérations de genre dans les cadres politiques de la biodiversité, à identifier les liens entre les données et les statistiques disponibles dans différents processus et à les utiliser, afin de surmonter les écarts entre les sexes dans les secteurs liés à la biodiversité, ainsi que des approches visant à sensibiliser, à renforcer les capacités et à partager l'apprentissage afin de soutenir l'engagement équitable des femmes dans les secteurs </w:t>
      </w:r>
      <w:r w:rsidR="006B227F">
        <w:rPr>
          <w:kern w:val="22"/>
          <w:szCs w:val="22"/>
        </w:rPr>
        <w:t>relatifs à la</w:t>
      </w:r>
      <w:r w:rsidRPr="00D96D21">
        <w:rPr>
          <w:kern w:val="22"/>
          <w:szCs w:val="22"/>
        </w:rPr>
        <w:t xml:space="preserve"> biodiversité.</w:t>
      </w:r>
      <w:r w:rsidR="0058244B" w:rsidRPr="00D96D21">
        <w:rPr>
          <w:kern w:val="22"/>
          <w:szCs w:val="22"/>
        </w:rPr>
        <w:t xml:space="preserve"> </w:t>
      </w:r>
      <w:r w:rsidRPr="00D96D21">
        <w:rPr>
          <w:kern w:val="22"/>
          <w:szCs w:val="22"/>
        </w:rPr>
        <w:t>Les enseignements tirés soulignent la valeur du plan d'action en faveur de l'égalité des sexes en tant qu'outil politique et de sensibilisation, la nécessité de fixer des objectifs clairs, réalisables et mesurables en matière de biodiversité pour les hommes et les femmes afin de soutenir la m</w:t>
      </w:r>
      <w:r w:rsidR="00520518">
        <w:rPr>
          <w:kern w:val="22"/>
          <w:szCs w:val="22"/>
        </w:rPr>
        <w:t>ise en œuvre, l'investissement au</w:t>
      </w:r>
      <w:r w:rsidRPr="00D96D21">
        <w:rPr>
          <w:kern w:val="22"/>
          <w:szCs w:val="22"/>
        </w:rPr>
        <w:t xml:space="preserve"> long terme et l'a</w:t>
      </w:r>
      <w:r w:rsidR="00D23A8A">
        <w:rPr>
          <w:kern w:val="22"/>
          <w:szCs w:val="22"/>
        </w:rPr>
        <w:t>ction concertée, ainsi que</w:t>
      </w:r>
      <w:r w:rsidRPr="00D96D21">
        <w:rPr>
          <w:kern w:val="22"/>
          <w:szCs w:val="22"/>
        </w:rPr>
        <w:t xml:space="preserve"> la nécessité de s'appuyer sur les résultats des projets pour renforcer l'action à plus grande échelle. L'examen a permis </w:t>
      </w:r>
      <w:r w:rsidR="00DB7558">
        <w:rPr>
          <w:kern w:val="22"/>
          <w:szCs w:val="22"/>
        </w:rPr>
        <w:t xml:space="preserve">de </w:t>
      </w:r>
      <w:r w:rsidR="00EF3C2A">
        <w:rPr>
          <w:kern w:val="22"/>
          <w:szCs w:val="22"/>
        </w:rPr>
        <w:t>déceler</w:t>
      </w:r>
      <w:r w:rsidRPr="00D96D21">
        <w:rPr>
          <w:kern w:val="22"/>
          <w:szCs w:val="22"/>
        </w:rPr>
        <w:t xml:space="preserve"> un certain nombre de lacunes ou de domaines nécessitant une plus grande attention en ce qui concerne le renforcement de la mise en œuvre du plan au niveau national.</w:t>
      </w:r>
      <w:r w:rsidR="00413944" w:rsidRPr="00D96D21">
        <w:rPr>
          <w:kern w:val="22"/>
          <w:szCs w:val="22"/>
        </w:rPr>
        <w:t xml:space="preserve"> </w:t>
      </w:r>
      <w:r w:rsidRPr="00D96D21">
        <w:rPr>
          <w:kern w:val="22"/>
          <w:szCs w:val="22"/>
        </w:rPr>
        <w:t xml:space="preserve">Il s'agit notamment de la nécessité de poursuivre le développement des capacités, la collecte et l'analyse de données ventilées par sexe, ainsi qu'un financement </w:t>
      </w:r>
      <w:r w:rsidR="00EF3C2A">
        <w:rPr>
          <w:kern w:val="22"/>
          <w:szCs w:val="22"/>
        </w:rPr>
        <w:t xml:space="preserve">et des rapports </w:t>
      </w:r>
      <w:r w:rsidRPr="00D96D21">
        <w:rPr>
          <w:kern w:val="22"/>
          <w:szCs w:val="22"/>
        </w:rPr>
        <w:t>adéquats.</w:t>
      </w:r>
    </w:p>
    <w:p w14:paraId="74DBF1CA" w14:textId="3E8ECF50" w:rsidR="0058244B" w:rsidRPr="007F70F5" w:rsidRDefault="00BB7309">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Pr>
          <w:kern w:val="22"/>
          <w:szCs w:val="22"/>
        </w:rPr>
        <w:t>Dans l’ensemble, l’examen suggère qu’un nouveau Plan d’action ou une nouvelle stratégie pour l’égalité entre les sexes, accompagné</w:t>
      </w:r>
      <w:r w:rsidR="00FA600D">
        <w:rPr>
          <w:kern w:val="22"/>
          <w:szCs w:val="22"/>
        </w:rPr>
        <w:t>s</w:t>
      </w:r>
      <w:r>
        <w:rPr>
          <w:kern w:val="22"/>
          <w:szCs w:val="22"/>
        </w:rPr>
        <w:t xml:space="preserve"> d’objectifs mesurables et d’indicateurs appropriés, seront nécessaires pour soutenir la mise en œuvre du cadre mondial de la biodiversité pour l’</w:t>
      </w:r>
      <w:r w:rsidR="008264CF">
        <w:rPr>
          <w:kern w:val="22"/>
          <w:szCs w:val="22"/>
        </w:rPr>
        <w:t xml:space="preserve">après-2020, qui </w:t>
      </w:r>
      <w:r w:rsidR="008264CF" w:rsidRPr="00863FA5">
        <w:rPr>
          <w:kern w:val="22"/>
          <w:szCs w:val="22"/>
        </w:rPr>
        <w:t xml:space="preserve">tient compte de l’égalité entre les sexes. </w:t>
      </w:r>
      <w:r w:rsidR="003056AC">
        <w:rPr>
          <w:kern w:val="22"/>
          <w:szCs w:val="22"/>
        </w:rPr>
        <w:t>De plus, l</w:t>
      </w:r>
      <w:r w:rsidR="000D19C6" w:rsidRPr="00863FA5">
        <w:rPr>
          <w:kern w:val="22"/>
          <w:szCs w:val="22"/>
        </w:rPr>
        <w:t>es</w:t>
      </w:r>
      <w:r w:rsidR="003056AC">
        <w:rPr>
          <w:kern w:val="22"/>
          <w:szCs w:val="22"/>
        </w:rPr>
        <w:t xml:space="preserve"> conclusions indiquent</w:t>
      </w:r>
      <w:r w:rsidR="000D19C6" w:rsidRPr="000D19C6">
        <w:rPr>
          <w:kern w:val="22"/>
          <w:szCs w:val="22"/>
        </w:rPr>
        <w:t xml:space="preserve"> que l'élaboration d'un plan d'action ou d'une stratégie sur l'égalité des sexes pour l'après-2020 devrait suivre un processus consultatif et participatif, qui engage les Parties et les organisations et parties prenantes concernées.</w:t>
      </w:r>
      <w:r w:rsidR="003056AC">
        <w:rPr>
          <w:kern w:val="22"/>
          <w:szCs w:val="22"/>
        </w:rPr>
        <w:t xml:space="preserve"> Enfin, l</w:t>
      </w:r>
      <w:r w:rsidR="000D19C6" w:rsidRPr="000D19C6">
        <w:rPr>
          <w:kern w:val="22"/>
          <w:szCs w:val="22"/>
        </w:rPr>
        <w:t xml:space="preserve">'examen a également révélé que la mise en œuvre de la dimension de genre dans la période post-2020 nécessitera l'intégration complète de la dimension de genre dans les SPANB, son intégration dans le processus d'examen post-2020 et sa prise en compte dans les rapports nationaux. </w:t>
      </w:r>
    </w:p>
    <w:p w14:paraId="34D7CD6B" w14:textId="0030B4F6" w:rsidR="00D971A7" w:rsidRPr="007F70F5" w:rsidRDefault="00000598" w:rsidP="00456490">
      <w:pPr>
        <w:keepNext/>
        <w:numPr>
          <w:ilvl w:val="0"/>
          <w:numId w:val="22"/>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1"/>
        <w:rPr>
          <w:b/>
          <w:bCs/>
          <w:kern w:val="22"/>
          <w:szCs w:val="22"/>
        </w:rPr>
      </w:pPr>
      <w:r>
        <w:rPr>
          <w:b/>
          <w:bCs/>
          <w:snapToGrid w:val="0"/>
          <w:kern w:val="22"/>
          <w:szCs w:val="22"/>
        </w:rPr>
        <w:t>Progrès accomplis dans la réalisation de</w:t>
      </w:r>
      <w:r w:rsidR="00763B2D">
        <w:rPr>
          <w:b/>
          <w:bCs/>
          <w:snapToGrid w:val="0"/>
          <w:kern w:val="22"/>
          <w:szCs w:val="22"/>
        </w:rPr>
        <w:t xml:space="preserve"> l’objectif 18 des objectifs d’Aichi</w:t>
      </w:r>
      <w:r>
        <w:rPr>
          <w:b/>
          <w:bCs/>
          <w:snapToGrid w:val="0"/>
          <w:kern w:val="22"/>
          <w:szCs w:val="22"/>
        </w:rPr>
        <w:t xml:space="preserve"> pour la diversité biologique </w:t>
      </w:r>
    </w:p>
    <w:p w14:paraId="2A7080AD" w14:textId="5844B6AA" w:rsidR="00D26752" w:rsidRPr="007F70F5" w:rsidRDefault="00763B2D">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763B2D">
        <w:rPr>
          <w:kern w:val="22"/>
          <w:szCs w:val="22"/>
        </w:rPr>
        <w:t xml:space="preserve">Dans sa décision 14/1, la Conférence des Parties a </w:t>
      </w:r>
      <w:r w:rsidR="00C41C13">
        <w:rPr>
          <w:kern w:val="22"/>
          <w:szCs w:val="22"/>
        </w:rPr>
        <w:t xml:space="preserve">félicité </w:t>
      </w:r>
      <w:r w:rsidRPr="00763B2D">
        <w:rPr>
          <w:kern w:val="22"/>
          <w:szCs w:val="22"/>
        </w:rPr>
        <w:t>l'analyse actualisée des progrès</w:t>
      </w:r>
      <w:r w:rsidR="00C41C13">
        <w:rPr>
          <w:rStyle w:val="FootnoteReference"/>
          <w:kern w:val="22"/>
          <w:szCs w:val="22"/>
        </w:rPr>
        <w:footnoteReference w:id="11"/>
      </w:r>
      <w:r w:rsidRPr="00763B2D">
        <w:rPr>
          <w:kern w:val="22"/>
          <w:szCs w:val="22"/>
        </w:rPr>
        <w:t xml:space="preserve"> accomplis dans la mise en œuvre de la Convention et du Plan stratégique </w:t>
      </w:r>
      <w:r w:rsidR="005171FF">
        <w:rPr>
          <w:kern w:val="22"/>
          <w:szCs w:val="22"/>
        </w:rPr>
        <w:t xml:space="preserve">2011-2020 </w:t>
      </w:r>
      <w:r w:rsidRPr="00763B2D">
        <w:rPr>
          <w:kern w:val="22"/>
          <w:szCs w:val="22"/>
        </w:rPr>
        <w:t xml:space="preserve">pour la </w:t>
      </w:r>
      <w:r w:rsidR="005171FF">
        <w:rPr>
          <w:kern w:val="22"/>
          <w:szCs w:val="22"/>
        </w:rPr>
        <w:t>diversité biologique</w:t>
      </w:r>
      <w:r w:rsidRPr="00763B2D">
        <w:rPr>
          <w:kern w:val="22"/>
          <w:szCs w:val="22"/>
        </w:rPr>
        <w:t xml:space="preserve"> et dans la réalisation des objectifs d'Aichi </w:t>
      </w:r>
      <w:r w:rsidR="004412A8">
        <w:rPr>
          <w:kern w:val="22"/>
          <w:szCs w:val="22"/>
        </w:rPr>
        <w:t>pour la biodiversité</w:t>
      </w:r>
      <w:r w:rsidRPr="00763B2D">
        <w:rPr>
          <w:kern w:val="22"/>
          <w:szCs w:val="22"/>
        </w:rPr>
        <w:t xml:space="preserve">. Plus précisément, en ce qui concerne l'objectif 18, la Conférence des Parties </w:t>
      </w:r>
      <w:r w:rsidR="005171FF">
        <w:rPr>
          <w:kern w:val="22"/>
          <w:szCs w:val="22"/>
        </w:rPr>
        <w:t>a prié</w:t>
      </w:r>
      <w:r w:rsidRPr="00763B2D">
        <w:rPr>
          <w:kern w:val="22"/>
          <w:szCs w:val="22"/>
        </w:rPr>
        <w:t xml:space="preserve"> instamment aux Parties, en fonction des circonstances nationales et selon qu'il convient, d'</w:t>
      </w:r>
      <w:r w:rsidR="005171FF" w:rsidRPr="00763B2D">
        <w:rPr>
          <w:kern w:val="22"/>
          <w:szCs w:val="22"/>
        </w:rPr>
        <w:t>accroitre</w:t>
      </w:r>
      <w:r w:rsidRPr="00763B2D">
        <w:rPr>
          <w:kern w:val="22"/>
          <w:szCs w:val="22"/>
        </w:rPr>
        <w:t xml:space="preserve"> leurs efforts en matière de protection et de respect des connaissances traditionnelles. Certains progrès ont été réalisés dans la mise en œuvre de l'article 8(j) de la Convention et dans la sensibilisation au rôle des connaissances traditionnelles, de l'utilisation</w:t>
      </w:r>
      <w:r w:rsidR="005171FF">
        <w:rPr>
          <w:kern w:val="22"/>
          <w:szCs w:val="22"/>
        </w:rPr>
        <w:t xml:space="preserve"> </w:t>
      </w:r>
      <w:r w:rsidRPr="00763B2D">
        <w:rPr>
          <w:kern w:val="22"/>
          <w:szCs w:val="22"/>
        </w:rPr>
        <w:t xml:space="preserve">coutumière </w:t>
      </w:r>
      <w:r w:rsidR="005171FF">
        <w:rPr>
          <w:kern w:val="22"/>
          <w:szCs w:val="22"/>
        </w:rPr>
        <w:t xml:space="preserve">durable </w:t>
      </w:r>
      <w:r w:rsidRPr="00763B2D">
        <w:rPr>
          <w:kern w:val="22"/>
          <w:szCs w:val="22"/>
        </w:rPr>
        <w:t>et des peuples autochtones et des communautés local</w:t>
      </w:r>
      <w:r w:rsidR="005171FF">
        <w:rPr>
          <w:kern w:val="22"/>
          <w:szCs w:val="22"/>
        </w:rPr>
        <w:t xml:space="preserve">es dans le contexte de l’objectif </w:t>
      </w:r>
      <w:r w:rsidRPr="00763B2D">
        <w:rPr>
          <w:kern w:val="22"/>
          <w:szCs w:val="22"/>
        </w:rPr>
        <w:t xml:space="preserve">18 </w:t>
      </w:r>
      <w:r w:rsidR="005171FF">
        <w:rPr>
          <w:kern w:val="22"/>
          <w:szCs w:val="22"/>
        </w:rPr>
        <w:t xml:space="preserve">d’Aichi pour la </w:t>
      </w:r>
      <w:r w:rsidR="004412A8">
        <w:rPr>
          <w:kern w:val="22"/>
          <w:szCs w:val="22"/>
        </w:rPr>
        <w:t>biodiversité</w:t>
      </w:r>
      <w:r w:rsidRPr="00763B2D">
        <w:rPr>
          <w:kern w:val="22"/>
          <w:szCs w:val="22"/>
        </w:rPr>
        <w:t xml:space="preserve"> au cours de l'exercice biennal actuel. </w:t>
      </w:r>
      <w:r w:rsidR="005171FF">
        <w:rPr>
          <w:kern w:val="22"/>
          <w:szCs w:val="22"/>
        </w:rPr>
        <w:t>Cependant</w:t>
      </w:r>
      <w:r w:rsidRPr="00763B2D">
        <w:rPr>
          <w:kern w:val="22"/>
          <w:szCs w:val="22"/>
        </w:rPr>
        <w:t xml:space="preserve">, la sensibilisation accrue ne s'est pas traduite en action et tous les aspects de l'objectif n'ont pas été atteints (une analyse détaillée des progrès accomplis </w:t>
      </w:r>
      <w:r w:rsidR="00AC5397">
        <w:rPr>
          <w:kern w:val="22"/>
          <w:szCs w:val="22"/>
        </w:rPr>
        <w:t>pour la réalisation de l’objectif</w:t>
      </w:r>
      <w:r w:rsidRPr="00763B2D">
        <w:rPr>
          <w:kern w:val="22"/>
          <w:szCs w:val="22"/>
        </w:rPr>
        <w:t xml:space="preserve"> 18 d'Aichi</w:t>
      </w:r>
      <w:r w:rsidR="00AC5397">
        <w:rPr>
          <w:kern w:val="22"/>
          <w:szCs w:val="22"/>
        </w:rPr>
        <w:t xml:space="preserve"> pour la </w:t>
      </w:r>
      <w:r w:rsidR="00CC58F0">
        <w:rPr>
          <w:kern w:val="22"/>
          <w:szCs w:val="22"/>
        </w:rPr>
        <w:t>biodiversité</w:t>
      </w:r>
      <w:r w:rsidRPr="00763B2D">
        <w:rPr>
          <w:kern w:val="22"/>
          <w:szCs w:val="22"/>
        </w:rPr>
        <w:t xml:space="preserve"> figure dans </w:t>
      </w:r>
      <w:r w:rsidRPr="00763B2D">
        <w:rPr>
          <w:kern w:val="22"/>
          <w:szCs w:val="22"/>
        </w:rPr>
        <w:lastRenderedPageBreak/>
        <w:t xml:space="preserve">le document CBD/SBI/3/2/Add.4 et dans la cinquième édition </w:t>
      </w:r>
      <w:r w:rsidR="00833C3A">
        <w:rPr>
          <w:kern w:val="22"/>
          <w:szCs w:val="22"/>
        </w:rPr>
        <w:t xml:space="preserve">des </w:t>
      </w:r>
      <w:r w:rsidR="00833C3A">
        <w:rPr>
          <w:i/>
          <w:kern w:val="22"/>
          <w:szCs w:val="22"/>
        </w:rPr>
        <w:t>Perspectives mondiales de la biodiversité</w:t>
      </w:r>
      <w:r w:rsidR="00AC5397">
        <w:rPr>
          <w:i/>
          <w:kern w:val="22"/>
          <w:szCs w:val="22"/>
        </w:rPr>
        <w:t>)</w:t>
      </w:r>
      <w:r w:rsidR="00833C3A">
        <w:rPr>
          <w:i/>
          <w:kern w:val="22"/>
          <w:szCs w:val="22"/>
        </w:rPr>
        <w:t>.</w:t>
      </w:r>
    </w:p>
    <w:p w14:paraId="7CB6D7EE" w14:textId="2EF35BB3" w:rsidR="00D971A7" w:rsidRPr="007F70F5" w:rsidRDefault="009C663B" w:rsidP="00456490">
      <w:pPr>
        <w:pStyle w:val="Para1"/>
        <w:suppressLineNumbers/>
        <w:tabs>
          <w:tab w:val="clear" w:pos="360"/>
        </w:tabs>
        <w:suppressAutoHyphens/>
        <w:rPr>
          <w:kern w:val="22"/>
          <w:szCs w:val="22"/>
        </w:rPr>
      </w:pPr>
      <w:r w:rsidRPr="009C663B">
        <w:rPr>
          <w:kern w:val="22"/>
          <w:szCs w:val="22"/>
        </w:rPr>
        <w:t>Par rapport aux cinquièmes rapports nationaux, les sixièmes rapports nationaux montrent une augmentation significative des informations sur la mise en œuvre de l'objectif 18 d'Aichi et la contribution des connaissances traditionnelles et des actions collectives des peuples autochtones et des communautés locales à la réalisation d'autres objectifs. Seuls 27 % des cinquièmes rapports nationaux mentionnent les peuples autochtones et les communautés locales, alors qu'environ 60 % des sixièm</w:t>
      </w:r>
      <w:r w:rsidR="009C1F63">
        <w:rPr>
          <w:kern w:val="22"/>
          <w:szCs w:val="22"/>
        </w:rPr>
        <w:t>es rapports nationaux l’ont fait</w:t>
      </w:r>
      <w:r w:rsidR="004F368E">
        <w:rPr>
          <w:rStyle w:val="FootnoteReference"/>
          <w:kern w:val="22"/>
          <w:szCs w:val="22"/>
        </w:rPr>
        <w:footnoteReference w:id="12"/>
      </w:r>
      <w:r w:rsidR="004F368E">
        <w:rPr>
          <w:kern w:val="22"/>
          <w:szCs w:val="22"/>
        </w:rPr>
        <w:t xml:space="preserve">. </w:t>
      </w:r>
      <w:r w:rsidRPr="009C663B">
        <w:rPr>
          <w:kern w:val="22"/>
          <w:szCs w:val="22"/>
        </w:rPr>
        <w:t xml:space="preserve">Cela représente une augmentation de plus de trois fois du nombre de rapports sur les actions collectives des peuples autochtones et des communautés locales, y compris les connaissances traditionnelles, l'utilisation </w:t>
      </w:r>
      <w:r w:rsidR="0061744B">
        <w:rPr>
          <w:kern w:val="22"/>
          <w:szCs w:val="22"/>
        </w:rPr>
        <w:t>coutumière durable</w:t>
      </w:r>
      <w:r w:rsidRPr="009C663B">
        <w:rPr>
          <w:kern w:val="22"/>
          <w:szCs w:val="22"/>
        </w:rPr>
        <w:t xml:space="preserve"> et l'agriculture traditionnelle, par le biais des rapports nationaux. Il est également largement prouvé que les programmes de renforcement des capacités </w:t>
      </w:r>
      <w:r w:rsidR="0061744B">
        <w:rPr>
          <w:kern w:val="22"/>
          <w:szCs w:val="22"/>
        </w:rPr>
        <w:t>en ce qui concerne</w:t>
      </w:r>
      <w:r w:rsidRPr="009C663B">
        <w:rPr>
          <w:kern w:val="22"/>
          <w:szCs w:val="22"/>
        </w:rPr>
        <w:t xml:space="preserve"> les connaissances t</w:t>
      </w:r>
      <w:r w:rsidR="0061744B">
        <w:rPr>
          <w:kern w:val="22"/>
          <w:szCs w:val="22"/>
        </w:rPr>
        <w:t>raditionnelles, réunissant les P</w:t>
      </w:r>
      <w:r w:rsidRPr="009C663B">
        <w:rPr>
          <w:kern w:val="22"/>
          <w:szCs w:val="22"/>
        </w:rPr>
        <w:t xml:space="preserve">arties avec les peuples autochtones et les communautés locales, ont contribué à sensibiliser à la contribution des peuples autochtones et des communautés locales et ont aidé à la mise en œuvre de </w:t>
      </w:r>
      <w:r w:rsidR="001F1793">
        <w:rPr>
          <w:kern w:val="22"/>
          <w:szCs w:val="22"/>
        </w:rPr>
        <w:t>l’objectif 18 d’</w:t>
      </w:r>
      <w:r w:rsidRPr="009C663B">
        <w:rPr>
          <w:kern w:val="22"/>
          <w:szCs w:val="22"/>
        </w:rPr>
        <w:t>Aichi aux niveaux national et local.</w:t>
      </w:r>
      <w:r w:rsidR="00B84CF6" w:rsidRPr="007F70F5">
        <w:rPr>
          <w:kern w:val="22"/>
          <w:szCs w:val="22"/>
        </w:rPr>
        <w:t xml:space="preserve"> </w:t>
      </w:r>
      <w:r w:rsidRPr="009C663B">
        <w:rPr>
          <w:kern w:val="22"/>
          <w:szCs w:val="22"/>
        </w:rPr>
        <w:t>Cependant, seules 16 Parties (10 %) mentionnent l'engagement des peuples autochtones et des communautés locale</w:t>
      </w:r>
      <w:r w:rsidR="0061744B">
        <w:rPr>
          <w:kern w:val="22"/>
          <w:szCs w:val="22"/>
        </w:rPr>
        <w:t>s dans les processus du SPANB. T</w:t>
      </w:r>
      <w:r w:rsidRPr="009C663B">
        <w:rPr>
          <w:kern w:val="22"/>
          <w:szCs w:val="22"/>
        </w:rPr>
        <w:t>rès peu de Parties ont abordé tous les éléments de l'objectif</w:t>
      </w:r>
      <w:r w:rsidR="0061744B">
        <w:rPr>
          <w:kern w:val="22"/>
          <w:szCs w:val="22"/>
        </w:rPr>
        <w:t xml:space="preserve"> d</w:t>
      </w:r>
      <w:r w:rsidR="004C26C3">
        <w:rPr>
          <w:kern w:val="22"/>
          <w:szCs w:val="22"/>
        </w:rPr>
        <w:t>ans leurs objectifs nationaux,</w:t>
      </w:r>
      <w:r w:rsidR="0061744B">
        <w:rPr>
          <w:kern w:val="22"/>
          <w:szCs w:val="22"/>
        </w:rPr>
        <w:t xml:space="preserve"> cela évoque </w:t>
      </w:r>
      <w:r w:rsidR="004C26C3">
        <w:rPr>
          <w:kern w:val="22"/>
          <w:szCs w:val="22"/>
        </w:rPr>
        <w:t xml:space="preserve">donc </w:t>
      </w:r>
      <w:r w:rsidR="0061744B">
        <w:rPr>
          <w:kern w:val="22"/>
          <w:szCs w:val="22"/>
        </w:rPr>
        <w:t>un défi supplémentaire pour l’évaluation de la mise en œuvre de l’objectif 18.</w:t>
      </w:r>
      <w:r w:rsidRPr="009C663B">
        <w:rPr>
          <w:kern w:val="22"/>
          <w:szCs w:val="22"/>
        </w:rPr>
        <w:t xml:space="preserve"> </w:t>
      </w:r>
      <w:r>
        <w:rPr>
          <w:kern w:val="22"/>
          <w:szCs w:val="22"/>
        </w:rPr>
        <w:t xml:space="preserve">Par ailleurs, les Parties n’ont pas adopté ou utilisé </w:t>
      </w:r>
      <w:r w:rsidRPr="009C663B">
        <w:rPr>
          <w:kern w:val="22"/>
          <w:szCs w:val="22"/>
        </w:rPr>
        <w:t xml:space="preserve">d'indicateurs nationaux correspondant aux quatre indicateurs relatifs aux connaissances traditionnelles mentionnés dans la décision </w:t>
      </w:r>
      <w:r w:rsidR="00F14E02" w:rsidRPr="007F70F5">
        <w:rPr>
          <w:kern w:val="22"/>
          <w:szCs w:val="22"/>
        </w:rPr>
        <w:t>XIII/28</w:t>
      </w:r>
      <w:r w:rsidR="008A1648" w:rsidRPr="007F70F5">
        <w:rPr>
          <w:kern w:val="22"/>
          <w:szCs w:val="22"/>
        </w:rPr>
        <w:t>,</w:t>
      </w:r>
      <w:r w:rsidR="00082B0B" w:rsidRPr="007F70F5">
        <w:rPr>
          <w:rStyle w:val="FootnoteReference"/>
          <w:kern w:val="22"/>
          <w:szCs w:val="22"/>
        </w:rPr>
        <w:footnoteReference w:id="13"/>
      </w:r>
      <w:r w:rsidR="00082B0B" w:rsidRPr="007F70F5">
        <w:rPr>
          <w:kern w:val="22"/>
          <w:szCs w:val="22"/>
        </w:rPr>
        <w:t xml:space="preserve"> </w:t>
      </w:r>
      <w:r>
        <w:rPr>
          <w:kern w:val="22"/>
          <w:szCs w:val="22"/>
        </w:rPr>
        <w:t xml:space="preserve">afin de mesurer les progrès accomplis. </w:t>
      </w:r>
    </w:p>
    <w:p w14:paraId="72699DF0" w14:textId="77777777" w:rsidR="009E4766" w:rsidRPr="007F70F5" w:rsidRDefault="009E4766"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7F70F5">
        <w:rPr>
          <w:caps w:val="0"/>
          <w:snapToGrid w:val="0"/>
          <w:kern w:val="22"/>
          <w:szCs w:val="22"/>
        </w:rPr>
        <w:t>CONCLUSION</w:t>
      </w:r>
    </w:p>
    <w:p w14:paraId="2105B0FE" w14:textId="4FCCD34F" w:rsidR="00ED1E5D" w:rsidRDefault="00ED1E5D" w:rsidP="00ED1E5D">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ED1E5D">
        <w:rPr>
          <w:rFonts w:eastAsia="Malgun Gothic"/>
          <w:kern w:val="22"/>
          <w:szCs w:val="22"/>
        </w:rPr>
        <w:t>L'examen des progrès réalisés dans le présent document et ses addenda constit</w:t>
      </w:r>
      <w:r w:rsidR="004C26C3">
        <w:rPr>
          <w:rFonts w:eastAsia="Malgun Gothic"/>
          <w:kern w:val="22"/>
          <w:szCs w:val="22"/>
        </w:rPr>
        <w:t>ue la dernière occasion pour l'O</w:t>
      </w:r>
      <w:r w:rsidRPr="00ED1E5D">
        <w:rPr>
          <w:rFonts w:eastAsia="Malgun Gothic"/>
          <w:kern w:val="22"/>
          <w:szCs w:val="22"/>
        </w:rPr>
        <w:t xml:space="preserve">rgane subsidiaire </w:t>
      </w:r>
      <w:r w:rsidR="004C26C3">
        <w:rPr>
          <w:rFonts w:eastAsia="Malgun Gothic"/>
          <w:kern w:val="22"/>
          <w:szCs w:val="22"/>
        </w:rPr>
        <w:t>chargé de l’application</w:t>
      </w:r>
      <w:r w:rsidRPr="00ED1E5D">
        <w:rPr>
          <w:rFonts w:eastAsia="Malgun Gothic"/>
          <w:kern w:val="22"/>
          <w:szCs w:val="22"/>
        </w:rPr>
        <w:t xml:space="preserve"> d'évaluer ces questions au cour</w:t>
      </w:r>
      <w:r w:rsidR="004C26C3">
        <w:rPr>
          <w:rFonts w:eastAsia="Malgun Gothic"/>
          <w:kern w:val="22"/>
          <w:szCs w:val="22"/>
        </w:rPr>
        <w:t>s de la période couverte par le P</w:t>
      </w:r>
      <w:r w:rsidRPr="00ED1E5D">
        <w:rPr>
          <w:rFonts w:eastAsia="Malgun Gothic"/>
          <w:kern w:val="22"/>
          <w:szCs w:val="22"/>
        </w:rPr>
        <w:t>lan stratégique 2011-2020</w:t>
      </w:r>
      <w:r w:rsidR="004C26C3">
        <w:rPr>
          <w:rFonts w:eastAsia="Malgun Gothic"/>
          <w:kern w:val="22"/>
          <w:szCs w:val="22"/>
        </w:rPr>
        <w:t xml:space="preserve"> pour la biodiversité</w:t>
      </w:r>
      <w:r w:rsidRPr="00ED1E5D">
        <w:rPr>
          <w:rFonts w:eastAsia="Malgun Gothic"/>
          <w:kern w:val="22"/>
          <w:szCs w:val="22"/>
        </w:rPr>
        <w:t xml:space="preserve">. Les formats, les informations </w:t>
      </w:r>
      <w:r w:rsidR="004C26C3">
        <w:rPr>
          <w:rFonts w:eastAsia="Malgun Gothic"/>
          <w:kern w:val="22"/>
          <w:szCs w:val="22"/>
        </w:rPr>
        <w:t>comprises</w:t>
      </w:r>
      <w:r w:rsidRPr="00ED1E5D">
        <w:rPr>
          <w:rFonts w:eastAsia="Malgun Gothic"/>
          <w:kern w:val="22"/>
          <w:szCs w:val="22"/>
        </w:rPr>
        <w:t xml:space="preserve"> et le calendrier de présentation des SPANB ont rendu </w:t>
      </w:r>
      <w:r w:rsidR="004C26C3">
        <w:rPr>
          <w:rFonts w:eastAsia="Malgun Gothic"/>
          <w:kern w:val="22"/>
          <w:szCs w:val="22"/>
        </w:rPr>
        <w:t>leur évaluation difficile. Suite à cela, les P</w:t>
      </w:r>
      <w:r w:rsidRPr="00ED1E5D">
        <w:rPr>
          <w:rFonts w:eastAsia="Malgun Gothic"/>
          <w:kern w:val="22"/>
          <w:szCs w:val="22"/>
        </w:rPr>
        <w:t>arties ont adopté des approches différentes en ce qui concerne l'établissement de leurs objectifs nationaux ainsi que la manière dont elles ont rendu compte de ces objectifs.</w:t>
      </w:r>
      <w:r w:rsidR="004B7230" w:rsidRPr="00ED1E5D">
        <w:rPr>
          <w:rFonts w:eastAsia="Malgun Gothic"/>
          <w:kern w:val="22"/>
          <w:szCs w:val="22"/>
        </w:rPr>
        <w:t xml:space="preserve"> </w:t>
      </w:r>
      <w:r w:rsidRPr="00ED1E5D">
        <w:rPr>
          <w:rFonts w:eastAsia="Malgun Gothic"/>
          <w:kern w:val="22"/>
          <w:szCs w:val="22"/>
        </w:rPr>
        <w:t xml:space="preserve">Ces différentes approches ont limité la capacité d'agréger et de comparer les informations reçues. </w:t>
      </w:r>
      <w:r w:rsidR="004C26C3">
        <w:rPr>
          <w:rFonts w:eastAsia="Malgun Gothic"/>
          <w:kern w:val="22"/>
          <w:szCs w:val="22"/>
        </w:rPr>
        <w:t>De plus</w:t>
      </w:r>
      <w:r w:rsidRPr="00ED1E5D">
        <w:rPr>
          <w:rFonts w:eastAsia="Malgun Gothic"/>
          <w:kern w:val="22"/>
          <w:szCs w:val="22"/>
        </w:rPr>
        <w:t>, les retards dans la soumission</w:t>
      </w:r>
      <w:r w:rsidR="004C26C3">
        <w:rPr>
          <w:rFonts w:eastAsia="Malgun Gothic"/>
          <w:kern w:val="22"/>
          <w:szCs w:val="22"/>
        </w:rPr>
        <w:t xml:space="preserve"> des rapports nationaux et des SPANB</w:t>
      </w:r>
      <w:r w:rsidRPr="00ED1E5D">
        <w:rPr>
          <w:rFonts w:eastAsia="Malgun Gothic"/>
          <w:kern w:val="22"/>
          <w:szCs w:val="22"/>
        </w:rPr>
        <w:t xml:space="preserve"> au Secrétariat ont réduit le temps disponible pour leur examen et leur prise en compte dans la</w:t>
      </w:r>
      <w:r w:rsidR="004C26C3">
        <w:rPr>
          <w:rFonts w:eastAsia="Malgun Gothic"/>
          <w:kern w:val="22"/>
          <w:szCs w:val="22"/>
        </w:rPr>
        <w:t xml:space="preserve"> documentation pertinente. Les P</w:t>
      </w:r>
      <w:r w:rsidRPr="00ED1E5D">
        <w:rPr>
          <w:rFonts w:eastAsia="Malgun Gothic"/>
          <w:kern w:val="22"/>
          <w:szCs w:val="22"/>
        </w:rPr>
        <w:t xml:space="preserve">arties souhaiteront peut-être examiner </w:t>
      </w:r>
      <w:r w:rsidR="004C26C3">
        <w:rPr>
          <w:rFonts w:eastAsia="Malgun Gothic"/>
          <w:kern w:val="22"/>
          <w:szCs w:val="22"/>
        </w:rPr>
        <w:t>davantage</w:t>
      </w:r>
      <w:r w:rsidRPr="00ED1E5D">
        <w:rPr>
          <w:rFonts w:eastAsia="Malgun Gothic"/>
          <w:kern w:val="22"/>
          <w:szCs w:val="22"/>
        </w:rPr>
        <w:t xml:space="preserve"> ces questions lors de leurs </w:t>
      </w:r>
      <w:r w:rsidR="004C26C3">
        <w:rPr>
          <w:rFonts w:eastAsia="Malgun Gothic"/>
          <w:kern w:val="22"/>
          <w:szCs w:val="22"/>
        </w:rPr>
        <w:t xml:space="preserve">débats </w:t>
      </w:r>
      <w:r w:rsidRPr="00ED1E5D">
        <w:rPr>
          <w:rFonts w:eastAsia="Malgun Gothic"/>
          <w:kern w:val="22"/>
          <w:szCs w:val="22"/>
        </w:rPr>
        <w:t xml:space="preserve">au titre du point 9 de l'ordre du jour </w:t>
      </w:r>
      <w:r w:rsidR="004C26C3">
        <w:rPr>
          <w:rFonts w:eastAsia="Malgun Gothic"/>
          <w:kern w:val="22"/>
          <w:szCs w:val="22"/>
        </w:rPr>
        <w:t>(mécanismes de suivi</w:t>
      </w:r>
      <w:r w:rsidRPr="00ED1E5D">
        <w:rPr>
          <w:rFonts w:eastAsia="Malgun Gothic"/>
          <w:kern w:val="22"/>
          <w:szCs w:val="22"/>
        </w:rPr>
        <w:t>, d'évaluation et d'examen de la mise en œuvre).</w:t>
      </w:r>
    </w:p>
    <w:p w14:paraId="4DED48F6" w14:textId="10DE1143" w:rsidR="00ED1E5D" w:rsidRDefault="00ED1E5D" w:rsidP="00ED1E5D">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ED1E5D">
        <w:rPr>
          <w:rFonts w:eastAsia="Malgun Gothic"/>
          <w:kern w:val="22"/>
          <w:szCs w:val="22"/>
        </w:rPr>
        <w:t>Les SPANB et les rapports nationaux, deux sources d'information complémentaire, indiquent que des efforts ont été faits pour</w:t>
      </w:r>
      <w:r w:rsidR="00416ED3">
        <w:rPr>
          <w:rFonts w:eastAsia="Malgun Gothic"/>
          <w:kern w:val="22"/>
          <w:szCs w:val="22"/>
        </w:rPr>
        <w:t xml:space="preserve"> rendre </w:t>
      </w:r>
      <w:r w:rsidRPr="00ED1E5D">
        <w:rPr>
          <w:rFonts w:eastAsia="Malgun Gothic"/>
          <w:kern w:val="22"/>
          <w:szCs w:val="22"/>
        </w:rPr>
        <w:t xml:space="preserve">les objectifs </w:t>
      </w:r>
      <w:r w:rsidR="00416ED3">
        <w:rPr>
          <w:rFonts w:eastAsia="Malgun Gothic"/>
          <w:kern w:val="22"/>
          <w:szCs w:val="22"/>
        </w:rPr>
        <w:t xml:space="preserve">d’Aichi pour la </w:t>
      </w:r>
      <w:r w:rsidR="001A361E">
        <w:rPr>
          <w:rFonts w:eastAsia="Malgun Gothic"/>
          <w:kern w:val="22"/>
          <w:szCs w:val="22"/>
        </w:rPr>
        <w:t>biodiversité</w:t>
      </w:r>
      <w:r w:rsidRPr="00ED1E5D">
        <w:rPr>
          <w:rFonts w:eastAsia="Malgun Gothic"/>
          <w:kern w:val="22"/>
          <w:szCs w:val="22"/>
        </w:rPr>
        <w:t xml:space="preserve"> en engagements nationaux, et que des mesures nationales ont été prises pour atteindre </w:t>
      </w:r>
      <w:r w:rsidR="001A361E">
        <w:rPr>
          <w:rFonts w:eastAsia="Malgun Gothic"/>
          <w:kern w:val="22"/>
          <w:szCs w:val="22"/>
        </w:rPr>
        <w:t>ces objectifs</w:t>
      </w:r>
      <w:r w:rsidRPr="00ED1E5D">
        <w:rPr>
          <w:rFonts w:eastAsia="Malgun Gothic"/>
          <w:kern w:val="22"/>
          <w:szCs w:val="22"/>
        </w:rPr>
        <w:t>. Toutefois, l'évaluation de ces derniers indique que, dans l'ensemble, il existe des écarts par rapport au niveau d'ambition des objectifs nationaux fixés pour atteindre les objectifs d</w:t>
      </w:r>
      <w:r w:rsidR="00416ED3">
        <w:rPr>
          <w:rFonts w:eastAsia="Malgun Gothic"/>
          <w:kern w:val="22"/>
          <w:szCs w:val="22"/>
        </w:rPr>
        <w:t xml:space="preserve">’Aichi pour </w:t>
      </w:r>
      <w:r w:rsidR="003806A7">
        <w:rPr>
          <w:rFonts w:eastAsia="Malgun Gothic"/>
          <w:kern w:val="22"/>
          <w:szCs w:val="22"/>
        </w:rPr>
        <w:t>la biodiversité</w:t>
      </w:r>
      <w:r w:rsidR="00341CFC">
        <w:rPr>
          <w:rFonts w:eastAsia="Malgun Gothic"/>
          <w:kern w:val="22"/>
          <w:szCs w:val="22"/>
        </w:rPr>
        <w:t xml:space="preserve"> et </w:t>
      </w:r>
      <w:r w:rsidRPr="00ED1E5D">
        <w:rPr>
          <w:rFonts w:eastAsia="Malgun Gothic"/>
          <w:kern w:val="22"/>
          <w:szCs w:val="22"/>
        </w:rPr>
        <w:t xml:space="preserve">par rapport aux efforts déployés pour les atteindre. Cette évaluation est cohérente avec les évaluations précédentes, notamment les quatrième et cinquième éditions des </w:t>
      </w:r>
      <w:r w:rsidRPr="00ED1E5D">
        <w:rPr>
          <w:rFonts w:eastAsia="Malgun Gothic"/>
          <w:i/>
          <w:kern w:val="22"/>
          <w:szCs w:val="22"/>
        </w:rPr>
        <w:t>Perspectives mondiales de la biodiversité</w:t>
      </w:r>
      <w:r w:rsidRPr="00ED1E5D">
        <w:rPr>
          <w:rFonts w:eastAsia="Malgun Gothic"/>
          <w:kern w:val="22"/>
          <w:szCs w:val="22"/>
        </w:rPr>
        <w:t xml:space="preserve"> et l</w:t>
      </w:r>
      <w:r w:rsidRPr="00ED1E5D">
        <w:rPr>
          <w:rFonts w:eastAsia="Malgun Gothic"/>
          <w:i/>
          <w:kern w:val="22"/>
          <w:szCs w:val="22"/>
        </w:rPr>
        <w:t xml:space="preserve">'Évaluation mondiale de la biodiversité et des services écosystémiques </w:t>
      </w:r>
      <w:r w:rsidRPr="00ED1E5D">
        <w:rPr>
          <w:rFonts w:eastAsia="Malgun Gothic"/>
          <w:kern w:val="22"/>
          <w:szCs w:val="22"/>
        </w:rPr>
        <w:t>de l'IPBES, ainsi qu'avec les examens p</w:t>
      </w:r>
      <w:r w:rsidR="00341CFC">
        <w:rPr>
          <w:rFonts w:eastAsia="Malgun Gothic"/>
          <w:kern w:val="22"/>
          <w:szCs w:val="22"/>
        </w:rPr>
        <w:t>récédents de la Conférence des P</w:t>
      </w:r>
      <w:r w:rsidRPr="00ED1E5D">
        <w:rPr>
          <w:rFonts w:eastAsia="Malgun Gothic"/>
          <w:kern w:val="22"/>
          <w:szCs w:val="22"/>
        </w:rPr>
        <w:t>arties, qui ont conclu que, si des progrès sont réalisés en vue d'atteindre tous les objectifs, ils ne seront pas suffisants pour atteindre les objectifs d'Aichi d'ici 2020.</w:t>
      </w:r>
    </w:p>
    <w:p w14:paraId="0D3F026D" w14:textId="41211983" w:rsidR="00DE6915" w:rsidRPr="007F70F5" w:rsidRDefault="00ED1E5D">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ED1E5D">
        <w:rPr>
          <w:rFonts w:eastAsia="Malgun Gothic"/>
          <w:kern w:val="22"/>
          <w:szCs w:val="22"/>
        </w:rPr>
        <w:lastRenderedPageBreak/>
        <w:t xml:space="preserve">L'évaluation des sixièmes rapports nationaux suggère que l'accent </w:t>
      </w:r>
      <w:r w:rsidR="005D66EE">
        <w:rPr>
          <w:rFonts w:eastAsia="Malgun Gothic"/>
          <w:kern w:val="22"/>
          <w:szCs w:val="22"/>
        </w:rPr>
        <w:t>a été davantage</w:t>
      </w:r>
      <w:r w:rsidRPr="00ED1E5D">
        <w:rPr>
          <w:rFonts w:eastAsia="Malgun Gothic"/>
          <w:kern w:val="22"/>
          <w:szCs w:val="22"/>
        </w:rPr>
        <w:t xml:space="preserve"> mis sur les questions de genre et de femmes dans la mise en œuvre de la Convention par rapport aux cinquièm</w:t>
      </w:r>
      <w:r w:rsidR="005D66EE">
        <w:rPr>
          <w:rFonts w:eastAsia="Malgun Gothic"/>
          <w:kern w:val="22"/>
          <w:szCs w:val="22"/>
        </w:rPr>
        <w:t>es rapports nationaux. Cependant</w:t>
      </w:r>
      <w:r w:rsidRPr="00ED1E5D">
        <w:rPr>
          <w:rFonts w:eastAsia="Malgun Gothic"/>
          <w:kern w:val="22"/>
          <w:szCs w:val="22"/>
        </w:rPr>
        <w:t>, l'évaluation indique également que des difficultés persistantes subsistent pour traiter efficacement les questions de genre. Il s'agit notamment du manq</w:t>
      </w:r>
      <w:r w:rsidR="005D66EE">
        <w:rPr>
          <w:rFonts w:eastAsia="Malgun Gothic"/>
          <w:kern w:val="22"/>
          <w:szCs w:val="22"/>
        </w:rPr>
        <w:t>ue de données ventilées par genre</w:t>
      </w:r>
      <w:r w:rsidRPr="00ED1E5D">
        <w:rPr>
          <w:rFonts w:eastAsia="Malgun Gothic"/>
          <w:kern w:val="22"/>
          <w:szCs w:val="22"/>
        </w:rPr>
        <w:t xml:space="preserve">, de la disponibilité limitée des financements et de l'insuffisance des capacités à aborder, suivre et rendre compte des mesures sexospécifiques visant à mettre un terme à la perte de biodiversité. </w:t>
      </w:r>
      <w:r>
        <w:rPr>
          <w:rFonts w:eastAsia="Malgun Gothic"/>
          <w:kern w:val="22"/>
          <w:szCs w:val="22"/>
        </w:rPr>
        <w:t xml:space="preserve"> </w:t>
      </w:r>
      <w:r w:rsidR="005D66EE">
        <w:rPr>
          <w:rFonts w:eastAsia="Malgun Gothic"/>
          <w:kern w:val="22"/>
          <w:szCs w:val="22"/>
        </w:rPr>
        <w:t>L'examen du P</w:t>
      </w:r>
      <w:r w:rsidRPr="00ED1E5D">
        <w:rPr>
          <w:rFonts w:eastAsia="Malgun Gothic"/>
          <w:kern w:val="22"/>
          <w:szCs w:val="22"/>
        </w:rPr>
        <w:t>lan d'acti</w:t>
      </w:r>
      <w:r w:rsidR="005D66EE">
        <w:rPr>
          <w:rFonts w:eastAsia="Malgun Gothic"/>
          <w:kern w:val="22"/>
          <w:szCs w:val="22"/>
        </w:rPr>
        <w:t xml:space="preserve">on 2015-2020 pour l'égalité entre les </w:t>
      </w:r>
      <w:r w:rsidRPr="00ED1E5D">
        <w:rPr>
          <w:rFonts w:eastAsia="Malgun Gothic"/>
          <w:kern w:val="22"/>
          <w:szCs w:val="22"/>
        </w:rPr>
        <w:t>sexes indique que, pour un futur plan d'action mondial, une attention particulière pourrait être nécessaire pour le traduire en actions au niveau national. De même, il pourrait être nécessaire de redoubler d'efforts pour renforcer le développement des capacités, l'établissement de rapports et la coordinati</w:t>
      </w:r>
      <w:r w:rsidR="00C87AA5">
        <w:rPr>
          <w:rFonts w:eastAsia="Malgun Gothic"/>
          <w:kern w:val="22"/>
          <w:szCs w:val="22"/>
        </w:rPr>
        <w:t>on avec les P</w:t>
      </w:r>
      <w:r w:rsidRPr="00ED1E5D">
        <w:rPr>
          <w:rFonts w:eastAsia="Malgun Gothic"/>
          <w:kern w:val="22"/>
          <w:szCs w:val="22"/>
        </w:rPr>
        <w:t>arties et les partenaires afin d'</w:t>
      </w:r>
      <w:r w:rsidR="00BB7309" w:rsidRPr="00ED1E5D">
        <w:rPr>
          <w:rFonts w:eastAsia="Malgun Gothic"/>
          <w:kern w:val="22"/>
          <w:szCs w:val="22"/>
        </w:rPr>
        <w:t>accroitre</w:t>
      </w:r>
      <w:r w:rsidRPr="00ED1E5D">
        <w:rPr>
          <w:rFonts w:eastAsia="Malgun Gothic"/>
          <w:kern w:val="22"/>
          <w:szCs w:val="22"/>
        </w:rPr>
        <w:t xml:space="preserve"> la mise en œuvre et l'impact des activités dans une optique d'égalit</w:t>
      </w:r>
      <w:r w:rsidR="003C7093">
        <w:rPr>
          <w:rFonts w:eastAsia="Malgun Gothic"/>
          <w:kern w:val="22"/>
          <w:szCs w:val="22"/>
        </w:rPr>
        <w:t>é entre les sexes. L'examen du P</w:t>
      </w:r>
      <w:r w:rsidRPr="00ED1E5D">
        <w:rPr>
          <w:rFonts w:eastAsia="Malgun Gothic"/>
          <w:kern w:val="22"/>
          <w:szCs w:val="22"/>
        </w:rPr>
        <w:t xml:space="preserve">lan d'action en faveur de l'égalité des sexes suggère également que, pour le cadre mondial de la biodiversité </w:t>
      </w:r>
      <w:r w:rsidR="00CB3020">
        <w:rPr>
          <w:rFonts w:eastAsia="Malgun Gothic"/>
          <w:kern w:val="22"/>
          <w:szCs w:val="22"/>
        </w:rPr>
        <w:t>pour l’après-2020, l'égalité entre les</w:t>
      </w:r>
      <w:r w:rsidRPr="00ED1E5D">
        <w:rPr>
          <w:rFonts w:eastAsia="Malgun Gothic"/>
          <w:kern w:val="22"/>
          <w:szCs w:val="22"/>
        </w:rPr>
        <w:t xml:space="preserve"> sexes devrait être intégrée dans l'ensemble du cadre, de la même manièr</w:t>
      </w:r>
      <w:r w:rsidR="001D3EB2">
        <w:rPr>
          <w:rFonts w:eastAsia="Malgun Gothic"/>
          <w:kern w:val="22"/>
          <w:szCs w:val="22"/>
        </w:rPr>
        <w:t>e qu'elle est traitée dans les O</w:t>
      </w:r>
      <w:r w:rsidRPr="00ED1E5D">
        <w:rPr>
          <w:rFonts w:eastAsia="Malgun Gothic"/>
          <w:kern w:val="22"/>
          <w:szCs w:val="22"/>
        </w:rPr>
        <w:t>bjectifs d</w:t>
      </w:r>
      <w:r w:rsidR="002F6A99">
        <w:rPr>
          <w:rFonts w:eastAsia="Malgun Gothic"/>
          <w:kern w:val="22"/>
          <w:szCs w:val="22"/>
        </w:rPr>
        <w:t>e développement d</w:t>
      </w:r>
      <w:r w:rsidRPr="00ED1E5D">
        <w:rPr>
          <w:rFonts w:eastAsia="Malgun Gothic"/>
          <w:kern w:val="22"/>
          <w:szCs w:val="22"/>
        </w:rPr>
        <w:t>urable.</w:t>
      </w:r>
      <w:r>
        <w:rPr>
          <w:kern w:val="22"/>
          <w:szCs w:val="22"/>
        </w:rPr>
        <w:t xml:space="preserve"> </w:t>
      </w:r>
    </w:p>
    <w:p w14:paraId="16DF346C" w14:textId="6575B484" w:rsidR="00FF48C8" w:rsidRDefault="00FF48C8">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FF48C8">
        <w:rPr>
          <w:rFonts w:eastAsia="Malgun Gothic"/>
          <w:kern w:val="22"/>
          <w:szCs w:val="22"/>
        </w:rPr>
        <w:t>Des progrès ont été acc</w:t>
      </w:r>
      <w:r w:rsidR="00A338B9">
        <w:rPr>
          <w:rFonts w:eastAsia="Malgun Gothic"/>
          <w:kern w:val="22"/>
          <w:szCs w:val="22"/>
        </w:rPr>
        <w:t xml:space="preserve">omplis dans la réalisation de l’objectif 18 </w:t>
      </w:r>
      <w:r w:rsidRPr="00FF48C8">
        <w:rPr>
          <w:rFonts w:eastAsia="Malgun Gothic"/>
          <w:kern w:val="22"/>
          <w:szCs w:val="22"/>
        </w:rPr>
        <w:t xml:space="preserve">d'Aichi </w:t>
      </w:r>
      <w:r w:rsidR="00FD63C4">
        <w:rPr>
          <w:rFonts w:eastAsia="Malgun Gothic"/>
          <w:kern w:val="22"/>
          <w:szCs w:val="22"/>
        </w:rPr>
        <w:t>pour la biodiversité. Il existe également</w:t>
      </w:r>
      <w:r w:rsidRPr="00FF48C8">
        <w:rPr>
          <w:rFonts w:eastAsia="Malgun Gothic"/>
          <w:kern w:val="22"/>
          <w:szCs w:val="22"/>
        </w:rPr>
        <w:t xml:space="preserve"> une meilleure prise en compte des questions liées aux </w:t>
      </w:r>
      <w:r w:rsidR="00A338B9">
        <w:rPr>
          <w:rFonts w:eastAsia="Malgun Gothic"/>
          <w:kern w:val="22"/>
          <w:szCs w:val="22"/>
        </w:rPr>
        <w:t>peuples</w:t>
      </w:r>
      <w:r w:rsidRPr="00FF48C8">
        <w:rPr>
          <w:rFonts w:eastAsia="Malgun Gothic"/>
          <w:kern w:val="22"/>
          <w:szCs w:val="22"/>
        </w:rPr>
        <w:t xml:space="preserve"> autochtones et aux communautés local</w:t>
      </w:r>
      <w:r w:rsidR="00A338B9">
        <w:rPr>
          <w:rFonts w:eastAsia="Malgun Gothic"/>
          <w:kern w:val="22"/>
          <w:szCs w:val="22"/>
        </w:rPr>
        <w:t>es dans la mise en œuvre de la C</w:t>
      </w:r>
      <w:r w:rsidRPr="00FF48C8">
        <w:rPr>
          <w:rFonts w:eastAsia="Malgun Gothic"/>
          <w:kern w:val="22"/>
          <w:szCs w:val="22"/>
        </w:rPr>
        <w:t>onvention. Toutefois, des efforts supplém</w:t>
      </w:r>
      <w:r w:rsidR="00D42EFB">
        <w:rPr>
          <w:rFonts w:eastAsia="Malgun Gothic"/>
          <w:kern w:val="22"/>
          <w:szCs w:val="22"/>
        </w:rPr>
        <w:t xml:space="preserve">entaires sont nécessaires. Les peuples </w:t>
      </w:r>
      <w:r w:rsidRPr="00FF48C8">
        <w:rPr>
          <w:rFonts w:eastAsia="Malgun Gothic"/>
          <w:kern w:val="22"/>
          <w:szCs w:val="22"/>
        </w:rPr>
        <w:t>autochtones et les communautés locales, ainsi que leurs connaissances et actions collectives</w:t>
      </w:r>
      <w:r w:rsidR="00D42EFB">
        <w:rPr>
          <w:rFonts w:eastAsia="Malgun Gothic"/>
          <w:kern w:val="22"/>
          <w:szCs w:val="22"/>
        </w:rPr>
        <w:t xml:space="preserve"> en faveur des objectifs de la C</w:t>
      </w:r>
      <w:r w:rsidRPr="00FF48C8">
        <w:rPr>
          <w:rFonts w:eastAsia="Malgun Gothic"/>
          <w:kern w:val="22"/>
          <w:szCs w:val="22"/>
        </w:rPr>
        <w:t xml:space="preserve">onvention, restent une ressource importante mais largement </w:t>
      </w:r>
      <w:r w:rsidR="00D42EFB">
        <w:rPr>
          <w:rFonts w:eastAsia="Malgun Gothic"/>
          <w:kern w:val="22"/>
          <w:szCs w:val="22"/>
        </w:rPr>
        <w:t>inexploitée pour de nombreuses P</w:t>
      </w:r>
      <w:r w:rsidRPr="00FF48C8">
        <w:rPr>
          <w:rFonts w:eastAsia="Malgun Gothic"/>
          <w:kern w:val="22"/>
          <w:szCs w:val="22"/>
        </w:rPr>
        <w:t xml:space="preserve">arties. L'élaboration et la mise en œuvre du cadre </w:t>
      </w:r>
      <w:r w:rsidR="008C5A4A">
        <w:rPr>
          <w:rFonts w:eastAsia="Malgun Gothic"/>
          <w:kern w:val="22"/>
          <w:szCs w:val="22"/>
        </w:rPr>
        <w:t xml:space="preserve">mondial de la biodiversité pour l’après-2020 </w:t>
      </w:r>
      <w:r w:rsidRPr="00FF48C8">
        <w:rPr>
          <w:rFonts w:eastAsia="Malgun Gothic"/>
          <w:kern w:val="22"/>
          <w:szCs w:val="22"/>
        </w:rPr>
        <w:t xml:space="preserve">offre une occasion de réaliser pleinement le potentiel des </w:t>
      </w:r>
      <w:r w:rsidR="008C5A4A">
        <w:rPr>
          <w:rFonts w:eastAsia="Malgun Gothic"/>
          <w:kern w:val="22"/>
          <w:szCs w:val="22"/>
        </w:rPr>
        <w:t xml:space="preserve">peuples </w:t>
      </w:r>
      <w:r w:rsidRPr="00FF48C8">
        <w:rPr>
          <w:rFonts w:eastAsia="Malgun Gothic"/>
          <w:kern w:val="22"/>
          <w:szCs w:val="22"/>
        </w:rPr>
        <w:t>autochtones et des communautés locales en tant que partenair</w:t>
      </w:r>
      <w:r w:rsidR="008C5A4A">
        <w:rPr>
          <w:rFonts w:eastAsia="Malgun Gothic"/>
          <w:kern w:val="22"/>
          <w:szCs w:val="22"/>
        </w:rPr>
        <w:t>es dans la mise en œuvre de la C</w:t>
      </w:r>
      <w:r w:rsidRPr="00FF48C8">
        <w:rPr>
          <w:rFonts w:eastAsia="Malgun Gothic"/>
          <w:kern w:val="22"/>
          <w:szCs w:val="22"/>
        </w:rPr>
        <w:t>onvention.</w:t>
      </w:r>
    </w:p>
    <w:p w14:paraId="5D1C1FE4" w14:textId="3FD50F95" w:rsidR="00442AA5" w:rsidRPr="00D63C1E" w:rsidRDefault="004E28D5" w:rsidP="00D63C1E">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Lors de la période de mise en œuvre du Plan stratégique 2011-2020 pour la diversité biologique, un certain nombre d’enseignement</w:t>
      </w:r>
      <w:r w:rsidR="00FA600D">
        <w:rPr>
          <w:rFonts w:eastAsia="Malgun Gothic"/>
          <w:kern w:val="22"/>
          <w:szCs w:val="22"/>
        </w:rPr>
        <w:t>s</w:t>
      </w:r>
      <w:r>
        <w:rPr>
          <w:rFonts w:eastAsia="Malgun Gothic"/>
          <w:kern w:val="22"/>
          <w:szCs w:val="22"/>
        </w:rPr>
        <w:t xml:space="preserve"> ont été tirés en ce qui concerne les SPANB, les rapports nationaux, le renforcement des capacités, la mobilisation des ressources, l’examen de la mise en œuvre et la mise en œuvre de la Convention en général. Ces leçons devraient être prise en compte dans l’élaboration du cadre mondial de la biodiversité pour l’après-2020</w:t>
      </w:r>
      <w:r w:rsidR="00D63C1E">
        <w:rPr>
          <w:rFonts w:eastAsia="Malgun Gothic"/>
          <w:kern w:val="22"/>
          <w:szCs w:val="22"/>
        </w:rPr>
        <w:t xml:space="preserve"> et des processus et mécanismes qui y sont associés. Les Parties, s</w:t>
      </w:r>
      <w:r w:rsidR="002E252C">
        <w:rPr>
          <w:rFonts w:eastAsia="Malgun Gothic"/>
          <w:kern w:val="22"/>
          <w:szCs w:val="22"/>
        </w:rPr>
        <w:t>i elles le souhaitent, peuvent</w:t>
      </w:r>
      <w:r w:rsidR="00D63C1E">
        <w:rPr>
          <w:rFonts w:eastAsia="Malgun Gothic"/>
          <w:kern w:val="22"/>
          <w:szCs w:val="22"/>
        </w:rPr>
        <w:t xml:space="preserve"> remédier à ces enseignements lors de l’examen du point 9 de l’ordre du jour. Ces derniers comprennent</w:t>
      </w:r>
      <w:r w:rsidR="003F6683" w:rsidRPr="00D63C1E">
        <w:rPr>
          <w:rFonts w:eastAsia="Malgun Gothic"/>
          <w:kern w:val="22"/>
          <w:szCs w:val="22"/>
        </w:rPr>
        <w:t>:</w:t>
      </w:r>
      <w:r w:rsidR="00442AA5" w:rsidRPr="007F70F5">
        <w:rPr>
          <w:rStyle w:val="FootnoteReference"/>
          <w:rFonts w:eastAsia="Malgun Gothic"/>
          <w:kern w:val="22"/>
          <w:szCs w:val="22"/>
        </w:rPr>
        <w:footnoteReference w:id="14"/>
      </w:r>
    </w:p>
    <w:p w14:paraId="1B005F59" w14:textId="5698D76A" w:rsidR="00442AA5" w:rsidRPr="007F70F5" w:rsidRDefault="009576C1"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 xml:space="preserve">Le besoin </w:t>
      </w:r>
      <w:r w:rsidR="00222E64">
        <w:rPr>
          <w:kern w:val="22"/>
          <w:szCs w:val="22"/>
        </w:rPr>
        <w:t xml:space="preserve">de maintenir l’attention et les actions axées sur la mise en œuvre; </w:t>
      </w:r>
    </w:p>
    <w:p w14:paraId="785693EC" w14:textId="573477BB" w:rsidR="00442AA5" w:rsidRPr="007F70F5" w:rsidRDefault="00222E64"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Le besoin de renforcer les SPANB, les processus de planifications associés, notamment en les transformant en instruments politiques pangouvernementaux;</w:t>
      </w:r>
    </w:p>
    <w:p w14:paraId="2C75C696" w14:textId="6E89F0CB" w:rsidR="00442AA5" w:rsidRPr="007F70F5" w:rsidRDefault="00222E64"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Le besoin d’assurer les objectifs, les engagements et les ambitions fixés par les Parties au niveau national</w:t>
      </w:r>
      <w:r w:rsidR="00404290">
        <w:rPr>
          <w:kern w:val="22"/>
          <w:szCs w:val="22"/>
        </w:rPr>
        <w:t xml:space="preserve">, afin que ces derniers correspondent aux cadres mondiaux; </w:t>
      </w:r>
    </w:p>
    <w:p w14:paraId="3D503A17" w14:textId="22097FFC" w:rsidR="00442AA5" w:rsidRPr="007F70F5" w:rsidRDefault="00404290"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 xml:space="preserve">Le besoin de réduire les délais de planification et de tenir compte des retards dans la mise en œuvre afin de ne pas retarder la mise en œuvre; </w:t>
      </w:r>
    </w:p>
    <w:p w14:paraId="49D156C7" w14:textId="110A248F" w:rsidR="00442AA5" w:rsidRPr="007F70F5" w:rsidRDefault="00404290"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 xml:space="preserve">Le besoin de procéder à des examens de mise en œuvre efficaces, complets et faciles à établir; </w:t>
      </w:r>
    </w:p>
    <w:p w14:paraId="7EFAE2A3" w14:textId="37F525BE" w:rsidR="00442AA5" w:rsidRPr="007F70F5" w:rsidRDefault="00404290"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 xml:space="preserve">Le besoin d’un appui soutenu et ciblé aux Parties et d’un effort plus concerté pour faciliter la mise en œuvre par des réseaux de soutien aux niveaux régional et sous régional; </w:t>
      </w:r>
    </w:p>
    <w:p w14:paraId="79D578F4" w14:textId="08ACE468" w:rsidR="00442AA5" w:rsidRPr="007F70F5" w:rsidRDefault="007B2DF9"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Utiliser davantage les documents d’orientation et les ressources disponibles et les adapter aux circonstances nationales spécifiques;</w:t>
      </w:r>
    </w:p>
    <w:p w14:paraId="33146437" w14:textId="165AB898" w:rsidR="00BE6DA4" w:rsidRPr="00BE6DA4" w:rsidRDefault="00BE6DA4"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lastRenderedPageBreak/>
        <w:t>Le besoin de redoubler d’efforts pour aborder les facteurs directs et indirects de la perte de la biodiversité de manière plus intégrée et plus globale, notamment en mettant en œuvre un ensemble de mesures composé de cadres juridiques ou politiques, d’incitations socioéconomiques, d’un engagement du pub</w:t>
      </w:r>
      <w:r w:rsidR="00D26047">
        <w:rPr>
          <w:kern w:val="22"/>
          <w:szCs w:val="22"/>
        </w:rPr>
        <w:t>lic et des parties prenantes, d’un suivi et d’un</w:t>
      </w:r>
      <w:r>
        <w:rPr>
          <w:kern w:val="22"/>
          <w:szCs w:val="22"/>
        </w:rPr>
        <w:t xml:space="preserve"> contrôle, et en évitant de traiter les questions connexes indépendamment les uns des autres; </w:t>
      </w:r>
    </w:p>
    <w:p w14:paraId="45E2946F" w14:textId="4C26DC1C" w:rsidR="00442AA5" w:rsidRPr="007F70F5" w:rsidRDefault="00BE6DA4"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Le besoin d’élargir le soutien politique et général à la mise en œuvre afin de garantir que tous les niveaux de gouvernement et toutes les parties prenantes de la s</w:t>
      </w:r>
      <w:r w:rsidR="00431B03">
        <w:rPr>
          <w:kern w:val="22"/>
          <w:szCs w:val="22"/>
        </w:rPr>
        <w:t xml:space="preserve">ociété soient conscients des multiples valeurs de la </w:t>
      </w:r>
      <w:r w:rsidR="00E17798">
        <w:rPr>
          <w:kern w:val="22"/>
          <w:szCs w:val="22"/>
        </w:rPr>
        <w:t>biodiversité</w:t>
      </w:r>
      <w:r w:rsidR="00431B03">
        <w:rPr>
          <w:kern w:val="22"/>
          <w:szCs w:val="22"/>
        </w:rPr>
        <w:t xml:space="preserve"> et des services écosystémiques connexes; </w:t>
      </w:r>
    </w:p>
    <w:p w14:paraId="0A12E223" w14:textId="09F2E9E0" w:rsidR="00DB73A6" w:rsidRPr="007F70F5" w:rsidRDefault="00E17798"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rFonts w:eastAsia="Malgun Gothic"/>
          <w:kern w:val="22"/>
          <w:szCs w:val="22"/>
        </w:rPr>
        <w:t>Le besoin de partenariats à tous les niveaux pour susciter des actions à grande échelle afin d’obtenir l’adhésion nécessaire pour assurer l’intégration de la biodiversité dans tous les secteu</w:t>
      </w:r>
      <w:r w:rsidR="00CF1CDD">
        <w:rPr>
          <w:rFonts w:eastAsia="Malgun Gothic"/>
          <w:kern w:val="22"/>
          <w:szCs w:val="22"/>
        </w:rPr>
        <w:t>r</w:t>
      </w:r>
      <w:r>
        <w:rPr>
          <w:rFonts w:eastAsia="Malgun Gothic"/>
          <w:kern w:val="22"/>
          <w:szCs w:val="22"/>
        </w:rPr>
        <w:t xml:space="preserve">s du gouvernement, de la société et de l’économie et pour permettre des synergies dans la mise en œuvre nationale des divers accords multilatéraux sur l’environnement; </w:t>
      </w:r>
    </w:p>
    <w:p w14:paraId="1D7D909A" w14:textId="73170831" w:rsidR="00BE33AA" w:rsidRPr="007F70F5" w:rsidRDefault="00506F9A"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Le besoin de soutenir davantage la coopération techn</w:t>
      </w:r>
      <w:r w:rsidR="005C0C7E">
        <w:rPr>
          <w:kern w:val="22"/>
          <w:szCs w:val="22"/>
        </w:rPr>
        <w:t>ique et scientifique entre les P</w:t>
      </w:r>
      <w:r>
        <w:rPr>
          <w:kern w:val="22"/>
          <w:szCs w:val="22"/>
        </w:rPr>
        <w:t>arties et le renforcement des capacités;</w:t>
      </w:r>
    </w:p>
    <w:p w14:paraId="53DA5F31" w14:textId="56A5E395" w:rsidR="00442AA5" w:rsidRPr="007F70F5" w:rsidRDefault="00506F9A"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Une augmentation globale substantielle du financement total relatif à la biodiversité.</w:t>
      </w:r>
    </w:p>
    <w:p w14:paraId="379F3BD3" w14:textId="0F0041C3" w:rsidR="009E4766" w:rsidRPr="007F70F5" w:rsidRDefault="00B4216B" w:rsidP="00456490">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eastAsia="Malgun Gothic"/>
          <w:bCs/>
          <w:kern w:val="22"/>
          <w:szCs w:val="22"/>
        </w:rPr>
      </w:pPr>
      <w:bookmarkStart w:id="2" w:name="_Hlk513725519"/>
      <w:r>
        <w:rPr>
          <w:rFonts w:eastAsia="Malgun Gothic"/>
          <w:bCs/>
          <w:kern w:val="22"/>
          <w:szCs w:val="22"/>
        </w:rPr>
        <w:t xml:space="preserve">RECOMMANDATIONS SUGGÉRÉES </w:t>
      </w:r>
    </w:p>
    <w:p w14:paraId="79194C21" w14:textId="792A5BDF" w:rsidR="00DE6915" w:rsidRPr="007F70F5" w:rsidRDefault="00B4216B">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kern w:val="22"/>
          <w:szCs w:val="22"/>
        </w:rPr>
        <w:t xml:space="preserve">L’Organe subsidiaire chargé de l’application peut adopter une recommandation selon les lignes suivantes : </w:t>
      </w:r>
    </w:p>
    <w:p w14:paraId="68E91F4B" w14:textId="441196EC" w:rsidR="00DE6915" w:rsidRPr="007F70F5" w:rsidRDefault="00B4216B" w:rsidP="00456490">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 xml:space="preserve">L’Organe subsidiaire chargé de l’application </w:t>
      </w:r>
    </w:p>
    <w:p w14:paraId="7B156134" w14:textId="28299487" w:rsidR="002E1F35" w:rsidRPr="007F70F5" w:rsidRDefault="00B530F9"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Pr>
          <w:i/>
          <w:iCs/>
          <w:kern w:val="22"/>
          <w:szCs w:val="22"/>
        </w:rPr>
        <w:t xml:space="preserve">Constate </w:t>
      </w:r>
      <w:r w:rsidRPr="00B530F9">
        <w:rPr>
          <w:iCs/>
          <w:kern w:val="22"/>
          <w:szCs w:val="22"/>
        </w:rPr>
        <w:t>l’analyse contenue dans</w:t>
      </w:r>
      <w:r>
        <w:rPr>
          <w:iCs/>
          <w:kern w:val="22"/>
          <w:szCs w:val="22"/>
        </w:rPr>
        <w:t xml:space="preserve"> la note de la Secrétaire exécutive et ses addenda</w:t>
      </w:r>
      <w:r w:rsidR="00EC5E40" w:rsidRPr="007F70F5">
        <w:rPr>
          <w:rStyle w:val="FootnoteReference"/>
          <w:kern w:val="22"/>
          <w:szCs w:val="22"/>
        </w:rPr>
        <w:footnoteReference w:id="15"/>
      </w:r>
      <w:r w:rsidR="00EC5E40" w:rsidRPr="007F70F5">
        <w:rPr>
          <w:kern w:val="22"/>
          <w:szCs w:val="22"/>
        </w:rPr>
        <w:t xml:space="preserve"> </w:t>
      </w:r>
      <w:r w:rsidR="00A165B3">
        <w:rPr>
          <w:kern w:val="22"/>
          <w:szCs w:val="22"/>
        </w:rPr>
        <w:t>et demande aux coprésidents du G</w:t>
      </w:r>
      <w:r>
        <w:rPr>
          <w:kern w:val="22"/>
          <w:szCs w:val="22"/>
        </w:rPr>
        <w:t xml:space="preserve">roupe de travail à composition non limitée sur le cadre mondial de la biodiversité pour l’après-2020 de tenir compte de ces informations lors de la préparation de la documentation relative au cadre mondial de la biodiversité pour l’après-2020. </w:t>
      </w:r>
    </w:p>
    <w:p w14:paraId="2EE99A78" w14:textId="394A17D6" w:rsidR="00215210" w:rsidRPr="007F70F5" w:rsidRDefault="00B530F9"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Pr>
          <w:i/>
          <w:iCs/>
          <w:kern w:val="22"/>
          <w:szCs w:val="22"/>
        </w:rPr>
        <w:t xml:space="preserve">Se félicite </w:t>
      </w:r>
      <w:r>
        <w:rPr>
          <w:iCs/>
          <w:kern w:val="22"/>
          <w:szCs w:val="22"/>
        </w:rPr>
        <w:t xml:space="preserve">des efforts déployés par les Parties pour refléter les objectifs d’Aichi </w:t>
      </w:r>
      <w:r w:rsidR="005D6D7C">
        <w:rPr>
          <w:iCs/>
          <w:kern w:val="22"/>
          <w:szCs w:val="22"/>
        </w:rPr>
        <w:t>pour la</w:t>
      </w:r>
      <w:r>
        <w:rPr>
          <w:iCs/>
          <w:kern w:val="22"/>
          <w:szCs w:val="22"/>
        </w:rPr>
        <w:t xml:space="preserve"> biodiversité dans leurs stratégies et plans d’action nationaux en matière de diversité biologique, ainsi que des efforts déployés pour y intégrer les p</w:t>
      </w:r>
      <w:r w:rsidR="002B605D">
        <w:rPr>
          <w:iCs/>
          <w:kern w:val="22"/>
          <w:szCs w:val="22"/>
        </w:rPr>
        <w:t xml:space="preserve">euples </w:t>
      </w:r>
      <w:r>
        <w:rPr>
          <w:iCs/>
          <w:kern w:val="22"/>
          <w:szCs w:val="22"/>
        </w:rPr>
        <w:t>autochtones et les communautés locales, les connaissances traditionnelles, l’</w:t>
      </w:r>
      <w:r w:rsidR="00A23E34">
        <w:rPr>
          <w:iCs/>
          <w:kern w:val="22"/>
          <w:szCs w:val="22"/>
        </w:rPr>
        <w:t>utilisation</w:t>
      </w:r>
      <w:r>
        <w:rPr>
          <w:iCs/>
          <w:kern w:val="22"/>
          <w:szCs w:val="22"/>
        </w:rPr>
        <w:t xml:space="preserve"> coutumière durable et les questions d’égalité entre les sexes; </w:t>
      </w:r>
    </w:p>
    <w:p w14:paraId="3402CED9" w14:textId="5C449661" w:rsidR="005615E6" w:rsidRPr="007F70F5" w:rsidRDefault="005E7699"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Pr>
          <w:i/>
          <w:iCs/>
          <w:kern w:val="22"/>
          <w:szCs w:val="22"/>
        </w:rPr>
        <w:t xml:space="preserve">Se félicite également </w:t>
      </w:r>
      <w:r w:rsidRPr="005E7699">
        <w:rPr>
          <w:iCs/>
          <w:kern w:val="22"/>
          <w:szCs w:val="22"/>
        </w:rPr>
        <w:t>des efforts déployés par les Parties</w:t>
      </w:r>
      <w:r>
        <w:rPr>
          <w:iCs/>
          <w:kern w:val="22"/>
          <w:szCs w:val="22"/>
        </w:rPr>
        <w:t xml:space="preserve"> pour mettre en œuvre leurs stratégies et plans d’action nationaux en matière de biodiversité depuis l’adoption du Plan stratégique 2011-2020 pour la diversité biologique et pour mieux tenir compte des peuples autochtones et des communautés locales ainsi que des </w:t>
      </w:r>
      <w:r w:rsidRPr="00FF6B37">
        <w:rPr>
          <w:iCs/>
          <w:kern w:val="22"/>
          <w:szCs w:val="22"/>
        </w:rPr>
        <w:t>questions de genre</w:t>
      </w:r>
      <w:r>
        <w:rPr>
          <w:iCs/>
          <w:kern w:val="22"/>
          <w:szCs w:val="22"/>
        </w:rPr>
        <w:t xml:space="preserve"> dans la mise en œuvre de la Convention; </w:t>
      </w:r>
    </w:p>
    <w:p w14:paraId="441C3324" w14:textId="7287715F" w:rsidR="0086500A" w:rsidRPr="007F70F5" w:rsidRDefault="000E144F"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Pr>
          <w:i/>
          <w:iCs/>
          <w:kern w:val="22"/>
          <w:szCs w:val="22"/>
        </w:rPr>
        <w:t>Prend note avec préoccupation</w:t>
      </w:r>
      <w:r w:rsidRPr="000E144F">
        <w:rPr>
          <w:iCs/>
          <w:kern w:val="22"/>
          <w:szCs w:val="22"/>
        </w:rPr>
        <w:t xml:space="preserve"> que les objectifs et engagements nationaux fixés par les Parties dans le cadre de leurs stratégiques et plans d’action nationaux relatif</w:t>
      </w:r>
      <w:r>
        <w:rPr>
          <w:iCs/>
          <w:kern w:val="22"/>
          <w:szCs w:val="22"/>
        </w:rPr>
        <w:t>s à la biodiversité,  collectivement, ne correspondent pas aux</w:t>
      </w:r>
      <w:r w:rsidRPr="000E144F">
        <w:rPr>
          <w:iCs/>
          <w:kern w:val="22"/>
          <w:szCs w:val="22"/>
        </w:rPr>
        <w:t xml:space="preserve"> ambitions définies dans les objectifs d’Aichi pour la diversité biologique et que, si des progrès encourageants</w:t>
      </w:r>
      <w:r w:rsidR="000435B5">
        <w:rPr>
          <w:iCs/>
          <w:kern w:val="22"/>
          <w:szCs w:val="22"/>
        </w:rPr>
        <w:t xml:space="preserve"> </w:t>
      </w:r>
      <w:r w:rsidR="006B2CC3">
        <w:rPr>
          <w:iCs/>
          <w:kern w:val="22"/>
          <w:szCs w:val="22"/>
        </w:rPr>
        <w:t xml:space="preserve">ont été accomplis dans la réalisation des objectifs d’Aichi relatifs à la diversité biologique, les progrès ont été, dans l’ensemble, limités; </w:t>
      </w:r>
      <w:r w:rsidR="000435B5">
        <w:rPr>
          <w:iCs/>
          <w:kern w:val="22"/>
          <w:szCs w:val="22"/>
        </w:rPr>
        <w:t xml:space="preserve"> </w:t>
      </w:r>
    </w:p>
    <w:p w14:paraId="6E1AB18C" w14:textId="4E4A0066" w:rsidR="0086500A" w:rsidRPr="007F70F5" w:rsidRDefault="006B2CC3"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Pr>
          <w:i/>
          <w:iCs/>
          <w:kern w:val="22"/>
          <w:szCs w:val="22"/>
        </w:rPr>
        <w:t>Prend note également</w:t>
      </w:r>
      <w:r w:rsidRPr="006B2CC3">
        <w:rPr>
          <w:iCs/>
          <w:kern w:val="22"/>
          <w:szCs w:val="22"/>
        </w:rPr>
        <w:t xml:space="preserve"> que le Plan d’action 2015-2020 pour l’égalité entre les sexes n’a pas été entièrement mis en œuvre et que</w:t>
      </w:r>
      <w:r>
        <w:rPr>
          <w:iCs/>
          <w:kern w:val="22"/>
          <w:szCs w:val="22"/>
        </w:rPr>
        <w:t>, si la sensibilisation et la compréhension de la biodiversité et des questions de genre ont augmentés, le genre n’est pas suffisamment pris en compte dans la mise en œuvre de la convention</w:t>
      </w:r>
      <w:r w:rsidR="0086500A" w:rsidRPr="007F70F5">
        <w:rPr>
          <w:i/>
          <w:iCs/>
          <w:kern w:val="22"/>
          <w:szCs w:val="22"/>
        </w:rPr>
        <w:t xml:space="preserve"> </w:t>
      </w:r>
      <w:r>
        <w:rPr>
          <w:iCs/>
          <w:kern w:val="22"/>
          <w:szCs w:val="22"/>
        </w:rPr>
        <w:t>ou dans les stratégies et plans d’action nationaux pour la biodiversité;</w:t>
      </w:r>
    </w:p>
    <w:p w14:paraId="3ED6400B" w14:textId="681FE0F2" w:rsidR="009F452B" w:rsidRPr="007F70F5" w:rsidRDefault="000259DB"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rFonts w:eastAsia="Malgun Gothic"/>
          <w:kern w:val="22"/>
          <w:szCs w:val="22"/>
        </w:rPr>
      </w:pPr>
      <w:r>
        <w:rPr>
          <w:i/>
          <w:iCs/>
          <w:kern w:val="22"/>
          <w:szCs w:val="22"/>
        </w:rPr>
        <w:t xml:space="preserve">Prend note avec préoccupation </w:t>
      </w:r>
      <w:r>
        <w:rPr>
          <w:iCs/>
          <w:kern w:val="22"/>
          <w:szCs w:val="22"/>
        </w:rPr>
        <w:t xml:space="preserve">que, malgré les progrès encourageants, les peuples autochtones, les communautés locales et les connaissances traditionnelles, ainsi que l’utilisation </w:t>
      </w:r>
      <w:r>
        <w:rPr>
          <w:iCs/>
          <w:kern w:val="22"/>
          <w:szCs w:val="22"/>
        </w:rPr>
        <w:lastRenderedPageBreak/>
        <w:t xml:space="preserve">coutumière durable ne sont pas </w:t>
      </w:r>
      <w:r w:rsidR="00BB7309">
        <w:rPr>
          <w:iCs/>
          <w:kern w:val="22"/>
          <w:szCs w:val="22"/>
        </w:rPr>
        <w:t>suffisamment</w:t>
      </w:r>
      <w:r>
        <w:rPr>
          <w:iCs/>
          <w:kern w:val="22"/>
          <w:szCs w:val="22"/>
        </w:rPr>
        <w:t xml:space="preserve"> prises en compte dans la mise en œuvre de la Convention et dans les stratégies et plans d’action nationaux relatifs à la biodiversité.</w:t>
      </w:r>
      <w:r w:rsidR="00DD3FDE" w:rsidRPr="007F70F5">
        <w:rPr>
          <w:i/>
          <w:iCs/>
          <w:kern w:val="22"/>
          <w:szCs w:val="22"/>
        </w:rPr>
        <w:t xml:space="preserve"> </w:t>
      </w:r>
    </w:p>
    <w:p w14:paraId="72C6D97A" w14:textId="07FE17E2" w:rsidR="003D38C0" w:rsidRPr="007F70F5" w:rsidRDefault="007F6599" w:rsidP="00456490">
      <w:pPr>
        <w:pStyle w:val="Para1"/>
        <w:numPr>
          <w:ilvl w:val="0"/>
          <w:numId w:val="47"/>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L’Organe subsidiaire chargé de l’application pourrait éventuellement recommander que la Conférence des Parties, à sa quinzième réunion, adopte une décision, selon les informations suivantes :</w:t>
      </w:r>
    </w:p>
    <w:p w14:paraId="06C4A59A" w14:textId="5C0108E0" w:rsidR="00727A3F" w:rsidRPr="007F70F5" w:rsidRDefault="007F6599" w:rsidP="0045649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 xml:space="preserve">La Conférence des Parties </w:t>
      </w:r>
    </w:p>
    <w:p w14:paraId="519216A1" w14:textId="1AD9A1F1" w:rsidR="009E4766" w:rsidRPr="007F70F5" w:rsidRDefault="001622FF">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fr-CA"/>
        </w:rPr>
      </w:pPr>
      <w:r w:rsidRPr="007F70F5">
        <w:rPr>
          <w:rFonts w:ascii="Times New Roman" w:hAnsi="Times New Roman" w:cs="Times New Roman"/>
          <w:b/>
          <w:kern w:val="22"/>
          <w:sz w:val="22"/>
          <w:szCs w:val="22"/>
          <w:lang w:val="fr-CA"/>
        </w:rPr>
        <w:t>A.</w:t>
      </w:r>
      <w:r w:rsidRPr="007F70F5">
        <w:rPr>
          <w:rFonts w:ascii="Times New Roman" w:hAnsi="Times New Roman" w:cs="Times New Roman"/>
          <w:b/>
          <w:kern w:val="22"/>
          <w:sz w:val="22"/>
          <w:szCs w:val="22"/>
          <w:lang w:val="fr-CA"/>
        </w:rPr>
        <w:tab/>
      </w:r>
      <w:r w:rsidR="007529D2">
        <w:rPr>
          <w:rFonts w:ascii="Times New Roman" w:hAnsi="Times New Roman" w:cs="Times New Roman"/>
          <w:b/>
          <w:kern w:val="22"/>
          <w:sz w:val="22"/>
          <w:szCs w:val="22"/>
          <w:lang w:val="fr-CA"/>
        </w:rPr>
        <w:t xml:space="preserve">Examen des stratégies, des </w:t>
      </w:r>
      <w:r w:rsidR="007F6599">
        <w:rPr>
          <w:rFonts w:ascii="Times New Roman" w:hAnsi="Times New Roman" w:cs="Times New Roman"/>
          <w:b/>
          <w:kern w:val="22"/>
          <w:sz w:val="22"/>
          <w:szCs w:val="22"/>
          <w:lang w:val="fr-CA"/>
        </w:rPr>
        <w:t>plans d’</w:t>
      </w:r>
      <w:r w:rsidR="007529D2">
        <w:rPr>
          <w:rFonts w:ascii="Times New Roman" w:hAnsi="Times New Roman" w:cs="Times New Roman"/>
          <w:b/>
          <w:kern w:val="22"/>
          <w:sz w:val="22"/>
          <w:szCs w:val="22"/>
          <w:lang w:val="fr-CA"/>
        </w:rPr>
        <w:t xml:space="preserve">action </w:t>
      </w:r>
      <w:r w:rsidR="007F6599">
        <w:rPr>
          <w:rFonts w:ascii="Times New Roman" w:hAnsi="Times New Roman" w:cs="Times New Roman"/>
          <w:b/>
          <w:kern w:val="22"/>
          <w:sz w:val="22"/>
          <w:szCs w:val="22"/>
          <w:lang w:val="fr-CA"/>
        </w:rPr>
        <w:t xml:space="preserve">et des rapports nationaux relatifs à la biodiversité </w:t>
      </w:r>
    </w:p>
    <w:p w14:paraId="5A2F9CA6" w14:textId="6B8D35BF" w:rsidR="002B35A6" w:rsidRPr="007F70F5" w:rsidRDefault="007529D2"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Pr>
          <w:i/>
          <w:iCs/>
          <w:kern w:val="22"/>
          <w:szCs w:val="22"/>
        </w:rPr>
        <w:t xml:space="preserve">Constate </w:t>
      </w:r>
      <w:r>
        <w:rPr>
          <w:iCs/>
          <w:kern w:val="22"/>
          <w:szCs w:val="22"/>
        </w:rPr>
        <w:t>l’analyse actualisé</w:t>
      </w:r>
      <w:r w:rsidR="006C28A4">
        <w:rPr>
          <w:iCs/>
          <w:kern w:val="22"/>
          <w:szCs w:val="22"/>
        </w:rPr>
        <w:t>e</w:t>
      </w:r>
      <w:r>
        <w:rPr>
          <w:iCs/>
          <w:kern w:val="22"/>
          <w:szCs w:val="22"/>
        </w:rPr>
        <w:t xml:space="preserve"> des stratégies, des plans d’action et des rapports nationaux relatifs à la biodiversité;</w:t>
      </w:r>
    </w:p>
    <w:p w14:paraId="34066A33" w14:textId="2353C445" w:rsidR="002B35A6" w:rsidRPr="007F70F5" w:rsidRDefault="007529D2"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Pr>
          <w:i/>
          <w:iCs/>
          <w:kern w:val="22"/>
          <w:szCs w:val="22"/>
        </w:rPr>
        <w:t xml:space="preserve">Se félicite </w:t>
      </w:r>
      <w:r>
        <w:rPr>
          <w:iCs/>
          <w:kern w:val="22"/>
          <w:szCs w:val="22"/>
        </w:rPr>
        <w:t xml:space="preserve">des efforts déployés par les Parties afin de prendre en compte les objectifs d’Aichi dans leurs stratégies et plans d’action nationaux </w:t>
      </w:r>
      <w:r w:rsidR="0008407E">
        <w:rPr>
          <w:iCs/>
          <w:kern w:val="22"/>
          <w:szCs w:val="22"/>
        </w:rPr>
        <w:t xml:space="preserve">relatifs à la biodiversité </w:t>
      </w:r>
      <w:r>
        <w:rPr>
          <w:iCs/>
          <w:kern w:val="22"/>
          <w:szCs w:val="22"/>
        </w:rPr>
        <w:t xml:space="preserve">ainsi que des efforts </w:t>
      </w:r>
      <w:r w:rsidR="006E6BD9">
        <w:rPr>
          <w:iCs/>
          <w:kern w:val="22"/>
          <w:szCs w:val="22"/>
        </w:rPr>
        <w:t xml:space="preserve">réalisés pour prendre en compte les peuples autochtones, les communautés locales, les connaissances traditionnelles, l’utilisation coutumière durale ainsi que les questions de genre; </w:t>
      </w:r>
    </w:p>
    <w:p w14:paraId="058A8DCB" w14:textId="0E9F85A6" w:rsidR="002B35A6" w:rsidRPr="007F70F5" w:rsidRDefault="0008407E"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Pr>
          <w:i/>
          <w:iCs/>
          <w:kern w:val="22"/>
          <w:szCs w:val="22"/>
        </w:rPr>
        <w:t xml:space="preserve">Se félicite également </w:t>
      </w:r>
      <w:r>
        <w:rPr>
          <w:iCs/>
          <w:kern w:val="22"/>
          <w:szCs w:val="22"/>
        </w:rPr>
        <w:t xml:space="preserve">des efforts déployés par les Parties pour mettre en œuvre leurs stratégies et plans nationaux relatifs à la biodiversité depuis l’adoption du Plan stratégique 2011-2020 pour la diversité biologique et pour mieux tenir compte des peuples autochtones, des communautés locales et des questions de genre dans la mise en œuvre nationale de la Convention; </w:t>
      </w:r>
    </w:p>
    <w:p w14:paraId="48180907" w14:textId="7AD426F0" w:rsidR="002B35A6" w:rsidRPr="007F70F5" w:rsidRDefault="007F430A"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Pr>
          <w:i/>
          <w:iCs/>
          <w:kern w:val="22"/>
          <w:szCs w:val="22"/>
        </w:rPr>
        <w:t xml:space="preserve">Prend note avec préoccupation </w:t>
      </w:r>
      <w:r>
        <w:rPr>
          <w:iCs/>
          <w:kern w:val="22"/>
          <w:szCs w:val="22"/>
        </w:rPr>
        <w:t xml:space="preserve">que les objectifs et les engagements nationaux fixés par les Parties à travers leurs stratégies et plans d’action nationaux </w:t>
      </w:r>
      <w:r w:rsidR="002B605D">
        <w:rPr>
          <w:iCs/>
          <w:kern w:val="22"/>
          <w:szCs w:val="22"/>
        </w:rPr>
        <w:t>pour la</w:t>
      </w:r>
      <w:r>
        <w:rPr>
          <w:iCs/>
          <w:kern w:val="22"/>
          <w:szCs w:val="22"/>
        </w:rPr>
        <w:t xml:space="preserve"> biodiversité ne correspondent pas avec les ambitions définies dans les objectifs d’Aichi pour la biodiversité et que, si des progrès encourageants ont été accomplis dans la réalisation des objectifs d’Aichi pour la biodiversité, les progrès ont été, dans l’ensemble, limités:</w:t>
      </w:r>
    </w:p>
    <w:p w14:paraId="3159F901" w14:textId="74F49015" w:rsidR="002B35A6" w:rsidRPr="007F70F5" w:rsidRDefault="006B7A54"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Pr>
          <w:i/>
          <w:iCs/>
          <w:kern w:val="22"/>
          <w:szCs w:val="22"/>
        </w:rPr>
        <w:t xml:space="preserve">Prend note également avec préoccupation </w:t>
      </w:r>
      <w:r w:rsidR="000A0D0D">
        <w:rPr>
          <w:iCs/>
          <w:kern w:val="22"/>
          <w:szCs w:val="22"/>
        </w:rPr>
        <w:t>que le Plan d’action 2015-2020</w:t>
      </w:r>
      <w:r w:rsidR="002B605D">
        <w:rPr>
          <w:iCs/>
          <w:kern w:val="22"/>
          <w:szCs w:val="22"/>
        </w:rPr>
        <w:t xml:space="preserve"> pour l’égalité entre les sexes</w:t>
      </w:r>
      <w:r w:rsidR="000A0D0D">
        <w:rPr>
          <w:iCs/>
          <w:kern w:val="22"/>
          <w:szCs w:val="22"/>
        </w:rPr>
        <w:t xml:space="preserve"> n’a pas été complètement mis en œuvre et que, si la sensibilisation et la compréhension de la biodiversité et des questions </w:t>
      </w:r>
      <w:r w:rsidR="002B605D">
        <w:rPr>
          <w:iCs/>
          <w:kern w:val="22"/>
          <w:szCs w:val="22"/>
        </w:rPr>
        <w:t>de genre ont prit de</w:t>
      </w:r>
      <w:r w:rsidR="000A0D0D">
        <w:rPr>
          <w:iCs/>
          <w:kern w:val="22"/>
          <w:szCs w:val="22"/>
        </w:rPr>
        <w:t xml:space="preserve"> l’ampleur, le genre n’est pas </w:t>
      </w:r>
      <w:r w:rsidR="00D25D82">
        <w:rPr>
          <w:iCs/>
          <w:kern w:val="22"/>
          <w:szCs w:val="22"/>
        </w:rPr>
        <w:t>suffisamment</w:t>
      </w:r>
      <w:r w:rsidR="000A0D0D">
        <w:rPr>
          <w:iCs/>
          <w:kern w:val="22"/>
          <w:szCs w:val="22"/>
        </w:rPr>
        <w:t xml:space="preserve"> pris en compte dans la mise en œuvre</w:t>
      </w:r>
      <w:r w:rsidR="00AC385F">
        <w:rPr>
          <w:iCs/>
          <w:kern w:val="22"/>
          <w:szCs w:val="22"/>
        </w:rPr>
        <w:t xml:space="preserve"> de la C</w:t>
      </w:r>
      <w:r w:rsidR="000A0D0D">
        <w:rPr>
          <w:iCs/>
          <w:kern w:val="22"/>
          <w:szCs w:val="22"/>
        </w:rPr>
        <w:t xml:space="preserve">onvention ou dans les stratégies et plans d’action nationaux </w:t>
      </w:r>
      <w:r w:rsidR="00E6743D">
        <w:rPr>
          <w:iCs/>
          <w:kern w:val="22"/>
          <w:szCs w:val="22"/>
        </w:rPr>
        <w:t>pour</w:t>
      </w:r>
      <w:r w:rsidR="000A0D0D">
        <w:rPr>
          <w:iCs/>
          <w:kern w:val="22"/>
          <w:szCs w:val="22"/>
        </w:rPr>
        <w:t xml:space="preserve"> la biodiversité; </w:t>
      </w:r>
      <w:r w:rsidR="00383181" w:rsidRPr="007F70F5">
        <w:rPr>
          <w:i/>
          <w:iCs/>
          <w:kern w:val="22"/>
          <w:szCs w:val="22"/>
        </w:rPr>
        <w:t xml:space="preserve"> </w:t>
      </w:r>
    </w:p>
    <w:p w14:paraId="52B7AA93" w14:textId="4E0F3270" w:rsidR="002B35A6" w:rsidRPr="007F70F5" w:rsidRDefault="00D25D82"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Pr>
          <w:i/>
          <w:iCs/>
          <w:kern w:val="22"/>
          <w:szCs w:val="22"/>
        </w:rPr>
        <w:t>Prend note avec préoccupation</w:t>
      </w:r>
      <w:r>
        <w:rPr>
          <w:iCs/>
          <w:kern w:val="22"/>
          <w:szCs w:val="22"/>
        </w:rPr>
        <w:t xml:space="preserve"> que, malgré les progrès encourageants, les peuples autochtones, les </w:t>
      </w:r>
      <w:r w:rsidR="00A37670">
        <w:rPr>
          <w:iCs/>
          <w:kern w:val="22"/>
          <w:szCs w:val="22"/>
        </w:rPr>
        <w:t>communautés</w:t>
      </w:r>
      <w:r>
        <w:rPr>
          <w:iCs/>
          <w:kern w:val="22"/>
          <w:szCs w:val="22"/>
        </w:rPr>
        <w:t xml:space="preserve"> locales, les connaissances traditionnelles et l’utilisation coutumière durable ne sont pas </w:t>
      </w:r>
      <w:r w:rsidR="00A37670">
        <w:rPr>
          <w:iCs/>
          <w:kern w:val="22"/>
          <w:szCs w:val="22"/>
        </w:rPr>
        <w:t>suffisamment</w:t>
      </w:r>
      <w:r>
        <w:rPr>
          <w:iCs/>
          <w:kern w:val="22"/>
          <w:szCs w:val="22"/>
        </w:rPr>
        <w:t xml:space="preserve"> pri</w:t>
      </w:r>
      <w:r w:rsidR="006C28A4">
        <w:rPr>
          <w:iCs/>
          <w:kern w:val="22"/>
          <w:szCs w:val="22"/>
        </w:rPr>
        <w:t>s</w:t>
      </w:r>
      <w:r w:rsidR="00A37670">
        <w:rPr>
          <w:iCs/>
          <w:kern w:val="22"/>
          <w:szCs w:val="22"/>
        </w:rPr>
        <w:t xml:space="preserve"> en compte dans la mise en œuvre</w:t>
      </w:r>
      <w:r>
        <w:rPr>
          <w:iCs/>
          <w:kern w:val="22"/>
          <w:szCs w:val="22"/>
        </w:rPr>
        <w:t xml:space="preserve"> de la Convention et dans les stratégies et plans d’action nationaux </w:t>
      </w:r>
      <w:r w:rsidR="007508B1">
        <w:rPr>
          <w:iCs/>
          <w:kern w:val="22"/>
          <w:szCs w:val="22"/>
        </w:rPr>
        <w:t>pour</w:t>
      </w:r>
      <w:r>
        <w:rPr>
          <w:iCs/>
          <w:kern w:val="22"/>
          <w:szCs w:val="22"/>
        </w:rPr>
        <w:t xml:space="preserve"> la </w:t>
      </w:r>
      <w:r w:rsidR="00A37670">
        <w:rPr>
          <w:iCs/>
          <w:kern w:val="22"/>
          <w:szCs w:val="22"/>
        </w:rPr>
        <w:t>biodiversité</w:t>
      </w:r>
      <w:r>
        <w:rPr>
          <w:iCs/>
          <w:kern w:val="22"/>
          <w:szCs w:val="22"/>
        </w:rPr>
        <w:t>.</w:t>
      </w:r>
    </w:p>
    <w:bookmarkEnd w:id="2"/>
    <w:p w14:paraId="13DBCD08" w14:textId="5E4CDC70" w:rsidR="00B3369F" w:rsidRPr="007F70F5" w:rsidRDefault="009A720E" w:rsidP="00456490">
      <w:pPr>
        <w:suppressLineNumbers/>
        <w:suppressAutoHyphens/>
        <w:kinsoku w:val="0"/>
        <w:overflowPunct w:val="0"/>
        <w:autoSpaceDE w:val="0"/>
        <w:autoSpaceDN w:val="0"/>
        <w:adjustRightInd w:val="0"/>
        <w:snapToGrid w:val="0"/>
        <w:spacing w:before="40" w:after="40"/>
        <w:jc w:val="center"/>
        <w:rPr>
          <w:kern w:val="22"/>
          <w:szCs w:val="22"/>
        </w:rPr>
      </w:pPr>
      <w:r w:rsidRPr="007F70F5">
        <w:rPr>
          <w:kern w:val="22"/>
          <w:szCs w:val="22"/>
        </w:rPr>
        <w:t>________</w:t>
      </w:r>
      <w:r w:rsidR="00400EC7" w:rsidRPr="007F70F5">
        <w:rPr>
          <w:kern w:val="22"/>
          <w:szCs w:val="22"/>
        </w:rPr>
        <w:t>__</w:t>
      </w:r>
    </w:p>
    <w:sectPr w:rsidR="00B3369F" w:rsidRPr="007F70F5" w:rsidSect="007F2356">
      <w:headerReference w:type="even" r:id="rId25"/>
      <w:headerReference w:type="default" r:id="rId26"/>
      <w:footerReference w:type="default" r:id="rId27"/>
      <w:type w:val="continuous"/>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D98" w16cex:dateUtc="2020-06-12T14:55:00Z"/>
  <w16cex:commentExtensible w16cex:durableId="228DDDD6" w16cex:dateUtc="2020-06-12T14:56:00Z"/>
  <w16cex:commentExtensible w16cex:durableId="228DDE14" w16cex:dateUtc="2020-06-12T14:57:00Z"/>
  <w16cex:commentExtensible w16cex:durableId="228DDE3D" w16cex:dateUtc="2020-06-12T14:58: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75EA8" w14:textId="77777777" w:rsidR="005C0C7E" w:rsidRDefault="005C0C7E" w:rsidP="00CF1848">
      <w:r>
        <w:separator/>
      </w:r>
    </w:p>
  </w:endnote>
  <w:endnote w:type="continuationSeparator" w:id="0">
    <w:p w14:paraId="4AD66557" w14:textId="77777777" w:rsidR="005C0C7E" w:rsidRDefault="005C0C7E" w:rsidP="00CF1848">
      <w:r>
        <w:continuationSeparator/>
      </w:r>
    </w:p>
  </w:endnote>
  <w:endnote w:type="continuationNotice" w:id="1">
    <w:p w14:paraId="3314B474" w14:textId="77777777" w:rsidR="005C0C7E" w:rsidRDefault="005C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Malgun Gothic">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DB20" w14:textId="77777777" w:rsidR="005C0C7E" w:rsidRDefault="005C0C7E" w:rsidP="00456490">
    <w:pPr>
      <w:pStyle w:val="Footer"/>
      <w:tabs>
        <w:tab w:val="clear" w:pos="4320"/>
        <w:tab w:val="clear" w:pos="8640"/>
      </w:tabs>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F39FE" w14:textId="77777777" w:rsidR="005C0C7E" w:rsidRDefault="005C0C7E" w:rsidP="00CF1848">
      <w:r>
        <w:separator/>
      </w:r>
    </w:p>
  </w:footnote>
  <w:footnote w:type="continuationSeparator" w:id="0">
    <w:p w14:paraId="5028582F" w14:textId="77777777" w:rsidR="005C0C7E" w:rsidRDefault="005C0C7E" w:rsidP="00CF1848">
      <w:r>
        <w:continuationSeparator/>
      </w:r>
    </w:p>
  </w:footnote>
  <w:footnote w:type="continuationNotice" w:id="1">
    <w:p w14:paraId="48B28E7A" w14:textId="77777777" w:rsidR="005C0C7E" w:rsidRDefault="005C0C7E"/>
  </w:footnote>
  <w:footnote w:id="2">
    <w:p w14:paraId="452EB8EB" w14:textId="08098DDF" w:rsidR="005C0C7E" w:rsidRPr="008A4514" w:rsidRDefault="005C0C7E" w:rsidP="008A4514">
      <w:pPr>
        <w:pStyle w:val="Default"/>
        <w:keepLines/>
        <w:suppressLineNumbers/>
        <w:suppressAutoHyphens/>
        <w:kinsoku w:val="0"/>
        <w:overflowPunct w:val="0"/>
        <w:snapToGrid w:val="0"/>
        <w:spacing w:after="60"/>
        <w:rPr>
          <w:snapToGrid w:val="0"/>
          <w:kern w:val="18"/>
          <w:sz w:val="18"/>
          <w:szCs w:val="18"/>
          <w:lang w:val="en-GB"/>
        </w:rPr>
      </w:pPr>
      <w:r w:rsidRPr="008A4514">
        <w:rPr>
          <w:rStyle w:val="FootnoteReference"/>
          <w:snapToGrid w:val="0"/>
          <w:kern w:val="18"/>
          <w:sz w:val="18"/>
          <w:szCs w:val="18"/>
          <w:lang w:val="en-GB"/>
        </w:rPr>
        <w:t>*</w:t>
      </w:r>
      <w:r w:rsidRPr="008A4514">
        <w:rPr>
          <w:snapToGrid w:val="0"/>
          <w:kern w:val="18"/>
          <w:sz w:val="18"/>
          <w:szCs w:val="18"/>
          <w:lang w:val="en-GB"/>
        </w:rPr>
        <w:t xml:space="preserve"> </w:t>
      </w:r>
      <w:hyperlink r:id="rId1" w:history="1">
        <w:r w:rsidRPr="008A4514">
          <w:rPr>
            <w:rStyle w:val="Hyperlink"/>
            <w:snapToGrid w:val="0"/>
            <w:kern w:val="18"/>
            <w:szCs w:val="18"/>
            <w:lang w:val="en-GB"/>
          </w:rPr>
          <w:t>CBD/SBI/3/1</w:t>
        </w:r>
      </w:hyperlink>
      <w:r w:rsidRPr="008A4514">
        <w:rPr>
          <w:snapToGrid w:val="0"/>
          <w:kern w:val="18"/>
          <w:sz w:val="18"/>
          <w:szCs w:val="18"/>
          <w:lang w:val="en-GB"/>
        </w:rPr>
        <w:t>.</w:t>
      </w:r>
    </w:p>
  </w:footnote>
  <w:footnote w:id="3">
    <w:p w14:paraId="6EEBC2C0" w14:textId="48A63B0B" w:rsidR="005C0C7E" w:rsidRPr="00E81656" w:rsidRDefault="005C0C7E" w:rsidP="00E81656">
      <w:pPr>
        <w:pStyle w:val="FootnoteText"/>
        <w:ind w:firstLine="0"/>
        <w:rPr>
          <w:lang w:val="fr-FR"/>
        </w:rPr>
      </w:pPr>
      <w:r>
        <w:rPr>
          <w:rStyle w:val="FootnoteReference"/>
        </w:rPr>
        <w:footnoteRef/>
      </w:r>
      <w:r>
        <w:t xml:space="preserve"> </w:t>
      </w:r>
      <w:r>
        <w:rPr>
          <w:kern w:val="18"/>
          <w:szCs w:val="18"/>
        </w:rPr>
        <w:t xml:space="preserve">Dans la décision </w:t>
      </w:r>
      <w:hyperlink r:id="rId2" w:history="1">
        <w:r w:rsidRPr="00C627C2">
          <w:rPr>
            <w:rStyle w:val="Hyperlink"/>
            <w:kern w:val="18"/>
            <w:szCs w:val="18"/>
          </w:rPr>
          <w:t>XII/31</w:t>
        </w:r>
      </w:hyperlink>
      <w:r>
        <w:rPr>
          <w:kern w:val="18"/>
          <w:szCs w:val="18"/>
        </w:rPr>
        <w:t>, par exemple, la Conférence des Parties a réaffirmé qu’elle devrait examiner les progrès accomplis dans la mise en œuvre du Plan stratégique 2011-2020 pour la diversité biologique à chacune de ses réunions jusqu’en 2020, et que l’élaboration d’orientations supplémentaires pour de nouvelles politiques et pour soutenir la mise en œuvre devrait se fonder sur cet examen ainsi que sur les informations disponibles dans les rapports nationaux et sur d’autres informations qui pourraient devenir disponibles, notamment par le biais d’évaluations scientifiques. De plus, selon la liste des questions qui figurent dans l’annexe de cette décision, la Conférence des Parties devait, à sa treizième réunion, entreprendre entre autres, un examen provisoire des progrès réalisés dans la mise en œuvre du Plan stratégique 2011-2020 pour la diversité biologique et de la réalisation des objectifs d’Aichi pour la biodiversité, ainsi que des moyens de mise en œuvre concernés.</w:t>
      </w:r>
    </w:p>
  </w:footnote>
  <w:footnote w:id="4">
    <w:p w14:paraId="000B46F9" w14:textId="16DBFA14" w:rsidR="005C0C7E" w:rsidRPr="00456490" w:rsidRDefault="005C0C7E" w:rsidP="00456490">
      <w:pPr>
        <w:pStyle w:val="FootnoteText"/>
        <w:suppressLineNumbers/>
        <w:suppressAutoHyphens/>
        <w:ind w:firstLine="0"/>
        <w:jc w:val="left"/>
        <w:rPr>
          <w:kern w:val="18"/>
          <w:szCs w:val="18"/>
        </w:rPr>
      </w:pPr>
      <w:r>
        <w:rPr>
          <w:rStyle w:val="FootnoteReference"/>
          <w:kern w:val="18"/>
          <w:sz w:val="18"/>
          <w:szCs w:val="18"/>
        </w:rPr>
        <w:t>2</w:t>
      </w:r>
      <w:r w:rsidRPr="00456490">
        <w:rPr>
          <w:kern w:val="18"/>
          <w:szCs w:val="18"/>
        </w:rPr>
        <w:t xml:space="preserve"> </w:t>
      </w:r>
      <w:r>
        <w:rPr>
          <w:kern w:val="18"/>
          <w:szCs w:val="18"/>
        </w:rPr>
        <w:t>Voir les décisions XI/3, XII/1, XIII/1 et</w:t>
      </w:r>
      <w:r w:rsidRPr="00456490">
        <w:rPr>
          <w:kern w:val="18"/>
          <w:szCs w:val="18"/>
        </w:rPr>
        <w:t xml:space="preserve"> 14/1.</w:t>
      </w:r>
    </w:p>
    <w:p w14:paraId="4BAE5BC1" w14:textId="77777777" w:rsidR="005C0C7E" w:rsidRPr="00456490" w:rsidRDefault="005C0C7E" w:rsidP="00456490">
      <w:pPr>
        <w:pStyle w:val="FootnoteText"/>
        <w:suppressLineNumbers/>
        <w:suppressAutoHyphens/>
        <w:ind w:firstLine="0"/>
        <w:jc w:val="left"/>
        <w:rPr>
          <w:kern w:val="18"/>
          <w:szCs w:val="18"/>
        </w:rPr>
      </w:pPr>
    </w:p>
  </w:footnote>
  <w:footnote w:id="5">
    <w:p w14:paraId="3967F763" w14:textId="090EBF15" w:rsidR="005C0C7E" w:rsidRPr="008A4514" w:rsidRDefault="005C0C7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A4514">
        <w:rPr>
          <w:rStyle w:val="FootnoteReference"/>
          <w:snapToGrid w:val="0"/>
          <w:kern w:val="18"/>
          <w:sz w:val="18"/>
          <w:szCs w:val="18"/>
        </w:rPr>
        <w:footnoteRef/>
      </w:r>
      <w:r w:rsidRPr="008A4514">
        <w:rPr>
          <w:snapToGrid w:val="0"/>
          <w:kern w:val="18"/>
          <w:szCs w:val="18"/>
        </w:rPr>
        <w:t xml:space="preserve"> </w:t>
      </w:r>
      <w:r>
        <w:rPr>
          <w:snapToGrid w:val="0"/>
          <w:kern w:val="18"/>
          <w:szCs w:val="18"/>
        </w:rPr>
        <w:t xml:space="preserve">L’analyse ultérieure est basée sur les 167 SPANB qui ont été soumis dans l’une des langues officielles des Nations unies. </w:t>
      </w:r>
    </w:p>
  </w:footnote>
  <w:footnote w:id="6">
    <w:p w14:paraId="4DDA1548" w14:textId="1A864FF0" w:rsidR="005C0C7E" w:rsidRPr="00F32D55" w:rsidRDefault="005C0C7E" w:rsidP="00786FE2">
      <w:pPr>
        <w:pStyle w:val="FootnoteText"/>
        <w:ind w:firstLine="0"/>
      </w:pPr>
      <w:r>
        <w:rPr>
          <w:rStyle w:val="FootnoteReference"/>
        </w:rPr>
        <w:footnoteRef/>
      </w:r>
      <w:r>
        <w:t xml:space="preserve"> </w:t>
      </w:r>
      <w:hyperlink r:id="rId3" w:history="1">
        <w:r w:rsidRPr="006E4231">
          <w:rPr>
            <w:rStyle w:val="Hyperlink"/>
            <w:snapToGrid w:val="0"/>
            <w:kern w:val="18"/>
            <w:szCs w:val="18"/>
          </w:rPr>
          <w:t xml:space="preserve">Prip, C; Gross, T; Johnston, S; Vierros, M (2010). </w:t>
        </w:r>
        <w:r w:rsidRPr="006E4231">
          <w:rPr>
            <w:rStyle w:val="Hyperlink"/>
            <w:i/>
            <w:iCs/>
            <w:snapToGrid w:val="0"/>
            <w:kern w:val="18"/>
            <w:szCs w:val="18"/>
          </w:rPr>
          <w:t>Planification de la diversité biologique </w:t>
        </w:r>
        <w:r w:rsidR="00B96CBF">
          <w:rPr>
            <w:rStyle w:val="Hyperlink"/>
            <w:i/>
            <w:iCs/>
            <w:snapToGrid w:val="0"/>
            <w:kern w:val="18"/>
            <w:szCs w:val="18"/>
          </w:rPr>
          <w:t>: Évaluation des stratégies et p</w:t>
        </w:r>
        <w:r w:rsidRPr="006E4231">
          <w:rPr>
            <w:rStyle w:val="Hyperlink"/>
            <w:i/>
            <w:iCs/>
            <w:snapToGrid w:val="0"/>
            <w:kern w:val="18"/>
            <w:szCs w:val="18"/>
          </w:rPr>
          <w:t>lans d’actions nationaux pour la biodiversité, Université des Nations unies pour l’étude avancée de la durabilité, Yokohama, Japon.</w:t>
        </w:r>
      </w:hyperlink>
    </w:p>
  </w:footnote>
  <w:footnote w:id="7">
    <w:p w14:paraId="3029D8AB" w14:textId="0CB3ADE4" w:rsidR="005C0C7E" w:rsidRPr="002D19A3" w:rsidRDefault="005C0C7E" w:rsidP="002D19A3">
      <w:pPr>
        <w:pStyle w:val="FootnoteText"/>
        <w:ind w:firstLine="0"/>
        <w:rPr>
          <w:lang w:val="fr-FR"/>
        </w:rPr>
      </w:pPr>
      <w:r>
        <w:rPr>
          <w:rStyle w:val="FootnoteReference"/>
        </w:rPr>
        <w:footnoteRef/>
      </w:r>
      <w:r>
        <w:t xml:space="preserve"> Voir </w:t>
      </w:r>
      <w:hyperlink r:id="rId4" w:history="1">
        <w:r w:rsidRPr="00EF3E80">
          <w:rPr>
            <w:rStyle w:val="Hyperlink"/>
          </w:rPr>
          <w:t>UNEP/CBD/SBI/1/1/Add.2</w:t>
        </w:r>
      </w:hyperlink>
      <w:r>
        <w:t xml:space="preserve"> et </w:t>
      </w:r>
      <w:hyperlink r:id="rId5" w:history="1">
        <w:r w:rsidRPr="00EF3E80">
          <w:rPr>
            <w:rStyle w:val="Hyperlink"/>
          </w:rPr>
          <w:t>UNEP/CBD/SBI/2/2Add.1</w:t>
        </w:r>
      </w:hyperlink>
      <w:r>
        <w:t xml:space="preserve">. </w:t>
      </w:r>
    </w:p>
  </w:footnote>
  <w:footnote w:id="8">
    <w:p w14:paraId="20B87B29" w14:textId="6675CDA2" w:rsidR="005C0C7E" w:rsidRPr="00275374" w:rsidRDefault="005C0C7E" w:rsidP="00275374">
      <w:pPr>
        <w:pStyle w:val="FootnoteText"/>
        <w:ind w:firstLine="0"/>
        <w:rPr>
          <w:lang w:val="fr-FR"/>
        </w:rPr>
      </w:pPr>
      <w:r>
        <w:rPr>
          <w:rStyle w:val="FootnoteReference"/>
        </w:rPr>
        <w:footnoteRef/>
      </w:r>
      <w:r>
        <w:t xml:space="preserve"> Voir </w:t>
      </w:r>
      <w:hyperlink r:id="rId6" w:history="1">
        <w:r w:rsidRPr="00275374">
          <w:rPr>
            <w:rStyle w:val="Hyperlink"/>
          </w:rPr>
          <w:t>UNEP/CBD/COP/13/8/Add.2/Rev.1</w:t>
        </w:r>
      </w:hyperlink>
      <w:r>
        <w:t xml:space="preserve"> et </w:t>
      </w:r>
      <w:hyperlink r:id="rId7" w:history="1">
        <w:r w:rsidRPr="00275374">
          <w:rPr>
            <w:rStyle w:val="Hyperlink"/>
          </w:rPr>
          <w:t>CBD/COP/14/5/Add.2</w:t>
        </w:r>
      </w:hyperlink>
      <w:r>
        <w:t>.</w:t>
      </w:r>
    </w:p>
  </w:footnote>
  <w:footnote w:id="9">
    <w:p w14:paraId="269F3A7E" w14:textId="3C6297FD" w:rsidR="005C0C7E" w:rsidRPr="00456490" w:rsidRDefault="005C0C7E" w:rsidP="001A4D97">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w:t>
      </w:r>
      <w:r>
        <w:rPr>
          <w:kern w:val="18"/>
          <w:szCs w:val="18"/>
        </w:rPr>
        <w:t xml:space="preserve">Les sixièmes rapports nationaux reçus par le Secrétariat jusqu’au 8 novembre 2019 inclus ont été pris en considération dans cette évaluation. Au total, 126 rapports ont été examinés. </w:t>
      </w:r>
    </w:p>
  </w:footnote>
  <w:footnote w:id="10">
    <w:p w14:paraId="5C0B34BC" w14:textId="3AC28A52" w:rsidR="005C0C7E" w:rsidRPr="00456490" w:rsidRDefault="005C0C7E"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w:t>
      </w:r>
      <w:r>
        <w:rPr>
          <w:kern w:val="18"/>
          <w:szCs w:val="18"/>
        </w:rPr>
        <w:t xml:space="preserve">« Autres organisations pertinentes » désigne les organisations internationales, les organisations de la société civile et les autres organisations pertinentes mettant tout en œuvre pour la réalisation des objectifs de la Convention, à l’échelon international, régional, national et local. </w:t>
      </w:r>
    </w:p>
  </w:footnote>
  <w:footnote w:id="11">
    <w:p w14:paraId="59541B42" w14:textId="32A74D5F" w:rsidR="005C0C7E" w:rsidRPr="00C41C13" w:rsidRDefault="005C0C7E" w:rsidP="00C41C13">
      <w:pPr>
        <w:pStyle w:val="FootnoteText"/>
        <w:ind w:firstLine="0"/>
      </w:pPr>
      <w:r>
        <w:rPr>
          <w:rStyle w:val="FootnoteReference"/>
        </w:rPr>
        <w:footnoteRef/>
      </w:r>
      <w:r>
        <w:t xml:space="preserve"> CBD/COP/14/15, Add.1 et Add. 2.</w:t>
      </w:r>
    </w:p>
  </w:footnote>
  <w:footnote w:id="12">
    <w:p w14:paraId="377D1BF2" w14:textId="65D1D029" w:rsidR="005C0C7E" w:rsidRPr="004F368E" w:rsidRDefault="005C0C7E" w:rsidP="004F368E">
      <w:pPr>
        <w:pStyle w:val="FootnoteText"/>
        <w:ind w:firstLine="0"/>
        <w:rPr>
          <w:lang w:val="fr-FR"/>
        </w:rPr>
      </w:pPr>
      <w:r>
        <w:rPr>
          <w:rStyle w:val="FootnoteReference"/>
        </w:rPr>
        <w:footnoteRef/>
      </w:r>
      <w:r>
        <w:t xml:space="preserve"> Cette analyse est fondée sur des informations provenant de 150 sixièmes rapports nationaux. </w:t>
      </w:r>
    </w:p>
  </w:footnote>
  <w:footnote w:id="13">
    <w:p w14:paraId="76A1C27F" w14:textId="472DBF8B" w:rsidR="005C0C7E" w:rsidRPr="00456490" w:rsidRDefault="005C0C7E" w:rsidP="00456490">
      <w:pPr>
        <w:pStyle w:val="FootnoteText"/>
        <w:suppressLineNumbers/>
        <w:suppressAutoHyphens/>
        <w:ind w:firstLine="0"/>
        <w:jc w:val="left"/>
        <w:rPr>
          <w:kern w:val="18"/>
          <w:szCs w:val="18"/>
        </w:rPr>
      </w:pPr>
      <w:r w:rsidRPr="00456490">
        <w:rPr>
          <w:rStyle w:val="FootnoteReference"/>
          <w:kern w:val="18"/>
          <w:sz w:val="18"/>
          <w:szCs w:val="18"/>
        </w:rPr>
        <w:footnoteRef/>
      </w:r>
      <w:r>
        <w:rPr>
          <w:kern w:val="18"/>
          <w:szCs w:val="18"/>
        </w:rPr>
        <w:t xml:space="preserve"> Indicateurs</w:t>
      </w:r>
      <w:r w:rsidRPr="00456490">
        <w:rPr>
          <w:kern w:val="18"/>
          <w:szCs w:val="18"/>
        </w:rPr>
        <w:t xml:space="preserve">: </w:t>
      </w:r>
      <w:r w:rsidRPr="008A4514">
        <w:rPr>
          <w:kern w:val="18"/>
          <w:szCs w:val="18"/>
        </w:rPr>
        <w:t>(a) </w:t>
      </w:r>
      <w:hyperlink r:id="rId8" w:history="1">
        <w:r w:rsidR="00051FB3">
          <w:rPr>
            <w:rStyle w:val="Hyperlink"/>
            <w:kern w:val="18"/>
            <w:szCs w:val="18"/>
          </w:rPr>
          <w:t>Tendances de la diversité linguistique et du nombre de locuteurs de langues autochtones;</w:t>
        </w:r>
      </w:hyperlink>
      <w:r w:rsidRPr="008A4514">
        <w:rPr>
          <w:kern w:val="18"/>
          <w:szCs w:val="18"/>
        </w:rPr>
        <w:t xml:space="preserve"> (b) </w:t>
      </w:r>
      <w:hyperlink r:id="rId9" w:history="1">
        <w:r w:rsidR="00051FB3">
          <w:rPr>
            <w:rStyle w:val="Hyperlink"/>
            <w:kern w:val="18"/>
            <w:szCs w:val="18"/>
          </w:rPr>
          <w:t>Tendances du changement d'affectaton des terres et du régime foncier dans les territoires traditionnels des commuautés autochtones et locales</w:t>
        </w:r>
      </w:hyperlink>
      <w:r w:rsidRPr="008A4514">
        <w:rPr>
          <w:kern w:val="18"/>
          <w:szCs w:val="18"/>
        </w:rPr>
        <w:t>; (c) </w:t>
      </w:r>
      <w:hyperlink r:id="rId10" w:history="1">
        <w:r w:rsidR="00051FB3">
          <w:rPr>
            <w:rStyle w:val="Hyperlink"/>
            <w:kern w:val="18"/>
            <w:szCs w:val="18"/>
          </w:rPr>
          <w:t>Tendances de la pratique des métiers traditionnels;</w:t>
        </w:r>
      </w:hyperlink>
      <w:r w:rsidR="00051FB3">
        <w:rPr>
          <w:kern w:val="18"/>
          <w:szCs w:val="18"/>
        </w:rPr>
        <w:t xml:space="preserve"> et</w:t>
      </w:r>
      <w:r w:rsidRPr="008A4514">
        <w:rPr>
          <w:kern w:val="18"/>
          <w:szCs w:val="18"/>
        </w:rPr>
        <w:t xml:space="preserve"> (d) </w:t>
      </w:r>
      <w:hyperlink r:id="rId11" w:history="1">
        <w:r w:rsidR="00051FB3">
          <w:rPr>
            <w:rStyle w:val="Hyperlink"/>
            <w:kern w:val="18"/>
            <w:szCs w:val="18"/>
          </w:rPr>
          <w:t>Tendances du degré de respect des connaissances et pratiques traditionnelles par: la pleine intégration, la participation et les garanties dans la mise en oeuvre national du Plan stratégique.</w:t>
        </w:r>
      </w:hyperlink>
      <w:bookmarkStart w:id="1" w:name="_GoBack"/>
      <w:bookmarkEnd w:id="1"/>
    </w:p>
  </w:footnote>
  <w:footnote w:id="14">
    <w:p w14:paraId="203AC9CE" w14:textId="4D5439D8" w:rsidR="005C0C7E" w:rsidRPr="00456490" w:rsidRDefault="005C0C7E"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w:t>
      </w:r>
      <w:r>
        <w:rPr>
          <w:kern w:val="18"/>
          <w:szCs w:val="18"/>
        </w:rPr>
        <w:t xml:space="preserve">Ces points ont été identifiés dans les documents CBD/SBSTTA/23/2 et Add.2. Ceux-ci ont également été noté dans la recommandation 23/1 de l’Organe subsidiaire chargé de fournir des avis scientifiques, techniques et technologiques. </w:t>
      </w:r>
    </w:p>
  </w:footnote>
  <w:footnote w:id="15">
    <w:p w14:paraId="59269286" w14:textId="4135D377" w:rsidR="005C0C7E" w:rsidRPr="00456490" w:rsidRDefault="005C0C7E"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CBD/SBI/3/3.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100910707"/>
      <w:dataBinding w:prefixMappings="xmlns:ns0='http://purl.org/dc/elements/1.1/' xmlns:ns1='http://schemas.openxmlformats.org/package/2006/metadata/core-properties' " w:xpath="/ns1:coreProperties[1]/ns0:subject[1]" w:storeItemID="{6C3C8BC8-F283-45AE-878A-BAB7291924A1}"/>
      <w:text/>
    </w:sdtPr>
    <w:sdtEndPr/>
    <w:sdtContent>
      <w:p w14:paraId="71EADAC8" w14:textId="77777777" w:rsidR="005C0C7E" w:rsidRPr="00456490" w:rsidRDefault="005C0C7E" w:rsidP="00456490">
        <w:pPr>
          <w:pStyle w:val="Header"/>
          <w:keepLines/>
          <w:suppressLineNumbers/>
          <w:tabs>
            <w:tab w:val="clear" w:pos="4320"/>
            <w:tab w:val="clear" w:pos="8640"/>
          </w:tabs>
          <w:suppressAutoHyphens/>
          <w:jc w:val="left"/>
          <w:rPr>
            <w:noProof/>
            <w:kern w:val="22"/>
          </w:rPr>
        </w:pPr>
        <w:r w:rsidRPr="00456490">
          <w:rPr>
            <w:noProof/>
            <w:kern w:val="22"/>
          </w:rPr>
          <w:t>CBD/SBI/3/2</w:t>
        </w:r>
      </w:p>
    </w:sdtContent>
  </w:sdt>
  <w:p w14:paraId="59D81341" w14:textId="77777777" w:rsidR="005C0C7E" w:rsidRPr="00456490" w:rsidRDefault="005C0C7E" w:rsidP="00456490">
    <w:pPr>
      <w:pStyle w:val="Header"/>
      <w:keepLines/>
      <w:suppressLineNumbers/>
      <w:tabs>
        <w:tab w:val="clear" w:pos="4320"/>
        <w:tab w:val="clear" w:pos="8640"/>
      </w:tabs>
      <w:suppressAutoHyphens/>
      <w:jc w:val="left"/>
      <w:rPr>
        <w:noProof/>
        <w:kern w:val="22"/>
      </w:rPr>
    </w:pPr>
    <w:r w:rsidRPr="00456490">
      <w:rPr>
        <w:noProof/>
        <w:kern w:val="22"/>
      </w:rPr>
      <w:t xml:space="preserve">Page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000A6848">
      <w:rPr>
        <w:noProof/>
        <w:kern w:val="22"/>
      </w:rPr>
      <w:t>8</w:t>
    </w:r>
    <w:r w:rsidRPr="00456490">
      <w:rPr>
        <w:noProof/>
        <w:kern w:val="22"/>
      </w:rPr>
      <w:fldChar w:fldCharType="end"/>
    </w:r>
  </w:p>
  <w:p w14:paraId="185B7D8B" w14:textId="77777777" w:rsidR="005C0C7E" w:rsidRPr="00456490" w:rsidRDefault="005C0C7E" w:rsidP="0045649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14DC11E9" w14:textId="4F90E341" w:rsidR="005C0C7E" w:rsidRPr="00456490" w:rsidRDefault="005C0C7E" w:rsidP="00456490">
        <w:pPr>
          <w:pStyle w:val="Header"/>
          <w:keepLines/>
          <w:suppressLineNumbers/>
          <w:tabs>
            <w:tab w:val="clear" w:pos="4320"/>
            <w:tab w:val="clear" w:pos="8640"/>
          </w:tabs>
          <w:suppressAutoHyphens/>
          <w:jc w:val="right"/>
          <w:rPr>
            <w:noProof/>
            <w:kern w:val="22"/>
          </w:rPr>
        </w:pPr>
        <w:r w:rsidRPr="00456490">
          <w:rPr>
            <w:noProof/>
            <w:kern w:val="22"/>
          </w:rPr>
          <w:t>CBD/SBI/3/2</w:t>
        </w:r>
      </w:p>
    </w:sdtContent>
  </w:sdt>
  <w:p w14:paraId="59A7D409" w14:textId="77777777" w:rsidR="005C0C7E" w:rsidRPr="00456490" w:rsidRDefault="005C0C7E" w:rsidP="00456490">
    <w:pPr>
      <w:pStyle w:val="Header"/>
      <w:keepLines/>
      <w:suppressLineNumbers/>
      <w:tabs>
        <w:tab w:val="clear" w:pos="4320"/>
        <w:tab w:val="clear" w:pos="8640"/>
      </w:tabs>
      <w:suppressAutoHyphens/>
      <w:jc w:val="right"/>
      <w:rPr>
        <w:noProof/>
        <w:kern w:val="22"/>
      </w:rPr>
    </w:pPr>
    <w:r w:rsidRPr="00456490">
      <w:rPr>
        <w:noProof/>
        <w:kern w:val="22"/>
      </w:rPr>
      <w:t xml:space="preserve">Page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00E25ED5">
      <w:rPr>
        <w:noProof/>
        <w:kern w:val="22"/>
      </w:rPr>
      <w:t>3</w:t>
    </w:r>
    <w:r w:rsidRPr="00456490">
      <w:rPr>
        <w:noProof/>
        <w:kern w:val="22"/>
      </w:rPr>
      <w:fldChar w:fldCharType="end"/>
    </w:r>
  </w:p>
  <w:p w14:paraId="167E468C" w14:textId="77777777" w:rsidR="005C0C7E" w:rsidRPr="00456490" w:rsidRDefault="005C0C7E" w:rsidP="0045649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D2E01"/>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C93925"/>
    <w:multiLevelType w:val="hybridMultilevel"/>
    <w:tmpl w:val="1B64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5F1B79"/>
    <w:multiLevelType w:val="hybridMultilevel"/>
    <w:tmpl w:val="47167C8A"/>
    <w:lvl w:ilvl="0" w:tplc="1FF68F0C">
      <w:start w:val="1"/>
      <w:numFmt w:val="upperRoman"/>
      <w:lvlText w:val="%1."/>
      <w:lvlJc w:val="left"/>
      <w:pPr>
        <w:ind w:left="76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24F19"/>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F21822C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46A3"/>
    <w:multiLevelType w:val="hybridMultilevel"/>
    <w:tmpl w:val="8A542BA2"/>
    <w:lvl w:ilvl="0" w:tplc="5652EF34">
      <w:start w:val="1"/>
      <w:numFmt w:val="decimal"/>
      <w:lvlText w:val="%1."/>
      <w:lvlJc w:val="left"/>
      <w:pPr>
        <w:ind w:left="12292" w:hanging="360"/>
      </w:pPr>
      <w:rPr>
        <w:b w:val="0"/>
        <w:i w:val="0"/>
        <w:sz w:val="22"/>
      </w:rPr>
    </w:lvl>
    <w:lvl w:ilvl="1" w:tplc="645EF382">
      <w:start w:val="1"/>
      <w:numFmt w:val="lowerLetter"/>
      <w:lvlText w:val="(%2)"/>
      <w:lvlJc w:val="left"/>
      <w:pPr>
        <w:ind w:left="8078" w:hanging="360"/>
      </w:pPr>
      <w:rPr>
        <w:i w:val="0"/>
      </w:rPr>
    </w:lvl>
    <w:lvl w:ilvl="2" w:tplc="0409001B">
      <w:start w:val="1"/>
      <w:numFmt w:val="lowerRoman"/>
      <w:lvlText w:val="%3."/>
      <w:lvlJc w:val="right"/>
      <w:pPr>
        <w:ind w:left="8798" w:hanging="180"/>
      </w:pPr>
    </w:lvl>
    <w:lvl w:ilvl="3" w:tplc="0409000F">
      <w:start w:val="1"/>
      <w:numFmt w:val="decimal"/>
      <w:lvlText w:val="%4."/>
      <w:lvlJc w:val="left"/>
      <w:pPr>
        <w:ind w:left="9518" w:hanging="360"/>
      </w:pPr>
    </w:lvl>
    <w:lvl w:ilvl="4" w:tplc="04090019">
      <w:start w:val="1"/>
      <w:numFmt w:val="lowerLetter"/>
      <w:lvlText w:val="%5."/>
      <w:lvlJc w:val="left"/>
      <w:pPr>
        <w:ind w:left="10238" w:hanging="360"/>
      </w:pPr>
    </w:lvl>
    <w:lvl w:ilvl="5" w:tplc="0409001B">
      <w:start w:val="1"/>
      <w:numFmt w:val="lowerRoman"/>
      <w:lvlText w:val="%6."/>
      <w:lvlJc w:val="right"/>
      <w:pPr>
        <w:ind w:left="10958" w:hanging="180"/>
      </w:pPr>
    </w:lvl>
    <w:lvl w:ilvl="6" w:tplc="0409000F">
      <w:start w:val="1"/>
      <w:numFmt w:val="decimal"/>
      <w:lvlText w:val="%7."/>
      <w:lvlJc w:val="left"/>
      <w:pPr>
        <w:ind w:left="11678" w:hanging="360"/>
      </w:pPr>
    </w:lvl>
    <w:lvl w:ilvl="7" w:tplc="04090019">
      <w:start w:val="1"/>
      <w:numFmt w:val="lowerLetter"/>
      <w:lvlText w:val="%8."/>
      <w:lvlJc w:val="left"/>
      <w:pPr>
        <w:ind w:left="12398" w:hanging="360"/>
      </w:pPr>
    </w:lvl>
    <w:lvl w:ilvl="8" w:tplc="0409001B">
      <w:start w:val="1"/>
      <w:numFmt w:val="lowerRoman"/>
      <w:lvlText w:val="%9."/>
      <w:lvlJc w:val="right"/>
      <w:pPr>
        <w:ind w:left="13118" w:hanging="180"/>
      </w:pPr>
    </w:lvl>
  </w:abstractNum>
  <w:abstractNum w:abstractNumId="1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4"/>
  </w:num>
  <w:num w:numId="5">
    <w:abstractNumId w:val="13"/>
  </w:num>
  <w:num w:numId="6">
    <w:abstractNumId w:val="2"/>
  </w:num>
  <w:num w:numId="7">
    <w:abstractNumId w:val="7"/>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1"/>
  </w:num>
  <w:num w:numId="18">
    <w:abstractNumId w:val="22"/>
  </w:num>
  <w:num w:numId="19">
    <w:abstractNumId w:val="4"/>
  </w:num>
  <w:num w:numId="20">
    <w:abstractNumId w:val="6"/>
  </w:num>
  <w:num w:numId="21">
    <w:abstractNumId w:val="11"/>
  </w:num>
  <w:num w:numId="22">
    <w:abstractNumId w:val="17"/>
  </w:num>
  <w:num w:numId="23">
    <w:abstractNumId w:val="14"/>
  </w:num>
  <w:num w:numId="24">
    <w:abstractNumId w:val="0"/>
  </w:num>
  <w:num w:numId="25">
    <w:abstractNumId w:val="1"/>
  </w:num>
  <w:num w:numId="26">
    <w:abstractNumId w:val="20"/>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2"/>
  </w:num>
  <w:num w:numId="33">
    <w:abstractNumId w:val="5"/>
  </w:num>
  <w:num w:numId="34">
    <w:abstractNumId w:val="8"/>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598"/>
    <w:rsid w:val="00003917"/>
    <w:rsid w:val="00006789"/>
    <w:rsid w:val="0000778F"/>
    <w:rsid w:val="00010F30"/>
    <w:rsid w:val="00020778"/>
    <w:rsid w:val="000259DB"/>
    <w:rsid w:val="00025D54"/>
    <w:rsid w:val="00035F94"/>
    <w:rsid w:val="000435B5"/>
    <w:rsid w:val="00043E41"/>
    <w:rsid w:val="00051FB3"/>
    <w:rsid w:val="000676EE"/>
    <w:rsid w:val="00076246"/>
    <w:rsid w:val="00080089"/>
    <w:rsid w:val="0008232D"/>
    <w:rsid w:val="00082B0B"/>
    <w:rsid w:val="00082FC9"/>
    <w:rsid w:val="0008407E"/>
    <w:rsid w:val="000842C2"/>
    <w:rsid w:val="00093022"/>
    <w:rsid w:val="0009498B"/>
    <w:rsid w:val="000A0D0D"/>
    <w:rsid w:val="000A4E80"/>
    <w:rsid w:val="000A5ADD"/>
    <w:rsid w:val="000A6525"/>
    <w:rsid w:val="000A6848"/>
    <w:rsid w:val="000B13F9"/>
    <w:rsid w:val="000B4EFD"/>
    <w:rsid w:val="000B5E5B"/>
    <w:rsid w:val="000B682B"/>
    <w:rsid w:val="000D162F"/>
    <w:rsid w:val="000D19C6"/>
    <w:rsid w:val="000D3E14"/>
    <w:rsid w:val="000D41EF"/>
    <w:rsid w:val="000D4309"/>
    <w:rsid w:val="000D676E"/>
    <w:rsid w:val="000D719F"/>
    <w:rsid w:val="000E0202"/>
    <w:rsid w:val="000E144F"/>
    <w:rsid w:val="000E389B"/>
    <w:rsid w:val="000E62F8"/>
    <w:rsid w:val="000E673A"/>
    <w:rsid w:val="000F18AA"/>
    <w:rsid w:val="000F218E"/>
    <w:rsid w:val="000F26E9"/>
    <w:rsid w:val="000F72FC"/>
    <w:rsid w:val="000F74F5"/>
    <w:rsid w:val="0010370F"/>
    <w:rsid w:val="00103C1F"/>
    <w:rsid w:val="00105372"/>
    <w:rsid w:val="001073B0"/>
    <w:rsid w:val="001133C5"/>
    <w:rsid w:val="00122E28"/>
    <w:rsid w:val="00123290"/>
    <w:rsid w:val="001245CD"/>
    <w:rsid w:val="00126394"/>
    <w:rsid w:val="0012750E"/>
    <w:rsid w:val="00131E7A"/>
    <w:rsid w:val="00132A1D"/>
    <w:rsid w:val="00134690"/>
    <w:rsid w:val="00136620"/>
    <w:rsid w:val="00136F54"/>
    <w:rsid w:val="0014085B"/>
    <w:rsid w:val="00142E5C"/>
    <w:rsid w:val="0014432B"/>
    <w:rsid w:val="00145180"/>
    <w:rsid w:val="00152DBC"/>
    <w:rsid w:val="001574FC"/>
    <w:rsid w:val="001622FF"/>
    <w:rsid w:val="00172929"/>
    <w:rsid w:val="00172AF6"/>
    <w:rsid w:val="00176CEE"/>
    <w:rsid w:val="001771EE"/>
    <w:rsid w:val="001775F6"/>
    <w:rsid w:val="001803ED"/>
    <w:rsid w:val="0018097E"/>
    <w:rsid w:val="0018302C"/>
    <w:rsid w:val="001838BA"/>
    <w:rsid w:val="00186DD8"/>
    <w:rsid w:val="001919E2"/>
    <w:rsid w:val="00196DF6"/>
    <w:rsid w:val="001A361E"/>
    <w:rsid w:val="001A3C47"/>
    <w:rsid w:val="001A4731"/>
    <w:rsid w:val="001A4D97"/>
    <w:rsid w:val="001B3C6B"/>
    <w:rsid w:val="001B6439"/>
    <w:rsid w:val="001C1CE7"/>
    <w:rsid w:val="001C2E16"/>
    <w:rsid w:val="001C4102"/>
    <w:rsid w:val="001C659D"/>
    <w:rsid w:val="001C68B8"/>
    <w:rsid w:val="001D0565"/>
    <w:rsid w:val="001D1F36"/>
    <w:rsid w:val="001D2A77"/>
    <w:rsid w:val="001D3EB2"/>
    <w:rsid w:val="001D4121"/>
    <w:rsid w:val="001D508F"/>
    <w:rsid w:val="001E48FF"/>
    <w:rsid w:val="001E5A69"/>
    <w:rsid w:val="001F1793"/>
    <w:rsid w:val="001F62DD"/>
    <w:rsid w:val="001F721E"/>
    <w:rsid w:val="002003C6"/>
    <w:rsid w:val="00211C74"/>
    <w:rsid w:val="00213E79"/>
    <w:rsid w:val="00214BB0"/>
    <w:rsid w:val="00215210"/>
    <w:rsid w:val="00216435"/>
    <w:rsid w:val="00216809"/>
    <w:rsid w:val="00220D97"/>
    <w:rsid w:val="00220E64"/>
    <w:rsid w:val="002226A5"/>
    <w:rsid w:val="00222E64"/>
    <w:rsid w:val="00225B50"/>
    <w:rsid w:val="00230E1D"/>
    <w:rsid w:val="00237274"/>
    <w:rsid w:val="0024216F"/>
    <w:rsid w:val="0024504E"/>
    <w:rsid w:val="0024726D"/>
    <w:rsid w:val="00254CC6"/>
    <w:rsid w:val="002553A6"/>
    <w:rsid w:val="00261D25"/>
    <w:rsid w:val="002644FE"/>
    <w:rsid w:val="002678A4"/>
    <w:rsid w:val="00272748"/>
    <w:rsid w:val="00275374"/>
    <w:rsid w:val="00275B5A"/>
    <w:rsid w:val="0028116C"/>
    <w:rsid w:val="0028134A"/>
    <w:rsid w:val="00281BA1"/>
    <w:rsid w:val="00281FD9"/>
    <w:rsid w:val="00284AD2"/>
    <w:rsid w:val="00286242"/>
    <w:rsid w:val="00292E23"/>
    <w:rsid w:val="00297762"/>
    <w:rsid w:val="002A6923"/>
    <w:rsid w:val="002B0903"/>
    <w:rsid w:val="002B0A2B"/>
    <w:rsid w:val="002B1C02"/>
    <w:rsid w:val="002B35A6"/>
    <w:rsid w:val="002B3A64"/>
    <w:rsid w:val="002B605D"/>
    <w:rsid w:val="002B6A79"/>
    <w:rsid w:val="002B73F5"/>
    <w:rsid w:val="002C048D"/>
    <w:rsid w:val="002C0FCC"/>
    <w:rsid w:val="002C1BAA"/>
    <w:rsid w:val="002C2C9E"/>
    <w:rsid w:val="002C7FD0"/>
    <w:rsid w:val="002D19A3"/>
    <w:rsid w:val="002D1B66"/>
    <w:rsid w:val="002D79DD"/>
    <w:rsid w:val="002E1F35"/>
    <w:rsid w:val="002E252C"/>
    <w:rsid w:val="002E69BB"/>
    <w:rsid w:val="002F6A99"/>
    <w:rsid w:val="002F6CCC"/>
    <w:rsid w:val="002F7C2F"/>
    <w:rsid w:val="00301637"/>
    <w:rsid w:val="00301F6F"/>
    <w:rsid w:val="003056AC"/>
    <w:rsid w:val="003216A9"/>
    <w:rsid w:val="00322E9A"/>
    <w:rsid w:val="003261BC"/>
    <w:rsid w:val="0032638F"/>
    <w:rsid w:val="00326A33"/>
    <w:rsid w:val="00327A93"/>
    <w:rsid w:val="00331908"/>
    <w:rsid w:val="00332F1F"/>
    <w:rsid w:val="0033448F"/>
    <w:rsid w:val="00335016"/>
    <w:rsid w:val="003362BA"/>
    <w:rsid w:val="00337E6E"/>
    <w:rsid w:val="00341CFC"/>
    <w:rsid w:val="003424CC"/>
    <w:rsid w:val="00344595"/>
    <w:rsid w:val="003452D6"/>
    <w:rsid w:val="00354D98"/>
    <w:rsid w:val="0035714A"/>
    <w:rsid w:val="0035737F"/>
    <w:rsid w:val="003623AE"/>
    <w:rsid w:val="00372E06"/>
    <w:rsid w:val="00372F74"/>
    <w:rsid w:val="0037498D"/>
    <w:rsid w:val="003806A7"/>
    <w:rsid w:val="00383181"/>
    <w:rsid w:val="0038647E"/>
    <w:rsid w:val="00390265"/>
    <w:rsid w:val="00391B45"/>
    <w:rsid w:val="003A1256"/>
    <w:rsid w:val="003A313B"/>
    <w:rsid w:val="003A4684"/>
    <w:rsid w:val="003A5628"/>
    <w:rsid w:val="003A5FD2"/>
    <w:rsid w:val="003B0DB0"/>
    <w:rsid w:val="003B0E8D"/>
    <w:rsid w:val="003B41D3"/>
    <w:rsid w:val="003B5412"/>
    <w:rsid w:val="003C0936"/>
    <w:rsid w:val="003C39DB"/>
    <w:rsid w:val="003C6AD8"/>
    <w:rsid w:val="003C7093"/>
    <w:rsid w:val="003D2FE0"/>
    <w:rsid w:val="003D38C0"/>
    <w:rsid w:val="003D3D56"/>
    <w:rsid w:val="003D3DC8"/>
    <w:rsid w:val="003D4AF0"/>
    <w:rsid w:val="003E46CE"/>
    <w:rsid w:val="003E67E1"/>
    <w:rsid w:val="003E785E"/>
    <w:rsid w:val="003F16D5"/>
    <w:rsid w:val="003F3EA0"/>
    <w:rsid w:val="003F6683"/>
    <w:rsid w:val="003F7224"/>
    <w:rsid w:val="004007D7"/>
    <w:rsid w:val="00400EC7"/>
    <w:rsid w:val="00404290"/>
    <w:rsid w:val="00412C25"/>
    <w:rsid w:val="00413944"/>
    <w:rsid w:val="004161EE"/>
    <w:rsid w:val="00416ED3"/>
    <w:rsid w:val="00424981"/>
    <w:rsid w:val="00426D9C"/>
    <w:rsid w:val="00427D21"/>
    <w:rsid w:val="004308DD"/>
    <w:rsid w:val="004310AF"/>
    <w:rsid w:val="00431B03"/>
    <w:rsid w:val="004412A8"/>
    <w:rsid w:val="00441FAA"/>
    <w:rsid w:val="00442AA5"/>
    <w:rsid w:val="00446399"/>
    <w:rsid w:val="00450078"/>
    <w:rsid w:val="0045247B"/>
    <w:rsid w:val="00456490"/>
    <w:rsid w:val="004574E3"/>
    <w:rsid w:val="004644C2"/>
    <w:rsid w:val="00467AA1"/>
    <w:rsid w:val="00467F9C"/>
    <w:rsid w:val="00472AC6"/>
    <w:rsid w:val="00473720"/>
    <w:rsid w:val="004740E3"/>
    <w:rsid w:val="00474BB9"/>
    <w:rsid w:val="00480F8C"/>
    <w:rsid w:val="00485439"/>
    <w:rsid w:val="004A21D1"/>
    <w:rsid w:val="004A3930"/>
    <w:rsid w:val="004A4AB6"/>
    <w:rsid w:val="004A5AB9"/>
    <w:rsid w:val="004B3141"/>
    <w:rsid w:val="004B7230"/>
    <w:rsid w:val="004C2683"/>
    <w:rsid w:val="004C26C3"/>
    <w:rsid w:val="004C2724"/>
    <w:rsid w:val="004C2E08"/>
    <w:rsid w:val="004C4E04"/>
    <w:rsid w:val="004C4E37"/>
    <w:rsid w:val="004D0E92"/>
    <w:rsid w:val="004D130E"/>
    <w:rsid w:val="004D4AC7"/>
    <w:rsid w:val="004D4B15"/>
    <w:rsid w:val="004E28D5"/>
    <w:rsid w:val="004E7068"/>
    <w:rsid w:val="004F368E"/>
    <w:rsid w:val="004F3F54"/>
    <w:rsid w:val="004F6390"/>
    <w:rsid w:val="00500A7A"/>
    <w:rsid w:val="00501F2A"/>
    <w:rsid w:val="005034C9"/>
    <w:rsid w:val="00503772"/>
    <w:rsid w:val="00506F9A"/>
    <w:rsid w:val="00515242"/>
    <w:rsid w:val="005171FF"/>
    <w:rsid w:val="00520518"/>
    <w:rsid w:val="005245F5"/>
    <w:rsid w:val="0052664C"/>
    <w:rsid w:val="005307C0"/>
    <w:rsid w:val="00534681"/>
    <w:rsid w:val="00540964"/>
    <w:rsid w:val="005457CC"/>
    <w:rsid w:val="00551B0F"/>
    <w:rsid w:val="0055304B"/>
    <w:rsid w:val="00556657"/>
    <w:rsid w:val="00560749"/>
    <w:rsid w:val="005615E6"/>
    <w:rsid w:val="00565E1B"/>
    <w:rsid w:val="0056652B"/>
    <w:rsid w:val="005725D6"/>
    <w:rsid w:val="00575E74"/>
    <w:rsid w:val="00576A85"/>
    <w:rsid w:val="0058244B"/>
    <w:rsid w:val="0058283D"/>
    <w:rsid w:val="00585E34"/>
    <w:rsid w:val="00592EA8"/>
    <w:rsid w:val="00593971"/>
    <w:rsid w:val="005976B4"/>
    <w:rsid w:val="005A3C5F"/>
    <w:rsid w:val="005A49FF"/>
    <w:rsid w:val="005A509B"/>
    <w:rsid w:val="005A5A3B"/>
    <w:rsid w:val="005A6CD5"/>
    <w:rsid w:val="005B09E9"/>
    <w:rsid w:val="005B206A"/>
    <w:rsid w:val="005B2D1F"/>
    <w:rsid w:val="005B601A"/>
    <w:rsid w:val="005C0C7E"/>
    <w:rsid w:val="005D66EE"/>
    <w:rsid w:val="005D6B2D"/>
    <w:rsid w:val="005D6D7C"/>
    <w:rsid w:val="005E1DF4"/>
    <w:rsid w:val="005E30C7"/>
    <w:rsid w:val="005E3FEB"/>
    <w:rsid w:val="005E540D"/>
    <w:rsid w:val="005E6302"/>
    <w:rsid w:val="005E7699"/>
    <w:rsid w:val="005F5109"/>
    <w:rsid w:val="006007F7"/>
    <w:rsid w:val="00602355"/>
    <w:rsid w:val="00605B0B"/>
    <w:rsid w:val="00606849"/>
    <w:rsid w:val="00610752"/>
    <w:rsid w:val="006122BA"/>
    <w:rsid w:val="006171D5"/>
    <w:rsid w:val="0061744B"/>
    <w:rsid w:val="00617D8C"/>
    <w:rsid w:val="00623269"/>
    <w:rsid w:val="00626ADC"/>
    <w:rsid w:val="0063790F"/>
    <w:rsid w:val="00637C51"/>
    <w:rsid w:val="00641E63"/>
    <w:rsid w:val="00646BEE"/>
    <w:rsid w:val="00664F56"/>
    <w:rsid w:val="0066539C"/>
    <w:rsid w:val="00665AD1"/>
    <w:rsid w:val="006670A9"/>
    <w:rsid w:val="006705DB"/>
    <w:rsid w:val="0067120A"/>
    <w:rsid w:val="006718B0"/>
    <w:rsid w:val="00673A9E"/>
    <w:rsid w:val="0068002A"/>
    <w:rsid w:val="00681787"/>
    <w:rsid w:val="00681AD8"/>
    <w:rsid w:val="00686291"/>
    <w:rsid w:val="00686293"/>
    <w:rsid w:val="00686CE3"/>
    <w:rsid w:val="006903A5"/>
    <w:rsid w:val="00691434"/>
    <w:rsid w:val="006917A8"/>
    <w:rsid w:val="00694D9A"/>
    <w:rsid w:val="006A1A1B"/>
    <w:rsid w:val="006A1FD3"/>
    <w:rsid w:val="006B227F"/>
    <w:rsid w:val="006B2290"/>
    <w:rsid w:val="006B2314"/>
    <w:rsid w:val="006B292D"/>
    <w:rsid w:val="006B2CC3"/>
    <w:rsid w:val="006B4055"/>
    <w:rsid w:val="006B7A54"/>
    <w:rsid w:val="006B7C0C"/>
    <w:rsid w:val="006C09A1"/>
    <w:rsid w:val="006C28A4"/>
    <w:rsid w:val="006C3BA2"/>
    <w:rsid w:val="006C4FC7"/>
    <w:rsid w:val="006D1747"/>
    <w:rsid w:val="006D2FBF"/>
    <w:rsid w:val="006D3187"/>
    <w:rsid w:val="006D3405"/>
    <w:rsid w:val="006D58A6"/>
    <w:rsid w:val="006D5CE9"/>
    <w:rsid w:val="006D6C94"/>
    <w:rsid w:val="006E4231"/>
    <w:rsid w:val="006E5292"/>
    <w:rsid w:val="006E63FF"/>
    <w:rsid w:val="006E6BD9"/>
    <w:rsid w:val="006F0DE2"/>
    <w:rsid w:val="006F2034"/>
    <w:rsid w:val="006F6908"/>
    <w:rsid w:val="0070334E"/>
    <w:rsid w:val="007056E4"/>
    <w:rsid w:val="00705A6C"/>
    <w:rsid w:val="00706A8D"/>
    <w:rsid w:val="0070750E"/>
    <w:rsid w:val="00717D88"/>
    <w:rsid w:val="00727A3F"/>
    <w:rsid w:val="00732FC0"/>
    <w:rsid w:val="00735B46"/>
    <w:rsid w:val="00741136"/>
    <w:rsid w:val="00741AD2"/>
    <w:rsid w:val="007465C4"/>
    <w:rsid w:val="007508B1"/>
    <w:rsid w:val="00750A63"/>
    <w:rsid w:val="007511EF"/>
    <w:rsid w:val="00751B1A"/>
    <w:rsid w:val="00752808"/>
    <w:rsid w:val="007529D2"/>
    <w:rsid w:val="00753C8C"/>
    <w:rsid w:val="00753D7C"/>
    <w:rsid w:val="00761DBE"/>
    <w:rsid w:val="00763864"/>
    <w:rsid w:val="00763B2D"/>
    <w:rsid w:val="00767CDF"/>
    <w:rsid w:val="00772A4E"/>
    <w:rsid w:val="007731E5"/>
    <w:rsid w:val="00784448"/>
    <w:rsid w:val="00786FE2"/>
    <w:rsid w:val="00793A39"/>
    <w:rsid w:val="007942D3"/>
    <w:rsid w:val="007A1647"/>
    <w:rsid w:val="007A7067"/>
    <w:rsid w:val="007B15C3"/>
    <w:rsid w:val="007B2DF9"/>
    <w:rsid w:val="007B6C09"/>
    <w:rsid w:val="007B79C8"/>
    <w:rsid w:val="007C4392"/>
    <w:rsid w:val="007C4969"/>
    <w:rsid w:val="007C5F60"/>
    <w:rsid w:val="007C6852"/>
    <w:rsid w:val="007C6CCA"/>
    <w:rsid w:val="007D1D1F"/>
    <w:rsid w:val="007D34B0"/>
    <w:rsid w:val="007E02CC"/>
    <w:rsid w:val="007E09DA"/>
    <w:rsid w:val="007E40BE"/>
    <w:rsid w:val="007F2356"/>
    <w:rsid w:val="007F430A"/>
    <w:rsid w:val="007F5289"/>
    <w:rsid w:val="007F5BA8"/>
    <w:rsid w:val="007F6599"/>
    <w:rsid w:val="007F6E05"/>
    <w:rsid w:val="007F70F5"/>
    <w:rsid w:val="007F7DA2"/>
    <w:rsid w:val="00804BC8"/>
    <w:rsid w:val="0081337C"/>
    <w:rsid w:val="008168FC"/>
    <w:rsid w:val="00816D6B"/>
    <w:rsid w:val="00817583"/>
    <w:rsid w:val="008178B6"/>
    <w:rsid w:val="00817E63"/>
    <w:rsid w:val="00823BA2"/>
    <w:rsid w:val="00824F08"/>
    <w:rsid w:val="008264CF"/>
    <w:rsid w:val="008320EB"/>
    <w:rsid w:val="00832C8D"/>
    <w:rsid w:val="00833C3A"/>
    <w:rsid w:val="008349AF"/>
    <w:rsid w:val="00845BC4"/>
    <w:rsid w:val="00855925"/>
    <w:rsid w:val="00863FA5"/>
    <w:rsid w:val="008642F5"/>
    <w:rsid w:val="0086500A"/>
    <w:rsid w:val="00865B74"/>
    <w:rsid w:val="008660E9"/>
    <w:rsid w:val="00866E40"/>
    <w:rsid w:val="00867876"/>
    <w:rsid w:val="00870C43"/>
    <w:rsid w:val="00876214"/>
    <w:rsid w:val="00880185"/>
    <w:rsid w:val="008816A6"/>
    <w:rsid w:val="008900A5"/>
    <w:rsid w:val="008912A1"/>
    <w:rsid w:val="00891627"/>
    <w:rsid w:val="00897EA4"/>
    <w:rsid w:val="008A1648"/>
    <w:rsid w:val="008A4514"/>
    <w:rsid w:val="008B13CE"/>
    <w:rsid w:val="008B4533"/>
    <w:rsid w:val="008B7BFB"/>
    <w:rsid w:val="008C074D"/>
    <w:rsid w:val="008C1BF3"/>
    <w:rsid w:val="008C2E47"/>
    <w:rsid w:val="008C3030"/>
    <w:rsid w:val="008C3E3F"/>
    <w:rsid w:val="008C5228"/>
    <w:rsid w:val="008C5A4A"/>
    <w:rsid w:val="008D7494"/>
    <w:rsid w:val="008E53EA"/>
    <w:rsid w:val="008E7245"/>
    <w:rsid w:val="008F4D0B"/>
    <w:rsid w:val="009064E1"/>
    <w:rsid w:val="009066F7"/>
    <w:rsid w:val="009071DB"/>
    <w:rsid w:val="009111C1"/>
    <w:rsid w:val="009114B9"/>
    <w:rsid w:val="00913785"/>
    <w:rsid w:val="00922CEA"/>
    <w:rsid w:val="009237EF"/>
    <w:rsid w:val="00923BDA"/>
    <w:rsid w:val="009240D8"/>
    <w:rsid w:val="00930BA1"/>
    <w:rsid w:val="0093169E"/>
    <w:rsid w:val="00932145"/>
    <w:rsid w:val="00940DCC"/>
    <w:rsid w:val="00941AE6"/>
    <w:rsid w:val="00945290"/>
    <w:rsid w:val="009505C9"/>
    <w:rsid w:val="00950676"/>
    <w:rsid w:val="00951EB5"/>
    <w:rsid w:val="00953139"/>
    <w:rsid w:val="00954197"/>
    <w:rsid w:val="009576C1"/>
    <w:rsid w:val="00966340"/>
    <w:rsid w:val="009741C7"/>
    <w:rsid w:val="009758E5"/>
    <w:rsid w:val="009807D3"/>
    <w:rsid w:val="009902DA"/>
    <w:rsid w:val="00992BEE"/>
    <w:rsid w:val="0099392E"/>
    <w:rsid w:val="009A720E"/>
    <w:rsid w:val="009B4696"/>
    <w:rsid w:val="009B7FF8"/>
    <w:rsid w:val="009C1F63"/>
    <w:rsid w:val="009C1FFA"/>
    <w:rsid w:val="009C663B"/>
    <w:rsid w:val="009E10B8"/>
    <w:rsid w:val="009E2A12"/>
    <w:rsid w:val="009E37C1"/>
    <w:rsid w:val="009E4766"/>
    <w:rsid w:val="009E4FFD"/>
    <w:rsid w:val="009F123E"/>
    <w:rsid w:val="009F16EE"/>
    <w:rsid w:val="009F452B"/>
    <w:rsid w:val="009F5689"/>
    <w:rsid w:val="009F760D"/>
    <w:rsid w:val="00A06591"/>
    <w:rsid w:val="00A06EC0"/>
    <w:rsid w:val="00A14121"/>
    <w:rsid w:val="00A149E2"/>
    <w:rsid w:val="00A15590"/>
    <w:rsid w:val="00A165B3"/>
    <w:rsid w:val="00A17577"/>
    <w:rsid w:val="00A23E34"/>
    <w:rsid w:val="00A26F22"/>
    <w:rsid w:val="00A32A4E"/>
    <w:rsid w:val="00A338B9"/>
    <w:rsid w:val="00A36E66"/>
    <w:rsid w:val="00A37670"/>
    <w:rsid w:val="00A44845"/>
    <w:rsid w:val="00A5202D"/>
    <w:rsid w:val="00A5744C"/>
    <w:rsid w:val="00A6068D"/>
    <w:rsid w:val="00A65E02"/>
    <w:rsid w:val="00A71606"/>
    <w:rsid w:val="00A751C6"/>
    <w:rsid w:val="00A86BE5"/>
    <w:rsid w:val="00A87052"/>
    <w:rsid w:val="00A90A0A"/>
    <w:rsid w:val="00A90ADC"/>
    <w:rsid w:val="00AA0AED"/>
    <w:rsid w:val="00AA4376"/>
    <w:rsid w:val="00AA5F32"/>
    <w:rsid w:val="00AA608D"/>
    <w:rsid w:val="00AB1691"/>
    <w:rsid w:val="00AB5245"/>
    <w:rsid w:val="00AB5BC2"/>
    <w:rsid w:val="00AC385F"/>
    <w:rsid w:val="00AC4CEA"/>
    <w:rsid w:val="00AC5397"/>
    <w:rsid w:val="00AC5409"/>
    <w:rsid w:val="00AC677D"/>
    <w:rsid w:val="00AC6EEF"/>
    <w:rsid w:val="00AD28B5"/>
    <w:rsid w:val="00AD2AB7"/>
    <w:rsid w:val="00AD6F9D"/>
    <w:rsid w:val="00AE21C3"/>
    <w:rsid w:val="00AE545D"/>
    <w:rsid w:val="00AE793F"/>
    <w:rsid w:val="00AF03BD"/>
    <w:rsid w:val="00AF1C17"/>
    <w:rsid w:val="00AF206A"/>
    <w:rsid w:val="00AF2852"/>
    <w:rsid w:val="00AF4E38"/>
    <w:rsid w:val="00B03CD7"/>
    <w:rsid w:val="00B04909"/>
    <w:rsid w:val="00B130BB"/>
    <w:rsid w:val="00B13B0A"/>
    <w:rsid w:val="00B166CF"/>
    <w:rsid w:val="00B23DEB"/>
    <w:rsid w:val="00B3114F"/>
    <w:rsid w:val="00B31F58"/>
    <w:rsid w:val="00B33459"/>
    <w:rsid w:val="00B3369F"/>
    <w:rsid w:val="00B4170C"/>
    <w:rsid w:val="00B419C8"/>
    <w:rsid w:val="00B4216B"/>
    <w:rsid w:val="00B42F89"/>
    <w:rsid w:val="00B43F75"/>
    <w:rsid w:val="00B44733"/>
    <w:rsid w:val="00B46EA5"/>
    <w:rsid w:val="00B519A4"/>
    <w:rsid w:val="00B530F9"/>
    <w:rsid w:val="00B54E8F"/>
    <w:rsid w:val="00B5593F"/>
    <w:rsid w:val="00B57330"/>
    <w:rsid w:val="00B6068C"/>
    <w:rsid w:val="00B60ABD"/>
    <w:rsid w:val="00B62866"/>
    <w:rsid w:val="00B70D9E"/>
    <w:rsid w:val="00B756CA"/>
    <w:rsid w:val="00B808A0"/>
    <w:rsid w:val="00B84CF6"/>
    <w:rsid w:val="00B85DC5"/>
    <w:rsid w:val="00B92862"/>
    <w:rsid w:val="00B96B6A"/>
    <w:rsid w:val="00B96CBF"/>
    <w:rsid w:val="00BA43EB"/>
    <w:rsid w:val="00BA4C57"/>
    <w:rsid w:val="00BA77AC"/>
    <w:rsid w:val="00BB02E4"/>
    <w:rsid w:val="00BB1952"/>
    <w:rsid w:val="00BB2DE0"/>
    <w:rsid w:val="00BB36A3"/>
    <w:rsid w:val="00BB7309"/>
    <w:rsid w:val="00BC1C6B"/>
    <w:rsid w:val="00BC3B4A"/>
    <w:rsid w:val="00BD0EFF"/>
    <w:rsid w:val="00BD6C2E"/>
    <w:rsid w:val="00BD7B3F"/>
    <w:rsid w:val="00BE2CE1"/>
    <w:rsid w:val="00BE33AA"/>
    <w:rsid w:val="00BE6DA4"/>
    <w:rsid w:val="00BF1B1F"/>
    <w:rsid w:val="00BF2DBF"/>
    <w:rsid w:val="00BF43F0"/>
    <w:rsid w:val="00BF703A"/>
    <w:rsid w:val="00BF72C6"/>
    <w:rsid w:val="00BF7764"/>
    <w:rsid w:val="00C04613"/>
    <w:rsid w:val="00C14870"/>
    <w:rsid w:val="00C20AF8"/>
    <w:rsid w:val="00C41C13"/>
    <w:rsid w:val="00C443BD"/>
    <w:rsid w:val="00C45CC8"/>
    <w:rsid w:val="00C479E7"/>
    <w:rsid w:val="00C528FD"/>
    <w:rsid w:val="00C55F24"/>
    <w:rsid w:val="00C616AA"/>
    <w:rsid w:val="00C624D4"/>
    <w:rsid w:val="00C627C2"/>
    <w:rsid w:val="00C6775A"/>
    <w:rsid w:val="00C72470"/>
    <w:rsid w:val="00C74808"/>
    <w:rsid w:val="00C74A2B"/>
    <w:rsid w:val="00C769C1"/>
    <w:rsid w:val="00C835ED"/>
    <w:rsid w:val="00C835F9"/>
    <w:rsid w:val="00C87AA5"/>
    <w:rsid w:val="00C913D2"/>
    <w:rsid w:val="00C9161D"/>
    <w:rsid w:val="00C91E4D"/>
    <w:rsid w:val="00C95331"/>
    <w:rsid w:val="00C968EE"/>
    <w:rsid w:val="00C9756C"/>
    <w:rsid w:val="00CA0E50"/>
    <w:rsid w:val="00CA62B4"/>
    <w:rsid w:val="00CB3020"/>
    <w:rsid w:val="00CB506B"/>
    <w:rsid w:val="00CC0F91"/>
    <w:rsid w:val="00CC3DFB"/>
    <w:rsid w:val="00CC58F0"/>
    <w:rsid w:val="00CC67D0"/>
    <w:rsid w:val="00CD0CCF"/>
    <w:rsid w:val="00CD12C0"/>
    <w:rsid w:val="00CD7A42"/>
    <w:rsid w:val="00CE0BD4"/>
    <w:rsid w:val="00CE2A99"/>
    <w:rsid w:val="00CE411F"/>
    <w:rsid w:val="00CE42AB"/>
    <w:rsid w:val="00CE4D0E"/>
    <w:rsid w:val="00CE4F58"/>
    <w:rsid w:val="00CF1848"/>
    <w:rsid w:val="00CF1CDD"/>
    <w:rsid w:val="00CF6D39"/>
    <w:rsid w:val="00D0244F"/>
    <w:rsid w:val="00D02ED1"/>
    <w:rsid w:val="00D03B8B"/>
    <w:rsid w:val="00D070F0"/>
    <w:rsid w:val="00D0779A"/>
    <w:rsid w:val="00D12044"/>
    <w:rsid w:val="00D12535"/>
    <w:rsid w:val="00D1481C"/>
    <w:rsid w:val="00D151EE"/>
    <w:rsid w:val="00D20006"/>
    <w:rsid w:val="00D23A8A"/>
    <w:rsid w:val="00D25D82"/>
    <w:rsid w:val="00D26047"/>
    <w:rsid w:val="00D26752"/>
    <w:rsid w:val="00D34318"/>
    <w:rsid w:val="00D34EE0"/>
    <w:rsid w:val="00D364DB"/>
    <w:rsid w:val="00D402F2"/>
    <w:rsid w:val="00D42EFB"/>
    <w:rsid w:val="00D45828"/>
    <w:rsid w:val="00D466C9"/>
    <w:rsid w:val="00D5591A"/>
    <w:rsid w:val="00D60E1B"/>
    <w:rsid w:val="00D63C1E"/>
    <w:rsid w:val="00D7100B"/>
    <w:rsid w:val="00D71F92"/>
    <w:rsid w:val="00D72ADA"/>
    <w:rsid w:val="00D76A18"/>
    <w:rsid w:val="00D810E4"/>
    <w:rsid w:val="00D825BE"/>
    <w:rsid w:val="00D85BA2"/>
    <w:rsid w:val="00D90B42"/>
    <w:rsid w:val="00D92227"/>
    <w:rsid w:val="00D92A52"/>
    <w:rsid w:val="00D937DD"/>
    <w:rsid w:val="00D95C53"/>
    <w:rsid w:val="00D96D21"/>
    <w:rsid w:val="00D9703C"/>
    <w:rsid w:val="00D971A7"/>
    <w:rsid w:val="00D97C4D"/>
    <w:rsid w:val="00DA2A67"/>
    <w:rsid w:val="00DB4AFC"/>
    <w:rsid w:val="00DB73A6"/>
    <w:rsid w:val="00DB7558"/>
    <w:rsid w:val="00DC46EE"/>
    <w:rsid w:val="00DC50F8"/>
    <w:rsid w:val="00DD118C"/>
    <w:rsid w:val="00DD1475"/>
    <w:rsid w:val="00DD3FDE"/>
    <w:rsid w:val="00DE5874"/>
    <w:rsid w:val="00DE6097"/>
    <w:rsid w:val="00DE6915"/>
    <w:rsid w:val="00DF42A3"/>
    <w:rsid w:val="00DF55CF"/>
    <w:rsid w:val="00DF69DA"/>
    <w:rsid w:val="00E0383B"/>
    <w:rsid w:val="00E05219"/>
    <w:rsid w:val="00E06554"/>
    <w:rsid w:val="00E10D66"/>
    <w:rsid w:val="00E1225E"/>
    <w:rsid w:val="00E13495"/>
    <w:rsid w:val="00E14841"/>
    <w:rsid w:val="00E14D63"/>
    <w:rsid w:val="00E17798"/>
    <w:rsid w:val="00E2033D"/>
    <w:rsid w:val="00E20358"/>
    <w:rsid w:val="00E20600"/>
    <w:rsid w:val="00E20A41"/>
    <w:rsid w:val="00E20BBB"/>
    <w:rsid w:val="00E246CE"/>
    <w:rsid w:val="00E25C0E"/>
    <w:rsid w:val="00E25ED5"/>
    <w:rsid w:val="00E27AF0"/>
    <w:rsid w:val="00E318D6"/>
    <w:rsid w:val="00E32046"/>
    <w:rsid w:val="00E3268A"/>
    <w:rsid w:val="00E34E26"/>
    <w:rsid w:val="00E4059C"/>
    <w:rsid w:val="00E40F1A"/>
    <w:rsid w:val="00E4323A"/>
    <w:rsid w:val="00E542BE"/>
    <w:rsid w:val="00E64634"/>
    <w:rsid w:val="00E66235"/>
    <w:rsid w:val="00E668F1"/>
    <w:rsid w:val="00E6743D"/>
    <w:rsid w:val="00E67944"/>
    <w:rsid w:val="00E70BD3"/>
    <w:rsid w:val="00E81656"/>
    <w:rsid w:val="00E83C24"/>
    <w:rsid w:val="00E855E5"/>
    <w:rsid w:val="00E8578A"/>
    <w:rsid w:val="00E860C5"/>
    <w:rsid w:val="00E90AC5"/>
    <w:rsid w:val="00E9157C"/>
    <w:rsid w:val="00E9318D"/>
    <w:rsid w:val="00E935D8"/>
    <w:rsid w:val="00E93E73"/>
    <w:rsid w:val="00E94D8E"/>
    <w:rsid w:val="00E96F95"/>
    <w:rsid w:val="00EA1BB1"/>
    <w:rsid w:val="00EA22EA"/>
    <w:rsid w:val="00EC566A"/>
    <w:rsid w:val="00EC5E40"/>
    <w:rsid w:val="00ED1E5D"/>
    <w:rsid w:val="00ED2F98"/>
    <w:rsid w:val="00ED4413"/>
    <w:rsid w:val="00ED4AD9"/>
    <w:rsid w:val="00ED5983"/>
    <w:rsid w:val="00ED66B8"/>
    <w:rsid w:val="00EE140C"/>
    <w:rsid w:val="00EE4C28"/>
    <w:rsid w:val="00EE7901"/>
    <w:rsid w:val="00EF10F0"/>
    <w:rsid w:val="00EF3C2A"/>
    <w:rsid w:val="00EF3E80"/>
    <w:rsid w:val="00F05444"/>
    <w:rsid w:val="00F1118A"/>
    <w:rsid w:val="00F12F64"/>
    <w:rsid w:val="00F13881"/>
    <w:rsid w:val="00F14E02"/>
    <w:rsid w:val="00F23F5B"/>
    <w:rsid w:val="00F3010C"/>
    <w:rsid w:val="00F30E9C"/>
    <w:rsid w:val="00F32057"/>
    <w:rsid w:val="00F32D55"/>
    <w:rsid w:val="00F4298B"/>
    <w:rsid w:val="00F43118"/>
    <w:rsid w:val="00F4581A"/>
    <w:rsid w:val="00F51F6D"/>
    <w:rsid w:val="00F56ECC"/>
    <w:rsid w:val="00F628C9"/>
    <w:rsid w:val="00F634CD"/>
    <w:rsid w:val="00F64DA1"/>
    <w:rsid w:val="00F64FE7"/>
    <w:rsid w:val="00F71CE7"/>
    <w:rsid w:val="00F731D9"/>
    <w:rsid w:val="00F77C86"/>
    <w:rsid w:val="00F826D3"/>
    <w:rsid w:val="00F8317C"/>
    <w:rsid w:val="00F84857"/>
    <w:rsid w:val="00F863D7"/>
    <w:rsid w:val="00F94774"/>
    <w:rsid w:val="00FA077F"/>
    <w:rsid w:val="00FA600D"/>
    <w:rsid w:val="00FB3E47"/>
    <w:rsid w:val="00FB5378"/>
    <w:rsid w:val="00FC297D"/>
    <w:rsid w:val="00FC33AE"/>
    <w:rsid w:val="00FC53DB"/>
    <w:rsid w:val="00FD5AA7"/>
    <w:rsid w:val="00FD6307"/>
    <w:rsid w:val="00FD63C4"/>
    <w:rsid w:val="00FD6FB4"/>
    <w:rsid w:val="00FD7032"/>
    <w:rsid w:val="00FE5D50"/>
    <w:rsid w:val="00FF0567"/>
    <w:rsid w:val="00FF48C8"/>
    <w:rsid w:val="00FF6B3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5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C3DFB"/>
    <w:rPr>
      <w:i/>
      <w:iCs/>
    </w:rPr>
  </w:style>
  <w:style w:type="paragraph" w:styleId="Revision">
    <w:name w:val="Revision"/>
    <w:hidden/>
    <w:uiPriority w:val="99"/>
    <w:semiHidden/>
    <w:rsid w:val="00C616AA"/>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D97C4D"/>
    <w:rPr>
      <w:color w:val="605E5C"/>
      <w:shd w:val="clear" w:color="auto" w:fill="E1DFDD"/>
    </w:rPr>
  </w:style>
  <w:style w:type="character" w:customStyle="1" w:styleId="UnresolvedMention">
    <w:name w:val="Unresolved Mention"/>
    <w:basedOn w:val="DefaultParagraphFont"/>
    <w:uiPriority w:val="99"/>
    <w:semiHidden/>
    <w:unhideWhenUsed/>
    <w:rsid w:val="00E860C5"/>
    <w:rPr>
      <w:color w:val="605E5C"/>
      <w:shd w:val="clear" w:color="auto" w:fill="E1DFDD"/>
    </w:rPr>
  </w:style>
  <w:style w:type="table" w:customStyle="1" w:styleId="TableGrid1">
    <w:name w:val="Table Grid1"/>
    <w:basedOn w:val="TableNormal"/>
    <w:next w:val="TableGrid"/>
    <w:uiPriority w:val="59"/>
    <w:rsid w:val="008E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C3DFB"/>
    <w:rPr>
      <w:i/>
      <w:iCs/>
    </w:rPr>
  </w:style>
  <w:style w:type="paragraph" w:styleId="Revision">
    <w:name w:val="Revision"/>
    <w:hidden/>
    <w:uiPriority w:val="99"/>
    <w:semiHidden/>
    <w:rsid w:val="00C616AA"/>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D97C4D"/>
    <w:rPr>
      <w:color w:val="605E5C"/>
      <w:shd w:val="clear" w:color="auto" w:fill="E1DFDD"/>
    </w:rPr>
  </w:style>
  <w:style w:type="character" w:customStyle="1" w:styleId="UnresolvedMention">
    <w:name w:val="Unresolved Mention"/>
    <w:basedOn w:val="DefaultParagraphFont"/>
    <w:uiPriority w:val="99"/>
    <w:semiHidden/>
    <w:unhideWhenUsed/>
    <w:rsid w:val="00E860C5"/>
    <w:rPr>
      <w:color w:val="605E5C"/>
      <w:shd w:val="clear" w:color="auto" w:fill="E1DFDD"/>
    </w:rPr>
  </w:style>
  <w:style w:type="table" w:customStyle="1" w:styleId="TableGrid1">
    <w:name w:val="Table Grid1"/>
    <w:basedOn w:val="TableNormal"/>
    <w:next w:val="TableGrid"/>
    <w:uiPriority w:val="59"/>
    <w:rsid w:val="008E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8927">
      <w:bodyDiv w:val="1"/>
      <w:marLeft w:val="0"/>
      <w:marRight w:val="0"/>
      <w:marTop w:val="0"/>
      <w:marBottom w:val="0"/>
      <w:divBdr>
        <w:top w:val="none" w:sz="0" w:space="0" w:color="auto"/>
        <w:left w:val="none" w:sz="0" w:space="0" w:color="auto"/>
        <w:bottom w:val="none" w:sz="0" w:space="0" w:color="auto"/>
        <w:right w:val="none" w:sz="0" w:space="0" w:color="auto"/>
      </w:divBdr>
    </w:div>
    <w:div w:id="684601707">
      <w:bodyDiv w:val="1"/>
      <w:marLeft w:val="0"/>
      <w:marRight w:val="0"/>
      <w:marTop w:val="0"/>
      <w:marBottom w:val="0"/>
      <w:divBdr>
        <w:top w:val="none" w:sz="0" w:space="0" w:color="auto"/>
        <w:left w:val="none" w:sz="0" w:space="0" w:color="auto"/>
        <w:bottom w:val="none" w:sz="0" w:space="0" w:color="auto"/>
        <w:right w:val="none" w:sz="0" w:space="0" w:color="auto"/>
      </w:divBdr>
    </w:div>
    <w:div w:id="735978875">
      <w:bodyDiv w:val="1"/>
      <w:marLeft w:val="0"/>
      <w:marRight w:val="0"/>
      <w:marTop w:val="0"/>
      <w:marBottom w:val="0"/>
      <w:divBdr>
        <w:top w:val="none" w:sz="0" w:space="0" w:color="auto"/>
        <w:left w:val="none" w:sz="0" w:space="0" w:color="auto"/>
        <w:bottom w:val="none" w:sz="0" w:space="0" w:color="auto"/>
        <w:right w:val="none" w:sz="0" w:space="0" w:color="auto"/>
      </w:divBdr>
    </w:div>
    <w:div w:id="1178499283">
      <w:bodyDiv w:val="1"/>
      <w:marLeft w:val="0"/>
      <w:marRight w:val="0"/>
      <w:marTop w:val="0"/>
      <w:marBottom w:val="0"/>
      <w:divBdr>
        <w:top w:val="none" w:sz="0" w:space="0" w:color="auto"/>
        <w:left w:val="none" w:sz="0" w:space="0" w:color="auto"/>
        <w:bottom w:val="none" w:sz="0" w:space="0" w:color="auto"/>
        <w:right w:val="none" w:sz="0" w:space="0" w:color="auto"/>
      </w:divBdr>
    </w:div>
    <w:div w:id="1348563524">
      <w:bodyDiv w:val="1"/>
      <w:marLeft w:val="0"/>
      <w:marRight w:val="0"/>
      <w:marTop w:val="0"/>
      <w:marBottom w:val="0"/>
      <w:divBdr>
        <w:top w:val="none" w:sz="0" w:space="0" w:color="auto"/>
        <w:left w:val="none" w:sz="0" w:space="0" w:color="auto"/>
        <w:bottom w:val="none" w:sz="0" w:space="0" w:color="auto"/>
        <w:right w:val="none" w:sz="0" w:space="0" w:color="auto"/>
      </w:divBdr>
    </w:div>
    <w:div w:id="1383478770">
      <w:bodyDiv w:val="1"/>
      <w:marLeft w:val="0"/>
      <w:marRight w:val="0"/>
      <w:marTop w:val="0"/>
      <w:marBottom w:val="0"/>
      <w:divBdr>
        <w:top w:val="none" w:sz="0" w:space="0" w:color="auto"/>
        <w:left w:val="none" w:sz="0" w:space="0" w:color="auto"/>
        <w:bottom w:val="none" w:sz="0" w:space="0" w:color="auto"/>
        <w:right w:val="none" w:sz="0" w:space="0" w:color="auto"/>
      </w:divBdr>
    </w:div>
    <w:div w:id="1420328280">
      <w:bodyDiv w:val="1"/>
      <w:marLeft w:val="0"/>
      <w:marRight w:val="0"/>
      <w:marTop w:val="0"/>
      <w:marBottom w:val="0"/>
      <w:divBdr>
        <w:top w:val="none" w:sz="0" w:space="0" w:color="auto"/>
        <w:left w:val="none" w:sz="0" w:space="0" w:color="auto"/>
        <w:bottom w:val="none" w:sz="0" w:space="0" w:color="auto"/>
        <w:right w:val="none" w:sz="0" w:space="0" w:color="auto"/>
      </w:divBdr>
    </w:div>
    <w:div w:id="1561400576">
      <w:bodyDiv w:val="1"/>
      <w:marLeft w:val="0"/>
      <w:marRight w:val="0"/>
      <w:marTop w:val="0"/>
      <w:marBottom w:val="0"/>
      <w:divBdr>
        <w:top w:val="none" w:sz="0" w:space="0" w:color="auto"/>
        <w:left w:val="none" w:sz="0" w:space="0" w:color="auto"/>
        <w:bottom w:val="none" w:sz="0" w:space="0" w:color="auto"/>
        <w:right w:val="none" w:sz="0" w:space="0" w:color="auto"/>
      </w:divBdr>
    </w:div>
    <w:div w:id="2103597645">
      <w:bodyDiv w:val="1"/>
      <w:marLeft w:val="0"/>
      <w:marRight w:val="0"/>
      <w:marTop w:val="0"/>
      <w:marBottom w:val="0"/>
      <w:divBdr>
        <w:top w:val="none" w:sz="0" w:space="0" w:color="auto"/>
        <w:left w:val="none" w:sz="0" w:space="0" w:color="auto"/>
        <w:bottom w:val="none" w:sz="0" w:space="0" w:color="auto"/>
        <w:right w:val="none" w:sz="0" w:space="0" w:color="auto"/>
      </w:divBdr>
    </w:div>
    <w:div w:id="2125268748">
      <w:bodyDiv w:val="1"/>
      <w:marLeft w:val="0"/>
      <w:marRight w:val="0"/>
      <w:marTop w:val="0"/>
      <w:marBottom w:val="0"/>
      <w:divBdr>
        <w:top w:val="none" w:sz="0" w:space="0" w:color="auto"/>
        <w:left w:val="none" w:sz="0" w:space="0" w:color="auto"/>
        <w:bottom w:val="none" w:sz="0" w:space="0" w:color="auto"/>
        <w:right w:val="none" w:sz="0" w:space="0" w:color="auto"/>
      </w:divBdr>
      <w:divsChild>
        <w:div w:id="34336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s://www.cbd.int/doc/decisions/cop-14/cop-14-dec-01-fr.pdf" TargetMode="External"/><Relationship Id="rId21" Type="http://schemas.openxmlformats.org/officeDocument/2006/relationships/hyperlink" Target="https://www.cbd.int/doc/decisions/cop-14/cop-14-dec-18-fr.pdf" TargetMode="External"/><Relationship Id="rId22" Type="http://schemas.openxmlformats.org/officeDocument/2006/relationships/hyperlink" Target="https://www.cbd.int/doc/decisions/cop-09/cop-09-dec-08-fr.pdf" TargetMode="External"/><Relationship Id="rId23" Type="http://schemas.openxmlformats.org/officeDocument/2006/relationships/hyperlink" Target="https://www.cbd.int/doc/decisions/cop-12/cop-12-dec-07-fr.pdf" TargetMode="External"/><Relationship Id="rId24" Type="http://schemas.openxmlformats.org/officeDocument/2006/relationships/hyperlink" Target="https://www.cbd.int/doc/decisions/cop-14/cop-14-dec-18-fr.pdf"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31" Type="http://schemas.microsoft.com/office/2018/08/relationships/commentsExtensible" Target="commentsExtensib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emf"/><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s://www.cbd.int/doc/decisions/cop-10/cop-10-dec-02-fr.pdf" TargetMode="External"/><Relationship Id="rId19" Type="http://schemas.openxmlformats.org/officeDocument/2006/relationships/hyperlink" Target="https://www.cbd.int/doc/decisions/cop-10/cop-10-dec-02-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4" Type="http://schemas.openxmlformats.org/officeDocument/2006/relationships/hyperlink" Target="https://www.cbd.int/doc/meetings/sbi/sbi-01/official/sbi-01-02-add2-fr.pdf" TargetMode="External"/><Relationship Id="rId5" Type="http://schemas.openxmlformats.org/officeDocument/2006/relationships/hyperlink" Target="https://www.cbd.int/doc/c/58eb/01f5/cf30b31e2b59202db38203da/sbi-02-02-add2-fr.pdf" TargetMode="External"/><Relationship Id="rId6" Type="http://schemas.openxmlformats.org/officeDocument/2006/relationships/hyperlink" Target="https://www.cbd.int/doc/meetings/cop/cop-13/official/cop-13-08-add2-rev1-fr.pdf" TargetMode="External"/><Relationship Id="rId7" Type="http://schemas.openxmlformats.org/officeDocument/2006/relationships/hyperlink" Target="https://www.cbd.int/doc/c/7c28/274f/338c8e84ad6f03bf9636dcbf/cop-14-05-add2-en.pdf" TargetMode="External"/><Relationship Id="rId8" Type="http://schemas.openxmlformats.org/officeDocument/2006/relationships/hyperlink" Target="https://www.cbd.int/sp/indicators/factsheets/?id=88" TargetMode="External"/><Relationship Id="rId9" Type="http://schemas.openxmlformats.org/officeDocument/2006/relationships/hyperlink" Target="https://www.cbd.int/sp/indicators/factsheets/?id=70" TargetMode="External"/><Relationship Id="rId10" Type="http://schemas.openxmlformats.org/officeDocument/2006/relationships/hyperlink" Target="https://www.cbd.int/sp/indicators/factsheets/?id=71" TargetMode="External"/><Relationship Id="rId11" Type="http://schemas.openxmlformats.org/officeDocument/2006/relationships/hyperlink" Target="https://www.cbd.int/sp/indicators/factsheets/?id=87" TargetMode="External"/><Relationship Id="rId1" Type="http://schemas.openxmlformats.org/officeDocument/2006/relationships/hyperlink" Target="https://www.cbd.int/doc/c/b394/1143/4eebfb7075f312fd2c9c45b6/sbi-03-01-fr.pdf" TargetMode="External"/><Relationship Id="rId2" Type="http://schemas.openxmlformats.org/officeDocument/2006/relationships/hyperlink" Target="https://www.cbd.int/doc/decisions/cop-12/cop-12-dec-3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Malgun Gothic">
    <w:charset w:val="81"/>
    <w:family w:val="swiss"/>
    <w:pitch w:val="variable"/>
    <w:sig w:usb0="9000002F" w:usb1="29D77CFB" w:usb2="00000012" w:usb3="00000000" w:csb0="00080001" w:csb1="00000000"/>
  </w:font>
  <w:font w:name="宋体">
    <w:charset w:val="50"/>
    <w:family w:val="auto"/>
    <w:pitch w:val="variable"/>
    <w:sig w:usb0="00000003" w:usb1="080E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D42"/>
    <w:rsid w:val="00101ADA"/>
    <w:rsid w:val="00120A03"/>
    <w:rsid w:val="001705FB"/>
    <w:rsid w:val="00220623"/>
    <w:rsid w:val="002B0676"/>
    <w:rsid w:val="002B6AD3"/>
    <w:rsid w:val="002B7779"/>
    <w:rsid w:val="004400CB"/>
    <w:rsid w:val="004B1301"/>
    <w:rsid w:val="004B7B92"/>
    <w:rsid w:val="00500A2B"/>
    <w:rsid w:val="0058288D"/>
    <w:rsid w:val="005E7DD7"/>
    <w:rsid w:val="006801B3"/>
    <w:rsid w:val="006C6EC7"/>
    <w:rsid w:val="006F1C2A"/>
    <w:rsid w:val="007556B5"/>
    <w:rsid w:val="00810A55"/>
    <w:rsid w:val="0087299E"/>
    <w:rsid w:val="008C6619"/>
    <w:rsid w:val="008D420E"/>
    <w:rsid w:val="008E2604"/>
    <w:rsid w:val="00904156"/>
    <w:rsid w:val="009115FC"/>
    <w:rsid w:val="0098642F"/>
    <w:rsid w:val="009B71C8"/>
    <w:rsid w:val="009C561D"/>
    <w:rsid w:val="00A0557D"/>
    <w:rsid w:val="00A21731"/>
    <w:rsid w:val="00AE7E51"/>
    <w:rsid w:val="00BD525F"/>
    <w:rsid w:val="00BD75D4"/>
    <w:rsid w:val="00C15F16"/>
    <w:rsid w:val="00DB0CB0"/>
    <w:rsid w:val="00EE5926"/>
    <w:rsid w:val="00F228CA"/>
    <w:rsid w:val="00F301C7"/>
    <w:rsid w:val="00F7382E"/>
    <w:rsid w:val="00F96B61"/>
    <w:rsid w:val="00FC6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51"/>
  </w:style>
  <w:style w:type="paragraph" w:customStyle="1" w:styleId="3DF1382356CA47B0AFB3464F6F1CC17E">
    <w:name w:val="3DF1382356CA47B0AFB3464F6F1CC17E"/>
    <w:rsid w:val="00220623"/>
    <w:pPr>
      <w:spacing w:after="160" w:line="259" w:lineRule="auto"/>
    </w:pPr>
    <w:rPr>
      <w:lang w:val="en-CA" w:eastAsia="en-CA"/>
    </w:rPr>
  </w:style>
  <w:style w:type="paragraph" w:customStyle="1" w:styleId="59B8E5AC4E5C45C1930E5AAFEF6E76E0">
    <w:name w:val="59B8E5AC4E5C45C1930E5AAFEF6E76E0"/>
    <w:rsid w:val="00AE7E51"/>
    <w:pPr>
      <w:spacing w:after="160" w:line="259" w:lineRule="auto"/>
    </w:pPr>
    <w:rPr>
      <w:lang w:val="en-CA" w:eastAsia="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51"/>
  </w:style>
  <w:style w:type="paragraph" w:customStyle="1" w:styleId="3DF1382356CA47B0AFB3464F6F1CC17E">
    <w:name w:val="3DF1382356CA47B0AFB3464F6F1CC17E"/>
    <w:rsid w:val="00220623"/>
    <w:pPr>
      <w:spacing w:after="160" w:line="259" w:lineRule="auto"/>
    </w:pPr>
    <w:rPr>
      <w:lang w:val="en-CA" w:eastAsia="en-CA"/>
    </w:rPr>
  </w:style>
  <w:style w:type="paragraph" w:customStyle="1" w:styleId="59B8E5AC4E5C45C1930E5AAFEF6E76E0">
    <w:name w:val="59B8E5AC4E5C45C1930E5AAFEF6E76E0"/>
    <w:rsid w:val="00AE7E5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26 juin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0D41F-E5A7-4D3D-BE11-E493503275AE}">
  <ds:schemaRefs>
    <ds:schemaRef ds:uri="http://schemas.microsoft.com/sharepoint/v3/contenttype/forms"/>
  </ds:schemaRefs>
</ds:datastoreItem>
</file>

<file path=customXml/itemProps3.xml><?xml version="1.0" encoding="utf-8"?>
<ds:datastoreItem xmlns:ds="http://schemas.openxmlformats.org/officeDocument/2006/customXml" ds:itemID="{C90C2294-B5CC-43C6-9146-5007E6911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AB4808-21FF-4C33-A845-B188997D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066405-481B-4379-A19D-96FD43F4247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C07547E-DF1E-4902-8B41-9DE2203D31CC}">
  <ds:schemaRefs>
    <ds:schemaRef ds:uri="http://schemas.microsoft.com/sharepoint/v3/contenttype/forms"/>
  </ds:schemaRefs>
</ds:datastoreItem>
</file>

<file path=customXml/itemProps7.xml><?xml version="1.0" encoding="utf-8"?>
<ds:datastoreItem xmlns:ds="http://schemas.openxmlformats.org/officeDocument/2006/customXml" ds:itemID="{A69F8527-31AC-C243-A3B8-A904DAAC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5023</Words>
  <Characters>28633</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vt:lpstr>
    </vt:vector>
  </TitlesOfParts>
  <Company>SCBD</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progrès accomplis dans la mise en œuvre de la convention et du plan stratégique 2011-2020 pour la diversité biologique </dc:title>
  <dc:subject>CBD/SBI/3/2</dc:subject>
  <dc:creator>SCBD</dc:creator>
  <cp:keywords>Subsidiary Body on Implementation, third meeting, Quebec City, Canada, 9-14 November 2020, Convention on Biological Diversity</cp:keywords>
  <cp:lastModifiedBy>Mathilde Myard</cp:lastModifiedBy>
  <cp:revision>2</cp:revision>
  <cp:lastPrinted>2018-05-10T15:01:00Z</cp:lastPrinted>
  <dcterms:created xsi:type="dcterms:W3CDTF">2020-07-03T19:27:00Z</dcterms:created>
  <dcterms:modified xsi:type="dcterms:W3CDTF">2020-07-03T19:27:00Z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