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27DA6" w14:paraId="6D3D92AE" w14:textId="77777777" w:rsidTr="008A1499">
        <w:trPr>
          <w:trHeight w:val="850"/>
        </w:trPr>
        <w:tc>
          <w:tcPr>
            <w:tcW w:w="975" w:type="dxa"/>
            <w:vAlign w:val="bottom"/>
          </w:tcPr>
          <w:p w14:paraId="1B4BD269" w14:textId="77777777" w:rsidR="008A1499" w:rsidRPr="00827DA6" w:rsidRDefault="008A1499" w:rsidP="008A1499">
            <w:pPr>
              <w:pStyle w:val="AASmallLogo"/>
            </w:pPr>
            <w:r w:rsidRPr="00C643F0">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27DA6">
              <w:t xml:space="preserve"> </w:t>
            </w:r>
          </w:p>
          <w:p w14:paraId="46D3D066" w14:textId="77777777" w:rsidR="008A1499" w:rsidRPr="00C643F0" w:rsidRDefault="008A1499" w:rsidP="008A1499">
            <w:pPr>
              <w:pStyle w:val="AASmallLogo"/>
            </w:pPr>
          </w:p>
        </w:tc>
        <w:tc>
          <w:tcPr>
            <w:tcW w:w="1434" w:type="dxa"/>
            <w:noWrap/>
            <w:vAlign w:val="bottom"/>
          </w:tcPr>
          <w:p w14:paraId="46EEB31E" w14:textId="77777777" w:rsidR="008A1499" w:rsidRPr="00827DA6" w:rsidRDefault="008A1499" w:rsidP="008A1499">
            <w:pPr>
              <w:pStyle w:val="AASmallLogo"/>
            </w:pPr>
            <w:r w:rsidRPr="00C643F0">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27DA6">
              <w:t xml:space="preserve"> </w:t>
            </w:r>
          </w:p>
          <w:p w14:paraId="4E5A6C7A" w14:textId="77777777" w:rsidR="008A1499" w:rsidRPr="00C643F0" w:rsidRDefault="008A1499" w:rsidP="008A1499">
            <w:pPr>
              <w:pStyle w:val="AASmallLogo"/>
            </w:pPr>
          </w:p>
        </w:tc>
        <w:tc>
          <w:tcPr>
            <w:tcW w:w="8073" w:type="dxa"/>
            <w:vAlign w:val="bottom"/>
          </w:tcPr>
          <w:p w14:paraId="7E005158" w14:textId="1C8FB9BA" w:rsidR="008A1499" w:rsidRPr="00827DA6" w:rsidRDefault="008A1499" w:rsidP="003F1A75">
            <w:pPr>
              <w:pStyle w:val="ABSymbol"/>
            </w:pPr>
            <w:r w:rsidRPr="00C643F0">
              <w:rPr>
                <w:sz w:val="40"/>
              </w:rPr>
              <w:t>CBD</w:t>
            </w:r>
            <w:r w:rsidRPr="00827DA6">
              <w:t>/</w:t>
            </w:r>
            <w:r w:rsidR="00240EE6" w:rsidRPr="00020F91">
              <w:t>COP</w:t>
            </w:r>
            <w:r w:rsidRPr="00020F91">
              <w:t>/</w:t>
            </w:r>
            <w:r w:rsidR="00240EE6" w:rsidRPr="00020F91">
              <w:t>17/</w:t>
            </w:r>
            <w:r w:rsidR="00BB682B" w:rsidRPr="00020F91">
              <w:t>6/Add</w:t>
            </w:r>
            <w:r w:rsidR="00043C43">
              <w:t>.</w:t>
            </w:r>
            <w:r w:rsidR="00BB682B" w:rsidRPr="00020F91">
              <w:t>3</w:t>
            </w:r>
          </w:p>
        </w:tc>
      </w:tr>
    </w:tbl>
    <w:p w14:paraId="6E3104D6" w14:textId="77777777" w:rsidR="008A1499" w:rsidRPr="00C643F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27DA6" w14:paraId="5270C162" w14:textId="77777777" w:rsidTr="008A1499">
        <w:trPr>
          <w:trHeight w:val="1814"/>
        </w:trPr>
        <w:tc>
          <w:tcPr>
            <w:tcW w:w="7370" w:type="dxa"/>
          </w:tcPr>
          <w:p w14:paraId="699367AC" w14:textId="77777777" w:rsidR="008A1499" w:rsidRPr="00827DA6" w:rsidRDefault="008A1499" w:rsidP="008A1499">
            <w:pPr>
              <w:pStyle w:val="ACLargeLogo"/>
            </w:pPr>
            <w:r w:rsidRPr="00C643F0">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27DA6">
              <w:t xml:space="preserve"> </w:t>
            </w:r>
          </w:p>
          <w:p w14:paraId="56FD1AE8" w14:textId="77777777" w:rsidR="008A1499" w:rsidRPr="00C643F0" w:rsidRDefault="008A1499" w:rsidP="008A1499">
            <w:pPr>
              <w:pStyle w:val="ACLargeLogo"/>
            </w:pPr>
          </w:p>
        </w:tc>
        <w:tc>
          <w:tcPr>
            <w:tcW w:w="3112" w:type="dxa"/>
          </w:tcPr>
          <w:p w14:paraId="46FE25ED" w14:textId="77777777" w:rsidR="008A1499" w:rsidRPr="00827DA6" w:rsidRDefault="008A1499" w:rsidP="008A1499">
            <w:pPr>
              <w:pStyle w:val="AEDistrNormal"/>
            </w:pPr>
            <w:r w:rsidRPr="00C643F0">
              <w:t xml:space="preserve">Distr.: General </w:t>
            </w:r>
          </w:p>
          <w:p w14:paraId="1F01C14D" w14:textId="7F46929C" w:rsidR="008A1499" w:rsidRPr="00C643F0" w:rsidRDefault="005E1B49" w:rsidP="008A1499">
            <w:pPr>
              <w:pStyle w:val="AEDistrNormal"/>
            </w:pPr>
            <w:r w:rsidRPr="00827DA6">
              <w:t>14 September 2026</w:t>
            </w:r>
          </w:p>
          <w:p w14:paraId="21617666" w14:textId="77777777" w:rsidR="008A1499" w:rsidRPr="00827DA6" w:rsidRDefault="008A1499" w:rsidP="008A1499">
            <w:pPr>
              <w:pStyle w:val="AEDistrNormal6pt"/>
            </w:pPr>
            <w:r w:rsidRPr="00C643F0">
              <w:t xml:space="preserve">Original: English </w:t>
            </w:r>
          </w:p>
          <w:p w14:paraId="3307EF36" w14:textId="77777777" w:rsidR="008A1499" w:rsidRPr="00C643F0" w:rsidRDefault="008A1499" w:rsidP="008A1499">
            <w:pPr>
              <w:pStyle w:val="AEDistrNormal6pt"/>
            </w:pPr>
          </w:p>
        </w:tc>
      </w:tr>
    </w:tbl>
    <w:p w14:paraId="4AB7B37A" w14:textId="77777777" w:rsidR="008A1499" w:rsidRPr="00C643F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27DA6" w14:paraId="726446BD" w14:textId="77777777" w:rsidTr="008A1499">
        <w:trPr>
          <w:trHeight w:val="57"/>
        </w:trPr>
        <w:tc>
          <w:tcPr>
            <w:tcW w:w="6094" w:type="dxa"/>
          </w:tcPr>
          <w:p w14:paraId="046D3839" w14:textId="77777777" w:rsidR="008A1499" w:rsidRPr="00827DA6" w:rsidRDefault="00240EE6" w:rsidP="008A1499">
            <w:pPr>
              <w:pStyle w:val="AFCorN12Bold"/>
            </w:pPr>
            <w:r w:rsidRPr="00C643F0">
              <w:t xml:space="preserve">Conference of the Parties to the </w:t>
            </w:r>
            <w:r w:rsidR="006E7BE2" w:rsidRPr="00827DA6">
              <w:br/>
            </w:r>
            <w:r w:rsidRPr="00C643F0">
              <w:t>Convention on Biological Diversity</w:t>
            </w:r>
            <w:r w:rsidR="008A1499" w:rsidRPr="00827DA6">
              <w:t xml:space="preserve"> </w:t>
            </w:r>
          </w:p>
          <w:p w14:paraId="6D12A192" w14:textId="77777777" w:rsidR="008A1499" w:rsidRPr="00827DA6" w:rsidRDefault="00240EE6" w:rsidP="008A1499">
            <w:pPr>
              <w:pStyle w:val="AFCorNBold"/>
            </w:pPr>
            <w:r w:rsidRPr="00C643F0">
              <w:t>Seventeen</w:t>
            </w:r>
            <w:r w:rsidR="008A1499" w:rsidRPr="00827DA6">
              <w:t xml:space="preserve">th meeting </w:t>
            </w:r>
          </w:p>
          <w:p w14:paraId="7ECD4716" w14:textId="77777777" w:rsidR="008A1499" w:rsidRPr="00827DA6" w:rsidRDefault="00240EE6" w:rsidP="008A1499">
            <w:pPr>
              <w:pStyle w:val="AFCorNNormal"/>
            </w:pPr>
            <w:r w:rsidRPr="00C643F0">
              <w:t>Yerevan</w:t>
            </w:r>
            <w:r w:rsidR="008A1499" w:rsidRPr="00827DA6">
              <w:t xml:space="preserve">, </w:t>
            </w:r>
            <w:r w:rsidRPr="00827DA6">
              <w:rPr>
                <w:snapToGrid w:val="0"/>
                <w:kern w:val="22"/>
              </w:rPr>
              <w:t>19</w:t>
            </w:r>
            <w:r w:rsidR="008A1499" w:rsidRPr="00827DA6">
              <w:rPr>
                <w:snapToGrid w:val="0"/>
                <w:kern w:val="22"/>
              </w:rPr>
              <w:t>–</w:t>
            </w:r>
            <w:r w:rsidRPr="00827DA6">
              <w:rPr>
                <w:snapToGrid w:val="0"/>
                <w:kern w:val="22"/>
              </w:rPr>
              <w:t>30</w:t>
            </w:r>
            <w:r w:rsidR="008A1499" w:rsidRPr="00827DA6">
              <w:rPr>
                <w:snapToGrid w:val="0"/>
                <w:kern w:val="22"/>
              </w:rPr>
              <w:t xml:space="preserve"> </w:t>
            </w:r>
            <w:r w:rsidRPr="00827DA6">
              <w:rPr>
                <w:snapToGrid w:val="0"/>
                <w:kern w:val="22"/>
              </w:rPr>
              <w:t>October 2026</w:t>
            </w:r>
          </w:p>
          <w:p w14:paraId="242D0A4F" w14:textId="77777777" w:rsidR="008A1499" w:rsidRPr="00827DA6" w:rsidRDefault="008A1499" w:rsidP="008A1499">
            <w:pPr>
              <w:pStyle w:val="AFCorNNormal"/>
            </w:pPr>
            <w:r w:rsidRPr="00C643F0">
              <w:t xml:space="preserve">Item </w:t>
            </w:r>
            <w:r w:rsidR="00BB682B" w:rsidRPr="00827DA6">
              <w:t>11</w:t>
            </w:r>
            <w:r w:rsidRPr="00827DA6">
              <w:t xml:space="preserve"> of the provisional agenda</w:t>
            </w:r>
            <w:r w:rsidRPr="00827DA6">
              <w:rPr>
                <w:rStyle w:val="FootnoteReference"/>
              </w:rPr>
              <w:footnoteReference w:customMarkFollows="1" w:id="1"/>
              <w:t>*</w:t>
            </w:r>
            <w:r w:rsidRPr="00827DA6">
              <w:t xml:space="preserve"> </w:t>
            </w:r>
          </w:p>
          <w:p w14:paraId="6EF14127" w14:textId="3A5464BD" w:rsidR="008A1499" w:rsidRPr="00827DA6" w:rsidRDefault="00BB682B" w:rsidP="008A1499">
            <w:pPr>
              <w:pStyle w:val="AFCorNBold"/>
            </w:pPr>
            <w:r w:rsidRPr="00C643F0">
              <w:t xml:space="preserve">Digital </w:t>
            </w:r>
            <w:r w:rsidR="00184654" w:rsidRPr="00827DA6">
              <w:t>s</w:t>
            </w:r>
            <w:r w:rsidRPr="00827DA6">
              <w:t xml:space="preserve">equence </w:t>
            </w:r>
            <w:r w:rsidR="00123647" w:rsidRPr="00827DA6">
              <w:t>i</w:t>
            </w:r>
            <w:r w:rsidRPr="00827DA6">
              <w:t xml:space="preserve">nformation on </w:t>
            </w:r>
            <w:r w:rsidR="00123647" w:rsidRPr="00827DA6">
              <w:t>g</w:t>
            </w:r>
            <w:r w:rsidRPr="00827DA6">
              <w:t xml:space="preserve">enetic </w:t>
            </w:r>
            <w:r w:rsidR="00123647" w:rsidRPr="00827DA6">
              <w:t>r</w:t>
            </w:r>
            <w:r w:rsidRPr="00827DA6">
              <w:t>esource</w:t>
            </w:r>
            <w:r w:rsidR="007F57F5" w:rsidRPr="00827DA6">
              <w:t>s</w:t>
            </w:r>
            <w:r w:rsidR="00C643F0">
              <w:t xml:space="preserve"> </w:t>
            </w:r>
          </w:p>
        </w:tc>
        <w:tc>
          <w:tcPr>
            <w:tcW w:w="4388" w:type="dxa"/>
          </w:tcPr>
          <w:p w14:paraId="385D67CF" w14:textId="77777777" w:rsidR="008A1499" w:rsidRPr="00C643F0" w:rsidRDefault="008A1499" w:rsidP="008A1499">
            <w:pPr>
              <w:pStyle w:val="CBDNormal"/>
              <w:jc w:val="left"/>
            </w:pPr>
          </w:p>
        </w:tc>
      </w:tr>
    </w:tbl>
    <w:p w14:paraId="0BFAB900" w14:textId="77777777" w:rsidR="00C9161D" w:rsidRPr="00827DA6" w:rsidRDefault="005C6E02" w:rsidP="00020F91">
      <w:pPr>
        <w:pStyle w:val="CBDTitle"/>
        <w:ind w:right="571"/>
      </w:pPr>
      <w:sdt>
        <w:sdtPr>
          <w:alias w:val="Title"/>
          <w:tag w:val=""/>
          <w:id w:val="772832786"/>
          <w:placeholder>
            <w:docPart w:val="7A856C6EAFBC4F8AAA8F54826083FE19"/>
          </w:placeholder>
          <w:dataBinding w:prefixMappings="xmlns:ns0='http://purl.org/dc/elements/1.1/' xmlns:ns1='http://schemas.openxmlformats.org/package/2006/metadata/core-properties' " w:xpath="/ns1:coreProperties[1]/ns0:title[1]" w:storeItemID="{6C3C8BC8-F283-45AE-878A-BAB7291924A1}"/>
          <w:text/>
        </w:sdtPr>
        <w:sdtEndPr/>
        <w:sdtContent>
          <w:r w:rsidR="00C80EA4" w:rsidRPr="00C643F0">
            <w:t>Executive summary of the study on contribution rates, including implications for revenue generation and economic competitiveness, and on national and international standards for the identification of small, medium and large entities</w:t>
          </w:r>
        </w:sdtContent>
      </w:sdt>
      <w:r w:rsidR="00105372" w:rsidRPr="00827DA6">
        <w:rPr>
          <w:caps/>
        </w:rPr>
        <w:t xml:space="preserve"> </w:t>
      </w:r>
    </w:p>
    <w:p w14:paraId="2C97DDB0" w14:textId="77777777" w:rsidR="00F6586C" w:rsidRPr="00827DA6" w:rsidRDefault="0030169D" w:rsidP="00A111D1">
      <w:pPr>
        <w:pStyle w:val="CBDSubTitle"/>
      </w:pPr>
      <w:r w:rsidRPr="00C643F0">
        <w:t xml:space="preserve">Note by the </w:t>
      </w:r>
      <w:r w:rsidR="007E0F8A" w:rsidRPr="00827DA6">
        <w:t>Secretariat</w:t>
      </w:r>
    </w:p>
    <w:p w14:paraId="5920749D" w14:textId="0EA17C75" w:rsidR="00C9161D" w:rsidRPr="00827DA6" w:rsidRDefault="00065994" w:rsidP="00020F91">
      <w:pPr>
        <w:pStyle w:val="CBDH1"/>
      </w:pPr>
      <w:r w:rsidRPr="00827DA6">
        <w:t>I.</w:t>
      </w:r>
      <w:r w:rsidRPr="00827DA6">
        <w:tab/>
      </w:r>
      <w:r w:rsidR="00BB682B" w:rsidRPr="00C643F0">
        <w:t>Introduction</w:t>
      </w:r>
    </w:p>
    <w:p w14:paraId="4D269668" w14:textId="4362D575" w:rsidR="00BB682B" w:rsidRPr="00827DA6" w:rsidRDefault="00BB682B" w:rsidP="00A66621">
      <w:pPr>
        <w:pStyle w:val="CBDNormalNumber"/>
        <w:numPr>
          <w:ilvl w:val="0"/>
          <w:numId w:val="15"/>
        </w:numPr>
      </w:pPr>
      <w:r w:rsidRPr="00C643F0">
        <w:t xml:space="preserve">In </w:t>
      </w:r>
      <w:r w:rsidR="00F84CCD" w:rsidRPr="00827DA6">
        <w:t xml:space="preserve">paragraph 1 of </w:t>
      </w:r>
      <w:r w:rsidRPr="00827DA6">
        <w:t xml:space="preserve">its decision </w:t>
      </w:r>
      <w:hyperlink r:id="rId15" w:history="1">
        <w:r w:rsidRPr="00827DA6">
          <w:rPr>
            <w:rStyle w:val="Hyperlink"/>
          </w:rPr>
          <w:t>16/2</w:t>
        </w:r>
      </w:hyperlink>
      <w:r w:rsidRPr="00827DA6">
        <w:t xml:space="preserve">, the </w:t>
      </w:r>
      <w:r w:rsidRPr="00C643F0">
        <w:t xml:space="preserve">Conference of the Parties to the Convention on Biological Diversity adopted the modalities for operationalizing the </w:t>
      </w:r>
      <w:r w:rsidR="00827DA6">
        <w:t>m</w:t>
      </w:r>
      <w:r w:rsidRPr="00C643F0">
        <w:t xml:space="preserve">ultilateral </w:t>
      </w:r>
      <w:r w:rsidR="00827DA6">
        <w:t>m</w:t>
      </w:r>
      <w:r w:rsidRPr="00C643F0">
        <w:t xml:space="preserve">echanism for the </w:t>
      </w:r>
      <w:r w:rsidR="00827DA6">
        <w:t>f</w:t>
      </w:r>
      <w:r w:rsidRPr="00C643F0">
        <w:t xml:space="preserve">air and </w:t>
      </w:r>
      <w:r w:rsidR="00827DA6">
        <w:t>e</w:t>
      </w:r>
      <w:r w:rsidRPr="00C643F0">
        <w:t xml:space="preserve">quitable </w:t>
      </w:r>
      <w:r w:rsidR="00827DA6">
        <w:t>s</w:t>
      </w:r>
      <w:r w:rsidRPr="00C643F0">
        <w:t xml:space="preserve">haring of </w:t>
      </w:r>
      <w:r w:rsidR="00827DA6">
        <w:t>b</w:t>
      </w:r>
      <w:r w:rsidRPr="00C643F0">
        <w:t xml:space="preserve">enefits from the </w:t>
      </w:r>
      <w:r w:rsidR="00827DA6">
        <w:t>u</w:t>
      </w:r>
      <w:r w:rsidRPr="00C643F0">
        <w:t xml:space="preserve">se of </w:t>
      </w:r>
      <w:r w:rsidR="00827DA6">
        <w:t>d</w:t>
      </w:r>
      <w:r w:rsidRPr="00C643F0">
        <w:t xml:space="preserve">igital </w:t>
      </w:r>
      <w:r w:rsidR="00827DA6">
        <w:t>s</w:t>
      </w:r>
      <w:r w:rsidRPr="00C643F0">
        <w:t xml:space="preserve">equence </w:t>
      </w:r>
      <w:r w:rsidR="00827DA6">
        <w:t>i</w:t>
      </w:r>
      <w:r w:rsidRPr="00C643F0">
        <w:t xml:space="preserve">nformation on </w:t>
      </w:r>
      <w:r w:rsidR="00827DA6">
        <w:t>g</w:t>
      </w:r>
      <w:r w:rsidRPr="00C643F0">
        <w:t xml:space="preserve">enetic </w:t>
      </w:r>
      <w:r w:rsidR="00827DA6">
        <w:t>r</w:t>
      </w:r>
      <w:r w:rsidRPr="00C643F0">
        <w:t>esources, including a global fund, which</w:t>
      </w:r>
      <w:r w:rsidR="00F84CCD" w:rsidRPr="00827DA6">
        <w:t>,</w:t>
      </w:r>
      <w:r w:rsidRPr="00827DA6">
        <w:t xml:space="preserve"> </w:t>
      </w:r>
      <w:r w:rsidR="00F84CCD" w:rsidRPr="00827DA6">
        <w:t xml:space="preserve">according to paragraph 2 of the decision, </w:t>
      </w:r>
      <w:r w:rsidRPr="00827DA6">
        <w:t xml:space="preserve">was to be called </w:t>
      </w:r>
      <w:r w:rsidRPr="00C643F0">
        <w:t>the Cali Fund</w:t>
      </w:r>
      <w:r w:rsidR="00506B9F">
        <w:t xml:space="preserve"> </w:t>
      </w:r>
      <w:r w:rsidR="00506B9F" w:rsidRPr="00506B9F">
        <w:t>for the Fair and Equitable Sharing of Benefits from the Use of Digital Sequence Information on Genetic Resources</w:t>
      </w:r>
      <w:r w:rsidRPr="00C643F0">
        <w:t>.</w:t>
      </w:r>
      <w:r w:rsidR="00F84CCD" w:rsidRPr="00827DA6">
        <w:t xml:space="preserve"> The modalities were provided in the annex </w:t>
      </w:r>
      <w:r w:rsidR="00865A97">
        <w:t>to</w:t>
      </w:r>
      <w:r w:rsidR="00865A97" w:rsidRPr="00827DA6">
        <w:t xml:space="preserve"> </w:t>
      </w:r>
      <w:r w:rsidR="00F84CCD" w:rsidRPr="00827DA6">
        <w:t>the decision.</w:t>
      </w:r>
    </w:p>
    <w:p w14:paraId="5C64F8C8" w14:textId="3F439ABE" w:rsidR="00F84CCD" w:rsidRPr="00827DA6" w:rsidRDefault="00BB682B" w:rsidP="00FB13E9">
      <w:pPr>
        <w:pStyle w:val="CBDNormalNumber"/>
        <w:numPr>
          <w:ilvl w:val="0"/>
          <w:numId w:val="15"/>
        </w:numPr>
      </w:pPr>
      <w:r w:rsidRPr="00C643F0">
        <w:t xml:space="preserve">In paragraph 6 of the same decision, the Conference of the Parties requested the Executive Secretary, subject to the availability of resources, to commission a study on national and international standards for the identification of the small, medium and large entities referred to in paragraph 3 of the </w:t>
      </w:r>
      <w:r w:rsidR="00F84CCD" w:rsidRPr="00827DA6">
        <w:t xml:space="preserve">modalities </w:t>
      </w:r>
      <w:r w:rsidRPr="00827DA6">
        <w:t>annex</w:t>
      </w:r>
      <w:r w:rsidR="00F84CCD" w:rsidRPr="00827DA6">
        <w:t>ed</w:t>
      </w:r>
      <w:r w:rsidRPr="00827DA6">
        <w:t xml:space="preserve"> to the decision</w:t>
      </w:r>
      <w:r w:rsidR="00303ACA" w:rsidRPr="00827DA6">
        <w:t xml:space="preserve"> (para</w:t>
      </w:r>
      <w:r w:rsidR="00647691">
        <w:t>.</w:t>
      </w:r>
      <w:r w:rsidR="00303ACA" w:rsidRPr="00827DA6">
        <w:t xml:space="preserve"> 6</w:t>
      </w:r>
      <w:r w:rsidR="00647691">
        <w:t xml:space="preserve"> </w:t>
      </w:r>
      <w:r w:rsidR="00303ACA" w:rsidRPr="00827DA6">
        <w:t>(d))</w:t>
      </w:r>
      <w:r w:rsidRPr="00827DA6">
        <w:t xml:space="preserve"> and a study on </w:t>
      </w:r>
      <w:r w:rsidRPr="00C643F0">
        <w:t>contribution rates, including implications for revenue generation and economic competitiveness</w:t>
      </w:r>
      <w:r w:rsidR="00303ACA" w:rsidRPr="00827DA6">
        <w:t xml:space="preserve"> </w:t>
      </w:r>
      <w:r w:rsidR="00303ACA" w:rsidRPr="00C643F0">
        <w:t>(para</w:t>
      </w:r>
      <w:r w:rsidR="00647691">
        <w:t>.</w:t>
      </w:r>
      <w:r w:rsidR="00303ACA" w:rsidRPr="00C643F0">
        <w:t xml:space="preserve"> 6</w:t>
      </w:r>
      <w:r w:rsidR="00647691">
        <w:t xml:space="preserve"> </w:t>
      </w:r>
      <w:r w:rsidR="00303ACA" w:rsidRPr="00C643F0">
        <w:t>(e))</w:t>
      </w:r>
      <w:r w:rsidRPr="00827DA6">
        <w:t xml:space="preserve">. </w:t>
      </w:r>
    </w:p>
    <w:p w14:paraId="28A90B2A" w14:textId="77777777" w:rsidR="00BB682B" w:rsidRPr="00827DA6" w:rsidRDefault="00BB682B" w:rsidP="00FB13E9">
      <w:pPr>
        <w:pStyle w:val="CBDNormalNumber"/>
        <w:numPr>
          <w:ilvl w:val="0"/>
          <w:numId w:val="15"/>
        </w:numPr>
      </w:pPr>
      <w:r w:rsidRPr="00C643F0">
        <w:t>Paragraph 4 of the modalities provides that, in the light of these two studies, the Conference of the Parties will establish thresholds and contribution rates at its seventeenth meeting and review them periodically thereafter.</w:t>
      </w:r>
    </w:p>
    <w:p w14:paraId="781E236B" w14:textId="39D06451" w:rsidR="00BB682B" w:rsidRPr="00827DA6" w:rsidRDefault="00BB682B" w:rsidP="00FB13E9">
      <w:pPr>
        <w:pStyle w:val="CBDNormalNumber"/>
        <w:numPr>
          <w:ilvl w:val="0"/>
          <w:numId w:val="15"/>
        </w:numPr>
      </w:pPr>
      <w:proofErr w:type="gramStart"/>
      <w:r w:rsidRPr="00C643F0">
        <w:t xml:space="preserve">In </w:t>
      </w:r>
      <w:r w:rsidR="00F84CCD" w:rsidRPr="00827DA6">
        <w:t>order to</w:t>
      </w:r>
      <w:proofErr w:type="gramEnd"/>
      <w:r w:rsidR="00F84CCD" w:rsidRPr="00827DA6">
        <w:t xml:space="preserve"> support the preparation of </w:t>
      </w:r>
      <w:r w:rsidRPr="00827DA6">
        <w:t xml:space="preserve">the study on national and international standards for the </w:t>
      </w:r>
      <w:r w:rsidRPr="00C643F0">
        <w:t xml:space="preserve">identification of the small, medium and large entities, the Secretariat issued notification No. </w:t>
      </w:r>
      <w:hyperlink r:id="rId16" w:history="1">
        <w:r w:rsidRPr="00827DA6">
          <w:rPr>
            <w:rStyle w:val="Hyperlink"/>
          </w:rPr>
          <w:t>2024-</w:t>
        </w:r>
        <w:r w:rsidRPr="00C643F0">
          <w:rPr>
            <w:rStyle w:val="Hyperlink"/>
          </w:rPr>
          <w:t>116</w:t>
        </w:r>
      </w:hyperlink>
      <w:r w:rsidR="003E274A">
        <w:t>,</w:t>
      </w:r>
      <w:r w:rsidRPr="00827DA6">
        <w:t xml:space="preserve"> </w:t>
      </w:r>
      <w:r w:rsidR="00F84CCD" w:rsidRPr="00827DA6">
        <w:t>inviting</w:t>
      </w:r>
      <w:r w:rsidRPr="00827DA6">
        <w:t xml:space="preserve"> Parties, other Governments, indigenous peoples and local communities and relevant </w:t>
      </w:r>
      <w:r w:rsidRPr="00C643F0">
        <w:t xml:space="preserve">organizations to submit information on such standards. </w:t>
      </w:r>
    </w:p>
    <w:p w14:paraId="3741C5EB" w14:textId="1F9446BD" w:rsidR="00BB682B" w:rsidRPr="00827DA6" w:rsidRDefault="00BB682B" w:rsidP="00331FA4">
      <w:pPr>
        <w:pStyle w:val="CBDNormalNumber"/>
        <w:numPr>
          <w:ilvl w:val="0"/>
          <w:numId w:val="15"/>
        </w:numPr>
      </w:pPr>
      <w:r w:rsidRPr="00C643F0">
        <w:t xml:space="preserve">Given the interlinkages between the two subjects and the resources available, both requests were addressed in a </w:t>
      </w:r>
      <w:r w:rsidRPr="00B27659">
        <w:t>single combined</w:t>
      </w:r>
      <w:r w:rsidRPr="00C643F0">
        <w:t xml:space="preserve"> study. The present document contains the executive summary of the combined study. The full study is </w:t>
      </w:r>
      <w:r w:rsidR="00F84CCD" w:rsidRPr="00827DA6">
        <w:t xml:space="preserve">made </w:t>
      </w:r>
      <w:r w:rsidRPr="00827DA6">
        <w:t>available as an information document.</w:t>
      </w:r>
    </w:p>
    <w:p w14:paraId="7152A08F" w14:textId="604F73AD" w:rsidR="0093169E" w:rsidRPr="00827DA6" w:rsidRDefault="00065994" w:rsidP="00020F91">
      <w:pPr>
        <w:pStyle w:val="CBDH1"/>
      </w:pPr>
      <w:r w:rsidRPr="00827DA6">
        <w:lastRenderedPageBreak/>
        <w:t>II.</w:t>
      </w:r>
      <w:r w:rsidRPr="00827DA6">
        <w:tab/>
      </w:r>
      <w:r w:rsidR="00BB682B" w:rsidRPr="00AC006B">
        <w:t>Methodology and limitations</w:t>
      </w:r>
    </w:p>
    <w:p w14:paraId="09E68623" w14:textId="43A396AD" w:rsidR="00BB682B" w:rsidRPr="00827DA6" w:rsidRDefault="00065994" w:rsidP="00020F91">
      <w:pPr>
        <w:pStyle w:val="CBDH2"/>
        <w:rPr>
          <w:rFonts w:hint="eastAsia"/>
        </w:rPr>
      </w:pPr>
      <w:r w:rsidRPr="00827DA6">
        <w:t>A.</w:t>
      </w:r>
      <w:r w:rsidRPr="00827DA6">
        <w:tab/>
      </w:r>
      <w:r w:rsidR="00BB682B" w:rsidRPr="00C643F0">
        <w:t>Study methodology</w:t>
      </w:r>
    </w:p>
    <w:p w14:paraId="6BB4ADAD" w14:textId="6795461E" w:rsidR="00BB682B" w:rsidRPr="00827DA6" w:rsidRDefault="00BB682B" w:rsidP="00331FA4">
      <w:pPr>
        <w:pStyle w:val="CBDNormalNumber"/>
        <w:numPr>
          <w:ilvl w:val="0"/>
          <w:numId w:val="15"/>
        </w:numPr>
      </w:pPr>
      <w:r w:rsidRPr="00C643F0">
        <w:t>Th</w:t>
      </w:r>
      <w:r w:rsidR="00670E78">
        <w:t>e</w:t>
      </w:r>
      <w:r w:rsidRPr="00C643F0">
        <w:t xml:space="preserve"> stud</w:t>
      </w:r>
      <w:r w:rsidRPr="001F021E">
        <w:t>y examines</w:t>
      </w:r>
      <w:r w:rsidRPr="00C643F0">
        <w:t xml:space="preserve"> only the contribution aspect of the Cali Fund mechanism, and</w:t>
      </w:r>
      <w:r w:rsidR="00670E78">
        <w:t>,</w:t>
      </w:r>
      <w:r w:rsidRPr="00C643F0">
        <w:t xml:space="preserve"> as such</w:t>
      </w:r>
      <w:r w:rsidR="00670E78">
        <w:t>,</w:t>
      </w:r>
      <w:r w:rsidRPr="00C643F0">
        <w:t xml:space="preserve"> aligns with the principles set out in </w:t>
      </w:r>
      <w:r w:rsidR="009265D7" w:rsidRPr="00827DA6">
        <w:t>para</w:t>
      </w:r>
      <w:r w:rsidR="00670E78">
        <w:t>graphs</w:t>
      </w:r>
      <w:r w:rsidR="009265D7" w:rsidRPr="00827DA6">
        <w:t xml:space="preserve"> 9 and 10 of d</w:t>
      </w:r>
      <w:r w:rsidRPr="00827DA6">
        <w:t xml:space="preserve">ecision </w:t>
      </w:r>
      <w:hyperlink r:id="rId17" w:history="1">
        <w:r w:rsidRPr="000D14AF">
          <w:rPr>
            <w:rStyle w:val="Hyperlink"/>
          </w:rPr>
          <w:t>15/9</w:t>
        </w:r>
      </w:hyperlink>
      <w:r w:rsidRPr="00827DA6">
        <w:t xml:space="preserve">, as well as </w:t>
      </w:r>
      <w:r w:rsidR="009265D7" w:rsidRPr="00827DA6">
        <w:t>the objectives of the Cali Fund</w:t>
      </w:r>
      <w:r w:rsidRPr="00827DA6">
        <w:t xml:space="preserve">. The study does </w:t>
      </w:r>
      <w:r w:rsidRPr="00B51E0B">
        <w:t xml:space="preserve">not </w:t>
      </w:r>
      <w:proofErr w:type="gramStart"/>
      <w:r w:rsidR="00B51E0B">
        <w:t>take into account</w:t>
      </w:r>
      <w:proofErr w:type="gramEnd"/>
      <w:r w:rsidR="00B51E0B">
        <w:t xml:space="preserve"> </w:t>
      </w:r>
      <w:r w:rsidRPr="00827DA6">
        <w:t>the allocation formula, distributional outcomes for recipients or non-monetary benefit-sharing, as these are addressed through separate intersessional processes; any interaction between contribution obligations and allocation is explicitly flagged where relevant.</w:t>
      </w:r>
    </w:p>
    <w:p w14:paraId="0D77B233" w14:textId="64AFDE90" w:rsidR="00BB682B" w:rsidRPr="00827DA6" w:rsidRDefault="00BB682B" w:rsidP="00331FA4">
      <w:pPr>
        <w:pStyle w:val="CBDNormalNumber"/>
        <w:numPr>
          <w:ilvl w:val="0"/>
          <w:numId w:val="15"/>
        </w:numPr>
      </w:pPr>
      <w:r w:rsidRPr="00827DA6">
        <w:t>The study is organized in</w:t>
      </w:r>
      <w:r w:rsidR="00834F91">
        <w:t>to</w:t>
      </w:r>
      <w:r w:rsidRPr="00827DA6">
        <w:t xml:space="preserve"> three parts, each addressing a distinct element of the two mandates referred to in paragraph 2 </w:t>
      </w:r>
      <w:r w:rsidR="000342C8">
        <w:t xml:space="preserve">of the present </w:t>
      </w:r>
      <w:r w:rsidR="00524CF2">
        <w:t>report</w:t>
      </w:r>
      <w:r w:rsidRPr="00827DA6">
        <w:t>, preceded by a review of the institutional and legal context and of comparable multilateral benefit-sharing mechanisms.</w:t>
      </w:r>
    </w:p>
    <w:p w14:paraId="43FBF4D1" w14:textId="1D0BA980" w:rsidR="00BB682B" w:rsidRPr="00827DA6" w:rsidRDefault="00BB682B" w:rsidP="00331FA4">
      <w:pPr>
        <w:pStyle w:val="CBDNormalNumber"/>
        <w:numPr>
          <w:ilvl w:val="0"/>
          <w:numId w:val="15"/>
        </w:numPr>
      </w:pPr>
      <w:r w:rsidRPr="00827DA6">
        <w:t>Part I, addressing paragraph 6</w:t>
      </w:r>
      <w:r w:rsidR="004E6240">
        <w:t xml:space="preserve"> </w:t>
      </w:r>
      <w:r w:rsidRPr="00827DA6">
        <w:t xml:space="preserve">(d) of </w:t>
      </w:r>
      <w:bookmarkStart w:id="0" w:name="_Hlk240286178"/>
      <w:r w:rsidRPr="00827DA6">
        <w:t xml:space="preserve">decision </w:t>
      </w:r>
      <w:hyperlink r:id="rId18" w:history="1">
        <w:r w:rsidRPr="00827DA6">
          <w:rPr>
            <w:rStyle w:val="Hyperlink"/>
          </w:rPr>
          <w:t>16/2</w:t>
        </w:r>
      </w:hyperlink>
      <w:bookmarkEnd w:id="0"/>
      <w:r w:rsidRPr="00827DA6">
        <w:t xml:space="preserve">, draws on the submissions received in response to </w:t>
      </w:r>
      <w:r w:rsidR="00411C88" w:rsidRPr="00020F91">
        <w:t xml:space="preserve">notification </w:t>
      </w:r>
      <w:r w:rsidR="00411C88">
        <w:t xml:space="preserve">No. </w:t>
      </w:r>
      <w:hyperlink r:id="rId19" w:history="1">
        <w:r w:rsidR="00411C88" w:rsidRPr="00F50272">
          <w:rPr>
            <w:rStyle w:val="Hyperlink"/>
          </w:rPr>
          <w:t>2024-116</w:t>
        </w:r>
      </w:hyperlink>
      <w:r w:rsidRPr="00827DA6">
        <w:t xml:space="preserve">, in which Parties, other Governments, indigenous peoples and local communities and relevant organizations were invited to share views on national and international standards for </w:t>
      </w:r>
      <w:r w:rsidRPr="00AA1658">
        <w:t>company size</w:t>
      </w:r>
      <w:r w:rsidRPr="00827DA6">
        <w:t xml:space="preserve"> classification.</w:t>
      </w:r>
    </w:p>
    <w:p w14:paraId="33EBC8CC" w14:textId="2A86DA3A" w:rsidR="00BB682B" w:rsidRPr="00827DA6" w:rsidRDefault="00BB682B" w:rsidP="00331FA4">
      <w:pPr>
        <w:pStyle w:val="CBDNormalNumber"/>
        <w:numPr>
          <w:ilvl w:val="0"/>
          <w:numId w:val="15"/>
        </w:numPr>
      </w:pPr>
      <w:r w:rsidRPr="00827DA6">
        <w:t>Part II, addressing the revenue generation dimension of paragraph 6</w:t>
      </w:r>
      <w:r w:rsidR="00A60F33">
        <w:t xml:space="preserve"> </w:t>
      </w:r>
      <w:r w:rsidRPr="00827DA6">
        <w:t>(e)</w:t>
      </w:r>
      <w:r w:rsidR="00B9447D">
        <w:t xml:space="preserve"> </w:t>
      </w:r>
      <w:bookmarkStart w:id="1" w:name="_Hlk240286216"/>
      <w:r w:rsidR="00B9447D">
        <w:t xml:space="preserve">of </w:t>
      </w:r>
      <w:r w:rsidR="00B9447D" w:rsidRPr="00827DA6">
        <w:t xml:space="preserve">decision </w:t>
      </w:r>
      <w:hyperlink r:id="rId20" w:history="1">
        <w:r w:rsidR="00B9447D" w:rsidRPr="00827DA6">
          <w:rPr>
            <w:rStyle w:val="Hyperlink"/>
          </w:rPr>
          <w:t>16/2</w:t>
        </w:r>
      </w:hyperlink>
      <w:bookmarkEnd w:id="1"/>
      <w:r w:rsidRPr="00827DA6">
        <w:t>, draws on a working paper from the Grantham Research Institute on Climate Change and the Environment at the London School of Economics and Political Science,</w:t>
      </w:r>
      <w:r w:rsidR="00E26BF2">
        <w:rPr>
          <w:rStyle w:val="FootnoteReference"/>
        </w:rPr>
        <w:footnoteReference w:id="2"/>
      </w:r>
      <w:r w:rsidRPr="00827DA6">
        <w:t xml:space="preserve"> which provides firm-level estimates of Cali Fund contributions for 21,690 eligible entities across 100 </w:t>
      </w:r>
      <w:r w:rsidRPr="00D85F9C">
        <w:t>Convention on Biological Diversity Party jurisdictions,</w:t>
      </w:r>
      <w:r w:rsidRPr="00827DA6">
        <w:t xml:space="preserve"> using the </w:t>
      </w:r>
      <w:r w:rsidR="00B9447D" w:rsidRPr="00020F91">
        <w:t>Orbis financial database</w:t>
      </w:r>
      <w:r w:rsidRPr="00827DA6">
        <w:t>.</w:t>
      </w:r>
      <w:r w:rsidR="00553FAC">
        <w:rPr>
          <w:rStyle w:val="FootnoteReference"/>
        </w:rPr>
        <w:footnoteReference w:id="3"/>
      </w:r>
    </w:p>
    <w:p w14:paraId="77830FE6" w14:textId="1B319403" w:rsidR="000F78FC" w:rsidRPr="00827DA6" w:rsidRDefault="00BB682B" w:rsidP="00E74420">
      <w:pPr>
        <w:pStyle w:val="CBDNormalNumber"/>
        <w:numPr>
          <w:ilvl w:val="0"/>
          <w:numId w:val="15"/>
        </w:numPr>
      </w:pPr>
      <w:r w:rsidRPr="00827DA6">
        <w:t>Part III, addressing the competitiveness dimension of paragraph 6</w:t>
      </w:r>
      <w:r w:rsidR="00491B20">
        <w:t xml:space="preserve"> </w:t>
      </w:r>
      <w:r w:rsidRPr="00827DA6">
        <w:t>(e)</w:t>
      </w:r>
      <w:r w:rsidR="00491B20">
        <w:t xml:space="preserve"> of </w:t>
      </w:r>
      <w:r w:rsidR="00491B20" w:rsidRPr="00827DA6">
        <w:t xml:space="preserve">decision </w:t>
      </w:r>
      <w:hyperlink r:id="rId21" w:history="1">
        <w:r w:rsidR="00491B20" w:rsidRPr="00827DA6">
          <w:rPr>
            <w:rStyle w:val="Hyperlink"/>
          </w:rPr>
          <w:t>16/2</w:t>
        </w:r>
      </w:hyperlink>
      <w:r w:rsidRPr="00827DA6">
        <w:t>, draws primarily on peer-reviewed and grey literature and other submissions to the Convention, supported by a dedicated industry consultation of companies and industry association representatives operating in</w:t>
      </w:r>
      <w:r w:rsidR="009265D7" w:rsidRPr="00827DA6">
        <w:t xml:space="preserve"> the seven sectors </w:t>
      </w:r>
      <w:r w:rsidR="004709B2">
        <w:t xml:space="preserve">listed </w:t>
      </w:r>
      <w:r w:rsidR="004709B2" w:rsidRPr="00827DA6">
        <w:t xml:space="preserve">in </w:t>
      </w:r>
      <w:r w:rsidR="004709B2">
        <w:t>e</w:t>
      </w:r>
      <w:r w:rsidR="004709B2" w:rsidRPr="00827DA6">
        <w:t>nclosure I</w:t>
      </w:r>
      <w:r w:rsidR="004709B2">
        <w:t xml:space="preserve"> of the annex to </w:t>
      </w:r>
      <w:r w:rsidR="004709B2" w:rsidRPr="00827DA6">
        <w:t xml:space="preserve">decision </w:t>
      </w:r>
      <w:hyperlink r:id="rId22" w:history="1">
        <w:r w:rsidR="004709B2" w:rsidRPr="00827DA6">
          <w:rPr>
            <w:rStyle w:val="Hyperlink"/>
          </w:rPr>
          <w:t>16/2</w:t>
        </w:r>
      </w:hyperlink>
      <w:r w:rsidR="004709B2">
        <w:t xml:space="preserve"> </w:t>
      </w:r>
      <w:r w:rsidR="00843F46">
        <w:t xml:space="preserve">and </w:t>
      </w:r>
      <w:r w:rsidR="009265D7" w:rsidRPr="00827DA6">
        <w:t>in which large companies are expected to contribute to the Cali Fund</w:t>
      </w:r>
      <w:r w:rsidR="006B023C" w:rsidRPr="00827DA6">
        <w:t>, namely pharmaceuticals; nutraceuticals</w:t>
      </w:r>
      <w:r w:rsidR="00736D5A">
        <w:t xml:space="preserve"> (food and health supplements)</w:t>
      </w:r>
      <w:r w:rsidR="006B023C" w:rsidRPr="00827DA6">
        <w:t>; cosmetics; animal and plant breeding; biotechnology; laboratory equipment</w:t>
      </w:r>
      <w:r w:rsidR="00EA75AF">
        <w:t xml:space="preserve"> </w:t>
      </w:r>
      <w:r w:rsidR="00EA75AF" w:rsidRPr="00EA75AF">
        <w:t>associated with the sequencing and use of digital sequence information on genetic resources, including reagents and supplies</w:t>
      </w:r>
      <w:r w:rsidR="006B023C" w:rsidRPr="00827DA6">
        <w:t>; and information, scientific and technical services</w:t>
      </w:r>
      <w:r w:rsidR="00514541">
        <w:t xml:space="preserve"> </w:t>
      </w:r>
      <w:r w:rsidR="00514541" w:rsidRPr="00514541">
        <w:t>related to digital sequence information on genetic resources</w:t>
      </w:r>
      <w:r w:rsidR="006B023C" w:rsidRPr="00827DA6">
        <w:t>, including artificial intelligence</w:t>
      </w:r>
      <w:r w:rsidRPr="00827DA6">
        <w:t>.</w:t>
      </w:r>
    </w:p>
    <w:p w14:paraId="7A05E9EE" w14:textId="4C7C09B7" w:rsidR="00BB682B" w:rsidRPr="00827DA6" w:rsidRDefault="00065994" w:rsidP="00020F91">
      <w:pPr>
        <w:pStyle w:val="CBDH2"/>
        <w:rPr>
          <w:rFonts w:hint="eastAsia"/>
        </w:rPr>
      </w:pPr>
      <w:r w:rsidRPr="00827DA6">
        <w:t>B.</w:t>
      </w:r>
      <w:r w:rsidRPr="00827DA6">
        <w:tab/>
      </w:r>
      <w:r w:rsidR="00BB682B" w:rsidRPr="00DC249F">
        <w:t>Limitations</w:t>
      </w:r>
    </w:p>
    <w:p w14:paraId="4FEC4792" w14:textId="68075FCE" w:rsidR="00BB682B" w:rsidRPr="00827DA6" w:rsidRDefault="00BB682B" w:rsidP="00E74420">
      <w:pPr>
        <w:pStyle w:val="CBDNormalNumber"/>
        <w:numPr>
          <w:ilvl w:val="0"/>
          <w:numId w:val="15"/>
        </w:numPr>
      </w:pPr>
      <w:r w:rsidRPr="00827DA6">
        <w:t xml:space="preserve">Firm-level financial data of the kind required to apply the decision </w:t>
      </w:r>
      <w:hyperlink r:id="rId23" w:history="1">
        <w:r w:rsidRPr="00827DA6">
          <w:rPr>
            <w:rStyle w:val="Hyperlink"/>
          </w:rPr>
          <w:t>16/2</w:t>
        </w:r>
      </w:hyperlink>
      <w:r w:rsidRPr="00827DA6">
        <w:t xml:space="preserve"> thresholds are commercially sensitive and not publicly available at the global level, and no data-sharing arrangement between the Secretariat and Parties</w:t>
      </w:r>
      <w:r w:rsidR="0012360E">
        <w:t xml:space="preserve"> </w:t>
      </w:r>
      <w:r w:rsidRPr="00827DA6">
        <w:t xml:space="preserve">currently exists for this purpose. The revenue estimates in </w:t>
      </w:r>
      <w:r w:rsidR="00E91AA7">
        <w:t>p</w:t>
      </w:r>
      <w:r w:rsidRPr="00827DA6">
        <w:t xml:space="preserve">art II therefore rely on a single independent data source. </w:t>
      </w:r>
    </w:p>
    <w:p w14:paraId="36828C79" w14:textId="5FCA847C" w:rsidR="00BB682B" w:rsidRPr="00827DA6" w:rsidRDefault="00BB682B" w:rsidP="00E74420">
      <w:pPr>
        <w:pStyle w:val="CBDNormalNumber"/>
        <w:numPr>
          <w:ilvl w:val="0"/>
          <w:numId w:val="15"/>
        </w:numPr>
      </w:pPr>
      <w:r w:rsidRPr="00827DA6">
        <w:t>All estimates presented in th</w:t>
      </w:r>
      <w:r w:rsidR="005F6023">
        <w:t>e</w:t>
      </w:r>
      <w:r w:rsidRPr="00827DA6">
        <w:t xml:space="preserve"> study are illustrative analytical scenarios developed to inform policy </w:t>
      </w:r>
      <w:r w:rsidRPr="001B7711">
        <w:t>discussion</w:t>
      </w:r>
      <w:r w:rsidR="005F6023" w:rsidRPr="001B7711">
        <w:t>s</w:t>
      </w:r>
      <w:r w:rsidR="00B2385A" w:rsidRPr="001B7711">
        <w:t>; they are</w:t>
      </w:r>
      <w:r w:rsidRPr="001B7711">
        <w:t xml:space="preserve"> not forecasts</w:t>
      </w:r>
      <w:r w:rsidRPr="00827DA6">
        <w:t xml:space="preserve"> or expected outcomes. Actual Cali Fund revenue will depend on the future decisions on thresholds and rates</w:t>
      </w:r>
      <w:r w:rsidR="00885F5A">
        <w:t xml:space="preserve"> </w:t>
      </w:r>
      <w:bookmarkStart w:id="4" w:name="_Hlk240287823"/>
      <w:r w:rsidR="00885F5A">
        <w:t>of the Conference of the Parties</w:t>
      </w:r>
      <w:bookmarkEnd w:id="4"/>
      <w:r w:rsidRPr="00827DA6">
        <w:t xml:space="preserve">, subsequent national implementation measures, actual participation levels and </w:t>
      </w:r>
      <w:r w:rsidR="004E2B8B">
        <w:t>the ways in which</w:t>
      </w:r>
      <w:r w:rsidR="004E2B8B" w:rsidRPr="00827DA6">
        <w:t xml:space="preserve"> </w:t>
      </w:r>
      <w:r w:rsidRPr="00827DA6">
        <w:t xml:space="preserve">corporate behaviour evolves once </w:t>
      </w:r>
      <w:r w:rsidR="00467F2F" w:rsidRPr="00827DA6">
        <w:t>the Cali Fund is fully operationalized</w:t>
      </w:r>
      <w:r w:rsidRPr="00827DA6">
        <w:t>.</w:t>
      </w:r>
    </w:p>
    <w:p w14:paraId="4953CF07" w14:textId="7DE3F3A6" w:rsidR="00BB682B" w:rsidRPr="00827DA6" w:rsidRDefault="00BB682B" w:rsidP="007D1925">
      <w:pPr>
        <w:pStyle w:val="CBDNormalNumber"/>
        <w:numPr>
          <w:ilvl w:val="0"/>
          <w:numId w:val="15"/>
        </w:numPr>
      </w:pPr>
      <w:r w:rsidRPr="00827DA6">
        <w:t xml:space="preserve">Country-level breakdowns of these estimates should be read as indicative of the jurisdiction of </w:t>
      </w:r>
      <w:r w:rsidR="00286ACA" w:rsidRPr="00827DA6">
        <w:t>firm</w:t>
      </w:r>
      <w:r w:rsidRPr="00827DA6">
        <w:t xml:space="preserve"> registration rather than of the location of underlying commercial activity and are subject to further coverage caveats. </w:t>
      </w:r>
      <w:r w:rsidR="005A74AA">
        <w:t xml:space="preserve">The eligible population in </w:t>
      </w:r>
      <w:r w:rsidR="00D9407A">
        <w:t>s</w:t>
      </w:r>
      <w:r w:rsidRPr="00827DA6">
        <w:t xml:space="preserve">ub-Saharan Africa, parts of Asia-Pacific and selected large economies from the </w:t>
      </w:r>
      <w:bookmarkStart w:id="5" w:name="_Hlk240360590"/>
      <w:r w:rsidRPr="00827DA6">
        <w:t>Organisation for Economic Co-operation and Development</w:t>
      </w:r>
      <w:bookmarkEnd w:id="5"/>
      <w:r w:rsidRPr="00827DA6">
        <w:t xml:space="preserve"> is likely understated </w:t>
      </w:r>
      <w:proofErr w:type="gramStart"/>
      <w:r w:rsidR="005A74AA">
        <w:t>as a result of</w:t>
      </w:r>
      <w:proofErr w:type="gramEnd"/>
      <w:r w:rsidR="005A74AA">
        <w:t xml:space="preserve"> database coverage gaps in</w:t>
      </w:r>
      <w:r w:rsidR="005A74AA" w:rsidRPr="00827DA6">
        <w:t xml:space="preserve"> </w:t>
      </w:r>
      <w:r w:rsidRPr="00827DA6">
        <w:t xml:space="preserve">those regions, whose estimates should be </w:t>
      </w:r>
      <w:r w:rsidRPr="00827DA6">
        <w:lastRenderedPageBreak/>
        <w:t xml:space="preserve">treated as conservative lower bounds. </w:t>
      </w:r>
      <w:r w:rsidR="00E35CBC" w:rsidRPr="00AA1658">
        <w:t>Estimates for</w:t>
      </w:r>
      <w:r w:rsidR="00470398">
        <w:t xml:space="preserve"> </w:t>
      </w:r>
      <w:r w:rsidR="005F4D77">
        <w:t xml:space="preserve">Canada and </w:t>
      </w:r>
      <w:r w:rsidRPr="00827DA6">
        <w:t>Switzerland are similarly understated, owing to incomplete coverage of unconsolidated accounts for large multinationals headquartered there, while the figure</w:t>
      </w:r>
      <w:r w:rsidR="00DB50C8">
        <w:t xml:space="preserve"> for the </w:t>
      </w:r>
      <w:r w:rsidR="00DB50C8" w:rsidRPr="00827DA6">
        <w:t xml:space="preserve">United Kingdom </w:t>
      </w:r>
      <w:r w:rsidR="00DB50C8">
        <w:t>of Great Britain and Northern Ireland</w:t>
      </w:r>
      <w:r w:rsidRPr="00827DA6">
        <w:t>,</w:t>
      </w:r>
      <w:r w:rsidR="00DB50C8">
        <w:t xml:space="preserve"> which</w:t>
      </w:r>
      <w:r w:rsidRPr="00827DA6">
        <w:t xml:space="preserve"> </w:t>
      </w:r>
      <w:r w:rsidR="00265794">
        <w:t xml:space="preserve">is </w:t>
      </w:r>
      <w:r w:rsidRPr="00827DA6">
        <w:t>sensitive to the inclusion of consolidated accounts, should be treated as an upper bound. Country-level estimates should accordingly be treated with more caution than the aggregate figure.</w:t>
      </w:r>
    </w:p>
    <w:p w14:paraId="2F3A2DEA" w14:textId="6C6067E7" w:rsidR="00BB682B" w:rsidRPr="00827DA6" w:rsidRDefault="00BB682B" w:rsidP="007D1925">
      <w:pPr>
        <w:pStyle w:val="CBDNormalNumber"/>
        <w:numPr>
          <w:ilvl w:val="0"/>
          <w:numId w:val="15"/>
        </w:numPr>
      </w:pPr>
      <w:r w:rsidRPr="00827DA6">
        <w:t>D</w:t>
      </w:r>
      <w:bookmarkStart w:id="6" w:name="_Hlk240290613"/>
      <w:r w:rsidRPr="00827DA6">
        <w:t xml:space="preserve">ecision </w:t>
      </w:r>
      <w:hyperlink r:id="rId24" w:history="1">
        <w:r w:rsidRPr="00827DA6">
          <w:rPr>
            <w:rStyle w:val="Hyperlink"/>
          </w:rPr>
          <w:t>16/2</w:t>
        </w:r>
      </w:hyperlink>
      <w:bookmarkEnd w:id="6"/>
      <w:r w:rsidRPr="00827DA6">
        <w:t xml:space="preserve"> ties both eligibility and the contribution amount to financial metrics, namely assets, sales and profit, rather than</w:t>
      </w:r>
      <w:r w:rsidR="00C17CC1">
        <w:t xml:space="preserve"> to</w:t>
      </w:r>
      <w:r w:rsidR="00303ACA" w:rsidRPr="00827DA6">
        <w:t>, for example,</w:t>
      </w:r>
      <w:r w:rsidRPr="00827DA6">
        <w:t xml:space="preserve"> digital sequence information use itself. No data source currently </w:t>
      </w:r>
      <w:r w:rsidR="000B5FF9">
        <w:t>exists to</w:t>
      </w:r>
      <w:r w:rsidR="008230FC" w:rsidRPr="00827DA6">
        <w:t xml:space="preserve"> </w:t>
      </w:r>
      <w:r w:rsidRPr="00827DA6">
        <w:t>observe how much of a firm</w:t>
      </w:r>
      <w:r w:rsidR="00C643F0">
        <w:t>’</w:t>
      </w:r>
      <w:r w:rsidRPr="00827DA6">
        <w:t xml:space="preserve">s financial activity is attributable to </w:t>
      </w:r>
      <w:r w:rsidR="003F59BF">
        <w:t xml:space="preserve">the </w:t>
      </w:r>
      <w:r w:rsidRPr="00827DA6">
        <w:t>use of digital sequence information on genetic resources</w:t>
      </w:r>
      <w:r w:rsidR="00303ACA" w:rsidRPr="00827DA6">
        <w:t>. T</w:t>
      </w:r>
      <w:r w:rsidRPr="00827DA6">
        <w:t xml:space="preserve">his is a limitation of the underlying data landscape rather than of any single study. In the absence of such a measure, the analysis in </w:t>
      </w:r>
      <w:r w:rsidR="00127845">
        <w:t>p</w:t>
      </w:r>
      <w:r w:rsidRPr="00827DA6">
        <w:t xml:space="preserve">art II </w:t>
      </w:r>
      <w:r w:rsidRPr="00851657">
        <w:t xml:space="preserve">approximates </w:t>
      </w:r>
      <w:r w:rsidR="00127845" w:rsidRPr="002A51AA">
        <w:t>the</w:t>
      </w:r>
      <w:r w:rsidR="00127845">
        <w:t xml:space="preserve"> </w:t>
      </w:r>
      <w:r w:rsidRPr="00827DA6">
        <w:t xml:space="preserve">use of digital sequence information on genetic resources </w:t>
      </w:r>
      <w:r w:rsidR="004F6FC6">
        <w:t>based on</w:t>
      </w:r>
      <w:r w:rsidR="004F6FC6" w:rsidRPr="00827DA6">
        <w:t xml:space="preserve"> </w:t>
      </w:r>
      <w:r w:rsidRPr="00827DA6">
        <w:t xml:space="preserve">sector membership </w:t>
      </w:r>
      <w:r w:rsidR="004F6FC6">
        <w:t xml:space="preserve">as defined in </w:t>
      </w:r>
      <w:r w:rsidR="005960BD">
        <w:t>e</w:t>
      </w:r>
      <w:r w:rsidRPr="00827DA6">
        <w:t>nclosure I</w:t>
      </w:r>
      <w:r w:rsidR="005960BD">
        <w:t xml:space="preserve"> </w:t>
      </w:r>
      <w:r w:rsidR="00F31624">
        <w:t>of</w:t>
      </w:r>
      <w:r w:rsidR="005960BD">
        <w:t xml:space="preserve"> the annex </w:t>
      </w:r>
      <w:r w:rsidR="00F31624">
        <w:t>to</w:t>
      </w:r>
      <w:r w:rsidR="005960BD">
        <w:t xml:space="preserve"> d</w:t>
      </w:r>
      <w:r w:rsidR="005960BD" w:rsidRPr="00827DA6">
        <w:t xml:space="preserve">ecision </w:t>
      </w:r>
      <w:hyperlink r:id="rId25" w:history="1">
        <w:r w:rsidR="005960BD" w:rsidRPr="00827DA6">
          <w:rPr>
            <w:rStyle w:val="Hyperlink"/>
          </w:rPr>
          <w:t>16/2</w:t>
        </w:r>
      </w:hyperlink>
      <w:r w:rsidRPr="00827DA6">
        <w:t xml:space="preserve">, combined with assumed participation rates and intensity of digital sequence information on genetic resources use; these are proxies for </w:t>
      </w:r>
      <w:r w:rsidR="00303ACA" w:rsidRPr="00827DA6">
        <w:t xml:space="preserve">the </w:t>
      </w:r>
      <w:r w:rsidRPr="00827DA6">
        <w:t xml:space="preserve">use of digital sequence information on genetic resources, not measurements of it, and this distinction should be borne in mind in using the results as a basis for policy. As corporate disclosure requirements evolve and </w:t>
      </w:r>
      <w:r w:rsidR="001D01FA">
        <w:t>d</w:t>
      </w:r>
      <w:r w:rsidRPr="00827DA6">
        <w:t xml:space="preserve">ecision </w:t>
      </w:r>
      <w:hyperlink r:id="rId26" w:history="1">
        <w:r w:rsidRPr="00827DA6">
          <w:rPr>
            <w:rStyle w:val="Hyperlink"/>
          </w:rPr>
          <w:t>16/2</w:t>
        </w:r>
      </w:hyperlink>
      <w:r w:rsidRPr="00827DA6">
        <w:t xml:space="preserve"> is implemented, data availability on firm-level use of digital sequence information on genetic resources is likely to improve, which should reduce the estimation uncertainty reflected in </w:t>
      </w:r>
      <w:r w:rsidR="001D01FA">
        <w:t>the</w:t>
      </w:r>
      <w:r w:rsidRPr="00827DA6">
        <w:t xml:space="preserve"> wide </w:t>
      </w:r>
      <w:r w:rsidR="00303ACA" w:rsidRPr="00827DA6">
        <w:t xml:space="preserve">range of </w:t>
      </w:r>
      <w:r w:rsidRPr="00827DA6">
        <w:t>scenario</w:t>
      </w:r>
      <w:r w:rsidR="00303ACA" w:rsidRPr="00827DA6">
        <w:t>s</w:t>
      </w:r>
      <w:r w:rsidR="001D01FA">
        <w:t xml:space="preserve"> included in the study</w:t>
      </w:r>
      <w:r w:rsidRPr="00827DA6">
        <w:t>.</w:t>
      </w:r>
    </w:p>
    <w:p w14:paraId="660032D6" w14:textId="71ED907C" w:rsidR="00BB682B" w:rsidRPr="00827DA6" w:rsidRDefault="00BB682B" w:rsidP="007D1925">
      <w:pPr>
        <w:pStyle w:val="CBDNormalNumber"/>
        <w:numPr>
          <w:ilvl w:val="0"/>
          <w:numId w:val="15"/>
        </w:numPr>
      </w:pPr>
      <w:r w:rsidRPr="004B1717">
        <w:t>The sector mapping</w:t>
      </w:r>
      <w:r w:rsidRPr="00827DA6">
        <w:t>, based on standard industrial classification codes at the most granular level available, cannot clea</w:t>
      </w:r>
      <w:r w:rsidR="00303ACA" w:rsidRPr="00827DA6">
        <w:t>r</w:t>
      </w:r>
      <w:r w:rsidRPr="00827DA6">
        <w:t xml:space="preserve">ly separate firms </w:t>
      </w:r>
      <w:r w:rsidR="00303ACA" w:rsidRPr="00827DA6">
        <w:t xml:space="preserve">that are </w:t>
      </w:r>
      <w:r w:rsidRPr="00827DA6">
        <w:t xml:space="preserve">directly reliant on </w:t>
      </w:r>
      <w:r w:rsidR="004F7402">
        <w:t xml:space="preserve">the use of </w:t>
      </w:r>
      <w:r w:rsidRPr="00827DA6">
        <w:t xml:space="preserve">digital sequence information on genetic resources from adjacent segments within the same code. Two calibration parameters in the central scenario draw on evidence external to the Cali Fund itself. The participation rate assumptions are calibrated from literature on comparable voluntary environmental and benefit-sharing schemes, since no scheme with the specific design features </w:t>
      </w:r>
      <w:r w:rsidR="00FE5ADA">
        <w:t xml:space="preserve">of the Cali Fund </w:t>
      </w:r>
      <w:r w:rsidRPr="00827DA6">
        <w:t xml:space="preserve">has been observed to date. The intensity of digital sequence information on genetic resources use multipliers, by contrast, are calibrated from sector-level literature only. The intensity of digital sequence information on genetic resources use adjustment is accordingly the most uncertain parameter in the analysis, and this uncertainty is reflected in the width of the scenario range presented in </w:t>
      </w:r>
      <w:r w:rsidR="004F176F">
        <w:t>p</w:t>
      </w:r>
      <w:r w:rsidRPr="00827DA6">
        <w:t>art II. Parties may wish to consider whether these multipliers should be revisited as firm-level or survey-based evidence on use of digital sequence information on genetic resources becomes available.</w:t>
      </w:r>
    </w:p>
    <w:p w14:paraId="30AB2ADD" w14:textId="0026140A" w:rsidR="00BB682B" w:rsidRPr="00827DA6" w:rsidRDefault="00BB682B" w:rsidP="002408E9">
      <w:pPr>
        <w:pStyle w:val="CBDNormalNumber"/>
        <w:numPr>
          <w:ilvl w:val="0"/>
          <w:numId w:val="15"/>
        </w:numPr>
      </w:pPr>
      <w:r w:rsidRPr="00827DA6">
        <w:t xml:space="preserve">Because the Cali Fund is not yet generating contributions, no participation behaviour can be directly observed. The competitiveness assessment in </w:t>
      </w:r>
      <w:r w:rsidR="00464394">
        <w:t>p</w:t>
      </w:r>
      <w:r w:rsidRPr="00827DA6">
        <w:t xml:space="preserve">art III is accordingly prospective, combining structured expert </w:t>
      </w:r>
      <w:r w:rsidR="00C643F0">
        <w:t>judgment</w:t>
      </w:r>
      <w:r w:rsidRPr="00827DA6">
        <w:t xml:space="preserve"> with quantitative anchors from </w:t>
      </w:r>
      <w:r w:rsidR="00DD258D">
        <w:t>p</w:t>
      </w:r>
      <w:r w:rsidRPr="00827DA6">
        <w:t>art II where data permit.</w:t>
      </w:r>
    </w:p>
    <w:p w14:paraId="31982213" w14:textId="2F085AC8" w:rsidR="00BB682B" w:rsidRPr="00827DA6" w:rsidRDefault="00BB682B" w:rsidP="002408E9">
      <w:pPr>
        <w:pStyle w:val="CBDNormalNumber"/>
        <w:numPr>
          <w:ilvl w:val="0"/>
          <w:numId w:val="15"/>
        </w:numPr>
      </w:pPr>
      <w:r w:rsidRPr="00827DA6">
        <w:t xml:space="preserve">Several further design parameters in decision </w:t>
      </w:r>
      <w:hyperlink r:id="rId27" w:history="1">
        <w:r w:rsidRPr="00827DA6">
          <w:rPr>
            <w:rStyle w:val="Hyperlink"/>
          </w:rPr>
          <w:t>16/2</w:t>
        </w:r>
      </w:hyperlink>
      <w:r w:rsidRPr="00827DA6">
        <w:t xml:space="preserve"> that bear on both revenue and competitiveness outcomes remain unresolved; these are catalogued </w:t>
      </w:r>
      <w:r w:rsidRPr="00D72D53">
        <w:t>in section III.</w:t>
      </w:r>
      <w:r w:rsidR="00D72D53" w:rsidRPr="00020F91">
        <w:t>B</w:t>
      </w:r>
      <w:r w:rsidRPr="00D72D53">
        <w:t xml:space="preserve"> below</w:t>
      </w:r>
      <w:r w:rsidRPr="00827DA6">
        <w:t xml:space="preserve"> and reflected throughout the scenario ranges presented in </w:t>
      </w:r>
      <w:r w:rsidR="00DD258D">
        <w:t>p</w:t>
      </w:r>
      <w:r w:rsidRPr="00827DA6">
        <w:t>arts II and III, rather than resolved by assumption.</w:t>
      </w:r>
    </w:p>
    <w:p w14:paraId="60D90918" w14:textId="244CFDFE" w:rsidR="00BB682B" w:rsidRPr="00827DA6" w:rsidRDefault="00065994" w:rsidP="00340033">
      <w:pPr>
        <w:pStyle w:val="CBDH1"/>
        <w:rPr>
          <w:rFonts w:hint="eastAsia"/>
        </w:rPr>
      </w:pPr>
      <w:r w:rsidRPr="00827DA6">
        <w:t>III</w:t>
      </w:r>
      <w:r w:rsidRPr="005404A3">
        <w:t>.</w:t>
      </w:r>
      <w:r w:rsidRPr="005404A3">
        <w:tab/>
      </w:r>
      <w:r w:rsidR="00BB682B" w:rsidRPr="005404A3">
        <w:t>Background and context</w:t>
      </w:r>
    </w:p>
    <w:p w14:paraId="013ECD24" w14:textId="6C1D1166" w:rsidR="00BB682B" w:rsidRPr="00827DA6" w:rsidRDefault="00BB682B" w:rsidP="00E83314">
      <w:pPr>
        <w:pStyle w:val="CBDNormalNumber"/>
        <w:numPr>
          <w:ilvl w:val="0"/>
          <w:numId w:val="15"/>
        </w:numPr>
      </w:pPr>
      <w:r w:rsidRPr="00827DA6">
        <w:t>The Nagoya Protocol</w:t>
      </w:r>
      <w:r w:rsidR="00A466B2">
        <w:t xml:space="preserve"> </w:t>
      </w:r>
      <w:r w:rsidR="00A466B2" w:rsidRPr="00A466B2">
        <w:t>on Access to Genetic Resources and the Fair and Equitable Sharing of Benefits Arising from Their Utilization</w:t>
      </w:r>
      <w:r w:rsidRPr="00827DA6">
        <w:t xml:space="preserve"> and other bilateral approaches, designed primarily for tangible genetic resources, raised practical challenges when considered for digital sequence information on genetic resources, given the scale and speed at which sequence data are generated, shared and reused through open-access repositories</w:t>
      </w:r>
      <w:r w:rsidR="00535A81">
        <w:t>.</w:t>
      </w:r>
      <w:r w:rsidRPr="00827DA6">
        <w:rPr>
          <w:vertAlign w:val="superscript"/>
        </w:rPr>
        <w:footnoteReference w:id="4"/>
      </w:r>
      <w:r w:rsidRPr="00827DA6">
        <w:t xml:space="preserve"> Furthermore, establishing a multilateral mechanism reflected the collective objective of addressing long-standing equity concerns raised by biodiversity-rich provider countries regarding benefit-sharing from </w:t>
      </w:r>
      <w:r w:rsidR="00AC272B">
        <w:t xml:space="preserve">the </w:t>
      </w:r>
      <w:r w:rsidRPr="00827DA6">
        <w:t xml:space="preserve">use of digital sequence information on genetic resources, and of strengthening implementation of the third objective </w:t>
      </w:r>
      <w:r w:rsidR="00AC272B">
        <w:t xml:space="preserve">of the </w:t>
      </w:r>
      <w:r w:rsidR="00C56A17">
        <w:t>C</w:t>
      </w:r>
      <w:r w:rsidR="00AC272B">
        <w:t>onvention</w:t>
      </w:r>
      <w:r w:rsidR="00C56A17">
        <w:t xml:space="preserve"> </w:t>
      </w:r>
      <w:r w:rsidRPr="00827DA6">
        <w:t xml:space="preserve">on the fair and equitable sharing of benefits. At its fifteenth meeting, the Conference of </w:t>
      </w:r>
      <w:r w:rsidRPr="00827DA6">
        <w:lastRenderedPageBreak/>
        <w:t xml:space="preserve">the Parties adopted decision </w:t>
      </w:r>
      <w:hyperlink r:id="rId28">
        <w:r w:rsidRPr="00827DA6">
          <w:rPr>
            <w:rStyle w:val="Hyperlink"/>
          </w:rPr>
          <w:t>15/9</w:t>
        </w:r>
      </w:hyperlink>
      <w:r w:rsidRPr="00827DA6">
        <w:t>,</w:t>
      </w:r>
      <w:r w:rsidR="006B3B1C">
        <w:t xml:space="preserve"> in </w:t>
      </w:r>
      <w:r w:rsidRPr="00827DA6">
        <w:t>which</w:t>
      </w:r>
      <w:r w:rsidR="006B3B1C">
        <w:t xml:space="preserve"> it</w:t>
      </w:r>
      <w:r w:rsidRPr="00827DA6">
        <w:t xml:space="preserve"> established the </w:t>
      </w:r>
      <w:r w:rsidR="00ED04A7">
        <w:t>m</w:t>
      </w:r>
      <w:r w:rsidRPr="00827DA6">
        <w:t xml:space="preserve">ultilateral </w:t>
      </w:r>
      <w:r w:rsidR="00ED04A7">
        <w:t>m</w:t>
      </w:r>
      <w:r w:rsidRPr="00827DA6">
        <w:t xml:space="preserve">echanism for the </w:t>
      </w:r>
      <w:r w:rsidR="00ED04A7">
        <w:t>f</w:t>
      </w:r>
      <w:r w:rsidRPr="00827DA6">
        <w:t xml:space="preserve">air and </w:t>
      </w:r>
      <w:r w:rsidR="00ED04A7">
        <w:t>e</w:t>
      </w:r>
      <w:r w:rsidRPr="00827DA6">
        <w:t xml:space="preserve">quitable </w:t>
      </w:r>
      <w:r w:rsidR="00ED04A7">
        <w:t>s</w:t>
      </w:r>
      <w:r w:rsidRPr="00827DA6">
        <w:t xml:space="preserve">haring of </w:t>
      </w:r>
      <w:r w:rsidR="00ED04A7">
        <w:t>b</w:t>
      </w:r>
      <w:r w:rsidRPr="00827DA6">
        <w:t xml:space="preserve">enefits from the use of digital sequence information on genetic resources. At its sixteenth meeting, the Conference of the Parties adopted decision </w:t>
      </w:r>
      <w:hyperlink r:id="rId29" w:history="1">
        <w:r w:rsidRPr="00827DA6">
          <w:rPr>
            <w:rStyle w:val="Hyperlink"/>
          </w:rPr>
          <w:t>16/2</w:t>
        </w:r>
      </w:hyperlink>
      <w:r w:rsidRPr="00827DA6">
        <w:t xml:space="preserve">, </w:t>
      </w:r>
      <w:r w:rsidR="006B3B1C">
        <w:t xml:space="preserve">in </w:t>
      </w:r>
      <w:r w:rsidRPr="00827DA6">
        <w:t xml:space="preserve">which </w:t>
      </w:r>
      <w:r w:rsidR="006B3B1C">
        <w:t xml:space="preserve">it </w:t>
      </w:r>
      <w:r w:rsidRPr="00827DA6">
        <w:t xml:space="preserve">set out the practical modalities for the </w:t>
      </w:r>
      <w:r w:rsidR="006B3B1C">
        <w:t>m</w:t>
      </w:r>
      <w:r w:rsidRPr="00827DA6">
        <w:t xml:space="preserve">echanism, including the Cali Fund, which was to be administered by the </w:t>
      </w:r>
      <w:r w:rsidR="009468A2" w:rsidRPr="00020F91">
        <w:t>Multi-Partner Trust Fund Office</w:t>
      </w:r>
      <w:r w:rsidR="009E2332">
        <w:t xml:space="preserve"> of the United Nations</w:t>
      </w:r>
      <w:r w:rsidRPr="00827DA6">
        <w:t>.</w:t>
      </w:r>
      <w:r w:rsidR="00366F6B">
        <w:rPr>
          <w:rStyle w:val="FootnoteReference"/>
        </w:rPr>
        <w:footnoteReference w:id="5"/>
      </w:r>
      <w:r w:rsidRPr="00827DA6">
        <w:t xml:space="preserve"> The Fund was inaugurated in February 2025. Under the indicative parameters in </w:t>
      </w:r>
      <w:r w:rsidR="00E45127">
        <w:t xml:space="preserve">the annex to </w:t>
      </w:r>
      <w:r w:rsidRPr="00827DA6">
        <w:t xml:space="preserve">decision </w:t>
      </w:r>
      <w:hyperlink r:id="rId30" w:history="1">
        <w:r w:rsidRPr="00827DA6">
          <w:rPr>
            <w:rStyle w:val="Hyperlink"/>
          </w:rPr>
          <w:t>16/2</w:t>
        </w:r>
      </w:hyperlink>
      <w:r w:rsidRPr="00827DA6">
        <w:t>, entities that exceed at least two</w:t>
      </w:r>
      <w:r w:rsidR="000D5FA7">
        <w:t xml:space="preserve"> </w:t>
      </w:r>
      <w:r w:rsidRPr="00827DA6">
        <w:t xml:space="preserve">of three financial thresholds (total assets of $20 million, sales of $50 million and profit of $5 million, each averaged over the </w:t>
      </w:r>
      <w:r w:rsidR="00926945">
        <w:t>p</w:t>
      </w:r>
      <w:r w:rsidRPr="00827DA6">
        <w:t xml:space="preserve">ast three years) and operate in one of </w:t>
      </w:r>
      <w:r w:rsidR="005D1E36">
        <w:t xml:space="preserve">the </w:t>
      </w:r>
      <w:r w:rsidRPr="00827DA6">
        <w:t xml:space="preserve">seven </w:t>
      </w:r>
      <w:r w:rsidR="005D1E36">
        <w:t>sectors listed in e</w:t>
      </w:r>
      <w:r w:rsidRPr="00827DA6">
        <w:t xml:space="preserve">nclosure I </w:t>
      </w:r>
      <w:r w:rsidR="00384684">
        <w:t>of the annex</w:t>
      </w:r>
      <w:r w:rsidRPr="00827DA6">
        <w:t xml:space="preserve">, and that directly or indirectly benefit from </w:t>
      </w:r>
      <w:r w:rsidR="00384684">
        <w:t>the u</w:t>
      </w:r>
      <w:r w:rsidRPr="00827DA6">
        <w:t>se of digital sequence information on genetic resources, are expected to contribute 1 per cent of profit or 0.1 per cent of revenue. Contributing entities receive a certificate exempting them from further monetary benefit-sharing expectations for that year. At least 50 per cent of the benefits distributed through the mechanism are earmarked for the self-identified needs of indigenous peoples and local communities.</w:t>
      </w:r>
    </w:p>
    <w:p w14:paraId="61509560" w14:textId="32317236" w:rsidR="00BB682B" w:rsidRPr="00827DA6" w:rsidRDefault="007570C6" w:rsidP="00020F91">
      <w:pPr>
        <w:pStyle w:val="CBDH2"/>
        <w:rPr>
          <w:rFonts w:hint="eastAsia"/>
        </w:rPr>
      </w:pPr>
      <w:r>
        <w:t>A.</w:t>
      </w:r>
      <w:r>
        <w:tab/>
      </w:r>
      <w:r w:rsidR="00BB682B" w:rsidRPr="00E76BED">
        <w:rPr>
          <w:rFonts w:hint="eastAsia"/>
        </w:rPr>
        <w:t>Comparable benefit-sharing mechanisms</w:t>
      </w:r>
    </w:p>
    <w:p w14:paraId="6B7F5FA9" w14:textId="055FAA79" w:rsidR="00BB682B" w:rsidRPr="00827DA6" w:rsidRDefault="00BB682B" w:rsidP="00A74707">
      <w:pPr>
        <w:pStyle w:val="CBDNormalNumber"/>
        <w:numPr>
          <w:ilvl w:val="0"/>
          <w:numId w:val="15"/>
        </w:numPr>
      </w:pPr>
      <w:r w:rsidRPr="00827DA6">
        <w:t xml:space="preserve">The study </w:t>
      </w:r>
      <w:r w:rsidR="00910BAF">
        <w:t xml:space="preserve">contains a </w:t>
      </w:r>
      <w:r w:rsidRPr="00827DA6">
        <w:t xml:space="preserve">review </w:t>
      </w:r>
      <w:r w:rsidR="00910BAF">
        <w:t xml:space="preserve">of </w:t>
      </w:r>
      <w:r w:rsidRPr="00827DA6">
        <w:t xml:space="preserve">four analogous mechanisms, examining how contribution rates are set, the revenue each has generated and the factors shaping compliance: </w:t>
      </w:r>
    </w:p>
    <w:p w14:paraId="1085CF42" w14:textId="204E5AE5" w:rsidR="00BB682B" w:rsidRPr="00827DA6" w:rsidRDefault="00532E37" w:rsidP="00BB682B">
      <w:pPr>
        <w:pStyle w:val="CBDNormalNumber"/>
        <w:numPr>
          <w:ilvl w:val="1"/>
          <w:numId w:val="7"/>
        </w:numPr>
      </w:pPr>
      <w:r w:rsidRPr="00020F91">
        <w:t>International Treaty on Plant Genetic Resources for Food and Agriculture</w:t>
      </w:r>
      <w:r w:rsidR="00BB682B" w:rsidRPr="00827DA6">
        <w:t>,</w:t>
      </w:r>
      <w:r>
        <w:rPr>
          <w:rStyle w:val="FootnoteReference"/>
        </w:rPr>
        <w:footnoteReference w:id="6"/>
      </w:r>
      <w:r w:rsidR="00BB682B" w:rsidRPr="00827DA6">
        <w:t xml:space="preserve"> whose </w:t>
      </w:r>
      <w:r w:rsidR="00A67C64" w:rsidRPr="00020F91">
        <w:t>Standard Material Transfer Agreement</w:t>
      </w:r>
      <w:r w:rsidR="00A67C64">
        <w:rPr>
          <w:rStyle w:val="FootnoteReference"/>
        </w:rPr>
        <w:footnoteReference w:id="7"/>
      </w:r>
      <w:r w:rsidR="00BB682B" w:rsidRPr="00827DA6">
        <w:t xml:space="preserve"> charges an effective rate of </w:t>
      </w:r>
      <w:r w:rsidR="00C643F0" w:rsidRPr="00020F91">
        <w:t>about</w:t>
      </w:r>
      <w:r w:rsidR="00BB682B" w:rsidRPr="00827DA6">
        <w:t xml:space="preserve"> 0.77 per cent of sales from commerciali</w:t>
      </w:r>
      <w:r w:rsidR="006E53BD">
        <w:t>z</w:t>
      </w:r>
      <w:r w:rsidR="00BB682B" w:rsidRPr="00827DA6">
        <w:t>ed product</w:t>
      </w:r>
      <w:r w:rsidR="004D7DF6">
        <w:t>s</w:t>
      </w:r>
      <w:r w:rsidR="00BB682B" w:rsidRPr="00827DA6">
        <w:t xml:space="preserve">, has generated $824,680 in user-based payments over the </w:t>
      </w:r>
      <w:r w:rsidR="00926945">
        <w:t>p</w:t>
      </w:r>
      <w:r w:rsidR="00BB682B" w:rsidRPr="00827DA6">
        <w:t xml:space="preserve">ast </w:t>
      </w:r>
      <w:r w:rsidR="00145270">
        <w:t>15</w:t>
      </w:r>
      <w:r w:rsidR="00145270" w:rsidRPr="00827DA6">
        <w:t xml:space="preserve"> </w:t>
      </w:r>
      <w:r w:rsidR="00BB682B" w:rsidRPr="00827DA6">
        <w:t>years</w:t>
      </w:r>
      <w:r w:rsidR="00926945">
        <w:t>,</w:t>
      </w:r>
      <w:r w:rsidR="00BB682B" w:rsidRPr="00827DA6">
        <w:rPr>
          <w:vertAlign w:val="superscript"/>
        </w:rPr>
        <w:footnoteReference w:id="8"/>
      </w:r>
      <w:r w:rsidR="00BB682B" w:rsidRPr="00827DA6">
        <w:t xml:space="preserve"> reflecting the narrower, commerciali</w:t>
      </w:r>
      <w:r w:rsidR="0053628E">
        <w:t>z</w:t>
      </w:r>
      <w:r w:rsidR="00BB682B" w:rsidRPr="00827DA6">
        <w:t xml:space="preserve">ation-triggered payment obligation </w:t>
      </w:r>
      <w:r w:rsidR="0053628E">
        <w:t xml:space="preserve">under the Transfer Agreement </w:t>
      </w:r>
      <w:r w:rsidR="00BB682B" w:rsidRPr="00827DA6">
        <w:t xml:space="preserve">and the availability and attractiveness of sourcing material outside </w:t>
      </w:r>
      <w:r w:rsidR="000941E6">
        <w:t>the</w:t>
      </w:r>
      <w:r w:rsidR="000941E6" w:rsidRPr="00827DA6">
        <w:t xml:space="preserve"> </w:t>
      </w:r>
      <w:r w:rsidR="00BB682B" w:rsidRPr="00827DA6">
        <w:t>Multilateral System</w:t>
      </w:r>
      <w:r w:rsidR="00102452">
        <w:t xml:space="preserve"> </w:t>
      </w:r>
      <w:r w:rsidR="00102452" w:rsidRPr="00102452">
        <w:t>of Access and Benefit-Sharing</w:t>
      </w:r>
      <w:r w:rsidR="00BB682B" w:rsidRPr="00827DA6">
        <w:t xml:space="preserve">; this experience underpins the lower bound of the revenue scenarios in </w:t>
      </w:r>
      <w:r w:rsidR="003234C4">
        <w:t>p</w:t>
      </w:r>
      <w:r w:rsidR="00BB682B" w:rsidRPr="00827DA6">
        <w:t xml:space="preserve">art II; </w:t>
      </w:r>
    </w:p>
    <w:p w14:paraId="786CCA00" w14:textId="7722E49E" w:rsidR="00BB682B" w:rsidRPr="00827DA6" w:rsidRDefault="002617CB" w:rsidP="00BB682B">
      <w:pPr>
        <w:pStyle w:val="CBDNormalNumber"/>
        <w:numPr>
          <w:ilvl w:val="1"/>
          <w:numId w:val="7"/>
        </w:numPr>
      </w:pPr>
      <w:r>
        <w:t>World Health Organization</w:t>
      </w:r>
      <w:r w:rsidRPr="00020F91">
        <w:t xml:space="preserve"> </w:t>
      </w:r>
      <w:r w:rsidR="00F07520">
        <w:t xml:space="preserve">(WHO) </w:t>
      </w:r>
      <w:r w:rsidRPr="00020F91">
        <w:t>Pandemic Influenza Preparedness Framework</w:t>
      </w:r>
      <w:r w:rsidR="00BB682B" w:rsidRPr="00827DA6">
        <w:t>,</w:t>
      </w:r>
      <w:r w:rsidR="00F07520">
        <w:rPr>
          <w:rStyle w:val="FootnoteReference"/>
        </w:rPr>
        <w:footnoteReference w:id="9"/>
      </w:r>
      <w:r w:rsidR="00BB682B" w:rsidRPr="00827DA6">
        <w:t xml:space="preserve"> which has generated substantially higher participation ($354.7 million from 17 manufacturers since 2012</w:t>
      </w:r>
      <w:r w:rsidR="00505306">
        <w:t>)</w:t>
      </w:r>
      <w:r w:rsidR="00BB682B" w:rsidRPr="00827DA6">
        <w:rPr>
          <w:vertAlign w:val="superscript"/>
        </w:rPr>
        <w:footnoteReference w:id="10"/>
      </w:r>
      <w:r w:rsidR="00BB682B" w:rsidRPr="00827DA6">
        <w:t xml:space="preserve"> owing to a clearly defined, well-identified contributor base</w:t>
      </w:r>
      <w:r w:rsidR="00EC0F9B">
        <w:t>,</w:t>
      </w:r>
      <w:r w:rsidR="00BB682B" w:rsidRPr="00827DA6">
        <w:rPr>
          <w:vertAlign w:val="superscript"/>
        </w:rPr>
        <w:footnoteReference w:id="11"/>
      </w:r>
      <w:r w:rsidR="00BB682B" w:rsidRPr="00827DA6">
        <w:t xml:space="preserve"> and its successor</w:t>
      </w:r>
      <w:r w:rsidR="00ED0008">
        <w:t>,</w:t>
      </w:r>
      <w:r w:rsidR="00BB682B" w:rsidRPr="00827DA6">
        <w:t xml:space="preserve"> the </w:t>
      </w:r>
      <w:r w:rsidR="007A37E1" w:rsidRPr="00020F91">
        <w:t>WHO Pandemic Agreement</w:t>
      </w:r>
      <w:r w:rsidR="00BB682B" w:rsidRPr="00827DA6">
        <w:t>,</w:t>
      </w:r>
      <w:r w:rsidR="007A37E1">
        <w:rPr>
          <w:rStyle w:val="FootnoteReference"/>
        </w:rPr>
        <w:footnoteReference w:id="12"/>
      </w:r>
      <w:r w:rsidR="00BB682B" w:rsidRPr="00827DA6">
        <w:t xml:space="preserve"> whose Pathogen Access and Benefit-Sharing System</w:t>
      </w:r>
      <w:r w:rsidR="00BB682B" w:rsidRPr="00827DA6">
        <w:rPr>
          <w:vertAlign w:val="superscript"/>
        </w:rPr>
        <w:footnoteReference w:id="13"/>
      </w:r>
      <w:r w:rsidR="00BB682B" w:rsidRPr="00827DA6">
        <w:t xml:space="preserve"> could create overlapping obligations for firms also subject to the Cali Fund, examined further in </w:t>
      </w:r>
      <w:r w:rsidR="0009533F">
        <w:t>p</w:t>
      </w:r>
      <w:r w:rsidR="00BB682B" w:rsidRPr="00827DA6">
        <w:t xml:space="preserve">art III; </w:t>
      </w:r>
    </w:p>
    <w:p w14:paraId="008E5698" w14:textId="35747380" w:rsidR="00BB682B" w:rsidRPr="00827DA6" w:rsidRDefault="002D314B" w:rsidP="002D314B">
      <w:pPr>
        <w:pStyle w:val="CBDNormalNumber"/>
        <w:numPr>
          <w:ilvl w:val="1"/>
          <w:numId w:val="7"/>
        </w:numPr>
      </w:pPr>
      <w:r>
        <w:t xml:space="preserve">Agreement under the United Nations Convention on the Law of the Sea on the </w:t>
      </w:r>
      <w:r w:rsidR="008F32EB">
        <w:t>C</w:t>
      </w:r>
      <w:r>
        <w:t xml:space="preserve">onservation and </w:t>
      </w:r>
      <w:r w:rsidR="008F32EB">
        <w:t>S</w:t>
      </w:r>
      <w:r>
        <w:t xml:space="preserve">ustainable </w:t>
      </w:r>
      <w:r w:rsidR="008F32EB">
        <w:t>U</w:t>
      </w:r>
      <w:r>
        <w:t xml:space="preserve">se of </w:t>
      </w:r>
      <w:r w:rsidR="008F32EB">
        <w:t>M</w:t>
      </w:r>
      <w:r>
        <w:t xml:space="preserve">arine </w:t>
      </w:r>
      <w:r w:rsidR="008F32EB">
        <w:t>B</w:t>
      </w:r>
      <w:r>
        <w:t xml:space="preserve">iological </w:t>
      </w:r>
      <w:r w:rsidR="008F32EB">
        <w:t>D</w:t>
      </w:r>
      <w:r>
        <w:t xml:space="preserve">iversity of </w:t>
      </w:r>
      <w:r w:rsidR="00F70CD2">
        <w:t>A</w:t>
      </w:r>
      <w:r>
        <w:t xml:space="preserve">reas beyond </w:t>
      </w:r>
      <w:r w:rsidR="00F70CD2">
        <w:t>N</w:t>
      </w:r>
      <w:r>
        <w:t xml:space="preserve">ational </w:t>
      </w:r>
      <w:r w:rsidR="00F70CD2">
        <w:t>J</w:t>
      </w:r>
      <w:r>
        <w:t>urisdiction,</w:t>
      </w:r>
      <w:r w:rsidR="009A275E">
        <w:rPr>
          <w:rStyle w:val="FootnoteReference"/>
        </w:rPr>
        <w:footnoteReference w:id="14"/>
      </w:r>
      <w:r>
        <w:t xml:space="preserve"> </w:t>
      </w:r>
      <w:r w:rsidR="00BB682B" w:rsidRPr="00827DA6">
        <w:t>in force since 17 January 2026, establishes a framework for future rule</w:t>
      </w:r>
      <w:r w:rsidR="000C21BA">
        <w:t>-</w:t>
      </w:r>
      <w:r w:rsidR="00BB682B" w:rsidRPr="00827DA6">
        <w:t>making rather than an operational payment system for private users, with allocation of monetary benefits from marine genetic resources and digital sequence information on genetic resources left to future decision</w:t>
      </w:r>
      <w:r w:rsidR="00D936DF">
        <w:t>s of the Conference of the Parties</w:t>
      </w:r>
      <w:r w:rsidR="002C40A3">
        <w:t xml:space="preserve"> to the Agreement</w:t>
      </w:r>
      <w:r w:rsidR="00BB682B" w:rsidRPr="00827DA6">
        <w:t xml:space="preserve">; </w:t>
      </w:r>
    </w:p>
    <w:p w14:paraId="6F9CAA9B" w14:textId="47424C1A" w:rsidR="00BB682B" w:rsidRPr="00827DA6" w:rsidRDefault="00BD16AF" w:rsidP="00BB682B">
      <w:pPr>
        <w:pStyle w:val="CBDNormalNumber"/>
        <w:numPr>
          <w:ilvl w:val="1"/>
          <w:numId w:val="7"/>
        </w:numPr>
      </w:pPr>
      <w:r>
        <w:lastRenderedPageBreak/>
        <w:t>M</w:t>
      </w:r>
      <w:r w:rsidR="0076579B">
        <w:t xml:space="preserve">echanism for the sharing of benefits </w:t>
      </w:r>
      <w:r w:rsidR="00074598" w:rsidRPr="00020F91">
        <w:t>from deep</w:t>
      </w:r>
      <w:r w:rsidR="00D2197A">
        <w:t xml:space="preserve"> </w:t>
      </w:r>
      <w:r w:rsidR="00074598" w:rsidRPr="00020F91">
        <w:t>sea</w:t>
      </w:r>
      <w:r w:rsidR="00D2197A">
        <w:t>bed</w:t>
      </w:r>
      <w:r w:rsidR="00074598" w:rsidRPr="00020F91">
        <w:t xml:space="preserve"> mining</w:t>
      </w:r>
      <w:r w:rsidR="0076579B">
        <w:t xml:space="preserve"> of the International Se</w:t>
      </w:r>
      <w:r w:rsidR="00423A8B">
        <w:t>abed Authority</w:t>
      </w:r>
      <w:r w:rsidR="00BB682B" w:rsidRPr="00827DA6">
        <w:t>,</w:t>
      </w:r>
      <w:r w:rsidR="00DA1B50">
        <w:rPr>
          <w:rStyle w:val="FootnoteReference"/>
        </w:rPr>
        <w:footnoteReference w:id="15"/>
      </w:r>
      <w:r w:rsidR="00BB682B" w:rsidRPr="00827DA6">
        <w:t xml:space="preserve"> still under negotiation, informed by a technical report on tiered ad valorem</w:t>
      </w:r>
      <w:r w:rsidR="00BB682B" w:rsidRPr="00827DA6">
        <w:rPr>
          <w:vertAlign w:val="superscript"/>
        </w:rPr>
        <w:footnoteReference w:id="16"/>
      </w:r>
      <w:r>
        <w:t xml:space="preserve"> that was commissioned by the Authority,</w:t>
      </w:r>
      <w:r w:rsidR="00BB682B" w:rsidRPr="00827DA6">
        <w:t xml:space="preserve"> illustrates a wider finding that ad valorem schemes are easier to enforce than profit-based ones, even if they capture less value over time</w:t>
      </w:r>
      <w:r w:rsidR="00096274">
        <w:t>,</w:t>
      </w:r>
      <w:r w:rsidR="00BB682B" w:rsidRPr="00827DA6">
        <w:rPr>
          <w:vertAlign w:val="superscript"/>
        </w:rPr>
        <w:footnoteReference w:id="17"/>
      </w:r>
      <w:r w:rsidR="00BB682B" w:rsidRPr="00827DA6">
        <w:t xml:space="preserve"> with the lesson for the Cali Fund being that contribution levels must be weighed against ease of measurement and risk of avoidance.</w:t>
      </w:r>
    </w:p>
    <w:p w14:paraId="6849EEA6" w14:textId="556E5045" w:rsidR="00BB682B" w:rsidRPr="00827DA6" w:rsidRDefault="00BB682B" w:rsidP="00020680">
      <w:pPr>
        <w:pStyle w:val="CBDNormalNumber"/>
        <w:numPr>
          <w:ilvl w:val="0"/>
          <w:numId w:val="15"/>
        </w:numPr>
      </w:pPr>
      <w:r w:rsidRPr="00827DA6">
        <w:t>Across these mechanisms, private sector contributions materialize only where scope and use definitions are clear. Unlike the International Treaty on Plant Genetic Resources for Food and Agriculture and the Pandemic Influenza Preparedness Framework, the Cali Fund has no comparable public sector fallback to offset shortfalls in user-based income</w:t>
      </w:r>
      <w:r w:rsidR="00A17A52">
        <w:t>,</w:t>
      </w:r>
      <w:r w:rsidRPr="00827DA6">
        <w:rPr>
          <w:vertAlign w:val="superscript"/>
        </w:rPr>
        <w:footnoteReference w:id="18"/>
      </w:r>
      <w:r w:rsidRPr="00827DA6">
        <w:t xml:space="preserve"> making the mobilization of private sector contributions more central to its financial viability than in any of the mechanisms reviewed.</w:t>
      </w:r>
    </w:p>
    <w:p w14:paraId="775542B9" w14:textId="040A4435" w:rsidR="00BB682B" w:rsidRPr="00827DA6" w:rsidRDefault="007570C6" w:rsidP="00020F91">
      <w:pPr>
        <w:pStyle w:val="CBDH2"/>
        <w:rPr>
          <w:rFonts w:hint="eastAsia"/>
        </w:rPr>
      </w:pPr>
      <w:r>
        <w:t>B.</w:t>
      </w:r>
      <w:r>
        <w:tab/>
      </w:r>
      <w:r w:rsidR="00BB682B" w:rsidRPr="00AA41B4">
        <w:t>Analytical framework: unresolved design parameters</w:t>
      </w:r>
    </w:p>
    <w:p w14:paraId="1CEDAD0B" w14:textId="7CFEFE37" w:rsidR="00BB682B" w:rsidRPr="00827DA6" w:rsidRDefault="00BB682B" w:rsidP="00020680">
      <w:pPr>
        <w:pStyle w:val="CBDNormalNumber"/>
        <w:numPr>
          <w:ilvl w:val="0"/>
          <w:numId w:val="15"/>
        </w:numPr>
      </w:pPr>
      <w:r w:rsidRPr="00827DA6">
        <w:t xml:space="preserve">The study </w:t>
      </w:r>
      <w:r w:rsidRPr="007747A7">
        <w:t>catalogues</w:t>
      </w:r>
      <w:r w:rsidRPr="00827DA6">
        <w:t xml:space="preserve"> nine </w:t>
      </w:r>
      <w:bookmarkStart w:id="11" w:name="_Hlk240358924"/>
      <w:r w:rsidRPr="00827DA6">
        <w:t xml:space="preserve">structural uncertainties </w:t>
      </w:r>
      <w:bookmarkEnd w:id="11"/>
      <w:r w:rsidRPr="00827DA6">
        <w:t xml:space="preserve">in decision </w:t>
      </w:r>
      <w:hyperlink r:id="rId31" w:history="1">
        <w:r w:rsidRPr="00827DA6">
          <w:rPr>
            <w:rStyle w:val="Hyperlink"/>
          </w:rPr>
          <w:t>16/2</w:t>
        </w:r>
      </w:hyperlink>
      <w:r w:rsidRPr="00827DA6">
        <w:t>, spanning the three stages of the contribution decision, namely whether a firm is eligible, whether an eligible firm participates and how much a participating firm ultimately contributes</w:t>
      </w:r>
      <w:r w:rsidR="00F82E2A">
        <w:t>:</w:t>
      </w:r>
    </w:p>
    <w:p w14:paraId="41FBB8D4" w14:textId="5D6B890D" w:rsidR="00F82E2A" w:rsidRDefault="00F82E2A" w:rsidP="00020F91">
      <w:pPr>
        <w:pStyle w:val="CBDNormalNumber"/>
        <w:numPr>
          <w:ilvl w:val="1"/>
          <w:numId w:val="12"/>
        </w:numPr>
      </w:pPr>
      <w:r>
        <w:t>Structural uncertainties regarding eligib</w:t>
      </w:r>
      <w:r w:rsidR="00C31ED4">
        <w:t>i</w:t>
      </w:r>
      <w:r>
        <w:t>lity are:</w:t>
      </w:r>
    </w:p>
    <w:p w14:paraId="287752C4" w14:textId="25A8E5B3" w:rsidR="00F82E2A" w:rsidRDefault="00BB682B" w:rsidP="00020F91">
      <w:pPr>
        <w:pStyle w:val="CBDNormalNumber"/>
        <w:ind w:left="2268" w:hanging="567"/>
      </w:pPr>
      <w:r w:rsidRPr="00827DA6">
        <w:t>(</w:t>
      </w:r>
      <w:proofErr w:type="spellStart"/>
      <w:r w:rsidR="00F82E2A">
        <w:t>i</w:t>
      </w:r>
      <w:proofErr w:type="spellEnd"/>
      <w:r w:rsidRPr="00827DA6">
        <w:t>)</w:t>
      </w:r>
      <w:r w:rsidR="005450B3">
        <w:tab/>
        <w:t>B</w:t>
      </w:r>
      <w:r w:rsidRPr="00827DA6">
        <w:t>readth of the sector list, since a narrower interpretation of which industrial activities directly or indirectly benefit from the use of digital sequence information on genetic resources would reduce the eligible population;</w:t>
      </w:r>
    </w:p>
    <w:p w14:paraId="721E36DE" w14:textId="194AF553" w:rsidR="00C31ED4" w:rsidRDefault="00BB682B" w:rsidP="00020F91">
      <w:pPr>
        <w:pStyle w:val="CBDNormalNumber"/>
        <w:ind w:left="2268" w:hanging="567"/>
      </w:pPr>
      <w:r w:rsidRPr="00827DA6">
        <w:t>(</w:t>
      </w:r>
      <w:r w:rsidR="00C31ED4">
        <w:t>ii</w:t>
      </w:r>
      <w:r w:rsidRPr="00827DA6">
        <w:t>)</w:t>
      </w:r>
      <w:r w:rsidR="00590242">
        <w:tab/>
      </w:r>
      <w:r w:rsidR="00EB02E9">
        <w:t>V</w:t>
      </w:r>
      <w:r w:rsidRPr="00827DA6">
        <w:t>olatility in eligibility over time, as firms move across the financial thresholds from one year to the next;</w:t>
      </w:r>
    </w:p>
    <w:p w14:paraId="55CAF54B" w14:textId="3AEEB18C" w:rsidR="00C31ED4" w:rsidRDefault="00BB682B" w:rsidP="00020F91">
      <w:pPr>
        <w:pStyle w:val="CBDNormalNumber"/>
        <w:ind w:left="2268" w:hanging="567"/>
      </w:pPr>
      <w:r w:rsidRPr="00827DA6">
        <w:t>(</w:t>
      </w:r>
      <w:r w:rsidR="00C31ED4">
        <w:t>iii</w:t>
      </w:r>
      <w:r w:rsidR="00590242" w:rsidRPr="00827DA6">
        <w:t>)</w:t>
      </w:r>
      <w:r w:rsidR="00590242">
        <w:tab/>
      </w:r>
      <w:r w:rsidR="00EB02E9">
        <w:t>E</w:t>
      </w:r>
      <w:r w:rsidRPr="00827DA6">
        <w:t xml:space="preserve">ntity-level unit of assessment, namely whether thresholds and contributions are assessed at the subsidiary or the corporate group level, which affects both the number of eligible entities and the amount each contributes; </w:t>
      </w:r>
    </w:p>
    <w:p w14:paraId="65143FF5" w14:textId="523840F9" w:rsidR="00BB682B" w:rsidRPr="00827DA6" w:rsidRDefault="00BB682B" w:rsidP="00020F91">
      <w:pPr>
        <w:pStyle w:val="CBDNormalNumber"/>
        <w:ind w:left="2268" w:hanging="567"/>
      </w:pPr>
      <w:r w:rsidRPr="00827DA6">
        <w:t>(</w:t>
      </w:r>
      <w:r w:rsidR="00C31ED4">
        <w:t>iv</w:t>
      </w:r>
      <w:r w:rsidRPr="00827DA6">
        <w:t>)</w:t>
      </w:r>
      <w:r w:rsidR="00590242">
        <w:tab/>
      </w:r>
      <w:r w:rsidR="00EB02E9">
        <w:t>B</w:t>
      </w:r>
      <w:r w:rsidRPr="00827DA6">
        <w:t xml:space="preserve">oundary between direct and indirect use of digital sequence information, where a broader interpretation would expand the eligible population but </w:t>
      </w:r>
      <w:r w:rsidR="007F1DC8">
        <w:t xml:space="preserve">would create the </w:t>
      </w:r>
      <w:r w:rsidRPr="00827DA6">
        <w:t xml:space="preserve">risk </w:t>
      </w:r>
      <w:r w:rsidR="007F1DC8">
        <w:t xml:space="preserve">of </w:t>
      </w:r>
      <w:r w:rsidRPr="00827DA6">
        <w:t>double-counting firms across a value chain</w:t>
      </w:r>
      <w:r w:rsidR="00ED0B26">
        <w:t>;</w:t>
      </w:r>
    </w:p>
    <w:p w14:paraId="32C7D8E7" w14:textId="42E0E3D3" w:rsidR="00590242" w:rsidRDefault="00590242" w:rsidP="00590242">
      <w:pPr>
        <w:pStyle w:val="CBDNormalNumber"/>
        <w:numPr>
          <w:ilvl w:val="1"/>
          <w:numId w:val="12"/>
        </w:numPr>
      </w:pPr>
      <w:r>
        <w:t xml:space="preserve">Structural uncertainties regarding </w:t>
      </w:r>
      <w:r w:rsidR="00BB682B" w:rsidRPr="00827DA6">
        <w:t>participation and contribution amount</w:t>
      </w:r>
      <w:r>
        <w:t xml:space="preserve"> are</w:t>
      </w:r>
      <w:r w:rsidR="00BB682B" w:rsidRPr="00827DA6">
        <w:t>:</w:t>
      </w:r>
    </w:p>
    <w:p w14:paraId="5F7F6140" w14:textId="7CEF0FF3" w:rsidR="00590242" w:rsidRDefault="00BB682B" w:rsidP="00020F91">
      <w:pPr>
        <w:pStyle w:val="CBDNormalNumber"/>
        <w:ind w:left="2268" w:hanging="567"/>
      </w:pPr>
      <w:r w:rsidRPr="00827DA6">
        <w:t>(</w:t>
      </w:r>
      <w:proofErr w:type="spellStart"/>
      <w:r w:rsidR="00590242">
        <w:t>i</w:t>
      </w:r>
      <w:proofErr w:type="spellEnd"/>
      <w:r w:rsidRPr="00827DA6">
        <w:t>)</w:t>
      </w:r>
      <w:r w:rsidR="00590242">
        <w:tab/>
        <w:t>I</w:t>
      </w:r>
      <w:r w:rsidRPr="00827DA6">
        <w:t xml:space="preserve">nformation asymmetry, since eligible firms may not self-identify and non-participation cannot be verified; </w:t>
      </w:r>
    </w:p>
    <w:p w14:paraId="586F420A" w14:textId="391A87D4" w:rsidR="00590242" w:rsidRDefault="00BB682B" w:rsidP="00020F91">
      <w:pPr>
        <w:pStyle w:val="CBDNormalNumber"/>
        <w:ind w:left="2268" w:hanging="567"/>
      </w:pPr>
      <w:r w:rsidRPr="00827DA6">
        <w:t>(</w:t>
      </w:r>
      <w:r w:rsidR="00590242">
        <w:t>ii</w:t>
      </w:r>
      <w:r w:rsidRPr="00827DA6">
        <w:t>)</w:t>
      </w:r>
      <w:r w:rsidR="00590242">
        <w:tab/>
        <w:t>L</w:t>
      </w:r>
      <w:r w:rsidRPr="00827DA6">
        <w:t xml:space="preserve">egal and regulatory value of the certificate of contribution, where a low value reduces the incentive to participate; </w:t>
      </w:r>
    </w:p>
    <w:p w14:paraId="6185D68B" w14:textId="2DA29F25" w:rsidR="00590242" w:rsidRDefault="00BB682B" w:rsidP="00020F91">
      <w:pPr>
        <w:pStyle w:val="CBDNormalNumber"/>
        <w:ind w:left="2268" w:hanging="567"/>
      </w:pPr>
      <w:r w:rsidRPr="00827DA6">
        <w:t>(</w:t>
      </w:r>
      <w:r w:rsidR="00590242">
        <w:t>iii</w:t>
      </w:r>
      <w:r w:rsidRPr="00827DA6">
        <w:t>)</w:t>
      </w:r>
      <w:r w:rsidR="00590242">
        <w:tab/>
        <w:t>O</w:t>
      </w:r>
      <w:r w:rsidRPr="00827DA6">
        <w:t xml:space="preserve">bligation stacking with other international instruments, identified in submissions to </w:t>
      </w:r>
      <w:r w:rsidR="00590242">
        <w:t>n</w:t>
      </w:r>
      <w:r w:rsidRPr="00827DA6">
        <w:t>otification</w:t>
      </w:r>
      <w:r w:rsidR="00590242">
        <w:t xml:space="preserve"> No.</w:t>
      </w:r>
      <w:r w:rsidRPr="00827DA6">
        <w:t xml:space="preserve"> </w:t>
      </w:r>
      <w:hyperlink r:id="rId32" w:history="1">
        <w:r w:rsidRPr="004946B0">
          <w:rPr>
            <w:rStyle w:val="Hyperlink"/>
          </w:rPr>
          <w:t>2024-114</w:t>
        </w:r>
      </w:hyperlink>
      <w:r w:rsidRPr="00827DA6">
        <w:t xml:space="preserve"> as the most frequently cited barrier to participation; </w:t>
      </w:r>
    </w:p>
    <w:p w14:paraId="3B9DDCD5" w14:textId="617BB0BF" w:rsidR="00590242" w:rsidRDefault="00BB682B" w:rsidP="00020F91">
      <w:pPr>
        <w:pStyle w:val="CBDNormalNumber"/>
        <w:ind w:left="2268" w:hanging="567"/>
      </w:pPr>
      <w:r w:rsidRPr="00827DA6">
        <w:lastRenderedPageBreak/>
        <w:t>(</w:t>
      </w:r>
      <w:r w:rsidR="00590242">
        <w:t>iv</w:t>
      </w:r>
      <w:r w:rsidRPr="00827DA6">
        <w:t>)</w:t>
      </w:r>
      <w:r w:rsidR="00590242">
        <w:tab/>
      </w:r>
      <w:r w:rsidR="004946B0">
        <w:t>D</w:t>
      </w:r>
      <w:r w:rsidRPr="00827DA6">
        <w:t xml:space="preserve">ivergence in how Parties implement the mechanism nationally, which could either increase participation through domestic incentive measures or create cross-border asymmetries; </w:t>
      </w:r>
    </w:p>
    <w:p w14:paraId="54E68659" w14:textId="1605B409" w:rsidR="00BB682B" w:rsidRPr="00827DA6" w:rsidRDefault="00BB682B" w:rsidP="00020F91">
      <w:pPr>
        <w:pStyle w:val="CBDNormalNumber"/>
        <w:ind w:left="2268" w:hanging="567"/>
      </w:pPr>
      <w:r w:rsidRPr="00827DA6">
        <w:t>(</w:t>
      </w:r>
      <w:r w:rsidR="00590242">
        <w:t>v</w:t>
      </w:r>
      <w:r w:rsidRPr="00827DA6">
        <w:t>)</w:t>
      </w:r>
      <w:r w:rsidR="00590242">
        <w:tab/>
      </w:r>
      <w:r w:rsidRPr="00827DA6">
        <w:t>Cali Fund allocation formula, which may affect participation incentives if contributors perceive the distribution of benefits as unfair.</w:t>
      </w:r>
    </w:p>
    <w:p w14:paraId="2ABCF733" w14:textId="5F3F9AFB" w:rsidR="00BB682B" w:rsidRPr="00827DA6" w:rsidRDefault="00BB682B" w:rsidP="00284A2D">
      <w:pPr>
        <w:pStyle w:val="CBDNormalNumber"/>
        <w:numPr>
          <w:ilvl w:val="0"/>
          <w:numId w:val="15"/>
        </w:numPr>
      </w:pPr>
      <w:r w:rsidRPr="00827DA6">
        <w:t xml:space="preserve">None of these nine uncertainties </w:t>
      </w:r>
      <w:r w:rsidR="000606EC">
        <w:t>are</w:t>
      </w:r>
      <w:r w:rsidR="000606EC" w:rsidRPr="00827DA6">
        <w:t xml:space="preserve"> </w:t>
      </w:r>
      <w:r w:rsidRPr="00827DA6">
        <w:t xml:space="preserve">expected to raise the revenue </w:t>
      </w:r>
      <w:r w:rsidR="00D5372E">
        <w:t xml:space="preserve">of the </w:t>
      </w:r>
      <w:r w:rsidR="00A050CC">
        <w:t xml:space="preserve">Cali </w:t>
      </w:r>
      <w:r w:rsidR="00D5372E">
        <w:t xml:space="preserve">Fund </w:t>
      </w:r>
      <w:r w:rsidRPr="00827DA6">
        <w:t>above the theoretical full-compliance maximum. Full compliance is accordingly best read as a ceiling rather than a central estimate.</w:t>
      </w:r>
    </w:p>
    <w:p w14:paraId="2E642476" w14:textId="37F4BDE6" w:rsidR="00BB682B" w:rsidRPr="00827DA6" w:rsidRDefault="008000EA" w:rsidP="00020F91">
      <w:pPr>
        <w:pStyle w:val="CBDH1"/>
      </w:pPr>
      <w:r w:rsidRPr="008F41DE">
        <w:t>IV.</w:t>
      </w:r>
      <w:r w:rsidRPr="008F41DE">
        <w:tab/>
      </w:r>
      <w:r w:rsidR="00BB682B" w:rsidRPr="008F41DE">
        <w:t>Summary of findings</w:t>
      </w:r>
    </w:p>
    <w:p w14:paraId="52D7A0E7" w14:textId="38CAED1E" w:rsidR="00BB682B" w:rsidRPr="00827DA6" w:rsidRDefault="008000EA" w:rsidP="00020F91">
      <w:pPr>
        <w:pStyle w:val="CBDH2"/>
        <w:rPr>
          <w:rFonts w:hint="eastAsia"/>
        </w:rPr>
      </w:pPr>
      <w:r w:rsidRPr="00827DA6">
        <w:t>A.</w:t>
      </w:r>
      <w:r w:rsidRPr="00827DA6">
        <w:tab/>
      </w:r>
      <w:r w:rsidR="00BB682B" w:rsidRPr="00827DA6">
        <w:t>Eligibility thresholds</w:t>
      </w:r>
    </w:p>
    <w:p w14:paraId="3544962F" w14:textId="221F9D7E" w:rsidR="00BB682B" w:rsidRPr="00827DA6" w:rsidRDefault="00BB682B" w:rsidP="00917A39">
      <w:pPr>
        <w:pStyle w:val="CBDNormalNumber"/>
        <w:numPr>
          <w:ilvl w:val="0"/>
          <w:numId w:val="15"/>
        </w:numPr>
      </w:pPr>
      <w:r w:rsidRPr="00827DA6">
        <w:t xml:space="preserve">Submissions to </w:t>
      </w:r>
      <w:r w:rsidR="008F0BD2" w:rsidRPr="00020F91">
        <w:t xml:space="preserve">notification </w:t>
      </w:r>
      <w:r w:rsidR="008F0BD2">
        <w:t xml:space="preserve">No. </w:t>
      </w:r>
      <w:hyperlink r:id="rId33" w:history="1">
        <w:r w:rsidR="008F0BD2" w:rsidRPr="006478AC">
          <w:rPr>
            <w:rStyle w:val="Hyperlink"/>
          </w:rPr>
          <w:t>2024-116</w:t>
        </w:r>
      </w:hyperlink>
      <w:r w:rsidRPr="00827DA6">
        <w:t xml:space="preserve"> showed broad support for reliance on existing international frameworks over a tailored Convention </w:t>
      </w:r>
      <w:r w:rsidR="006478AC">
        <w:t>on</w:t>
      </w:r>
      <w:r w:rsidR="006478AC" w:rsidRPr="00827DA6">
        <w:t xml:space="preserve"> </w:t>
      </w:r>
      <w:r w:rsidRPr="00827DA6">
        <w:t xml:space="preserve">Biological Diversity system, as well as a preference for financial </w:t>
      </w:r>
      <w:r w:rsidR="00134353">
        <w:t xml:space="preserve">thresholds </w:t>
      </w:r>
      <w:r w:rsidRPr="00827DA6">
        <w:t>over employee-based thresholds, on the grounds that ability to pay is the relevant metric for a financial contribution. Several Parties considered that company size</w:t>
      </w:r>
      <w:r w:rsidR="00C2359A">
        <w:t xml:space="preserve"> could</w:t>
      </w:r>
      <w:r w:rsidR="00831AA6">
        <w:t xml:space="preserve"> not</w:t>
      </w:r>
      <w:r w:rsidRPr="00827DA6">
        <w:t xml:space="preserve"> be defined uniformly across sectors, while private sector observers warned against rigid definitions capturing firms with only indirect dependence </w:t>
      </w:r>
      <w:r w:rsidR="00972942">
        <w:t>on</w:t>
      </w:r>
      <w:r w:rsidR="00972942" w:rsidRPr="00827DA6">
        <w:t xml:space="preserve"> </w:t>
      </w:r>
      <w:r w:rsidRPr="00827DA6">
        <w:t>digital sequence information on genetic resources, and non-governmental and academic observers favoured activity-based criteria</w:t>
      </w:r>
      <w:r w:rsidR="00252C53">
        <w:t>,</w:t>
      </w:r>
      <w:r w:rsidRPr="00827DA6">
        <w:t xml:space="preserve"> such as value derived from digital sequence information on genetic resources. </w:t>
      </w:r>
      <w:r w:rsidR="00252C53">
        <w:t>In their s</w:t>
      </w:r>
      <w:r w:rsidRPr="00827DA6">
        <w:t>ubmissions</w:t>
      </w:r>
      <w:r w:rsidR="00252C53">
        <w:t>,</w:t>
      </w:r>
      <w:r w:rsidRPr="00827DA6">
        <w:t xml:space="preserve"> both Parties and observers consistently called for </w:t>
      </w:r>
      <w:r w:rsidR="00484784">
        <w:t xml:space="preserve">the </w:t>
      </w:r>
      <w:r w:rsidRPr="00827DA6">
        <w:t>protection of small and medium-sized enterprises from disproportionate burdens.</w:t>
      </w:r>
    </w:p>
    <w:p w14:paraId="234261DE" w14:textId="3802735C" w:rsidR="00BB682B" w:rsidRPr="00827DA6" w:rsidRDefault="00BB682B" w:rsidP="00F45C65">
      <w:pPr>
        <w:pStyle w:val="CBDNormalNumber"/>
        <w:numPr>
          <w:ilvl w:val="0"/>
          <w:numId w:val="15"/>
        </w:numPr>
      </w:pPr>
      <w:r w:rsidRPr="00827DA6">
        <w:t xml:space="preserve">Benchmarked against the frameworks of </w:t>
      </w:r>
      <w:r w:rsidR="008227E3" w:rsidRPr="00827DA6">
        <w:t xml:space="preserve">Brazil, </w:t>
      </w:r>
      <w:r w:rsidRPr="00827DA6">
        <w:t xml:space="preserve">China, </w:t>
      </w:r>
      <w:r w:rsidR="008227E3" w:rsidRPr="00827DA6">
        <w:t xml:space="preserve">India, </w:t>
      </w:r>
      <w:r w:rsidRPr="00827DA6">
        <w:t xml:space="preserve">Japan, the United States of America, </w:t>
      </w:r>
      <w:r w:rsidR="008227E3">
        <w:t xml:space="preserve">the </w:t>
      </w:r>
      <w:r w:rsidR="008227E3" w:rsidRPr="00827DA6">
        <w:t xml:space="preserve">European Union, </w:t>
      </w:r>
      <w:r w:rsidRPr="00827DA6">
        <w:t xml:space="preserve">the </w:t>
      </w:r>
      <w:bookmarkStart w:id="12" w:name="_Hlk240360640"/>
      <w:r w:rsidRPr="00827DA6">
        <w:t>International Finance Corporation</w:t>
      </w:r>
      <w:bookmarkEnd w:id="12"/>
      <w:r w:rsidR="00F10C15">
        <w:t xml:space="preserve"> of the World Bank Group</w:t>
      </w:r>
      <w:r w:rsidR="005579BE">
        <w:t xml:space="preserve"> and </w:t>
      </w:r>
      <w:r w:rsidR="005579BE" w:rsidRPr="00827DA6">
        <w:t xml:space="preserve">the </w:t>
      </w:r>
      <w:r w:rsidR="005579BE" w:rsidRPr="00685DF8">
        <w:t>Organisation for Economic Co-operation and Development</w:t>
      </w:r>
      <w:r w:rsidRPr="00827DA6">
        <w:t xml:space="preserve">, decision </w:t>
      </w:r>
      <w:hyperlink r:id="rId34" w:history="1">
        <w:r w:rsidRPr="00827DA6">
          <w:rPr>
            <w:rStyle w:val="Hyperlink"/>
          </w:rPr>
          <w:t>16/2</w:t>
        </w:r>
      </w:hyperlink>
      <w:r w:rsidRPr="00827DA6">
        <w:t xml:space="preserve"> thresholds broadly correspond to the criteria for large enterprises, </w:t>
      </w:r>
      <w:r w:rsidR="009D6D78">
        <w:t>al</w:t>
      </w:r>
      <w:r w:rsidRPr="00827DA6">
        <w:t>though with notable differences: the assets threshold of $20 million falls below the European Union medium-</w:t>
      </w:r>
      <w:r w:rsidR="000073E1">
        <w:t xml:space="preserve">sized </w:t>
      </w:r>
      <w:r w:rsidRPr="00827DA6">
        <w:t>enterprise balance sheet ceiling of approximately $50 million</w:t>
      </w:r>
      <w:r w:rsidR="00EE715E">
        <w:t>;</w:t>
      </w:r>
      <w:r w:rsidRPr="00827DA6">
        <w:t xml:space="preserve"> some firms classified as medium-sized under Indian and Chinese legislation would fall within the scope</w:t>
      </w:r>
      <w:r w:rsidR="000073E1">
        <w:t xml:space="preserve"> of the Cali F</w:t>
      </w:r>
      <w:r w:rsidR="004262FE">
        <w:t>u</w:t>
      </w:r>
      <w:r w:rsidR="000073E1">
        <w:t>nd</w:t>
      </w:r>
      <w:r w:rsidR="00383F41">
        <w:t>;</w:t>
      </w:r>
      <w:r w:rsidRPr="00827DA6">
        <w:t xml:space="preserve"> and, unlike almost all frameworks reviewed, the </w:t>
      </w:r>
      <w:r w:rsidR="004262FE">
        <w:t xml:space="preserve">Cali </w:t>
      </w:r>
      <w:r w:rsidRPr="00827DA6">
        <w:t>Fund includes no employee criterion. The profit criterion has no direct parallel among the frameworks reviewed. Unlike the frameworks</w:t>
      </w:r>
      <w:r w:rsidR="004F38E6">
        <w:t xml:space="preserve"> of the United States and the European Union</w:t>
      </w:r>
      <w:r w:rsidRPr="00827DA6">
        <w:t>, the current design includes no ownership or affiliation condition, raising a question as to whether the entity-level definition is sufficiently robust against potential restructuring intended to isolate activity related to digital sequence information on genetic resources into smaller reporting entities.</w:t>
      </w:r>
    </w:p>
    <w:p w14:paraId="44B13E7E" w14:textId="7C2B70A2" w:rsidR="00BB682B" w:rsidRPr="00827DA6" w:rsidRDefault="00BB682B" w:rsidP="00F45C65">
      <w:pPr>
        <w:pStyle w:val="CBDNormalNumber"/>
        <w:numPr>
          <w:ilvl w:val="0"/>
          <w:numId w:val="15"/>
        </w:numPr>
      </w:pPr>
      <w:r w:rsidRPr="00827DA6">
        <w:t xml:space="preserve">Seven design options are identified for consideration </w:t>
      </w:r>
      <w:r w:rsidR="000A03CF">
        <w:t>by</w:t>
      </w:r>
      <w:r w:rsidR="000A03CF" w:rsidRPr="00827DA6">
        <w:t xml:space="preserve"> </w:t>
      </w:r>
      <w:r w:rsidRPr="00827DA6">
        <w:t xml:space="preserve">the Conference of the Parties, without a recommendation among them: </w:t>
      </w:r>
    </w:p>
    <w:p w14:paraId="5EB72E21" w14:textId="298CE23A" w:rsidR="00BB682B" w:rsidRPr="00827DA6" w:rsidRDefault="000A03CF" w:rsidP="00020F91">
      <w:pPr>
        <w:pStyle w:val="CBDNormalNumber"/>
        <w:numPr>
          <w:ilvl w:val="1"/>
          <w:numId w:val="13"/>
        </w:numPr>
      </w:pPr>
      <w:r>
        <w:t>S</w:t>
      </w:r>
      <w:r w:rsidR="00BB682B" w:rsidRPr="00827DA6">
        <w:t xml:space="preserve">upplementing the current thresholds with an explicit exemption for small and medium-sized enterprises or </w:t>
      </w:r>
      <w:r w:rsidR="00C13558">
        <w:t xml:space="preserve">a </w:t>
      </w:r>
      <w:r w:rsidR="00BB682B" w:rsidRPr="00827DA6">
        <w:t xml:space="preserve">reduced-contribution tier drawn from an existing framework; </w:t>
      </w:r>
    </w:p>
    <w:p w14:paraId="34719755" w14:textId="68E25065" w:rsidR="00BB682B" w:rsidRPr="00827DA6" w:rsidRDefault="00C13558" w:rsidP="00020F91">
      <w:pPr>
        <w:pStyle w:val="CBDNormalNumber"/>
        <w:numPr>
          <w:ilvl w:val="1"/>
          <w:numId w:val="13"/>
        </w:numPr>
      </w:pPr>
      <w:r>
        <w:t>R</w:t>
      </w:r>
      <w:r w:rsidR="00BB682B" w:rsidRPr="00827DA6">
        <w:t xml:space="preserve">evisiting the profit criterion, for example by using a profit margin rather than an absolute amount, </w:t>
      </w:r>
      <w:r w:rsidR="00C643F0">
        <w:t>while</w:t>
      </w:r>
      <w:r w:rsidR="00BB682B" w:rsidRPr="00827DA6">
        <w:t xml:space="preserve"> noting that it is also a performance metric rather than a size metric and is subject to earnings management and cyclical volatility in ways that revenue and assets are not; </w:t>
      </w:r>
    </w:p>
    <w:p w14:paraId="04C76E93" w14:textId="7FCCBB15" w:rsidR="00BB682B" w:rsidRPr="00827DA6" w:rsidRDefault="00AA020D" w:rsidP="00020F91">
      <w:pPr>
        <w:pStyle w:val="CBDNormalNumber"/>
        <w:numPr>
          <w:ilvl w:val="1"/>
          <w:numId w:val="13"/>
        </w:numPr>
      </w:pPr>
      <w:r>
        <w:t>C</w:t>
      </w:r>
      <w:r w:rsidR="00BB682B" w:rsidRPr="00827DA6">
        <w:t>alibrating the thresholds to reflect structural differences across Parties, whether by sector or by national firm size distribution, given differences in firm size distribution and sectoral composition; sector</w:t>
      </w:r>
      <w:r>
        <w:t xml:space="preserve"> </w:t>
      </w:r>
      <w:r w:rsidR="00BB682B" w:rsidRPr="00827DA6">
        <w:t>adjustment might be more clearly justified for pharmaceuticals</w:t>
      </w:r>
      <w:r w:rsidR="00382123">
        <w:t>,</w:t>
      </w:r>
      <w:r w:rsidR="00BB682B" w:rsidRPr="00827DA6">
        <w:t xml:space="preserve"> given that sector</w:t>
      </w:r>
      <w:r w:rsidR="00C643F0">
        <w:t>’</w:t>
      </w:r>
      <w:r w:rsidR="00BB682B" w:rsidRPr="00827DA6">
        <w:t xml:space="preserve">s materially higher financial metric; </w:t>
      </w:r>
    </w:p>
    <w:p w14:paraId="71E9B6F2" w14:textId="7A65CE29" w:rsidR="00BB682B" w:rsidRPr="00827DA6" w:rsidRDefault="00253E8E" w:rsidP="00020F91">
      <w:pPr>
        <w:pStyle w:val="CBDNormalNumber"/>
        <w:numPr>
          <w:ilvl w:val="1"/>
          <w:numId w:val="13"/>
        </w:numPr>
      </w:pPr>
      <w:r>
        <w:t>I</w:t>
      </w:r>
      <w:r w:rsidR="00BB682B" w:rsidRPr="00827DA6">
        <w:t xml:space="preserve">ntroducing ownership or affiliation conditions comparable to those in </w:t>
      </w:r>
      <w:r>
        <w:t xml:space="preserve">the frameworks of the </w:t>
      </w:r>
      <w:r w:rsidR="00BB682B" w:rsidRPr="00827DA6">
        <w:t>United States</w:t>
      </w:r>
      <w:r w:rsidR="008B3912">
        <w:t xml:space="preserve"> and </w:t>
      </w:r>
      <w:r w:rsidR="008B3912" w:rsidRPr="00827DA6">
        <w:t>the European Union</w:t>
      </w:r>
      <w:r w:rsidR="00BB682B" w:rsidRPr="00827DA6">
        <w:t xml:space="preserve">; </w:t>
      </w:r>
    </w:p>
    <w:p w14:paraId="2E1C4EF0" w14:textId="088FBBF7" w:rsidR="00BB682B" w:rsidRPr="00827DA6" w:rsidRDefault="008B3912" w:rsidP="00020F91">
      <w:pPr>
        <w:pStyle w:val="CBDNormalNumber"/>
        <w:numPr>
          <w:ilvl w:val="1"/>
          <w:numId w:val="13"/>
        </w:numPr>
      </w:pPr>
      <w:r>
        <w:lastRenderedPageBreak/>
        <w:t>I</w:t>
      </w:r>
      <w:r w:rsidR="00BB682B" w:rsidRPr="00827DA6">
        <w:t>ntroducing an employee count criterion, alone or alongside the current financial thresholds, which would align the design</w:t>
      </w:r>
      <w:r>
        <w:t xml:space="preserve"> of the </w:t>
      </w:r>
      <w:r w:rsidR="00A050CC">
        <w:t xml:space="preserve">Cali </w:t>
      </w:r>
      <w:r>
        <w:t>Fund</w:t>
      </w:r>
      <w:r w:rsidR="00BB682B" w:rsidRPr="00827DA6">
        <w:t xml:space="preserve"> with </w:t>
      </w:r>
      <w:r>
        <w:t xml:space="preserve">that of </w:t>
      </w:r>
      <w:r w:rsidR="00BB682B" w:rsidRPr="00827DA6">
        <w:t xml:space="preserve">most other frameworks reviewed and ease domestic estimation of exposure by Parties, </w:t>
      </w:r>
      <w:r w:rsidR="009D6D78">
        <w:t>al</w:t>
      </w:r>
      <w:r w:rsidR="00BB682B" w:rsidRPr="00827DA6">
        <w:t xml:space="preserve">though this was not raised in Party submissions; </w:t>
      </w:r>
    </w:p>
    <w:p w14:paraId="261CEDCD" w14:textId="4CCBD795" w:rsidR="0083446D" w:rsidRPr="0083446D" w:rsidRDefault="007C0F3B" w:rsidP="0083446D">
      <w:pPr>
        <w:pStyle w:val="CBDNormalNumber"/>
        <w:numPr>
          <w:ilvl w:val="1"/>
          <w:numId w:val="13"/>
        </w:numPr>
        <w:rPr>
          <w:lang w:val="en-US"/>
        </w:rPr>
      </w:pPr>
      <w:r>
        <w:t>C</w:t>
      </w:r>
      <w:r w:rsidR="00BB682B" w:rsidRPr="00827DA6">
        <w:t xml:space="preserve">onsidering periodic revision of the thresholds, comparable to </w:t>
      </w:r>
      <w:r w:rsidR="00727121">
        <w:t xml:space="preserve">the practice under </w:t>
      </w:r>
      <w:r w:rsidR="0083446D" w:rsidRPr="0083446D">
        <w:rPr>
          <w:lang w:val="en-US"/>
        </w:rPr>
        <w:t>Directive 2013/34/EU</w:t>
      </w:r>
      <w:r w:rsidR="009601AE">
        <w:rPr>
          <w:lang w:val="en-US"/>
        </w:rPr>
        <w:t xml:space="preserve"> o</w:t>
      </w:r>
      <w:r w:rsidR="009601AE" w:rsidRPr="009601AE">
        <w:rPr>
          <w:lang w:val="en-US"/>
        </w:rPr>
        <w:t>f the European Parliament and of the Council of 26 June 2013 on the annual financial statements, consolidated financial statements and related reports of certain types of undertakings</w:t>
      </w:r>
      <w:r w:rsidR="0083446D" w:rsidRPr="0083446D">
        <w:rPr>
          <w:lang w:val="en-US"/>
        </w:rPr>
        <w:t xml:space="preserve">, whereby </w:t>
      </w:r>
      <w:r w:rsidR="00DD6BF3">
        <w:rPr>
          <w:lang w:val="en-US"/>
        </w:rPr>
        <w:t>a</w:t>
      </w:r>
      <w:r w:rsidR="0083446D" w:rsidRPr="0083446D">
        <w:rPr>
          <w:lang w:val="en-US"/>
        </w:rPr>
        <w:t>rticle 3</w:t>
      </w:r>
      <w:r w:rsidR="00DD6BF3">
        <w:rPr>
          <w:lang w:val="en-US"/>
        </w:rPr>
        <w:t xml:space="preserve"> </w:t>
      </w:r>
      <w:r w:rsidR="0083446D" w:rsidRPr="0083446D">
        <w:rPr>
          <w:lang w:val="en-US"/>
        </w:rPr>
        <w:t xml:space="preserve">(13) empowers the </w:t>
      </w:r>
      <w:r w:rsidR="004C7C6C">
        <w:rPr>
          <w:lang w:val="en-US"/>
        </w:rPr>
        <w:t xml:space="preserve">European </w:t>
      </w:r>
      <w:r w:rsidR="0083446D" w:rsidRPr="0083446D">
        <w:rPr>
          <w:lang w:val="en-US"/>
        </w:rPr>
        <w:t>Commission to revise the monetary size thresholds by</w:t>
      </w:r>
      <w:r w:rsidR="0083671C">
        <w:rPr>
          <w:lang w:val="en-US"/>
        </w:rPr>
        <w:t xml:space="preserve"> means of</w:t>
      </w:r>
      <w:r w:rsidR="0083446D" w:rsidRPr="0083446D">
        <w:rPr>
          <w:lang w:val="en-US"/>
        </w:rPr>
        <w:t xml:space="preserve"> delegated act</w:t>
      </w:r>
      <w:r w:rsidR="0083671C">
        <w:rPr>
          <w:lang w:val="en-US"/>
        </w:rPr>
        <w:t>s</w:t>
      </w:r>
      <w:r w:rsidR="0083446D" w:rsidRPr="0083446D">
        <w:rPr>
          <w:lang w:val="en-US"/>
        </w:rPr>
        <w:t xml:space="preserve"> at least every five years to reflect inflation; this could inform an indexed </w:t>
      </w:r>
      <w:r w:rsidR="003F2B4B">
        <w:rPr>
          <w:lang w:val="en-US"/>
        </w:rPr>
        <w:t xml:space="preserve">approach </w:t>
      </w:r>
      <w:r w:rsidR="0083446D" w:rsidRPr="0083446D">
        <w:rPr>
          <w:lang w:val="en-US"/>
        </w:rPr>
        <w:t xml:space="preserve">rather than </w:t>
      </w:r>
      <w:r w:rsidR="003F2B4B">
        <w:rPr>
          <w:lang w:val="en-US"/>
        </w:rPr>
        <w:t xml:space="preserve">a </w:t>
      </w:r>
      <w:r w:rsidR="0083446D" w:rsidRPr="0083446D">
        <w:rPr>
          <w:lang w:val="en-US"/>
        </w:rPr>
        <w:t>fixed-</w:t>
      </w:r>
      <w:r w:rsidR="00D0006A">
        <w:rPr>
          <w:lang w:val="en-US"/>
        </w:rPr>
        <w:t xml:space="preserve">United States </w:t>
      </w:r>
      <w:r w:rsidR="0083446D" w:rsidRPr="0083446D">
        <w:rPr>
          <w:lang w:val="en-US"/>
        </w:rPr>
        <w:t>dollar approach to the thresholds</w:t>
      </w:r>
      <w:r w:rsidR="007F3849">
        <w:rPr>
          <w:lang w:val="en-US"/>
        </w:rPr>
        <w:t>;</w:t>
      </w:r>
    </w:p>
    <w:p w14:paraId="0288B84B" w14:textId="110C29C9" w:rsidR="00BB682B" w:rsidRPr="00827DA6" w:rsidRDefault="00B75D10" w:rsidP="00020F91">
      <w:pPr>
        <w:pStyle w:val="CBDNormalNumber"/>
        <w:tabs>
          <w:tab w:val="clear" w:pos="1134"/>
        </w:tabs>
        <w:ind w:left="567" w:firstLine="567"/>
      </w:pPr>
      <w:r>
        <w:t>(g)</w:t>
      </w:r>
      <w:r>
        <w:tab/>
      </w:r>
      <w:r w:rsidR="00E97C84">
        <w:t>C</w:t>
      </w:r>
      <w:r w:rsidR="00BB682B" w:rsidRPr="00827DA6">
        <w:t xml:space="preserve">onsidering transition arrangements, such as a phase-in period or </w:t>
      </w:r>
      <w:r w:rsidR="00501DB6">
        <w:t xml:space="preserve">a </w:t>
      </w:r>
      <w:r w:rsidR="00BB682B" w:rsidRPr="00827DA6">
        <w:t xml:space="preserve">reduced initial rate, for firms newly meeting the eligibility thresholds or with historically low </w:t>
      </w:r>
      <w:r w:rsidR="00501DB6">
        <w:t xml:space="preserve">intensity of </w:t>
      </w:r>
      <w:r w:rsidR="00BB682B" w:rsidRPr="00827DA6">
        <w:t>digital sequence information on genetic resources</w:t>
      </w:r>
      <w:r w:rsidR="00BB682B" w:rsidRPr="00827DA6" w:rsidDel="00A778B8">
        <w:t xml:space="preserve"> </w:t>
      </w:r>
      <w:r w:rsidR="00501DB6">
        <w:t xml:space="preserve">use, </w:t>
      </w:r>
      <w:r w:rsidR="00BB682B" w:rsidRPr="00827DA6">
        <w:t xml:space="preserve">to ease the administrative and financial adjustment </w:t>
      </w:r>
      <w:r w:rsidR="00BB682B" w:rsidRPr="00995D52">
        <w:t>to</w:t>
      </w:r>
      <w:r w:rsidR="00BB682B" w:rsidRPr="00827DA6">
        <w:t xml:space="preserve"> first-time contribution.</w:t>
      </w:r>
    </w:p>
    <w:p w14:paraId="5212CC2B" w14:textId="241C0ACE" w:rsidR="00BB682B" w:rsidRPr="00827DA6" w:rsidRDefault="008000EA" w:rsidP="00020F91">
      <w:pPr>
        <w:pStyle w:val="CBDH2"/>
        <w:rPr>
          <w:rFonts w:hint="eastAsia"/>
        </w:rPr>
      </w:pPr>
      <w:r w:rsidRPr="00827DA6">
        <w:t>B.</w:t>
      </w:r>
      <w:r w:rsidRPr="00827DA6">
        <w:tab/>
      </w:r>
      <w:r w:rsidR="00BB682B" w:rsidRPr="00E043CD">
        <w:t>Revenue potential and contribution structure</w:t>
      </w:r>
    </w:p>
    <w:p w14:paraId="362F6CEF" w14:textId="59A189D3" w:rsidR="00C80EA4" w:rsidRPr="00827DA6" w:rsidRDefault="00C80EA4" w:rsidP="000C1C50">
      <w:pPr>
        <w:pStyle w:val="CBDNormalNumber"/>
        <w:numPr>
          <w:ilvl w:val="0"/>
          <w:numId w:val="15"/>
        </w:numPr>
      </w:pPr>
      <w:r w:rsidRPr="00827DA6">
        <w:t xml:space="preserve">Full compliance by all </w:t>
      </w:r>
      <w:bookmarkStart w:id="13" w:name="_Hlk240364879"/>
      <w:r w:rsidRPr="00827DA6">
        <w:t xml:space="preserve">21,690 </w:t>
      </w:r>
      <w:bookmarkEnd w:id="13"/>
      <w:r w:rsidRPr="00827DA6">
        <w:t xml:space="preserve">eligible entities identified would generate approximately $3.65 billion per year. Once sector-level participation, ownership structure and intensity of digital sequence information on genetic resources use are </w:t>
      </w:r>
      <w:proofErr w:type="gramStart"/>
      <w:r w:rsidRPr="00827DA6">
        <w:t>taken into account</w:t>
      </w:r>
      <w:proofErr w:type="gramEnd"/>
      <w:r w:rsidRPr="00827DA6">
        <w:t xml:space="preserve">, the central estimate falls to $929 million per year, </w:t>
      </w:r>
      <w:r w:rsidR="00992494">
        <w:t>representing about</w:t>
      </w:r>
      <w:r w:rsidR="00992494" w:rsidRPr="00827DA6">
        <w:t xml:space="preserve"> </w:t>
      </w:r>
      <w:r w:rsidRPr="00827DA6">
        <w:t xml:space="preserve">one quarter of the full-compliance figure. An uncertainty-adjusted range, informed by the depressed payment ratio observed under the </w:t>
      </w:r>
      <w:r w:rsidR="00855DC6" w:rsidRPr="00827DA6">
        <w:t>user-based system</w:t>
      </w:r>
      <w:r w:rsidR="00855DC6">
        <w:t xml:space="preserve"> of the </w:t>
      </w:r>
      <w:r w:rsidRPr="00827DA6">
        <w:t xml:space="preserve">International Treaty on Plant Genetic Resources for Food and Agriculture, spans from approximately $5 million to $929 million per year at the same indicative rates, a range determined by unresolved design features rather than the rate level itself. </w:t>
      </w:r>
      <w:r w:rsidR="00DC241F">
        <w:t>The table below</w:t>
      </w:r>
      <w:r w:rsidRPr="00827DA6">
        <w:t xml:space="preserve"> sets out the revenue estimates by scenario.</w:t>
      </w:r>
    </w:p>
    <w:p w14:paraId="5472D91A" w14:textId="4CD481F8" w:rsidR="00C80EA4" w:rsidRPr="00827DA6" w:rsidRDefault="00C80EA4" w:rsidP="000C1C50">
      <w:pPr>
        <w:pStyle w:val="CBDNormalNumber"/>
        <w:numPr>
          <w:ilvl w:val="0"/>
          <w:numId w:val="15"/>
        </w:numPr>
      </w:pPr>
      <w:r w:rsidRPr="00827DA6">
        <w:t xml:space="preserve">These estimates </w:t>
      </w:r>
      <w:r w:rsidR="001947CE">
        <w:t xml:space="preserve">are </w:t>
      </w:r>
      <w:r w:rsidRPr="00827DA6">
        <w:t>draw</w:t>
      </w:r>
      <w:r w:rsidR="001947CE">
        <w:t>n</w:t>
      </w:r>
      <w:r w:rsidRPr="00827DA6">
        <w:t xml:space="preserve"> </w:t>
      </w:r>
      <w:r w:rsidR="001947CE">
        <w:t>from</w:t>
      </w:r>
      <w:r w:rsidRPr="00827DA6">
        <w:t xml:space="preserve"> the best available evidence, but because no voluntary scheme with the specific design features</w:t>
      </w:r>
      <w:r w:rsidR="00DC241F">
        <w:t xml:space="preserve"> of the Cali Fund</w:t>
      </w:r>
      <w:r w:rsidRPr="00827DA6">
        <w:t xml:space="preserve"> has been observed, the participation assumptions behind them are necessarily calibrated from other contexts, including the analogous mechanisms reviewed in </w:t>
      </w:r>
      <w:r w:rsidRPr="00BD0FA6">
        <w:t>section III.</w:t>
      </w:r>
      <w:r w:rsidR="00BD0FA6" w:rsidRPr="00020F91">
        <w:t>A above</w:t>
      </w:r>
      <w:r w:rsidRPr="00BD0FA6">
        <w:t>, rather</w:t>
      </w:r>
      <w:r w:rsidRPr="00827DA6">
        <w:t xml:space="preserve"> than from the Fund itself. The range in </w:t>
      </w:r>
      <w:r w:rsidR="00DC241F">
        <w:t>the table</w:t>
      </w:r>
      <w:r w:rsidRPr="00827DA6">
        <w:t xml:space="preserve"> should accordingly be read as the plausible bounds implied by that evidence, not as a forecast of </w:t>
      </w:r>
      <w:r w:rsidR="00290B95">
        <w:t>the amount that</w:t>
      </w:r>
      <w:r w:rsidR="00290B95" w:rsidRPr="00827DA6">
        <w:t xml:space="preserve"> </w:t>
      </w:r>
      <w:r w:rsidRPr="00827DA6">
        <w:t>the Fund will raise.</w:t>
      </w:r>
    </w:p>
    <w:p w14:paraId="6B644C23" w14:textId="77777777" w:rsidR="00C80EA4" w:rsidRPr="00827DA6" w:rsidRDefault="00C80EA4" w:rsidP="008000EA">
      <w:pPr>
        <w:pStyle w:val="CBDTableTitle"/>
      </w:pPr>
      <w:r w:rsidRPr="00827DA6">
        <w:t>Estimated annual contributions and net present value projections</w:t>
      </w:r>
    </w:p>
    <w:tbl>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268"/>
        <w:gridCol w:w="1275"/>
        <w:gridCol w:w="1418"/>
        <w:gridCol w:w="1300"/>
        <w:gridCol w:w="1393"/>
        <w:gridCol w:w="1314"/>
      </w:tblGrid>
      <w:tr w:rsidR="00C80EA4" w:rsidRPr="00827DA6" w14:paraId="4881A4A9" w14:textId="77777777" w:rsidTr="00066D38">
        <w:trPr>
          <w:tblHeader/>
        </w:trPr>
        <w:tc>
          <w:tcPr>
            <w:tcW w:w="2268" w:type="dxa"/>
            <w:tcBorders>
              <w:top w:val="single" w:sz="4" w:space="0" w:color="auto"/>
              <w:bottom w:val="single" w:sz="4" w:space="0" w:color="auto"/>
            </w:tcBorders>
            <w:tcMar>
              <w:top w:w="60" w:type="dxa"/>
              <w:left w:w="100" w:type="dxa"/>
              <w:bottom w:w="60" w:type="dxa"/>
              <w:right w:w="100" w:type="dxa"/>
            </w:tcMar>
          </w:tcPr>
          <w:p w14:paraId="01C9D839" w14:textId="77777777" w:rsidR="00C80EA4" w:rsidRPr="00020F91" w:rsidRDefault="00C80EA4" w:rsidP="00C80EA4">
            <w:pPr>
              <w:pStyle w:val="CBDTableNormal"/>
              <w:rPr>
                <w:i/>
                <w:iCs/>
              </w:rPr>
            </w:pPr>
            <w:r w:rsidRPr="00020F91">
              <w:rPr>
                <w:i/>
                <w:iCs/>
              </w:rPr>
              <w:t>Scenario</w:t>
            </w:r>
          </w:p>
        </w:tc>
        <w:tc>
          <w:tcPr>
            <w:tcW w:w="1275" w:type="dxa"/>
            <w:tcBorders>
              <w:top w:val="single" w:sz="4" w:space="0" w:color="auto"/>
              <w:bottom w:val="single" w:sz="4" w:space="0" w:color="auto"/>
            </w:tcBorders>
            <w:tcMar>
              <w:top w:w="60" w:type="dxa"/>
              <w:left w:w="100" w:type="dxa"/>
              <w:bottom w:w="60" w:type="dxa"/>
              <w:right w:w="100" w:type="dxa"/>
            </w:tcMar>
          </w:tcPr>
          <w:p w14:paraId="3778BFC6" w14:textId="26C6D644" w:rsidR="00C80EA4" w:rsidRPr="00020F91" w:rsidRDefault="00C80EA4" w:rsidP="00020F91">
            <w:pPr>
              <w:pStyle w:val="CBDTableNormal"/>
              <w:jc w:val="right"/>
              <w:rPr>
                <w:i/>
                <w:iCs/>
              </w:rPr>
            </w:pPr>
            <w:r w:rsidRPr="00020F91">
              <w:rPr>
                <w:i/>
                <w:iCs/>
              </w:rPr>
              <w:t xml:space="preserve">Annual </w:t>
            </w:r>
            <w:proofErr w:type="spellStart"/>
            <w:r w:rsidRPr="00020F91">
              <w:rPr>
                <w:i/>
                <w:iCs/>
              </w:rPr>
              <w:t>mean</w:t>
            </w:r>
            <w:r w:rsidR="00711920" w:rsidRPr="00020F91">
              <w:rPr>
                <w:vertAlign w:val="superscript"/>
              </w:rPr>
              <w:t>a</w:t>
            </w:r>
            <w:proofErr w:type="spellEnd"/>
            <w:r w:rsidRPr="00020F91">
              <w:rPr>
                <w:i/>
                <w:iCs/>
              </w:rPr>
              <w:t xml:space="preserve"> </w:t>
            </w:r>
          </w:p>
        </w:tc>
        <w:tc>
          <w:tcPr>
            <w:tcW w:w="1418" w:type="dxa"/>
            <w:tcBorders>
              <w:top w:val="single" w:sz="4" w:space="0" w:color="auto"/>
              <w:bottom w:val="single" w:sz="4" w:space="0" w:color="auto"/>
            </w:tcBorders>
            <w:tcMar>
              <w:top w:w="60" w:type="dxa"/>
              <w:left w:w="100" w:type="dxa"/>
              <w:bottom w:w="60" w:type="dxa"/>
              <w:right w:w="100" w:type="dxa"/>
            </w:tcMar>
          </w:tcPr>
          <w:p w14:paraId="2E61EA32" w14:textId="3516BBCE" w:rsidR="00C80EA4" w:rsidRPr="00020F91" w:rsidRDefault="004268B8" w:rsidP="00020F91">
            <w:pPr>
              <w:pStyle w:val="CBDTableNormal"/>
              <w:jc w:val="right"/>
              <w:rPr>
                <w:i/>
                <w:iCs/>
              </w:rPr>
            </w:pPr>
            <w:r>
              <w:rPr>
                <w:i/>
                <w:iCs/>
              </w:rPr>
              <w:t xml:space="preserve">Fifth percentile to </w:t>
            </w:r>
            <w:r w:rsidR="00C17153">
              <w:rPr>
                <w:i/>
                <w:iCs/>
              </w:rPr>
              <w:t>ninety-fifth</w:t>
            </w:r>
            <w:r>
              <w:rPr>
                <w:i/>
                <w:iCs/>
              </w:rPr>
              <w:t xml:space="preserve"> percentile</w:t>
            </w:r>
            <w:r w:rsidR="00C80EA4" w:rsidRPr="00020F91">
              <w:rPr>
                <w:i/>
                <w:iCs/>
              </w:rPr>
              <w:t xml:space="preserve"> range</w:t>
            </w:r>
          </w:p>
        </w:tc>
        <w:tc>
          <w:tcPr>
            <w:tcW w:w="1300" w:type="dxa"/>
            <w:tcBorders>
              <w:top w:val="single" w:sz="4" w:space="0" w:color="auto"/>
              <w:bottom w:val="single" w:sz="4" w:space="0" w:color="auto"/>
            </w:tcBorders>
            <w:tcMar>
              <w:top w:w="60" w:type="dxa"/>
              <w:left w:w="100" w:type="dxa"/>
              <w:bottom w:w="60" w:type="dxa"/>
              <w:right w:w="100" w:type="dxa"/>
            </w:tcMar>
          </w:tcPr>
          <w:p w14:paraId="7D6253C8" w14:textId="72B94F98" w:rsidR="00C80EA4" w:rsidRPr="00020F91" w:rsidRDefault="00577701" w:rsidP="00020F91">
            <w:pPr>
              <w:pStyle w:val="CBDTableNormal"/>
              <w:jc w:val="right"/>
              <w:rPr>
                <w:i/>
                <w:iCs/>
              </w:rPr>
            </w:pPr>
            <w:r>
              <w:rPr>
                <w:i/>
                <w:iCs/>
              </w:rPr>
              <w:t>Percentage</w:t>
            </w:r>
            <w:r w:rsidR="00C80EA4" w:rsidRPr="00020F91">
              <w:rPr>
                <w:i/>
                <w:iCs/>
              </w:rPr>
              <w:t xml:space="preserve"> of </w:t>
            </w:r>
            <w:r w:rsidR="00C17153">
              <w:rPr>
                <w:i/>
                <w:iCs/>
              </w:rPr>
              <w:t xml:space="preserve">scenario </w:t>
            </w:r>
            <w:r w:rsidR="00C80EA4" w:rsidRPr="00020F91">
              <w:rPr>
                <w:i/>
                <w:iCs/>
              </w:rPr>
              <w:t>0</w:t>
            </w:r>
          </w:p>
        </w:tc>
        <w:tc>
          <w:tcPr>
            <w:tcW w:w="1393" w:type="dxa"/>
            <w:tcBorders>
              <w:top w:val="single" w:sz="4" w:space="0" w:color="auto"/>
              <w:bottom w:val="single" w:sz="4" w:space="0" w:color="auto"/>
            </w:tcBorders>
            <w:tcMar>
              <w:top w:w="60" w:type="dxa"/>
              <w:left w:w="100" w:type="dxa"/>
              <w:bottom w:w="60" w:type="dxa"/>
              <w:right w:w="100" w:type="dxa"/>
            </w:tcMar>
          </w:tcPr>
          <w:p w14:paraId="403514C5" w14:textId="44510356" w:rsidR="00C80EA4" w:rsidRPr="00020F91" w:rsidRDefault="00C80EA4" w:rsidP="00020F91">
            <w:pPr>
              <w:pStyle w:val="CBDTableNormal"/>
              <w:jc w:val="right"/>
              <w:rPr>
                <w:i/>
                <w:iCs/>
              </w:rPr>
            </w:pPr>
            <w:r w:rsidRPr="00020F91">
              <w:rPr>
                <w:i/>
                <w:iCs/>
              </w:rPr>
              <w:t>N</w:t>
            </w:r>
            <w:r w:rsidR="007C596D">
              <w:rPr>
                <w:i/>
                <w:iCs/>
              </w:rPr>
              <w:t>et present value</w:t>
            </w:r>
            <w:r w:rsidRPr="00020F91">
              <w:rPr>
                <w:i/>
                <w:iCs/>
              </w:rPr>
              <w:t xml:space="preserve"> to 2030</w:t>
            </w:r>
            <w:proofErr w:type="gramStart"/>
            <w:r w:rsidR="00577701" w:rsidRPr="00020F91">
              <w:rPr>
                <w:vertAlign w:val="superscript"/>
              </w:rPr>
              <w:t>a</w:t>
            </w:r>
            <w:r w:rsidR="00C216DE">
              <w:rPr>
                <w:vertAlign w:val="superscript"/>
              </w:rPr>
              <w:t>,b</w:t>
            </w:r>
            <w:proofErr w:type="gramEnd"/>
            <w:r w:rsidRPr="00020F91">
              <w:rPr>
                <w:i/>
                <w:iCs/>
              </w:rPr>
              <w:t xml:space="preserve"> </w:t>
            </w:r>
          </w:p>
        </w:tc>
        <w:tc>
          <w:tcPr>
            <w:tcW w:w="1314" w:type="dxa"/>
            <w:tcBorders>
              <w:top w:val="single" w:sz="4" w:space="0" w:color="auto"/>
              <w:bottom w:val="single" w:sz="4" w:space="0" w:color="auto"/>
            </w:tcBorders>
            <w:tcMar>
              <w:top w:w="60" w:type="dxa"/>
              <w:left w:w="100" w:type="dxa"/>
              <w:bottom w:w="60" w:type="dxa"/>
              <w:right w:w="100" w:type="dxa"/>
            </w:tcMar>
          </w:tcPr>
          <w:p w14:paraId="4F6A9FCF" w14:textId="73615149" w:rsidR="00C80EA4" w:rsidRPr="00020F91" w:rsidRDefault="007C596D" w:rsidP="00020F91">
            <w:pPr>
              <w:pStyle w:val="CBDTableNormal"/>
              <w:jc w:val="right"/>
              <w:rPr>
                <w:i/>
                <w:iCs/>
              </w:rPr>
            </w:pPr>
            <w:r>
              <w:rPr>
                <w:i/>
                <w:iCs/>
              </w:rPr>
              <w:t>Net present value</w:t>
            </w:r>
            <w:r w:rsidRPr="00020F91">
              <w:rPr>
                <w:i/>
                <w:iCs/>
              </w:rPr>
              <w:t xml:space="preserve"> </w:t>
            </w:r>
            <w:r w:rsidR="00C80EA4" w:rsidRPr="00020F91">
              <w:rPr>
                <w:i/>
                <w:iCs/>
              </w:rPr>
              <w:t>to 2035</w:t>
            </w:r>
            <w:proofErr w:type="gramStart"/>
            <w:r w:rsidR="00577701" w:rsidRPr="00020F91">
              <w:rPr>
                <w:vertAlign w:val="superscript"/>
              </w:rPr>
              <w:t>a</w:t>
            </w:r>
            <w:r w:rsidR="00C216DE">
              <w:rPr>
                <w:vertAlign w:val="superscript"/>
              </w:rPr>
              <w:t>,b</w:t>
            </w:r>
            <w:proofErr w:type="gramEnd"/>
            <w:r w:rsidR="00C80EA4" w:rsidRPr="00020F91">
              <w:rPr>
                <w:i/>
                <w:iCs/>
              </w:rPr>
              <w:t xml:space="preserve"> </w:t>
            </w:r>
          </w:p>
        </w:tc>
      </w:tr>
      <w:tr w:rsidR="00C80EA4" w:rsidRPr="00827DA6" w14:paraId="31716EA6" w14:textId="77777777" w:rsidTr="00066D38">
        <w:tc>
          <w:tcPr>
            <w:tcW w:w="2268" w:type="dxa"/>
            <w:tcBorders>
              <w:top w:val="single" w:sz="4" w:space="0" w:color="auto"/>
            </w:tcBorders>
            <w:tcMar>
              <w:top w:w="60" w:type="dxa"/>
              <w:left w:w="100" w:type="dxa"/>
              <w:bottom w:w="60" w:type="dxa"/>
              <w:right w:w="100" w:type="dxa"/>
            </w:tcMar>
          </w:tcPr>
          <w:p w14:paraId="3096C6C8" w14:textId="7F200AC3" w:rsidR="00C80EA4" w:rsidRPr="00827DA6" w:rsidRDefault="00C80EA4" w:rsidP="00C80EA4">
            <w:pPr>
              <w:pStyle w:val="CBDTableNormal"/>
            </w:pPr>
            <w:r w:rsidRPr="00827DA6">
              <w:t>S</w:t>
            </w:r>
            <w:r w:rsidR="000A1978">
              <w:t xml:space="preserve">cenario </w:t>
            </w:r>
            <w:r w:rsidRPr="00827DA6">
              <w:t>0</w:t>
            </w:r>
            <w:r w:rsidR="00577701">
              <w:t>.</w:t>
            </w:r>
            <w:r w:rsidRPr="00827DA6">
              <w:t xml:space="preserve"> Full participation</w:t>
            </w:r>
          </w:p>
        </w:tc>
        <w:tc>
          <w:tcPr>
            <w:tcW w:w="1275" w:type="dxa"/>
            <w:tcBorders>
              <w:top w:val="single" w:sz="4" w:space="0" w:color="auto"/>
            </w:tcBorders>
            <w:tcMar>
              <w:top w:w="60" w:type="dxa"/>
              <w:left w:w="100" w:type="dxa"/>
              <w:bottom w:w="60" w:type="dxa"/>
              <w:right w:w="100" w:type="dxa"/>
            </w:tcMar>
          </w:tcPr>
          <w:p w14:paraId="2354A2E7" w14:textId="77777777" w:rsidR="00C80EA4" w:rsidRPr="00827DA6" w:rsidRDefault="00C80EA4" w:rsidP="00020F91">
            <w:pPr>
              <w:pStyle w:val="CBDTableNormal"/>
              <w:jc w:val="right"/>
            </w:pPr>
            <w:r w:rsidRPr="00827DA6">
              <w:t>3.65</w:t>
            </w:r>
          </w:p>
        </w:tc>
        <w:tc>
          <w:tcPr>
            <w:tcW w:w="1418" w:type="dxa"/>
            <w:tcBorders>
              <w:top w:val="single" w:sz="4" w:space="0" w:color="auto"/>
            </w:tcBorders>
            <w:tcMar>
              <w:top w:w="60" w:type="dxa"/>
              <w:left w:w="100" w:type="dxa"/>
              <w:bottom w:w="60" w:type="dxa"/>
              <w:right w:w="100" w:type="dxa"/>
            </w:tcMar>
          </w:tcPr>
          <w:p w14:paraId="00FA2CE5" w14:textId="777840F2" w:rsidR="00C80EA4" w:rsidRPr="00827DA6" w:rsidRDefault="008F2478" w:rsidP="00020F91">
            <w:pPr>
              <w:pStyle w:val="CBDTableNormal"/>
              <w:jc w:val="right"/>
            </w:pPr>
            <w:r w:rsidRPr="00020F91">
              <w:t>n/a</w:t>
            </w:r>
            <w:r w:rsidRPr="00020F91" w:rsidDel="008F2478">
              <w:t xml:space="preserve"> </w:t>
            </w:r>
          </w:p>
        </w:tc>
        <w:tc>
          <w:tcPr>
            <w:tcW w:w="1300" w:type="dxa"/>
            <w:tcBorders>
              <w:top w:val="single" w:sz="4" w:space="0" w:color="auto"/>
            </w:tcBorders>
            <w:tcMar>
              <w:top w:w="60" w:type="dxa"/>
              <w:left w:w="100" w:type="dxa"/>
              <w:bottom w:w="60" w:type="dxa"/>
              <w:right w:w="100" w:type="dxa"/>
            </w:tcMar>
          </w:tcPr>
          <w:p w14:paraId="189910C8" w14:textId="5B60859D" w:rsidR="00C80EA4" w:rsidRPr="00827DA6" w:rsidRDefault="00C80EA4" w:rsidP="00020F91">
            <w:pPr>
              <w:pStyle w:val="CBDTableNormal"/>
              <w:jc w:val="right"/>
            </w:pPr>
            <w:r w:rsidRPr="00827DA6">
              <w:t>100.0</w:t>
            </w:r>
          </w:p>
        </w:tc>
        <w:tc>
          <w:tcPr>
            <w:tcW w:w="1393" w:type="dxa"/>
            <w:tcBorders>
              <w:top w:val="single" w:sz="4" w:space="0" w:color="auto"/>
            </w:tcBorders>
            <w:tcMar>
              <w:top w:w="60" w:type="dxa"/>
              <w:left w:w="100" w:type="dxa"/>
              <w:bottom w:w="60" w:type="dxa"/>
              <w:right w:w="100" w:type="dxa"/>
            </w:tcMar>
          </w:tcPr>
          <w:p w14:paraId="432575FD" w14:textId="77777777" w:rsidR="00C80EA4" w:rsidRPr="00827DA6" w:rsidRDefault="00C80EA4" w:rsidP="00020F91">
            <w:pPr>
              <w:pStyle w:val="CBDTableNormal"/>
              <w:jc w:val="right"/>
            </w:pPr>
            <w:r w:rsidRPr="00827DA6">
              <w:t>17.2</w:t>
            </w:r>
          </w:p>
        </w:tc>
        <w:tc>
          <w:tcPr>
            <w:tcW w:w="1314" w:type="dxa"/>
            <w:tcBorders>
              <w:top w:val="single" w:sz="4" w:space="0" w:color="auto"/>
            </w:tcBorders>
            <w:tcMar>
              <w:top w:w="60" w:type="dxa"/>
              <w:left w:w="100" w:type="dxa"/>
              <w:bottom w:w="60" w:type="dxa"/>
              <w:right w:w="100" w:type="dxa"/>
            </w:tcMar>
          </w:tcPr>
          <w:p w14:paraId="0F2C4C22" w14:textId="77777777" w:rsidR="00C80EA4" w:rsidRPr="00827DA6" w:rsidRDefault="00C80EA4" w:rsidP="00020F91">
            <w:pPr>
              <w:pStyle w:val="CBDTableNormal"/>
              <w:jc w:val="right"/>
            </w:pPr>
            <w:r w:rsidRPr="00827DA6">
              <w:t>32.0</w:t>
            </w:r>
          </w:p>
        </w:tc>
      </w:tr>
      <w:tr w:rsidR="00C80EA4" w:rsidRPr="00827DA6" w14:paraId="73DA95CC" w14:textId="77777777" w:rsidTr="00066D38">
        <w:tc>
          <w:tcPr>
            <w:tcW w:w="2268" w:type="dxa"/>
            <w:tcMar>
              <w:top w:w="60" w:type="dxa"/>
              <w:left w:w="100" w:type="dxa"/>
              <w:bottom w:w="60" w:type="dxa"/>
              <w:right w:w="100" w:type="dxa"/>
            </w:tcMar>
          </w:tcPr>
          <w:p w14:paraId="67AE95EB" w14:textId="7BBEA37C" w:rsidR="00C80EA4" w:rsidRPr="00827DA6" w:rsidRDefault="00C80EA4" w:rsidP="00C80EA4">
            <w:pPr>
              <w:pStyle w:val="CBDTableNormal"/>
            </w:pPr>
            <w:r w:rsidRPr="00827DA6">
              <w:t>S</w:t>
            </w:r>
            <w:r w:rsidR="000A1978">
              <w:t xml:space="preserve">cenario </w:t>
            </w:r>
            <w:r w:rsidRPr="00827DA6">
              <w:t>1</w:t>
            </w:r>
            <w:r w:rsidR="00577701">
              <w:t>.</w:t>
            </w:r>
            <w:r w:rsidRPr="00827DA6">
              <w:t xml:space="preserve"> Sector variation</w:t>
            </w:r>
          </w:p>
        </w:tc>
        <w:tc>
          <w:tcPr>
            <w:tcW w:w="1275" w:type="dxa"/>
            <w:tcMar>
              <w:top w:w="60" w:type="dxa"/>
              <w:left w:w="100" w:type="dxa"/>
              <w:bottom w:w="60" w:type="dxa"/>
              <w:right w:w="100" w:type="dxa"/>
            </w:tcMar>
          </w:tcPr>
          <w:p w14:paraId="2FBA3A61" w14:textId="77777777" w:rsidR="00C80EA4" w:rsidRPr="00827DA6" w:rsidRDefault="00C80EA4" w:rsidP="00020F91">
            <w:pPr>
              <w:pStyle w:val="CBDTableNormal"/>
              <w:jc w:val="right"/>
            </w:pPr>
            <w:r w:rsidRPr="00827DA6">
              <w:t>1.16</w:t>
            </w:r>
          </w:p>
        </w:tc>
        <w:tc>
          <w:tcPr>
            <w:tcW w:w="1418" w:type="dxa"/>
            <w:tcMar>
              <w:top w:w="60" w:type="dxa"/>
              <w:left w:w="100" w:type="dxa"/>
              <w:bottom w:w="60" w:type="dxa"/>
              <w:right w:w="100" w:type="dxa"/>
            </w:tcMar>
          </w:tcPr>
          <w:p w14:paraId="165E6532" w14:textId="20F2C210" w:rsidR="00C80EA4" w:rsidRPr="00827DA6" w:rsidRDefault="00C80EA4" w:rsidP="00020F91">
            <w:pPr>
              <w:pStyle w:val="CBDTableNormal"/>
              <w:jc w:val="right"/>
            </w:pPr>
            <w:r w:rsidRPr="00827DA6">
              <w:t>0.81</w:t>
            </w:r>
            <w:r w:rsidR="00D60D37">
              <w:t>–</w:t>
            </w:r>
            <w:r w:rsidRPr="00827DA6">
              <w:t>1.53</w:t>
            </w:r>
          </w:p>
        </w:tc>
        <w:tc>
          <w:tcPr>
            <w:tcW w:w="1300" w:type="dxa"/>
            <w:tcMar>
              <w:top w:w="60" w:type="dxa"/>
              <w:left w:w="100" w:type="dxa"/>
              <w:bottom w:w="60" w:type="dxa"/>
              <w:right w:w="100" w:type="dxa"/>
            </w:tcMar>
          </w:tcPr>
          <w:p w14:paraId="3E5CED5B" w14:textId="1C0B941D" w:rsidR="00C80EA4" w:rsidRPr="00827DA6" w:rsidRDefault="00C80EA4" w:rsidP="00020F91">
            <w:pPr>
              <w:pStyle w:val="CBDTableNormal"/>
              <w:jc w:val="right"/>
            </w:pPr>
            <w:r w:rsidRPr="00827DA6">
              <w:t>31.9</w:t>
            </w:r>
          </w:p>
        </w:tc>
        <w:tc>
          <w:tcPr>
            <w:tcW w:w="1393" w:type="dxa"/>
            <w:tcMar>
              <w:top w:w="60" w:type="dxa"/>
              <w:left w:w="100" w:type="dxa"/>
              <w:bottom w:w="60" w:type="dxa"/>
              <w:right w:w="100" w:type="dxa"/>
            </w:tcMar>
          </w:tcPr>
          <w:p w14:paraId="0E0A8CC2" w14:textId="77777777" w:rsidR="00C80EA4" w:rsidRPr="00827DA6" w:rsidRDefault="00C80EA4" w:rsidP="00020F91">
            <w:pPr>
              <w:pStyle w:val="CBDTableNormal"/>
              <w:jc w:val="right"/>
            </w:pPr>
            <w:r w:rsidRPr="00827DA6">
              <w:t>5.5</w:t>
            </w:r>
          </w:p>
        </w:tc>
        <w:tc>
          <w:tcPr>
            <w:tcW w:w="1314" w:type="dxa"/>
            <w:tcMar>
              <w:top w:w="60" w:type="dxa"/>
              <w:left w:w="100" w:type="dxa"/>
              <w:bottom w:w="60" w:type="dxa"/>
              <w:right w:w="100" w:type="dxa"/>
            </w:tcMar>
          </w:tcPr>
          <w:p w14:paraId="45C6BA01" w14:textId="77777777" w:rsidR="00C80EA4" w:rsidRPr="00827DA6" w:rsidRDefault="00C80EA4" w:rsidP="00020F91">
            <w:pPr>
              <w:pStyle w:val="CBDTableNormal"/>
              <w:jc w:val="right"/>
            </w:pPr>
            <w:r w:rsidRPr="00827DA6">
              <w:t>10.2</w:t>
            </w:r>
          </w:p>
        </w:tc>
      </w:tr>
      <w:tr w:rsidR="00C80EA4" w:rsidRPr="00827DA6" w14:paraId="54984B17" w14:textId="77777777" w:rsidTr="00066D38">
        <w:tc>
          <w:tcPr>
            <w:tcW w:w="2268" w:type="dxa"/>
            <w:tcMar>
              <w:top w:w="60" w:type="dxa"/>
              <w:left w:w="100" w:type="dxa"/>
              <w:bottom w:w="60" w:type="dxa"/>
              <w:right w:w="100" w:type="dxa"/>
            </w:tcMar>
          </w:tcPr>
          <w:p w14:paraId="23B1A05B" w14:textId="2B3DC47C" w:rsidR="00C80EA4" w:rsidRPr="00827DA6" w:rsidRDefault="00C80EA4" w:rsidP="00C80EA4">
            <w:pPr>
              <w:pStyle w:val="CBDTableNormal"/>
            </w:pPr>
            <w:r w:rsidRPr="00827DA6">
              <w:t>S</w:t>
            </w:r>
            <w:r w:rsidR="000A1978">
              <w:t xml:space="preserve">cenario </w:t>
            </w:r>
            <w:r w:rsidRPr="00827DA6">
              <w:t>2</w:t>
            </w:r>
            <w:r w:rsidR="00577701">
              <w:t>.</w:t>
            </w:r>
            <w:r w:rsidRPr="00827DA6">
              <w:t xml:space="preserve"> Sector and firm variation</w:t>
            </w:r>
          </w:p>
        </w:tc>
        <w:tc>
          <w:tcPr>
            <w:tcW w:w="1275" w:type="dxa"/>
            <w:tcMar>
              <w:top w:w="60" w:type="dxa"/>
              <w:left w:w="100" w:type="dxa"/>
              <w:bottom w:w="60" w:type="dxa"/>
              <w:right w:w="100" w:type="dxa"/>
            </w:tcMar>
          </w:tcPr>
          <w:p w14:paraId="7061969A" w14:textId="77777777" w:rsidR="00C80EA4" w:rsidRPr="00827DA6" w:rsidRDefault="00C80EA4" w:rsidP="00020F91">
            <w:pPr>
              <w:pStyle w:val="CBDTableNormal"/>
              <w:jc w:val="right"/>
            </w:pPr>
            <w:r w:rsidRPr="00827DA6">
              <w:t>1.20</w:t>
            </w:r>
          </w:p>
        </w:tc>
        <w:tc>
          <w:tcPr>
            <w:tcW w:w="1418" w:type="dxa"/>
            <w:tcMar>
              <w:top w:w="60" w:type="dxa"/>
              <w:left w:w="100" w:type="dxa"/>
              <w:bottom w:w="60" w:type="dxa"/>
              <w:right w:w="100" w:type="dxa"/>
            </w:tcMar>
          </w:tcPr>
          <w:p w14:paraId="6ADB8016" w14:textId="033DEE23" w:rsidR="00C80EA4" w:rsidRPr="00827DA6" w:rsidRDefault="00C80EA4" w:rsidP="00020F91">
            <w:pPr>
              <w:pStyle w:val="CBDTableNormal"/>
              <w:jc w:val="right"/>
            </w:pPr>
            <w:r w:rsidRPr="00827DA6">
              <w:t>0.83</w:t>
            </w:r>
            <w:r w:rsidR="00D60D37">
              <w:t>–</w:t>
            </w:r>
            <w:r w:rsidRPr="00827DA6">
              <w:t>1.60</w:t>
            </w:r>
          </w:p>
        </w:tc>
        <w:tc>
          <w:tcPr>
            <w:tcW w:w="1300" w:type="dxa"/>
            <w:tcMar>
              <w:top w:w="60" w:type="dxa"/>
              <w:left w:w="100" w:type="dxa"/>
              <w:bottom w:w="60" w:type="dxa"/>
              <w:right w:w="100" w:type="dxa"/>
            </w:tcMar>
          </w:tcPr>
          <w:p w14:paraId="01CDCCCC" w14:textId="79E560C5" w:rsidR="00C80EA4" w:rsidRPr="00827DA6" w:rsidRDefault="00C80EA4" w:rsidP="00020F91">
            <w:pPr>
              <w:pStyle w:val="CBDTableNormal"/>
              <w:jc w:val="right"/>
            </w:pPr>
            <w:r w:rsidRPr="00827DA6">
              <w:t>33.0</w:t>
            </w:r>
          </w:p>
        </w:tc>
        <w:tc>
          <w:tcPr>
            <w:tcW w:w="1393" w:type="dxa"/>
            <w:tcMar>
              <w:top w:w="60" w:type="dxa"/>
              <w:left w:w="100" w:type="dxa"/>
              <w:bottom w:w="60" w:type="dxa"/>
              <w:right w:w="100" w:type="dxa"/>
            </w:tcMar>
          </w:tcPr>
          <w:p w14:paraId="4F366AE0" w14:textId="77777777" w:rsidR="00C80EA4" w:rsidRPr="00827DA6" w:rsidRDefault="00C80EA4" w:rsidP="00020F91">
            <w:pPr>
              <w:pStyle w:val="CBDTableNormal"/>
              <w:jc w:val="right"/>
            </w:pPr>
            <w:r w:rsidRPr="00827DA6">
              <w:t>5.7</w:t>
            </w:r>
          </w:p>
        </w:tc>
        <w:tc>
          <w:tcPr>
            <w:tcW w:w="1314" w:type="dxa"/>
            <w:tcMar>
              <w:top w:w="60" w:type="dxa"/>
              <w:left w:w="100" w:type="dxa"/>
              <w:bottom w:w="60" w:type="dxa"/>
              <w:right w:w="100" w:type="dxa"/>
            </w:tcMar>
          </w:tcPr>
          <w:p w14:paraId="75AEF921" w14:textId="77777777" w:rsidR="00C80EA4" w:rsidRPr="00827DA6" w:rsidRDefault="00C80EA4" w:rsidP="00020F91">
            <w:pPr>
              <w:pStyle w:val="CBDTableNormal"/>
              <w:jc w:val="right"/>
            </w:pPr>
            <w:r w:rsidRPr="00827DA6">
              <w:t>10.6</w:t>
            </w:r>
          </w:p>
        </w:tc>
      </w:tr>
      <w:tr w:rsidR="00C80EA4" w:rsidRPr="00827DA6" w14:paraId="5D142400" w14:textId="77777777" w:rsidTr="00066D38">
        <w:tc>
          <w:tcPr>
            <w:tcW w:w="2268" w:type="dxa"/>
            <w:tcMar>
              <w:top w:w="60" w:type="dxa"/>
              <w:left w:w="100" w:type="dxa"/>
              <w:bottom w:w="60" w:type="dxa"/>
              <w:right w:w="100" w:type="dxa"/>
            </w:tcMar>
          </w:tcPr>
          <w:p w14:paraId="7185A4F8" w14:textId="6FBE5E47" w:rsidR="00C80EA4" w:rsidRPr="00020F91" w:rsidRDefault="00C80EA4" w:rsidP="00C80EA4">
            <w:pPr>
              <w:pStyle w:val="CBDTableNormal"/>
            </w:pPr>
            <w:r w:rsidRPr="00020F91">
              <w:t>S</w:t>
            </w:r>
            <w:r w:rsidR="000A1978" w:rsidRPr="004A7D7A">
              <w:t xml:space="preserve">cenario </w:t>
            </w:r>
            <w:r w:rsidRPr="00020F91">
              <w:t>3</w:t>
            </w:r>
            <w:r w:rsidR="00577701" w:rsidRPr="00020F91">
              <w:t>.</w:t>
            </w:r>
            <w:r w:rsidRPr="00020F91">
              <w:t xml:space="preserve"> </w:t>
            </w:r>
            <w:r w:rsidR="00577701" w:rsidRPr="00020F91">
              <w:t xml:space="preserve">Digital sequence information </w:t>
            </w:r>
            <w:r w:rsidRPr="00020F91">
              <w:t>adjustment (central)</w:t>
            </w:r>
          </w:p>
        </w:tc>
        <w:tc>
          <w:tcPr>
            <w:tcW w:w="1275" w:type="dxa"/>
            <w:tcMar>
              <w:top w:w="60" w:type="dxa"/>
              <w:left w:w="100" w:type="dxa"/>
              <w:bottom w:w="60" w:type="dxa"/>
              <w:right w:w="100" w:type="dxa"/>
            </w:tcMar>
          </w:tcPr>
          <w:p w14:paraId="2F16A259" w14:textId="77777777" w:rsidR="00C80EA4" w:rsidRPr="00020F91" w:rsidRDefault="00C80EA4" w:rsidP="00020F91">
            <w:pPr>
              <w:pStyle w:val="CBDTableNormal"/>
              <w:jc w:val="right"/>
            </w:pPr>
            <w:r w:rsidRPr="00020F91">
              <w:t>0.93</w:t>
            </w:r>
          </w:p>
        </w:tc>
        <w:tc>
          <w:tcPr>
            <w:tcW w:w="1418" w:type="dxa"/>
            <w:tcMar>
              <w:top w:w="60" w:type="dxa"/>
              <w:left w:w="100" w:type="dxa"/>
              <w:bottom w:w="60" w:type="dxa"/>
              <w:right w:w="100" w:type="dxa"/>
            </w:tcMar>
          </w:tcPr>
          <w:p w14:paraId="125F0BAC" w14:textId="7533AC2C" w:rsidR="00C80EA4" w:rsidRPr="00020F91" w:rsidRDefault="00C80EA4" w:rsidP="00020F91">
            <w:pPr>
              <w:pStyle w:val="CBDTableNormal"/>
              <w:jc w:val="right"/>
            </w:pPr>
            <w:r w:rsidRPr="00020F91">
              <w:t>0.59</w:t>
            </w:r>
            <w:r w:rsidR="00D60D37" w:rsidRPr="00020F91">
              <w:t>–</w:t>
            </w:r>
            <w:r w:rsidRPr="00020F91">
              <w:t>1.30</w:t>
            </w:r>
          </w:p>
        </w:tc>
        <w:tc>
          <w:tcPr>
            <w:tcW w:w="1300" w:type="dxa"/>
            <w:tcMar>
              <w:top w:w="60" w:type="dxa"/>
              <w:left w:w="100" w:type="dxa"/>
              <w:bottom w:w="60" w:type="dxa"/>
              <w:right w:w="100" w:type="dxa"/>
            </w:tcMar>
          </w:tcPr>
          <w:p w14:paraId="634F8911" w14:textId="5A6100DB" w:rsidR="00C80EA4" w:rsidRPr="00020F91" w:rsidRDefault="00C80EA4" w:rsidP="00020F91">
            <w:pPr>
              <w:pStyle w:val="CBDTableNormal"/>
              <w:jc w:val="right"/>
            </w:pPr>
            <w:r w:rsidRPr="00020F91">
              <w:t>25.5</w:t>
            </w:r>
          </w:p>
        </w:tc>
        <w:tc>
          <w:tcPr>
            <w:tcW w:w="1393" w:type="dxa"/>
            <w:tcMar>
              <w:top w:w="60" w:type="dxa"/>
              <w:left w:w="100" w:type="dxa"/>
              <w:bottom w:w="60" w:type="dxa"/>
              <w:right w:w="100" w:type="dxa"/>
            </w:tcMar>
          </w:tcPr>
          <w:p w14:paraId="7D4A4B3B" w14:textId="77777777" w:rsidR="00C80EA4" w:rsidRPr="00020F91" w:rsidRDefault="00C80EA4" w:rsidP="00020F91">
            <w:pPr>
              <w:pStyle w:val="CBDTableNormal"/>
              <w:jc w:val="right"/>
            </w:pPr>
            <w:r w:rsidRPr="00020F91">
              <w:t>4.4</w:t>
            </w:r>
          </w:p>
        </w:tc>
        <w:tc>
          <w:tcPr>
            <w:tcW w:w="1314" w:type="dxa"/>
            <w:tcMar>
              <w:top w:w="60" w:type="dxa"/>
              <w:left w:w="100" w:type="dxa"/>
              <w:bottom w:w="60" w:type="dxa"/>
              <w:right w:w="100" w:type="dxa"/>
            </w:tcMar>
          </w:tcPr>
          <w:p w14:paraId="26351284" w14:textId="77777777" w:rsidR="00C80EA4" w:rsidRPr="00020F91" w:rsidRDefault="00C80EA4" w:rsidP="00020F91">
            <w:pPr>
              <w:pStyle w:val="CBDTableNormal"/>
              <w:jc w:val="right"/>
            </w:pPr>
            <w:r w:rsidRPr="00020F91">
              <w:t>8.2</w:t>
            </w:r>
          </w:p>
        </w:tc>
      </w:tr>
      <w:tr w:rsidR="00C80EA4" w:rsidRPr="00827DA6" w14:paraId="2042E9CD" w14:textId="77777777" w:rsidTr="00066D38">
        <w:tc>
          <w:tcPr>
            <w:tcW w:w="2268" w:type="dxa"/>
            <w:tcMar>
              <w:top w:w="60" w:type="dxa"/>
              <w:left w:w="100" w:type="dxa"/>
              <w:bottom w:w="60" w:type="dxa"/>
              <w:right w:w="100" w:type="dxa"/>
            </w:tcMar>
          </w:tcPr>
          <w:p w14:paraId="68B5E9DE" w14:textId="2F98BE07" w:rsidR="00C80EA4" w:rsidRPr="00827DA6" w:rsidRDefault="00C80EA4" w:rsidP="00C80EA4">
            <w:pPr>
              <w:pStyle w:val="CBDTableNormal"/>
            </w:pPr>
            <w:r w:rsidRPr="00827DA6">
              <w:lastRenderedPageBreak/>
              <w:t>S</w:t>
            </w:r>
            <w:r w:rsidR="000A1978">
              <w:t xml:space="preserve">cenario </w:t>
            </w:r>
            <w:r w:rsidRPr="00827DA6">
              <w:t>4</w:t>
            </w:r>
            <w:r w:rsidR="00577701">
              <w:t>.</w:t>
            </w:r>
            <w:r w:rsidRPr="00827DA6">
              <w:t xml:space="preserve"> Progressive </w:t>
            </w:r>
            <w:proofErr w:type="spellStart"/>
            <w:r w:rsidRPr="00827DA6">
              <w:t>uptake</w:t>
            </w:r>
            <w:r w:rsidR="00C216DE" w:rsidRPr="00020F91">
              <w:rPr>
                <w:vertAlign w:val="superscript"/>
              </w:rPr>
              <w:t>c</w:t>
            </w:r>
            <w:proofErr w:type="spellEnd"/>
          </w:p>
        </w:tc>
        <w:tc>
          <w:tcPr>
            <w:tcW w:w="1275" w:type="dxa"/>
            <w:tcMar>
              <w:top w:w="60" w:type="dxa"/>
              <w:left w:w="100" w:type="dxa"/>
              <w:bottom w:w="60" w:type="dxa"/>
              <w:right w:w="100" w:type="dxa"/>
            </w:tcMar>
          </w:tcPr>
          <w:p w14:paraId="25D9C9A2" w14:textId="566AA88D" w:rsidR="00C80EA4" w:rsidRPr="00E90B20" w:rsidRDefault="008F2478" w:rsidP="00020F91">
            <w:pPr>
              <w:pStyle w:val="CBDTableNormal"/>
              <w:jc w:val="right"/>
            </w:pPr>
            <w:r w:rsidRPr="00020F91">
              <w:t>n/a</w:t>
            </w:r>
          </w:p>
        </w:tc>
        <w:tc>
          <w:tcPr>
            <w:tcW w:w="1418" w:type="dxa"/>
            <w:tcMar>
              <w:top w:w="60" w:type="dxa"/>
              <w:left w:w="100" w:type="dxa"/>
              <w:bottom w:w="60" w:type="dxa"/>
              <w:right w:w="100" w:type="dxa"/>
            </w:tcMar>
          </w:tcPr>
          <w:p w14:paraId="2F19197B" w14:textId="54D0FEA4" w:rsidR="00C80EA4" w:rsidRPr="00E90B20" w:rsidRDefault="008F2478" w:rsidP="00020F91">
            <w:pPr>
              <w:pStyle w:val="CBDTableNormal"/>
              <w:jc w:val="right"/>
            </w:pPr>
            <w:r w:rsidRPr="00020F91">
              <w:t>n/a</w:t>
            </w:r>
          </w:p>
        </w:tc>
        <w:tc>
          <w:tcPr>
            <w:tcW w:w="1300" w:type="dxa"/>
            <w:tcMar>
              <w:top w:w="60" w:type="dxa"/>
              <w:left w:w="100" w:type="dxa"/>
              <w:bottom w:w="60" w:type="dxa"/>
              <w:right w:w="100" w:type="dxa"/>
            </w:tcMar>
          </w:tcPr>
          <w:p w14:paraId="70F33E0D" w14:textId="70C5B61D" w:rsidR="00C80EA4" w:rsidRPr="00E90B20" w:rsidRDefault="008F2478" w:rsidP="00020F91">
            <w:pPr>
              <w:pStyle w:val="CBDTableNormal"/>
              <w:jc w:val="right"/>
            </w:pPr>
            <w:r w:rsidRPr="00020F91">
              <w:t>n/a</w:t>
            </w:r>
          </w:p>
        </w:tc>
        <w:tc>
          <w:tcPr>
            <w:tcW w:w="1393" w:type="dxa"/>
            <w:tcMar>
              <w:top w:w="60" w:type="dxa"/>
              <w:left w:w="100" w:type="dxa"/>
              <w:bottom w:w="60" w:type="dxa"/>
              <w:right w:w="100" w:type="dxa"/>
            </w:tcMar>
          </w:tcPr>
          <w:p w14:paraId="3EA065AB" w14:textId="77777777" w:rsidR="00C80EA4" w:rsidRPr="00E90B20" w:rsidRDefault="00C80EA4" w:rsidP="00020F91">
            <w:pPr>
              <w:pStyle w:val="CBDTableNormal"/>
              <w:jc w:val="right"/>
            </w:pPr>
            <w:r w:rsidRPr="00E90B20">
              <w:t>1.3</w:t>
            </w:r>
          </w:p>
        </w:tc>
        <w:tc>
          <w:tcPr>
            <w:tcW w:w="1314" w:type="dxa"/>
            <w:tcMar>
              <w:top w:w="60" w:type="dxa"/>
              <w:left w:w="100" w:type="dxa"/>
              <w:bottom w:w="60" w:type="dxa"/>
              <w:right w:w="100" w:type="dxa"/>
            </w:tcMar>
          </w:tcPr>
          <w:p w14:paraId="2A692F28" w14:textId="77777777" w:rsidR="00C80EA4" w:rsidRPr="00827DA6" w:rsidRDefault="00C80EA4" w:rsidP="00020F91">
            <w:pPr>
              <w:pStyle w:val="CBDTableNormal"/>
              <w:jc w:val="right"/>
            </w:pPr>
            <w:r w:rsidRPr="00827DA6">
              <w:t>4.3</w:t>
            </w:r>
          </w:p>
        </w:tc>
      </w:tr>
    </w:tbl>
    <w:p w14:paraId="38C7F204" w14:textId="4123A725" w:rsidR="00C216DE" w:rsidRDefault="00CD3975" w:rsidP="00A73E9E">
      <w:pPr>
        <w:pStyle w:val="CBDFooter"/>
        <w:ind w:left="567"/>
      </w:pPr>
      <w:r>
        <w:tab/>
      </w:r>
      <w:r w:rsidRPr="00020F91">
        <w:rPr>
          <w:i/>
          <w:iCs/>
        </w:rPr>
        <w:t>Source</w:t>
      </w:r>
      <w:r>
        <w:t xml:space="preserve">: </w:t>
      </w:r>
      <w:r w:rsidR="00BF6790" w:rsidRPr="00BF6790">
        <w:t xml:space="preserve">Agata Makowska-Curran, </w:t>
      </w:r>
      <w:r w:rsidR="00BF6790" w:rsidRPr="00020F91">
        <w:rPr>
          <w:i/>
          <w:iCs/>
        </w:rPr>
        <w:t>From Global Biodiversity Commitments to Local Action: Revenue Potential and Allocation Dynamics of the Cali Fund</w:t>
      </w:r>
      <w:r w:rsidR="00BF6790" w:rsidRPr="00BF6790">
        <w:t>, Working Paper No. 450 (</w:t>
      </w:r>
      <w:r w:rsidR="00A73E9E">
        <w:t>Grantham Research Institute on</w:t>
      </w:r>
      <w:r w:rsidR="00464E43">
        <w:t xml:space="preserve"> </w:t>
      </w:r>
      <w:r w:rsidR="00A73E9E">
        <w:t>Climate Change and the Environment</w:t>
      </w:r>
      <w:r w:rsidR="003C718E">
        <w:t xml:space="preserve"> at the </w:t>
      </w:r>
      <w:r w:rsidR="003C718E" w:rsidRPr="003C718E">
        <w:t>London School of Economics and Political Science</w:t>
      </w:r>
      <w:r w:rsidR="003C718E">
        <w:t xml:space="preserve">, </w:t>
      </w:r>
      <w:r w:rsidR="00BF6790" w:rsidRPr="00BF6790">
        <w:t>June 2026).</w:t>
      </w:r>
    </w:p>
    <w:p w14:paraId="79DB5288" w14:textId="2B691AA2" w:rsidR="00B40D16" w:rsidRPr="00020F91" w:rsidRDefault="00B40D16" w:rsidP="00A73E9E">
      <w:pPr>
        <w:pStyle w:val="CBDFooter"/>
        <w:ind w:left="567"/>
      </w:pPr>
      <w:r>
        <w:rPr>
          <w:i/>
          <w:iCs/>
        </w:rPr>
        <w:tab/>
        <w:t>Abbreviation</w:t>
      </w:r>
      <w:r w:rsidRPr="00020F91">
        <w:t>:</w:t>
      </w:r>
      <w:r>
        <w:t xml:space="preserve"> n/a, not applicable. </w:t>
      </w:r>
    </w:p>
    <w:p w14:paraId="283263B9" w14:textId="7A0BFBCD" w:rsidR="00711920" w:rsidRDefault="00711920">
      <w:pPr>
        <w:pStyle w:val="CBDFooter"/>
        <w:ind w:left="567"/>
      </w:pPr>
      <w:r>
        <w:rPr>
          <w:vertAlign w:val="superscript"/>
        </w:rPr>
        <w:tab/>
      </w:r>
      <w:r w:rsidRPr="00020F91">
        <w:rPr>
          <w:vertAlign w:val="superscript"/>
        </w:rPr>
        <w:t>a</w:t>
      </w:r>
      <w:r>
        <w:t xml:space="preserve"> Billions of United States dollars. </w:t>
      </w:r>
    </w:p>
    <w:p w14:paraId="2FABC7A8" w14:textId="5A275BCE" w:rsidR="00C216DE" w:rsidRDefault="00C216DE">
      <w:pPr>
        <w:pStyle w:val="CBDFooter"/>
        <w:ind w:left="567"/>
      </w:pPr>
      <w:r>
        <w:tab/>
      </w:r>
      <w:r w:rsidRPr="00020F91">
        <w:rPr>
          <w:vertAlign w:val="superscript"/>
        </w:rPr>
        <w:t>b</w:t>
      </w:r>
      <w:r w:rsidR="00C80EA4" w:rsidRPr="00827DA6">
        <w:t xml:space="preserve"> </w:t>
      </w:r>
      <w:r w:rsidR="007C596D">
        <w:t>Net present value</w:t>
      </w:r>
      <w:r w:rsidR="007C596D" w:rsidRPr="00827DA6">
        <w:t xml:space="preserve"> </w:t>
      </w:r>
      <w:r w:rsidR="00C80EA4" w:rsidRPr="00827DA6">
        <w:t>at 3 per cent discount rate.</w:t>
      </w:r>
    </w:p>
    <w:p w14:paraId="3956765C" w14:textId="32F9D2FE" w:rsidR="00C216DE" w:rsidRDefault="00C216DE">
      <w:pPr>
        <w:pStyle w:val="CBDFooter"/>
        <w:ind w:left="567"/>
      </w:pPr>
      <w:r>
        <w:tab/>
      </w:r>
      <w:r w:rsidRPr="00020F91">
        <w:rPr>
          <w:vertAlign w:val="superscript"/>
        </w:rPr>
        <w:t>c</w:t>
      </w:r>
      <w:r w:rsidR="00C80EA4" w:rsidRPr="00827DA6">
        <w:t xml:space="preserve"> S</w:t>
      </w:r>
      <w:r w:rsidR="00D60D37">
        <w:t xml:space="preserve">cenario </w:t>
      </w:r>
      <w:r w:rsidR="00C80EA4" w:rsidRPr="00827DA6">
        <w:t xml:space="preserve">4 applies a participation scalar rising linearly from 10 per cent of </w:t>
      </w:r>
      <w:r>
        <w:t xml:space="preserve">scenario </w:t>
      </w:r>
      <w:r w:rsidR="00C80EA4" w:rsidRPr="00827DA6">
        <w:t xml:space="preserve">3 rates in 2026 to 100 per cent by 2035. </w:t>
      </w:r>
    </w:p>
    <w:p w14:paraId="6D687832" w14:textId="319FD79E" w:rsidR="00C80EA4" w:rsidRPr="00827DA6" w:rsidRDefault="00C80EA4" w:rsidP="001238B7">
      <w:pPr>
        <w:pStyle w:val="CBDNormalNumber"/>
        <w:numPr>
          <w:ilvl w:val="0"/>
          <w:numId w:val="15"/>
        </w:numPr>
      </w:pPr>
      <w:r w:rsidRPr="009E58EC">
        <w:t>Revenue modelled under the</w:t>
      </w:r>
      <w:r w:rsidRPr="00827DA6">
        <w:t xml:space="preserve"> scenarios is highly concentrated. Pharmaceuticals and information and </w:t>
      </w:r>
      <w:r w:rsidR="004A7D7A">
        <w:t>artificial intelligence</w:t>
      </w:r>
      <w:r w:rsidR="004A7D7A" w:rsidRPr="00827DA6">
        <w:t xml:space="preserve"> </w:t>
      </w:r>
      <w:r w:rsidRPr="00827DA6">
        <w:t>services together account for roughly half of full-compliance contributions</w:t>
      </w:r>
      <w:r w:rsidR="004A7D7A">
        <w:t>,</w:t>
      </w:r>
      <w:r w:rsidRPr="00827DA6">
        <w:t xml:space="preserve"> despite representing only 40 per cent of eligible firms; under realistic participation assumptions, pharmaceutical firms alone account for 49.6 per cent of contributions, owing to relatively high participation, high intensity of digital sequence information on genetic resources use and a stable revenue</w:t>
      </w:r>
      <w:r w:rsidR="00C53A67">
        <w:t xml:space="preserve"> </w:t>
      </w:r>
      <w:r w:rsidRPr="00827DA6">
        <w:t xml:space="preserve">base of payers, while information and </w:t>
      </w:r>
      <w:r w:rsidR="00535A93">
        <w:t xml:space="preserve">artificial intelligence </w:t>
      </w:r>
      <w:r w:rsidRPr="00827DA6">
        <w:t xml:space="preserve">falls to 11.1 per cent. At the firm level, the </w:t>
      </w:r>
      <w:r w:rsidR="00535A93">
        <w:t>10</w:t>
      </w:r>
      <w:r w:rsidR="00535A93" w:rsidRPr="00827DA6">
        <w:t xml:space="preserve"> </w:t>
      </w:r>
      <w:r w:rsidRPr="00827DA6">
        <w:t>largest contributors account for 8.6</w:t>
      </w:r>
      <w:r w:rsidR="00535A93">
        <w:t xml:space="preserve"> </w:t>
      </w:r>
      <w:r w:rsidRPr="00827DA6">
        <w:t>to 12.2 per cent of total contributions</w:t>
      </w:r>
      <w:r w:rsidR="00535A93">
        <w:t>,</w:t>
      </w:r>
      <w:r w:rsidRPr="00827DA6">
        <w:t xml:space="preserve"> depending on the participation scenario. Geographically, the </w:t>
      </w:r>
      <w:r w:rsidR="00535A93">
        <w:t>10</w:t>
      </w:r>
      <w:r w:rsidR="00535A93" w:rsidRPr="00827DA6">
        <w:t xml:space="preserve"> </w:t>
      </w:r>
      <w:r w:rsidRPr="00827DA6">
        <w:t xml:space="preserve">largest contributing jurisdictions account for an estimated 74 per cent of central-scenario revenue, with China alone representing 26.6 per cent; these figures reflect the jurisdiction of </w:t>
      </w:r>
      <w:r w:rsidR="00286ACA" w:rsidRPr="00827DA6">
        <w:t>firm</w:t>
      </w:r>
      <w:r w:rsidRPr="00827DA6">
        <w:t xml:space="preserve"> registration and should be read as indicative. This concentration reflects current patterns </w:t>
      </w:r>
      <w:r w:rsidR="00D14848">
        <w:t>in the</w:t>
      </w:r>
      <w:r w:rsidR="00D14848" w:rsidRPr="00827DA6">
        <w:t xml:space="preserve"> </w:t>
      </w:r>
      <w:r w:rsidR="00F644B3">
        <w:t>u</w:t>
      </w:r>
      <w:r w:rsidRPr="00827DA6">
        <w:t>se of digital sequence information on genetic resources across the seven sectors</w:t>
      </w:r>
      <w:r w:rsidR="00F644B3">
        <w:t xml:space="preserve"> listed in enclosure I of the annex to decision </w:t>
      </w:r>
      <w:hyperlink r:id="rId35" w:history="1">
        <w:r w:rsidR="00F644B3" w:rsidRPr="00D14848">
          <w:rPr>
            <w:rStyle w:val="Hyperlink"/>
          </w:rPr>
          <w:t>16/2</w:t>
        </w:r>
      </w:hyperlink>
      <w:r w:rsidRPr="00827DA6">
        <w:t xml:space="preserve">, </w:t>
      </w:r>
      <w:r w:rsidR="00C354D5">
        <w:t xml:space="preserve">in the </w:t>
      </w:r>
      <w:r w:rsidRPr="00827DA6">
        <w:t xml:space="preserve">industrial activity across jurisdictions and </w:t>
      </w:r>
      <w:r w:rsidR="00C354D5">
        <w:t xml:space="preserve">in </w:t>
      </w:r>
      <w:r w:rsidRPr="00827DA6">
        <w:t xml:space="preserve">the assumptions and data underlying this analysis; it is not a predetermined or permanent feature of the mechanism. As </w:t>
      </w:r>
      <w:r w:rsidR="00E1649D">
        <w:t>u</w:t>
      </w:r>
      <w:r w:rsidRPr="00827DA6">
        <w:t>se of digital sequence information on genetic resources expands in emerging fields</w:t>
      </w:r>
      <w:r w:rsidR="00E1649D">
        <w:t>,</w:t>
      </w:r>
      <w:r w:rsidRPr="00827DA6">
        <w:t xml:space="preserve"> such as artificial intelligence and synthetic biology, and as national implementation measures and participation evolve following decisions</w:t>
      </w:r>
      <w:r w:rsidR="00E1649D">
        <w:t xml:space="preserve"> </w:t>
      </w:r>
      <w:r w:rsidR="00AF152F">
        <w:t>adopted by</w:t>
      </w:r>
      <w:r w:rsidR="00E1649D">
        <w:t xml:space="preserve"> the Conference of the Parties at its seventeenth meeting</w:t>
      </w:r>
      <w:r w:rsidRPr="00827DA6">
        <w:t>, the sectoral and jurisdictional composition of Cali Fund contributions may shift over time.</w:t>
      </w:r>
    </w:p>
    <w:p w14:paraId="5BD80595" w14:textId="1B2D26AE" w:rsidR="00C80EA4" w:rsidRPr="00827DA6" w:rsidRDefault="00C80EA4" w:rsidP="001238B7">
      <w:pPr>
        <w:pStyle w:val="CBDNormalNumber"/>
        <w:numPr>
          <w:ilvl w:val="0"/>
          <w:numId w:val="15"/>
        </w:numPr>
      </w:pPr>
      <w:r w:rsidRPr="00827DA6">
        <w:t>Threshold sensitivity testing shows that revenue responds far less to eligibility calibration than to participation: doubling all three thresholds would exclude 43.5 per cent of eligible firms but reduce contributions by only 7.4 per cent, while halving them would more than double the eligible population</w:t>
      </w:r>
      <w:r w:rsidR="00D70368">
        <w:t xml:space="preserve"> (</w:t>
      </w:r>
      <w:r w:rsidR="003F613A">
        <w:t>by adding 14,317 eligible firms)</w:t>
      </w:r>
      <w:r w:rsidRPr="00827DA6">
        <w:t xml:space="preserve"> but raise contributions by only 5.5 per cent</w:t>
      </w:r>
      <w:r w:rsidR="008F6A1F">
        <w:t xml:space="preserve">, reflecting </w:t>
      </w:r>
      <w:bookmarkStart w:id="14" w:name="_Hlk240370955"/>
      <w:r w:rsidR="008F6A1F">
        <w:t xml:space="preserve">the </w:t>
      </w:r>
      <w:r w:rsidR="003C11A4">
        <w:t xml:space="preserve">high </w:t>
      </w:r>
      <w:r w:rsidR="008F6A1F">
        <w:t>concentration of con</w:t>
      </w:r>
      <w:r w:rsidR="00F13BA6">
        <w:t>t</w:t>
      </w:r>
      <w:r w:rsidR="008F6A1F">
        <w:t xml:space="preserve">ributions </w:t>
      </w:r>
      <w:r w:rsidR="00D6737C">
        <w:t xml:space="preserve">among the </w:t>
      </w:r>
      <w:r w:rsidR="00D6737C" w:rsidRPr="00827DA6">
        <w:t>largest firms regardless of where the threshold is set</w:t>
      </w:r>
      <w:bookmarkEnd w:id="14"/>
      <w:r w:rsidR="00D6737C">
        <w:t xml:space="preserve">. </w:t>
      </w:r>
      <w:r w:rsidRPr="00827DA6">
        <w:t>The minimum-of-two contribution rule</w:t>
      </w:r>
      <w:r w:rsidR="00424DD7">
        <w:t xml:space="preserve"> of the Cali Fund</w:t>
      </w:r>
      <w:r w:rsidRPr="00827DA6">
        <w:t xml:space="preserve">, which allows firms to pay on whichever base is lower, protects contributors from volatility at a substantial revenue cost: replacing it with either a pure revenue levy or a pure profit levy would roughly double full-compliance revenue. The timing of participation compounds these effects: cumulative net present value to 2035 ranges from $4.3 billion under fast uptake to </w:t>
      </w:r>
      <w:r w:rsidR="004165C4">
        <w:t>$150 million</w:t>
      </w:r>
      <w:r w:rsidRPr="00827DA6">
        <w:t xml:space="preserve"> under an uptake path consistent with</w:t>
      </w:r>
      <w:r w:rsidR="004165C4">
        <w:t xml:space="preserve"> that of the </w:t>
      </w:r>
      <w:r w:rsidR="004165C4" w:rsidRPr="00827DA6">
        <w:t>first decade</w:t>
      </w:r>
      <w:r w:rsidR="00A369A4">
        <w:t xml:space="preserve"> of</w:t>
      </w:r>
      <w:r w:rsidRPr="00827DA6">
        <w:t xml:space="preserve"> the International Treaty on Plant Genetic Resources for Food and Agriculture, for an identical theoretical ceiling.</w:t>
      </w:r>
    </w:p>
    <w:p w14:paraId="095B02DE" w14:textId="2A597E66" w:rsidR="00C80EA4" w:rsidRPr="00827DA6" w:rsidRDefault="00C80EA4" w:rsidP="001238B7">
      <w:pPr>
        <w:pStyle w:val="CBDNormalNumber"/>
        <w:numPr>
          <w:ilvl w:val="0"/>
          <w:numId w:val="15"/>
        </w:numPr>
      </w:pPr>
      <w:r w:rsidRPr="00827DA6">
        <w:t>Five implications follow from these results, presented as consequences of the design choices before the Conference of the Parties</w:t>
      </w:r>
      <w:r w:rsidR="00A369A4">
        <w:t>,</w:t>
      </w:r>
      <w:r w:rsidRPr="00827DA6">
        <w:t xml:space="preserve"> rather than as recommendations: </w:t>
      </w:r>
    </w:p>
    <w:p w14:paraId="0389BB0B" w14:textId="2E31B43C" w:rsidR="00C80EA4" w:rsidRPr="00827DA6" w:rsidRDefault="005D77E2" w:rsidP="00020F91">
      <w:pPr>
        <w:pStyle w:val="CBDNormalNumber"/>
        <w:numPr>
          <w:ilvl w:val="1"/>
          <w:numId w:val="14"/>
        </w:numPr>
      </w:pPr>
      <w:r>
        <w:t>P</w:t>
      </w:r>
      <w:r w:rsidR="00C80EA4" w:rsidRPr="00827DA6">
        <w:t xml:space="preserve">articipation, not the rate level, is found to be the binding constraint on revenue; </w:t>
      </w:r>
    </w:p>
    <w:p w14:paraId="55D957E8" w14:textId="6944875D" w:rsidR="00C80EA4" w:rsidRPr="0037546E" w:rsidRDefault="001D3C34" w:rsidP="00020F91">
      <w:pPr>
        <w:pStyle w:val="CBDNormalNumber"/>
        <w:numPr>
          <w:ilvl w:val="1"/>
          <w:numId w:val="14"/>
        </w:numPr>
      </w:pPr>
      <w:r>
        <w:t>T</w:t>
      </w:r>
      <w:r w:rsidR="00C80EA4" w:rsidRPr="00827DA6">
        <w:t>hreshold design functions primarily as a governance and inclusivity decision rather than</w:t>
      </w:r>
      <w:r>
        <w:t xml:space="preserve"> as</w:t>
      </w:r>
      <w:r w:rsidR="00C80EA4" w:rsidRPr="00827DA6">
        <w:t xml:space="preserve"> a </w:t>
      </w:r>
      <w:r w:rsidR="00C1725F">
        <w:t>financial</w:t>
      </w:r>
      <w:r w:rsidR="00C1725F" w:rsidRPr="00827DA6">
        <w:t xml:space="preserve"> </w:t>
      </w:r>
      <w:r w:rsidR="00C80EA4" w:rsidRPr="00827DA6">
        <w:t xml:space="preserve">one, as </w:t>
      </w:r>
      <w:r w:rsidR="00D6737C">
        <w:t xml:space="preserve">neither </w:t>
      </w:r>
      <w:r w:rsidR="00C80EA4" w:rsidRPr="00827DA6">
        <w:t xml:space="preserve">lowering </w:t>
      </w:r>
      <w:r w:rsidR="00D6737C">
        <w:t xml:space="preserve">nor </w:t>
      </w:r>
      <w:r w:rsidR="007A53AD">
        <w:t xml:space="preserve">raising </w:t>
      </w:r>
      <w:r w:rsidR="00C80EA4" w:rsidRPr="00827DA6">
        <w:t>the thresholds proportionately raise</w:t>
      </w:r>
      <w:r w:rsidR="007A53AD">
        <w:t xml:space="preserve">s or </w:t>
      </w:r>
      <w:r w:rsidR="00AC0702">
        <w:t>reduces</w:t>
      </w:r>
      <w:r w:rsidR="00C80EA4" w:rsidRPr="00827DA6">
        <w:t xml:space="preserve"> </w:t>
      </w:r>
      <w:r w:rsidR="00C80EA4" w:rsidRPr="00827DA6">
        <w:lastRenderedPageBreak/>
        <w:t>revenue</w:t>
      </w:r>
      <w:r w:rsidR="00AC0702">
        <w:t>, respectively</w:t>
      </w:r>
      <w:r w:rsidR="003C11A4">
        <w:t xml:space="preserve">, given the high concentration of contributions among the </w:t>
      </w:r>
      <w:r w:rsidR="003C11A4" w:rsidRPr="00827DA6">
        <w:t>largest firms regardless of where the threshold is set</w:t>
      </w:r>
      <w:r w:rsidR="00AC0702">
        <w:t>;</w:t>
      </w:r>
    </w:p>
    <w:p w14:paraId="0E0E40FE" w14:textId="0F1DDC5A" w:rsidR="00C80EA4" w:rsidRPr="00827DA6" w:rsidRDefault="00C76711" w:rsidP="00020F91">
      <w:pPr>
        <w:pStyle w:val="CBDNormalNumber"/>
        <w:numPr>
          <w:ilvl w:val="1"/>
          <w:numId w:val="14"/>
        </w:numPr>
      </w:pPr>
      <w:r w:rsidRPr="0037546E">
        <w:t>R</w:t>
      </w:r>
      <w:r w:rsidR="00C80EA4" w:rsidRPr="0037546E">
        <w:t xml:space="preserve">ate- and contribution-base design </w:t>
      </w:r>
      <w:r w:rsidR="00C80EA4" w:rsidRPr="00827DA6">
        <w:t xml:space="preserve">determines who pays and how stable </w:t>
      </w:r>
      <w:r w:rsidR="00261DE1">
        <w:t xml:space="preserve">the </w:t>
      </w:r>
      <w:r w:rsidR="00C80EA4" w:rsidRPr="00827DA6">
        <w:t>contributions are</w:t>
      </w:r>
      <w:r w:rsidR="00261DE1">
        <w:t>,</w:t>
      </w:r>
      <w:r w:rsidR="00C80EA4" w:rsidRPr="00827DA6">
        <w:rPr>
          <w:vertAlign w:val="superscript"/>
        </w:rPr>
        <w:footnoteReference w:id="19"/>
      </w:r>
      <w:r w:rsidR="00C643F0">
        <w:t xml:space="preserve"> </w:t>
      </w:r>
      <w:r w:rsidR="00C80EA4" w:rsidRPr="00827DA6">
        <w:t>rather than only how much is raised</w:t>
      </w:r>
      <w:r w:rsidR="00261DE1">
        <w:t>;</w:t>
      </w:r>
      <w:r w:rsidR="00C80EA4" w:rsidRPr="00827DA6">
        <w:t xml:space="preserve"> the minimum-of-two rule protects firms from whichever base would otherwise be costlier for them, but at a substantial revenue cost; </w:t>
      </w:r>
    </w:p>
    <w:p w14:paraId="53DFFE5A" w14:textId="1F7E9025" w:rsidR="00C80EA4" w:rsidRPr="00827DA6" w:rsidRDefault="00B4432E" w:rsidP="00020F91">
      <w:pPr>
        <w:pStyle w:val="CBDNormalNumber"/>
        <w:numPr>
          <w:ilvl w:val="1"/>
          <w:numId w:val="14"/>
        </w:numPr>
      </w:pPr>
      <w:r>
        <w:t>Participation of the p</w:t>
      </w:r>
      <w:r w:rsidR="00C80EA4" w:rsidRPr="00827DA6">
        <w:t xml:space="preserve">harmaceutical sector is found to be the most significant determinant of both the level and the predictability of </w:t>
      </w:r>
      <w:r>
        <w:t xml:space="preserve">Cali </w:t>
      </w:r>
      <w:r w:rsidR="00C80EA4" w:rsidRPr="00827DA6">
        <w:t xml:space="preserve">Fund revenue under the modelled scenarios; </w:t>
      </w:r>
    </w:p>
    <w:p w14:paraId="532DB7BC" w14:textId="543B2C6C" w:rsidR="00C80EA4" w:rsidRPr="00827DA6" w:rsidRDefault="002D563E" w:rsidP="00020F91">
      <w:pPr>
        <w:pStyle w:val="CBDNormalNumber"/>
        <w:numPr>
          <w:ilvl w:val="1"/>
          <w:numId w:val="14"/>
        </w:numPr>
      </w:pPr>
      <w:r>
        <w:t>G</w:t>
      </w:r>
      <w:r w:rsidR="00C80EA4" w:rsidRPr="00827DA6">
        <w:t xml:space="preserve">eographic concentration in country-level estimates, which are indicative </w:t>
      </w:r>
      <w:r>
        <w:t xml:space="preserve">of </w:t>
      </w:r>
      <w:r w:rsidR="00C80EA4" w:rsidRPr="00827DA6">
        <w:t xml:space="preserve">and subject to data limitations discussed in the main report, suggests </w:t>
      </w:r>
      <w:r>
        <w:t xml:space="preserve">that </w:t>
      </w:r>
      <w:r w:rsidR="00C80EA4" w:rsidRPr="00827DA6">
        <w:t xml:space="preserve">the early performance </w:t>
      </w:r>
      <w:r>
        <w:t xml:space="preserve">of the Cali Fund </w:t>
      </w:r>
      <w:r w:rsidR="00C80EA4" w:rsidRPr="00827DA6">
        <w:t>may depend disproportionately on the engagement of a small number of jurisdictions</w:t>
      </w:r>
      <w:r>
        <w:t>;</w:t>
      </w:r>
      <w:r w:rsidR="00C80EA4" w:rsidRPr="00827DA6">
        <w:t xml:space="preserve"> this makes activities that support participation in those jurisdictions, including resolving the identified uncertainties, particularly consequential </w:t>
      </w:r>
      <w:r w:rsidR="00D13DCA">
        <w:t>to</w:t>
      </w:r>
      <w:r w:rsidR="00D13DCA" w:rsidRPr="00827DA6">
        <w:t xml:space="preserve"> </w:t>
      </w:r>
      <w:r w:rsidR="00C80EA4" w:rsidRPr="00827DA6">
        <w:t>whether the mechanism achieves meaningful revenue in its early years.</w:t>
      </w:r>
    </w:p>
    <w:p w14:paraId="1BEE7680" w14:textId="2605D4B3" w:rsidR="00C80EA4" w:rsidRPr="00827DA6" w:rsidRDefault="00340594" w:rsidP="00020F91">
      <w:pPr>
        <w:pStyle w:val="CBDH2"/>
        <w:rPr>
          <w:rFonts w:hint="eastAsia"/>
        </w:rPr>
      </w:pPr>
      <w:r w:rsidRPr="00827DA6">
        <w:t>C.</w:t>
      </w:r>
      <w:r w:rsidRPr="00827DA6">
        <w:tab/>
      </w:r>
      <w:r w:rsidR="00C80EA4" w:rsidRPr="00DC630C">
        <w:t>Competitiveness implications</w:t>
      </w:r>
    </w:p>
    <w:p w14:paraId="2644BFC1" w14:textId="2B7A1962" w:rsidR="00C80EA4" w:rsidRPr="00827DA6" w:rsidRDefault="00C80EA4" w:rsidP="001238B7">
      <w:pPr>
        <w:pStyle w:val="CBDNormalNumber"/>
        <w:numPr>
          <w:ilvl w:val="0"/>
          <w:numId w:val="15"/>
        </w:numPr>
      </w:pPr>
      <w:bookmarkStart w:id="15" w:name="_Ref234849955"/>
      <w:r w:rsidRPr="00827DA6">
        <w:t xml:space="preserve">At the indicative rates </w:t>
      </w:r>
      <w:r w:rsidR="00AE79F2">
        <w:t xml:space="preserve">established </w:t>
      </w:r>
      <w:r w:rsidRPr="00827DA6">
        <w:t xml:space="preserve">in decision </w:t>
      </w:r>
      <w:hyperlink r:id="rId36" w:history="1">
        <w:r w:rsidRPr="00827DA6">
          <w:rPr>
            <w:rStyle w:val="Hyperlink"/>
          </w:rPr>
          <w:t>16/2</w:t>
        </w:r>
      </w:hyperlink>
      <w:r w:rsidRPr="00827DA6">
        <w:t>, the direct cost burden on eligible firms is modest relative to sector margins across all seven sectors</w:t>
      </w:r>
      <w:r w:rsidR="00AD03B9">
        <w:t xml:space="preserve"> listed in enclosure I of the annex to the decision</w:t>
      </w:r>
      <w:r w:rsidRPr="00827DA6">
        <w:t xml:space="preserve"> and </w:t>
      </w:r>
      <w:r w:rsidR="00263BE1">
        <w:t xml:space="preserve">is </w:t>
      </w:r>
      <w:r w:rsidRPr="00827DA6">
        <w:t>unlikely to generate material cost and price competitiveness effects for most firm types. The principal competitive finding is structural rather than cost</w:t>
      </w:r>
      <w:r w:rsidR="00AE79F2">
        <w:t xml:space="preserve"> </w:t>
      </w:r>
      <w:r w:rsidRPr="00827DA6">
        <w:t xml:space="preserve">driven: the asymmetry between </w:t>
      </w:r>
      <w:r w:rsidR="00214476">
        <w:t xml:space="preserve">firms </w:t>
      </w:r>
      <w:r w:rsidRPr="00827DA6">
        <w:t xml:space="preserve">headquartered </w:t>
      </w:r>
      <w:r w:rsidR="00214476">
        <w:t xml:space="preserve">in Party jurisdictions </w:t>
      </w:r>
      <w:r w:rsidRPr="00827DA6">
        <w:t xml:space="preserve">and rivals </w:t>
      </w:r>
      <w:r w:rsidR="00214476">
        <w:t xml:space="preserve">headquartered in the United States </w:t>
      </w:r>
      <w:r w:rsidRPr="00827DA6">
        <w:t>that may face no equivalent obligation, which registers as a high-materiality risk for the most globally active firm types in five of the seven sectors and cannot be resolved through rate adjustment alone, since it is a function of scope rather than rate.</w:t>
      </w:r>
      <w:bookmarkEnd w:id="15"/>
    </w:p>
    <w:p w14:paraId="367D0BE2" w14:textId="722C907D" w:rsidR="00C80EA4" w:rsidRPr="00827DA6" w:rsidRDefault="000E3538" w:rsidP="001238B7">
      <w:pPr>
        <w:pStyle w:val="CBDNormalNumber"/>
        <w:numPr>
          <w:ilvl w:val="0"/>
          <w:numId w:val="15"/>
        </w:numPr>
      </w:pPr>
      <w:r>
        <w:t>The p</w:t>
      </w:r>
      <w:r w:rsidR="00C80EA4" w:rsidRPr="00827DA6">
        <w:t>harmaceuticals</w:t>
      </w:r>
      <w:r>
        <w:t xml:space="preserve"> sector</w:t>
      </w:r>
      <w:r w:rsidR="00C80EA4" w:rsidRPr="00827DA6">
        <w:t xml:space="preserve"> (3,401 eligible firms; 49.6 per cent of central-scenario contributions), under the modelling scenarios, outperforms every other sector on revenue, assets and profit margin, with a median margin of 10.2 per cent and just over half of eligible firms likely paying on the more stable revenue base. Innovator and vaccine-producing firms retain some pricing power, </w:t>
      </w:r>
      <w:proofErr w:type="gramStart"/>
      <w:r w:rsidR="00161B22">
        <w:t xml:space="preserve">in </w:t>
      </w:r>
      <w:r w:rsidR="00C80EA4" w:rsidRPr="00827DA6">
        <w:t>particular in</w:t>
      </w:r>
      <w:proofErr w:type="gramEnd"/>
      <w:r w:rsidR="00C80EA4" w:rsidRPr="00827DA6">
        <w:t xml:space="preserve"> the United States, </w:t>
      </w:r>
      <w:r w:rsidR="009D6D78">
        <w:t>al</w:t>
      </w:r>
      <w:r w:rsidR="00C80EA4" w:rsidRPr="00827DA6">
        <w:t>though the evidence on how far a revenue-based contribution would affect research and development spending is weak. The sector</w:t>
      </w:r>
      <w:r w:rsidR="00C643F0">
        <w:t>’</w:t>
      </w:r>
      <w:r w:rsidR="00C80EA4" w:rsidRPr="00827DA6">
        <w:t xml:space="preserve">s principal additional competitiveness exposure, beyond the non-Party asymmetry </w:t>
      </w:r>
      <w:r w:rsidR="00C80EA4" w:rsidRPr="001B0C92">
        <w:t>described in paragraph 31 above, is</w:t>
      </w:r>
      <w:r w:rsidR="00C80EA4" w:rsidRPr="00827DA6">
        <w:t xml:space="preserve"> the potential overlap with the </w:t>
      </w:r>
      <w:r w:rsidR="005044C2">
        <w:t>WHO</w:t>
      </w:r>
      <w:r w:rsidR="00C80EA4" w:rsidRPr="00827DA6">
        <w:t xml:space="preserve"> Pathogen Access and Benefit-Sharing System for vaccine and biopharmaceutical producers.</w:t>
      </w:r>
    </w:p>
    <w:p w14:paraId="763D9C7D" w14:textId="32AFF6DC" w:rsidR="00C80EA4" w:rsidRPr="00827DA6" w:rsidRDefault="00C80EA4" w:rsidP="001238B7">
      <w:pPr>
        <w:pStyle w:val="CBDNormalNumber"/>
        <w:numPr>
          <w:ilvl w:val="0"/>
          <w:numId w:val="15"/>
        </w:numPr>
      </w:pPr>
      <w:r w:rsidRPr="00827DA6">
        <w:t xml:space="preserve">Biotechnology (3,709 firms; 19.2 per cent) shows considerably greater internal variation than pharmaceuticals, with a median margin of 7 per cent and a substantial share of loss-making or near-zero-margin firms whose financial profile is consistent with early-stage, equity-funded ventures. Biopharmaceutical innovators face development costs and failure risk comparable to </w:t>
      </w:r>
      <w:r w:rsidR="00930F86">
        <w:t xml:space="preserve">that of </w:t>
      </w:r>
      <w:r w:rsidRPr="00827DA6">
        <w:t xml:space="preserve">pharmaceutical innovators, which makes regulatory and rate-trajectory uncertainty a material concern for this </w:t>
      </w:r>
      <w:proofErr w:type="gramStart"/>
      <w:r w:rsidRPr="00827DA6">
        <w:t>subgroup in particular</w:t>
      </w:r>
      <w:proofErr w:type="gramEnd"/>
      <w:r w:rsidRPr="00827DA6">
        <w:t>.</w:t>
      </w:r>
    </w:p>
    <w:p w14:paraId="34A95AE0" w14:textId="0B2F4B02" w:rsidR="00C80EA4" w:rsidRPr="00827DA6" w:rsidRDefault="00C80EA4" w:rsidP="001238B7">
      <w:pPr>
        <w:pStyle w:val="CBDNormalNumber"/>
        <w:numPr>
          <w:ilvl w:val="0"/>
          <w:numId w:val="15"/>
        </w:numPr>
      </w:pPr>
      <w:r w:rsidRPr="00827DA6">
        <w:t xml:space="preserve">Information and artificial intelligence services (5,217 firms, the largest eligible population of any sector) contribute only 11.1 per cent of central-scenario revenue, down from 25.2 per cent under </w:t>
      </w:r>
      <w:r w:rsidR="00740449">
        <w:t xml:space="preserve">the </w:t>
      </w:r>
      <w:r w:rsidRPr="00827DA6">
        <w:t>full</w:t>
      </w:r>
      <w:r w:rsidR="00740449">
        <w:t>-</w:t>
      </w:r>
      <w:r w:rsidRPr="00827DA6">
        <w:t>compliance</w:t>
      </w:r>
      <w:r w:rsidR="00740449">
        <w:t xml:space="preserve"> scenario</w:t>
      </w:r>
      <w:r w:rsidRPr="00827DA6">
        <w:t>, the largest such decline of any sector, and record the highest zero-contributor share. The sector</w:t>
      </w:r>
      <w:r w:rsidR="00C643F0">
        <w:t>’</w:t>
      </w:r>
      <w:r w:rsidRPr="00827DA6">
        <w:t>s upper segment, cloud and data infrastructure supporting genomics workflows, is dominated by three providers</w:t>
      </w:r>
      <w:r w:rsidR="00E01A81">
        <w:t xml:space="preserve"> headquartered in the United States</w:t>
      </w:r>
      <w:r w:rsidRPr="00827DA6">
        <w:t xml:space="preserve"> controlling an estimated 63 per cent of the global market, giving this sector the highest non-Party competitive asymmetry of any sector</w:t>
      </w:r>
      <w:r w:rsidR="00E01A81">
        <w:t xml:space="preserve"> listed in enclosure I</w:t>
      </w:r>
      <w:r w:rsidR="00D21F76">
        <w:t xml:space="preserve"> of the annex to </w:t>
      </w:r>
      <w:r w:rsidR="00D21F76" w:rsidRPr="00827DA6">
        <w:t xml:space="preserve">decision </w:t>
      </w:r>
      <w:hyperlink r:id="rId37" w:history="1">
        <w:r w:rsidR="00D21F76" w:rsidRPr="00827DA6">
          <w:rPr>
            <w:rStyle w:val="Hyperlink"/>
          </w:rPr>
          <w:t>16/2</w:t>
        </w:r>
      </w:hyperlink>
      <w:r w:rsidR="00A92DB3">
        <w:t>. The</w:t>
      </w:r>
      <w:r w:rsidR="008D035C">
        <w:t xml:space="preserve"> data available for </w:t>
      </w:r>
      <w:r w:rsidR="008D035C">
        <w:lastRenderedPageBreak/>
        <w:t>this</w:t>
      </w:r>
      <w:r w:rsidR="00A92DB3">
        <w:t xml:space="preserve"> sector also </w:t>
      </w:r>
      <w:r w:rsidR="00853402">
        <w:t>give rise to</w:t>
      </w:r>
      <w:r w:rsidRPr="00827DA6">
        <w:t xml:space="preserve"> significant uncertainty over what constitutes activity derived from digital sequence information on genetic resources for eligibility purposes.</w:t>
      </w:r>
    </w:p>
    <w:p w14:paraId="601019C4" w14:textId="1EBE3E03" w:rsidR="00C80EA4" w:rsidRPr="00827DA6" w:rsidRDefault="00C80EA4" w:rsidP="001238B7">
      <w:pPr>
        <w:pStyle w:val="CBDNormalNumber"/>
        <w:numPr>
          <w:ilvl w:val="0"/>
          <w:numId w:val="15"/>
        </w:numPr>
      </w:pPr>
      <w:r w:rsidRPr="00827DA6">
        <w:t xml:space="preserve">Animal and plant breeding (4,256 firms; 6.8 per cent) records the widest interquartile range in profitability of any sector, from 0.5 to 17.8 per cent, meaning aggregate figures are less representative of individual firm experience </w:t>
      </w:r>
      <w:r w:rsidR="00126E46">
        <w:t>in this sector</w:t>
      </w:r>
      <w:r w:rsidR="00126E46" w:rsidRPr="00827DA6">
        <w:t xml:space="preserve"> </w:t>
      </w:r>
      <w:r w:rsidRPr="00827DA6">
        <w:t xml:space="preserve">than </w:t>
      </w:r>
      <w:r w:rsidR="00126E46">
        <w:t>in others</w:t>
      </w:r>
      <w:r w:rsidRPr="00827DA6">
        <w:t>. Plant breeding for major field crops is highly concentrated, with the five largest global companies capturing an estimated 42.5 per cent of the market, and the sector faces potential future obligation-stacking with the International Treaty on Plant Genetic Resources for Food and Agriculture, which governs many of the same crop species.</w:t>
      </w:r>
    </w:p>
    <w:p w14:paraId="64B95E99" w14:textId="035DC43F" w:rsidR="00C80EA4" w:rsidRPr="00827DA6" w:rsidRDefault="00C80EA4" w:rsidP="001238B7">
      <w:pPr>
        <w:pStyle w:val="CBDNormalNumber"/>
        <w:numPr>
          <w:ilvl w:val="0"/>
          <w:numId w:val="15"/>
        </w:numPr>
      </w:pPr>
      <w:r w:rsidRPr="00827DA6">
        <w:t>Laboratory equipment (2,846 firms; 5.0 per cent) competes through integrated platforms combining hardware, consumables and service contracts rather than one-time equipment sales, and sits closer to the 10 per cent revenue</w:t>
      </w:r>
      <w:r w:rsidR="00AA276F">
        <w:t xml:space="preserve"> and </w:t>
      </w:r>
      <w:r w:rsidRPr="00827DA6">
        <w:t xml:space="preserve">profit indifference threshold than any other profit-base sector, meaning </w:t>
      </w:r>
      <w:r w:rsidR="001869AD">
        <w:t xml:space="preserve">that </w:t>
      </w:r>
      <w:r w:rsidRPr="00827DA6">
        <w:t>a meaningful share of firms could pay on either base. Sequencing and molecular-platform firms within the sector are the most clearly identifiable direct users of digital sequence information on genetic resources</w:t>
      </w:r>
      <w:r w:rsidRPr="00827DA6" w:rsidDel="00861B0E">
        <w:t xml:space="preserve"> </w:t>
      </w:r>
      <w:r w:rsidRPr="00827DA6">
        <w:t xml:space="preserve">and carry the clearest eligibility case; the sector </w:t>
      </w:r>
      <w:proofErr w:type="gramStart"/>
      <w:r w:rsidRPr="00827DA6">
        <w:t>as a whole is</w:t>
      </w:r>
      <w:proofErr w:type="gramEnd"/>
      <w:r w:rsidRPr="00827DA6">
        <w:t xml:space="preserve"> highly concentrated, with corresponding margin pressure on smaller remaining competitors.</w:t>
      </w:r>
    </w:p>
    <w:p w14:paraId="366F1116" w14:textId="56E1CD2C" w:rsidR="00C80EA4" w:rsidRPr="00827DA6" w:rsidRDefault="00C80EA4" w:rsidP="001238B7">
      <w:pPr>
        <w:pStyle w:val="CBDNormalNumber"/>
        <w:numPr>
          <w:ilvl w:val="0"/>
          <w:numId w:val="15"/>
        </w:numPr>
      </w:pPr>
      <w:r w:rsidRPr="00827DA6">
        <w:t>Nutraceuticals (1,513 firms; 4.7 per cent) has the lowest median margin of any sector, at 4 per cent, so virtually all eligible firms pay on profit, and the proportionality concern, namely that firms contribute on an all-in financial base regardless of the intensity of digital sequence information on genetic resources</w:t>
      </w:r>
      <w:r w:rsidRPr="00827DA6" w:rsidDel="002C13C0">
        <w:t xml:space="preserve"> </w:t>
      </w:r>
      <w:r w:rsidRPr="00827DA6">
        <w:t xml:space="preserve">use, is especially acute here. </w:t>
      </w:r>
      <w:bookmarkStart w:id="16" w:name="_Hlk240373973"/>
      <w:r w:rsidRPr="00827DA6">
        <w:t>Dependence</w:t>
      </w:r>
      <w:bookmarkEnd w:id="16"/>
      <w:r w:rsidRPr="00827DA6">
        <w:t xml:space="preserve"> </w:t>
      </w:r>
      <w:r w:rsidR="00530CCF">
        <w:t>on</w:t>
      </w:r>
      <w:r w:rsidR="00530CCF" w:rsidRPr="00827DA6">
        <w:t xml:space="preserve"> </w:t>
      </w:r>
      <w:r w:rsidRPr="00827DA6">
        <w:t>digital sequence information on genetic resources</w:t>
      </w:r>
      <w:r w:rsidRPr="00827DA6" w:rsidDel="002C13C0">
        <w:t xml:space="preserve"> </w:t>
      </w:r>
      <w:r w:rsidRPr="00827DA6">
        <w:t xml:space="preserve">varies considerably within the sector; botanical and probiotic or microbial supplement producers are the most clearly identifiable direct users of digital sequence information on genetic resources, while the broader functional foods segment is </w:t>
      </w:r>
      <w:proofErr w:type="gramStart"/>
      <w:r w:rsidRPr="00827DA6">
        <w:t>more weakly</w:t>
      </w:r>
      <w:proofErr w:type="gramEnd"/>
      <w:r w:rsidRPr="00827DA6">
        <w:t xml:space="preserve"> linked to </w:t>
      </w:r>
      <w:r w:rsidR="001A01D3">
        <w:t>the u</w:t>
      </w:r>
      <w:r w:rsidRPr="00827DA6">
        <w:t>se of digital sequence information on genetic resources.</w:t>
      </w:r>
    </w:p>
    <w:p w14:paraId="5DEF5C58" w14:textId="316660AE" w:rsidR="00C80EA4" w:rsidRPr="00827DA6" w:rsidRDefault="00C80EA4" w:rsidP="001238B7">
      <w:pPr>
        <w:pStyle w:val="CBDNormalNumber"/>
        <w:numPr>
          <w:ilvl w:val="0"/>
          <w:numId w:val="15"/>
        </w:numPr>
      </w:pPr>
      <w:r w:rsidRPr="00827DA6">
        <w:t xml:space="preserve">Cosmetics (748 firms, the smallest </w:t>
      </w:r>
      <w:r w:rsidR="001C3CAA">
        <w:t xml:space="preserve">of the seven </w:t>
      </w:r>
      <w:r w:rsidRPr="00827DA6">
        <w:t>sector</w:t>
      </w:r>
      <w:r w:rsidR="00CF0D72">
        <w:t>s</w:t>
      </w:r>
      <w:r w:rsidRPr="00827DA6">
        <w:t>) contributes 3.7 per cent of central-scenario revenue and records the highest effective contribution rate relative to sector size of any sector</w:t>
      </w:r>
      <w:r w:rsidR="00CF0D72">
        <w:t xml:space="preserve"> listed </w:t>
      </w:r>
      <w:bookmarkStart w:id="17" w:name="_Hlk240374412"/>
      <w:r w:rsidR="00CF0D72">
        <w:t>in enclosure I</w:t>
      </w:r>
      <w:r w:rsidR="00FD4B2F">
        <w:t xml:space="preserve"> of the annex to </w:t>
      </w:r>
      <w:r w:rsidR="00FD4B2F" w:rsidRPr="00827DA6">
        <w:t xml:space="preserve">decision </w:t>
      </w:r>
      <w:hyperlink r:id="rId38" w:history="1">
        <w:r w:rsidR="00FD4B2F" w:rsidRPr="00827DA6">
          <w:rPr>
            <w:rStyle w:val="Hyperlink"/>
          </w:rPr>
          <w:t>16/2</w:t>
        </w:r>
      </w:hyperlink>
      <w:bookmarkEnd w:id="17"/>
      <w:r w:rsidRPr="00827DA6">
        <w:t>. The sector divides into downstream branded firms, which compete on regulatory compliance and brand rather than sequence-based innovation, and upstream active-ingredient developers drawing on plant, marine or microbial sources; the proportionality concern is particularly acute here given contested views on how directly digital sequence information on genetic resources</w:t>
      </w:r>
      <w:r w:rsidRPr="00827DA6" w:rsidDel="001A6AF8">
        <w:t xml:space="preserve"> </w:t>
      </w:r>
      <w:r w:rsidRPr="00827DA6">
        <w:t>is used across this value chain.</w:t>
      </w:r>
    </w:p>
    <w:p w14:paraId="42B696A0" w14:textId="77777777" w:rsidR="00C80EA4" w:rsidRPr="00827DA6" w:rsidRDefault="00C80EA4" w:rsidP="001238B7">
      <w:pPr>
        <w:pStyle w:val="CBDNormalNumber"/>
        <w:numPr>
          <w:ilvl w:val="0"/>
          <w:numId w:val="15"/>
        </w:numPr>
      </w:pPr>
      <w:r w:rsidRPr="00E358F0">
        <w:t>Five implications follow from</w:t>
      </w:r>
      <w:r w:rsidRPr="00827DA6">
        <w:t xml:space="preserve"> the sector-by-sector assessment: </w:t>
      </w:r>
    </w:p>
    <w:p w14:paraId="71BD5F39" w14:textId="35A34BBB" w:rsidR="00C80EA4" w:rsidRPr="00827DA6" w:rsidRDefault="00F062E1" w:rsidP="00020F91">
      <w:pPr>
        <w:pStyle w:val="CBDNormalNumber"/>
        <w:numPr>
          <w:ilvl w:val="1"/>
          <w:numId w:val="17"/>
        </w:numPr>
      </w:pPr>
      <w:r>
        <w:t>P</w:t>
      </w:r>
      <w:r w:rsidR="00C80EA4" w:rsidRPr="00827DA6">
        <w:t xml:space="preserve">roportionality concern is the </w:t>
      </w:r>
      <w:r w:rsidR="00806584">
        <w:t>highest</w:t>
      </w:r>
      <w:r w:rsidR="00806584" w:rsidRPr="00827DA6">
        <w:t xml:space="preserve"> </w:t>
      </w:r>
      <w:r w:rsidR="00C80EA4" w:rsidRPr="00827DA6">
        <w:t xml:space="preserve">material design-level risk for firm types with indirect or limited dependence </w:t>
      </w:r>
      <w:r w:rsidR="004303A6">
        <w:t>on</w:t>
      </w:r>
      <w:r w:rsidR="004303A6" w:rsidRPr="00827DA6">
        <w:t xml:space="preserve"> </w:t>
      </w:r>
      <w:r w:rsidR="00C80EA4" w:rsidRPr="00827DA6">
        <w:t xml:space="preserve">digital sequence information on genetic resources; narrowing the definition of indirect use, or fixing a single point of contribution liability within the value chain, would reduce the risk of the same </w:t>
      </w:r>
      <w:r w:rsidR="004303A6">
        <w:t>u</w:t>
      </w:r>
      <w:r w:rsidR="00C80EA4" w:rsidRPr="00827DA6">
        <w:t xml:space="preserve">se of digital sequence information on genetic resources being captured at more than one stage; </w:t>
      </w:r>
    </w:p>
    <w:p w14:paraId="08FB0B84" w14:textId="29569340" w:rsidR="00C80EA4" w:rsidRPr="00827DA6" w:rsidRDefault="004303A6" w:rsidP="00020F91">
      <w:pPr>
        <w:pStyle w:val="CBDNormalNumber"/>
        <w:numPr>
          <w:ilvl w:val="1"/>
          <w:numId w:val="17"/>
        </w:numPr>
      </w:pPr>
      <w:r>
        <w:t>U</w:t>
      </w:r>
      <w:r w:rsidR="00C80EA4" w:rsidRPr="00827DA6">
        <w:t xml:space="preserve">nresolved design parameters generate regulatory uncertainty that is analytically distinct from, and in several sectors </w:t>
      </w:r>
      <w:r w:rsidR="00A90352">
        <w:t>more consequential</w:t>
      </w:r>
      <w:r w:rsidR="00A90352" w:rsidRPr="00827DA6">
        <w:t xml:space="preserve"> </w:t>
      </w:r>
      <w:r w:rsidR="00C80EA4" w:rsidRPr="00827DA6">
        <w:t xml:space="preserve">than, the direct cost burden; </w:t>
      </w:r>
    </w:p>
    <w:p w14:paraId="21F57988" w14:textId="53699CEF" w:rsidR="00C80EA4" w:rsidRPr="00827DA6" w:rsidRDefault="00A10916" w:rsidP="00020F91">
      <w:pPr>
        <w:pStyle w:val="CBDNormalNumber"/>
        <w:numPr>
          <w:ilvl w:val="1"/>
          <w:numId w:val="17"/>
        </w:numPr>
      </w:pPr>
      <w:r>
        <w:t>N</w:t>
      </w:r>
      <w:r w:rsidR="00C80EA4" w:rsidRPr="00827DA6">
        <w:t>on-binding design limits the most severe outcomes for financially marginal firms but creates a participation asymmetry among peers</w:t>
      </w:r>
      <w:r w:rsidR="00C24689">
        <w:t xml:space="preserve"> headquartered </w:t>
      </w:r>
      <w:r w:rsidR="00E358F0">
        <w:t>in</w:t>
      </w:r>
      <w:r w:rsidR="00C24689">
        <w:t xml:space="preserve"> Party jurisdictions</w:t>
      </w:r>
      <w:r w:rsidR="00C80EA4" w:rsidRPr="00827DA6">
        <w:t xml:space="preserve">; </w:t>
      </w:r>
    </w:p>
    <w:p w14:paraId="6144212F" w14:textId="0DAC1A81" w:rsidR="00C80EA4" w:rsidRPr="00827DA6" w:rsidRDefault="00D23D0B" w:rsidP="00020F91">
      <w:pPr>
        <w:pStyle w:val="CBDNormalNumber"/>
        <w:numPr>
          <w:ilvl w:val="1"/>
          <w:numId w:val="17"/>
        </w:numPr>
      </w:pPr>
      <w:r>
        <w:t>C</w:t>
      </w:r>
      <w:r w:rsidR="00C80EA4" w:rsidRPr="00827DA6">
        <w:t xml:space="preserve">ompetitive exposure varies substantially by sector; </w:t>
      </w:r>
    </w:p>
    <w:p w14:paraId="0DB9EC8E" w14:textId="1E8180C9" w:rsidR="00C80EA4" w:rsidRPr="00827DA6" w:rsidRDefault="00D23D0B" w:rsidP="00020F91">
      <w:pPr>
        <w:pStyle w:val="CBDNormalNumber"/>
        <w:numPr>
          <w:ilvl w:val="1"/>
          <w:numId w:val="17"/>
        </w:numPr>
      </w:pPr>
      <w:r>
        <w:t>P</w:t>
      </w:r>
      <w:r w:rsidR="00C80EA4" w:rsidRPr="00827DA6">
        <w:t>rivate sector engagement ahead of the seventeenth meeting of the Conference of the Parties could accordingly benefit from a sector-specific approach.</w:t>
      </w:r>
    </w:p>
    <w:p w14:paraId="30B4CD51" w14:textId="653BD791" w:rsidR="00C80EA4" w:rsidRPr="00827DA6" w:rsidRDefault="00340594" w:rsidP="00020F91">
      <w:pPr>
        <w:pStyle w:val="CBDH1"/>
      </w:pPr>
      <w:r w:rsidRPr="00827DA6">
        <w:t>V.</w:t>
      </w:r>
      <w:r w:rsidRPr="00827DA6">
        <w:tab/>
      </w:r>
      <w:r w:rsidR="00C80EA4" w:rsidRPr="00D424B1">
        <w:t>Conclusions</w:t>
      </w:r>
    </w:p>
    <w:p w14:paraId="23356C14" w14:textId="418E9580" w:rsidR="00C80EA4" w:rsidRPr="00827DA6" w:rsidRDefault="00C80EA4" w:rsidP="001238B7">
      <w:pPr>
        <w:pStyle w:val="CBDNormalNumber"/>
        <w:numPr>
          <w:ilvl w:val="0"/>
          <w:numId w:val="15"/>
        </w:numPr>
      </w:pPr>
      <w:r w:rsidRPr="00827DA6">
        <w:t>Th</w:t>
      </w:r>
      <w:r w:rsidR="00066380">
        <w:t>e present</w:t>
      </w:r>
      <w:r w:rsidRPr="00827DA6">
        <w:t xml:space="preserve"> report </w:t>
      </w:r>
      <w:r w:rsidR="00066380">
        <w:t>provides an examination of</w:t>
      </w:r>
      <w:r w:rsidRPr="00827DA6">
        <w:t xml:space="preserve"> the Cali Fund across three dimensions: eligibility and threshold design, revenue potential under alternative participation and design </w:t>
      </w:r>
      <w:r w:rsidRPr="00827DA6">
        <w:lastRenderedPageBreak/>
        <w:t>scenarios, and competitiveness implications for eligible firms across all seven indicative sectors</w:t>
      </w:r>
      <w:r w:rsidR="00FD4B2F">
        <w:t xml:space="preserve"> </w:t>
      </w:r>
      <w:bookmarkStart w:id="18" w:name="_Hlk240374463"/>
      <w:bookmarkStart w:id="19" w:name="_Hlk240374496"/>
      <w:r w:rsidR="00FD4B2F">
        <w:t>listed in enclosure I of the annex</w:t>
      </w:r>
      <w:bookmarkEnd w:id="18"/>
      <w:r w:rsidR="00FD4B2F">
        <w:t xml:space="preserve"> to </w:t>
      </w:r>
      <w:r w:rsidR="00FD4B2F" w:rsidRPr="00827DA6">
        <w:t xml:space="preserve">decision </w:t>
      </w:r>
      <w:bookmarkStart w:id="20" w:name="_Hlk240376060"/>
      <w:r w:rsidR="00FD4B2F">
        <w:fldChar w:fldCharType="begin"/>
      </w:r>
      <w:r w:rsidR="00FD4B2F">
        <w:instrText>HYPERLINK "https://www.cbd.int/decisions/cop/?m=cop-16"</w:instrText>
      </w:r>
      <w:r w:rsidR="00FD4B2F">
        <w:fldChar w:fldCharType="separate"/>
      </w:r>
      <w:r w:rsidR="00FD4B2F" w:rsidRPr="00827DA6">
        <w:rPr>
          <w:rStyle w:val="Hyperlink"/>
        </w:rPr>
        <w:t>16/2</w:t>
      </w:r>
      <w:r w:rsidR="00FD4B2F">
        <w:fldChar w:fldCharType="end"/>
      </w:r>
      <w:bookmarkEnd w:id="19"/>
      <w:bookmarkEnd w:id="20"/>
      <w:r w:rsidRPr="00827DA6">
        <w:t>. The findings on contribution rates and competitiveness should be read alongside the broader context underpinning the mechanis</w:t>
      </w:r>
      <w:r w:rsidRPr="00871DFE">
        <w:t>m</w:t>
      </w:r>
      <w:r w:rsidR="004E1CF1" w:rsidRPr="00871DFE">
        <w:t>, which reflects</w:t>
      </w:r>
      <w:r w:rsidRPr="00827DA6">
        <w:t xml:space="preserve"> a negotiated </w:t>
      </w:r>
      <w:r w:rsidRPr="00C6221B">
        <w:t>balance between open access to digital seque</w:t>
      </w:r>
      <w:r w:rsidRPr="00827DA6">
        <w:t>nce information on genetic resources</w:t>
      </w:r>
      <w:r w:rsidRPr="00827DA6" w:rsidDel="009D693A">
        <w:t xml:space="preserve"> </w:t>
      </w:r>
      <w:r w:rsidRPr="00827DA6">
        <w:t>and fair and equitable benefit-sharing.</w:t>
      </w:r>
    </w:p>
    <w:p w14:paraId="537FF1F6" w14:textId="5E07CF78" w:rsidR="00C80EA4" w:rsidRPr="00827DA6" w:rsidRDefault="00C80EA4" w:rsidP="001238B7">
      <w:pPr>
        <w:pStyle w:val="CBDNormalNumber"/>
        <w:numPr>
          <w:ilvl w:val="0"/>
          <w:numId w:val="15"/>
        </w:numPr>
      </w:pPr>
      <w:r w:rsidRPr="00827DA6">
        <w:t>On eligibility and threshold design, the current thresholds</w:t>
      </w:r>
      <w:r w:rsidR="00040E42" w:rsidRPr="00827DA6">
        <w:t xml:space="preserve">, </w:t>
      </w:r>
      <w:r w:rsidR="008E7DEA" w:rsidRPr="00827DA6">
        <w:t>as spe</w:t>
      </w:r>
      <w:r w:rsidR="00AF3033">
        <w:t>l</w:t>
      </w:r>
      <w:r w:rsidR="008E7DEA" w:rsidRPr="00827DA6">
        <w:t>l</w:t>
      </w:r>
      <w:r w:rsidR="00AF3033">
        <w:t>ed</w:t>
      </w:r>
      <w:r w:rsidR="008E7DEA" w:rsidRPr="00827DA6">
        <w:t xml:space="preserve"> out in paragraph </w:t>
      </w:r>
      <w:r w:rsidR="00873B02" w:rsidRPr="00827DA6">
        <w:t>3 of the annex to</w:t>
      </w:r>
      <w:r w:rsidR="008E7DEA" w:rsidRPr="00827DA6">
        <w:t xml:space="preserve"> decision </w:t>
      </w:r>
      <w:bookmarkStart w:id="21" w:name="_Hlk240377437"/>
      <w:r w:rsidR="00AF3033">
        <w:fldChar w:fldCharType="begin"/>
      </w:r>
      <w:r w:rsidR="00AF3033">
        <w:instrText>HYPERLINK "https://www.cbd.int/decisions/cop/?m=cop-16"</w:instrText>
      </w:r>
      <w:r w:rsidR="00AF3033">
        <w:fldChar w:fldCharType="separate"/>
      </w:r>
      <w:r w:rsidR="00AF3033" w:rsidRPr="00827DA6">
        <w:rPr>
          <w:rStyle w:val="Hyperlink"/>
        </w:rPr>
        <w:t>16/2</w:t>
      </w:r>
      <w:r w:rsidR="00AF3033">
        <w:fldChar w:fldCharType="end"/>
      </w:r>
      <w:bookmarkEnd w:id="21"/>
      <w:r w:rsidR="008E7DEA" w:rsidRPr="00827DA6">
        <w:t>,</w:t>
      </w:r>
      <w:r w:rsidRPr="00827DA6">
        <w:t xml:space="preserve"> broadly align with criteria for large enterprises across most reference frameworks, </w:t>
      </w:r>
      <w:r w:rsidR="009D6D78">
        <w:t>al</w:t>
      </w:r>
      <w:r w:rsidRPr="00827DA6">
        <w:t>though the assets threshold falls below the medium-</w:t>
      </w:r>
      <w:r w:rsidR="005623A2">
        <w:t xml:space="preserve">sized </w:t>
      </w:r>
      <w:r w:rsidRPr="00827DA6">
        <w:t xml:space="preserve">enterprise ceiling </w:t>
      </w:r>
      <w:r w:rsidR="005623A2">
        <w:t xml:space="preserve">of the European Union </w:t>
      </w:r>
      <w:r w:rsidRPr="00827DA6">
        <w:t xml:space="preserve">and the absence of an employee criterion and of affiliation conditions diverges from almost all frameworks reviewed. Three design </w:t>
      </w:r>
      <w:r w:rsidR="008E7DEA" w:rsidRPr="00827DA6">
        <w:t>issues</w:t>
      </w:r>
      <w:r w:rsidRPr="00827DA6">
        <w:t xml:space="preserve"> are of potential relevance to the Conference of the Parties: the absence of an explicit exemption for small and medium-sized enterprises or</w:t>
      </w:r>
      <w:r w:rsidR="007260EF">
        <w:t xml:space="preserve"> of a</w:t>
      </w:r>
      <w:r w:rsidRPr="00827DA6">
        <w:t xml:space="preserve"> reduced-contribution tier; the absence of affiliation conditions, which </w:t>
      </w:r>
      <w:r w:rsidR="008E7DEA" w:rsidRPr="00827DA6">
        <w:t xml:space="preserve">implies that </w:t>
      </w:r>
      <w:r w:rsidRPr="00827DA6">
        <w:t xml:space="preserve">the entity-level design </w:t>
      </w:r>
      <w:r w:rsidR="008E7DEA" w:rsidRPr="00827DA6">
        <w:t xml:space="preserve">is </w:t>
      </w:r>
      <w:r w:rsidRPr="00827DA6">
        <w:t xml:space="preserve">potentially </w:t>
      </w:r>
      <w:r w:rsidR="008E7DEA" w:rsidRPr="00827DA6">
        <w:t xml:space="preserve">affected by </w:t>
      </w:r>
      <w:r w:rsidRPr="00827DA6">
        <w:t>corporate restructuring; and the tension between a uniform threshold structure and the significant financial differences across sectors</w:t>
      </w:r>
      <w:r w:rsidR="00483BC8">
        <w:t xml:space="preserve"> listed in enclosure I of the annex to decision</w:t>
      </w:r>
      <w:r w:rsidR="002E67C2">
        <w:t xml:space="preserve"> </w:t>
      </w:r>
      <w:hyperlink r:id="rId39" w:history="1">
        <w:r w:rsidR="002E67C2" w:rsidRPr="00827DA6">
          <w:rPr>
            <w:rStyle w:val="Hyperlink"/>
          </w:rPr>
          <w:t>16/2</w:t>
        </w:r>
      </w:hyperlink>
      <w:r w:rsidRPr="00827DA6">
        <w:t xml:space="preserve">, </w:t>
      </w:r>
      <w:r w:rsidR="004954B2">
        <w:t xml:space="preserve">which are </w:t>
      </w:r>
      <w:r w:rsidRPr="00827DA6">
        <w:t>most pronounced for pharmaceuticals.</w:t>
      </w:r>
      <w:r w:rsidR="008E7DEA" w:rsidRPr="00827DA6">
        <w:t xml:space="preserve"> In terms of future work, one possible avenue is to undertake further work on these design issues; </w:t>
      </w:r>
      <w:proofErr w:type="gramStart"/>
      <w:r w:rsidR="00286ACA" w:rsidRPr="00827DA6">
        <w:t>alternatively, and</w:t>
      </w:r>
      <w:proofErr w:type="gramEnd"/>
      <w:r w:rsidR="008E7DEA" w:rsidRPr="00827DA6">
        <w:t xml:space="preserve"> taking into account that reference framework</w:t>
      </w:r>
      <w:r w:rsidR="00017658">
        <w:t>s</w:t>
      </w:r>
      <w:r w:rsidR="008E7DEA" w:rsidRPr="00827DA6">
        <w:t xml:space="preserve"> reflect national or regional circumstances</w:t>
      </w:r>
      <w:r w:rsidR="00362EF1" w:rsidRPr="00827DA6">
        <w:t xml:space="preserve">, the Conference of the Parties could simply recognize such frameworks and decide that they should guide the decision as to whether to participate in the Cali </w:t>
      </w:r>
      <w:r w:rsidR="00D04AA6">
        <w:t>F</w:t>
      </w:r>
      <w:r w:rsidR="00362EF1" w:rsidRPr="00827DA6">
        <w:t>und.</w:t>
      </w:r>
    </w:p>
    <w:p w14:paraId="6E725B22" w14:textId="35AC6E2F" w:rsidR="00C80EA4" w:rsidRPr="00827DA6" w:rsidRDefault="00C80EA4" w:rsidP="001238B7">
      <w:pPr>
        <w:pStyle w:val="CBDNormalNumber"/>
        <w:numPr>
          <w:ilvl w:val="0"/>
          <w:numId w:val="15"/>
        </w:numPr>
      </w:pPr>
      <w:r w:rsidRPr="00E300BE">
        <w:t>On revenue potential</w:t>
      </w:r>
      <w:r w:rsidRPr="00827DA6">
        <w:t xml:space="preserve">, </w:t>
      </w:r>
      <w:r w:rsidR="00DB3293">
        <w:t>it was</w:t>
      </w:r>
      <w:r w:rsidRPr="00827DA6">
        <w:t xml:space="preserve"> found that</w:t>
      </w:r>
      <w:r w:rsidR="009775E2">
        <w:t>,</w:t>
      </w:r>
      <w:r w:rsidRPr="00827DA6">
        <w:t xml:space="preserve"> under the modelled scenarios, </w:t>
      </w:r>
      <w:r w:rsidR="003F0BA5">
        <w:t xml:space="preserve">the </w:t>
      </w:r>
      <w:r w:rsidRPr="00827DA6">
        <w:t xml:space="preserve">scale </w:t>
      </w:r>
      <w:r w:rsidR="00DB3293">
        <w:t xml:space="preserve">of the </w:t>
      </w:r>
      <w:r w:rsidR="00A050CC">
        <w:t xml:space="preserve">Cali </w:t>
      </w:r>
      <w:r w:rsidR="00DB3293">
        <w:t xml:space="preserve">Fund </w:t>
      </w:r>
      <w:r w:rsidRPr="00827DA6">
        <w:t xml:space="preserve">is significantly more sensitive to participation than to </w:t>
      </w:r>
      <w:r w:rsidR="008E7DEA" w:rsidRPr="00827DA6">
        <w:t xml:space="preserve">the </w:t>
      </w:r>
      <w:r w:rsidRPr="00827DA6">
        <w:t>calibration</w:t>
      </w:r>
      <w:r w:rsidR="008E7DEA" w:rsidRPr="00827DA6">
        <w:t xml:space="preserve"> of the actual rates</w:t>
      </w:r>
      <w:r w:rsidRPr="00827DA6">
        <w:t xml:space="preserve">. </w:t>
      </w:r>
      <w:r w:rsidR="003A39AC">
        <w:t>P</w:t>
      </w:r>
      <w:r w:rsidRPr="00827DA6">
        <w:t>articipation is</w:t>
      </w:r>
      <w:r w:rsidR="003A39AC">
        <w:t xml:space="preserve"> </w:t>
      </w:r>
      <w:r w:rsidR="00DB4E3E">
        <w:t xml:space="preserve">also </w:t>
      </w:r>
      <w:r w:rsidRPr="00827DA6">
        <w:t xml:space="preserve">the main binding constraint: the operational value of the certificate of contribution, </w:t>
      </w:r>
      <w:r w:rsidR="00190847">
        <w:t xml:space="preserve">the level of </w:t>
      </w:r>
      <w:r w:rsidRPr="00827DA6">
        <w:t xml:space="preserve">clarity </w:t>
      </w:r>
      <w:r w:rsidR="003F59AF">
        <w:t>regarding</w:t>
      </w:r>
      <w:r w:rsidR="00FE51C3">
        <w:t xml:space="preserve"> the scope </w:t>
      </w:r>
      <w:r w:rsidRPr="00827DA6">
        <w:t xml:space="preserve">of </w:t>
      </w:r>
      <w:r w:rsidR="00A32AFF">
        <w:t xml:space="preserve">the </w:t>
      </w:r>
      <w:r w:rsidRPr="00827DA6">
        <w:t>contribution</w:t>
      </w:r>
      <w:r w:rsidR="00A32AFF">
        <w:t>s</w:t>
      </w:r>
      <w:r w:rsidRPr="00827DA6">
        <w:t xml:space="preserve">, and </w:t>
      </w:r>
      <w:r w:rsidR="000F3DF2">
        <w:t>how</w:t>
      </w:r>
      <w:r w:rsidRPr="00827DA6">
        <w:t xml:space="preserve"> </w:t>
      </w:r>
      <w:r w:rsidR="002A4A32">
        <w:t xml:space="preserve">the issue of </w:t>
      </w:r>
      <w:r w:rsidRPr="00827DA6">
        <w:t>obligation stacking</w:t>
      </w:r>
      <w:r w:rsidR="00D740A7">
        <w:t xml:space="preserve"> is resolved</w:t>
      </w:r>
      <w:r w:rsidRPr="00827DA6">
        <w:t xml:space="preserve"> </w:t>
      </w:r>
      <w:r w:rsidR="008E62F2">
        <w:t xml:space="preserve">will </w:t>
      </w:r>
      <w:r w:rsidRPr="00827DA6">
        <w:t>determine how many firms contribute at all, while the indicative rate level</w:t>
      </w:r>
      <w:r w:rsidR="001540F7">
        <w:t xml:space="preserve"> will</w:t>
      </w:r>
      <w:r w:rsidRPr="00827DA6">
        <w:t xml:space="preserve"> only determine how much each participating firm pays, rather than its decision to participate. </w:t>
      </w:r>
      <w:r w:rsidRPr="00020F91">
        <w:t xml:space="preserve">Threshold design has important governance implications for </w:t>
      </w:r>
      <w:r w:rsidR="00C8065C">
        <w:t>F</w:t>
      </w:r>
      <w:r w:rsidRPr="00020F91">
        <w:t>und revenue while also influencing participation and administrative efficiency.</w:t>
      </w:r>
      <w:r w:rsidR="00440B3F">
        <w:t xml:space="preserve"> Participation of the</w:t>
      </w:r>
      <w:r w:rsidRPr="00827DA6">
        <w:t xml:space="preserve"> </w:t>
      </w:r>
      <w:r w:rsidR="00440B3F">
        <w:t>p</w:t>
      </w:r>
      <w:r w:rsidRPr="00827DA6">
        <w:t xml:space="preserve">harmaceutical sector is the most significant determinant of Fund revenue projected under realistic participation scenarios. However, these findings remain conditional on the assumptions underpinning the scenario analysis, </w:t>
      </w:r>
      <w:r w:rsidR="00D0791E">
        <w:t xml:space="preserve">in </w:t>
      </w:r>
      <w:r w:rsidRPr="00827DA6">
        <w:t>particular the sector-specific assumed participation rates, calibration of the intensity of digital sequence information on genetic resources use and firms</w:t>
      </w:r>
      <w:r w:rsidR="00C643F0">
        <w:t>’</w:t>
      </w:r>
      <w:r w:rsidRPr="00827DA6">
        <w:t xml:space="preserve"> contribution behaviour, which vary across the seven indicative sectors </w:t>
      </w:r>
      <w:r w:rsidR="00483BC8">
        <w:t xml:space="preserve">listed in enclosure I of the annex to </w:t>
      </w:r>
      <w:r w:rsidR="00483BC8" w:rsidRPr="00827DA6">
        <w:t xml:space="preserve">decision </w:t>
      </w:r>
      <w:hyperlink r:id="rId40" w:history="1">
        <w:r w:rsidR="00483BC8" w:rsidRPr="00827DA6">
          <w:rPr>
            <w:rStyle w:val="Hyperlink"/>
          </w:rPr>
          <w:t>16/2</w:t>
        </w:r>
      </w:hyperlink>
      <w:r w:rsidR="00483BC8">
        <w:t xml:space="preserve"> </w:t>
      </w:r>
      <w:r w:rsidRPr="00827DA6">
        <w:t>rather than being assumed uniform.</w:t>
      </w:r>
    </w:p>
    <w:p w14:paraId="341F0F5A" w14:textId="330BC93B" w:rsidR="00C80EA4" w:rsidRPr="00827DA6" w:rsidRDefault="00C80EA4" w:rsidP="001238B7">
      <w:pPr>
        <w:pStyle w:val="CBDNormalNumber"/>
        <w:numPr>
          <w:ilvl w:val="0"/>
          <w:numId w:val="15"/>
        </w:numPr>
      </w:pPr>
      <w:r w:rsidRPr="00827DA6">
        <w:t xml:space="preserve">On competitiveness, the direct cost burden on eligible firms is modest relative to sector margins at indicative rates. The dominant competitive risk is the potential structural asymmetry with non-Party competitors, which is permanent under the current design and most acute for the globally active, research-intensive firm types that also account for the largest share of </w:t>
      </w:r>
      <w:r w:rsidR="00885B30">
        <w:t xml:space="preserve">Cali </w:t>
      </w:r>
      <w:r w:rsidRPr="00827DA6">
        <w:t>Fund revenue. The proportionality concern, where firms contribute on the same financial base regardless of the intensity of digital sequence information on genetic resources</w:t>
      </w:r>
      <w:r w:rsidRPr="00827DA6" w:rsidDel="009D693A">
        <w:t xml:space="preserve"> </w:t>
      </w:r>
      <w:r w:rsidRPr="00827DA6">
        <w:t xml:space="preserve">use, is the most acute design-level competitive risk for sectors with indirect or limited dependence </w:t>
      </w:r>
      <w:r w:rsidR="003A2AD7">
        <w:t>on</w:t>
      </w:r>
      <w:r w:rsidR="003A2AD7" w:rsidRPr="00827DA6">
        <w:t xml:space="preserve"> </w:t>
      </w:r>
      <w:r w:rsidRPr="00827DA6">
        <w:t>digital sequence information on genetic resources. The non-binding design of the mechanism is both its most important protective feature and its most significant constraint: it limits severe outcomes for financially marginal firms while creating the participation dynamics that determine whether the Fund achieves meaningful scale.</w:t>
      </w:r>
    </w:p>
    <w:p w14:paraId="0FED5E12" w14:textId="380FA2A8" w:rsidR="00F81FD7" w:rsidRPr="00827DA6" w:rsidRDefault="00C80EA4" w:rsidP="001238B7">
      <w:pPr>
        <w:pStyle w:val="CBDNormalNumber"/>
        <w:numPr>
          <w:ilvl w:val="0"/>
          <w:numId w:val="15"/>
        </w:numPr>
      </w:pPr>
      <w:r w:rsidRPr="00827DA6">
        <w:t xml:space="preserve">Several design parameters remain </w:t>
      </w:r>
      <w:r w:rsidR="0089399A">
        <w:t>to be refined</w:t>
      </w:r>
      <w:r w:rsidR="0089399A" w:rsidRPr="00827DA6">
        <w:t xml:space="preserve"> </w:t>
      </w:r>
      <w:r w:rsidRPr="00827DA6">
        <w:t xml:space="preserve">ahead of the seventeenth meeting </w:t>
      </w:r>
      <w:r w:rsidR="00A3194B">
        <w:t xml:space="preserve">of the Conference of the Parties </w:t>
      </w:r>
      <w:r w:rsidRPr="00827DA6">
        <w:t>and will materially shape both the revenue potential and the competitive implications of the mechanism: the</w:t>
      </w:r>
      <w:r w:rsidR="006B023C" w:rsidRPr="00827DA6">
        <w:t xml:space="preserve"> potential</w:t>
      </w:r>
      <w:r w:rsidRPr="00827DA6">
        <w:t xml:space="preserve"> rate revision, the legal value of the certificate of contribution, the resolution of potential obligation stacking with the </w:t>
      </w:r>
      <w:r w:rsidR="00FD622B">
        <w:t>WHO</w:t>
      </w:r>
      <w:r w:rsidRPr="00827DA6">
        <w:t xml:space="preserve"> Pathogen Access and Benefit-Sharing System and the International Treaty on Plant Genetic Resources for Food and Agriculture, the entity-level unit of assessment, and the direct-versus-indirect use boundary for sectors whose eligibility rests on indirect benefit from </w:t>
      </w:r>
      <w:r w:rsidR="00745AB7">
        <w:t xml:space="preserve">the use of </w:t>
      </w:r>
      <w:r w:rsidRPr="00827DA6">
        <w:t xml:space="preserve">digital sequence information on genetic resources. Since participation is found to be the binding constraint on revenue under the </w:t>
      </w:r>
      <w:r w:rsidRPr="00827DA6">
        <w:lastRenderedPageBreak/>
        <w:t xml:space="preserve">modelled scenarios, how these parameters are resolved may determine not only how much the Cali Fund raises but </w:t>
      </w:r>
      <w:r w:rsidR="00F31F99">
        <w:t xml:space="preserve">also </w:t>
      </w:r>
      <w:r w:rsidRPr="00827DA6">
        <w:t>whether the incentives for private entities to participate are strong enough to raise it in a way that is perceived as equitable and predictable.</w:t>
      </w:r>
      <w:r w:rsidR="006B023C" w:rsidRPr="00827DA6">
        <w:t xml:space="preserve"> </w:t>
      </w:r>
    </w:p>
    <w:p w14:paraId="6898D6AE" w14:textId="0A7D9C99" w:rsidR="00A111D1" w:rsidRPr="00827DA6" w:rsidRDefault="00A111D1" w:rsidP="00F81FD7">
      <w:pPr>
        <w:pStyle w:val="CBDNormalNumber"/>
        <w:ind w:left="567"/>
        <w:jc w:val="center"/>
      </w:pPr>
      <w:r w:rsidRPr="00827DA6">
        <w:t>__________</w:t>
      </w:r>
    </w:p>
    <w:sectPr w:rsidR="00A111D1" w:rsidRPr="00827DA6" w:rsidSect="008747FB">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009B6" w14:textId="77777777" w:rsidR="005C6E02" w:rsidRPr="00827DA6" w:rsidRDefault="005C6E02" w:rsidP="00CF1848">
      <w:r w:rsidRPr="00827DA6">
        <w:separator/>
      </w:r>
    </w:p>
  </w:endnote>
  <w:endnote w:type="continuationSeparator" w:id="0">
    <w:p w14:paraId="3B4E53E2" w14:textId="77777777" w:rsidR="005C6E02" w:rsidRPr="00827DA6" w:rsidRDefault="005C6E02"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07E218" w14:textId="77777777" w:rsidR="00D75CA6" w:rsidRPr="00827DA6" w:rsidRDefault="00D75CA6" w:rsidP="00D75CA6">
            <w:pPr>
              <w:pStyle w:val="Footer"/>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noProof/>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noProof/>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7975ABC" w14:textId="77777777" w:rsidR="00D75CA6" w:rsidRPr="00827DA6" w:rsidRDefault="00D75CA6" w:rsidP="00020F91">
        <w:pPr>
          <w:pStyle w:val="Footer"/>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rsidRPr="00827DA6">
          <w:rPr>
            <w:szCs w:val="20"/>
          </w:rP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3E232" w14:textId="77777777" w:rsidR="005C6E02" w:rsidRPr="00C643F0" w:rsidRDefault="005C6E02" w:rsidP="00CF1848">
      <w:r w:rsidRPr="00C643F0">
        <w:separator/>
      </w:r>
    </w:p>
  </w:footnote>
  <w:footnote w:type="continuationSeparator" w:id="0">
    <w:p w14:paraId="43978325" w14:textId="77777777" w:rsidR="005C6E02" w:rsidRPr="00827DA6" w:rsidRDefault="005C6E02" w:rsidP="00CF1848">
      <w:r w:rsidRPr="00827DA6">
        <w:continuationSeparator/>
      </w:r>
    </w:p>
  </w:footnote>
  <w:footnote w:id="1">
    <w:p w14:paraId="00E30C61" w14:textId="116FE171" w:rsidR="008A1499" w:rsidRPr="00C643F0" w:rsidRDefault="008A1499">
      <w:pPr>
        <w:pStyle w:val="FootnoteText"/>
      </w:pPr>
      <w:r w:rsidRPr="00C643F0">
        <w:rPr>
          <w:rStyle w:val="FootnoteReference"/>
        </w:rPr>
        <w:t>*</w:t>
      </w:r>
      <w:r w:rsidRPr="00C643F0">
        <w:t xml:space="preserve"> </w:t>
      </w:r>
      <w:hyperlink r:id="rId1" w:history="1">
        <w:r w:rsidR="001E1A56" w:rsidRPr="00827DA6">
          <w:rPr>
            <w:rStyle w:val="Hyperlink"/>
          </w:rPr>
          <w:t>CBD/COP/17/1/Rev.1</w:t>
        </w:r>
      </w:hyperlink>
      <w:r w:rsidRPr="00C643F0">
        <w:t>.</w:t>
      </w:r>
    </w:p>
  </w:footnote>
  <w:footnote w:id="2">
    <w:p w14:paraId="4E87AE27" w14:textId="2EDD1961" w:rsidR="00E26BF2" w:rsidRPr="00020F91" w:rsidRDefault="00E26BF2" w:rsidP="002B2318">
      <w:pPr>
        <w:pStyle w:val="FootnoteText"/>
        <w:rPr>
          <w:lang w:val="en-US"/>
        </w:rPr>
      </w:pPr>
      <w:r>
        <w:rPr>
          <w:rStyle w:val="FootnoteReference"/>
        </w:rPr>
        <w:footnoteRef/>
      </w:r>
      <w:r>
        <w:t xml:space="preserve"> </w:t>
      </w:r>
      <w:bookmarkStart w:id="2" w:name="_Hlk240364184"/>
      <w:r w:rsidR="00152BBE">
        <w:rPr>
          <w:lang w:val="en-US"/>
        </w:rPr>
        <w:t xml:space="preserve">Agata Makowska-Curran, </w:t>
      </w:r>
      <w:r w:rsidR="002B2318" w:rsidRPr="00020F91">
        <w:rPr>
          <w:i/>
          <w:iCs/>
          <w:lang w:val="en-US"/>
        </w:rPr>
        <w:t>From Global Biodiversity Commitments to Local Action: Revenue Potential and Allocation Dynamics of the Cali Fund</w:t>
      </w:r>
      <w:r w:rsidR="005029CC">
        <w:rPr>
          <w:lang w:val="en-US"/>
        </w:rPr>
        <w:t xml:space="preserve">, </w:t>
      </w:r>
      <w:r w:rsidR="005029CC" w:rsidRPr="005029CC">
        <w:rPr>
          <w:lang w:val="en-US"/>
        </w:rPr>
        <w:t>Working Paper No. 450</w:t>
      </w:r>
      <w:r w:rsidR="005029CC">
        <w:rPr>
          <w:lang w:val="en-US"/>
        </w:rPr>
        <w:t xml:space="preserve"> (</w:t>
      </w:r>
      <w:r w:rsidR="00D66EC3">
        <w:rPr>
          <w:lang w:val="en-US"/>
        </w:rPr>
        <w:t>June 2026).</w:t>
      </w:r>
      <w:bookmarkEnd w:id="2"/>
    </w:p>
  </w:footnote>
  <w:footnote w:id="3">
    <w:p w14:paraId="32046A26" w14:textId="0C202418" w:rsidR="00553FAC" w:rsidRPr="00020F91" w:rsidRDefault="00553FAC">
      <w:pPr>
        <w:pStyle w:val="FootnoteText"/>
        <w:rPr>
          <w:lang w:val="en-US"/>
        </w:rPr>
      </w:pPr>
      <w:r w:rsidRPr="00AA1658">
        <w:rPr>
          <w:rStyle w:val="FootnoteReference"/>
        </w:rPr>
        <w:footnoteRef/>
      </w:r>
      <w:r w:rsidR="0027295E" w:rsidRPr="00AA1658">
        <w:t xml:space="preserve"> See</w:t>
      </w:r>
      <w:r>
        <w:t xml:space="preserve"> </w:t>
      </w:r>
      <w:bookmarkStart w:id="3" w:name="_Hlk240286144"/>
      <w:r w:rsidR="002D38E1">
        <w:fldChar w:fldCharType="begin"/>
      </w:r>
      <w:r w:rsidR="002D38E1">
        <w:instrText>HYPERLINK "http://www.moodys.com/web/en/us/capabilities/company-reference-data/orbis.html"</w:instrText>
      </w:r>
      <w:r w:rsidR="002D38E1">
        <w:fldChar w:fldCharType="separate"/>
      </w:r>
      <w:r w:rsidR="002D38E1" w:rsidRPr="002D38E1">
        <w:rPr>
          <w:rStyle w:val="Hyperlink"/>
        </w:rPr>
        <w:t>www.moodys.com/web/en/us/capabilities/company-reference-data/orbis.html</w:t>
      </w:r>
      <w:bookmarkEnd w:id="3"/>
      <w:r w:rsidR="002D38E1">
        <w:fldChar w:fldCharType="end"/>
      </w:r>
      <w:r w:rsidR="002D38E1">
        <w:t>.</w:t>
      </w:r>
    </w:p>
  </w:footnote>
  <w:footnote w:id="4">
    <w:p w14:paraId="43A586B5" w14:textId="169B1663" w:rsidR="00BB682B" w:rsidRPr="00020F91" w:rsidRDefault="00BB682B" w:rsidP="00BB682B">
      <w:pPr>
        <w:pStyle w:val="FootnoteText"/>
      </w:pPr>
      <w:r w:rsidRPr="00827DA6">
        <w:rPr>
          <w:rStyle w:val="FootnoteReference"/>
        </w:rPr>
        <w:footnoteRef/>
      </w:r>
      <w:r w:rsidRPr="00827DA6">
        <w:t xml:space="preserve"> Bruna Gomes</w:t>
      </w:r>
      <w:r w:rsidR="00FD5664">
        <w:t xml:space="preserve"> Maia</w:t>
      </w:r>
      <w:r w:rsidRPr="00827DA6">
        <w:t xml:space="preserve"> and Sacha Bourgeois-Gironde</w:t>
      </w:r>
      <w:r w:rsidR="00B46567">
        <w:t>,</w:t>
      </w:r>
      <w:r w:rsidRPr="00827DA6">
        <w:t xml:space="preserve"> </w:t>
      </w:r>
      <w:r w:rsidR="00B46567">
        <w:t>“</w:t>
      </w:r>
      <w:r w:rsidRPr="00827DA6">
        <w:t xml:space="preserve">Analysis of the Working Group’s </w:t>
      </w:r>
      <w:r w:rsidR="00B46567">
        <w:t>r</w:t>
      </w:r>
      <w:r w:rsidRPr="00827DA6">
        <w:t xml:space="preserve">ecommendations and COP-16 </w:t>
      </w:r>
      <w:r w:rsidR="00B46567">
        <w:t>d</w:t>
      </w:r>
      <w:r w:rsidRPr="00827DA6">
        <w:t xml:space="preserve">ecision 16/2 on </w:t>
      </w:r>
      <w:r w:rsidR="00B46567">
        <w:t>d</w:t>
      </w:r>
      <w:r w:rsidRPr="00827DA6">
        <w:t xml:space="preserve">igital </w:t>
      </w:r>
      <w:r w:rsidR="00B46567">
        <w:t>s</w:t>
      </w:r>
      <w:r w:rsidRPr="00827DA6">
        <w:t xml:space="preserve">equence </w:t>
      </w:r>
      <w:r w:rsidR="00B46567">
        <w:t>i</w:t>
      </w:r>
      <w:r w:rsidRPr="00827DA6">
        <w:t>nformation</w:t>
      </w:r>
      <w:r w:rsidR="000F2507">
        <w:t>”,</w:t>
      </w:r>
      <w:r w:rsidRPr="00827DA6">
        <w:t xml:space="preserve"> </w:t>
      </w:r>
      <w:r w:rsidRPr="00827DA6">
        <w:rPr>
          <w:i/>
          <w:iCs/>
        </w:rPr>
        <w:t>Global Policy</w:t>
      </w:r>
      <w:r w:rsidR="000F2507">
        <w:t>, vol.</w:t>
      </w:r>
      <w:r w:rsidRPr="00827DA6">
        <w:t xml:space="preserve"> 16, </w:t>
      </w:r>
      <w:r w:rsidR="000F2507">
        <w:t>N</w:t>
      </w:r>
      <w:r w:rsidRPr="00827DA6">
        <w:t>o. 4 (</w:t>
      </w:r>
      <w:r w:rsidR="000A19E9">
        <w:t xml:space="preserve">September </w:t>
      </w:r>
      <w:r w:rsidRPr="00827DA6">
        <w:t>2025</w:t>
      </w:r>
      <w:r w:rsidR="00FC2AF9" w:rsidRPr="00827DA6">
        <w:t>)</w:t>
      </w:r>
      <w:r w:rsidR="00FC2AF9">
        <w:t xml:space="preserve">, pp. </w:t>
      </w:r>
      <w:r w:rsidRPr="00827DA6">
        <w:t>751–</w:t>
      </w:r>
      <w:r w:rsidR="00ED659C">
        <w:t>7</w:t>
      </w:r>
      <w:r w:rsidRPr="00827DA6">
        <w:t>61.</w:t>
      </w:r>
    </w:p>
  </w:footnote>
  <w:footnote w:id="5">
    <w:p w14:paraId="21E8E0A1" w14:textId="4231B7A8" w:rsidR="00366F6B" w:rsidRPr="00020F91" w:rsidRDefault="00366F6B">
      <w:pPr>
        <w:pStyle w:val="FootnoteText"/>
        <w:rPr>
          <w:lang w:val="en-US"/>
        </w:rPr>
      </w:pPr>
      <w:r>
        <w:rPr>
          <w:rStyle w:val="FootnoteReference"/>
        </w:rPr>
        <w:footnoteRef/>
      </w:r>
      <w:r>
        <w:t xml:space="preserve"> </w:t>
      </w:r>
      <w:r w:rsidRPr="007747A7">
        <w:rPr>
          <w:lang w:val="en-US"/>
        </w:rPr>
        <w:t>See</w:t>
      </w:r>
      <w:r>
        <w:rPr>
          <w:lang w:val="en-US"/>
        </w:rPr>
        <w:t xml:space="preserve"> </w:t>
      </w:r>
      <w:bookmarkStart w:id="7" w:name="_Hlk240294006"/>
      <w:r>
        <w:rPr>
          <w:lang w:val="en-US"/>
        </w:rPr>
        <w:fldChar w:fldCharType="begin"/>
      </w:r>
      <w:r>
        <w:rPr>
          <w:lang w:val="en-US"/>
        </w:rPr>
        <w:instrText>HYPERLINK "https://mptf.undp.org/"</w:instrText>
      </w:r>
      <w:r>
        <w:rPr>
          <w:lang w:val="en-US"/>
        </w:rPr>
      </w:r>
      <w:r>
        <w:rPr>
          <w:lang w:val="en-US"/>
        </w:rPr>
        <w:fldChar w:fldCharType="separate"/>
      </w:r>
      <w:r w:rsidRPr="00366F6B">
        <w:rPr>
          <w:rStyle w:val="Hyperlink"/>
          <w:lang w:val="en-US"/>
        </w:rPr>
        <w:t>https://mptf.undp.org/</w:t>
      </w:r>
      <w:bookmarkEnd w:id="7"/>
      <w:r>
        <w:rPr>
          <w:lang w:val="en-US"/>
        </w:rPr>
        <w:fldChar w:fldCharType="end"/>
      </w:r>
      <w:r>
        <w:rPr>
          <w:lang w:val="en-US"/>
        </w:rPr>
        <w:t>.</w:t>
      </w:r>
    </w:p>
  </w:footnote>
  <w:footnote w:id="6">
    <w:p w14:paraId="3E3EADC6" w14:textId="75271339" w:rsidR="00532E37" w:rsidRPr="00020F91" w:rsidRDefault="00532E37">
      <w:pPr>
        <w:pStyle w:val="FootnoteText"/>
        <w:rPr>
          <w:lang w:val="en-US"/>
        </w:rPr>
      </w:pPr>
      <w:r>
        <w:rPr>
          <w:rStyle w:val="FootnoteReference"/>
        </w:rPr>
        <w:footnoteRef/>
      </w:r>
      <w:r>
        <w:t xml:space="preserve"> </w:t>
      </w:r>
      <w:r>
        <w:rPr>
          <w:lang w:val="en-US"/>
        </w:rPr>
        <w:t xml:space="preserve">See </w:t>
      </w:r>
      <w:bookmarkStart w:id="8" w:name="_Hlk240294062"/>
      <w:r>
        <w:rPr>
          <w:lang w:val="en-US"/>
        </w:rPr>
        <w:fldChar w:fldCharType="begin"/>
      </w:r>
      <w:r>
        <w:rPr>
          <w:lang w:val="en-US"/>
        </w:rPr>
        <w:instrText>HYPERLINK "http://www.fao.org/plant-treaty/en"</w:instrText>
      </w:r>
      <w:r>
        <w:rPr>
          <w:lang w:val="en-US"/>
        </w:rPr>
      </w:r>
      <w:r>
        <w:rPr>
          <w:lang w:val="en-US"/>
        </w:rPr>
        <w:fldChar w:fldCharType="separate"/>
      </w:r>
      <w:r w:rsidRPr="00532E37">
        <w:rPr>
          <w:rStyle w:val="Hyperlink"/>
          <w:lang w:val="en-US"/>
        </w:rPr>
        <w:t>www.fao.org/plant-treaty/en</w:t>
      </w:r>
      <w:bookmarkEnd w:id="8"/>
      <w:r>
        <w:rPr>
          <w:lang w:val="en-US"/>
        </w:rPr>
        <w:fldChar w:fldCharType="end"/>
      </w:r>
      <w:r>
        <w:rPr>
          <w:lang w:val="en-US"/>
        </w:rPr>
        <w:t>.</w:t>
      </w:r>
    </w:p>
  </w:footnote>
  <w:footnote w:id="7">
    <w:p w14:paraId="11B00E64" w14:textId="0C691527" w:rsidR="00A67C64" w:rsidRPr="00020F91" w:rsidRDefault="00A67C64">
      <w:pPr>
        <w:pStyle w:val="FootnoteText"/>
        <w:rPr>
          <w:lang w:val="en-US"/>
        </w:rPr>
      </w:pPr>
      <w:r>
        <w:rPr>
          <w:rStyle w:val="FootnoteReference"/>
        </w:rPr>
        <w:footnoteRef/>
      </w:r>
      <w:r>
        <w:t xml:space="preserve"> </w:t>
      </w:r>
      <w:r>
        <w:rPr>
          <w:lang w:val="en-US"/>
        </w:rPr>
        <w:t xml:space="preserve">See </w:t>
      </w:r>
      <w:hyperlink r:id="rId2" w:history="1">
        <w:r w:rsidRPr="00A67C64">
          <w:rPr>
            <w:rStyle w:val="Hyperlink"/>
            <w:lang w:val="en-US"/>
          </w:rPr>
          <w:t>www.fao.org/plant-treaty/areas-of-work/the-multilateral-system/smta/en/</w:t>
        </w:r>
      </w:hyperlink>
      <w:r>
        <w:rPr>
          <w:lang w:val="en-US"/>
        </w:rPr>
        <w:t>.</w:t>
      </w:r>
    </w:p>
  </w:footnote>
  <w:footnote w:id="8">
    <w:p w14:paraId="32BB5168" w14:textId="1637088C" w:rsidR="00BB682B" w:rsidRPr="00020F91" w:rsidRDefault="00BB682B" w:rsidP="00020F91">
      <w:pPr>
        <w:tabs>
          <w:tab w:val="clear" w:pos="567"/>
        </w:tabs>
        <w:jc w:val="left"/>
        <w:rPr>
          <w:sz w:val="18"/>
          <w:szCs w:val="18"/>
        </w:rPr>
      </w:pPr>
      <w:r w:rsidRPr="00020F91">
        <w:rPr>
          <w:rStyle w:val="FootnoteReference"/>
          <w:sz w:val="18"/>
          <w:szCs w:val="18"/>
        </w:rPr>
        <w:footnoteRef/>
      </w:r>
      <w:r w:rsidRPr="00020F91">
        <w:rPr>
          <w:sz w:val="18"/>
          <w:szCs w:val="18"/>
        </w:rPr>
        <w:t xml:space="preserve"> </w:t>
      </w:r>
      <w:r w:rsidR="00A23392">
        <w:rPr>
          <w:sz w:val="18"/>
          <w:szCs w:val="18"/>
        </w:rPr>
        <w:t>Resolution 3/2025, on</w:t>
      </w:r>
      <w:r w:rsidR="000F0D1B">
        <w:rPr>
          <w:sz w:val="18"/>
          <w:szCs w:val="18"/>
        </w:rPr>
        <w:t xml:space="preserve"> </w:t>
      </w:r>
      <w:r w:rsidR="00DC1D18">
        <w:rPr>
          <w:sz w:val="18"/>
          <w:szCs w:val="18"/>
        </w:rPr>
        <w:t xml:space="preserve">the implementation of the </w:t>
      </w:r>
      <w:r w:rsidR="000F0D1B">
        <w:rPr>
          <w:sz w:val="18"/>
          <w:szCs w:val="18"/>
        </w:rPr>
        <w:t>F</w:t>
      </w:r>
      <w:r w:rsidR="00DC1D18">
        <w:rPr>
          <w:sz w:val="18"/>
          <w:szCs w:val="18"/>
        </w:rPr>
        <w:t xml:space="preserve">unding </w:t>
      </w:r>
      <w:r w:rsidR="000F0D1B">
        <w:rPr>
          <w:sz w:val="18"/>
          <w:szCs w:val="18"/>
        </w:rPr>
        <w:t>S</w:t>
      </w:r>
      <w:r w:rsidR="00DC1D18">
        <w:rPr>
          <w:sz w:val="18"/>
          <w:szCs w:val="18"/>
        </w:rPr>
        <w:t xml:space="preserve">trategy of the International Treaty 2020–2027, adopted in </w:t>
      </w:r>
      <w:r w:rsidR="00284C77">
        <w:rPr>
          <w:sz w:val="18"/>
          <w:szCs w:val="18"/>
        </w:rPr>
        <w:t>December 2025 by the Governing Body of the International Treaty.</w:t>
      </w:r>
      <w:r w:rsidR="00DC1D18">
        <w:rPr>
          <w:sz w:val="18"/>
          <w:szCs w:val="18"/>
        </w:rPr>
        <w:t xml:space="preserve"> </w:t>
      </w:r>
    </w:p>
  </w:footnote>
  <w:footnote w:id="9">
    <w:p w14:paraId="39F7E2B3" w14:textId="11AB4018" w:rsidR="00F07520" w:rsidRPr="00020F91" w:rsidRDefault="00F07520">
      <w:pPr>
        <w:pStyle w:val="FootnoteText"/>
        <w:rPr>
          <w:lang w:val="en-US"/>
        </w:rPr>
      </w:pPr>
      <w:r>
        <w:rPr>
          <w:rStyle w:val="FootnoteReference"/>
        </w:rPr>
        <w:footnoteRef/>
      </w:r>
      <w:r>
        <w:t xml:space="preserve"> </w:t>
      </w:r>
      <w:r>
        <w:rPr>
          <w:lang w:val="en-US"/>
        </w:rPr>
        <w:t xml:space="preserve">See </w:t>
      </w:r>
      <w:bookmarkStart w:id="9" w:name="_Hlk240294728"/>
      <w:r w:rsidR="00B11E55">
        <w:rPr>
          <w:lang w:val="en-US"/>
        </w:rPr>
        <w:fldChar w:fldCharType="begin"/>
      </w:r>
      <w:r w:rsidR="00B11E55">
        <w:rPr>
          <w:lang w:val="en-US"/>
        </w:rPr>
        <w:instrText>HYPERLINK "http://www.who.int/initiatives/pandemic-influenza-preparedness-framework"</w:instrText>
      </w:r>
      <w:r w:rsidR="00B11E55">
        <w:rPr>
          <w:lang w:val="en-US"/>
        </w:rPr>
      </w:r>
      <w:r w:rsidR="00B11E55">
        <w:rPr>
          <w:lang w:val="en-US"/>
        </w:rPr>
        <w:fldChar w:fldCharType="separate"/>
      </w:r>
      <w:r w:rsidR="00B11E55" w:rsidRPr="00B11E55">
        <w:rPr>
          <w:rStyle w:val="Hyperlink"/>
          <w:lang w:val="en-US"/>
        </w:rPr>
        <w:t>www.who.int/initiatives/pandemic-influenza-preparedness-framework</w:t>
      </w:r>
      <w:bookmarkEnd w:id="9"/>
      <w:r w:rsidR="00B11E55">
        <w:rPr>
          <w:lang w:val="en-US"/>
        </w:rPr>
        <w:fldChar w:fldCharType="end"/>
      </w:r>
      <w:r w:rsidR="00B11E55">
        <w:rPr>
          <w:lang w:val="en-US"/>
        </w:rPr>
        <w:t>.</w:t>
      </w:r>
    </w:p>
  </w:footnote>
  <w:footnote w:id="10">
    <w:p w14:paraId="572EDC05" w14:textId="324F0610" w:rsidR="00BB682B" w:rsidRPr="00020F91" w:rsidRDefault="00BB682B" w:rsidP="00020F91">
      <w:pPr>
        <w:tabs>
          <w:tab w:val="clear" w:pos="567"/>
        </w:tabs>
        <w:jc w:val="left"/>
        <w:rPr>
          <w:sz w:val="18"/>
          <w:szCs w:val="18"/>
        </w:rPr>
      </w:pPr>
      <w:r w:rsidRPr="00020F91">
        <w:rPr>
          <w:rStyle w:val="FootnoteReference"/>
          <w:sz w:val="18"/>
          <w:szCs w:val="18"/>
        </w:rPr>
        <w:footnoteRef/>
      </w:r>
      <w:r w:rsidRPr="00020F91">
        <w:rPr>
          <w:sz w:val="18"/>
          <w:szCs w:val="18"/>
        </w:rPr>
        <w:t xml:space="preserve"> WHO</w:t>
      </w:r>
      <w:r w:rsidR="00D90B67">
        <w:rPr>
          <w:sz w:val="18"/>
          <w:szCs w:val="18"/>
        </w:rPr>
        <w:t>,</w:t>
      </w:r>
      <w:r w:rsidRPr="00020F91">
        <w:rPr>
          <w:sz w:val="18"/>
          <w:szCs w:val="18"/>
        </w:rPr>
        <w:t xml:space="preserve"> </w:t>
      </w:r>
      <w:r w:rsidR="00D90B67" w:rsidRPr="00284DA1">
        <w:rPr>
          <w:sz w:val="18"/>
          <w:szCs w:val="18"/>
        </w:rPr>
        <w:t>“</w:t>
      </w:r>
      <w:r w:rsidRPr="00020F91">
        <w:rPr>
          <w:sz w:val="18"/>
          <w:szCs w:val="18"/>
        </w:rPr>
        <w:t xml:space="preserve">PIP </w:t>
      </w:r>
      <w:r w:rsidR="00D90B67">
        <w:rPr>
          <w:sz w:val="18"/>
          <w:szCs w:val="18"/>
        </w:rPr>
        <w:t>p</w:t>
      </w:r>
      <w:r w:rsidRPr="00020F91">
        <w:rPr>
          <w:sz w:val="18"/>
          <w:szCs w:val="18"/>
        </w:rPr>
        <w:t xml:space="preserve">artnership </w:t>
      </w:r>
      <w:r w:rsidR="00D90B67">
        <w:rPr>
          <w:sz w:val="18"/>
          <w:szCs w:val="18"/>
        </w:rPr>
        <w:t>c</w:t>
      </w:r>
      <w:r w:rsidRPr="00020F91">
        <w:rPr>
          <w:sz w:val="18"/>
          <w:szCs w:val="18"/>
        </w:rPr>
        <w:t>ontributions (2012</w:t>
      </w:r>
      <w:r w:rsidR="00D90B67" w:rsidRPr="00D83473">
        <w:rPr>
          <w:sz w:val="18"/>
          <w:szCs w:val="18"/>
        </w:rPr>
        <w:t>–</w:t>
      </w:r>
      <w:r w:rsidRPr="00020F91">
        <w:rPr>
          <w:sz w:val="18"/>
          <w:szCs w:val="18"/>
        </w:rPr>
        <w:t>2025)</w:t>
      </w:r>
      <w:r w:rsidR="00D90B67" w:rsidRPr="00D83473">
        <w:rPr>
          <w:sz w:val="18"/>
          <w:szCs w:val="18"/>
        </w:rPr>
        <w:t>”</w:t>
      </w:r>
      <w:r w:rsidR="00D83473">
        <w:rPr>
          <w:sz w:val="18"/>
          <w:szCs w:val="18"/>
        </w:rPr>
        <w:t>.</w:t>
      </w:r>
      <w:r w:rsidRPr="00020F91">
        <w:rPr>
          <w:sz w:val="18"/>
          <w:szCs w:val="18"/>
        </w:rPr>
        <w:t xml:space="preserve"> </w:t>
      </w:r>
      <w:r w:rsidR="00EC0F9B">
        <w:rPr>
          <w:sz w:val="18"/>
          <w:szCs w:val="18"/>
        </w:rPr>
        <w:t xml:space="preserve">Available at </w:t>
      </w:r>
      <w:hyperlink r:id="rId3" w:history="1">
        <w:r w:rsidR="00EC0F9B" w:rsidRPr="00020F91">
          <w:rPr>
            <w:rStyle w:val="Hyperlink"/>
            <w:sz w:val="18"/>
            <w:szCs w:val="18"/>
          </w:rPr>
          <w:t>https://cdn.who.int/media/docs/default-source/pip-framework/partnership-contribution/pc-collection/pc-total-contributions.pdf?sfvrsn=ce1eb4d1_8</w:t>
        </w:r>
      </w:hyperlink>
      <w:r w:rsidR="00D83473">
        <w:rPr>
          <w:sz w:val="18"/>
          <w:szCs w:val="18"/>
        </w:rPr>
        <w:t xml:space="preserve"> (accessed in May 2026)</w:t>
      </w:r>
      <w:r w:rsidRPr="00020F91">
        <w:rPr>
          <w:sz w:val="18"/>
          <w:szCs w:val="18"/>
        </w:rPr>
        <w:t>.</w:t>
      </w:r>
    </w:p>
  </w:footnote>
  <w:footnote w:id="11">
    <w:p w14:paraId="25EED997" w14:textId="30B8FAEB" w:rsidR="00BB682B" w:rsidRPr="00BF53E6" w:rsidRDefault="00BB682B" w:rsidP="00020F91">
      <w:pPr>
        <w:tabs>
          <w:tab w:val="clear" w:pos="567"/>
        </w:tabs>
        <w:jc w:val="left"/>
        <w:rPr>
          <w:szCs w:val="18"/>
        </w:rPr>
      </w:pPr>
      <w:r w:rsidRPr="00020F91">
        <w:rPr>
          <w:rStyle w:val="FootnoteReference"/>
          <w:sz w:val="18"/>
          <w:szCs w:val="18"/>
        </w:rPr>
        <w:footnoteRef/>
      </w:r>
      <w:r w:rsidRPr="00020F91">
        <w:rPr>
          <w:sz w:val="18"/>
          <w:szCs w:val="18"/>
        </w:rPr>
        <w:t xml:space="preserve"> </w:t>
      </w:r>
      <w:r w:rsidR="00B94036">
        <w:rPr>
          <w:sz w:val="18"/>
          <w:szCs w:val="18"/>
        </w:rPr>
        <w:t xml:space="preserve">Michelle F. </w:t>
      </w:r>
      <w:r w:rsidRPr="00020F91">
        <w:rPr>
          <w:sz w:val="18"/>
          <w:szCs w:val="18"/>
        </w:rPr>
        <w:t>Rourke</w:t>
      </w:r>
      <w:r w:rsidR="00300384">
        <w:rPr>
          <w:sz w:val="18"/>
          <w:szCs w:val="18"/>
        </w:rPr>
        <w:t>,</w:t>
      </w:r>
      <w:r w:rsidRPr="00020F91">
        <w:rPr>
          <w:sz w:val="18"/>
          <w:szCs w:val="18"/>
        </w:rPr>
        <w:t xml:space="preserve"> </w:t>
      </w:r>
      <w:r w:rsidR="00B94036">
        <w:rPr>
          <w:sz w:val="18"/>
          <w:szCs w:val="18"/>
        </w:rPr>
        <w:t>“</w:t>
      </w:r>
      <w:r w:rsidRPr="00020F91">
        <w:rPr>
          <w:sz w:val="18"/>
          <w:szCs w:val="18"/>
        </w:rPr>
        <w:t xml:space="preserve">Access by </w:t>
      </w:r>
      <w:r w:rsidR="004A5B97">
        <w:rPr>
          <w:sz w:val="18"/>
          <w:szCs w:val="18"/>
        </w:rPr>
        <w:t>d</w:t>
      </w:r>
      <w:r w:rsidRPr="00020F91">
        <w:rPr>
          <w:sz w:val="18"/>
          <w:szCs w:val="18"/>
        </w:rPr>
        <w:t xml:space="preserve">esign, </w:t>
      </w:r>
      <w:r w:rsidR="004A5B97">
        <w:rPr>
          <w:sz w:val="18"/>
          <w:szCs w:val="18"/>
        </w:rPr>
        <w:t>b</w:t>
      </w:r>
      <w:r w:rsidRPr="00020F91">
        <w:rPr>
          <w:sz w:val="18"/>
          <w:szCs w:val="18"/>
        </w:rPr>
        <w:t xml:space="preserve">enefits </w:t>
      </w:r>
      <w:r w:rsidR="004A5B97">
        <w:rPr>
          <w:sz w:val="18"/>
          <w:szCs w:val="18"/>
        </w:rPr>
        <w:t>i</w:t>
      </w:r>
      <w:r w:rsidRPr="00020F91">
        <w:rPr>
          <w:sz w:val="18"/>
          <w:szCs w:val="18"/>
        </w:rPr>
        <w:t xml:space="preserve">f </w:t>
      </w:r>
      <w:r w:rsidR="004A5B97">
        <w:rPr>
          <w:sz w:val="18"/>
          <w:szCs w:val="18"/>
        </w:rPr>
        <w:t>c</w:t>
      </w:r>
      <w:r w:rsidRPr="00020F91">
        <w:rPr>
          <w:sz w:val="18"/>
          <w:szCs w:val="18"/>
        </w:rPr>
        <w:t xml:space="preserve">onvenient: </w:t>
      </w:r>
      <w:r w:rsidR="004A5B97">
        <w:rPr>
          <w:sz w:val="18"/>
          <w:szCs w:val="18"/>
        </w:rPr>
        <w:t>a</w:t>
      </w:r>
      <w:r w:rsidRPr="00020F91">
        <w:rPr>
          <w:sz w:val="18"/>
          <w:szCs w:val="18"/>
        </w:rPr>
        <w:t xml:space="preserve"> </w:t>
      </w:r>
      <w:r w:rsidR="004A5B97">
        <w:rPr>
          <w:sz w:val="18"/>
          <w:szCs w:val="18"/>
        </w:rPr>
        <w:t>c</w:t>
      </w:r>
      <w:r w:rsidRPr="00020F91">
        <w:rPr>
          <w:sz w:val="18"/>
          <w:szCs w:val="18"/>
        </w:rPr>
        <w:t xml:space="preserve">loser </w:t>
      </w:r>
      <w:r w:rsidR="004A5B97">
        <w:rPr>
          <w:sz w:val="18"/>
          <w:szCs w:val="18"/>
        </w:rPr>
        <w:t>l</w:t>
      </w:r>
      <w:r w:rsidRPr="00020F91">
        <w:rPr>
          <w:sz w:val="18"/>
          <w:szCs w:val="18"/>
        </w:rPr>
        <w:t>ook at the Pandemic Influenza Preparedness Framework’s Standard Material Transfer Agreements</w:t>
      </w:r>
      <w:r w:rsidR="004A5B97">
        <w:rPr>
          <w:sz w:val="18"/>
          <w:szCs w:val="18"/>
        </w:rPr>
        <w:t>”,</w:t>
      </w:r>
      <w:r w:rsidRPr="00020F91">
        <w:rPr>
          <w:sz w:val="18"/>
          <w:szCs w:val="18"/>
        </w:rPr>
        <w:t xml:space="preserve"> </w:t>
      </w:r>
      <w:r w:rsidRPr="00020F91">
        <w:rPr>
          <w:i/>
          <w:iCs/>
          <w:sz w:val="18"/>
          <w:szCs w:val="18"/>
        </w:rPr>
        <w:t>The Milbank Quarterly</w:t>
      </w:r>
      <w:r w:rsidR="00B320B3">
        <w:rPr>
          <w:sz w:val="18"/>
          <w:szCs w:val="18"/>
        </w:rPr>
        <w:t>, vol.</w:t>
      </w:r>
      <w:r w:rsidRPr="00020F91">
        <w:rPr>
          <w:sz w:val="18"/>
          <w:szCs w:val="18"/>
        </w:rPr>
        <w:t xml:space="preserve"> 97, </w:t>
      </w:r>
      <w:r w:rsidR="00B320B3">
        <w:rPr>
          <w:sz w:val="18"/>
          <w:szCs w:val="18"/>
        </w:rPr>
        <w:t>N</w:t>
      </w:r>
      <w:r w:rsidRPr="00020F91">
        <w:rPr>
          <w:sz w:val="18"/>
          <w:szCs w:val="18"/>
        </w:rPr>
        <w:t>o. 1 (</w:t>
      </w:r>
      <w:r w:rsidR="00B320B3">
        <w:rPr>
          <w:sz w:val="18"/>
          <w:szCs w:val="18"/>
        </w:rPr>
        <w:t xml:space="preserve">March </w:t>
      </w:r>
      <w:r w:rsidRPr="00020F91">
        <w:rPr>
          <w:sz w:val="18"/>
          <w:szCs w:val="18"/>
        </w:rPr>
        <w:t>2019)</w:t>
      </w:r>
      <w:r w:rsidR="00B320B3">
        <w:rPr>
          <w:sz w:val="18"/>
          <w:szCs w:val="18"/>
        </w:rPr>
        <w:t>,</w:t>
      </w:r>
      <w:r w:rsidRPr="00020F91">
        <w:rPr>
          <w:sz w:val="18"/>
          <w:szCs w:val="18"/>
        </w:rPr>
        <w:t xml:space="preserve"> </w:t>
      </w:r>
      <w:r w:rsidR="00B320B3">
        <w:rPr>
          <w:sz w:val="18"/>
          <w:szCs w:val="18"/>
        </w:rPr>
        <w:t xml:space="preserve">pp. </w:t>
      </w:r>
      <w:r w:rsidRPr="00020F91">
        <w:rPr>
          <w:sz w:val="18"/>
          <w:szCs w:val="18"/>
        </w:rPr>
        <w:t>91–112</w:t>
      </w:r>
      <w:r w:rsidR="00B320B3">
        <w:rPr>
          <w:sz w:val="18"/>
          <w:szCs w:val="18"/>
        </w:rPr>
        <w:t>; and</w:t>
      </w:r>
      <w:r w:rsidR="00BF53E6">
        <w:rPr>
          <w:sz w:val="18"/>
          <w:szCs w:val="18"/>
        </w:rPr>
        <w:t xml:space="preserve"> </w:t>
      </w:r>
      <w:r w:rsidR="00B320B3" w:rsidRPr="00BF53E6">
        <w:rPr>
          <w:sz w:val="18"/>
          <w:szCs w:val="18"/>
        </w:rPr>
        <w:t xml:space="preserve">Anne </w:t>
      </w:r>
      <w:r w:rsidRPr="00BF53E6">
        <w:rPr>
          <w:sz w:val="18"/>
          <w:szCs w:val="18"/>
        </w:rPr>
        <w:t>Huvos, Steven A. Solomon and Claudia Nannini</w:t>
      </w:r>
      <w:r w:rsidR="00B320B3" w:rsidRPr="00BF53E6">
        <w:rPr>
          <w:sz w:val="18"/>
          <w:szCs w:val="18"/>
        </w:rPr>
        <w:t>,</w:t>
      </w:r>
      <w:r w:rsidRPr="00BF53E6">
        <w:rPr>
          <w:sz w:val="18"/>
          <w:szCs w:val="18"/>
        </w:rPr>
        <w:t xml:space="preserve"> </w:t>
      </w:r>
      <w:r w:rsidR="00B320B3" w:rsidRPr="00BF53E6">
        <w:rPr>
          <w:sz w:val="18"/>
          <w:szCs w:val="18"/>
        </w:rPr>
        <w:t>“</w:t>
      </w:r>
      <w:r w:rsidRPr="00BF53E6">
        <w:rPr>
          <w:sz w:val="18"/>
          <w:szCs w:val="18"/>
        </w:rPr>
        <w:t xml:space="preserve">The Pandemic Influenza Preparedness Framework as an </w:t>
      </w:r>
      <w:r w:rsidR="000413EB" w:rsidRPr="00BF53E6">
        <w:rPr>
          <w:sz w:val="18"/>
          <w:szCs w:val="18"/>
        </w:rPr>
        <w:t>a</w:t>
      </w:r>
      <w:r w:rsidRPr="00BF53E6">
        <w:rPr>
          <w:sz w:val="18"/>
          <w:szCs w:val="18"/>
        </w:rPr>
        <w:t xml:space="preserve">ccess and </w:t>
      </w:r>
      <w:r w:rsidR="000413EB" w:rsidRPr="00BF53E6">
        <w:rPr>
          <w:sz w:val="18"/>
          <w:szCs w:val="18"/>
        </w:rPr>
        <w:t>b</w:t>
      </w:r>
      <w:r w:rsidRPr="00BF53E6">
        <w:rPr>
          <w:sz w:val="18"/>
          <w:szCs w:val="18"/>
        </w:rPr>
        <w:t xml:space="preserve">enefit </w:t>
      </w:r>
      <w:r w:rsidR="000413EB" w:rsidRPr="00BF53E6">
        <w:rPr>
          <w:sz w:val="18"/>
          <w:szCs w:val="18"/>
        </w:rPr>
        <w:t>s</w:t>
      </w:r>
      <w:r w:rsidRPr="00BF53E6">
        <w:rPr>
          <w:sz w:val="18"/>
          <w:szCs w:val="18"/>
        </w:rPr>
        <w:t xml:space="preserve">haring </w:t>
      </w:r>
      <w:r w:rsidR="000413EB" w:rsidRPr="00BF53E6">
        <w:rPr>
          <w:sz w:val="18"/>
          <w:szCs w:val="18"/>
        </w:rPr>
        <w:t>m</w:t>
      </w:r>
      <w:r w:rsidRPr="00BF53E6">
        <w:rPr>
          <w:sz w:val="18"/>
          <w:szCs w:val="18"/>
        </w:rPr>
        <w:t>echanism</w:t>
      </w:r>
      <w:r w:rsidR="00C9093D" w:rsidRPr="00BF53E6">
        <w:rPr>
          <w:sz w:val="18"/>
          <w:szCs w:val="18"/>
        </w:rPr>
        <w:t>”,</w:t>
      </w:r>
      <w:r w:rsidRPr="00BF53E6">
        <w:rPr>
          <w:sz w:val="18"/>
          <w:szCs w:val="18"/>
        </w:rPr>
        <w:t xml:space="preserve"> </w:t>
      </w:r>
      <w:r w:rsidR="00C9093D" w:rsidRPr="00BF53E6">
        <w:rPr>
          <w:sz w:val="18"/>
          <w:szCs w:val="18"/>
        </w:rPr>
        <w:t>i</w:t>
      </w:r>
      <w:r w:rsidRPr="00BF53E6">
        <w:rPr>
          <w:sz w:val="18"/>
          <w:szCs w:val="18"/>
        </w:rPr>
        <w:t xml:space="preserve">n </w:t>
      </w:r>
      <w:r w:rsidRPr="00FA4BF3">
        <w:rPr>
          <w:i/>
          <w:iCs/>
          <w:sz w:val="18"/>
          <w:szCs w:val="18"/>
        </w:rPr>
        <w:t>Viral Sovereignty and Technology Transfer: The Changing Global System for Sharing Pathogens for Public Health Research</w:t>
      </w:r>
      <w:r w:rsidRPr="00BF53E6">
        <w:rPr>
          <w:sz w:val="18"/>
          <w:szCs w:val="18"/>
        </w:rPr>
        <w:t>, Rebecca Katz and Sam F. Halabi</w:t>
      </w:r>
      <w:r w:rsidR="002A0B73" w:rsidRPr="00BF53E6">
        <w:rPr>
          <w:sz w:val="18"/>
          <w:szCs w:val="18"/>
        </w:rPr>
        <w:t>, eds</w:t>
      </w:r>
      <w:r w:rsidRPr="00BF53E6">
        <w:rPr>
          <w:sz w:val="18"/>
          <w:szCs w:val="18"/>
        </w:rPr>
        <w:t xml:space="preserve">. </w:t>
      </w:r>
      <w:r w:rsidR="002A0B73" w:rsidRPr="00BF53E6">
        <w:rPr>
          <w:sz w:val="18"/>
          <w:szCs w:val="18"/>
        </w:rPr>
        <w:t>(</w:t>
      </w:r>
      <w:r w:rsidRPr="00BF53E6">
        <w:rPr>
          <w:sz w:val="18"/>
          <w:szCs w:val="18"/>
        </w:rPr>
        <w:t>Cambridge University Press, 2020</w:t>
      </w:r>
      <w:r w:rsidR="002A0B73" w:rsidRPr="00BF53E6">
        <w:rPr>
          <w:sz w:val="18"/>
          <w:szCs w:val="18"/>
        </w:rPr>
        <w:t>)</w:t>
      </w:r>
      <w:r w:rsidR="00300384" w:rsidRPr="00BF53E6">
        <w:rPr>
          <w:sz w:val="18"/>
          <w:szCs w:val="18"/>
        </w:rPr>
        <w:t>, pp. 193–204.</w:t>
      </w:r>
    </w:p>
  </w:footnote>
  <w:footnote w:id="12">
    <w:p w14:paraId="2AA0419A" w14:textId="0C831DA7" w:rsidR="007A37E1" w:rsidRPr="00020F91" w:rsidRDefault="007A37E1">
      <w:pPr>
        <w:pStyle w:val="FootnoteText"/>
        <w:rPr>
          <w:lang w:val="en-US"/>
        </w:rPr>
      </w:pPr>
      <w:r>
        <w:rPr>
          <w:rStyle w:val="FootnoteReference"/>
        </w:rPr>
        <w:footnoteRef/>
      </w:r>
      <w:r>
        <w:t xml:space="preserve"> </w:t>
      </w:r>
      <w:r>
        <w:rPr>
          <w:lang w:val="en-US"/>
        </w:rPr>
        <w:t xml:space="preserve">See </w:t>
      </w:r>
      <w:bookmarkStart w:id="10" w:name="_Hlk240355101"/>
      <w:r>
        <w:rPr>
          <w:lang w:val="en-US"/>
        </w:rPr>
        <w:fldChar w:fldCharType="begin"/>
      </w:r>
      <w:r>
        <w:rPr>
          <w:lang w:val="en-US"/>
        </w:rPr>
        <w:instrText>HYPERLINK "http://www.who.int/health-topics/who-pandemic-agreement" \l "tab=tab_1"</w:instrText>
      </w:r>
      <w:r>
        <w:rPr>
          <w:lang w:val="en-US"/>
        </w:rPr>
      </w:r>
      <w:r>
        <w:rPr>
          <w:lang w:val="en-US"/>
        </w:rPr>
        <w:fldChar w:fldCharType="separate"/>
      </w:r>
      <w:r w:rsidRPr="007A37E1">
        <w:rPr>
          <w:rStyle w:val="Hyperlink"/>
          <w:lang w:val="en-US"/>
        </w:rPr>
        <w:t>www.who.int/health-topics/who-pandemic-agreement#tab=tab_1</w:t>
      </w:r>
      <w:bookmarkEnd w:id="10"/>
      <w:r>
        <w:rPr>
          <w:lang w:val="en-US"/>
        </w:rPr>
        <w:fldChar w:fldCharType="end"/>
      </w:r>
      <w:r w:rsidR="004A790A">
        <w:rPr>
          <w:lang w:val="en-US"/>
        </w:rPr>
        <w:t>.</w:t>
      </w:r>
    </w:p>
  </w:footnote>
  <w:footnote w:id="13">
    <w:p w14:paraId="571E4115" w14:textId="73ABF9A2" w:rsidR="00BB682B" w:rsidRPr="00827DA6" w:rsidRDefault="00BB682B" w:rsidP="00020F91">
      <w:pPr>
        <w:pStyle w:val="FootnoteText"/>
        <w:tabs>
          <w:tab w:val="clear" w:pos="567"/>
        </w:tabs>
        <w:rPr>
          <w:szCs w:val="18"/>
        </w:rPr>
      </w:pPr>
      <w:r w:rsidRPr="00827DA6">
        <w:rPr>
          <w:rStyle w:val="FootnoteReference"/>
          <w:szCs w:val="18"/>
        </w:rPr>
        <w:footnoteRef/>
      </w:r>
      <w:r w:rsidRPr="00827DA6">
        <w:rPr>
          <w:szCs w:val="18"/>
        </w:rPr>
        <w:t xml:space="preserve"> See </w:t>
      </w:r>
      <w:r w:rsidR="00ED0008">
        <w:rPr>
          <w:szCs w:val="18"/>
        </w:rPr>
        <w:t>the a</w:t>
      </w:r>
      <w:r w:rsidRPr="00827DA6">
        <w:rPr>
          <w:szCs w:val="18"/>
        </w:rPr>
        <w:t>nnex to the WHO Pandemic Agreement</w:t>
      </w:r>
      <w:r w:rsidR="00ED0008">
        <w:rPr>
          <w:szCs w:val="18"/>
        </w:rPr>
        <w:t>.</w:t>
      </w:r>
    </w:p>
  </w:footnote>
  <w:footnote w:id="14">
    <w:p w14:paraId="7684FC52" w14:textId="24016232" w:rsidR="009A275E" w:rsidRPr="00020F91" w:rsidRDefault="009A275E">
      <w:pPr>
        <w:pStyle w:val="FootnoteText"/>
        <w:rPr>
          <w:lang w:val="en-US"/>
        </w:rPr>
      </w:pPr>
      <w:r>
        <w:rPr>
          <w:rStyle w:val="FootnoteReference"/>
        </w:rPr>
        <w:footnoteRef/>
      </w:r>
      <w:r>
        <w:t xml:space="preserve"> </w:t>
      </w:r>
      <w:r w:rsidRPr="009A275E">
        <w:t>A/CONF.232/2023/4</w:t>
      </w:r>
      <w:r>
        <w:t>.</w:t>
      </w:r>
    </w:p>
  </w:footnote>
  <w:footnote w:id="15">
    <w:p w14:paraId="145C7D2F" w14:textId="724C6938" w:rsidR="00DA1B50" w:rsidRPr="00020F91" w:rsidRDefault="00DA1B50">
      <w:pPr>
        <w:pStyle w:val="FootnoteText"/>
        <w:rPr>
          <w:lang w:val="en-US"/>
        </w:rPr>
      </w:pPr>
      <w:r>
        <w:rPr>
          <w:rStyle w:val="FootnoteReference"/>
        </w:rPr>
        <w:footnoteRef/>
      </w:r>
      <w:r>
        <w:t xml:space="preserve"> </w:t>
      </w:r>
      <w:r>
        <w:rPr>
          <w:lang w:val="en-US"/>
        </w:rPr>
        <w:t xml:space="preserve">See </w:t>
      </w:r>
      <w:hyperlink r:id="rId4" w:history="1">
        <w:r w:rsidRPr="00DA1B50">
          <w:rPr>
            <w:rStyle w:val="Hyperlink"/>
            <w:lang w:val="en-US"/>
          </w:rPr>
          <w:t>https://isa.org.jm/equitable-sharing-of-benefits/</w:t>
        </w:r>
      </w:hyperlink>
      <w:r>
        <w:rPr>
          <w:lang w:val="en-US"/>
        </w:rPr>
        <w:t>.</w:t>
      </w:r>
    </w:p>
  </w:footnote>
  <w:footnote w:id="16">
    <w:p w14:paraId="3EB3AA8E" w14:textId="5B16ED46" w:rsidR="00BB682B" w:rsidRPr="00827DA6" w:rsidRDefault="00BB682B" w:rsidP="00020F91">
      <w:pPr>
        <w:tabs>
          <w:tab w:val="clear" w:pos="567"/>
        </w:tabs>
        <w:jc w:val="left"/>
      </w:pPr>
      <w:r w:rsidRPr="00020F91">
        <w:rPr>
          <w:rStyle w:val="FootnoteReference"/>
          <w:sz w:val="18"/>
          <w:szCs w:val="18"/>
        </w:rPr>
        <w:footnoteRef/>
      </w:r>
      <w:r w:rsidRPr="00020F91">
        <w:rPr>
          <w:sz w:val="18"/>
          <w:szCs w:val="18"/>
        </w:rPr>
        <w:t xml:space="preserve"> Randolph</w:t>
      </w:r>
      <w:r w:rsidR="00D578F6">
        <w:rPr>
          <w:sz w:val="18"/>
          <w:szCs w:val="18"/>
        </w:rPr>
        <w:t xml:space="preserve"> </w:t>
      </w:r>
      <w:proofErr w:type="spellStart"/>
      <w:r w:rsidR="00D578F6" w:rsidRPr="00991D08">
        <w:rPr>
          <w:sz w:val="18"/>
          <w:szCs w:val="18"/>
        </w:rPr>
        <w:t>Kirchain</w:t>
      </w:r>
      <w:proofErr w:type="spellEnd"/>
      <w:r w:rsidR="00D578F6" w:rsidRPr="00991D08">
        <w:rPr>
          <w:sz w:val="18"/>
          <w:szCs w:val="18"/>
        </w:rPr>
        <w:t xml:space="preserve"> </w:t>
      </w:r>
      <w:r w:rsidR="00D578F6">
        <w:rPr>
          <w:sz w:val="18"/>
          <w:szCs w:val="18"/>
        </w:rPr>
        <w:t xml:space="preserve">and others, </w:t>
      </w:r>
      <w:r w:rsidRPr="00020F91">
        <w:rPr>
          <w:i/>
          <w:iCs/>
          <w:sz w:val="18"/>
          <w:szCs w:val="18"/>
        </w:rPr>
        <w:t>Report to the International Seabed Authority on the Development of an Economic Model and System of Payments for the Exploitation of Polymetallic Nodules in the Area</w:t>
      </w:r>
      <w:r w:rsidR="00BD16AF">
        <w:rPr>
          <w:sz w:val="18"/>
          <w:szCs w:val="18"/>
        </w:rPr>
        <w:t>,</w:t>
      </w:r>
      <w:r w:rsidRPr="00020F91">
        <w:rPr>
          <w:sz w:val="18"/>
          <w:szCs w:val="18"/>
        </w:rPr>
        <w:t xml:space="preserve"> </w:t>
      </w:r>
      <w:r w:rsidR="00081A8F" w:rsidRPr="00081A8F">
        <w:rPr>
          <w:sz w:val="18"/>
          <w:szCs w:val="18"/>
        </w:rPr>
        <w:t>Massachusetts Institute of Technology</w:t>
      </w:r>
      <w:r w:rsidR="00081A8F">
        <w:rPr>
          <w:sz w:val="18"/>
          <w:szCs w:val="18"/>
        </w:rPr>
        <w:t>,</w:t>
      </w:r>
      <w:r w:rsidRPr="00020F91">
        <w:rPr>
          <w:sz w:val="18"/>
          <w:szCs w:val="18"/>
        </w:rPr>
        <w:t xml:space="preserve"> Materials Systems Laboratory, 2019. </w:t>
      </w:r>
    </w:p>
  </w:footnote>
  <w:footnote w:id="17">
    <w:p w14:paraId="3C9CC28A" w14:textId="5EACE216" w:rsidR="00BB682B" w:rsidRPr="00020F91" w:rsidRDefault="00BB682B" w:rsidP="00020F91">
      <w:pPr>
        <w:tabs>
          <w:tab w:val="clear" w:pos="567"/>
        </w:tabs>
        <w:jc w:val="left"/>
        <w:rPr>
          <w:sz w:val="18"/>
          <w:szCs w:val="18"/>
        </w:rPr>
      </w:pPr>
      <w:r w:rsidRPr="00020F91">
        <w:rPr>
          <w:rStyle w:val="FootnoteReference"/>
          <w:sz w:val="18"/>
          <w:szCs w:val="18"/>
        </w:rPr>
        <w:footnoteRef/>
      </w:r>
      <w:r w:rsidRPr="00020F91">
        <w:rPr>
          <w:sz w:val="18"/>
          <w:szCs w:val="18"/>
        </w:rPr>
        <w:t xml:space="preserve"> </w:t>
      </w:r>
      <w:r w:rsidR="00573759" w:rsidRPr="00991D08">
        <w:rPr>
          <w:sz w:val="18"/>
          <w:szCs w:val="18"/>
        </w:rPr>
        <w:t>Kris Van</w:t>
      </w:r>
      <w:r w:rsidR="00573759">
        <w:rPr>
          <w:sz w:val="18"/>
          <w:szCs w:val="18"/>
        </w:rPr>
        <w:t xml:space="preserve"> </w:t>
      </w:r>
      <w:proofErr w:type="spellStart"/>
      <w:r w:rsidRPr="00020F91">
        <w:rPr>
          <w:sz w:val="18"/>
          <w:szCs w:val="18"/>
        </w:rPr>
        <w:t>Nijen</w:t>
      </w:r>
      <w:proofErr w:type="spellEnd"/>
      <w:r w:rsidR="00573759">
        <w:rPr>
          <w:sz w:val="18"/>
          <w:szCs w:val="18"/>
        </w:rPr>
        <w:t xml:space="preserve"> and others, “</w:t>
      </w:r>
      <w:r w:rsidRPr="00020F91">
        <w:rPr>
          <w:sz w:val="18"/>
          <w:szCs w:val="18"/>
        </w:rPr>
        <w:t xml:space="preserve">The </w:t>
      </w:r>
      <w:r w:rsidR="00573759">
        <w:rPr>
          <w:sz w:val="18"/>
          <w:szCs w:val="18"/>
        </w:rPr>
        <w:t>d</w:t>
      </w:r>
      <w:r w:rsidRPr="00020F91">
        <w:rPr>
          <w:sz w:val="18"/>
          <w:szCs w:val="18"/>
        </w:rPr>
        <w:t xml:space="preserve">evelopment of a </w:t>
      </w:r>
      <w:r w:rsidR="00573759">
        <w:rPr>
          <w:sz w:val="18"/>
          <w:szCs w:val="18"/>
        </w:rPr>
        <w:t>p</w:t>
      </w:r>
      <w:r w:rsidRPr="00020F91">
        <w:rPr>
          <w:sz w:val="18"/>
          <w:szCs w:val="18"/>
        </w:rPr>
        <w:t xml:space="preserve">ayment </w:t>
      </w:r>
      <w:r w:rsidR="00573759">
        <w:rPr>
          <w:sz w:val="18"/>
          <w:szCs w:val="18"/>
        </w:rPr>
        <w:t>r</w:t>
      </w:r>
      <w:r w:rsidRPr="00020F91">
        <w:rPr>
          <w:sz w:val="18"/>
          <w:szCs w:val="18"/>
        </w:rPr>
        <w:t xml:space="preserve">egime for </w:t>
      </w:r>
      <w:r w:rsidR="00573759">
        <w:rPr>
          <w:sz w:val="18"/>
          <w:szCs w:val="18"/>
        </w:rPr>
        <w:t>d</w:t>
      </w:r>
      <w:r w:rsidRPr="00020F91">
        <w:rPr>
          <w:sz w:val="18"/>
          <w:szCs w:val="18"/>
        </w:rPr>
        <w:t xml:space="preserve">eep </w:t>
      </w:r>
      <w:r w:rsidR="00573759">
        <w:rPr>
          <w:sz w:val="18"/>
          <w:szCs w:val="18"/>
        </w:rPr>
        <w:t>s</w:t>
      </w:r>
      <w:r w:rsidRPr="00020F91">
        <w:rPr>
          <w:sz w:val="18"/>
          <w:szCs w:val="18"/>
        </w:rPr>
        <w:t xml:space="preserve">ea </w:t>
      </w:r>
      <w:r w:rsidR="00573759">
        <w:rPr>
          <w:sz w:val="18"/>
          <w:szCs w:val="18"/>
        </w:rPr>
        <w:t>m</w:t>
      </w:r>
      <w:r w:rsidRPr="00020F91">
        <w:rPr>
          <w:sz w:val="18"/>
          <w:szCs w:val="18"/>
        </w:rPr>
        <w:t xml:space="preserve">ining </w:t>
      </w:r>
      <w:r w:rsidR="00573759">
        <w:rPr>
          <w:sz w:val="18"/>
          <w:szCs w:val="18"/>
        </w:rPr>
        <w:t>a</w:t>
      </w:r>
      <w:r w:rsidRPr="00020F91">
        <w:rPr>
          <w:sz w:val="18"/>
          <w:szCs w:val="18"/>
        </w:rPr>
        <w:t xml:space="preserve">ctivities in the Area through </w:t>
      </w:r>
      <w:r w:rsidR="00573759">
        <w:rPr>
          <w:sz w:val="18"/>
          <w:szCs w:val="18"/>
        </w:rPr>
        <w:t>s</w:t>
      </w:r>
      <w:r w:rsidRPr="00020F91">
        <w:rPr>
          <w:sz w:val="18"/>
          <w:szCs w:val="18"/>
        </w:rPr>
        <w:t xml:space="preserve">takeholder </w:t>
      </w:r>
      <w:r w:rsidR="00573759">
        <w:rPr>
          <w:sz w:val="18"/>
          <w:szCs w:val="18"/>
        </w:rPr>
        <w:t>p</w:t>
      </w:r>
      <w:r w:rsidRPr="00020F91">
        <w:rPr>
          <w:sz w:val="18"/>
          <w:szCs w:val="18"/>
        </w:rPr>
        <w:t>articipation</w:t>
      </w:r>
      <w:r w:rsidR="00573759">
        <w:rPr>
          <w:sz w:val="18"/>
          <w:szCs w:val="18"/>
        </w:rPr>
        <w:t>”</w:t>
      </w:r>
      <w:r w:rsidR="00CF4D0A">
        <w:rPr>
          <w:sz w:val="18"/>
          <w:szCs w:val="18"/>
        </w:rPr>
        <w:t>,</w:t>
      </w:r>
      <w:r w:rsidRPr="00020F91">
        <w:rPr>
          <w:sz w:val="18"/>
          <w:szCs w:val="18"/>
        </w:rPr>
        <w:t xml:space="preserve"> </w:t>
      </w:r>
      <w:r w:rsidRPr="00020F91">
        <w:rPr>
          <w:i/>
          <w:iCs/>
          <w:sz w:val="18"/>
          <w:szCs w:val="18"/>
        </w:rPr>
        <w:t>The International Journal of Marine and Coastal Law</w:t>
      </w:r>
      <w:r w:rsidR="005F545D">
        <w:rPr>
          <w:sz w:val="18"/>
          <w:szCs w:val="18"/>
        </w:rPr>
        <w:t>, vol.</w:t>
      </w:r>
      <w:r w:rsidRPr="00020F91">
        <w:rPr>
          <w:sz w:val="18"/>
          <w:szCs w:val="18"/>
        </w:rPr>
        <w:t xml:space="preserve"> 34, </w:t>
      </w:r>
      <w:r w:rsidR="00492858">
        <w:rPr>
          <w:sz w:val="18"/>
          <w:szCs w:val="18"/>
        </w:rPr>
        <w:t>N</w:t>
      </w:r>
      <w:r w:rsidRPr="00020F91">
        <w:rPr>
          <w:sz w:val="18"/>
          <w:szCs w:val="18"/>
        </w:rPr>
        <w:t>o. 4 (2019)</w:t>
      </w:r>
      <w:r w:rsidR="00492858">
        <w:rPr>
          <w:sz w:val="18"/>
          <w:szCs w:val="18"/>
        </w:rPr>
        <w:t>,</w:t>
      </w:r>
      <w:r w:rsidRPr="00020F91">
        <w:rPr>
          <w:sz w:val="18"/>
          <w:szCs w:val="18"/>
        </w:rPr>
        <w:t xml:space="preserve"> </w:t>
      </w:r>
      <w:r w:rsidR="00492858">
        <w:rPr>
          <w:sz w:val="18"/>
          <w:szCs w:val="18"/>
        </w:rPr>
        <w:t xml:space="preserve">pp. </w:t>
      </w:r>
      <w:r w:rsidRPr="00020F91">
        <w:rPr>
          <w:sz w:val="18"/>
          <w:szCs w:val="18"/>
        </w:rPr>
        <w:t>571–601</w:t>
      </w:r>
      <w:r w:rsidR="004D03B7">
        <w:rPr>
          <w:sz w:val="18"/>
          <w:szCs w:val="18"/>
        </w:rPr>
        <w:t>; and</w:t>
      </w:r>
      <w:r w:rsidRPr="00020F91">
        <w:rPr>
          <w:sz w:val="18"/>
          <w:szCs w:val="18"/>
        </w:rPr>
        <w:t xml:space="preserve"> </w:t>
      </w:r>
      <w:r w:rsidR="00F93128" w:rsidRPr="00991D08">
        <w:rPr>
          <w:sz w:val="18"/>
          <w:szCs w:val="18"/>
        </w:rPr>
        <w:t>Torsten</w:t>
      </w:r>
      <w:r w:rsidR="00F93128">
        <w:rPr>
          <w:sz w:val="18"/>
          <w:szCs w:val="18"/>
        </w:rPr>
        <w:t xml:space="preserve"> </w:t>
      </w:r>
      <w:r w:rsidRPr="00020F91">
        <w:rPr>
          <w:sz w:val="18"/>
          <w:szCs w:val="18"/>
        </w:rPr>
        <w:t>Thiele, H. P. Damian and Pradeep Singh</w:t>
      </w:r>
      <w:r w:rsidR="00562FD3">
        <w:rPr>
          <w:sz w:val="18"/>
          <w:szCs w:val="18"/>
        </w:rPr>
        <w:t>,</w:t>
      </w:r>
      <w:r w:rsidRPr="00020F91">
        <w:rPr>
          <w:sz w:val="18"/>
          <w:szCs w:val="18"/>
        </w:rPr>
        <w:t xml:space="preserve"> </w:t>
      </w:r>
      <w:r w:rsidR="00562FD3">
        <w:rPr>
          <w:sz w:val="18"/>
          <w:szCs w:val="18"/>
        </w:rPr>
        <w:t>“</w:t>
      </w:r>
      <w:r w:rsidRPr="00020F91">
        <w:rPr>
          <w:sz w:val="18"/>
          <w:szCs w:val="18"/>
        </w:rPr>
        <w:t xml:space="preserve">A </w:t>
      </w:r>
      <w:r w:rsidR="00562FD3">
        <w:rPr>
          <w:sz w:val="18"/>
          <w:szCs w:val="18"/>
        </w:rPr>
        <w:t>c</w:t>
      </w:r>
      <w:r w:rsidRPr="00020F91">
        <w:rPr>
          <w:sz w:val="18"/>
          <w:szCs w:val="18"/>
        </w:rPr>
        <w:t xml:space="preserve">omprehensive </w:t>
      </w:r>
      <w:r w:rsidR="00562FD3">
        <w:rPr>
          <w:sz w:val="18"/>
          <w:szCs w:val="18"/>
        </w:rPr>
        <w:t>a</w:t>
      </w:r>
      <w:r w:rsidRPr="00020F91">
        <w:rPr>
          <w:sz w:val="18"/>
          <w:szCs w:val="18"/>
        </w:rPr>
        <w:t xml:space="preserve">pproach to the </w:t>
      </w:r>
      <w:r w:rsidR="00562FD3">
        <w:rPr>
          <w:sz w:val="18"/>
          <w:szCs w:val="18"/>
        </w:rPr>
        <w:t>p</w:t>
      </w:r>
      <w:r w:rsidRPr="00020F91">
        <w:rPr>
          <w:sz w:val="18"/>
          <w:szCs w:val="18"/>
        </w:rPr>
        <w:t xml:space="preserve">ayment </w:t>
      </w:r>
      <w:r w:rsidR="00562FD3">
        <w:rPr>
          <w:sz w:val="18"/>
          <w:szCs w:val="18"/>
        </w:rPr>
        <w:t>m</w:t>
      </w:r>
      <w:r w:rsidRPr="00020F91">
        <w:rPr>
          <w:sz w:val="18"/>
          <w:szCs w:val="18"/>
        </w:rPr>
        <w:t xml:space="preserve">echanism for </w:t>
      </w:r>
      <w:r w:rsidR="00562FD3">
        <w:rPr>
          <w:sz w:val="18"/>
          <w:szCs w:val="18"/>
        </w:rPr>
        <w:t>d</w:t>
      </w:r>
      <w:r w:rsidRPr="00020F91">
        <w:rPr>
          <w:sz w:val="18"/>
          <w:szCs w:val="18"/>
        </w:rPr>
        <w:t xml:space="preserve">eep </w:t>
      </w:r>
      <w:r w:rsidR="00562FD3">
        <w:rPr>
          <w:sz w:val="18"/>
          <w:szCs w:val="18"/>
        </w:rPr>
        <w:t>s</w:t>
      </w:r>
      <w:r w:rsidRPr="00020F91">
        <w:rPr>
          <w:sz w:val="18"/>
          <w:szCs w:val="18"/>
        </w:rPr>
        <w:t xml:space="preserve">eabed </w:t>
      </w:r>
      <w:r w:rsidR="00562FD3">
        <w:rPr>
          <w:sz w:val="18"/>
          <w:szCs w:val="18"/>
        </w:rPr>
        <w:t>m</w:t>
      </w:r>
      <w:r w:rsidRPr="00020F91">
        <w:rPr>
          <w:sz w:val="18"/>
          <w:szCs w:val="18"/>
        </w:rPr>
        <w:t>ining</w:t>
      </w:r>
      <w:r w:rsidR="00562FD3">
        <w:rPr>
          <w:sz w:val="18"/>
          <w:szCs w:val="18"/>
        </w:rPr>
        <w:t>”,</w:t>
      </w:r>
      <w:r w:rsidR="00FE6C3B">
        <w:rPr>
          <w:sz w:val="18"/>
          <w:szCs w:val="18"/>
        </w:rPr>
        <w:t xml:space="preserve"> </w:t>
      </w:r>
      <w:r w:rsidR="00FE6C3B" w:rsidRPr="00FE6C3B">
        <w:rPr>
          <w:sz w:val="18"/>
          <w:szCs w:val="18"/>
        </w:rPr>
        <w:t>Institute for Advanced Sustainability Studies</w:t>
      </w:r>
      <w:r w:rsidR="00FE6C3B">
        <w:rPr>
          <w:sz w:val="18"/>
          <w:szCs w:val="18"/>
        </w:rPr>
        <w:t xml:space="preserve">, Policy Brief No. 1/2021, </w:t>
      </w:r>
      <w:r w:rsidRPr="00020F91">
        <w:rPr>
          <w:sz w:val="18"/>
          <w:szCs w:val="18"/>
        </w:rPr>
        <w:t xml:space="preserve">January 2021. </w:t>
      </w:r>
    </w:p>
  </w:footnote>
  <w:footnote w:id="18">
    <w:p w14:paraId="64DFF010" w14:textId="6E994311" w:rsidR="00BB682B" w:rsidRPr="00827DA6" w:rsidRDefault="00BB682B" w:rsidP="00C95B07">
      <w:pPr>
        <w:pStyle w:val="FootnoteText"/>
      </w:pPr>
      <w:r w:rsidRPr="00827DA6">
        <w:rPr>
          <w:rStyle w:val="FootnoteReference"/>
          <w:szCs w:val="18"/>
        </w:rPr>
        <w:footnoteRef/>
      </w:r>
      <w:r w:rsidRPr="00827DA6">
        <w:rPr>
          <w:szCs w:val="18"/>
        </w:rPr>
        <w:t xml:space="preserve"> </w:t>
      </w:r>
      <w:r w:rsidR="00A17A52">
        <w:rPr>
          <w:szCs w:val="18"/>
        </w:rPr>
        <w:t>In</w:t>
      </w:r>
      <w:r w:rsidR="00D44C96">
        <w:rPr>
          <w:szCs w:val="18"/>
        </w:rPr>
        <w:t xml:space="preserve"> paragraph 16 of the annex to</w:t>
      </w:r>
      <w:r w:rsidR="00A17A52">
        <w:rPr>
          <w:szCs w:val="18"/>
        </w:rPr>
        <w:t xml:space="preserve"> d</w:t>
      </w:r>
      <w:r w:rsidRPr="00827DA6">
        <w:rPr>
          <w:szCs w:val="18"/>
        </w:rPr>
        <w:t xml:space="preserve">ecision </w:t>
      </w:r>
      <w:hyperlink r:id="rId5" w:history="1">
        <w:r w:rsidRPr="005D3B19">
          <w:rPr>
            <w:rStyle w:val="Hyperlink"/>
            <w:szCs w:val="18"/>
          </w:rPr>
          <w:t>16/2</w:t>
        </w:r>
      </w:hyperlink>
      <w:r w:rsidR="00A17A52">
        <w:rPr>
          <w:szCs w:val="18"/>
        </w:rPr>
        <w:t>, the Conference of the Parties</w:t>
      </w:r>
      <w:r w:rsidRPr="00827DA6">
        <w:rPr>
          <w:szCs w:val="18"/>
        </w:rPr>
        <w:t xml:space="preserve"> also encourages contributions </w:t>
      </w:r>
      <w:r w:rsidR="00FA1ACE">
        <w:rPr>
          <w:szCs w:val="18"/>
        </w:rPr>
        <w:t xml:space="preserve">additional to those provided by </w:t>
      </w:r>
      <w:r w:rsidRPr="00827DA6">
        <w:rPr>
          <w:szCs w:val="18"/>
        </w:rPr>
        <w:t xml:space="preserve">commercial users </w:t>
      </w:r>
      <w:r w:rsidR="00064D0F">
        <w:rPr>
          <w:szCs w:val="18"/>
        </w:rPr>
        <w:t>of digital sequence information</w:t>
      </w:r>
      <w:r w:rsidR="00B817A9">
        <w:rPr>
          <w:szCs w:val="18"/>
        </w:rPr>
        <w:t xml:space="preserve"> identified in</w:t>
      </w:r>
      <w:r w:rsidRPr="00827DA6">
        <w:rPr>
          <w:szCs w:val="18"/>
        </w:rPr>
        <w:t xml:space="preserve"> paragraph 3</w:t>
      </w:r>
      <w:r w:rsidR="00EF6E01">
        <w:rPr>
          <w:szCs w:val="18"/>
        </w:rPr>
        <w:t xml:space="preserve"> </w:t>
      </w:r>
      <w:r w:rsidR="00B817A9">
        <w:rPr>
          <w:szCs w:val="18"/>
        </w:rPr>
        <w:t>of the annex</w:t>
      </w:r>
      <w:r w:rsidRPr="00827DA6">
        <w:rPr>
          <w:szCs w:val="18"/>
        </w:rPr>
        <w:t xml:space="preserve">, </w:t>
      </w:r>
      <w:r w:rsidR="00EF6E01">
        <w:rPr>
          <w:szCs w:val="18"/>
        </w:rPr>
        <w:t xml:space="preserve">which could </w:t>
      </w:r>
      <w:r w:rsidRPr="00827DA6">
        <w:rPr>
          <w:szCs w:val="18"/>
        </w:rPr>
        <w:t>includ</w:t>
      </w:r>
      <w:r w:rsidR="00EF6E01">
        <w:rPr>
          <w:szCs w:val="18"/>
        </w:rPr>
        <w:t>e</w:t>
      </w:r>
      <w:r w:rsidRPr="00827DA6">
        <w:rPr>
          <w:szCs w:val="18"/>
        </w:rPr>
        <w:t xml:space="preserve"> potential public sector </w:t>
      </w:r>
      <w:r w:rsidR="00EF6E01" w:rsidRPr="00827DA6">
        <w:rPr>
          <w:szCs w:val="18"/>
        </w:rPr>
        <w:t>contribut</w:t>
      </w:r>
      <w:r w:rsidR="00EF6E01">
        <w:rPr>
          <w:szCs w:val="18"/>
        </w:rPr>
        <w:t xml:space="preserve">ions, </w:t>
      </w:r>
      <w:r w:rsidR="009D6D78">
        <w:rPr>
          <w:szCs w:val="18"/>
        </w:rPr>
        <w:t>al</w:t>
      </w:r>
      <w:r w:rsidRPr="00827DA6">
        <w:rPr>
          <w:szCs w:val="18"/>
        </w:rPr>
        <w:t>though no such commitments ha</w:t>
      </w:r>
      <w:r w:rsidR="00EF6E01">
        <w:rPr>
          <w:szCs w:val="18"/>
        </w:rPr>
        <w:t>d</w:t>
      </w:r>
      <w:r w:rsidRPr="00827DA6">
        <w:rPr>
          <w:szCs w:val="18"/>
        </w:rPr>
        <w:t xml:space="preserve"> been made at the time of writing</w:t>
      </w:r>
      <w:r w:rsidR="00EF6E01">
        <w:rPr>
          <w:szCs w:val="18"/>
        </w:rPr>
        <w:t xml:space="preserve"> the </w:t>
      </w:r>
      <w:r w:rsidR="001C40BF">
        <w:rPr>
          <w:szCs w:val="18"/>
        </w:rPr>
        <w:t xml:space="preserve">full </w:t>
      </w:r>
      <w:r w:rsidR="00636ED4">
        <w:rPr>
          <w:szCs w:val="18"/>
        </w:rPr>
        <w:t>report</w:t>
      </w:r>
      <w:r w:rsidRPr="00827DA6">
        <w:rPr>
          <w:szCs w:val="18"/>
        </w:rPr>
        <w:t>.</w:t>
      </w:r>
      <w:r w:rsidRPr="00827DA6">
        <w:t xml:space="preserve"> </w:t>
      </w:r>
    </w:p>
  </w:footnote>
  <w:footnote w:id="19">
    <w:p w14:paraId="7E097E09" w14:textId="08AED213" w:rsidR="00C80EA4" w:rsidRPr="00827DA6" w:rsidRDefault="00C80EA4" w:rsidP="00C80EA4">
      <w:pPr>
        <w:pStyle w:val="FootnoteText"/>
      </w:pPr>
      <w:r w:rsidRPr="00827DA6">
        <w:rPr>
          <w:rStyle w:val="FootnoteReference"/>
        </w:rPr>
        <w:footnoteRef/>
      </w:r>
      <w:r w:rsidRPr="00827DA6">
        <w:t xml:space="preserve"> The mechanism works as follows: because firms likely pay on whichever base yields less, a firm</w:t>
      </w:r>
      <w:r w:rsidR="00261DE1">
        <w:t>’</w:t>
      </w:r>
      <w:r w:rsidRPr="00827DA6">
        <w:t>s profit margin relative to the 10 per cent indifference point set by the two rates determines whether it pays on the more stable revenue base or the more volatile profit base; changing only one rate shifts firms between bases, while proportional changes to both leave the contributor group and its stability unchanged.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C17B4C9" w14:textId="7294F261" w:rsidR="00534681" w:rsidRPr="00827DA6" w:rsidRDefault="00340594" w:rsidP="007C4951">
        <w:pPr>
          <w:pStyle w:val="Header"/>
          <w:spacing w:after="240"/>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103E4AC" w14:textId="572364FA" w:rsidR="009505C9" w:rsidRPr="00827DA6" w:rsidRDefault="00340594" w:rsidP="007C4951">
        <w:pPr>
          <w:pStyle w:val="Header"/>
          <w:spacing w:after="240"/>
          <w:jc w:val="right"/>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F8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447D0"/>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E634C7"/>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B66936"/>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D7B4E9F"/>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3"/>
  </w:num>
  <w:num w:numId="4" w16cid:durableId="1072390599">
    <w:abstractNumId w:val="15"/>
  </w:num>
  <w:num w:numId="5" w16cid:durableId="960385107">
    <w:abstractNumId w:val="6"/>
  </w:num>
  <w:num w:numId="6" w16cid:durableId="893932166">
    <w:abstractNumId w:val="11"/>
  </w:num>
  <w:num w:numId="7" w16cid:durableId="323945383">
    <w:abstractNumId w:val="10"/>
  </w:num>
  <w:num w:numId="8" w16cid:durableId="376050590">
    <w:abstractNumId w:val="3"/>
  </w:num>
  <w:num w:numId="9" w16cid:durableId="1343631334">
    <w:abstractNumId w:val="1"/>
  </w:num>
  <w:num w:numId="10" w16cid:durableId="1963031435">
    <w:abstractNumId w:val="9"/>
  </w:num>
  <w:num w:numId="11" w16cid:durableId="2135711171">
    <w:abstractNumId w:val="10"/>
  </w:num>
  <w:num w:numId="12" w16cid:durableId="661590849">
    <w:abstractNumId w:val="2"/>
  </w:num>
  <w:num w:numId="13" w16cid:durableId="1990741380">
    <w:abstractNumId w:val="4"/>
  </w:num>
  <w:num w:numId="14" w16cid:durableId="129521259">
    <w:abstractNumId w:val="8"/>
  </w:num>
  <w:num w:numId="15" w16cid:durableId="1854342770">
    <w:abstractNumId w:val="12"/>
  </w:num>
  <w:num w:numId="16" w16cid:durableId="1171524857">
    <w:abstractNumId w:val="14"/>
  </w:num>
  <w:num w:numId="17" w16cid:durableId="121007133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5596"/>
    <w:rsid w:val="000073E1"/>
    <w:rsid w:val="000106F8"/>
    <w:rsid w:val="00017658"/>
    <w:rsid w:val="00020680"/>
    <w:rsid w:val="00020F91"/>
    <w:rsid w:val="00025464"/>
    <w:rsid w:val="000342C8"/>
    <w:rsid w:val="00036444"/>
    <w:rsid w:val="0003676E"/>
    <w:rsid w:val="00040E42"/>
    <w:rsid w:val="000413EB"/>
    <w:rsid w:val="00043C43"/>
    <w:rsid w:val="0005091C"/>
    <w:rsid w:val="00052A7D"/>
    <w:rsid w:val="000606EC"/>
    <w:rsid w:val="00064D0F"/>
    <w:rsid w:val="00065994"/>
    <w:rsid w:val="00066380"/>
    <w:rsid w:val="00066D38"/>
    <w:rsid w:val="000708A6"/>
    <w:rsid w:val="0007171B"/>
    <w:rsid w:val="00074598"/>
    <w:rsid w:val="00081A8F"/>
    <w:rsid w:val="000908C3"/>
    <w:rsid w:val="000941E6"/>
    <w:rsid w:val="0009533F"/>
    <w:rsid w:val="00096274"/>
    <w:rsid w:val="0009775C"/>
    <w:rsid w:val="00097E01"/>
    <w:rsid w:val="000A03CF"/>
    <w:rsid w:val="000A1978"/>
    <w:rsid w:val="000A19E9"/>
    <w:rsid w:val="000A202F"/>
    <w:rsid w:val="000A3420"/>
    <w:rsid w:val="000A5E67"/>
    <w:rsid w:val="000B09C2"/>
    <w:rsid w:val="000B1674"/>
    <w:rsid w:val="000B2F38"/>
    <w:rsid w:val="000B5FF9"/>
    <w:rsid w:val="000B7964"/>
    <w:rsid w:val="000C1C50"/>
    <w:rsid w:val="000C21BA"/>
    <w:rsid w:val="000C5A39"/>
    <w:rsid w:val="000D0F68"/>
    <w:rsid w:val="000D14AF"/>
    <w:rsid w:val="000D2078"/>
    <w:rsid w:val="000D5FA7"/>
    <w:rsid w:val="000E3538"/>
    <w:rsid w:val="000E402A"/>
    <w:rsid w:val="000E673A"/>
    <w:rsid w:val="000E792F"/>
    <w:rsid w:val="000F0D1B"/>
    <w:rsid w:val="000F2507"/>
    <w:rsid w:val="000F3DF2"/>
    <w:rsid w:val="000F4479"/>
    <w:rsid w:val="000F6945"/>
    <w:rsid w:val="000F74F5"/>
    <w:rsid w:val="000F78FC"/>
    <w:rsid w:val="00102452"/>
    <w:rsid w:val="001031DF"/>
    <w:rsid w:val="00105372"/>
    <w:rsid w:val="001054A6"/>
    <w:rsid w:val="00106369"/>
    <w:rsid w:val="001078A1"/>
    <w:rsid w:val="0012360E"/>
    <w:rsid w:val="00123647"/>
    <w:rsid w:val="001238B7"/>
    <w:rsid w:val="00126E46"/>
    <w:rsid w:val="00127845"/>
    <w:rsid w:val="001312AD"/>
    <w:rsid w:val="00131E7A"/>
    <w:rsid w:val="00134353"/>
    <w:rsid w:val="00134846"/>
    <w:rsid w:val="00141F2E"/>
    <w:rsid w:val="00145270"/>
    <w:rsid w:val="00152BBE"/>
    <w:rsid w:val="001540F7"/>
    <w:rsid w:val="00161B22"/>
    <w:rsid w:val="001632A7"/>
    <w:rsid w:val="00166A30"/>
    <w:rsid w:val="00172AF6"/>
    <w:rsid w:val="00173F41"/>
    <w:rsid w:val="001745F7"/>
    <w:rsid w:val="00176CEE"/>
    <w:rsid w:val="00184654"/>
    <w:rsid w:val="001869AD"/>
    <w:rsid w:val="00186DD8"/>
    <w:rsid w:val="00190847"/>
    <w:rsid w:val="001911F4"/>
    <w:rsid w:val="001947CE"/>
    <w:rsid w:val="001A01D3"/>
    <w:rsid w:val="001A1EE0"/>
    <w:rsid w:val="001A35EC"/>
    <w:rsid w:val="001B0C92"/>
    <w:rsid w:val="001B13FE"/>
    <w:rsid w:val="001B2761"/>
    <w:rsid w:val="001B54B9"/>
    <w:rsid w:val="001B7711"/>
    <w:rsid w:val="001C3CAA"/>
    <w:rsid w:val="001C40BF"/>
    <w:rsid w:val="001C626A"/>
    <w:rsid w:val="001D01FA"/>
    <w:rsid w:val="001D317A"/>
    <w:rsid w:val="001D3C34"/>
    <w:rsid w:val="001E1A56"/>
    <w:rsid w:val="001F021E"/>
    <w:rsid w:val="00214476"/>
    <w:rsid w:val="00214AF4"/>
    <w:rsid w:val="002230A0"/>
    <w:rsid w:val="00227D0F"/>
    <w:rsid w:val="002408E9"/>
    <w:rsid w:val="00240EE6"/>
    <w:rsid w:val="00251DA0"/>
    <w:rsid w:val="00252C53"/>
    <w:rsid w:val="00253E8E"/>
    <w:rsid w:val="002617CB"/>
    <w:rsid w:val="00261DE1"/>
    <w:rsid w:val="00263BE1"/>
    <w:rsid w:val="00265794"/>
    <w:rsid w:val="0027295E"/>
    <w:rsid w:val="00284A2D"/>
    <w:rsid w:val="00284C77"/>
    <w:rsid w:val="00284DA1"/>
    <w:rsid w:val="00286ACA"/>
    <w:rsid w:val="00290B95"/>
    <w:rsid w:val="00295341"/>
    <w:rsid w:val="002A0B73"/>
    <w:rsid w:val="002A0C1E"/>
    <w:rsid w:val="002A4A32"/>
    <w:rsid w:val="002A4D1F"/>
    <w:rsid w:val="002A51AA"/>
    <w:rsid w:val="002B1035"/>
    <w:rsid w:val="002B18C8"/>
    <w:rsid w:val="002B20CD"/>
    <w:rsid w:val="002B2318"/>
    <w:rsid w:val="002B6EBA"/>
    <w:rsid w:val="002C40A3"/>
    <w:rsid w:val="002C7984"/>
    <w:rsid w:val="002D2BDB"/>
    <w:rsid w:val="002D314B"/>
    <w:rsid w:val="002D38E1"/>
    <w:rsid w:val="002D563E"/>
    <w:rsid w:val="002E30C5"/>
    <w:rsid w:val="002E31DC"/>
    <w:rsid w:val="002E67C2"/>
    <w:rsid w:val="002F4363"/>
    <w:rsid w:val="002F6E18"/>
    <w:rsid w:val="00300384"/>
    <w:rsid w:val="003008FE"/>
    <w:rsid w:val="0030169D"/>
    <w:rsid w:val="00303ACA"/>
    <w:rsid w:val="00303E4D"/>
    <w:rsid w:val="003060EB"/>
    <w:rsid w:val="003126D9"/>
    <w:rsid w:val="003153EB"/>
    <w:rsid w:val="0032136E"/>
    <w:rsid w:val="00321985"/>
    <w:rsid w:val="003234C4"/>
    <w:rsid w:val="003248B0"/>
    <w:rsid w:val="003252A2"/>
    <w:rsid w:val="003271E3"/>
    <w:rsid w:val="00331FA4"/>
    <w:rsid w:val="00340033"/>
    <w:rsid w:val="00340594"/>
    <w:rsid w:val="003463DF"/>
    <w:rsid w:val="00351205"/>
    <w:rsid w:val="00354777"/>
    <w:rsid w:val="003562A5"/>
    <w:rsid w:val="00362EF1"/>
    <w:rsid w:val="00363B67"/>
    <w:rsid w:val="00364F08"/>
    <w:rsid w:val="00366E21"/>
    <w:rsid w:val="00366F6B"/>
    <w:rsid w:val="00372F74"/>
    <w:rsid w:val="0037546E"/>
    <w:rsid w:val="00382123"/>
    <w:rsid w:val="00383F41"/>
    <w:rsid w:val="00384684"/>
    <w:rsid w:val="00392175"/>
    <w:rsid w:val="00397981"/>
    <w:rsid w:val="003A0B5B"/>
    <w:rsid w:val="003A2AD7"/>
    <w:rsid w:val="003A39AC"/>
    <w:rsid w:val="003A3F62"/>
    <w:rsid w:val="003A7F6C"/>
    <w:rsid w:val="003B6950"/>
    <w:rsid w:val="003C11A4"/>
    <w:rsid w:val="003C674F"/>
    <w:rsid w:val="003C718E"/>
    <w:rsid w:val="003D2E89"/>
    <w:rsid w:val="003D698F"/>
    <w:rsid w:val="003E274A"/>
    <w:rsid w:val="003E5175"/>
    <w:rsid w:val="003F0BA5"/>
    <w:rsid w:val="003F1A75"/>
    <w:rsid w:val="003F2B4B"/>
    <w:rsid w:val="003F3670"/>
    <w:rsid w:val="003F59AF"/>
    <w:rsid w:val="003F59BF"/>
    <w:rsid w:val="003F613A"/>
    <w:rsid w:val="003F7224"/>
    <w:rsid w:val="003F7E15"/>
    <w:rsid w:val="00400849"/>
    <w:rsid w:val="00411C88"/>
    <w:rsid w:val="004165C4"/>
    <w:rsid w:val="00423A8B"/>
    <w:rsid w:val="00424DD7"/>
    <w:rsid w:val="004262FE"/>
    <w:rsid w:val="004268B8"/>
    <w:rsid w:val="00427D21"/>
    <w:rsid w:val="004303A6"/>
    <w:rsid w:val="0043257B"/>
    <w:rsid w:val="00435778"/>
    <w:rsid w:val="00440B3F"/>
    <w:rsid w:val="004458C1"/>
    <w:rsid w:val="00447F4A"/>
    <w:rsid w:val="00453B69"/>
    <w:rsid w:val="00456F67"/>
    <w:rsid w:val="0046130A"/>
    <w:rsid w:val="00464394"/>
    <w:rsid w:val="004644C2"/>
    <w:rsid w:val="00464E43"/>
    <w:rsid w:val="00465293"/>
    <w:rsid w:val="00466847"/>
    <w:rsid w:val="00467F2F"/>
    <w:rsid w:val="00467F9C"/>
    <w:rsid w:val="00470398"/>
    <w:rsid w:val="004709B2"/>
    <w:rsid w:val="004771B8"/>
    <w:rsid w:val="00483BC8"/>
    <w:rsid w:val="00484784"/>
    <w:rsid w:val="00491B20"/>
    <w:rsid w:val="00492858"/>
    <w:rsid w:val="004946B0"/>
    <w:rsid w:val="004954B2"/>
    <w:rsid w:val="00495FBD"/>
    <w:rsid w:val="004A1F35"/>
    <w:rsid w:val="004A3E0D"/>
    <w:rsid w:val="004A5B97"/>
    <w:rsid w:val="004A790A"/>
    <w:rsid w:val="004A7D7A"/>
    <w:rsid w:val="004B1717"/>
    <w:rsid w:val="004C7C6C"/>
    <w:rsid w:val="004D03B7"/>
    <w:rsid w:val="004D746A"/>
    <w:rsid w:val="004D7DF6"/>
    <w:rsid w:val="004E1CF1"/>
    <w:rsid w:val="004E284E"/>
    <w:rsid w:val="004E2B8B"/>
    <w:rsid w:val="004E2BE3"/>
    <w:rsid w:val="004E6240"/>
    <w:rsid w:val="004E6B44"/>
    <w:rsid w:val="004F176F"/>
    <w:rsid w:val="004F38E6"/>
    <w:rsid w:val="004F6FC6"/>
    <w:rsid w:val="004F7402"/>
    <w:rsid w:val="00501DB6"/>
    <w:rsid w:val="005022F1"/>
    <w:rsid w:val="005029CC"/>
    <w:rsid w:val="005044C2"/>
    <w:rsid w:val="00505306"/>
    <w:rsid w:val="00506B9F"/>
    <w:rsid w:val="00507318"/>
    <w:rsid w:val="0051006C"/>
    <w:rsid w:val="005103B6"/>
    <w:rsid w:val="005135B4"/>
    <w:rsid w:val="00514541"/>
    <w:rsid w:val="00524CF2"/>
    <w:rsid w:val="00530CCF"/>
    <w:rsid w:val="00532E37"/>
    <w:rsid w:val="00534681"/>
    <w:rsid w:val="00535A81"/>
    <w:rsid w:val="00535A93"/>
    <w:rsid w:val="0053628E"/>
    <w:rsid w:val="005373EF"/>
    <w:rsid w:val="005404A3"/>
    <w:rsid w:val="005450B3"/>
    <w:rsid w:val="00546DF5"/>
    <w:rsid w:val="00553FAC"/>
    <w:rsid w:val="005561CE"/>
    <w:rsid w:val="005567D5"/>
    <w:rsid w:val="005579BE"/>
    <w:rsid w:val="00560315"/>
    <w:rsid w:val="0056068E"/>
    <w:rsid w:val="005623A2"/>
    <w:rsid w:val="00562FD3"/>
    <w:rsid w:val="00563442"/>
    <w:rsid w:val="0056348E"/>
    <w:rsid w:val="00565B42"/>
    <w:rsid w:val="00573759"/>
    <w:rsid w:val="00577701"/>
    <w:rsid w:val="0058183E"/>
    <w:rsid w:val="00590242"/>
    <w:rsid w:val="005960BD"/>
    <w:rsid w:val="00597BCE"/>
    <w:rsid w:val="005A74AA"/>
    <w:rsid w:val="005B35E2"/>
    <w:rsid w:val="005B4D7B"/>
    <w:rsid w:val="005C4CE6"/>
    <w:rsid w:val="005C6E02"/>
    <w:rsid w:val="005D10DD"/>
    <w:rsid w:val="005D1958"/>
    <w:rsid w:val="005D1E36"/>
    <w:rsid w:val="005D3B19"/>
    <w:rsid w:val="005D77E2"/>
    <w:rsid w:val="005E1B49"/>
    <w:rsid w:val="005E37EF"/>
    <w:rsid w:val="005F4D77"/>
    <w:rsid w:val="005F545D"/>
    <w:rsid w:val="005F6023"/>
    <w:rsid w:val="00602F8C"/>
    <w:rsid w:val="00606CEA"/>
    <w:rsid w:val="006122BA"/>
    <w:rsid w:val="00620D72"/>
    <w:rsid w:val="006315F9"/>
    <w:rsid w:val="00632292"/>
    <w:rsid w:val="00634148"/>
    <w:rsid w:val="00636ED4"/>
    <w:rsid w:val="00641CD5"/>
    <w:rsid w:val="00647691"/>
    <w:rsid w:val="006478AC"/>
    <w:rsid w:val="006478BF"/>
    <w:rsid w:val="006676B5"/>
    <w:rsid w:val="00670E78"/>
    <w:rsid w:val="00685DF8"/>
    <w:rsid w:val="006974F8"/>
    <w:rsid w:val="006978F8"/>
    <w:rsid w:val="006A15C0"/>
    <w:rsid w:val="006A3895"/>
    <w:rsid w:val="006A73C1"/>
    <w:rsid w:val="006B023C"/>
    <w:rsid w:val="006B2290"/>
    <w:rsid w:val="006B3B1C"/>
    <w:rsid w:val="006C3646"/>
    <w:rsid w:val="006E53BD"/>
    <w:rsid w:val="006E6D21"/>
    <w:rsid w:val="006E7BE2"/>
    <w:rsid w:val="006F6E2F"/>
    <w:rsid w:val="007021C9"/>
    <w:rsid w:val="00702D8A"/>
    <w:rsid w:val="00705D33"/>
    <w:rsid w:val="007077A8"/>
    <w:rsid w:val="00711920"/>
    <w:rsid w:val="00717D88"/>
    <w:rsid w:val="0072123E"/>
    <w:rsid w:val="007260EF"/>
    <w:rsid w:val="00726A43"/>
    <w:rsid w:val="00727121"/>
    <w:rsid w:val="00736D5A"/>
    <w:rsid w:val="00740449"/>
    <w:rsid w:val="00745AB7"/>
    <w:rsid w:val="007476F0"/>
    <w:rsid w:val="00751BEB"/>
    <w:rsid w:val="007570C6"/>
    <w:rsid w:val="00760F92"/>
    <w:rsid w:val="007654DB"/>
    <w:rsid w:val="0076579B"/>
    <w:rsid w:val="007747A7"/>
    <w:rsid w:val="00786056"/>
    <w:rsid w:val="007942D3"/>
    <w:rsid w:val="007A37E1"/>
    <w:rsid w:val="007A53AD"/>
    <w:rsid w:val="007A71E4"/>
    <w:rsid w:val="007B2099"/>
    <w:rsid w:val="007B435F"/>
    <w:rsid w:val="007B6C09"/>
    <w:rsid w:val="007B6E65"/>
    <w:rsid w:val="007B7741"/>
    <w:rsid w:val="007B794A"/>
    <w:rsid w:val="007C0F3B"/>
    <w:rsid w:val="007C4951"/>
    <w:rsid w:val="007C596D"/>
    <w:rsid w:val="007D1925"/>
    <w:rsid w:val="007D33CD"/>
    <w:rsid w:val="007D5BA4"/>
    <w:rsid w:val="007E09DA"/>
    <w:rsid w:val="007E0F8A"/>
    <w:rsid w:val="007E773D"/>
    <w:rsid w:val="007E7FBA"/>
    <w:rsid w:val="007F1597"/>
    <w:rsid w:val="007F1DC8"/>
    <w:rsid w:val="007F3849"/>
    <w:rsid w:val="007F57F5"/>
    <w:rsid w:val="007F718D"/>
    <w:rsid w:val="008000EA"/>
    <w:rsid w:val="00801FAD"/>
    <w:rsid w:val="00806584"/>
    <w:rsid w:val="008178B6"/>
    <w:rsid w:val="008227E3"/>
    <w:rsid w:val="008230FC"/>
    <w:rsid w:val="0082326A"/>
    <w:rsid w:val="00824EAB"/>
    <w:rsid w:val="00827DA6"/>
    <w:rsid w:val="00831AA6"/>
    <w:rsid w:val="0083446D"/>
    <w:rsid w:val="00834F91"/>
    <w:rsid w:val="0083671C"/>
    <w:rsid w:val="0083795C"/>
    <w:rsid w:val="00843F46"/>
    <w:rsid w:val="008515BC"/>
    <w:rsid w:val="00851657"/>
    <w:rsid w:val="00853402"/>
    <w:rsid w:val="00855DC6"/>
    <w:rsid w:val="008622A1"/>
    <w:rsid w:val="00862D2B"/>
    <w:rsid w:val="00865A97"/>
    <w:rsid w:val="00865B74"/>
    <w:rsid w:val="00866063"/>
    <w:rsid w:val="008705AD"/>
    <w:rsid w:val="00871DFE"/>
    <w:rsid w:val="00873B02"/>
    <w:rsid w:val="008747FB"/>
    <w:rsid w:val="00875F12"/>
    <w:rsid w:val="00876F2E"/>
    <w:rsid w:val="00885B30"/>
    <w:rsid w:val="00885F5A"/>
    <w:rsid w:val="0088645C"/>
    <w:rsid w:val="0089399A"/>
    <w:rsid w:val="00896011"/>
    <w:rsid w:val="008974F0"/>
    <w:rsid w:val="00897D68"/>
    <w:rsid w:val="008A1499"/>
    <w:rsid w:val="008A1737"/>
    <w:rsid w:val="008B012A"/>
    <w:rsid w:val="008B3912"/>
    <w:rsid w:val="008C0095"/>
    <w:rsid w:val="008C3F1B"/>
    <w:rsid w:val="008C5CED"/>
    <w:rsid w:val="008D035C"/>
    <w:rsid w:val="008D1734"/>
    <w:rsid w:val="008E3391"/>
    <w:rsid w:val="008E44A6"/>
    <w:rsid w:val="008E62F2"/>
    <w:rsid w:val="008E7DEA"/>
    <w:rsid w:val="008F0BD2"/>
    <w:rsid w:val="008F2478"/>
    <w:rsid w:val="008F32EB"/>
    <w:rsid w:val="008F41DE"/>
    <w:rsid w:val="008F6A1F"/>
    <w:rsid w:val="00902E56"/>
    <w:rsid w:val="00906E17"/>
    <w:rsid w:val="00910B82"/>
    <w:rsid w:val="00910BAF"/>
    <w:rsid w:val="00917A39"/>
    <w:rsid w:val="0092142F"/>
    <w:rsid w:val="0092298A"/>
    <w:rsid w:val="009265D7"/>
    <w:rsid w:val="00926945"/>
    <w:rsid w:val="00930BA1"/>
    <w:rsid w:val="00930F86"/>
    <w:rsid w:val="0093169E"/>
    <w:rsid w:val="00934891"/>
    <w:rsid w:val="00934C01"/>
    <w:rsid w:val="00942532"/>
    <w:rsid w:val="009468A2"/>
    <w:rsid w:val="009505C9"/>
    <w:rsid w:val="00950752"/>
    <w:rsid w:val="009601AE"/>
    <w:rsid w:val="00965E66"/>
    <w:rsid w:val="00966424"/>
    <w:rsid w:val="00972942"/>
    <w:rsid w:val="009775E2"/>
    <w:rsid w:val="00992494"/>
    <w:rsid w:val="0099284D"/>
    <w:rsid w:val="00995D52"/>
    <w:rsid w:val="009A2047"/>
    <w:rsid w:val="009A275E"/>
    <w:rsid w:val="009C2DE6"/>
    <w:rsid w:val="009D6D78"/>
    <w:rsid w:val="009E2238"/>
    <w:rsid w:val="009E2332"/>
    <w:rsid w:val="009E58EC"/>
    <w:rsid w:val="00A050CC"/>
    <w:rsid w:val="00A05931"/>
    <w:rsid w:val="00A10916"/>
    <w:rsid w:val="00A111D1"/>
    <w:rsid w:val="00A14DCF"/>
    <w:rsid w:val="00A17A52"/>
    <w:rsid w:val="00A23392"/>
    <w:rsid w:val="00A251F0"/>
    <w:rsid w:val="00A264A4"/>
    <w:rsid w:val="00A276DA"/>
    <w:rsid w:val="00A3194B"/>
    <w:rsid w:val="00A32AFF"/>
    <w:rsid w:val="00A369A4"/>
    <w:rsid w:val="00A42A6D"/>
    <w:rsid w:val="00A42F72"/>
    <w:rsid w:val="00A443B1"/>
    <w:rsid w:val="00A466B2"/>
    <w:rsid w:val="00A53FF2"/>
    <w:rsid w:val="00A60F33"/>
    <w:rsid w:val="00A66621"/>
    <w:rsid w:val="00A67C64"/>
    <w:rsid w:val="00A73E9E"/>
    <w:rsid w:val="00A74707"/>
    <w:rsid w:val="00A76A55"/>
    <w:rsid w:val="00A770E5"/>
    <w:rsid w:val="00A874CE"/>
    <w:rsid w:val="00A90352"/>
    <w:rsid w:val="00A9145B"/>
    <w:rsid w:val="00A92DB3"/>
    <w:rsid w:val="00AA020D"/>
    <w:rsid w:val="00AA1658"/>
    <w:rsid w:val="00AA276F"/>
    <w:rsid w:val="00AA41B4"/>
    <w:rsid w:val="00AA6F92"/>
    <w:rsid w:val="00AB3B1B"/>
    <w:rsid w:val="00AB6934"/>
    <w:rsid w:val="00AC006B"/>
    <w:rsid w:val="00AC0702"/>
    <w:rsid w:val="00AC1512"/>
    <w:rsid w:val="00AC272B"/>
    <w:rsid w:val="00AD03B9"/>
    <w:rsid w:val="00AD2FE9"/>
    <w:rsid w:val="00AE0840"/>
    <w:rsid w:val="00AE79F2"/>
    <w:rsid w:val="00AF152F"/>
    <w:rsid w:val="00AF3033"/>
    <w:rsid w:val="00AF42DE"/>
    <w:rsid w:val="00B11E55"/>
    <w:rsid w:val="00B2385A"/>
    <w:rsid w:val="00B239C3"/>
    <w:rsid w:val="00B27659"/>
    <w:rsid w:val="00B320B3"/>
    <w:rsid w:val="00B3369F"/>
    <w:rsid w:val="00B365BB"/>
    <w:rsid w:val="00B40441"/>
    <w:rsid w:val="00B40D16"/>
    <w:rsid w:val="00B43A34"/>
    <w:rsid w:val="00B43A90"/>
    <w:rsid w:val="00B4432E"/>
    <w:rsid w:val="00B46567"/>
    <w:rsid w:val="00B51E0B"/>
    <w:rsid w:val="00B51FC6"/>
    <w:rsid w:val="00B70631"/>
    <w:rsid w:val="00B75D10"/>
    <w:rsid w:val="00B80116"/>
    <w:rsid w:val="00B817A9"/>
    <w:rsid w:val="00B94036"/>
    <w:rsid w:val="00B9447D"/>
    <w:rsid w:val="00B94E6C"/>
    <w:rsid w:val="00BA0D7C"/>
    <w:rsid w:val="00BB4606"/>
    <w:rsid w:val="00BB682B"/>
    <w:rsid w:val="00BD0FA6"/>
    <w:rsid w:val="00BD16AF"/>
    <w:rsid w:val="00BD3672"/>
    <w:rsid w:val="00BF53E6"/>
    <w:rsid w:val="00BF6790"/>
    <w:rsid w:val="00C05B82"/>
    <w:rsid w:val="00C05C57"/>
    <w:rsid w:val="00C13558"/>
    <w:rsid w:val="00C17153"/>
    <w:rsid w:val="00C1725F"/>
    <w:rsid w:val="00C17CC1"/>
    <w:rsid w:val="00C216DE"/>
    <w:rsid w:val="00C2359A"/>
    <w:rsid w:val="00C23D2F"/>
    <w:rsid w:val="00C24689"/>
    <w:rsid w:val="00C31ED4"/>
    <w:rsid w:val="00C354D5"/>
    <w:rsid w:val="00C431F3"/>
    <w:rsid w:val="00C443BD"/>
    <w:rsid w:val="00C451C5"/>
    <w:rsid w:val="00C47649"/>
    <w:rsid w:val="00C53A67"/>
    <w:rsid w:val="00C56A17"/>
    <w:rsid w:val="00C608E7"/>
    <w:rsid w:val="00C6221B"/>
    <w:rsid w:val="00C643F0"/>
    <w:rsid w:val="00C728B4"/>
    <w:rsid w:val="00C7573F"/>
    <w:rsid w:val="00C76711"/>
    <w:rsid w:val="00C8065C"/>
    <w:rsid w:val="00C80EA4"/>
    <w:rsid w:val="00C86FE2"/>
    <w:rsid w:val="00C9093D"/>
    <w:rsid w:val="00C909ED"/>
    <w:rsid w:val="00C9161D"/>
    <w:rsid w:val="00C95B07"/>
    <w:rsid w:val="00CA0C1D"/>
    <w:rsid w:val="00CB048A"/>
    <w:rsid w:val="00CC3F00"/>
    <w:rsid w:val="00CC4A12"/>
    <w:rsid w:val="00CC7D23"/>
    <w:rsid w:val="00CD3975"/>
    <w:rsid w:val="00CF0D72"/>
    <w:rsid w:val="00CF1848"/>
    <w:rsid w:val="00CF2BCE"/>
    <w:rsid w:val="00CF4875"/>
    <w:rsid w:val="00CF4D0A"/>
    <w:rsid w:val="00D0006A"/>
    <w:rsid w:val="00D04AA6"/>
    <w:rsid w:val="00D0791E"/>
    <w:rsid w:val="00D12044"/>
    <w:rsid w:val="00D13DCA"/>
    <w:rsid w:val="00D14848"/>
    <w:rsid w:val="00D170D9"/>
    <w:rsid w:val="00D2197A"/>
    <w:rsid w:val="00D21F76"/>
    <w:rsid w:val="00D23D0B"/>
    <w:rsid w:val="00D251B2"/>
    <w:rsid w:val="00D278ED"/>
    <w:rsid w:val="00D33EFC"/>
    <w:rsid w:val="00D40DBC"/>
    <w:rsid w:val="00D424B1"/>
    <w:rsid w:val="00D445B5"/>
    <w:rsid w:val="00D44C96"/>
    <w:rsid w:val="00D5372E"/>
    <w:rsid w:val="00D578F6"/>
    <w:rsid w:val="00D60D37"/>
    <w:rsid w:val="00D61C85"/>
    <w:rsid w:val="00D66EC3"/>
    <w:rsid w:val="00D6737C"/>
    <w:rsid w:val="00D70368"/>
    <w:rsid w:val="00D704EA"/>
    <w:rsid w:val="00D7188C"/>
    <w:rsid w:val="00D72D53"/>
    <w:rsid w:val="00D740A7"/>
    <w:rsid w:val="00D75CA6"/>
    <w:rsid w:val="00D76A18"/>
    <w:rsid w:val="00D80849"/>
    <w:rsid w:val="00D82C92"/>
    <w:rsid w:val="00D82E8F"/>
    <w:rsid w:val="00D83473"/>
    <w:rsid w:val="00D85F9C"/>
    <w:rsid w:val="00D90B67"/>
    <w:rsid w:val="00D936DF"/>
    <w:rsid w:val="00D9407A"/>
    <w:rsid w:val="00D97C3F"/>
    <w:rsid w:val="00DA1B50"/>
    <w:rsid w:val="00DB3293"/>
    <w:rsid w:val="00DB4E3E"/>
    <w:rsid w:val="00DB50C8"/>
    <w:rsid w:val="00DB541F"/>
    <w:rsid w:val="00DB5E0F"/>
    <w:rsid w:val="00DB70F5"/>
    <w:rsid w:val="00DC02DD"/>
    <w:rsid w:val="00DC17FA"/>
    <w:rsid w:val="00DC1D18"/>
    <w:rsid w:val="00DC241F"/>
    <w:rsid w:val="00DC249F"/>
    <w:rsid w:val="00DC3B01"/>
    <w:rsid w:val="00DC630C"/>
    <w:rsid w:val="00DC73D1"/>
    <w:rsid w:val="00DD118C"/>
    <w:rsid w:val="00DD258D"/>
    <w:rsid w:val="00DD6BF3"/>
    <w:rsid w:val="00DE765C"/>
    <w:rsid w:val="00E01A81"/>
    <w:rsid w:val="00E043CD"/>
    <w:rsid w:val="00E0709D"/>
    <w:rsid w:val="00E1649D"/>
    <w:rsid w:val="00E1694D"/>
    <w:rsid w:val="00E26BF2"/>
    <w:rsid w:val="00E300BE"/>
    <w:rsid w:val="00E33520"/>
    <w:rsid w:val="00E358F0"/>
    <w:rsid w:val="00E35CBC"/>
    <w:rsid w:val="00E45127"/>
    <w:rsid w:val="00E65B16"/>
    <w:rsid w:val="00E65F40"/>
    <w:rsid w:val="00E66235"/>
    <w:rsid w:val="00E74420"/>
    <w:rsid w:val="00E74800"/>
    <w:rsid w:val="00E75A28"/>
    <w:rsid w:val="00E76BED"/>
    <w:rsid w:val="00E83314"/>
    <w:rsid w:val="00E83C24"/>
    <w:rsid w:val="00E90B20"/>
    <w:rsid w:val="00E91AA7"/>
    <w:rsid w:val="00E9318D"/>
    <w:rsid w:val="00E9326E"/>
    <w:rsid w:val="00E93F3E"/>
    <w:rsid w:val="00E943A9"/>
    <w:rsid w:val="00E97C84"/>
    <w:rsid w:val="00E97F72"/>
    <w:rsid w:val="00EA5253"/>
    <w:rsid w:val="00EA75AF"/>
    <w:rsid w:val="00EB02E9"/>
    <w:rsid w:val="00EB10A4"/>
    <w:rsid w:val="00EC0F9B"/>
    <w:rsid w:val="00EC1E6E"/>
    <w:rsid w:val="00ED0008"/>
    <w:rsid w:val="00ED04A7"/>
    <w:rsid w:val="00ED0B26"/>
    <w:rsid w:val="00ED288A"/>
    <w:rsid w:val="00ED5BAB"/>
    <w:rsid w:val="00ED659C"/>
    <w:rsid w:val="00ED6FD8"/>
    <w:rsid w:val="00EE28E1"/>
    <w:rsid w:val="00EE2BB6"/>
    <w:rsid w:val="00EE3DAA"/>
    <w:rsid w:val="00EE6F91"/>
    <w:rsid w:val="00EE715E"/>
    <w:rsid w:val="00EE757B"/>
    <w:rsid w:val="00EE7B43"/>
    <w:rsid w:val="00EF5718"/>
    <w:rsid w:val="00EF6E01"/>
    <w:rsid w:val="00F019BA"/>
    <w:rsid w:val="00F062E1"/>
    <w:rsid w:val="00F063C2"/>
    <w:rsid w:val="00F07520"/>
    <w:rsid w:val="00F10C15"/>
    <w:rsid w:val="00F13BA6"/>
    <w:rsid w:val="00F17474"/>
    <w:rsid w:val="00F20D90"/>
    <w:rsid w:val="00F24002"/>
    <w:rsid w:val="00F3110E"/>
    <w:rsid w:val="00F31624"/>
    <w:rsid w:val="00F31F99"/>
    <w:rsid w:val="00F34A04"/>
    <w:rsid w:val="00F45C65"/>
    <w:rsid w:val="00F50272"/>
    <w:rsid w:val="00F53193"/>
    <w:rsid w:val="00F5357E"/>
    <w:rsid w:val="00F644B3"/>
    <w:rsid w:val="00F6586C"/>
    <w:rsid w:val="00F70CD2"/>
    <w:rsid w:val="00F74C3C"/>
    <w:rsid w:val="00F81FD7"/>
    <w:rsid w:val="00F82E2A"/>
    <w:rsid w:val="00F84CCD"/>
    <w:rsid w:val="00F8674E"/>
    <w:rsid w:val="00F86B58"/>
    <w:rsid w:val="00F9038B"/>
    <w:rsid w:val="00F91867"/>
    <w:rsid w:val="00F93128"/>
    <w:rsid w:val="00F94774"/>
    <w:rsid w:val="00FA1ACE"/>
    <w:rsid w:val="00FA4BF3"/>
    <w:rsid w:val="00FA663B"/>
    <w:rsid w:val="00FB13E9"/>
    <w:rsid w:val="00FC2AF9"/>
    <w:rsid w:val="00FC53DB"/>
    <w:rsid w:val="00FD3B5C"/>
    <w:rsid w:val="00FD4B2F"/>
    <w:rsid w:val="00FD5664"/>
    <w:rsid w:val="00FD622B"/>
    <w:rsid w:val="00FE51C3"/>
    <w:rsid w:val="00FE5ADA"/>
    <w:rsid w:val="00FE6C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4-11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4-116" TargetMode="External"/><Relationship Id="rId38" Type="http://schemas.openxmlformats.org/officeDocument/2006/relationships/hyperlink" Target="https://www.cbd.int/decisions/cop/?m=cop-16" TargetMode="External"/><Relationship Id="rId46" Type="http://schemas.openxmlformats.org/officeDocument/2006/relationships/glossaryDocument" Target="glossary/document.xml"/><Relationship Id="rId20" Type="http://schemas.openxmlformats.org/officeDocument/2006/relationships/hyperlink" Target="https://www.cbd.int/decisions/cop/?m=cop-16"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cdn.who.int/media/docs/default-source/pip-framework/partnership-contribution/pc-collection/pc-total-contributions.pdf?sfvrsn=ce1eb4d1_8" TargetMode="External"/><Relationship Id="rId2" Type="http://schemas.openxmlformats.org/officeDocument/2006/relationships/hyperlink" Target="https://www.fao.org/plant-treaty/areas-of-work/the-multilateral-system/smta/en/" TargetMode="External"/><Relationship Id="rId1" Type="http://schemas.openxmlformats.org/officeDocument/2006/relationships/hyperlink" Target="https://www.cbd.int/documents/CBD/COP/17/1/REV1" TargetMode="External"/><Relationship Id="rId5" Type="http://schemas.openxmlformats.org/officeDocument/2006/relationships/hyperlink" Target="https://www.cbd.int/decisions/cop/?m=cop-16" TargetMode="External"/><Relationship Id="rId4" Type="http://schemas.openxmlformats.org/officeDocument/2006/relationships/hyperlink" Target="https://isa.org.jm/equitable-sharing-of-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56C6EAFBC4F8AAA8F54826083FE19"/>
        <w:category>
          <w:name w:val="General"/>
          <w:gallery w:val="placeholder"/>
        </w:category>
        <w:types>
          <w:type w:val="bbPlcHdr"/>
        </w:types>
        <w:behaviors>
          <w:behavior w:val="content"/>
        </w:behaviors>
        <w:guid w:val="{DAAF8739-30BD-46D8-BFA9-4A773EB5A4E3}"/>
      </w:docPartPr>
      <w:docPartBody>
        <w:p w:rsidR="00FD2020" w:rsidRDefault="0015617F">
          <w:pPr>
            <w:pStyle w:val="7A856C6EAFBC4F8AAA8F54826083FE1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A0"/>
    <w:rsid w:val="0003676E"/>
    <w:rsid w:val="00116E70"/>
    <w:rsid w:val="0015617F"/>
    <w:rsid w:val="001B2761"/>
    <w:rsid w:val="001D21C6"/>
    <w:rsid w:val="00251DA0"/>
    <w:rsid w:val="00364B78"/>
    <w:rsid w:val="003E5175"/>
    <w:rsid w:val="005277A0"/>
    <w:rsid w:val="00846DF6"/>
    <w:rsid w:val="00B7437C"/>
    <w:rsid w:val="00C2364A"/>
    <w:rsid w:val="00C90E69"/>
    <w:rsid w:val="00D81409"/>
    <w:rsid w:val="00E9326E"/>
    <w:rsid w:val="00FD2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856C6EAFBC4F8AAA8F54826083FE19">
    <w:name w:val="7A856C6EAFBC4F8AAA8F54826083F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3ADA255-9A39-4455-B763-AEA42749F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cop-17-6-Add.3.clean.dotm</Template>
  <TotalTime>8</TotalTime>
  <Pages>12</Pages>
  <Words>6047</Words>
  <Characters>35561</Characters>
  <Application>Microsoft Office Word</Application>
  <DocSecurity>0</DocSecurity>
  <Lines>547</Lines>
  <Paragraphs>171</Paragraphs>
  <ScaleCrop>false</ScaleCrop>
  <HeadingPairs>
    <vt:vector size="2" baseType="variant">
      <vt:variant>
        <vt:lpstr>Title</vt:lpstr>
      </vt:variant>
      <vt:variant>
        <vt:i4>1</vt:i4>
      </vt:variant>
    </vt:vector>
  </HeadingPairs>
  <TitlesOfParts>
    <vt:vector size="1" baseType="lpstr">
      <vt:lpstr>Executive summary of the study on contribution rates, including implications for revenue generation and economic competitiveness, and on national and international standards for the identification of small, medium and large entities</vt:lpstr>
    </vt:vector>
  </TitlesOfParts>
  <Company>SCBD</Company>
  <LinksUpToDate>false</LinksUpToDate>
  <CharactersWithSpaces>41437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study on contribution rates, including implications for revenue generation and economic competitiveness, and on national and international standards for the identification of small, medium and large entities</dc:title>
  <dc:subject>CBD/COP/17/6/Add.3</dc:subject>
  <dc:creator>Secretariat of the Convention on Biological Diversity</dc:creator>
  <cp:keywords>Convention on Biological Diversity</cp:keywords>
  <cp:lastModifiedBy>Veronique Lefebvre</cp:lastModifiedBy>
  <cp:revision>7</cp:revision>
  <cp:lastPrinted>2020-01-21T16:56:00Z</cp:lastPrinted>
  <dcterms:created xsi:type="dcterms:W3CDTF">2026-09-21T13:01:00Z</dcterms:created>
  <dcterms:modified xsi:type="dcterms:W3CDTF">2026-09-21T13:09:00Z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