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EC38F6" w:rsidRPr="007A1F82" w14:paraId="708D6D8B" w14:textId="77777777" w:rsidTr="00AC156C">
        <w:trPr>
          <w:trHeight w:hRule="exact" w:val="720"/>
        </w:trPr>
        <w:tc>
          <w:tcPr>
            <w:tcW w:w="909" w:type="dxa"/>
            <w:tcBorders>
              <w:top w:val="nil"/>
              <w:bottom w:val="single" w:sz="12" w:space="0" w:color="000000"/>
              <w:right w:val="nil"/>
            </w:tcBorders>
          </w:tcPr>
          <w:p w14:paraId="708D6D85" w14:textId="77777777" w:rsidR="00EC38F6" w:rsidRPr="007A1F82" w:rsidRDefault="00F30A44" w:rsidP="00AC156C">
            <w:pPr>
              <w:spacing w:after="120" w:line="480" w:lineRule="auto"/>
              <w:rPr>
                <w:rFonts w:eastAsia="Times New Roman"/>
                <w:kern w:val="22"/>
                <w:sz w:val="20"/>
                <w:szCs w:val="20"/>
                <w:lang w:val="en-US"/>
              </w:rPr>
            </w:pPr>
            <w:bookmarkStart w:id="0" w:name="_Hlk33348613"/>
            <w:r>
              <w:rPr>
                <w:noProof/>
                <w:lang w:val="en-US"/>
              </w:rPr>
              <w:pict w14:anchorId="708D6E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Macintosh HD:Users:bilodeau:Desktop:logos:template 2017:un.emf" style="position:absolute;left:0;text-align:left;margin-left:-.05pt;margin-top:3.7pt;width:35.55pt;height:30.85pt;z-index:251658240;visibility:visible;mso-position-vertical-relative:page" wrapcoords="7353 527 2757 1580 -460 4741 -460 10010 1379 17385 5515 20546 7353 20546 14247 20546 15166 20546 19762 17385 21600 8956 21600 5268 17464 527 13328 527 7353 527">
                  <v:imagedata r:id="rId7" o:title="" cropleft="1f" cropright="1f"/>
                  <w10:wrap type="through" anchory="page"/>
                </v:shape>
              </w:pict>
            </w:r>
          </w:p>
        </w:tc>
        <w:tc>
          <w:tcPr>
            <w:tcW w:w="4320" w:type="dxa"/>
            <w:tcBorders>
              <w:top w:val="nil"/>
              <w:left w:val="nil"/>
              <w:bottom w:val="single" w:sz="12" w:space="0" w:color="000000"/>
              <w:right w:val="nil"/>
            </w:tcBorders>
          </w:tcPr>
          <w:p w14:paraId="708D6D86" w14:textId="77777777" w:rsidR="00EC38F6" w:rsidRPr="00A74BD1" w:rsidRDefault="00F30A44" w:rsidP="00AC156C">
            <w:pPr>
              <w:spacing w:before="60"/>
              <w:rPr>
                <w:rFonts w:ascii="SimHei" w:eastAsia="SimHei"/>
                <w:sz w:val="20"/>
                <w:szCs w:val="20"/>
              </w:rPr>
            </w:pPr>
            <w:r>
              <w:rPr>
                <w:noProof/>
                <w:lang w:val="en-US"/>
              </w:rPr>
              <w:pict w14:anchorId="708D6E49">
                <v:shape id="_x0000_s1027" type="#_x0000_t75" style="position:absolute;left:0;text-align:left;margin-left:32.05pt;margin-top:1.75pt;width:14.25pt;height:15.1pt;z-index:251659264;visibility:visible;mso-position-horizontal-relative:text;mso-position-vertical-relative:text">
                  <v:imagedata r:id="rId8" o:title=""/>
                </v:shape>
              </w:pict>
            </w:r>
            <w:r w:rsidR="00EC38F6" w:rsidRPr="00A74BD1">
              <w:rPr>
                <w:rFonts w:ascii="SimHei" w:eastAsia="SimHei" w:hAnsi="SimSun" w:cs="SimSun" w:hint="eastAsia"/>
                <w:sz w:val="20"/>
                <w:szCs w:val="20"/>
              </w:rPr>
              <w:t>联合国</w:t>
            </w:r>
          </w:p>
          <w:p w14:paraId="708D6D87" w14:textId="77777777" w:rsidR="00EC38F6" w:rsidRPr="00A74BD1" w:rsidRDefault="00EC38F6" w:rsidP="00AC156C">
            <w:pPr>
              <w:rPr>
                <w:rFonts w:ascii="SimHei" w:eastAsia="SimHei"/>
                <w:sz w:val="20"/>
                <w:szCs w:val="20"/>
              </w:rPr>
            </w:pPr>
            <w:r w:rsidRPr="00A74BD1">
              <w:rPr>
                <w:rFonts w:ascii="SimHei" w:eastAsia="SimHei" w:hAnsi="SimSun" w:cs="SimSun" w:hint="eastAsia"/>
                <w:sz w:val="20"/>
                <w:szCs w:val="20"/>
              </w:rPr>
              <w:t>环境规划署</w:t>
            </w:r>
          </w:p>
          <w:p w14:paraId="708D6D88" w14:textId="77777777" w:rsidR="00EC38F6" w:rsidRPr="007A1F82" w:rsidRDefault="00EC38F6" w:rsidP="00AC156C">
            <w:pPr>
              <w:rPr>
                <w:rFonts w:eastAsia="Times New Roman"/>
              </w:rPr>
            </w:pPr>
          </w:p>
        </w:tc>
        <w:tc>
          <w:tcPr>
            <w:tcW w:w="5130" w:type="dxa"/>
            <w:tcBorders>
              <w:top w:val="nil"/>
              <w:left w:val="nil"/>
              <w:bottom w:val="single" w:sz="12" w:space="0" w:color="000000"/>
            </w:tcBorders>
          </w:tcPr>
          <w:p w14:paraId="708D6D89" w14:textId="77777777" w:rsidR="00EC38F6" w:rsidRPr="00A74BD1" w:rsidRDefault="00EC38F6" w:rsidP="00AC156C">
            <w:pPr>
              <w:tabs>
                <w:tab w:val="right" w:pos="7611"/>
              </w:tabs>
              <w:spacing w:before="240"/>
              <w:ind w:left="360" w:right="216"/>
              <w:jc w:val="right"/>
              <w:rPr>
                <w:bCs/>
                <w:kern w:val="22"/>
                <w:sz w:val="40"/>
                <w:szCs w:val="40"/>
                <w:lang w:val="en-US"/>
              </w:rPr>
            </w:pPr>
            <w:r w:rsidRPr="009B1582">
              <w:rPr>
                <w:rFonts w:eastAsia="Times New Roman"/>
                <w:bCs/>
                <w:kern w:val="22"/>
                <w:sz w:val="40"/>
                <w:szCs w:val="40"/>
              </w:rPr>
              <w:t>CBD</w:t>
            </w:r>
            <w:r w:rsidRPr="009B1582">
              <w:rPr>
                <w:rFonts w:eastAsia="Times New Roman"/>
                <w:bCs/>
                <w:kern w:val="22"/>
              </w:rPr>
              <w:t>/</w:t>
            </w:r>
            <w:r>
              <w:rPr>
                <w:rFonts w:eastAsia="Times New Roman"/>
                <w:bCs/>
                <w:kern w:val="22"/>
              </w:rPr>
              <w:t>SBSTTA</w:t>
            </w:r>
            <w:r w:rsidRPr="009B1582">
              <w:rPr>
                <w:rFonts w:eastAsia="Times New Roman"/>
                <w:bCs/>
                <w:kern w:val="22"/>
              </w:rPr>
              <w:t>/</w:t>
            </w:r>
            <w:r>
              <w:rPr>
                <w:rFonts w:eastAsia="Times New Roman"/>
                <w:bCs/>
                <w:kern w:val="22"/>
              </w:rPr>
              <w:t>27</w:t>
            </w:r>
            <w:r w:rsidRPr="009B1582">
              <w:rPr>
                <w:rFonts w:eastAsia="Times New Roman"/>
                <w:bCs/>
                <w:kern w:val="22"/>
              </w:rPr>
              <w:t>/</w:t>
            </w:r>
            <w:r>
              <w:rPr>
                <w:bCs/>
                <w:kern w:val="22"/>
              </w:rPr>
              <w:t>5</w:t>
            </w:r>
            <w:r>
              <w:rPr>
                <w:bCs/>
                <w:kern w:val="22"/>
                <w:lang w:val="en-US"/>
              </w:rPr>
              <w:t>/Add.3</w:t>
            </w:r>
          </w:p>
          <w:p w14:paraId="708D6D8A" w14:textId="77777777" w:rsidR="00EC38F6" w:rsidRPr="007A1F82" w:rsidRDefault="00EC38F6" w:rsidP="00AC156C">
            <w:pPr>
              <w:rPr>
                <w:rFonts w:eastAsia="Times New Roman"/>
                <w:b/>
                <w:kern w:val="22"/>
                <w:sz w:val="20"/>
              </w:rPr>
            </w:pPr>
          </w:p>
        </w:tc>
      </w:tr>
      <w:tr w:rsidR="00EC38F6" w:rsidRPr="007A1F82" w14:paraId="708D6D92" w14:textId="77777777" w:rsidTr="00AC156C">
        <w:trPr>
          <w:trHeight w:val="2040"/>
        </w:trPr>
        <w:tc>
          <w:tcPr>
            <w:tcW w:w="5229" w:type="dxa"/>
            <w:gridSpan w:val="2"/>
            <w:tcBorders>
              <w:top w:val="nil"/>
              <w:bottom w:val="single" w:sz="18" w:space="0" w:color="000000"/>
            </w:tcBorders>
          </w:tcPr>
          <w:p w14:paraId="708D6D8C" w14:textId="77777777" w:rsidR="00EC38F6" w:rsidRPr="007A1F82" w:rsidRDefault="00EC38F6" w:rsidP="00AC156C">
            <w:pPr>
              <w:rPr>
                <w:rFonts w:eastAsia="Times New Roman"/>
                <w:b/>
                <w:noProof/>
                <w:lang w:val="en-US"/>
              </w:rPr>
            </w:pPr>
          </w:p>
          <w:p w14:paraId="708D6D8D" w14:textId="77777777" w:rsidR="00EC38F6" w:rsidRPr="007A1F82" w:rsidRDefault="00F30A44" w:rsidP="00AC156C">
            <w:pPr>
              <w:rPr>
                <w:rFonts w:ascii="Univers" w:eastAsia="Times New Roman" w:hAnsi="Univers"/>
                <w:kern w:val="22"/>
                <w:sz w:val="32"/>
              </w:rPr>
            </w:pPr>
            <w:r>
              <w:rPr>
                <w:rFonts w:eastAsia="Times New Roman"/>
                <w:b/>
                <w:noProof/>
                <w:lang w:val="en-US"/>
              </w:rPr>
              <w:pict w14:anchorId="708D6E4A">
                <v:shape id="Picture 3" o:spid="_x0000_i1025" type="#_x0000_t75" alt="CBD_logo_ch-CMYK-black [Converted]" style="width:226.65pt;height:80.75pt;visibility:visible">
                  <v:imagedata r:id="rId9" o:title=""/>
                </v:shape>
              </w:pict>
            </w:r>
          </w:p>
        </w:tc>
        <w:tc>
          <w:tcPr>
            <w:tcW w:w="5130" w:type="dxa"/>
            <w:tcBorders>
              <w:top w:val="nil"/>
              <w:bottom w:val="single" w:sz="18" w:space="0" w:color="000000"/>
            </w:tcBorders>
          </w:tcPr>
          <w:p w14:paraId="708D6D8E" w14:textId="77777777" w:rsidR="00EC38F6" w:rsidRPr="00A74BD1" w:rsidRDefault="00EC38F6" w:rsidP="00AC156C">
            <w:pPr>
              <w:ind w:left="2016"/>
              <w:rPr>
                <w:rFonts w:eastAsia="Times New Roman"/>
                <w:bCs/>
                <w:kern w:val="22"/>
              </w:rPr>
            </w:pPr>
            <w:r w:rsidRPr="00A74BD1">
              <w:rPr>
                <w:rFonts w:eastAsia="Times New Roman"/>
                <w:bCs/>
                <w:kern w:val="22"/>
              </w:rPr>
              <w:t>Distr.: General</w:t>
            </w:r>
          </w:p>
          <w:p w14:paraId="708D6D8F" w14:textId="77777777" w:rsidR="00EC38F6" w:rsidRPr="00A74BD1" w:rsidRDefault="00EC38F6" w:rsidP="00AC156C">
            <w:pPr>
              <w:snapToGrid w:val="0"/>
              <w:ind w:left="2016"/>
              <w:rPr>
                <w:rFonts w:eastAsia="Times New Roman"/>
                <w:kern w:val="22"/>
              </w:rPr>
            </w:pPr>
            <w:r w:rsidRPr="00A74BD1">
              <w:rPr>
                <w:rFonts w:eastAsia="Times New Roman"/>
                <w:kern w:val="22"/>
              </w:rPr>
              <w:t>17 August 2025</w:t>
            </w:r>
          </w:p>
          <w:p w14:paraId="708D6D90" w14:textId="77777777" w:rsidR="00EC38F6" w:rsidRPr="00A74BD1" w:rsidRDefault="00EC38F6" w:rsidP="00AC156C">
            <w:pPr>
              <w:snapToGrid w:val="0"/>
              <w:ind w:left="2016"/>
              <w:rPr>
                <w:rFonts w:eastAsia="Times New Roman"/>
                <w:bCs/>
                <w:kern w:val="22"/>
              </w:rPr>
            </w:pPr>
            <w:r w:rsidRPr="00A74BD1">
              <w:rPr>
                <w:rFonts w:eastAsia="Times New Roman"/>
                <w:bCs/>
                <w:kern w:val="22"/>
              </w:rPr>
              <w:t>Chinese</w:t>
            </w:r>
          </w:p>
          <w:p w14:paraId="708D6D91" w14:textId="77777777" w:rsidR="00EC38F6" w:rsidRPr="007A1F82" w:rsidRDefault="00EC38F6" w:rsidP="00AC156C">
            <w:pPr>
              <w:ind w:left="2016"/>
              <w:rPr>
                <w:rFonts w:eastAsia="Times New Roman"/>
                <w:b/>
                <w:kern w:val="22"/>
                <w:u w:val="single"/>
              </w:rPr>
            </w:pPr>
            <w:r w:rsidRPr="00A74BD1">
              <w:rPr>
                <w:rFonts w:eastAsia="Times New Roman"/>
                <w:bCs/>
                <w:kern w:val="22"/>
              </w:rPr>
              <w:t>Original: English</w:t>
            </w:r>
          </w:p>
        </w:tc>
      </w:tr>
      <w:bookmarkEnd w:id="0"/>
    </w:tbl>
    <w:p w14:paraId="708D6D93" w14:textId="77777777" w:rsidR="00EC38F6" w:rsidRDefault="00EC38F6">
      <w:pPr>
        <w:pStyle w:val="AISpacer"/>
        <w:rPr>
          <w:szCs w:val="24"/>
        </w:rPr>
      </w:pPr>
    </w:p>
    <w:p w14:paraId="708D6D94" w14:textId="77777777" w:rsidR="00EC38F6" w:rsidRDefault="00EC38F6">
      <w:pPr>
        <w:pStyle w:val="AISpacer"/>
        <w:rPr>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EC38F6" w:rsidRPr="00070546" w14:paraId="708D6D9B" w14:textId="77777777">
        <w:trPr>
          <w:trHeight w:val="57"/>
        </w:trPr>
        <w:tc>
          <w:tcPr>
            <w:tcW w:w="6094" w:type="dxa"/>
          </w:tcPr>
          <w:p w14:paraId="708D6D95" w14:textId="77777777" w:rsidR="00EC38F6" w:rsidRPr="00070546" w:rsidRDefault="00EC38F6">
            <w:pPr>
              <w:pStyle w:val="AFCorN12Bold"/>
              <w:rPr>
                <w:szCs w:val="24"/>
              </w:rPr>
            </w:pPr>
            <w:r w:rsidRPr="00070546">
              <w:rPr>
                <w:rFonts w:hint="eastAsia"/>
                <w:szCs w:val="24"/>
                <w:lang w:val="zh-CN"/>
              </w:rPr>
              <w:t>科学、技术和工艺咨询附属机构</w:t>
            </w:r>
          </w:p>
          <w:p w14:paraId="708D6D96" w14:textId="77777777" w:rsidR="00EC38F6" w:rsidRPr="00070546" w:rsidRDefault="00EC38F6">
            <w:pPr>
              <w:pStyle w:val="AFCorNBold"/>
              <w:rPr>
                <w:sz w:val="24"/>
                <w:szCs w:val="24"/>
              </w:rPr>
            </w:pPr>
            <w:r w:rsidRPr="00070546">
              <w:rPr>
                <w:rFonts w:hint="eastAsia"/>
                <w:sz w:val="24"/>
                <w:szCs w:val="24"/>
                <w:lang w:val="zh-CN"/>
              </w:rPr>
              <w:t>第二十七次会议</w:t>
            </w:r>
          </w:p>
          <w:p w14:paraId="708D6D97" w14:textId="77777777" w:rsidR="00EC38F6" w:rsidRPr="00070546" w:rsidRDefault="00EC38F6">
            <w:pPr>
              <w:pStyle w:val="AFCorNNormal"/>
              <w:rPr>
                <w:sz w:val="24"/>
                <w:szCs w:val="24"/>
              </w:rPr>
            </w:pPr>
            <w:smartTag w:uri="urn:schemas-microsoft-com:office:smarttags" w:element="chsdate">
              <w:smartTagPr>
                <w:attr w:name="IsROCDate" w:val="False"/>
                <w:attr w:name="IsLunarDate" w:val="False"/>
                <w:attr w:name="Day" w:val="20"/>
                <w:attr w:name="Month" w:val="10"/>
                <w:attr w:name="Year" w:val="2025"/>
              </w:smartTagPr>
              <w:r w:rsidRPr="00070546">
                <w:rPr>
                  <w:kern w:val="22"/>
                  <w:sz w:val="24"/>
                  <w:szCs w:val="24"/>
                </w:rPr>
                <w:t>2025</w:t>
              </w:r>
              <w:r w:rsidRPr="00070546">
                <w:rPr>
                  <w:rFonts w:hint="eastAsia"/>
                  <w:kern w:val="22"/>
                  <w:sz w:val="24"/>
                  <w:szCs w:val="24"/>
                  <w:lang w:val="zh-CN"/>
                </w:rPr>
                <w:t>年</w:t>
              </w:r>
              <w:r w:rsidRPr="00070546">
                <w:rPr>
                  <w:kern w:val="22"/>
                  <w:sz w:val="24"/>
                  <w:szCs w:val="24"/>
                </w:rPr>
                <w:t>10</w:t>
              </w:r>
              <w:r w:rsidRPr="00070546">
                <w:rPr>
                  <w:rFonts w:hint="eastAsia"/>
                  <w:kern w:val="22"/>
                  <w:sz w:val="24"/>
                  <w:szCs w:val="24"/>
                  <w:lang w:val="zh-CN"/>
                </w:rPr>
                <w:t>月</w:t>
              </w:r>
              <w:r w:rsidRPr="00070546">
                <w:rPr>
                  <w:kern w:val="22"/>
                  <w:sz w:val="24"/>
                  <w:szCs w:val="24"/>
                </w:rPr>
                <w:t>20</w:t>
              </w:r>
              <w:r w:rsidRPr="00070546">
                <w:rPr>
                  <w:rFonts w:hint="eastAsia"/>
                  <w:kern w:val="22"/>
                  <w:sz w:val="24"/>
                  <w:szCs w:val="24"/>
                  <w:lang w:val="zh-CN"/>
                </w:rPr>
                <w:t>日</w:t>
              </w:r>
            </w:smartTag>
            <w:r w:rsidRPr="00070546">
              <w:rPr>
                <w:rFonts w:hint="eastAsia"/>
                <w:kern w:val="22"/>
                <w:sz w:val="24"/>
                <w:szCs w:val="24"/>
                <w:lang w:val="zh-CN"/>
              </w:rPr>
              <w:t>至</w:t>
            </w:r>
            <w:r w:rsidRPr="00070546">
              <w:rPr>
                <w:kern w:val="22"/>
                <w:sz w:val="24"/>
                <w:szCs w:val="24"/>
              </w:rPr>
              <w:t>24</w:t>
            </w:r>
            <w:r w:rsidRPr="00070546">
              <w:rPr>
                <w:rFonts w:hint="eastAsia"/>
                <w:kern w:val="22"/>
                <w:sz w:val="24"/>
                <w:szCs w:val="24"/>
                <w:lang w:val="zh-CN"/>
              </w:rPr>
              <w:t>日</w:t>
            </w:r>
            <w:r w:rsidRPr="00070546">
              <w:rPr>
                <w:rFonts w:hint="eastAsia"/>
                <w:kern w:val="22"/>
                <w:sz w:val="24"/>
                <w:szCs w:val="24"/>
              </w:rPr>
              <w:t>，</w:t>
            </w:r>
            <w:r w:rsidRPr="00070546">
              <w:rPr>
                <w:rFonts w:hint="eastAsia"/>
                <w:caps/>
                <w:sz w:val="24"/>
                <w:szCs w:val="24"/>
                <w:lang w:val="zh-CN"/>
              </w:rPr>
              <w:t>巴拿马城</w:t>
            </w:r>
          </w:p>
          <w:p w14:paraId="708D6D98" w14:textId="77777777" w:rsidR="00EC38F6" w:rsidRPr="00070546" w:rsidRDefault="00EC38F6">
            <w:pPr>
              <w:pStyle w:val="AFCorNNormal"/>
              <w:rPr>
                <w:sz w:val="24"/>
                <w:szCs w:val="24"/>
              </w:rPr>
            </w:pPr>
            <w:r w:rsidRPr="00070546">
              <w:rPr>
                <w:rFonts w:hint="eastAsia"/>
                <w:caps/>
                <w:sz w:val="24"/>
                <w:szCs w:val="24"/>
                <w:lang w:val="zh-CN"/>
              </w:rPr>
              <w:t>临时议程</w:t>
            </w:r>
            <w:r w:rsidRPr="00070546">
              <w:rPr>
                <w:rStyle w:val="FootnoteReference"/>
                <w:sz w:val="24"/>
                <w:szCs w:val="24"/>
              </w:rPr>
              <w:footnoteReference w:customMarkFollows="1" w:id="1"/>
              <w:t>*</w:t>
            </w:r>
            <w:r w:rsidRPr="00070546">
              <w:rPr>
                <w:rFonts w:hint="eastAsia"/>
                <w:caps/>
                <w:sz w:val="24"/>
                <w:szCs w:val="24"/>
                <w:lang w:val="zh-CN"/>
              </w:rPr>
              <w:t>项目</w:t>
            </w:r>
            <w:r w:rsidRPr="00070546">
              <w:rPr>
                <w:caps/>
                <w:sz w:val="24"/>
                <w:szCs w:val="24"/>
              </w:rPr>
              <w:t>6</w:t>
            </w:r>
            <w:r w:rsidRPr="00070546">
              <w:rPr>
                <w:sz w:val="24"/>
                <w:szCs w:val="24"/>
              </w:rPr>
              <w:t>(c)</w:t>
            </w:r>
          </w:p>
          <w:p w14:paraId="708D6D99" w14:textId="77777777" w:rsidR="00EC38F6" w:rsidRPr="00070546" w:rsidRDefault="00EC38F6">
            <w:pPr>
              <w:pStyle w:val="AFCorNBold"/>
              <w:spacing w:after="120"/>
              <w:rPr>
                <w:sz w:val="24"/>
                <w:szCs w:val="24"/>
              </w:rPr>
            </w:pPr>
            <w:r w:rsidRPr="00070546">
              <w:rPr>
                <w:rFonts w:hint="eastAsia"/>
                <w:sz w:val="24"/>
                <w:szCs w:val="24"/>
                <w:lang w:val="zh-CN"/>
              </w:rPr>
              <w:t>促进执行《昆明</w:t>
            </w:r>
            <w:r w:rsidRPr="00070546">
              <w:rPr>
                <w:sz w:val="24"/>
                <w:szCs w:val="24"/>
              </w:rPr>
              <w:t>-</w:t>
            </w:r>
            <w:r w:rsidRPr="00070546">
              <w:rPr>
                <w:rFonts w:hint="eastAsia"/>
                <w:sz w:val="24"/>
                <w:szCs w:val="24"/>
                <w:lang w:val="zh-CN"/>
              </w:rPr>
              <w:t>蒙特利尔全球生物多样性框架》</w:t>
            </w:r>
            <w:r>
              <w:rPr>
                <w:sz w:val="24"/>
                <w:szCs w:val="24"/>
                <w:lang w:val="en-US"/>
              </w:rPr>
              <w:br/>
            </w:r>
            <w:r w:rsidRPr="00070546">
              <w:rPr>
                <w:rFonts w:hint="eastAsia"/>
                <w:sz w:val="24"/>
                <w:szCs w:val="24"/>
                <w:lang w:val="zh-CN"/>
              </w:rPr>
              <w:t>的科技需求</w:t>
            </w:r>
            <w:r w:rsidRPr="00070546">
              <w:rPr>
                <w:rFonts w:hint="eastAsia"/>
                <w:sz w:val="24"/>
                <w:szCs w:val="24"/>
              </w:rPr>
              <w:t>：</w:t>
            </w:r>
            <w:r w:rsidRPr="00070546">
              <w:rPr>
                <w:rFonts w:hint="eastAsia"/>
                <w:sz w:val="24"/>
                <w:szCs w:val="24"/>
                <w:lang w:val="zh-CN"/>
              </w:rPr>
              <w:t>可能进一步开展工作的领域</w:t>
            </w:r>
          </w:p>
        </w:tc>
        <w:tc>
          <w:tcPr>
            <w:tcW w:w="4388" w:type="dxa"/>
          </w:tcPr>
          <w:p w14:paraId="708D6D9A" w14:textId="77777777" w:rsidR="00EC38F6" w:rsidRPr="00070546" w:rsidRDefault="00EC38F6">
            <w:pPr>
              <w:pStyle w:val="CBDNormal"/>
              <w:jc w:val="left"/>
              <w:rPr>
                <w:sz w:val="24"/>
                <w:szCs w:val="24"/>
              </w:rPr>
            </w:pPr>
          </w:p>
        </w:tc>
      </w:tr>
    </w:tbl>
    <w:p w14:paraId="708D6D9C" w14:textId="77777777" w:rsidR="00EC38F6" w:rsidRPr="001A3F57" w:rsidRDefault="00EC38F6">
      <w:pPr>
        <w:pStyle w:val="CBDTitle"/>
        <w:rPr>
          <w:rFonts w:ascii="SimHei" w:eastAsia="SimHei"/>
          <w:b w:val="0"/>
          <w:szCs w:val="28"/>
        </w:rPr>
      </w:pPr>
      <w:r w:rsidRPr="001A3F57">
        <w:rPr>
          <w:rFonts w:ascii="SimHei" w:eastAsia="SimHei" w:hint="eastAsia"/>
          <w:b w:val="0"/>
          <w:szCs w:val="28"/>
          <w:lang w:val="zh-CN"/>
        </w:rPr>
        <w:t>在《昆明</w:t>
      </w:r>
      <w:r w:rsidRPr="001A3F57">
        <w:rPr>
          <w:rFonts w:ascii="SimHei" w:eastAsia="SimHei"/>
          <w:b w:val="0"/>
          <w:szCs w:val="28"/>
        </w:rPr>
        <w:t>-</w:t>
      </w:r>
      <w:r w:rsidRPr="001A3F57">
        <w:rPr>
          <w:rFonts w:ascii="SimHei" w:eastAsia="SimHei" w:hint="eastAsia"/>
          <w:b w:val="0"/>
          <w:szCs w:val="28"/>
          <w:lang w:val="zh-CN"/>
        </w:rPr>
        <w:t>蒙特利尔全球生物多样性框架》的范畴下可能需要</w:t>
      </w:r>
      <w:r>
        <w:rPr>
          <w:rFonts w:eastAsia="SimHei"/>
          <w:b w:val="0"/>
          <w:szCs w:val="28"/>
          <w:lang w:val="en-US"/>
        </w:rPr>
        <w:br/>
      </w:r>
      <w:r w:rsidRPr="001A3F57">
        <w:rPr>
          <w:rFonts w:ascii="SimHei" w:eastAsia="SimHei" w:hint="eastAsia"/>
          <w:b w:val="0"/>
          <w:szCs w:val="28"/>
          <w:lang w:val="zh-CN"/>
        </w:rPr>
        <w:t>进一步开展工作的领域</w:t>
      </w:r>
    </w:p>
    <w:p w14:paraId="708D6D9D" w14:textId="77777777" w:rsidR="00EC38F6" w:rsidRPr="00070546" w:rsidRDefault="00EC38F6">
      <w:pPr>
        <w:pStyle w:val="CBDSubTitle"/>
        <w:rPr>
          <w:sz w:val="24"/>
          <w:szCs w:val="24"/>
        </w:rPr>
      </w:pPr>
      <w:r w:rsidRPr="00070546">
        <w:rPr>
          <w:rFonts w:hint="eastAsia"/>
          <w:noProof/>
          <w:sz w:val="24"/>
          <w:szCs w:val="24"/>
        </w:rPr>
        <w:t>秘书处的说明</w:t>
      </w:r>
    </w:p>
    <w:p w14:paraId="708D6D9E" w14:textId="77777777" w:rsidR="00EC38F6" w:rsidRPr="00070546" w:rsidRDefault="00EC38F6">
      <w:pPr>
        <w:pStyle w:val="CBDH1"/>
        <w:rPr>
          <w:sz w:val="24"/>
          <w:szCs w:val="24"/>
        </w:rPr>
      </w:pPr>
      <w:r>
        <w:rPr>
          <w:rFonts w:hint="eastAsia"/>
          <w:noProof/>
          <w:sz w:val="24"/>
          <w:szCs w:val="24"/>
        </w:rPr>
        <w:t>一</w:t>
      </w:r>
      <w:r w:rsidRPr="00070546">
        <w:rPr>
          <w:noProof/>
          <w:sz w:val="24"/>
          <w:szCs w:val="24"/>
        </w:rPr>
        <w:t>.</w:t>
      </w:r>
      <w:r w:rsidRPr="00070546">
        <w:rPr>
          <w:noProof/>
          <w:sz w:val="24"/>
          <w:szCs w:val="24"/>
        </w:rPr>
        <w:tab/>
      </w:r>
      <w:r w:rsidRPr="00070546">
        <w:rPr>
          <w:rFonts w:hint="eastAsia"/>
          <w:sz w:val="24"/>
          <w:szCs w:val="24"/>
          <w:lang w:val="zh-CN"/>
        </w:rPr>
        <w:t>导言</w:t>
      </w:r>
    </w:p>
    <w:p w14:paraId="708D6D9F"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生物多样性公约缔约方大会在其第</w:t>
      </w:r>
      <w:hyperlink r:id="rId10" w:history="1">
        <w:r w:rsidRPr="00070546">
          <w:rPr>
            <w:rStyle w:val="Hyperlink"/>
            <w:sz w:val="24"/>
            <w:szCs w:val="24"/>
          </w:rPr>
          <w:t>15/4</w:t>
        </w:r>
      </w:hyperlink>
      <w:r w:rsidRPr="00070546">
        <w:rPr>
          <w:rFonts w:hint="eastAsia"/>
          <w:sz w:val="24"/>
          <w:szCs w:val="24"/>
          <w:lang w:val="zh-CN"/>
        </w:rPr>
        <w:t>号决定第</w:t>
      </w:r>
      <w:r w:rsidRPr="00070546">
        <w:rPr>
          <w:sz w:val="24"/>
          <w:szCs w:val="24"/>
        </w:rPr>
        <w:t>9</w:t>
      </w:r>
      <w:r w:rsidRPr="00070546">
        <w:rPr>
          <w:rFonts w:hint="eastAsia"/>
          <w:sz w:val="24"/>
          <w:szCs w:val="24"/>
          <w:lang w:val="zh-CN"/>
        </w:rPr>
        <w:t>段</w:t>
      </w:r>
      <w:r w:rsidRPr="00070546">
        <w:rPr>
          <w:rFonts w:hint="eastAsia"/>
          <w:sz w:val="24"/>
          <w:szCs w:val="24"/>
        </w:rPr>
        <w:t>，</w:t>
      </w:r>
      <w:r w:rsidRPr="00070546">
        <w:rPr>
          <w:rFonts w:hint="eastAsia"/>
          <w:sz w:val="24"/>
          <w:szCs w:val="24"/>
          <w:lang w:val="zh-CN"/>
        </w:rPr>
        <w:t>请公约执行秘书在《昆明</w:t>
      </w:r>
      <w:r w:rsidRPr="00070546">
        <w:rPr>
          <w:sz w:val="24"/>
          <w:szCs w:val="24"/>
        </w:rPr>
        <w:t>-</w:t>
      </w:r>
      <w:r w:rsidRPr="00070546">
        <w:rPr>
          <w:rFonts w:hint="eastAsia"/>
          <w:sz w:val="24"/>
          <w:szCs w:val="24"/>
          <w:lang w:val="zh-CN"/>
        </w:rPr>
        <w:t>蒙特利尔全球生物多样性框架框架》背景下对《公约》的工作方案进行战略审查和分析</w:t>
      </w:r>
      <w:r w:rsidRPr="00070546">
        <w:rPr>
          <w:rFonts w:hint="eastAsia"/>
          <w:sz w:val="24"/>
          <w:szCs w:val="24"/>
        </w:rPr>
        <w:t>，</w:t>
      </w:r>
      <w:r w:rsidRPr="00070546">
        <w:rPr>
          <w:rFonts w:hint="eastAsia"/>
          <w:sz w:val="24"/>
          <w:szCs w:val="24"/>
          <w:lang w:val="zh-CN"/>
        </w:rPr>
        <w:t>以促进其执行。为此，执行秘书依照《昆明</w:t>
      </w:r>
      <w:r w:rsidRPr="00070546">
        <w:rPr>
          <w:sz w:val="24"/>
          <w:szCs w:val="24"/>
          <w:lang w:val="zh-CN"/>
        </w:rPr>
        <w:t>-</w:t>
      </w:r>
      <w:r w:rsidRPr="00070546">
        <w:rPr>
          <w:rFonts w:hint="eastAsia"/>
          <w:sz w:val="24"/>
          <w:szCs w:val="24"/>
          <w:lang w:val="zh-CN"/>
        </w:rPr>
        <w:t>蒙特利尔全球生物多样性框架》的各项行动目标，对根据《生物多样性公约》制定的工作方案，进行了初步快速分析。</w:t>
      </w:r>
      <w:r w:rsidRPr="00070546">
        <w:rPr>
          <w:rStyle w:val="FootnoteReference"/>
          <w:sz w:val="24"/>
          <w:szCs w:val="24"/>
          <w:lang w:val="zh-CN"/>
        </w:rPr>
        <w:footnoteReference w:id="2"/>
      </w:r>
      <w:r w:rsidRPr="00070546">
        <w:rPr>
          <w:rFonts w:hint="eastAsia"/>
          <w:sz w:val="24"/>
          <w:szCs w:val="24"/>
          <w:lang w:val="zh-CN"/>
        </w:rPr>
        <w:t>科学、技术和工艺咨询附属机构在其第</w:t>
      </w:r>
      <w:hyperlink r:id="rId11" w:history="1">
        <w:r w:rsidRPr="00070546">
          <w:rPr>
            <w:rStyle w:val="Hyperlink"/>
            <w:sz w:val="24"/>
            <w:szCs w:val="24"/>
            <w:lang w:val="zh-CN"/>
          </w:rPr>
          <w:t>25/3</w:t>
        </w:r>
      </w:hyperlink>
      <w:r w:rsidRPr="00070546">
        <w:rPr>
          <w:rFonts w:hint="eastAsia"/>
          <w:sz w:val="24"/>
          <w:szCs w:val="24"/>
          <w:lang w:val="zh-CN"/>
        </w:rPr>
        <w:t>号建议第</w:t>
      </w:r>
      <w:r w:rsidRPr="00070546">
        <w:rPr>
          <w:sz w:val="24"/>
          <w:szCs w:val="24"/>
          <w:lang w:val="zh-CN"/>
        </w:rPr>
        <w:t>2</w:t>
      </w:r>
      <w:r w:rsidRPr="00070546">
        <w:rPr>
          <w:rFonts w:hint="eastAsia"/>
          <w:sz w:val="24"/>
          <w:szCs w:val="24"/>
          <w:lang w:val="zh-CN"/>
        </w:rPr>
        <w:t>段中，请执行秘书开展进一步工作，包括全面审查和分析可促进实施《框架》的现有工具和指导，并找出差距和冗余以及可能需要作出更新之处。秘书处依照这项建议的要求，编写了多份文件，</w:t>
      </w:r>
      <w:r w:rsidRPr="00070546">
        <w:rPr>
          <w:rStyle w:val="FootnoteReference"/>
          <w:sz w:val="24"/>
          <w:szCs w:val="24"/>
          <w:lang w:val="zh-CN"/>
        </w:rPr>
        <w:footnoteReference w:id="3"/>
      </w:r>
      <w:r w:rsidRPr="00070546">
        <w:rPr>
          <w:rFonts w:hint="eastAsia"/>
          <w:sz w:val="24"/>
          <w:szCs w:val="24"/>
          <w:lang w:val="zh-CN"/>
        </w:rPr>
        <w:t>其中除其他外，查明了工具和指导方面的差距。</w:t>
      </w:r>
    </w:p>
    <w:p w14:paraId="708D6DA0"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秘书处在</w:t>
      </w:r>
      <w:hyperlink r:id="rId12" w:history="1">
        <w:r w:rsidRPr="00070546">
          <w:rPr>
            <w:rStyle w:val="Hyperlink"/>
            <w:sz w:val="24"/>
            <w:szCs w:val="24"/>
          </w:rPr>
          <w:t>CBD/SBSTTA/26/3</w:t>
        </w:r>
      </w:hyperlink>
      <w:r w:rsidRPr="00070546">
        <w:rPr>
          <w:rFonts w:hint="eastAsia"/>
          <w:sz w:val="24"/>
          <w:szCs w:val="24"/>
          <w:lang w:val="zh-CN"/>
        </w:rPr>
        <w:t>号文件中</w:t>
      </w:r>
      <w:r w:rsidRPr="00070546">
        <w:rPr>
          <w:rFonts w:hint="eastAsia"/>
          <w:sz w:val="24"/>
          <w:szCs w:val="24"/>
        </w:rPr>
        <w:t>，</w:t>
      </w:r>
      <w:r w:rsidRPr="00070546">
        <w:rPr>
          <w:rFonts w:hint="eastAsia"/>
          <w:sz w:val="24"/>
          <w:szCs w:val="24"/>
          <w:lang w:val="zh-CN"/>
        </w:rPr>
        <w:t>查明了促进实施《框架》的总体科学和技术需求及其对《公约》工作的影响。秘书处还确定了以下可能需要在《公约》下设立新的工作领域的议题：涵盖生物多样性的空间规划；污染与生物多样性；可持续的生物多样性活动、产品和服务以及</w:t>
      </w:r>
      <w:r w:rsidRPr="00070546">
        <w:rPr>
          <w:sz w:val="24"/>
          <w:szCs w:val="24"/>
          <w:lang w:val="zh-CN"/>
        </w:rPr>
        <w:t>“</w:t>
      </w:r>
      <w:r w:rsidRPr="00070546">
        <w:rPr>
          <w:rFonts w:hint="eastAsia"/>
          <w:sz w:val="24"/>
          <w:szCs w:val="24"/>
          <w:lang w:val="zh-CN"/>
        </w:rPr>
        <w:t>生物经济</w:t>
      </w:r>
      <w:r w:rsidRPr="00070546">
        <w:rPr>
          <w:sz w:val="24"/>
          <w:szCs w:val="24"/>
          <w:lang w:val="zh-CN"/>
        </w:rPr>
        <w:t>”</w:t>
      </w:r>
      <w:r w:rsidRPr="00070546">
        <w:rPr>
          <w:rFonts w:hint="eastAsia"/>
          <w:sz w:val="24"/>
          <w:szCs w:val="24"/>
          <w:lang w:val="zh-CN"/>
        </w:rPr>
        <w:t>；与保护和可持续利用生物多样性有关的公平和基于人权的方法。</w:t>
      </w:r>
    </w:p>
    <w:p w14:paraId="708D6DA1"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缔约方大会在第</w:t>
      </w:r>
      <w:hyperlink r:id="rId13" w:history="1">
        <w:r w:rsidRPr="00070546">
          <w:rPr>
            <w:rStyle w:val="Hyperlink"/>
            <w:sz w:val="24"/>
            <w:szCs w:val="24"/>
          </w:rPr>
          <w:t>16/12</w:t>
        </w:r>
      </w:hyperlink>
      <w:r w:rsidRPr="00070546">
        <w:rPr>
          <w:rFonts w:hint="eastAsia"/>
          <w:sz w:val="24"/>
          <w:szCs w:val="24"/>
          <w:lang w:val="zh-CN"/>
        </w:rPr>
        <w:t>号决定第</w:t>
      </w:r>
      <w:r w:rsidRPr="00070546">
        <w:rPr>
          <w:sz w:val="24"/>
          <w:szCs w:val="24"/>
        </w:rPr>
        <w:t>2</w:t>
      </w:r>
      <w:r w:rsidRPr="00070546">
        <w:rPr>
          <w:rFonts w:hint="eastAsia"/>
          <w:sz w:val="24"/>
          <w:szCs w:val="24"/>
          <w:lang w:val="zh-CN"/>
        </w:rPr>
        <w:t>段中</w:t>
      </w:r>
      <w:r w:rsidRPr="00070546">
        <w:rPr>
          <w:rFonts w:hint="eastAsia"/>
          <w:sz w:val="24"/>
          <w:szCs w:val="24"/>
        </w:rPr>
        <w:t>，</w:t>
      </w:r>
      <w:r w:rsidRPr="00070546">
        <w:rPr>
          <w:rFonts w:hint="eastAsia"/>
          <w:sz w:val="24"/>
          <w:szCs w:val="24"/>
          <w:lang w:val="zh-CN"/>
        </w:rPr>
        <w:t>决定推进以下领域的工作</w:t>
      </w:r>
      <w:r w:rsidRPr="00070546">
        <w:rPr>
          <w:rFonts w:hint="eastAsia"/>
          <w:sz w:val="24"/>
          <w:szCs w:val="24"/>
        </w:rPr>
        <w:t>，</w:t>
      </w:r>
      <w:r w:rsidRPr="00070546">
        <w:rPr>
          <w:rFonts w:hint="eastAsia"/>
          <w:sz w:val="24"/>
          <w:szCs w:val="24"/>
          <w:lang w:val="zh-CN"/>
        </w:rPr>
        <w:t>同时避免与现有多边进程重叠并尊重其任务规定</w:t>
      </w:r>
      <w:r w:rsidRPr="00070546">
        <w:rPr>
          <w:rFonts w:hint="eastAsia"/>
          <w:sz w:val="24"/>
          <w:szCs w:val="24"/>
        </w:rPr>
        <w:t>：</w:t>
      </w:r>
    </w:p>
    <w:p w14:paraId="708D6DA2" w14:textId="77777777" w:rsidR="00EC38F6" w:rsidRPr="00070546" w:rsidRDefault="00EC38F6" w:rsidP="0045681A">
      <w:pPr>
        <w:pStyle w:val="CBDNormalNumber"/>
        <w:numPr>
          <w:ilvl w:val="1"/>
          <w:numId w:val="17"/>
        </w:numPr>
        <w:tabs>
          <w:tab w:val="left" w:pos="1100"/>
        </w:tabs>
        <w:ind w:left="1680" w:hanging="800"/>
        <w:rPr>
          <w:sz w:val="24"/>
          <w:szCs w:val="24"/>
        </w:rPr>
      </w:pPr>
      <w:r>
        <w:rPr>
          <w:sz w:val="24"/>
          <w:szCs w:val="24"/>
          <w:lang w:val="zh-CN"/>
        </w:rPr>
        <w:tab/>
      </w:r>
      <w:r w:rsidRPr="00070546">
        <w:rPr>
          <w:rFonts w:hint="eastAsia"/>
          <w:sz w:val="24"/>
          <w:szCs w:val="24"/>
          <w:lang w:val="zh-CN"/>
        </w:rPr>
        <w:t>涵盖生物多样性的空间规划；</w:t>
      </w:r>
    </w:p>
    <w:p w14:paraId="708D6DA3" w14:textId="77777777" w:rsidR="00EC38F6" w:rsidRPr="00070546" w:rsidRDefault="00EC38F6" w:rsidP="0045681A">
      <w:pPr>
        <w:pStyle w:val="CBDNormalNumber"/>
        <w:numPr>
          <w:ilvl w:val="1"/>
          <w:numId w:val="17"/>
        </w:numPr>
        <w:tabs>
          <w:tab w:val="left" w:pos="1100"/>
        </w:tabs>
        <w:ind w:left="1680" w:hanging="800"/>
        <w:rPr>
          <w:sz w:val="24"/>
          <w:szCs w:val="24"/>
        </w:rPr>
      </w:pPr>
      <w:r w:rsidRPr="00070546">
        <w:rPr>
          <w:rFonts w:hint="eastAsia"/>
          <w:sz w:val="24"/>
          <w:szCs w:val="24"/>
          <w:lang w:val="zh-CN"/>
        </w:rPr>
        <w:lastRenderedPageBreak/>
        <w:t>污染与生物多样性；</w:t>
      </w:r>
    </w:p>
    <w:p w14:paraId="708D6DA4" w14:textId="77777777" w:rsidR="00EC38F6" w:rsidRPr="00070546" w:rsidRDefault="00EC38F6" w:rsidP="0045681A">
      <w:pPr>
        <w:pStyle w:val="CBDNormalNumber"/>
        <w:numPr>
          <w:ilvl w:val="1"/>
          <w:numId w:val="17"/>
        </w:numPr>
        <w:tabs>
          <w:tab w:val="left" w:pos="1100"/>
        </w:tabs>
        <w:ind w:left="1680" w:hanging="800"/>
        <w:rPr>
          <w:sz w:val="24"/>
          <w:szCs w:val="24"/>
        </w:rPr>
      </w:pPr>
      <w:r>
        <w:rPr>
          <w:sz w:val="24"/>
          <w:szCs w:val="24"/>
          <w:lang w:val="zh-CN"/>
        </w:rPr>
        <w:tab/>
      </w:r>
      <w:r w:rsidRPr="00070546">
        <w:rPr>
          <w:rFonts w:hint="eastAsia"/>
          <w:sz w:val="24"/>
          <w:szCs w:val="24"/>
          <w:lang w:val="zh-CN"/>
        </w:rPr>
        <w:t>增强生物多样性的可持续生物多样性活动、产品和服务</w:t>
      </w:r>
      <w:r w:rsidRPr="00070546">
        <w:rPr>
          <w:rFonts w:hint="eastAsia"/>
          <w:sz w:val="24"/>
          <w:szCs w:val="24"/>
        </w:rPr>
        <w:t>；</w:t>
      </w:r>
    </w:p>
    <w:p w14:paraId="708D6DA5" w14:textId="77777777" w:rsidR="00EC38F6" w:rsidRPr="00070546" w:rsidRDefault="00EC38F6" w:rsidP="0045681A">
      <w:pPr>
        <w:pStyle w:val="CBDNormalNumber"/>
        <w:numPr>
          <w:ilvl w:val="1"/>
          <w:numId w:val="17"/>
        </w:numPr>
        <w:tabs>
          <w:tab w:val="left" w:pos="1100"/>
        </w:tabs>
        <w:ind w:left="1680" w:hanging="800"/>
        <w:rPr>
          <w:sz w:val="24"/>
          <w:szCs w:val="24"/>
        </w:rPr>
      </w:pPr>
      <w:r w:rsidRPr="00070546">
        <w:rPr>
          <w:rFonts w:hint="eastAsia"/>
          <w:sz w:val="24"/>
          <w:szCs w:val="24"/>
          <w:lang w:val="zh-CN"/>
        </w:rPr>
        <w:t>公平、性别平等与保护和可持续利用生物多样性有关的基于人权的方法以及公正、公平地分享利用遗传资源所产生的惠益</w:t>
      </w:r>
      <w:r w:rsidRPr="00070546">
        <w:rPr>
          <w:rFonts w:hint="eastAsia"/>
          <w:sz w:val="24"/>
          <w:szCs w:val="24"/>
        </w:rPr>
        <w:t>；</w:t>
      </w:r>
    </w:p>
    <w:p w14:paraId="708D6DA6" w14:textId="77777777" w:rsidR="00EC38F6" w:rsidRPr="00070546" w:rsidRDefault="00EC38F6" w:rsidP="0045681A">
      <w:pPr>
        <w:pStyle w:val="CBDNormalNumber"/>
        <w:numPr>
          <w:ilvl w:val="1"/>
          <w:numId w:val="17"/>
        </w:numPr>
        <w:tabs>
          <w:tab w:val="left" w:pos="1100"/>
        </w:tabs>
        <w:ind w:left="1680" w:hanging="800"/>
        <w:rPr>
          <w:sz w:val="24"/>
          <w:szCs w:val="24"/>
        </w:rPr>
      </w:pPr>
      <w:r>
        <w:rPr>
          <w:sz w:val="24"/>
          <w:szCs w:val="24"/>
          <w:lang w:val="zh-CN"/>
        </w:rPr>
        <w:tab/>
      </w:r>
      <w:r w:rsidRPr="00070546">
        <w:rPr>
          <w:rFonts w:hint="eastAsia"/>
          <w:sz w:val="24"/>
          <w:szCs w:val="24"/>
          <w:lang w:val="zh-CN"/>
        </w:rPr>
        <w:t>《昆蒙框架》</w:t>
      </w:r>
      <w:r w:rsidRPr="00070546">
        <w:rPr>
          <w:sz w:val="24"/>
          <w:szCs w:val="24"/>
          <w:lang w:val="en-US"/>
        </w:rPr>
        <w:t>C</w:t>
      </w:r>
      <w:r w:rsidRPr="00070546">
        <w:rPr>
          <w:rFonts w:hint="eastAsia"/>
          <w:sz w:val="24"/>
          <w:szCs w:val="24"/>
          <w:lang w:val="zh-CN"/>
        </w:rPr>
        <w:t>部分第</w:t>
      </w:r>
      <w:r w:rsidRPr="00070546">
        <w:rPr>
          <w:sz w:val="24"/>
          <w:szCs w:val="24"/>
          <w:lang w:val="en-US"/>
        </w:rPr>
        <w:t>7</w:t>
      </w:r>
      <w:r w:rsidRPr="00070546">
        <w:rPr>
          <w:rFonts w:hint="eastAsia"/>
          <w:sz w:val="24"/>
          <w:szCs w:val="24"/>
          <w:lang w:val="en-US"/>
        </w:rPr>
        <w:t>（</w:t>
      </w:r>
      <w:r w:rsidRPr="00070546">
        <w:rPr>
          <w:sz w:val="24"/>
          <w:szCs w:val="24"/>
          <w:lang w:val="en-US"/>
        </w:rPr>
        <w:t>b</w:t>
      </w:r>
      <w:r w:rsidRPr="00070546">
        <w:rPr>
          <w:rFonts w:hint="eastAsia"/>
          <w:sz w:val="24"/>
          <w:szCs w:val="24"/>
          <w:lang w:val="en-US"/>
        </w:rPr>
        <w:t>）</w:t>
      </w:r>
      <w:r w:rsidRPr="00070546">
        <w:rPr>
          <w:rFonts w:hint="eastAsia"/>
          <w:sz w:val="24"/>
          <w:szCs w:val="24"/>
          <w:lang w:val="zh-CN"/>
        </w:rPr>
        <w:t>段所述不同价值体系。</w:t>
      </w:r>
      <w:r w:rsidRPr="00070546">
        <w:rPr>
          <w:sz w:val="24"/>
          <w:szCs w:val="24"/>
        </w:rPr>
        <w:t xml:space="preserve"> </w:t>
      </w:r>
    </w:p>
    <w:p w14:paraId="708D6DA7"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缔约方大会在同一决定第</w:t>
      </w:r>
      <w:r w:rsidRPr="00070546">
        <w:rPr>
          <w:sz w:val="24"/>
          <w:szCs w:val="24"/>
        </w:rPr>
        <w:t>4</w:t>
      </w:r>
      <w:r w:rsidRPr="00070546">
        <w:rPr>
          <w:rFonts w:hint="eastAsia"/>
          <w:sz w:val="24"/>
          <w:szCs w:val="24"/>
        </w:rPr>
        <w:t>（</w:t>
      </w:r>
      <w:r w:rsidRPr="00070546">
        <w:rPr>
          <w:sz w:val="24"/>
          <w:szCs w:val="24"/>
        </w:rPr>
        <w:t>d</w:t>
      </w:r>
      <w:r w:rsidRPr="00070546">
        <w:rPr>
          <w:rFonts w:hint="eastAsia"/>
          <w:sz w:val="24"/>
          <w:szCs w:val="24"/>
        </w:rPr>
        <w:t>）</w:t>
      </w:r>
      <w:r w:rsidRPr="00070546">
        <w:rPr>
          <w:rFonts w:hint="eastAsia"/>
          <w:sz w:val="24"/>
          <w:szCs w:val="24"/>
          <w:lang w:val="zh-CN"/>
        </w:rPr>
        <w:t>分段请执行秘书除其他外</w:t>
      </w:r>
      <w:r w:rsidRPr="00070546">
        <w:rPr>
          <w:rFonts w:hint="eastAsia"/>
          <w:sz w:val="24"/>
          <w:szCs w:val="24"/>
        </w:rPr>
        <w:t>，</w:t>
      </w:r>
      <w:r w:rsidRPr="00070546">
        <w:rPr>
          <w:rFonts w:hint="eastAsia"/>
          <w:sz w:val="24"/>
          <w:szCs w:val="24"/>
          <w:lang w:val="zh-CN"/>
        </w:rPr>
        <w:t>就上述每个领域可能开展的进一步工作提出建议</w:t>
      </w:r>
      <w:r w:rsidRPr="00070546">
        <w:rPr>
          <w:rFonts w:hint="eastAsia"/>
          <w:sz w:val="24"/>
          <w:szCs w:val="24"/>
        </w:rPr>
        <w:t>，</w:t>
      </w:r>
      <w:r w:rsidRPr="00070546">
        <w:rPr>
          <w:rFonts w:hint="eastAsia"/>
          <w:sz w:val="24"/>
          <w:szCs w:val="24"/>
          <w:lang w:val="zh-CN"/>
        </w:rPr>
        <w:t>供科咨机构在缔约方大会第十七届会议前审议。</w:t>
      </w:r>
      <w:r w:rsidRPr="00070546">
        <w:rPr>
          <w:sz w:val="24"/>
          <w:szCs w:val="24"/>
        </w:rPr>
        <w:t xml:space="preserve"> </w:t>
      </w:r>
    </w:p>
    <w:p w14:paraId="708D6DA8"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根据这项要求</w:t>
      </w:r>
      <w:r w:rsidRPr="00070546">
        <w:rPr>
          <w:rFonts w:hint="eastAsia"/>
          <w:sz w:val="24"/>
          <w:szCs w:val="24"/>
          <w:lang w:val="en-US"/>
        </w:rPr>
        <w:t>，</w:t>
      </w:r>
      <w:r w:rsidRPr="00070546">
        <w:rPr>
          <w:rFonts w:hint="eastAsia"/>
          <w:sz w:val="24"/>
          <w:szCs w:val="24"/>
          <w:lang w:val="zh-CN"/>
        </w:rPr>
        <w:t>执行秘书在第</w:t>
      </w:r>
      <w:hyperlink r:id="rId14" w:history="1">
        <w:r w:rsidRPr="00070546">
          <w:rPr>
            <w:rStyle w:val="Hyperlink"/>
            <w:sz w:val="24"/>
            <w:szCs w:val="24"/>
            <w:lang w:val="en-US"/>
          </w:rPr>
          <w:t>2025-058</w:t>
        </w:r>
      </w:hyperlink>
      <w:r w:rsidRPr="00070546">
        <w:rPr>
          <w:rFonts w:hint="eastAsia"/>
          <w:sz w:val="24"/>
          <w:szCs w:val="24"/>
          <w:lang w:val="zh-CN"/>
        </w:rPr>
        <w:t>号通知中邀请就上述可能开展的工作领域提交意见和相关信息。提交的文件</w:t>
      </w:r>
      <w:r w:rsidRPr="00070546">
        <w:rPr>
          <w:rStyle w:val="FootnoteReference"/>
          <w:sz w:val="24"/>
          <w:szCs w:val="24"/>
          <w:lang w:val="zh-CN"/>
        </w:rPr>
        <w:footnoteReference w:id="4"/>
      </w:r>
      <w:r w:rsidRPr="00070546">
        <w:rPr>
          <w:rFonts w:hint="eastAsia"/>
          <w:sz w:val="24"/>
          <w:szCs w:val="24"/>
          <w:lang w:val="zh-CN"/>
        </w:rPr>
        <w:t>可在《公约》网站查阅。</w:t>
      </w:r>
      <w:r w:rsidRPr="00E430C0">
        <w:rPr>
          <w:rStyle w:val="FootnoteReference"/>
          <w:sz w:val="24"/>
          <w:szCs w:val="24"/>
          <w:lang w:val="zh-CN"/>
        </w:rPr>
        <w:footnoteReference w:id="5"/>
      </w:r>
    </w:p>
    <w:p w14:paraId="708D6DA9"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本文件载有《公约》下可能开展的进一步工作的提案</w:t>
      </w:r>
      <w:r w:rsidRPr="00070546">
        <w:rPr>
          <w:rFonts w:hint="eastAsia"/>
          <w:sz w:val="24"/>
          <w:szCs w:val="24"/>
        </w:rPr>
        <w:t>，</w:t>
      </w:r>
      <w:r w:rsidRPr="00070546">
        <w:rPr>
          <w:rFonts w:hint="eastAsia"/>
          <w:sz w:val="24"/>
          <w:szCs w:val="24"/>
          <w:lang w:val="zh-CN"/>
        </w:rPr>
        <w:t>供科咨机构审议。</w:t>
      </w:r>
    </w:p>
    <w:p w14:paraId="708D6DAA" w14:textId="77777777" w:rsidR="00EC38F6" w:rsidRPr="00070546" w:rsidRDefault="00EC38F6">
      <w:pPr>
        <w:pStyle w:val="CBDH1"/>
        <w:rPr>
          <w:sz w:val="24"/>
          <w:szCs w:val="24"/>
        </w:rPr>
      </w:pPr>
      <w:r w:rsidRPr="00070546">
        <w:rPr>
          <w:rFonts w:hint="eastAsia"/>
          <w:sz w:val="24"/>
          <w:szCs w:val="24"/>
          <w:lang w:val="zh-CN"/>
        </w:rPr>
        <w:t>二</w:t>
      </w:r>
      <w:r w:rsidRPr="00070546">
        <w:rPr>
          <w:rFonts w:hint="eastAsia"/>
          <w:sz w:val="24"/>
          <w:szCs w:val="24"/>
          <w:lang w:val="en-US"/>
        </w:rPr>
        <w:t>．</w:t>
      </w:r>
      <w:r w:rsidRPr="00070546">
        <w:rPr>
          <w:sz w:val="24"/>
          <w:szCs w:val="24"/>
        </w:rPr>
        <w:tab/>
      </w:r>
      <w:r w:rsidRPr="00070546">
        <w:rPr>
          <w:rFonts w:hint="eastAsia"/>
          <w:sz w:val="24"/>
          <w:szCs w:val="24"/>
          <w:lang w:val="zh-CN"/>
        </w:rPr>
        <w:t>为可能进一步开展工作提出的提案</w:t>
      </w:r>
    </w:p>
    <w:p w14:paraId="708D6DAB" w14:textId="77777777" w:rsidR="00EC38F6" w:rsidRPr="00070546" w:rsidRDefault="00EC38F6">
      <w:pPr>
        <w:pStyle w:val="CBDH2"/>
        <w:outlineLvl w:val="1"/>
        <w:rPr>
          <w:szCs w:val="24"/>
        </w:rPr>
      </w:pPr>
      <w:r w:rsidRPr="00070546">
        <w:rPr>
          <w:noProof/>
          <w:szCs w:val="24"/>
        </w:rPr>
        <w:t>A.</w:t>
      </w:r>
      <w:r w:rsidRPr="00070546">
        <w:rPr>
          <w:szCs w:val="24"/>
        </w:rPr>
        <w:tab/>
      </w:r>
      <w:r w:rsidRPr="00070546">
        <w:rPr>
          <w:rFonts w:hint="eastAsia"/>
          <w:szCs w:val="24"/>
          <w:lang w:val="zh-CN"/>
        </w:rPr>
        <w:t>涵盖生物多样性的空间规划</w:t>
      </w:r>
    </w:p>
    <w:p w14:paraId="708D6DAC" w14:textId="77777777" w:rsidR="00EC38F6" w:rsidRPr="00070546" w:rsidRDefault="00EC38F6">
      <w:pPr>
        <w:pStyle w:val="CBDH3"/>
        <w:outlineLvl w:val="2"/>
        <w:rPr>
          <w:sz w:val="24"/>
          <w:szCs w:val="24"/>
        </w:rPr>
      </w:pPr>
      <w:r w:rsidRPr="00070546">
        <w:rPr>
          <w:sz w:val="24"/>
          <w:szCs w:val="24"/>
        </w:rPr>
        <w:t>1.</w:t>
      </w:r>
      <w:r w:rsidRPr="00070546">
        <w:rPr>
          <w:sz w:val="24"/>
          <w:szCs w:val="24"/>
        </w:rPr>
        <w:tab/>
      </w:r>
      <w:r w:rsidRPr="00070546">
        <w:rPr>
          <w:rFonts w:hint="eastAsia"/>
          <w:sz w:val="24"/>
          <w:szCs w:val="24"/>
          <w:lang w:val="zh-CN"/>
        </w:rPr>
        <w:t>背景</w:t>
      </w:r>
    </w:p>
    <w:p w14:paraId="708D6DAD"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缔约方大会在其第</w:t>
      </w:r>
      <w:hyperlink r:id="rId15" w:history="1">
        <w:r w:rsidRPr="00070546">
          <w:rPr>
            <w:rStyle w:val="Hyperlink"/>
            <w:sz w:val="24"/>
            <w:szCs w:val="24"/>
          </w:rPr>
          <w:t>15/19</w:t>
        </w:r>
      </w:hyperlink>
      <w:r w:rsidRPr="00070546">
        <w:rPr>
          <w:rFonts w:hint="eastAsia"/>
          <w:sz w:val="24"/>
          <w:szCs w:val="24"/>
          <w:lang w:val="zh-CN"/>
        </w:rPr>
        <w:t>号决定第</w:t>
      </w:r>
      <w:r w:rsidRPr="00070546">
        <w:rPr>
          <w:sz w:val="24"/>
          <w:szCs w:val="24"/>
        </w:rPr>
        <w:t>12</w:t>
      </w:r>
      <w:r w:rsidRPr="00070546">
        <w:rPr>
          <w:rFonts w:hint="eastAsia"/>
          <w:sz w:val="24"/>
          <w:szCs w:val="24"/>
          <w:lang w:val="zh-CN"/>
        </w:rPr>
        <w:t>段邀请生物多样性和生态系统服务政府间科学政策平台审议该决定附件所载的请求</w:t>
      </w:r>
      <w:r w:rsidRPr="00070546">
        <w:rPr>
          <w:rFonts w:hint="eastAsia"/>
          <w:sz w:val="24"/>
          <w:szCs w:val="24"/>
        </w:rPr>
        <w:t>，</w:t>
      </w:r>
      <w:r w:rsidRPr="00070546">
        <w:rPr>
          <w:rFonts w:hint="eastAsia"/>
          <w:sz w:val="24"/>
          <w:szCs w:val="24"/>
          <w:lang w:val="zh-CN"/>
        </w:rPr>
        <w:t>包括对涵盖生物多样性的综合空间规划和生态连通性的快速方法评估</w:t>
      </w:r>
      <w:r w:rsidRPr="00070546">
        <w:rPr>
          <w:rFonts w:hint="eastAsia"/>
          <w:sz w:val="24"/>
          <w:szCs w:val="24"/>
        </w:rPr>
        <w:t>，</w:t>
      </w:r>
      <w:r w:rsidRPr="00070546">
        <w:rPr>
          <w:rFonts w:hint="eastAsia"/>
          <w:sz w:val="24"/>
          <w:szCs w:val="24"/>
          <w:lang w:val="zh-CN"/>
        </w:rPr>
        <w:t>同时考虑到土地和海洋利用的变化和恢复等要素。平台全体会议在其第十届会议批准了此项工作，供其第十四届会议审议。</w:t>
      </w:r>
      <w:r w:rsidRPr="00070546">
        <w:rPr>
          <w:rStyle w:val="FootnoteReference"/>
          <w:sz w:val="24"/>
          <w:szCs w:val="24"/>
        </w:rPr>
        <w:t xml:space="preserve"> </w:t>
      </w:r>
      <w:r w:rsidRPr="00070546">
        <w:rPr>
          <w:rStyle w:val="FootnoteReference"/>
          <w:noProof/>
          <w:sz w:val="24"/>
          <w:szCs w:val="24"/>
        </w:rPr>
        <w:footnoteReference w:id="6"/>
      </w:r>
      <w:r w:rsidRPr="00070546">
        <w:rPr>
          <w:rFonts w:hint="eastAsia"/>
          <w:sz w:val="24"/>
          <w:szCs w:val="24"/>
          <w:lang w:val="zh-CN"/>
        </w:rPr>
        <w:t>缔约方大会在其第</w:t>
      </w:r>
      <w:hyperlink r:id="rId16" w:history="1">
        <w:r w:rsidRPr="00070546">
          <w:rPr>
            <w:rStyle w:val="Hyperlink"/>
            <w:sz w:val="24"/>
            <w:szCs w:val="24"/>
            <w:lang w:val="zh-CN"/>
          </w:rPr>
          <w:t>16/11</w:t>
        </w:r>
      </w:hyperlink>
      <w:r w:rsidRPr="00070546">
        <w:rPr>
          <w:rFonts w:hint="eastAsia"/>
          <w:sz w:val="24"/>
          <w:szCs w:val="24"/>
          <w:lang w:val="zh-CN"/>
        </w:rPr>
        <w:t>号决定请科咨机构在定于</w:t>
      </w:r>
      <w:r w:rsidRPr="00070546">
        <w:rPr>
          <w:sz w:val="24"/>
          <w:szCs w:val="24"/>
          <w:lang w:val="zh-CN"/>
        </w:rPr>
        <w:t>2028</w:t>
      </w:r>
      <w:r w:rsidRPr="00070546">
        <w:rPr>
          <w:rFonts w:hint="eastAsia"/>
          <w:sz w:val="24"/>
          <w:szCs w:val="24"/>
          <w:lang w:val="zh-CN"/>
        </w:rPr>
        <w:t>年举行的缔约方大会第十八届会议之前举行的会议上审议方法评估。</w:t>
      </w:r>
    </w:p>
    <w:p w14:paraId="708D6DAE" w14:textId="77777777" w:rsidR="00EC38F6" w:rsidRPr="001A3F57" w:rsidRDefault="00EC38F6" w:rsidP="00AC156C">
      <w:pPr>
        <w:pStyle w:val="CBDNormalNumber"/>
        <w:numPr>
          <w:ilvl w:val="0"/>
          <w:numId w:val="13"/>
        </w:numPr>
        <w:tabs>
          <w:tab w:val="clear" w:pos="1620"/>
        </w:tabs>
        <w:ind w:left="567" w:firstLine="0"/>
        <w:rPr>
          <w:sz w:val="24"/>
          <w:szCs w:val="24"/>
          <w:lang w:val="zh-CN"/>
        </w:rPr>
      </w:pPr>
      <w:r w:rsidRPr="00070546">
        <w:rPr>
          <w:rFonts w:hint="eastAsia"/>
          <w:sz w:val="24"/>
          <w:szCs w:val="24"/>
          <w:lang w:val="zh-CN"/>
        </w:rPr>
        <w:t>方法评估的范围界定报告指出</w:t>
      </w:r>
      <w:r w:rsidRPr="001A3F57">
        <w:rPr>
          <w:rFonts w:hint="eastAsia"/>
          <w:sz w:val="24"/>
          <w:szCs w:val="24"/>
          <w:lang w:val="zh-CN"/>
        </w:rPr>
        <w:t>，</w:t>
      </w:r>
      <w:r w:rsidRPr="001A3F57">
        <w:rPr>
          <w:sz w:val="24"/>
          <w:szCs w:val="24"/>
          <w:lang w:val="zh-CN"/>
        </w:rPr>
        <w:t>“</w:t>
      </w:r>
      <w:r w:rsidRPr="00070546">
        <w:rPr>
          <w:rFonts w:hint="eastAsia"/>
          <w:sz w:val="24"/>
          <w:szCs w:val="24"/>
          <w:lang w:val="zh-CN"/>
        </w:rPr>
        <w:t>涵盖生物多样性的空间规划</w:t>
      </w:r>
      <w:r w:rsidRPr="001A3F57">
        <w:rPr>
          <w:sz w:val="24"/>
          <w:szCs w:val="24"/>
          <w:lang w:val="zh-CN"/>
        </w:rPr>
        <w:t>”</w:t>
      </w:r>
      <w:r w:rsidRPr="00070546">
        <w:rPr>
          <w:rFonts w:hint="eastAsia"/>
          <w:sz w:val="24"/>
          <w:szCs w:val="24"/>
          <w:lang w:val="zh-CN"/>
        </w:rPr>
        <w:t>应理解为将生物多样性考虑因素纳入空间规划</w:t>
      </w:r>
      <w:r w:rsidRPr="001A3F57">
        <w:rPr>
          <w:rFonts w:hint="eastAsia"/>
          <w:sz w:val="24"/>
          <w:szCs w:val="24"/>
          <w:lang w:val="zh-CN"/>
        </w:rPr>
        <w:t>，</w:t>
      </w:r>
      <w:r w:rsidRPr="00070546">
        <w:rPr>
          <w:rFonts w:hint="eastAsia"/>
          <w:sz w:val="24"/>
          <w:szCs w:val="24"/>
          <w:lang w:val="zh-CN"/>
        </w:rPr>
        <w:t>定义为分析和分配特定环境中活动的空间和时间分布</w:t>
      </w:r>
      <w:r w:rsidRPr="001A3F57">
        <w:rPr>
          <w:rFonts w:hint="eastAsia"/>
          <w:sz w:val="24"/>
          <w:szCs w:val="24"/>
          <w:lang w:val="zh-CN"/>
        </w:rPr>
        <w:t>，</w:t>
      </w:r>
      <w:r w:rsidRPr="00070546">
        <w:rPr>
          <w:rFonts w:hint="eastAsia"/>
          <w:sz w:val="24"/>
          <w:szCs w:val="24"/>
          <w:lang w:val="zh-CN"/>
        </w:rPr>
        <w:t>以实现包括生态、社会和经济在内的各种目标的方法或过程。</w:t>
      </w:r>
      <w:r w:rsidRPr="00E430C0">
        <w:rPr>
          <w:vertAlign w:val="superscript"/>
        </w:rPr>
        <w:footnoteReference w:id="7"/>
      </w:r>
    </w:p>
    <w:p w14:paraId="708D6DAF" w14:textId="77777777" w:rsidR="00EC38F6" w:rsidRPr="001A3F57" w:rsidRDefault="00EC38F6" w:rsidP="00AC156C">
      <w:pPr>
        <w:pStyle w:val="CBDNormalNumber"/>
        <w:numPr>
          <w:ilvl w:val="0"/>
          <w:numId w:val="13"/>
        </w:numPr>
        <w:tabs>
          <w:tab w:val="clear" w:pos="1620"/>
        </w:tabs>
        <w:ind w:left="567" w:firstLine="0"/>
        <w:rPr>
          <w:sz w:val="24"/>
          <w:szCs w:val="24"/>
          <w:lang w:val="zh-CN"/>
        </w:rPr>
      </w:pPr>
      <w:r w:rsidRPr="00070546">
        <w:rPr>
          <w:rFonts w:hint="eastAsia"/>
          <w:sz w:val="24"/>
          <w:szCs w:val="24"/>
          <w:lang w:val="zh-CN"/>
        </w:rPr>
        <w:t>根据《公约》</w:t>
      </w:r>
      <w:r w:rsidRPr="001A3F57">
        <w:rPr>
          <w:rFonts w:hint="eastAsia"/>
          <w:sz w:val="24"/>
          <w:szCs w:val="24"/>
          <w:lang w:val="zh-CN"/>
        </w:rPr>
        <w:t>，</w:t>
      </w:r>
      <w:r w:rsidRPr="00070546">
        <w:rPr>
          <w:rFonts w:hint="eastAsia"/>
          <w:sz w:val="24"/>
          <w:szCs w:val="24"/>
          <w:lang w:val="zh-CN"/>
        </w:rPr>
        <w:t>仅在海洋和沿海生物多样性工作方案下制定了与空间规划相关的指导。</w:t>
      </w:r>
      <w:r w:rsidRPr="00E430C0">
        <w:rPr>
          <w:vertAlign w:val="superscript"/>
        </w:rPr>
        <w:footnoteReference w:id="8"/>
      </w:r>
      <w:r w:rsidRPr="00070546">
        <w:rPr>
          <w:rFonts w:hint="eastAsia"/>
          <w:sz w:val="24"/>
          <w:szCs w:val="24"/>
          <w:lang w:val="zh-CN"/>
        </w:rPr>
        <w:t>海洋空间规划一直是可持续海洋倡议下能力建设活动的突出重点，该倡议由秘书处根据缔约方大会的指导进行协调。对陆地和内陆水域的空间规划的关注则少得多。</w:t>
      </w:r>
      <w:r w:rsidRPr="001A3F57">
        <w:rPr>
          <w:sz w:val="24"/>
          <w:szCs w:val="24"/>
          <w:lang w:val="zh-CN"/>
        </w:rPr>
        <w:t xml:space="preserve"> </w:t>
      </w:r>
    </w:p>
    <w:p w14:paraId="708D6DB0"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到</w:t>
      </w:r>
      <w:r w:rsidRPr="00070546">
        <w:rPr>
          <w:sz w:val="24"/>
          <w:szCs w:val="24"/>
        </w:rPr>
        <w:t>2030</w:t>
      </w:r>
      <w:r w:rsidRPr="00070546">
        <w:rPr>
          <w:rFonts w:hint="eastAsia"/>
          <w:sz w:val="24"/>
          <w:szCs w:val="24"/>
          <w:lang w:val="zh-CN"/>
        </w:rPr>
        <w:t>年生物多样性公约关于土著人民和地方社区的第</w:t>
      </w:r>
      <w:r w:rsidRPr="00070546">
        <w:rPr>
          <w:sz w:val="24"/>
          <w:szCs w:val="24"/>
        </w:rPr>
        <w:t>8</w:t>
      </w:r>
      <w:r w:rsidRPr="00070546">
        <w:rPr>
          <w:rFonts w:hint="eastAsia"/>
          <w:sz w:val="24"/>
          <w:szCs w:val="24"/>
        </w:rPr>
        <w:t>（</w:t>
      </w:r>
      <w:r w:rsidRPr="00070546">
        <w:rPr>
          <w:sz w:val="24"/>
          <w:szCs w:val="24"/>
        </w:rPr>
        <w:t>j</w:t>
      </w:r>
      <w:r w:rsidRPr="00070546">
        <w:rPr>
          <w:rFonts w:hint="eastAsia"/>
          <w:sz w:val="24"/>
          <w:szCs w:val="24"/>
        </w:rPr>
        <w:t>）</w:t>
      </w:r>
      <w:r w:rsidRPr="00070546">
        <w:rPr>
          <w:rFonts w:hint="eastAsia"/>
          <w:sz w:val="24"/>
          <w:szCs w:val="24"/>
          <w:lang w:val="zh-CN"/>
        </w:rPr>
        <w:t>条和其他条款的工作方案包括制定准则</w:t>
      </w:r>
      <w:r w:rsidRPr="00070546">
        <w:rPr>
          <w:rFonts w:hint="eastAsia"/>
          <w:sz w:val="24"/>
          <w:szCs w:val="24"/>
        </w:rPr>
        <w:t>，</w:t>
      </w:r>
      <w:r w:rsidRPr="00070546">
        <w:rPr>
          <w:rFonts w:hint="eastAsia"/>
          <w:sz w:val="24"/>
          <w:szCs w:val="24"/>
          <w:lang w:val="zh-CN"/>
        </w:rPr>
        <w:t>在空间规划进程和环境影响评估中纳入和审议传统土地</w:t>
      </w:r>
      <w:r w:rsidRPr="00070546">
        <w:rPr>
          <w:rFonts w:hint="eastAsia"/>
          <w:sz w:val="24"/>
          <w:szCs w:val="24"/>
          <w:lang w:val="zh-CN"/>
        </w:rPr>
        <w:lastRenderedPageBreak/>
        <w:t>和资源利用</w:t>
      </w:r>
      <w:r w:rsidRPr="00070546">
        <w:rPr>
          <w:rFonts w:hint="eastAsia"/>
          <w:sz w:val="24"/>
          <w:szCs w:val="24"/>
        </w:rPr>
        <w:t>（</w:t>
      </w:r>
      <w:r w:rsidRPr="00070546">
        <w:rPr>
          <w:rFonts w:hint="eastAsia"/>
          <w:sz w:val="24"/>
          <w:szCs w:val="24"/>
          <w:lang w:val="zh-CN"/>
        </w:rPr>
        <w:t>任务</w:t>
      </w:r>
      <w:r w:rsidRPr="00070546">
        <w:rPr>
          <w:sz w:val="24"/>
          <w:szCs w:val="24"/>
        </w:rPr>
        <w:t>1.2</w:t>
      </w:r>
      <w:r w:rsidRPr="00070546">
        <w:rPr>
          <w:rFonts w:hint="eastAsia"/>
          <w:sz w:val="24"/>
          <w:szCs w:val="24"/>
        </w:rPr>
        <w:t>），</w:t>
      </w:r>
      <w:r w:rsidRPr="00070546">
        <w:rPr>
          <w:rFonts w:hint="eastAsia"/>
          <w:sz w:val="24"/>
          <w:szCs w:val="24"/>
          <w:lang w:val="zh-CN"/>
        </w:rPr>
        <w:t>它为涵盖生物多样性的空间规划提供了参考。这项准则草案将在</w:t>
      </w:r>
      <w:r w:rsidRPr="00070546">
        <w:rPr>
          <w:rFonts w:hint="eastAsia"/>
          <w:color w:val="000000"/>
          <w:sz w:val="24"/>
          <w:szCs w:val="24"/>
          <w:lang w:val="zh-CN"/>
        </w:rPr>
        <w:t>生物多样性公约关于土著人民和地方社区的第</w:t>
      </w:r>
      <w:r w:rsidRPr="00070546">
        <w:rPr>
          <w:color w:val="000000"/>
          <w:sz w:val="24"/>
          <w:szCs w:val="24"/>
        </w:rPr>
        <w:t xml:space="preserve"> 8</w:t>
      </w:r>
      <w:r w:rsidRPr="00070546">
        <w:rPr>
          <w:rFonts w:hint="eastAsia"/>
          <w:color w:val="000000"/>
          <w:sz w:val="24"/>
          <w:szCs w:val="24"/>
        </w:rPr>
        <w:t>（</w:t>
      </w:r>
      <w:r w:rsidRPr="00070546">
        <w:rPr>
          <w:color w:val="000000"/>
          <w:sz w:val="24"/>
          <w:szCs w:val="24"/>
        </w:rPr>
        <w:t>j</w:t>
      </w:r>
      <w:r w:rsidRPr="00070546">
        <w:rPr>
          <w:rFonts w:hint="eastAsia"/>
          <w:color w:val="000000"/>
          <w:sz w:val="24"/>
          <w:szCs w:val="24"/>
        </w:rPr>
        <w:t>）</w:t>
      </w:r>
      <w:r w:rsidRPr="00070546">
        <w:rPr>
          <w:rFonts w:hint="eastAsia"/>
          <w:color w:val="000000"/>
          <w:sz w:val="24"/>
          <w:szCs w:val="24"/>
          <w:lang w:val="zh-CN"/>
        </w:rPr>
        <w:t>条和其他条款附属机构</w:t>
      </w:r>
      <w:r w:rsidRPr="00070546">
        <w:rPr>
          <w:rFonts w:hint="eastAsia"/>
          <w:sz w:val="24"/>
          <w:szCs w:val="24"/>
          <w:lang w:val="zh-CN"/>
        </w:rPr>
        <w:t>第一次会议审议。</w:t>
      </w:r>
    </w:p>
    <w:p w14:paraId="708D6DB1" w14:textId="77777777" w:rsidR="00EC38F6" w:rsidRPr="00070546" w:rsidRDefault="00EC38F6">
      <w:pPr>
        <w:pStyle w:val="CBDH3"/>
        <w:outlineLvl w:val="2"/>
        <w:rPr>
          <w:sz w:val="24"/>
          <w:szCs w:val="24"/>
        </w:rPr>
      </w:pPr>
      <w:r w:rsidRPr="00070546">
        <w:rPr>
          <w:sz w:val="24"/>
          <w:szCs w:val="24"/>
        </w:rPr>
        <w:t>2.</w:t>
      </w:r>
      <w:r w:rsidRPr="00070546">
        <w:rPr>
          <w:sz w:val="24"/>
          <w:szCs w:val="24"/>
        </w:rPr>
        <w:tab/>
      </w:r>
      <w:r w:rsidRPr="00070546">
        <w:rPr>
          <w:rFonts w:hint="eastAsia"/>
          <w:sz w:val="24"/>
          <w:szCs w:val="24"/>
          <w:lang w:val="zh-CN"/>
        </w:rPr>
        <w:t>提交的材料摘要</w:t>
      </w:r>
    </w:p>
    <w:p w14:paraId="708D6DB2"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就这个议题共收到</w:t>
      </w:r>
      <w:r w:rsidRPr="00070546">
        <w:rPr>
          <w:sz w:val="24"/>
          <w:szCs w:val="24"/>
        </w:rPr>
        <w:t>21</w:t>
      </w:r>
      <w:r w:rsidRPr="00070546">
        <w:rPr>
          <w:rFonts w:hint="eastAsia"/>
          <w:sz w:val="24"/>
          <w:szCs w:val="24"/>
          <w:lang w:val="zh-CN"/>
        </w:rPr>
        <w:t>份材料。</w:t>
      </w:r>
      <w:r w:rsidRPr="00070546">
        <w:rPr>
          <w:rStyle w:val="FootnoteReference"/>
          <w:sz w:val="24"/>
          <w:szCs w:val="24"/>
          <w:lang w:val="zh-CN"/>
        </w:rPr>
        <w:footnoteReference w:id="9"/>
      </w:r>
      <w:r w:rsidRPr="00070546">
        <w:rPr>
          <w:rFonts w:hint="eastAsia"/>
          <w:sz w:val="24"/>
          <w:szCs w:val="24"/>
          <w:lang w:val="zh-CN"/>
        </w:rPr>
        <w:t>提交者强调了存在与</w:t>
      </w:r>
      <w:hyperlink r:id="rId17" w:history="1">
        <w:r w:rsidRPr="00070546">
          <w:rPr>
            <w:rStyle w:val="Hyperlink"/>
            <w:sz w:val="24"/>
            <w:szCs w:val="24"/>
            <w:lang w:val="zh-CN"/>
          </w:rPr>
          <w:t>CBD/SBSTTA/26/3</w:t>
        </w:r>
      </w:hyperlink>
      <w:r w:rsidRPr="00070546">
        <w:rPr>
          <w:rFonts w:hint="eastAsia"/>
          <w:sz w:val="24"/>
          <w:szCs w:val="24"/>
          <w:lang w:val="zh-CN"/>
        </w:rPr>
        <w:t>号文件和</w:t>
      </w:r>
      <w:hyperlink r:id="rId18" w:history="1">
        <w:r w:rsidRPr="00070546">
          <w:rPr>
            <w:rStyle w:val="Hyperlink"/>
            <w:sz w:val="24"/>
            <w:szCs w:val="24"/>
            <w:lang w:val="zh-CN"/>
          </w:rPr>
          <w:t>CBD/SBSTTA/26/INF/15</w:t>
        </w:r>
      </w:hyperlink>
      <w:r w:rsidRPr="00070546">
        <w:rPr>
          <w:rFonts w:hint="eastAsia"/>
          <w:sz w:val="24"/>
          <w:szCs w:val="24"/>
          <w:lang w:val="zh-CN"/>
        </w:rPr>
        <w:t>号文件指出的类似差距，包括缺乏</w:t>
      </w:r>
      <w:r w:rsidRPr="00070546">
        <w:rPr>
          <w:sz w:val="24"/>
          <w:szCs w:val="24"/>
          <w:lang w:val="zh-CN"/>
        </w:rPr>
        <w:t>“</w:t>
      </w:r>
      <w:r w:rsidRPr="00070546">
        <w:rPr>
          <w:rFonts w:hint="eastAsia"/>
          <w:sz w:val="24"/>
          <w:szCs w:val="24"/>
          <w:lang w:val="zh-CN"/>
        </w:rPr>
        <w:t>涵盖生物多样性的空间规划</w:t>
      </w:r>
      <w:r w:rsidRPr="00070546">
        <w:rPr>
          <w:sz w:val="24"/>
          <w:szCs w:val="24"/>
          <w:lang w:val="zh-CN"/>
        </w:rPr>
        <w:t>”</w:t>
      </w:r>
      <w:r w:rsidRPr="00070546">
        <w:rPr>
          <w:rFonts w:hint="eastAsia"/>
          <w:sz w:val="24"/>
          <w:szCs w:val="24"/>
          <w:lang w:val="zh-CN"/>
        </w:rPr>
        <w:t>的定义以及需要采取以下措施：</w:t>
      </w:r>
    </w:p>
    <w:p w14:paraId="708D6DB3" w14:textId="77777777" w:rsidR="00EC38F6" w:rsidRPr="00070546" w:rsidRDefault="00EC38F6" w:rsidP="0045681A">
      <w:pPr>
        <w:pStyle w:val="CBDNormalNumber"/>
        <w:numPr>
          <w:ilvl w:val="1"/>
          <w:numId w:val="18"/>
        </w:numPr>
        <w:rPr>
          <w:sz w:val="24"/>
          <w:szCs w:val="24"/>
        </w:rPr>
      </w:pPr>
      <w:r w:rsidRPr="00070546">
        <w:rPr>
          <w:rFonts w:hint="eastAsia"/>
          <w:sz w:val="24"/>
          <w:szCs w:val="24"/>
          <w:lang w:val="zh-CN"/>
        </w:rPr>
        <w:t>跨部门整合相关生物多样性敏感型管理方法</w:t>
      </w:r>
      <w:r w:rsidRPr="00070546">
        <w:rPr>
          <w:rFonts w:hint="eastAsia"/>
          <w:sz w:val="24"/>
          <w:szCs w:val="24"/>
        </w:rPr>
        <w:t>（</w:t>
      </w:r>
      <w:r w:rsidRPr="00070546">
        <w:rPr>
          <w:rFonts w:hint="eastAsia"/>
          <w:sz w:val="24"/>
          <w:szCs w:val="24"/>
          <w:lang w:val="zh-CN"/>
        </w:rPr>
        <w:t>例如农业景观中的农业生态方法</w:t>
      </w:r>
      <w:r w:rsidRPr="00070546">
        <w:rPr>
          <w:rFonts w:hint="eastAsia"/>
          <w:sz w:val="24"/>
          <w:szCs w:val="24"/>
        </w:rPr>
        <w:t>）</w:t>
      </w:r>
      <w:r w:rsidRPr="00070546">
        <w:rPr>
          <w:rFonts w:hint="eastAsia"/>
          <w:sz w:val="24"/>
          <w:szCs w:val="24"/>
          <w:lang w:val="zh-CN"/>
        </w:rPr>
        <w:t>的指导方针</w:t>
      </w:r>
      <w:r w:rsidRPr="00070546">
        <w:rPr>
          <w:rFonts w:hint="eastAsia"/>
          <w:sz w:val="24"/>
          <w:szCs w:val="24"/>
        </w:rPr>
        <w:t>；</w:t>
      </w:r>
    </w:p>
    <w:p w14:paraId="708D6DB4" w14:textId="77777777" w:rsidR="00EC38F6" w:rsidRPr="00070546" w:rsidRDefault="00EC38F6" w:rsidP="0045681A">
      <w:pPr>
        <w:pStyle w:val="CBDNormalNumber"/>
        <w:numPr>
          <w:ilvl w:val="1"/>
          <w:numId w:val="18"/>
        </w:numPr>
        <w:rPr>
          <w:sz w:val="24"/>
          <w:szCs w:val="24"/>
        </w:rPr>
      </w:pPr>
      <w:r w:rsidRPr="00070546">
        <w:rPr>
          <w:rFonts w:hint="eastAsia"/>
          <w:sz w:val="24"/>
          <w:szCs w:val="24"/>
          <w:lang w:val="zh-CN"/>
        </w:rPr>
        <w:t>将生物多样性纳入工程标准、市政规划</w:t>
      </w:r>
      <w:r w:rsidRPr="00070546">
        <w:rPr>
          <w:rFonts w:hint="eastAsia"/>
          <w:sz w:val="24"/>
          <w:szCs w:val="24"/>
        </w:rPr>
        <w:t>（</w:t>
      </w:r>
      <w:r w:rsidRPr="00070546">
        <w:rPr>
          <w:rFonts w:hint="eastAsia"/>
          <w:sz w:val="24"/>
          <w:szCs w:val="24"/>
          <w:lang w:val="zh-CN"/>
        </w:rPr>
        <w:t>包括蓝绿空间</w:t>
      </w:r>
      <w:r w:rsidRPr="00070546">
        <w:rPr>
          <w:rFonts w:hint="eastAsia"/>
          <w:sz w:val="24"/>
          <w:szCs w:val="24"/>
        </w:rPr>
        <w:t>）</w:t>
      </w:r>
      <w:r w:rsidRPr="00070546">
        <w:rPr>
          <w:rFonts w:hint="eastAsia"/>
          <w:sz w:val="24"/>
          <w:szCs w:val="24"/>
          <w:lang w:val="zh-CN"/>
        </w:rPr>
        <w:t>以及关键城市生物多样性互联生态系统网络的指导方针</w:t>
      </w:r>
      <w:r w:rsidRPr="00070546">
        <w:rPr>
          <w:rFonts w:hint="eastAsia"/>
          <w:sz w:val="24"/>
          <w:szCs w:val="24"/>
        </w:rPr>
        <w:t>；</w:t>
      </w:r>
    </w:p>
    <w:p w14:paraId="708D6DB5" w14:textId="77777777" w:rsidR="00EC38F6" w:rsidRPr="00070546" w:rsidRDefault="00EC38F6" w:rsidP="0045681A">
      <w:pPr>
        <w:pStyle w:val="CBDNormalNumber"/>
        <w:numPr>
          <w:ilvl w:val="1"/>
          <w:numId w:val="18"/>
        </w:numPr>
        <w:rPr>
          <w:sz w:val="24"/>
          <w:szCs w:val="24"/>
        </w:rPr>
      </w:pPr>
      <w:r w:rsidRPr="00070546">
        <w:rPr>
          <w:rFonts w:hint="eastAsia"/>
          <w:sz w:val="24"/>
          <w:szCs w:val="24"/>
          <w:lang w:val="zh-CN"/>
        </w:rPr>
        <w:t>加强与土著人民和地方社区的共同治理模式</w:t>
      </w:r>
      <w:r w:rsidRPr="00070546">
        <w:rPr>
          <w:rFonts w:hint="eastAsia"/>
          <w:sz w:val="24"/>
          <w:szCs w:val="24"/>
        </w:rPr>
        <w:t>，</w:t>
      </w:r>
      <w:r w:rsidRPr="00070546">
        <w:rPr>
          <w:rFonts w:hint="eastAsia"/>
          <w:sz w:val="24"/>
          <w:szCs w:val="24"/>
          <w:lang w:val="zh-CN"/>
        </w:rPr>
        <w:t>并审查成功参与规划进程的有利条件</w:t>
      </w:r>
      <w:r w:rsidRPr="00070546">
        <w:rPr>
          <w:rFonts w:hint="eastAsia"/>
          <w:sz w:val="24"/>
          <w:szCs w:val="24"/>
        </w:rPr>
        <w:t>；</w:t>
      </w:r>
    </w:p>
    <w:p w14:paraId="708D6DB6" w14:textId="77777777" w:rsidR="00EC38F6" w:rsidRPr="00070546" w:rsidRDefault="00EC38F6" w:rsidP="0045681A">
      <w:pPr>
        <w:pStyle w:val="CBDNormalNumber"/>
        <w:numPr>
          <w:ilvl w:val="1"/>
          <w:numId w:val="18"/>
        </w:numPr>
        <w:rPr>
          <w:sz w:val="24"/>
          <w:szCs w:val="24"/>
        </w:rPr>
      </w:pPr>
      <w:r w:rsidRPr="00070546">
        <w:rPr>
          <w:rFonts w:hint="eastAsia"/>
          <w:sz w:val="24"/>
          <w:szCs w:val="24"/>
          <w:lang w:val="zh-CN"/>
        </w:rPr>
        <w:t>将气候适应力纳入空间规划的指导方针；</w:t>
      </w:r>
    </w:p>
    <w:p w14:paraId="708D6DB7" w14:textId="77777777" w:rsidR="00EC38F6" w:rsidRPr="00070546" w:rsidRDefault="00EC38F6" w:rsidP="0045681A">
      <w:pPr>
        <w:pStyle w:val="CBDNormalNumber"/>
        <w:numPr>
          <w:ilvl w:val="1"/>
          <w:numId w:val="18"/>
        </w:numPr>
        <w:rPr>
          <w:sz w:val="24"/>
          <w:szCs w:val="24"/>
        </w:rPr>
      </w:pPr>
      <w:r w:rsidRPr="00070546">
        <w:rPr>
          <w:rFonts w:hint="eastAsia"/>
          <w:sz w:val="24"/>
          <w:szCs w:val="24"/>
          <w:lang w:val="zh-CN"/>
        </w:rPr>
        <w:t>在更广泛的规划框架内对海洋空间规划方法进行国家监管的指导方针</w:t>
      </w:r>
      <w:r w:rsidRPr="00070546">
        <w:rPr>
          <w:rFonts w:hint="eastAsia"/>
          <w:sz w:val="24"/>
          <w:szCs w:val="24"/>
        </w:rPr>
        <w:t>；</w:t>
      </w:r>
    </w:p>
    <w:p w14:paraId="708D6DB8" w14:textId="77777777" w:rsidR="00EC38F6" w:rsidRPr="00070546" w:rsidRDefault="00EC38F6" w:rsidP="0045681A">
      <w:pPr>
        <w:pStyle w:val="CBDNormalNumber"/>
        <w:numPr>
          <w:ilvl w:val="1"/>
          <w:numId w:val="18"/>
        </w:numPr>
        <w:rPr>
          <w:sz w:val="24"/>
          <w:szCs w:val="24"/>
        </w:rPr>
      </w:pPr>
      <w:r w:rsidRPr="00070546">
        <w:rPr>
          <w:rFonts w:hint="eastAsia"/>
          <w:sz w:val="24"/>
          <w:szCs w:val="24"/>
          <w:lang w:val="zh-CN"/>
        </w:rPr>
        <w:t>获取沿海和海洋监测技术和系统；</w:t>
      </w:r>
    </w:p>
    <w:p w14:paraId="708D6DB9" w14:textId="77777777" w:rsidR="00EC38F6" w:rsidRPr="00070546" w:rsidRDefault="00EC38F6" w:rsidP="0045681A">
      <w:pPr>
        <w:pStyle w:val="CBDNormalNumber"/>
        <w:numPr>
          <w:ilvl w:val="1"/>
          <w:numId w:val="18"/>
        </w:numPr>
        <w:rPr>
          <w:sz w:val="24"/>
          <w:szCs w:val="24"/>
        </w:rPr>
      </w:pPr>
      <w:r w:rsidRPr="00070546">
        <w:rPr>
          <w:rFonts w:hint="eastAsia"/>
          <w:sz w:val="24"/>
          <w:szCs w:val="24"/>
          <w:lang w:val="zh-CN"/>
        </w:rPr>
        <w:t>关于评估空间规划中生态系统功能和服务以及权衡得失考虑的进一步指导</w:t>
      </w:r>
      <w:r w:rsidRPr="00070546">
        <w:rPr>
          <w:rFonts w:hint="eastAsia"/>
          <w:sz w:val="24"/>
          <w:szCs w:val="24"/>
        </w:rPr>
        <w:t>；</w:t>
      </w:r>
    </w:p>
    <w:p w14:paraId="708D6DBA" w14:textId="77777777" w:rsidR="00EC38F6" w:rsidRPr="00070546" w:rsidRDefault="00EC38F6" w:rsidP="0045681A">
      <w:pPr>
        <w:pStyle w:val="CBDNormalNumber"/>
        <w:numPr>
          <w:ilvl w:val="1"/>
          <w:numId w:val="18"/>
        </w:numPr>
        <w:rPr>
          <w:sz w:val="24"/>
          <w:szCs w:val="24"/>
        </w:rPr>
      </w:pPr>
      <w:r w:rsidRPr="00070546">
        <w:rPr>
          <w:rFonts w:hint="eastAsia"/>
          <w:sz w:val="24"/>
          <w:szCs w:val="24"/>
          <w:lang w:val="zh-CN"/>
        </w:rPr>
        <w:t>关于生态走廊设计的指导；</w:t>
      </w:r>
    </w:p>
    <w:p w14:paraId="708D6DBB" w14:textId="77777777" w:rsidR="00EC38F6" w:rsidRPr="00070546" w:rsidRDefault="00EC38F6" w:rsidP="0045681A">
      <w:pPr>
        <w:pStyle w:val="CBDNormalNumber"/>
        <w:numPr>
          <w:ilvl w:val="1"/>
          <w:numId w:val="18"/>
        </w:numPr>
        <w:rPr>
          <w:sz w:val="24"/>
          <w:szCs w:val="24"/>
        </w:rPr>
      </w:pPr>
      <w:r w:rsidRPr="00070546">
        <w:rPr>
          <w:rFonts w:hint="eastAsia"/>
          <w:sz w:val="24"/>
          <w:szCs w:val="24"/>
          <w:lang w:val="zh-CN"/>
        </w:rPr>
        <w:t>改进监测、数据获取以及相关指标的细化和定义。</w:t>
      </w:r>
      <w:r w:rsidRPr="00070546">
        <w:rPr>
          <w:sz w:val="24"/>
          <w:szCs w:val="24"/>
        </w:rPr>
        <w:t xml:space="preserve"> </w:t>
      </w:r>
    </w:p>
    <w:p w14:paraId="708D6DBC"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一些缔约方注意到补充举措和进程</w:t>
      </w:r>
      <w:r w:rsidRPr="00070546">
        <w:rPr>
          <w:rFonts w:hint="eastAsia"/>
          <w:sz w:val="24"/>
          <w:szCs w:val="24"/>
        </w:rPr>
        <w:t>，</w:t>
      </w:r>
      <w:r w:rsidRPr="00070546">
        <w:rPr>
          <w:rFonts w:hint="eastAsia"/>
          <w:sz w:val="24"/>
          <w:szCs w:val="24"/>
          <w:lang w:val="zh-CN"/>
        </w:rPr>
        <w:t>包括联合国教育、科学及文化组织政府间海洋学委员会和欧洲联盟委员会即将发布的关于涵盖生物多样性的海洋空间规划的指导。</w:t>
      </w:r>
      <w:r w:rsidRPr="00070546">
        <w:rPr>
          <w:sz w:val="24"/>
          <w:szCs w:val="24"/>
          <w:vertAlign w:val="superscript"/>
          <w:lang w:val="zh-CN"/>
        </w:rPr>
        <w:footnoteReference w:id="10"/>
      </w:r>
      <w:r w:rsidRPr="00070546">
        <w:rPr>
          <w:rFonts w:hint="eastAsia"/>
          <w:sz w:val="24"/>
          <w:szCs w:val="24"/>
          <w:lang w:val="zh-CN"/>
        </w:rPr>
        <w:t>粮农组织提到其正在进行的关于土地利用综合规划的工作，对此下文第</w:t>
      </w:r>
      <w:r w:rsidRPr="00070546">
        <w:rPr>
          <w:sz w:val="24"/>
          <w:szCs w:val="24"/>
          <w:lang w:val="zh-CN"/>
        </w:rPr>
        <w:t>19</w:t>
      </w:r>
      <w:r w:rsidRPr="00070546">
        <w:rPr>
          <w:rFonts w:hint="eastAsia"/>
          <w:sz w:val="24"/>
          <w:szCs w:val="24"/>
          <w:lang w:val="zh-CN"/>
        </w:rPr>
        <w:t>段将进行更详细的描述。</w:t>
      </w:r>
    </w:p>
    <w:p w14:paraId="708D6DBD"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提交者指出现有指导的来源</w:t>
      </w:r>
      <w:r w:rsidRPr="00070546">
        <w:rPr>
          <w:rFonts w:hint="eastAsia"/>
          <w:sz w:val="24"/>
          <w:szCs w:val="24"/>
        </w:rPr>
        <w:t>，</w:t>
      </w:r>
      <w:r w:rsidRPr="00070546">
        <w:rPr>
          <w:rFonts w:hint="eastAsia"/>
          <w:sz w:val="24"/>
          <w:szCs w:val="24"/>
          <w:lang w:val="zh-CN"/>
        </w:rPr>
        <w:t>例如国际自然保护联盟的世界保护区委员会的空间规划工作组</w:t>
      </w:r>
      <w:r w:rsidRPr="00070546">
        <w:rPr>
          <w:rFonts w:hint="eastAsia"/>
          <w:sz w:val="24"/>
          <w:szCs w:val="24"/>
        </w:rPr>
        <w:t>；</w:t>
      </w:r>
      <w:r w:rsidRPr="00070546">
        <w:rPr>
          <w:sz w:val="24"/>
          <w:szCs w:val="24"/>
          <w:vertAlign w:val="superscript"/>
          <w:lang w:val="zh-CN"/>
        </w:rPr>
        <w:footnoteReference w:id="11"/>
      </w:r>
      <w:r w:rsidRPr="00070546">
        <w:rPr>
          <w:rFonts w:hint="eastAsia"/>
          <w:sz w:val="24"/>
          <w:szCs w:val="24"/>
          <w:lang w:val="zh-CN"/>
        </w:rPr>
        <w:t>开发署牵头的基本生命支持区测绘倡议</w:t>
      </w:r>
      <w:r w:rsidRPr="00070546">
        <w:rPr>
          <w:rFonts w:hint="eastAsia"/>
          <w:sz w:val="24"/>
          <w:szCs w:val="24"/>
        </w:rPr>
        <w:t>；</w:t>
      </w:r>
      <w:r w:rsidRPr="00070546">
        <w:rPr>
          <w:sz w:val="24"/>
          <w:szCs w:val="24"/>
          <w:vertAlign w:val="superscript"/>
          <w:lang w:val="zh-CN"/>
        </w:rPr>
        <w:footnoteReference w:id="12"/>
      </w:r>
      <w:r w:rsidRPr="00070546">
        <w:rPr>
          <w:rFonts w:hint="eastAsia"/>
          <w:sz w:val="24"/>
          <w:szCs w:val="24"/>
          <w:lang w:val="zh-CN"/>
        </w:rPr>
        <w:t>隶属于《迁徙物种公约》和于</w:t>
      </w:r>
      <w:r w:rsidRPr="00070546">
        <w:rPr>
          <w:sz w:val="24"/>
          <w:szCs w:val="24"/>
        </w:rPr>
        <w:t>2024</w:t>
      </w:r>
      <w:r w:rsidRPr="00070546">
        <w:rPr>
          <w:rFonts w:hint="eastAsia"/>
          <w:sz w:val="24"/>
          <w:szCs w:val="24"/>
          <w:lang w:val="zh-CN"/>
        </w:rPr>
        <w:t>年在其缔约方大会第十四届会议期间启动的全球生态连通性伙伴关系</w:t>
      </w:r>
      <w:r w:rsidRPr="00070546">
        <w:rPr>
          <w:rFonts w:hint="eastAsia"/>
          <w:sz w:val="24"/>
          <w:szCs w:val="24"/>
        </w:rPr>
        <w:t>，</w:t>
      </w:r>
      <w:r w:rsidRPr="00070546">
        <w:rPr>
          <w:rFonts w:hint="eastAsia"/>
          <w:sz w:val="24"/>
          <w:szCs w:val="24"/>
          <w:lang w:val="zh-CN"/>
        </w:rPr>
        <w:t>旨在维护、恢复和加强全球生态连通性</w:t>
      </w:r>
      <w:r w:rsidRPr="00070546">
        <w:rPr>
          <w:rFonts w:hint="eastAsia"/>
          <w:sz w:val="24"/>
          <w:szCs w:val="24"/>
        </w:rPr>
        <w:t>；</w:t>
      </w:r>
      <w:r w:rsidRPr="00070546">
        <w:rPr>
          <w:rFonts w:hint="eastAsia"/>
          <w:sz w:val="24"/>
          <w:szCs w:val="24"/>
          <w:lang w:val="zh-CN"/>
        </w:rPr>
        <w:t>联合国大学及其合作伙伴在社会生态生产景观方面的工作。</w:t>
      </w:r>
      <w:r w:rsidRPr="00070546">
        <w:rPr>
          <w:sz w:val="24"/>
          <w:szCs w:val="24"/>
          <w:vertAlign w:val="superscript"/>
          <w:lang w:val="zh-CN"/>
        </w:rPr>
        <w:footnoteReference w:id="13"/>
      </w:r>
    </w:p>
    <w:p w14:paraId="708D6DBE"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lastRenderedPageBreak/>
        <w:t>提交者指出</w:t>
      </w:r>
      <w:r w:rsidRPr="00070546">
        <w:rPr>
          <w:rFonts w:hint="eastAsia"/>
          <w:sz w:val="24"/>
          <w:szCs w:val="24"/>
        </w:rPr>
        <w:t>，</w:t>
      </w:r>
      <w:r w:rsidRPr="00070546">
        <w:rPr>
          <w:rFonts w:hint="eastAsia"/>
          <w:sz w:val="24"/>
          <w:szCs w:val="24"/>
          <w:lang w:val="zh-CN"/>
        </w:rPr>
        <w:t>规划始终在从地方到国家和区域的各个层面进行</w:t>
      </w:r>
      <w:r w:rsidRPr="00070546">
        <w:rPr>
          <w:rFonts w:hint="eastAsia"/>
          <w:sz w:val="24"/>
          <w:szCs w:val="24"/>
        </w:rPr>
        <w:t>，</w:t>
      </w:r>
      <w:r w:rsidRPr="00070546">
        <w:rPr>
          <w:rFonts w:hint="eastAsia"/>
          <w:sz w:val="24"/>
          <w:szCs w:val="24"/>
          <w:lang w:val="zh-CN"/>
        </w:rPr>
        <w:t>并强调了采用的相关方法</w:t>
      </w:r>
      <w:r w:rsidRPr="00070546">
        <w:rPr>
          <w:rFonts w:hint="eastAsia"/>
          <w:sz w:val="24"/>
          <w:szCs w:val="24"/>
        </w:rPr>
        <w:t>，</w:t>
      </w:r>
      <w:r w:rsidRPr="00070546">
        <w:rPr>
          <w:rFonts w:hint="eastAsia"/>
          <w:sz w:val="24"/>
          <w:szCs w:val="24"/>
          <w:lang w:val="zh-CN"/>
        </w:rPr>
        <w:t>例如环境管理框架、空间发展框架和综合发展规划。他们还指出，需要考虑多重因素，包括可持续的生计和确保淡水生态系统连通性和保护关键水生生境的河流流域范围的保护框架。</w:t>
      </w:r>
      <w:r w:rsidRPr="00070546">
        <w:rPr>
          <w:sz w:val="24"/>
          <w:szCs w:val="24"/>
        </w:rPr>
        <w:t xml:space="preserve"> </w:t>
      </w:r>
    </w:p>
    <w:p w14:paraId="708D6DBF"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一些提交者在空间规划框架内讨论了保护区规划</w:t>
      </w:r>
      <w:r w:rsidRPr="00070546">
        <w:rPr>
          <w:rFonts w:hint="eastAsia"/>
          <w:sz w:val="24"/>
          <w:szCs w:val="24"/>
          <w:lang w:val="en-US"/>
        </w:rPr>
        <w:t>，</w:t>
      </w:r>
      <w:r w:rsidRPr="00070546">
        <w:rPr>
          <w:rFonts w:hint="eastAsia"/>
          <w:sz w:val="24"/>
          <w:szCs w:val="24"/>
          <w:lang w:val="zh-CN"/>
        </w:rPr>
        <w:t>并提请注意《昆蒙框架》的行动目标</w:t>
      </w:r>
      <w:r w:rsidRPr="00070546">
        <w:rPr>
          <w:sz w:val="24"/>
          <w:szCs w:val="24"/>
          <w:lang w:val="en-US"/>
        </w:rPr>
        <w:t>1</w:t>
      </w:r>
      <w:r w:rsidRPr="00070546">
        <w:rPr>
          <w:rFonts w:hint="eastAsia"/>
          <w:sz w:val="24"/>
          <w:szCs w:val="24"/>
          <w:lang w:val="zh-CN"/>
        </w:rPr>
        <w:t>与行动目标</w:t>
      </w:r>
      <w:r w:rsidRPr="00070546">
        <w:rPr>
          <w:sz w:val="24"/>
          <w:szCs w:val="24"/>
          <w:lang w:val="en-US"/>
        </w:rPr>
        <w:t>3</w:t>
      </w:r>
      <w:r w:rsidRPr="00070546">
        <w:rPr>
          <w:rFonts w:hint="eastAsia"/>
          <w:sz w:val="24"/>
          <w:szCs w:val="24"/>
          <w:lang w:val="zh-CN"/>
        </w:rPr>
        <w:t>极其相关。然而，有人指出，保护区规划方法是《公约》下工作成果卓越的领域之一，并且其中已经考虑到对生物多样性和生态系统功能及服务至关重要的领域。例如，保护区工作方案的行动目标</w:t>
      </w:r>
      <w:r w:rsidRPr="00070546">
        <w:rPr>
          <w:sz w:val="24"/>
          <w:szCs w:val="24"/>
          <w:lang w:val="zh-CN"/>
        </w:rPr>
        <w:t>1.2</w:t>
      </w:r>
      <w:r w:rsidRPr="00070546">
        <w:rPr>
          <w:rFonts w:hint="eastAsia"/>
          <w:sz w:val="24"/>
          <w:szCs w:val="24"/>
          <w:lang w:val="zh-CN"/>
        </w:rPr>
        <w:t>是将保护区纳入更广泛的陆地和海洋景观及部门，以维护生态结构和功能。因此，有必要区分加快应用《公约》的现有指导的需要与加强或制定新指导的需要。</w:t>
      </w:r>
      <w:r w:rsidRPr="00070546">
        <w:rPr>
          <w:sz w:val="24"/>
          <w:szCs w:val="24"/>
        </w:rPr>
        <w:t xml:space="preserve"> </w:t>
      </w:r>
    </w:p>
    <w:p w14:paraId="708D6DC0" w14:textId="77777777" w:rsidR="00EC38F6" w:rsidRPr="00070546" w:rsidRDefault="00EC38F6">
      <w:pPr>
        <w:pStyle w:val="CBDH3"/>
        <w:outlineLvl w:val="2"/>
        <w:rPr>
          <w:sz w:val="24"/>
          <w:szCs w:val="24"/>
        </w:rPr>
      </w:pPr>
      <w:r w:rsidRPr="00070546">
        <w:rPr>
          <w:sz w:val="24"/>
          <w:szCs w:val="24"/>
        </w:rPr>
        <w:t>3.</w:t>
      </w:r>
      <w:r w:rsidRPr="00070546">
        <w:rPr>
          <w:sz w:val="24"/>
          <w:szCs w:val="24"/>
        </w:rPr>
        <w:tab/>
      </w:r>
      <w:r w:rsidRPr="00070546">
        <w:rPr>
          <w:rFonts w:hint="eastAsia"/>
          <w:sz w:val="24"/>
          <w:szCs w:val="24"/>
          <w:lang w:val="zh-CN"/>
        </w:rPr>
        <w:t>分析和补充信息</w:t>
      </w:r>
    </w:p>
    <w:p w14:paraId="708D6DC1" w14:textId="77777777" w:rsidR="00EC38F6" w:rsidRPr="001A3F57" w:rsidRDefault="00EC38F6" w:rsidP="00AC156C">
      <w:pPr>
        <w:pStyle w:val="CBDNormalNumber"/>
        <w:numPr>
          <w:ilvl w:val="0"/>
          <w:numId w:val="13"/>
        </w:numPr>
        <w:tabs>
          <w:tab w:val="clear" w:pos="1620"/>
        </w:tabs>
        <w:ind w:left="567" w:firstLine="0"/>
        <w:rPr>
          <w:sz w:val="24"/>
          <w:szCs w:val="24"/>
          <w:lang w:val="zh-CN"/>
        </w:rPr>
      </w:pPr>
      <w:r w:rsidRPr="00070546">
        <w:rPr>
          <w:rFonts w:hint="eastAsia"/>
          <w:sz w:val="24"/>
          <w:szCs w:val="24"/>
          <w:lang w:val="zh-CN"/>
        </w:rPr>
        <w:t>空间规划被广泛应用于几乎所有土地利用的规划</w:t>
      </w:r>
      <w:r w:rsidRPr="001A3F57">
        <w:rPr>
          <w:rFonts w:hint="eastAsia"/>
          <w:sz w:val="24"/>
          <w:szCs w:val="24"/>
          <w:lang w:val="zh-CN"/>
        </w:rPr>
        <w:t>，</w:t>
      </w:r>
      <w:r w:rsidRPr="00070546">
        <w:rPr>
          <w:rFonts w:hint="eastAsia"/>
          <w:sz w:val="24"/>
          <w:szCs w:val="24"/>
          <w:lang w:val="zh-CN"/>
        </w:rPr>
        <w:t>通常由不同部门独立实施</w:t>
      </w:r>
      <w:r w:rsidRPr="001A3F57">
        <w:rPr>
          <w:rFonts w:hint="eastAsia"/>
          <w:sz w:val="24"/>
          <w:szCs w:val="24"/>
          <w:lang w:val="zh-CN"/>
        </w:rPr>
        <w:t>，</w:t>
      </w:r>
      <w:r w:rsidRPr="00070546">
        <w:rPr>
          <w:rFonts w:hint="eastAsia"/>
          <w:sz w:val="24"/>
          <w:szCs w:val="24"/>
          <w:lang w:val="zh-CN"/>
        </w:rPr>
        <w:t>涵盖从地方到国家各级以及城乡地区。主要需要是将生物多样性的相关考虑因素纳入空间规划方法，尤其是以农业和其他生产部门为主的管理景观，也包括城市景观和多用途区域。</w:t>
      </w:r>
    </w:p>
    <w:p w14:paraId="708D6DC2" w14:textId="77777777" w:rsidR="00EC38F6" w:rsidRPr="001A3F57" w:rsidRDefault="00EC38F6" w:rsidP="00AC156C">
      <w:pPr>
        <w:pStyle w:val="CBDNormalNumber"/>
        <w:numPr>
          <w:ilvl w:val="0"/>
          <w:numId w:val="13"/>
        </w:numPr>
        <w:tabs>
          <w:tab w:val="clear" w:pos="1620"/>
        </w:tabs>
        <w:ind w:left="567" w:firstLine="0"/>
        <w:rPr>
          <w:sz w:val="24"/>
          <w:szCs w:val="24"/>
          <w:lang w:val="zh-CN"/>
        </w:rPr>
      </w:pPr>
      <w:r w:rsidRPr="00070546">
        <w:rPr>
          <w:rFonts w:hint="eastAsia"/>
          <w:sz w:val="24"/>
          <w:szCs w:val="24"/>
          <w:lang w:val="zh-CN"/>
        </w:rPr>
        <w:t>生物多样性和生态系统服务政府间科学政策平台在其结合涵盖生物多样性的空间规划和生态连通性的方法论评估中将讨论提交的材料以及</w:t>
      </w:r>
      <w:hyperlink r:id="rId19" w:history="1">
        <w:r w:rsidRPr="001A3F57">
          <w:rPr>
            <w:lang w:val="zh-CN"/>
          </w:rPr>
          <w:t>CBD/SBSTTA/26/3</w:t>
        </w:r>
      </w:hyperlink>
      <w:r w:rsidRPr="00070546">
        <w:rPr>
          <w:rFonts w:hint="eastAsia"/>
          <w:sz w:val="24"/>
          <w:szCs w:val="24"/>
          <w:lang w:val="zh-CN"/>
        </w:rPr>
        <w:t>号文件和</w:t>
      </w:r>
      <w:hyperlink r:id="rId20" w:history="1">
        <w:r w:rsidRPr="001A3F57">
          <w:rPr>
            <w:lang w:val="zh-CN"/>
          </w:rPr>
          <w:t>CBD/SBSTTA/26/INF/15</w:t>
        </w:r>
      </w:hyperlink>
      <w:r w:rsidRPr="00070546">
        <w:rPr>
          <w:rFonts w:hint="eastAsia"/>
          <w:sz w:val="24"/>
          <w:szCs w:val="24"/>
          <w:lang w:val="zh-CN"/>
        </w:rPr>
        <w:t>号文件指出的诸多差距。平台还将讨论《昆蒙框架》的相关行动目标，以及生物多样性敏感型的城市规划；恢复；生态连通性；指标；促进涵盖生物多样性的空间规划的有利环境；生物多样性、粮食、水、健康和气候变化等相互关联要素之间的协同作用和权衡利弊。</w:t>
      </w:r>
      <w:r w:rsidRPr="001A3F57">
        <w:rPr>
          <w:sz w:val="24"/>
          <w:szCs w:val="24"/>
          <w:lang w:val="zh-CN"/>
        </w:rPr>
        <w:t xml:space="preserve"> </w:t>
      </w:r>
    </w:p>
    <w:p w14:paraId="708D6DC3" w14:textId="77777777" w:rsidR="00EC38F6" w:rsidRPr="001A3F57" w:rsidRDefault="00EC38F6" w:rsidP="00AC156C">
      <w:pPr>
        <w:pStyle w:val="CBDNormalNumber"/>
        <w:numPr>
          <w:ilvl w:val="0"/>
          <w:numId w:val="13"/>
        </w:numPr>
        <w:tabs>
          <w:tab w:val="clear" w:pos="1620"/>
        </w:tabs>
        <w:ind w:left="567" w:firstLine="0"/>
        <w:rPr>
          <w:sz w:val="24"/>
          <w:szCs w:val="24"/>
          <w:lang w:val="zh-CN"/>
        </w:rPr>
      </w:pPr>
      <w:r w:rsidRPr="00070546">
        <w:rPr>
          <w:rFonts w:hint="eastAsia"/>
          <w:sz w:val="24"/>
          <w:szCs w:val="24"/>
          <w:lang w:val="zh-CN"/>
        </w:rPr>
        <w:t>平台在其评估中不会涉及的一个关键主题是水系统的动态时空变异性</w:t>
      </w:r>
      <w:r w:rsidRPr="001A3F57">
        <w:rPr>
          <w:rFonts w:hint="eastAsia"/>
          <w:sz w:val="24"/>
          <w:szCs w:val="24"/>
          <w:lang w:val="zh-CN"/>
        </w:rPr>
        <w:t>，</w:t>
      </w:r>
      <w:r w:rsidRPr="00070546">
        <w:rPr>
          <w:rFonts w:hint="eastAsia"/>
          <w:sz w:val="24"/>
          <w:szCs w:val="24"/>
          <w:lang w:val="zh-CN"/>
        </w:rPr>
        <w:t>它会影响内陆水域、沿海和陆地生态系统。这是生态连通性的一个关键方面，它可以通过河流系统或地下水流之间的相互作用延伸到很远的地方。淡水管理的主要规划工具是综合水资源管理。根据</w:t>
      </w:r>
      <w:hyperlink r:id="rId21" w:history="1">
        <w:r w:rsidRPr="001A3F57">
          <w:t>CBD/SBSTTA/26/INF/15</w:t>
        </w:r>
      </w:hyperlink>
      <w:r w:rsidRPr="00070546">
        <w:rPr>
          <w:rFonts w:hint="eastAsia"/>
          <w:sz w:val="24"/>
          <w:szCs w:val="24"/>
          <w:lang w:val="zh-CN"/>
        </w:rPr>
        <w:t>号文件的分析，虽然尚未充分评估现有的大量水资源综合管理指导意见在多大程度上涵盖了生物多样性，但已知这些指导意见存在不一致之处。</w:t>
      </w:r>
      <w:r w:rsidRPr="001A3F57">
        <w:rPr>
          <w:sz w:val="24"/>
          <w:szCs w:val="24"/>
          <w:lang w:val="zh-CN"/>
        </w:rPr>
        <w:t xml:space="preserve"> </w:t>
      </w:r>
    </w:p>
    <w:p w14:paraId="708D6DC4" w14:textId="77777777" w:rsidR="00EC38F6" w:rsidRPr="001A3F57" w:rsidRDefault="00EC38F6" w:rsidP="00AC156C">
      <w:pPr>
        <w:pStyle w:val="CBDNormalNumber"/>
        <w:numPr>
          <w:ilvl w:val="0"/>
          <w:numId w:val="13"/>
        </w:numPr>
        <w:tabs>
          <w:tab w:val="clear" w:pos="1620"/>
        </w:tabs>
        <w:ind w:left="567" w:firstLine="0"/>
        <w:rPr>
          <w:sz w:val="24"/>
          <w:szCs w:val="24"/>
          <w:lang w:val="zh-CN"/>
        </w:rPr>
      </w:pPr>
      <w:r w:rsidRPr="00070546">
        <w:rPr>
          <w:rFonts w:hint="eastAsia"/>
          <w:sz w:val="24"/>
          <w:szCs w:val="24"/>
          <w:lang w:val="zh-CN"/>
        </w:rPr>
        <w:t>粮农组织正在通过包容性的全球磋商更新其土地利用综合规划指导方针</w:t>
      </w:r>
      <w:r w:rsidRPr="001A3F57">
        <w:rPr>
          <w:rFonts w:hint="eastAsia"/>
          <w:sz w:val="24"/>
          <w:szCs w:val="24"/>
          <w:lang w:val="zh-CN"/>
        </w:rPr>
        <w:t>，</w:t>
      </w:r>
      <w:r w:rsidRPr="00070546">
        <w:rPr>
          <w:rFonts w:hint="eastAsia"/>
          <w:sz w:val="24"/>
          <w:szCs w:val="24"/>
          <w:lang w:val="zh-CN"/>
        </w:rPr>
        <w:t>力求将气候变化、生物多样性和土地退化等考虑因素纳入其中。该指导方针将涵盖农业与湿地的相互作用、管理与水相关的生态系统服务、在土地和水资源规划中应用基于生态系统的方法，以及支持加强合作，促进在粮食生产、水资源分配和生物多样性保护之间实现平衡的规划进程。</w:t>
      </w:r>
      <w:r w:rsidRPr="001A3F57">
        <w:rPr>
          <w:sz w:val="24"/>
          <w:szCs w:val="24"/>
          <w:lang w:val="zh-CN"/>
        </w:rPr>
        <w:t xml:space="preserve"> </w:t>
      </w:r>
    </w:p>
    <w:p w14:paraId="708D6DC5" w14:textId="77777777" w:rsidR="00EC38F6" w:rsidRPr="001A3F57" w:rsidRDefault="00EC38F6" w:rsidP="00AC156C">
      <w:pPr>
        <w:pStyle w:val="CBDNormalNumber"/>
        <w:numPr>
          <w:ilvl w:val="0"/>
          <w:numId w:val="13"/>
        </w:numPr>
        <w:tabs>
          <w:tab w:val="clear" w:pos="1620"/>
        </w:tabs>
        <w:ind w:left="567" w:firstLine="0"/>
        <w:rPr>
          <w:sz w:val="24"/>
          <w:szCs w:val="24"/>
          <w:lang w:val="zh-CN"/>
        </w:rPr>
      </w:pPr>
      <w:r w:rsidRPr="00070546">
        <w:rPr>
          <w:rFonts w:hint="eastAsia"/>
          <w:sz w:val="24"/>
          <w:szCs w:val="24"/>
          <w:lang w:val="zh-CN"/>
        </w:rPr>
        <w:t>根据《联合国关于在发生严重干旱和</w:t>
      </w:r>
      <w:r w:rsidRPr="001A3F57">
        <w:rPr>
          <w:sz w:val="24"/>
          <w:szCs w:val="24"/>
          <w:lang w:val="zh-CN"/>
        </w:rPr>
        <w:t>/</w:t>
      </w:r>
      <w:r w:rsidRPr="00070546">
        <w:rPr>
          <w:rFonts w:hint="eastAsia"/>
          <w:sz w:val="24"/>
          <w:szCs w:val="24"/>
          <w:lang w:val="zh-CN"/>
        </w:rPr>
        <w:t>或荒漠化的国家特别是在非洲防治荒漠化的公约》</w:t>
      </w:r>
      <w:r w:rsidRPr="001A3F57">
        <w:rPr>
          <w:rFonts w:hint="eastAsia"/>
          <w:sz w:val="24"/>
          <w:szCs w:val="24"/>
          <w:lang w:val="zh-CN"/>
        </w:rPr>
        <w:t>，</w:t>
      </w:r>
      <w:r w:rsidRPr="00070546">
        <w:rPr>
          <w:rFonts w:hint="eastAsia"/>
          <w:sz w:val="24"/>
          <w:szCs w:val="24"/>
          <w:lang w:val="zh-CN"/>
        </w:rPr>
        <w:t>目前正在开展大量土地利用综合规划工作</w:t>
      </w:r>
      <w:r w:rsidRPr="001A3F57">
        <w:rPr>
          <w:rFonts w:hint="eastAsia"/>
          <w:sz w:val="24"/>
          <w:szCs w:val="24"/>
          <w:lang w:val="zh-CN"/>
        </w:rPr>
        <w:t>，</w:t>
      </w:r>
      <w:r w:rsidRPr="00070546">
        <w:rPr>
          <w:rFonts w:hint="eastAsia"/>
          <w:sz w:val="24"/>
          <w:szCs w:val="24"/>
          <w:lang w:val="zh-CN"/>
        </w:rPr>
        <w:t>以支持可持续发展目标中的第</w:t>
      </w:r>
      <w:r w:rsidRPr="001A3F57">
        <w:rPr>
          <w:sz w:val="24"/>
          <w:szCs w:val="24"/>
          <w:lang w:val="zh-CN"/>
        </w:rPr>
        <w:t>15.3</w:t>
      </w:r>
      <w:r w:rsidRPr="00070546">
        <w:rPr>
          <w:rFonts w:hint="eastAsia"/>
          <w:sz w:val="24"/>
          <w:szCs w:val="24"/>
          <w:lang w:val="zh-CN"/>
        </w:rPr>
        <w:t>项具体目标</w:t>
      </w:r>
      <w:r w:rsidRPr="001A3F57">
        <w:rPr>
          <w:rFonts w:hint="eastAsia"/>
          <w:sz w:val="24"/>
          <w:szCs w:val="24"/>
          <w:lang w:val="zh-CN"/>
        </w:rPr>
        <w:t>，</w:t>
      </w:r>
      <w:r w:rsidRPr="00070546">
        <w:rPr>
          <w:rFonts w:hint="eastAsia"/>
          <w:sz w:val="24"/>
          <w:szCs w:val="24"/>
          <w:lang w:val="zh-CN"/>
        </w:rPr>
        <w:t>即实现土地退化零增长。这项工作包括一份关于土地退化零增长的综合土地利用规划和综合景观管理的科学政策简报、</w:t>
      </w:r>
      <w:r w:rsidRPr="001A3F57">
        <w:rPr>
          <w:vertAlign w:val="superscript"/>
        </w:rPr>
        <w:footnoteReference w:id="14"/>
      </w:r>
      <w:r w:rsidRPr="00070546">
        <w:rPr>
          <w:rFonts w:hint="eastAsia"/>
          <w:sz w:val="24"/>
          <w:szCs w:val="24"/>
          <w:lang w:val="zh-CN"/>
        </w:rPr>
        <w:t>土地退化零增长工具箱</w:t>
      </w:r>
      <w:r w:rsidRPr="001A3F57">
        <w:rPr>
          <w:sz w:val="24"/>
          <w:szCs w:val="24"/>
          <w:vertAlign w:val="superscript"/>
          <w:lang w:val="zh-CN"/>
        </w:rPr>
        <w:footnoteReference w:id="15"/>
      </w:r>
      <w:r w:rsidRPr="00070546">
        <w:rPr>
          <w:rFonts w:hint="eastAsia"/>
          <w:sz w:val="24"/>
          <w:szCs w:val="24"/>
          <w:lang w:val="zh-CN"/>
        </w:rPr>
        <w:t>以及土地退化零增长目标制定方案的第二阶段。</w:t>
      </w:r>
      <w:r w:rsidRPr="001A3F57">
        <w:rPr>
          <w:sz w:val="24"/>
          <w:szCs w:val="24"/>
          <w:vertAlign w:val="superscript"/>
          <w:lang w:val="zh-CN"/>
        </w:rPr>
        <w:footnoteReference w:id="16"/>
      </w:r>
    </w:p>
    <w:p w14:paraId="708D6DC6" w14:textId="77777777" w:rsidR="00EC38F6" w:rsidRPr="00070546" w:rsidRDefault="00EC38F6">
      <w:pPr>
        <w:pStyle w:val="CBDH3"/>
        <w:outlineLvl w:val="2"/>
        <w:rPr>
          <w:sz w:val="24"/>
          <w:szCs w:val="24"/>
        </w:rPr>
      </w:pPr>
      <w:r w:rsidRPr="00070546">
        <w:rPr>
          <w:sz w:val="24"/>
          <w:szCs w:val="24"/>
        </w:rPr>
        <w:lastRenderedPageBreak/>
        <w:t>4.</w:t>
      </w:r>
      <w:r w:rsidRPr="00070546">
        <w:rPr>
          <w:sz w:val="24"/>
          <w:szCs w:val="24"/>
        </w:rPr>
        <w:tab/>
      </w:r>
      <w:r w:rsidRPr="00070546">
        <w:rPr>
          <w:rFonts w:hint="eastAsia"/>
          <w:sz w:val="24"/>
          <w:szCs w:val="24"/>
          <w:lang w:val="zh-CN"/>
        </w:rPr>
        <w:t>关于未来可能前进方向的结论</w:t>
      </w:r>
    </w:p>
    <w:p w14:paraId="708D6DC7"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生物多样性和生态系统服务政府间科学政策平台的快速方法评估将涵盖将生物多样性的各项考虑因素纳入跨部门和跨尺度空间规划并促进其连通性</w:t>
      </w:r>
      <w:r w:rsidRPr="00070546">
        <w:rPr>
          <w:rFonts w:hint="eastAsia"/>
          <w:sz w:val="24"/>
          <w:szCs w:val="24"/>
        </w:rPr>
        <w:t>（</w:t>
      </w:r>
      <w:r w:rsidRPr="00070546">
        <w:rPr>
          <w:rFonts w:hint="eastAsia"/>
          <w:sz w:val="24"/>
          <w:szCs w:val="24"/>
          <w:lang w:val="zh-CN"/>
        </w:rPr>
        <w:t>结构性和功能性</w:t>
      </w:r>
      <w:r w:rsidRPr="00070546">
        <w:rPr>
          <w:rFonts w:hint="eastAsia"/>
          <w:sz w:val="24"/>
          <w:szCs w:val="24"/>
        </w:rPr>
        <w:t>）</w:t>
      </w:r>
      <w:r w:rsidRPr="00070546">
        <w:rPr>
          <w:rFonts w:hint="eastAsia"/>
          <w:sz w:val="24"/>
          <w:szCs w:val="24"/>
          <w:lang w:val="zh-CN"/>
        </w:rPr>
        <w:t>的方法、指导、工具、情景、模型、数据、知识和能力建设。预计缔约方大会将在</w:t>
      </w:r>
      <w:r w:rsidRPr="00070546">
        <w:rPr>
          <w:sz w:val="24"/>
          <w:szCs w:val="24"/>
          <w:lang w:val="en-US"/>
        </w:rPr>
        <w:t>2028</w:t>
      </w:r>
      <w:r w:rsidRPr="00070546">
        <w:rPr>
          <w:rFonts w:hint="eastAsia"/>
          <w:sz w:val="24"/>
          <w:szCs w:val="24"/>
          <w:lang w:val="zh-CN"/>
        </w:rPr>
        <w:t>年第十八届会议审议这项评估。因此，建议将当前领域的进一步工作推迟到届时开展。</w:t>
      </w:r>
    </w:p>
    <w:p w14:paraId="708D6DC8"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缔约方大会将在其第十七届会议对实施《昆蒙框架》的集体进展情况进行全球审查</w:t>
      </w:r>
      <w:r w:rsidRPr="00070546">
        <w:rPr>
          <w:rFonts w:hint="eastAsia"/>
          <w:sz w:val="24"/>
          <w:szCs w:val="24"/>
        </w:rPr>
        <w:t>，</w:t>
      </w:r>
      <w:r w:rsidRPr="00070546">
        <w:rPr>
          <w:rFonts w:hint="eastAsia"/>
          <w:sz w:val="24"/>
          <w:szCs w:val="24"/>
          <w:lang w:val="zh-CN"/>
        </w:rPr>
        <w:t>其中包括对</w:t>
      </w:r>
      <w:r w:rsidRPr="00070546">
        <w:rPr>
          <w:sz w:val="24"/>
          <w:szCs w:val="24"/>
        </w:rPr>
        <w:t>23</w:t>
      </w:r>
      <w:r w:rsidRPr="00070546">
        <w:rPr>
          <w:rFonts w:hint="eastAsia"/>
          <w:sz w:val="24"/>
          <w:szCs w:val="24"/>
          <w:lang w:val="zh-CN"/>
        </w:rPr>
        <w:t>个行动目标、</w:t>
      </w:r>
      <w:r w:rsidRPr="00070546">
        <w:rPr>
          <w:sz w:val="24"/>
          <w:szCs w:val="24"/>
        </w:rPr>
        <w:t>2030</w:t>
      </w:r>
      <w:r w:rsidRPr="00070546">
        <w:rPr>
          <w:rFonts w:hint="eastAsia"/>
          <w:sz w:val="24"/>
          <w:szCs w:val="24"/>
          <w:lang w:val="zh-CN"/>
        </w:rPr>
        <w:t>年任务以及《昆蒙框架》其他要素</w:t>
      </w:r>
      <w:r w:rsidRPr="00070546">
        <w:rPr>
          <w:rFonts w:hint="eastAsia"/>
          <w:sz w:val="24"/>
          <w:szCs w:val="24"/>
        </w:rPr>
        <w:t>（</w:t>
      </w:r>
      <w:r w:rsidRPr="00070546">
        <w:rPr>
          <w:rFonts w:hint="eastAsia"/>
          <w:sz w:val="24"/>
          <w:szCs w:val="24"/>
          <w:lang w:val="zh-CN"/>
        </w:rPr>
        <w:t>包括其</w:t>
      </w:r>
      <w:r w:rsidRPr="00070546">
        <w:rPr>
          <w:sz w:val="24"/>
          <w:szCs w:val="24"/>
        </w:rPr>
        <w:t>C</w:t>
      </w:r>
      <w:r w:rsidRPr="00070546">
        <w:rPr>
          <w:rFonts w:hint="eastAsia"/>
          <w:sz w:val="24"/>
          <w:szCs w:val="24"/>
          <w:lang w:val="zh-CN"/>
        </w:rPr>
        <w:t>、</w:t>
      </w:r>
      <w:r w:rsidRPr="00070546">
        <w:rPr>
          <w:sz w:val="24"/>
          <w:szCs w:val="24"/>
        </w:rPr>
        <w:t>I</w:t>
      </w:r>
      <w:r w:rsidRPr="00070546">
        <w:rPr>
          <w:rFonts w:hint="eastAsia"/>
          <w:sz w:val="24"/>
          <w:szCs w:val="24"/>
          <w:lang w:val="zh-CN"/>
        </w:rPr>
        <w:t>、</w:t>
      </w:r>
      <w:r w:rsidRPr="00070546">
        <w:rPr>
          <w:sz w:val="24"/>
          <w:szCs w:val="24"/>
        </w:rPr>
        <w:t>J</w:t>
      </w:r>
      <w:r w:rsidRPr="00070546">
        <w:rPr>
          <w:rFonts w:hint="eastAsia"/>
          <w:sz w:val="24"/>
          <w:szCs w:val="24"/>
          <w:lang w:val="zh-CN"/>
        </w:rPr>
        <w:t>和</w:t>
      </w:r>
      <w:r w:rsidRPr="00070546">
        <w:rPr>
          <w:sz w:val="24"/>
          <w:szCs w:val="24"/>
        </w:rPr>
        <w:t>K</w:t>
      </w:r>
      <w:r w:rsidRPr="00070546">
        <w:rPr>
          <w:rFonts w:hint="eastAsia"/>
          <w:sz w:val="24"/>
          <w:szCs w:val="24"/>
          <w:lang w:val="zh-CN"/>
        </w:rPr>
        <w:t>部分</w:t>
      </w:r>
      <w:r w:rsidRPr="00070546">
        <w:rPr>
          <w:rFonts w:hint="eastAsia"/>
          <w:sz w:val="24"/>
          <w:szCs w:val="24"/>
        </w:rPr>
        <w:t>）</w:t>
      </w:r>
      <w:r w:rsidRPr="00070546">
        <w:rPr>
          <w:rFonts w:hint="eastAsia"/>
          <w:sz w:val="24"/>
          <w:szCs w:val="24"/>
          <w:lang w:val="zh-CN"/>
        </w:rPr>
        <w:t>的进展情况进行逐项评估。建议在准备评估报告期间，作为一项临时措施，请秘书处借鉴全球审查的意见，编写一份关于涵盖生物多样性的空间规划经验的报告，并为来自缔约方、其他国家政府、土著人民和地方社区以及相关组织的相关专家举办一次研讨会，以促进对涵盖生物多样性的空间规划的共同理解。</w:t>
      </w:r>
    </w:p>
    <w:p w14:paraId="708D6DC9" w14:textId="77777777" w:rsidR="00EC38F6" w:rsidRPr="00070546" w:rsidRDefault="00EC38F6">
      <w:pPr>
        <w:pStyle w:val="CBDH2"/>
        <w:outlineLvl w:val="1"/>
        <w:rPr>
          <w:szCs w:val="24"/>
        </w:rPr>
      </w:pPr>
      <w:r w:rsidRPr="00070546">
        <w:rPr>
          <w:noProof/>
          <w:szCs w:val="24"/>
        </w:rPr>
        <w:t>B.</w:t>
      </w:r>
      <w:r w:rsidRPr="00070546">
        <w:rPr>
          <w:szCs w:val="24"/>
        </w:rPr>
        <w:tab/>
      </w:r>
      <w:r w:rsidRPr="00070546">
        <w:rPr>
          <w:rFonts w:hint="eastAsia"/>
          <w:szCs w:val="24"/>
          <w:lang w:val="zh-CN"/>
        </w:rPr>
        <w:t>污染与生物多样性</w:t>
      </w:r>
    </w:p>
    <w:p w14:paraId="708D6DCA" w14:textId="77777777" w:rsidR="00EC38F6" w:rsidRPr="00070546" w:rsidRDefault="00EC38F6">
      <w:pPr>
        <w:pStyle w:val="CBDH3"/>
        <w:outlineLvl w:val="2"/>
        <w:rPr>
          <w:sz w:val="24"/>
          <w:szCs w:val="24"/>
        </w:rPr>
      </w:pPr>
      <w:r w:rsidRPr="00070546">
        <w:rPr>
          <w:sz w:val="24"/>
          <w:szCs w:val="24"/>
        </w:rPr>
        <w:t>1.</w:t>
      </w:r>
      <w:r w:rsidRPr="00070546">
        <w:rPr>
          <w:sz w:val="24"/>
          <w:szCs w:val="24"/>
        </w:rPr>
        <w:tab/>
      </w:r>
      <w:r w:rsidRPr="00070546">
        <w:rPr>
          <w:rFonts w:hint="eastAsia"/>
          <w:sz w:val="24"/>
          <w:szCs w:val="24"/>
          <w:lang w:val="zh-CN"/>
        </w:rPr>
        <w:t>背景</w:t>
      </w:r>
    </w:p>
    <w:p w14:paraId="708D6DCB"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虽然《昆蒙框架》的行动目标</w:t>
      </w:r>
      <w:r w:rsidRPr="00070546">
        <w:rPr>
          <w:sz w:val="24"/>
          <w:szCs w:val="24"/>
        </w:rPr>
        <w:t>7</w:t>
      </w:r>
      <w:r w:rsidRPr="00070546">
        <w:rPr>
          <w:rFonts w:hint="eastAsia"/>
          <w:sz w:val="24"/>
          <w:szCs w:val="24"/>
          <w:lang w:val="zh-CN"/>
        </w:rPr>
        <w:t>讨论了所有来源的污染</w:t>
      </w:r>
      <w:r w:rsidRPr="00070546">
        <w:rPr>
          <w:rFonts w:hint="eastAsia"/>
          <w:sz w:val="24"/>
          <w:szCs w:val="24"/>
        </w:rPr>
        <w:t>，</w:t>
      </w:r>
      <w:r w:rsidRPr="00070546">
        <w:rPr>
          <w:rFonts w:hint="eastAsia"/>
          <w:sz w:val="24"/>
          <w:szCs w:val="24"/>
          <w:lang w:val="zh-CN"/>
        </w:rPr>
        <w:t>但它强调的是流失到环境的过量营养物、农药、剧毒化学品和塑料污染。</w:t>
      </w:r>
    </w:p>
    <w:p w14:paraId="708D6DCC"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根据《公约》</w:t>
      </w:r>
      <w:r w:rsidRPr="00070546">
        <w:rPr>
          <w:rFonts w:hint="eastAsia"/>
          <w:sz w:val="24"/>
          <w:szCs w:val="24"/>
        </w:rPr>
        <w:t>，</w:t>
      </w:r>
      <w:r w:rsidRPr="00070546">
        <w:rPr>
          <w:rFonts w:hint="eastAsia"/>
          <w:sz w:val="24"/>
          <w:szCs w:val="24"/>
          <w:lang w:val="zh-CN"/>
        </w:rPr>
        <w:t>污染问题通过若干工作方案得到处理。关于农业生物多样性工作方案通过采取跨领域举措等方式，对污染问题进行了最为详细的处理。</w:t>
      </w:r>
      <w:r w:rsidRPr="00070546">
        <w:rPr>
          <w:rStyle w:val="FootnoteReference"/>
          <w:sz w:val="24"/>
          <w:szCs w:val="24"/>
          <w:lang w:val="zh-CN"/>
        </w:rPr>
        <w:footnoteReference w:id="17"/>
      </w:r>
      <w:r w:rsidRPr="00070546">
        <w:rPr>
          <w:rFonts w:hint="eastAsia"/>
          <w:sz w:val="24"/>
          <w:szCs w:val="24"/>
          <w:lang w:val="zh-CN"/>
        </w:rPr>
        <w:t>海洋和沿海生物多样性工作方案也探讨了这一议题，包括海洋垃圾和水下噪音，</w:t>
      </w:r>
      <w:r w:rsidRPr="00070546">
        <w:rPr>
          <w:rStyle w:val="FootnoteReference"/>
          <w:sz w:val="24"/>
          <w:szCs w:val="24"/>
          <w:lang w:val="zh-CN"/>
        </w:rPr>
        <w:footnoteReference w:id="18"/>
      </w:r>
      <w:r w:rsidRPr="00070546">
        <w:rPr>
          <w:rFonts w:hint="eastAsia"/>
          <w:sz w:val="24"/>
          <w:szCs w:val="24"/>
          <w:lang w:val="zh-CN"/>
        </w:rPr>
        <w:t>尽管自编制指导以来，污染的性质和影响已有了变化。最近通过的《生物多样性与健康全球行动计划》</w:t>
      </w:r>
      <w:r w:rsidRPr="00070546">
        <w:rPr>
          <w:rStyle w:val="FootnoteReference"/>
          <w:sz w:val="24"/>
          <w:szCs w:val="24"/>
          <w:lang w:val="zh-CN"/>
        </w:rPr>
        <w:footnoteReference w:id="19"/>
      </w:r>
      <w:r w:rsidRPr="00070546">
        <w:rPr>
          <w:rFonts w:hint="eastAsia"/>
          <w:sz w:val="24"/>
          <w:szCs w:val="24"/>
          <w:lang w:val="zh-CN"/>
        </w:rPr>
        <w:t>也提及污染问题，该计划审议了污染对人类、动物、植物和生态系统健康的负面影响，并纳入了自愿行动，将生物多样性与健康的相互联系纳入《昆蒙框架》行动目标</w:t>
      </w:r>
      <w:r w:rsidRPr="00070546">
        <w:rPr>
          <w:sz w:val="24"/>
          <w:szCs w:val="24"/>
          <w:lang w:val="zh-CN"/>
        </w:rPr>
        <w:t>7</w:t>
      </w:r>
      <w:r w:rsidRPr="00070546">
        <w:rPr>
          <w:rFonts w:hint="eastAsia"/>
          <w:sz w:val="24"/>
          <w:szCs w:val="24"/>
          <w:lang w:val="zh-CN"/>
        </w:rPr>
        <w:t>的主流。</w:t>
      </w:r>
      <w:r w:rsidRPr="00070546">
        <w:rPr>
          <w:sz w:val="24"/>
          <w:szCs w:val="24"/>
        </w:rPr>
        <w:t xml:space="preserve"> </w:t>
      </w:r>
    </w:p>
    <w:p w14:paraId="708D6DCD"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在第</w:t>
      </w:r>
      <w:hyperlink r:id="rId22" w:history="1">
        <w:r w:rsidRPr="00070546">
          <w:rPr>
            <w:rStyle w:val="Hyperlink"/>
            <w:sz w:val="24"/>
            <w:szCs w:val="24"/>
          </w:rPr>
          <w:t>16/35</w:t>
        </w:r>
      </w:hyperlink>
      <w:r w:rsidRPr="00070546">
        <w:rPr>
          <w:rFonts w:hint="eastAsia"/>
          <w:sz w:val="24"/>
          <w:szCs w:val="24"/>
          <w:lang w:val="zh-CN"/>
        </w:rPr>
        <w:t>号决定第</w:t>
      </w:r>
      <w:r w:rsidRPr="00070546">
        <w:rPr>
          <w:sz w:val="24"/>
          <w:szCs w:val="24"/>
        </w:rPr>
        <w:t>19</w:t>
      </w:r>
      <w:r w:rsidRPr="00070546">
        <w:rPr>
          <w:rFonts w:hint="eastAsia"/>
          <w:sz w:val="24"/>
          <w:szCs w:val="24"/>
          <w:lang w:val="zh-CN"/>
        </w:rPr>
        <w:t>段中</w:t>
      </w:r>
      <w:r w:rsidRPr="00070546">
        <w:rPr>
          <w:rFonts w:hint="eastAsia"/>
          <w:sz w:val="24"/>
          <w:szCs w:val="24"/>
        </w:rPr>
        <w:t>，</w:t>
      </w:r>
      <w:r w:rsidRPr="00070546">
        <w:rPr>
          <w:rFonts w:hint="eastAsia"/>
          <w:sz w:val="24"/>
          <w:szCs w:val="24"/>
          <w:lang w:val="zh-CN"/>
        </w:rPr>
        <w:t>缔约方大会邀请化学品和废物公约理事机构、粮农组织和其他相关公约和组织</w:t>
      </w:r>
      <w:r w:rsidRPr="00070546">
        <w:rPr>
          <w:rFonts w:hint="eastAsia"/>
          <w:sz w:val="24"/>
          <w:szCs w:val="24"/>
        </w:rPr>
        <w:t>，</w:t>
      </w:r>
      <w:r w:rsidRPr="00070546">
        <w:rPr>
          <w:rFonts w:hint="eastAsia"/>
          <w:sz w:val="24"/>
          <w:szCs w:val="24"/>
          <w:lang w:val="zh-CN"/>
        </w:rPr>
        <w:t>包括《全球化学品框架</w:t>
      </w:r>
      <w:r w:rsidRPr="00070546">
        <w:rPr>
          <w:sz w:val="24"/>
          <w:szCs w:val="24"/>
        </w:rPr>
        <w:t xml:space="preserve"> — </w:t>
      </w:r>
      <w:r w:rsidRPr="00070546">
        <w:rPr>
          <w:rFonts w:hint="eastAsia"/>
          <w:sz w:val="24"/>
          <w:szCs w:val="24"/>
          <w:lang w:val="zh-CN"/>
        </w:rPr>
        <w:t>实现一个没有化学品和废物危害的地球》与里约三项公约合作</w:t>
      </w:r>
      <w:r w:rsidRPr="00070546">
        <w:rPr>
          <w:rFonts w:hint="eastAsia"/>
          <w:sz w:val="24"/>
          <w:szCs w:val="24"/>
        </w:rPr>
        <w:t>，</w:t>
      </w:r>
      <w:r w:rsidRPr="00070546">
        <w:rPr>
          <w:rFonts w:hint="eastAsia"/>
          <w:sz w:val="24"/>
          <w:szCs w:val="24"/>
          <w:lang w:val="zh-CN"/>
        </w:rPr>
        <w:t>与缔约方、其他国家政府、土著人民和地方社区以及相关利益攸关方协商</w:t>
      </w:r>
      <w:r w:rsidRPr="00070546">
        <w:rPr>
          <w:rFonts w:hint="eastAsia"/>
          <w:sz w:val="24"/>
          <w:szCs w:val="24"/>
        </w:rPr>
        <w:t>，</w:t>
      </w:r>
      <w:r w:rsidRPr="00070546">
        <w:rPr>
          <w:rFonts w:hint="eastAsia"/>
          <w:sz w:val="24"/>
          <w:szCs w:val="24"/>
          <w:lang w:val="zh-CN"/>
        </w:rPr>
        <w:t>实现《昆蒙框架》行动目标</w:t>
      </w:r>
      <w:r w:rsidRPr="00070546">
        <w:rPr>
          <w:sz w:val="24"/>
          <w:szCs w:val="24"/>
        </w:rPr>
        <w:t>7</w:t>
      </w:r>
      <w:r w:rsidRPr="00070546">
        <w:rPr>
          <w:rFonts w:hint="eastAsia"/>
          <w:sz w:val="24"/>
          <w:szCs w:val="24"/>
        </w:rPr>
        <w:t>，</w:t>
      </w:r>
      <w:r w:rsidRPr="00070546">
        <w:rPr>
          <w:rFonts w:hint="eastAsia"/>
          <w:sz w:val="24"/>
          <w:szCs w:val="24"/>
          <w:lang w:val="zh-CN"/>
        </w:rPr>
        <w:t>即把污染降低到对生物多样性无害的水平。</w:t>
      </w:r>
      <w:r w:rsidRPr="00070546">
        <w:rPr>
          <w:sz w:val="24"/>
          <w:szCs w:val="24"/>
        </w:rPr>
        <w:t xml:space="preserve"> </w:t>
      </w:r>
    </w:p>
    <w:p w14:paraId="708D6DCE" w14:textId="77777777" w:rsidR="00EC38F6" w:rsidRPr="00070546" w:rsidRDefault="00EC38F6">
      <w:pPr>
        <w:pStyle w:val="CBDH3"/>
        <w:outlineLvl w:val="2"/>
        <w:rPr>
          <w:sz w:val="24"/>
          <w:szCs w:val="24"/>
        </w:rPr>
      </w:pPr>
      <w:r w:rsidRPr="00070546">
        <w:rPr>
          <w:sz w:val="24"/>
          <w:szCs w:val="24"/>
        </w:rPr>
        <w:t>2.</w:t>
      </w:r>
      <w:r w:rsidRPr="00070546">
        <w:rPr>
          <w:sz w:val="24"/>
          <w:szCs w:val="24"/>
        </w:rPr>
        <w:tab/>
      </w:r>
      <w:r w:rsidRPr="00070546">
        <w:rPr>
          <w:rFonts w:hint="eastAsia"/>
          <w:sz w:val="24"/>
          <w:szCs w:val="24"/>
          <w:lang w:val="zh-CN"/>
        </w:rPr>
        <w:t>提交的材料摘要</w:t>
      </w:r>
    </w:p>
    <w:p w14:paraId="708D6DCF"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共收到</w:t>
      </w:r>
      <w:r w:rsidRPr="00070546">
        <w:rPr>
          <w:sz w:val="24"/>
          <w:szCs w:val="24"/>
        </w:rPr>
        <w:t>19</w:t>
      </w:r>
      <w:r w:rsidRPr="00070546">
        <w:rPr>
          <w:rFonts w:hint="eastAsia"/>
          <w:sz w:val="24"/>
          <w:szCs w:val="24"/>
          <w:lang w:val="zh-CN"/>
        </w:rPr>
        <w:t>份关于本主题的材料。</w:t>
      </w:r>
      <w:r w:rsidRPr="00070546">
        <w:rPr>
          <w:rStyle w:val="FootnoteReference"/>
          <w:sz w:val="24"/>
          <w:szCs w:val="24"/>
          <w:lang w:val="zh-CN"/>
        </w:rPr>
        <w:footnoteReference w:id="20"/>
      </w:r>
      <w:r w:rsidRPr="00070546">
        <w:rPr>
          <w:rFonts w:hint="eastAsia"/>
          <w:sz w:val="24"/>
          <w:szCs w:val="24"/>
          <w:lang w:val="zh-CN"/>
        </w:rPr>
        <w:t>提交者指出，在实施行动目标</w:t>
      </w:r>
      <w:r w:rsidRPr="00070546">
        <w:rPr>
          <w:sz w:val="24"/>
          <w:szCs w:val="24"/>
          <w:lang w:val="zh-CN"/>
        </w:rPr>
        <w:t>7</w:t>
      </w:r>
      <w:r w:rsidRPr="00070546">
        <w:rPr>
          <w:rFonts w:hint="eastAsia"/>
          <w:sz w:val="24"/>
          <w:szCs w:val="24"/>
          <w:lang w:val="zh-CN"/>
        </w:rPr>
        <w:t>方面，存在以下技术和科学需求：</w:t>
      </w:r>
      <w:r w:rsidRPr="00070546">
        <w:rPr>
          <w:sz w:val="24"/>
          <w:szCs w:val="24"/>
        </w:rPr>
        <w:t xml:space="preserve"> </w:t>
      </w:r>
    </w:p>
    <w:p w14:paraId="708D6DD0" w14:textId="77777777" w:rsidR="00EC38F6" w:rsidRPr="00070546" w:rsidRDefault="00EC38F6" w:rsidP="0045681A">
      <w:pPr>
        <w:pStyle w:val="CBDNormalNumber"/>
        <w:numPr>
          <w:ilvl w:val="1"/>
          <w:numId w:val="19"/>
        </w:numPr>
        <w:rPr>
          <w:sz w:val="24"/>
          <w:szCs w:val="24"/>
        </w:rPr>
      </w:pPr>
      <w:r w:rsidRPr="00070546">
        <w:rPr>
          <w:rFonts w:hint="eastAsia"/>
          <w:sz w:val="24"/>
          <w:szCs w:val="24"/>
          <w:lang w:val="zh-CN"/>
        </w:rPr>
        <w:lastRenderedPageBreak/>
        <w:t>关于生物多样性和生态系统服务在减轻污染</w:t>
      </w:r>
      <w:r w:rsidRPr="00070546">
        <w:rPr>
          <w:rFonts w:hint="eastAsia"/>
          <w:sz w:val="24"/>
          <w:szCs w:val="24"/>
        </w:rPr>
        <w:t>（</w:t>
      </w:r>
      <w:r w:rsidRPr="00070546">
        <w:rPr>
          <w:rFonts w:hint="eastAsia"/>
          <w:sz w:val="24"/>
          <w:szCs w:val="24"/>
          <w:lang w:val="zh-CN"/>
        </w:rPr>
        <w:t>基于自然的解决方案和</w:t>
      </w:r>
      <w:r w:rsidRPr="00070546">
        <w:rPr>
          <w:sz w:val="24"/>
          <w:szCs w:val="24"/>
        </w:rPr>
        <w:t>/</w:t>
      </w:r>
      <w:r w:rsidRPr="00070546">
        <w:rPr>
          <w:rFonts w:hint="eastAsia"/>
          <w:sz w:val="24"/>
          <w:szCs w:val="24"/>
          <w:lang w:val="zh-CN"/>
        </w:rPr>
        <w:t>或基于生态系统的方法</w:t>
      </w:r>
      <w:r w:rsidRPr="00070546">
        <w:rPr>
          <w:rFonts w:hint="eastAsia"/>
          <w:sz w:val="24"/>
          <w:szCs w:val="24"/>
        </w:rPr>
        <w:t>）</w:t>
      </w:r>
      <w:r w:rsidRPr="00070546">
        <w:rPr>
          <w:rFonts w:hint="eastAsia"/>
          <w:sz w:val="24"/>
          <w:szCs w:val="24"/>
          <w:lang w:val="zh-CN"/>
        </w:rPr>
        <w:t>中的作用的综合指导</w:t>
      </w:r>
      <w:r w:rsidRPr="00070546">
        <w:rPr>
          <w:rFonts w:hint="eastAsia"/>
          <w:sz w:val="24"/>
          <w:szCs w:val="24"/>
        </w:rPr>
        <w:t>，</w:t>
      </w:r>
      <w:r w:rsidRPr="00070546">
        <w:rPr>
          <w:rFonts w:hint="eastAsia"/>
          <w:sz w:val="24"/>
          <w:szCs w:val="24"/>
          <w:lang w:val="zh-CN"/>
        </w:rPr>
        <w:t>包括针对具体部门和污染源的指导</w:t>
      </w:r>
      <w:r w:rsidRPr="00070546">
        <w:rPr>
          <w:rFonts w:hint="eastAsia"/>
          <w:sz w:val="24"/>
          <w:szCs w:val="24"/>
        </w:rPr>
        <w:t>；</w:t>
      </w:r>
    </w:p>
    <w:p w14:paraId="708D6DD1" w14:textId="77777777" w:rsidR="00EC38F6" w:rsidRPr="00070546" w:rsidRDefault="00EC38F6" w:rsidP="0045681A">
      <w:pPr>
        <w:pStyle w:val="CBDNormalNumber"/>
        <w:numPr>
          <w:ilvl w:val="1"/>
          <w:numId w:val="19"/>
        </w:numPr>
        <w:rPr>
          <w:sz w:val="24"/>
          <w:szCs w:val="24"/>
        </w:rPr>
      </w:pPr>
      <w:r w:rsidRPr="00070546">
        <w:rPr>
          <w:rFonts w:hint="eastAsia"/>
          <w:sz w:val="24"/>
          <w:szCs w:val="24"/>
          <w:lang w:val="zh-CN"/>
        </w:rPr>
        <w:t>关于污染对不同生物群落生物多样性影响的信息</w:t>
      </w:r>
      <w:r w:rsidRPr="00070546">
        <w:rPr>
          <w:rFonts w:hint="eastAsia"/>
          <w:sz w:val="24"/>
          <w:szCs w:val="24"/>
        </w:rPr>
        <w:t>，</w:t>
      </w:r>
      <w:r w:rsidRPr="00070546">
        <w:rPr>
          <w:rFonts w:hint="eastAsia"/>
          <w:sz w:val="24"/>
          <w:szCs w:val="24"/>
          <w:lang w:val="zh-CN"/>
        </w:rPr>
        <w:t>包括哪些污染类型和来源对不同生物群落和物种最为重要</w:t>
      </w:r>
      <w:r w:rsidRPr="00070546">
        <w:rPr>
          <w:rFonts w:hint="eastAsia"/>
          <w:sz w:val="24"/>
          <w:szCs w:val="24"/>
        </w:rPr>
        <w:t>，</w:t>
      </w:r>
      <w:r w:rsidRPr="00070546">
        <w:rPr>
          <w:rFonts w:hint="eastAsia"/>
          <w:sz w:val="24"/>
          <w:szCs w:val="24"/>
          <w:lang w:val="zh-CN"/>
        </w:rPr>
        <w:t>以及针对关键来源、部门和利益攸关方的优先缓解措施</w:t>
      </w:r>
      <w:r w:rsidRPr="00070546">
        <w:rPr>
          <w:rFonts w:hint="eastAsia"/>
          <w:sz w:val="24"/>
          <w:szCs w:val="24"/>
        </w:rPr>
        <w:t>；</w:t>
      </w:r>
    </w:p>
    <w:p w14:paraId="708D6DD2" w14:textId="77777777" w:rsidR="00EC38F6" w:rsidRPr="00070546" w:rsidRDefault="00EC38F6" w:rsidP="0045681A">
      <w:pPr>
        <w:pStyle w:val="CBDNormalNumber"/>
        <w:numPr>
          <w:ilvl w:val="1"/>
          <w:numId w:val="19"/>
        </w:numPr>
        <w:rPr>
          <w:sz w:val="24"/>
          <w:szCs w:val="24"/>
        </w:rPr>
      </w:pPr>
      <w:r w:rsidRPr="00070546">
        <w:rPr>
          <w:rFonts w:hint="eastAsia"/>
          <w:sz w:val="24"/>
          <w:szCs w:val="24"/>
          <w:lang w:val="zh-CN"/>
        </w:rPr>
        <w:t>确定污染阈值</w:t>
      </w:r>
      <w:r w:rsidRPr="00070546">
        <w:rPr>
          <w:rFonts w:hint="eastAsia"/>
          <w:sz w:val="24"/>
          <w:szCs w:val="24"/>
        </w:rPr>
        <w:t>，</w:t>
      </w:r>
      <w:r w:rsidRPr="00070546">
        <w:rPr>
          <w:rFonts w:hint="eastAsia"/>
          <w:sz w:val="24"/>
          <w:szCs w:val="24"/>
          <w:lang w:val="zh-CN"/>
        </w:rPr>
        <w:t>例如污染物对生物多样性有害的水平以及避免这些污染物的方法</w:t>
      </w:r>
      <w:r w:rsidRPr="00070546">
        <w:rPr>
          <w:rFonts w:hint="eastAsia"/>
          <w:sz w:val="24"/>
          <w:szCs w:val="24"/>
        </w:rPr>
        <w:t>；</w:t>
      </w:r>
    </w:p>
    <w:p w14:paraId="708D6DD3" w14:textId="77777777" w:rsidR="00EC38F6" w:rsidRPr="00070546" w:rsidRDefault="00EC38F6" w:rsidP="0045681A">
      <w:pPr>
        <w:pStyle w:val="CBDNormalNumber"/>
        <w:numPr>
          <w:ilvl w:val="1"/>
          <w:numId w:val="19"/>
        </w:numPr>
        <w:rPr>
          <w:sz w:val="24"/>
          <w:szCs w:val="24"/>
        </w:rPr>
      </w:pPr>
      <w:r w:rsidRPr="00070546">
        <w:rPr>
          <w:rFonts w:hint="eastAsia"/>
          <w:sz w:val="24"/>
          <w:szCs w:val="24"/>
          <w:lang w:val="zh-CN"/>
        </w:rPr>
        <w:t>确定哪些化学品应被视为</w:t>
      </w:r>
      <w:r w:rsidRPr="00070546">
        <w:rPr>
          <w:sz w:val="24"/>
          <w:szCs w:val="24"/>
        </w:rPr>
        <w:t>“</w:t>
      </w:r>
      <w:r w:rsidRPr="00070546">
        <w:rPr>
          <w:rFonts w:hint="eastAsia"/>
          <w:sz w:val="24"/>
          <w:szCs w:val="24"/>
          <w:lang w:val="zh-CN"/>
        </w:rPr>
        <w:t>高度危险</w:t>
      </w:r>
      <w:r w:rsidRPr="00070546">
        <w:rPr>
          <w:sz w:val="24"/>
          <w:szCs w:val="24"/>
        </w:rPr>
        <w:t>”</w:t>
      </w:r>
      <w:r w:rsidRPr="00070546">
        <w:rPr>
          <w:rFonts w:hint="eastAsia"/>
          <w:sz w:val="24"/>
          <w:szCs w:val="24"/>
          <w:lang w:val="zh-CN"/>
        </w:rPr>
        <w:t>的化学品的方法</w:t>
      </w:r>
      <w:r w:rsidRPr="00070546">
        <w:rPr>
          <w:rFonts w:hint="eastAsia"/>
          <w:sz w:val="24"/>
          <w:szCs w:val="24"/>
        </w:rPr>
        <w:t>，</w:t>
      </w:r>
      <w:r w:rsidRPr="00070546">
        <w:rPr>
          <w:rFonts w:hint="eastAsia"/>
          <w:sz w:val="24"/>
          <w:szCs w:val="24"/>
          <w:lang w:val="zh-CN"/>
        </w:rPr>
        <w:t>评估与生物多样性相关的风险以及缓解这些风险的措施</w:t>
      </w:r>
      <w:r w:rsidRPr="00070546">
        <w:rPr>
          <w:rFonts w:hint="eastAsia"/>
          <w:sz w:val="24"/>
          <w:szCs w:val="24"/>
        </w:rPr>
        <w:t>；</w:t>
      </w:r>
    </w:p>
    <w:p w14:paraId="708D6DD4" w14:textId="77777777" w:rsidR="00EC38F6" w:rsidRPr="00070546" w:rsidRDefault="00EC38F6" w:rsidP="0045681A">
      <w:pPr>
        <w:pStyle w:val="CBDNormalNumber"/>
        <w:numPr>
          <w:ilvl w:val="1"/>
          <w:numId w:val="19"/>
        </w:numPr>
        <w:rPr>
          <w:sz w:val="24"/>
          <w:szCs w:val="24"/>
        </w:rPr>
      </w:pPr>
      <w:r w:rsidRPr="00070546">
        <w:rPr>
          <w:rFonts w:hint="eastAsia"/>
          <w:sz w:val="24"/>
          <w:szCs w:val="24"/>
          <w:lang w:val="zh-CN"/>
        </w:rPr>
        <w:t>处理多边环境协定和论坛之间重叠和共同目标的方法</w:t>
      </w:r>
      <w:r w:rsidRPr="00070546">
        <w:rPr>
          <w:rFonts w:hint="eastAsia"/>
          <w:sz w:val="24"/>
          <w:szCs w:val="24"/>
        </w:rPr>
        <w:t>，</w:t>
      </w:r>
      <w:r w:rsidRPr="00070546">
        <w:rPr>
          <w:rFonts w:hint="eastAsia"/>
          <w:sz w:val="24"/>
          <w:szCs w:val="24"/>
          <w:lang w:val="zh-CN"/>
        </w:rPr>
        <w:t>包括化学品和废物公约以及《全球化学品框架》在国家层面的作用及其协同作用</w:t>
      </w:r>
      <w:r w:rsidRPr="00070546">
        <w:rPr>
          <w:rFonts w:hint="eastAsia"/>
          <w:sz w:val="24"/>
          <w:szCs w:val="24"/>
        </w:rPr>
        <w:t>；</w:t>
      </w:r>
    </w:p>
    <w:p w14:paraId="708D6DD5" w14:textId="77777777" w:rsidR="00EC38F6" w:rsidRPr="00070546" w:rsidRDefault="00EC38F6" w:rsidP="0045681A">
      <w:pPr>
        <w:pStyle w:val="CBDNormalNumber"/>
        <w:numPr>
          <w:ilvl w:val="1"/>
          <w:numId w:val="19"/>
        </w:numPr>
        <w:rPr>
          <w:sz w:val="24"/>
          <w:szCs w:val="24"/>
        </w:rPr>
      </w:pPr>
      <w:r w:rsidRPr="00070546">
        <w:rPr>
          <w:rFonts w:hint="eastAsia"/>
          <w:sz w:val="24"/>
          <w:szCs w:val="24"/>
          <w:lang w:val="zh-CN"/>
        </w:rPr>
        <w:t>改善数据获取途径和改进信息管理</w:t>
      </w:r>
      <w:r w:rsidRPr="00070546">
        <w:rPr>
          <w:rFonts w:hint="eastAsia"/>
          <w:sz w:val="24"/>
          <w:szCs w:val="24"/>
        </w:rPr>
        <w:t>，</w:t>
      </w:r>
      <w:r w:rsidRPr="00070546">
        <w:rPr>
          <w:rFonts w:hint="eastAsia"/>
          <w:sz w:val="24"/>
          <w:szCs w:val="24"/>
          <w:lang w:val="zh-CN"/>
        </w:rPr>
        <w:t>同时注意到目前已有多个与减少过剩营养物相关的数据库和来源</w:t>
      </w:r>
      <w:r w:rsidRPr="00070546">
        <w:rPr>
          <w:rFonts w:hint="eastAsia"/>
          <w:sz w:val="24"/>
          <w:szCs w:val="24"/>
        </w:rPr>
        <w:t>，</w:t>
      </w:r>
      <w:r w:rsidRPr="00070546">
        <w:rPr>
          <w:rFonts w:hint="eastAsia"/>
          <w:sz w:val="24"/>
          <w:szCs w:val="24"/>
          <w:lang w:val="zh-CN"/>
        </w:rPr>
        <w:t>但关于降低农药和剧毒化学品对生物多样性构成的风险以及减少塑料污染的信息高度分散</w:t>
      </w:r>
      <w:r w:rsidRPr="00070546">
        <w:rPr>
          <w:rFonts w:hint="eastAsia"/>
          <w:sz w:val="24"/>
          <w:szCs w:val="24"/>
        </w:rPr>
        <w:t>，</w:t>
      </w:r>
      <w:r w:rsidRPr="00070546">
        <w:rPr>
          <w:rFonts w:hint="eastAsia"/>
          <w:sz w:val="24"/>
          <w:szCs w:val="24"/>
          <w:lang w:val="zh-CN"/>
        </w:rPr>
        <w:t>难以获取</w:t>
      </w:r>
      <w:r w:rsidRPr="00070546">
        <w:rPr>
          <w:rFonts w:hint="eastAsia"/>
          <w:sz w:val="24"/>
          <w:szCs w:val="24"/>
        </w:rPr>
        <w:t>；</w:t>
      </w:r>
    </w:p>
    <w:p w14:paraId="708D6DD6" w14:textId="77777777" w:rsidR="00EC38F6" w:rsidRPr="00070546" w:rsidRDefault="00EC38F6" w:rsidP="0045681A">
      <w:pPr>
        <w:pStyle w:val="CBDNormalNumber"/>
        <w:numPr>
          <w:ilvl w:val="1"/>
          <w:numId w:val="19"/>
        </w:numPr>
        <w:rPr>
          <w:sz w:val="24"/>
          <w:szCs w:val="24"/>
        </w:rPr>
      </w:pPr>
      <w:r w:rsidRPr="00070546">
        <w:rPr>
          <w:rFonts w:hint="eastAsia"/>
          <w:sz w:val="24"/>
          <w:szCs w:val="24"/>
          <w:lang w:val="zh-CN"/>
        </w:rPr>
        <w:t>加强法律、政策和科学信息</w:t>
      </w:r>
      <w:r w:rsidRPr="00070546">
        <w:rPr>
          <w:rFonts w:hint="eastAsia"/>
          <w:sz w:val="24"/>
          <w:szCs w:val="24"/>
        </w:rPr>
        <w:t>，</w:t>
      </w:r>
      <w:r w:rsidRPr="00070546">
        <w:rPr>
          <w:rFonts w:hint="eastAsia"/>
          <w:sz w:val="24"/>
          <w:szCs w:val="24"/>
          <w:lang w:val="zh-CN"/>
        </w:rPr>
        <w:t>以应对化学污染物的影响及其对生态系统多样性、功能和服务的累积效应</w:t>
      </w:r>
      <w:r w:rsidRPr="00070546">
        <w:rPr>
          <w:rFonts w:hint="eastAsia"/>
          <w:sz w:val="24"/>
          <w:szCs w:val="24"/>
        </w:rPr>
        <w:t>；</w:t>
      </w:r>
    </w:p>
    <w:p w14:paraId="708D6DD7" w14:textId="77777777" w:rsidR="00EC38F6" w:rsidRPr="00070546" w:rsidRDefault="00EC38F6" w:rsidP="0045681A">
      <w:pPr>
        <w:pStyle w:val="CBDNormalNumber"/>
        <w:numPr>
          <w:ilvl w:val="1"/>
          <w:numId w:val="19"/>
        </w:numPr>
        <w:rPr>
          <w:sz w:val="24"/>
          <w:szCs w:val="24"/>
        </w:rPr>
      </w:pPr>
      <w:r w:rsidRPr="00070546">
        <w:rPr>
          <w:rFonts w:hint="eastAsia"/>
          <w:sz w:val="24"/>
          <w:szCs w:val="24"/>
          <w:lang w:val="zh-CN"/>
        </w:rPr>
        <w:t>制定营养物循环利用规程；</w:t>
      </w:r>
    </w:p>
    <w:p w14:paraId="708D6DD8" w14:textId="77777777" w:rsidR="00EC38F6" w:rsidRPr="00070546" w:rsidRDefault="00EC38F6" w:rsidP="0045681A">
      <w:pPr>
        <w:pStyle w:val="CBDNormalNumber"/>
        <w:numPr>
          <w:ilvl w:val="1"/>
          <w:numId w:val="19"/>
        </w:numPr>
        <w:rPr>
          <w:sz w:val="24"/>
          <w:szCs w:val="24"/>
        </w:rPr>
      </w:pPr>
      <w:r w:rsidRPr="00070546">
        <w:rPr>
          <w:rFonts w:hint="eastAsia"/>
          <w:sz w:val="24"/>
          <w:szCs w:val="24"/>
          <w:lang w:val="zh-CN"/>
        </w:rPr>
        <w:t>加强国家综合环境监测系统</w:t>
      </w:r>
      <w:r w:rsidRPr="00070546">
        <w:rPr>
          <w:rFonts w:hint="eastAsia"/>
          <w:sz w:val="24"/>
          <w:szCs w:val="24"/>
        </w:rPr>
        <w:t>，</w:t>
      </w:r>
      <w:r w:rsidRPr="00070546">
        <w:rPr>
          <w:rFonts w:hint="eastAsia"/>
          <w:sz w:val="24"/>
          <w:szCs w:val="24"/>
          <w:lang w:val="zh-CN"/>
        </w:rPr>
        <w:t>并使污染控制措施数据与全球目标</w:t>
      </w:r>
      <w:r w:rsidRPr="00070546">
        <w:rPr>
          <w:rFonts w:hint="eastAsia"/>
          <w:sz w:val="24"/>
          <w:szCs w:val="24"/>
        </w:rPr>
        <w:t>（</w:t>
      </w:r>
      <w:r w:rsidRPr="00070546">
        <w:rPr>
          <w:rFonts w:hint="eastAsia"/>
          <w:sz w:val="24"/>
          <w:szCs w:val="24"/>
          <w:lang w:val="zh-CN"/>
        </w:rPr>
        <w:t>例如可持续发展目标</w:t>
      </w:r>
      <w:r w:rsidRPr="00070546">
        <w:rPr>
          <w:sz w:val="24"/>
          <w:szCs w:val="24"/>
        </w:rPr>
        <w:t>3.9</w:t>
      </w:r>
      <w:r w:rsidRPr="00070546">
        <w:rPr>
          <w:rStyle w:val="FootnoteReference"/>
          <w:sz w:val="24"/>
          <w:szCs w:val="24"/>
          <w:lang w:val="zh-CN"/>
        </w:rPr>
        <w:footnoteReference w:id="21"/>
      </w:r>
      <w:r w:rsidRPr="00070546">
        <w:rPr>
          <w:rFonts w:hint="eastAsia"/>
          <w:sz w:val="24"/>
          <w:szCs w:val="24"/>
          <w:lang w:val="zh-CN"/>
        </w:rPr>
        <w:t>和</w:t>
      </w:r>
      <w:r w:rsidRPr="00070546">
        <w:rPr>
          <w:sz w:val="24"/>
          <w:szCs w:val="24"/>
        </w:rPr>
        <w:t>6.3</w:t>
      </w:r>
      <w:r w:rsidRPr="00070546">
        <w:rPr>
          <w:rStyle w:val="FootnoteReference"/>
          <w:sz w:val="24"/>
          <w:szCs w:val="24"/>
          <w:lang w:val="zh-CN"/>
        </w:rPr>
        <w:footnoteReference w:id="22"/>
      </w:r>
      <w:r w:rsidRPr="00070546">
        <w:rPr>
          <w:rFonts w:hint="eastAsia"/>
          <w:sz w:val="24"/>
          <w:szCs w:val="24"/>
        </w:rPr>
        <w:t>）</w:t>
      </w:r>
      <w:r w:rsidRPr="00070546">
        <w:rPr>
          <w:rFonts w:hint="eastAsia"/>
          <w:sz w:val="24"/>
          <w:szCs w:val="24"/>
          <w:lang w:val="zh-CN"/>
        </w:rPr>
        <w:t>相一致。</w:t>
      </w:r>
      <w:r w:rsidRPr="00070546">
        <w:rPr>
          <w:sz w:val="24"/>
          <w:szCs w:val="24"/>
        </w:rPr>
        <w:t xml:space="preserve"> </w:t>
      </w:r>
    </w:p>
    <w:p w14:paraId="708D6DD9" w14:textId="77777777" w:rsidR="00EC38F6" w:rsidRPr="00070546" w:rsidRDefault="00EC38F6">
      <w:pPr>
        <w:pStyle w:val="CBDH3"/>
        <w:outlineLvl w:val="2"/>
        <w:rPr>
          <w:sz w:val="24"/>
          <w:szCs w:val="24"/>
        </w:rPr>
      </w:pPr>
      <w:r w:rsidRPr="00070546">
        <w:rPr>
          <w:sz w:val="24"/>
          <w:szCs w:val="24"/>
        </w:rPr>
        <w:t>3.</w:t>
      </w:r>
      <w:r w:rsidRPr="00070546">
        <w:rPr>
          <w:sz w:val="24"/>
          <w:szCs w:val="24"/>
        </w:rPr>
        <w:tab/>
      </w:r>
      <w:r w:rsidRPr="00070546">
        <w:rPr>
          <w:rFonts w:hint="eastAsia"/>
          <w:sz w:val="24"/>
          <w:szCs w:val="24"/>
          <w:lang w:val="zh-CN"/>
        </w:rPr>
        <w:t>分析和补充信息</w:t>
      </w:r>
    </w:p>
    <w:p w14:paraId="708D6DDA"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污染通常按其影响的环境组成部分</w:t>
      </w:r>
      <w:r w:rsidRPr="00070546">
        <w:rPr>
          <w:rFonts w:hint="eastAsia"/>
          <w:sz w:val="24"/>
          <w:szCs w:val="24"/>
        </w:rPr>
        <w:t>（</w:t>
      </w:r>
      <w:r w:rsidRPr="00070546">
        <w:rPr>
          <w:rFonts w:hint="eastAsia"/>
          <w:sz w:val="24"/>
          <w:szCs w:val="24"/>
          <w:lang w:val="zh-CN"/>
        </w:rPr>
        <w:t>例如空气、水、土壤</w:t>
      </w:r>
      <w:r w:rsidRPr="00070546">
        <w:rPr>
          <w:rFonts w:hint="eastAsia"/>
          <w:sz w:val="24"/>
          <w:szCs w:val="24"/>
        </w:rPr>
        <w:t>）</w:t>
      </w:r>
      <w:r w:rsidRPr="00070546">
        <w:rPr>
          <w:rFonts w:hint="eastAsia"/>
          <w:sz w:val="24"/>
          <w:szCs w:val="24"/>
          <w:lang w:val="zh-CN"/>
        </w:rPr>
        <w:t>、污染物</w:t>
      </w:r>
      <w:r w:rsidRPr="00070546">
        <w:rPr>
          <w:rFonts w:hint="eastAsia"/>
          <w:sz w:val="24"/>
          <w:szCs w:val="24"/>
        </w:rPr>
        <w:t>（</w:t>
      </w:r>
      <w:r w:rsidRPr="00070546">
        <w:rPr>
          <w:rFonts w:hint="eastAsia"/>
          <w:sz w:val="24"/>
          <w:szCs w:val="24"/>
          <w:lang w:val="zh-CN"/>
        </w:rPr>
        <w:t>例如光、噪音、塑料</w:t>
      </w:r>
      <w:r w:rsidRPr="00070546">
        <w:rPr>
          <w:rFonts w:hint="eastAsia"/>
          <w:sz w:val="24"/>
          <w:szCs w:val="24"/>
        </w:rPr>
        <w:t>）</w:t>
      </w:r>
      <w:r w:rsidRPr="00070546">
        <w:rPr>
          <w:rFonts w:hint="eastAsia"/>
          <w:sz w:val="24"/>
          <w:szCs w:val="24"/>
          <w:lang w:val="zh-CN"/>
        </w:rPr>
        <w:t>或来源</w:t>
      </w:r>
      <w:r w:rsidRPr="00070546">
        <w:rPr>
          <w:rFonts w:hint="eastAsia"/>
          <w:sz w:val="24"/>
          <w:szCs w:val="24"/>
        </w:rPr>
        <w:t>（</w:t>
      </w:r>
      <w:r w:rsidRPr="00070546">
        <w:rPr>
          <w:rFonts w:hint="eastAsia"/>
          <w:sz w:val="24"/>
          <w:szCs w:val="24"/>
          <w:lang w:val="zh-CN"/>
        </w:rPr>
        <w:t>例如农业、工业、城市、卫生、采矿</w:t>
      </w:r>
      <w:r w:rsidRPr="00070546">
        <w:rPr>
          <w:rFonts w:hint="eastAsia"/>
          <w:sz w:val="24"/>
          <w:szCs w:val="24"/>
        </w:rPr>
        <w:t>）</w:t>
      </w:r>
      <w:r w:rsidRPr="00070546">
        <w:rPr>
          <w:rFonts w:hint="eastAsia"/>
          <w:sz w:val="24"/>
          <w:szCs w:val="24"/>
          <w:lang w:val="zh-CN"/>
        </w:rPr>
        <w:t>进行分类。已知水和土壤污染对生物多样性有重大影响。空气污染因其对人类健康的直接影响而往往引起公众的高度关注，但除了酸雨和二氧化碳导致的海洋酸化等影响外，关于其对生物多样性的直接影响的信息普遍较少。光污染对生物多样性的影响研究甚少，尽管根据《迁徙物种公约》已在该领域开展了一些工作。噪音污染对生物多样性的影响主要在鲸类身上进行研究，这也是根据《迁徙物种公约》进行的。威胁全球生物多样性的一大类污染物是营养物质，主要源自于不可持续的农业实践，但也来自不良的卫生条件和废水处理。</w:t>
      </w:r>
      <w:r w:rsidRPr="00070546">
        <w:rPr>
          <w:sz w:val="24"/>
          <w:szCs w:val="24"/>
        </w:rPr>
        <w:t xml:space="preserve"> </w:t>
      </w:r>
    </w:p>
    <w:p w14:paraId="708D6DDB"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虽然人们对各类污染对生物多样性的影响的认识程度不一</w:t>
      </w:r>
      <w:r w:rsidRPr="00070546">
        <w:rPr>
          <w:rFonts w:hint="eastAsia"/>
          <w:sz w:val="24"/>
          <w:szCs w:val="24"/>
        </w:rPr>
        <w:t>，</w:t>
      </w:r>
      <w:r w:rsidRPr="00070546">
        <w:rPr>
          <w:rFonts w:hint="eastAsia"/>
          <w:sz w:val="24"/>
          <w:szCs w:val="24"/>
          <w:lang w:val="zh-CN"/>
        </w:rPr>
        <w:t>但对于生物多样性在减轻或消除污染影响方面所发挥的作用</w:t>
      </w:r>
      <w:r w:rsidRPr="00070546">
        <w:rPr>
          <w:rFonts w:hint="eastAsia"/>
          <w:sz w:val="24"/>
          <w:szCs w:val="24"/>
        </w:rPr>
        <w:t>，</w:t>
      </w:r>
      <w:r w:rsidRPr="00070546">
        <w:rPr>
          <w:rFonts w:hint="eastAsia"/>
          <w:sz w:val="24"/>
          <w:szCs w:val="24"/>
          <w:lang w:val="zh-CN"/>
        </w:rPr>
        <w:t>例如通过生态系统功能和服务及其在基于自然的解决方案和</w:t>
      </w:r>
      <w:r w:rsidRPr="00070546">
        <w:rPr>
          <w:sz w:val="24"/>
          <w:szCs w:val="24"/>
        </w:rPr>
        <w:t>/</w:t>
      </w:r>
      <w:r w:rsidRPr="00070546">
        <w:rPr>
          <w:rFonts w:hint="eastAsia"/>
          <w:sz w:val="24"/>
          <w:szCs w:val="24"/>
          <w:lang w:val="zh-CN"/>
        </w:rPr>
        <w:t>或基于生态系统的方法的积极利用</w:t>
      </w:r>
      <w:r w:rsidRPr="00070546">
        <w:rPr>
          <w:rFonts w:hint="eastAsia"/>
          <w:sz w:val="24"/>
          <w:szCs w:val="24"/>
        </w:rPr>
        <w:t>，</w:t>
      </w:r>
      <w:r w:rsidRPr="00070546">
        <w:rPr>
          <w:rFonts w:hint="eastAsia"/>
          <w:sz w:val="24"/>
          <w:szCs w:val="24"/>
          <w:lang w:val="zh-CN"/>
        </w:rPr>
        <w:t>所了解的知识就更少了。</w:t>
      </w:r>
      <w:r w:rsidRPr="00070546">
        <w:rPr>
          <w:sz w:val="24"/>
          <w:szCs w:val="24"/>
        </w:rPr>
        <w:t xml:space="preserve"> </w:t>
      </w:r>
    </w:p>
    <w:p w14:paraId="708D6DDC"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许多多边协定、组织和倡议都在处理污染的不同方面问题</w:t>
      </w:r>
      <w:r w:rsidRPr="00070546">
        <w:rPr>
          <w:rFonts w:hint="eastAsia"/>
          <w:sz w:val="24"/>
          <w:szCs w:val="24"/>
        </w:rPr>
        <w:t>，</w:t>
      </w:r>
      <w:r w:rsidRPr="00070546">
        <w:rPr>
          <w:rFonts w:hint="eastAsia"/>
          <w:sz w:val="24"/>
          <w:szCs w:val="24"/>
          <w:lang w:val="zh-CN"/>
        </w:rPr>
        <w:t>尽管方式有些零散。例如，化学品和废物公约、</w:t>
      </w:r>
      <w:r w:rsidRPr="00070546">
        <w:rPr>
          <w:sz w:val="24"/>
          <w:szCs w:val="24"/>
          <w:vertAlign w:val="superscript"/>
          <w:lang w:val="zh-CN"/>
        </w:rPr>
        <w:footnoteReference w:id="23"/>
      </w:r>
      <w:r w:rsidRPr="00070546">
        <w:rPr>
          <w:rFonts w:hint="eastAsia"/>
          <w:sz w:val="24"/>
          <w:szCs w:val="24"/>
          <w:lang w:val="zh-CN"/>
        </w:rPr>
        <w:t>海洋污染公约、与污染无直接关系的全球多边环</w:t>
      </w:r>
      <w:r w:rsidRPr="00070546">
        <w:rPr>
          <w:rFonts w:hint="eastAsia"/>
          <w:sz w:val="24"/>
          <w:szCs w:val="24"/>
          <w:lang w:val="zh-CN"/>
        </w:rPr>
        <w:lastRenderedPageBreak/>
        <w:t>境协定</w:t>
      </w:r>
      <w:r w:rsidRPr="00070546">
        <w:rPr>
          <w:rStyle w:val="FootnoteReference"/>
          <w:sz w:val="24"/>
          <w:szCs w:val="24"/>
          <w:lang w:val="zh-CN"/>
        </w:rPr>
        <w:footnoteReference w:id="24"/>
      </w:r>
      <w:r w:rsidRPr="00070546">
        <w:rPr>
          <w:rFonts w:hint="eastAsia"/>
          <w:sz w:val="24"/>
          <w:szCs w:val="24"/>
          <w:lang w:val="zh-CN"/>
        </w:rPr>
        <w:t>以及各种区域协定都在处理污染问题。</w:t>
      </w:r>
      <w:r w:rsidRPr="00070546">
        <w:rPr>
          <w:rStyle w:val="FootnoteReference"/>
          <w:sz w:val="24"/>
          <w:szCs w:val="24"/>
          <w:lang w:val="zh-CN"/>
        </w:rPr>
        <w:footnoteReference w:id="25"/>
      </w:r>
      <w:r w:rsidRPr="00070546">
        <w:rPr>
          <w:rFonts w:hint="eastAsia"/>
          <w:sz w:val="24"/>
          <w:szCs w:val="24"/>
          <w:lang w:val="zh-CN"/>
        </w:rPr>
        <w:t>此外，一些政府间组织</w:t>
      </w:r>
      <w:r w:rsidRPr="00070546">
        <w:rPr>
          <w:rStyle w:val="FootnoteReference"/>
          <w:sz w:val="24"/>
          <w:szCs w:val="24"/>
          <w:lang w:val="zh-CN"/>
        </w:rPr>
        <w:footnoteReference w:id="26"/>
      </w:r>
      <w:r w:rsidRPr="00070546">
        <w:rPr>
          <w:rFonts w:hint="eastAsia"/>
          <w:sz w:val="24"/>
          <w:szCs w:val="24"/>
          <w:lang w:val="zh-CN"/>
        </w:rPr>
        <w:t>和机构间机制</w:t>
      </w:r>
      <w:r w:rsidRPr="00070546">
        <w:rPr>
          <w:rStyle w:val="FootnoteReference"/>
          <w:sz w:val="24"/>
          <w:szCs w:val="24"/>
          <w:lang w:val="zh-CN"/>
        </w:rPr>
        <w:footnoteReference w:id="27"/>
      </w:r>
      <w:r w:rsidRPr="00070546">
        <w:rPr>
          <w:rFonts w:hint="eastAsia"/>
          <w:sz w:val="24"/>
          <w:szCs w:val="24"/>
          <w:lang w:val="zh-CN"/>
        </w:rPr>
        <w:t>也在处理污染的各个方面问题。此外，一项关于塑料污染的国际文书目前正在谈判中。</w:t>
      </w:r>
      <w:r w:rsidRPr="00070546">
        <w:rPr>
          <w:rStyle w:val="FootnoteReference"/>
          <w:sz w:val="24"/>
          <w:szCs w:val="24"/>
          <w:lang w:val="zh-CN"/>
        </w:rPr>
        <w:footnoteReference w:id="28"/>
      </w:r>
      <w:r w:rsidRPr="00070546">
        <w:rPr>
          <w:rFonts w:hint="eastAsia"/>
          <w:sz w:val="24"/>
          <w:szCs w:val="24"/>
          <w:lang w:val="zh-CN"/>
        </w:rPr>
        <w:t>其中许多进程很少关注污染对生物多样性的影响，或生物多样性在减轻污染方面可以发挥的作用。</w:t>
      </w:r>
      <w:r w:rsidRPr="00070546">
        <w:rPr>
          <w:sz w:val="24"/>
          <w:szCs w:val="24"/>
        </w:rPr>
        <w:t xml:space="preserve"> </w:t>
      </w:r>
    </w:p>
    <w:p w14:paraId="708D6DDD" w14:textId="77777777" w:rsidR="00EC38F6" w:rsidRPr="00070546" w:rsidRDefault="00EC38F6">
      <w:pPr>
        <w:pStyle w:val="CBDH3"/>
        <w:outlineLvl w:val="2"/>
        <w:rPr>
          <w:sz w:val="24"/>
          <w:szCs w:val="24"/>
        </w:rPr>
      </w:pPr>
      <w:r w:rsidRPr="00070546">
        <w:rPr>
          <w:sz w:val="24"/>
          <w:szCs w:val="24"/>
        </w:rPr>
        <w:t>4.</w:t>
      </w:r>
      <w:r w:rsidRPr="00070546">
        <w:rPr>
          <w:sz w:val="24"/>
          <w:szCs w:val="24"/>
        </w:rPr>
        <w:tab/>
      </w:r>
      <w:r w:rsidRPr="00070546">
        <w:rPr>
          <w:rFonts w:hint="eastAsia"/>
          <w:sz w:val="24"/>
          <w:szCs w:val="24"/>
          <w:lang w:val="zh-CN"/>
        </w:rPr>
        <w:t>关于未来可能前进方向的结论</w:t>
      </w:r>
    </w:p>
    <w:p w14:paraId="708D6DDE"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缔约方大会尚未对上文第</w:t>
      </w:r>
      <w:r w:rsidRPr="00070546">
        <w:rPr>
          <w:sz w:val="24"/>
          <w:szCs w:val="24"/>
          <w:lang w:val="zh-CN"/>
        </w:rPr>
        <w:t>24</w:t>
      </w:r>
      <w:r w:rsidRPr="00070546">
        <w:rPr>
          <w:rFonts w:hint="eastAsia"/>
          <w:sz w:val="24"/>
          <w:szCs w:val="24"/>
          <w:lang w:val="zh-CN"/>
        </w:rPr>
        <w:t>段所列领域以外的污染问题进行深入审议，因此，提议设立一个生物多样性与污染问题特设技术专家组，就该主题提供技术咨询（见下文第三节）。</w:t>
      </w:r>
    </w:p>
    <w:p w14:paraId="708D6DDF" w14:textId="77777777" w:rsidR="00EC38F6" w:rsidRPr="00070546" w:rsidRDefault="00EC38F6">
      <w:pPr>
        <w:pStyle w:val="CBDH2"/>
        <w:jc w:val="left"/>
        <w:outlineLvl w:val="1"/>
        <w:rPr>
          <w:szCs w:val="24"/>
        </w:rPr>
      </w:pPr>
      <w:r w:rsidRPr="00070546">
        <w:rPr>
          <w:noProof/>
          <w:szCs w:val="24"/>
        </w:rPr>
        <w:t>C.</w:t>
      </w:r>
      <w:r w:rsidRPr="00070546">
        <w:rPr>
          <w:szCs w:val="24"/>
        </w:rPr>
        <w:tab/>
      </w:r>
      <w:r w:rsidRPr="00070546">
        <w:rPr>
          <w:rFonts w:hint="eastAsia"/>
          <w:szCs w:val="24"/>
          <w:lang w:val="zh-CN"/>
        </w:rPr>
        <w:t>增强生物多样性的可持续生物多样性活动、产品和服务</w:t>
      </w:r>
    </w:p>
    <w:p w14:paraId="708D6DE0" w14:textId="77777777" w:rsidR="00EC38F6" w:rsidRPr="00070546" w:rsidRDefault="00EC38F6">
      <w:pPr>
        <w:pStyle w:val="CBDH3"/>
        <w:outlineLvl w:val="2"/>
        <w:rPr>
          <w:sz w:val="24"/>
          <w:szCs w:val="24"/>
        </w:rPr>
      </w:pPr>
      <w:r w:rsidRPr="00070546">
        <w:rPr>
          <w:sz w:val="24"/>
          <w:szCs w:val="24"/>
        </w:rPr>
        <w:t>1.</w:t>
      </w:r>
      <w:r w:rsidRPr="00070546">
        <w:rPr>
          <w:sz w:val="24"/>
          <w:szCs w:val="24"/>
        </w:rPr>
        <w:tab/>
      </w:r>
      <w:r w:rsidRPr="00070546">
        <w:rPr>
          <w:rFonts w:hint="eastAsia"/>
          <w:sz w:val="24"/>
          <w:szCs w:val="24"/>
          <w:lang w:val="zh-CN"/>
        </w:rPr>
        <w:t>背景</w:t>
      </w:r>
    </w:p>
    <w:p w14:paraId="708D6DE1"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生物多样性的可持续利用是《公约》第一条揭示的三大目标之一。第二条将持续利用定义为使用生物多样性组成部分的方式和速度不会导致生物多样性的长期衰落，从而保持其满足今世后代的需要和期望的潜力。《昆蒙框架》行动目标</w:t>
      </w:r>
      <w:r w:rsidRPr="00070546">
        <w:rPr>
          <w:sz w:val="24"/>
          <w:szCs w:val="24"/>
          <w:lang w:val="zh-CN"/>
        </w:rPr>
        <w:t>9</w:t>
      </w:r>
      <w:r w:rsidRPr="00070546">
        <w:rPr>
          <w:rFonts w:hint="eastAsia"/>
          <w:sz w:val="24"/>
          <w:szCs w:val="24"/>
          <w:lang w:val="zh-CN"/>
        </w:rPr>
        <w:t>重申了这一点，旨在确保对野生物种的管理和利用可持续，造福人类。</w:t>
      </w:r>
      <w:r w:rsidRPr="00070546">
        <w:rPr>
          <w:rStyle w:val="FootnoteReference"/>
          <w:sz w:val="24"/>
          <w:szCs w:val="24"/>
          <w:lang w:val="zh-CN"/>
        </w:rPr>
        <w:footnoteReference w:id="29"/>
      </w:r>
      <w:r w:rsidRPr="00070546">
        <w:rPr>
          <w:rFonts w:hint="eastAsia"/>
          <w:sz w:val="24"/>
          <w:szCs w:val="24"/>
          <w:lang w:val="zh-CN"/>
        </w:rPr>
        <w:t>《公约》下的许多工作方案都涉及该行动目标的一些要素；然而，行动目标</w:t>
      </w:r>
      <w:r w:rsidRPr="00070546">
        <w:rPr>
          <w:sz w:val="24"/>
          <w:szCs w:val="24"/>
          <w:lang w:val="zh-CN"/>
        </w:rPr>
        <w:t>9</w:t>
      </w:r>
      <w:r w:rsidRPr="00070546">
        <w:rPr>
          <w:rFonts w:hint="eastAsia"/>
          <w:sz w:val="24"/>
          <w:szCs w:val="24"/>
          <w:lang w:val="zh-CN"/>
        </w:rPr>
        <w:t>引入了可持续的生物多样性活动、产品和服务的概念，这些活动、产品和服务旨在增强生物多样性，但这一概念尚未得到明确定义。</w:t>
      </w:r>
    </w:p>
    <w:p w14:paraId="708D6DE2" w14:textId="77777777" w:rsidR="00EC38F6" w:rsidRPr="00070546" w:rsidRDefault="00EC38F6">
      <w:pPr>
        <w:pStyle w:val="CBDH3"/>
        <w:outlineLvl w:val="2"/>
        <w:rPr>
          <w:sz w:val="24"/>
          <w:szCs w:val="24"/>
        </w:rPr>
      </w:pPr>
      <w:r w:rsidRPr="00070546">
        <w:rPr>
          <w:sz w:val="24"/>
          <w:szCs w:val="24"/>
        </w:rPr>
        <w:t>2.</w:t>
      </w:r>
      <w:r w:rsidRPr="00070546">
        <w:rPr>
          <w:sz w:val="24"/>
          <w:szCs w:val="24"/>
        </w:rPr>
        <w:tab/>
      </w:r>
      <w:r w:rsidRPr="00070546">
        <w:rPr>
          <w:rFonts w:hint="eastAsia"/>
          <w:sz w:val="24"/>
          <w:szCs w:val="24"/>
          <w:lang w:val="zh-CN"/>
        </w:rPr>
        <w:t>提交的材料摘要</w:t>
      </w:r>
    </w:p>
    <w:p w14:paraId="708D6DE3"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秘书处收到</w:t>
      </w:r>
      <w:r w:rsidRPr="00070546">
        <w:rPr>
          <w:sz w:val="24"/>
          <w:szCs w:val="24"/>
        </w:rPr>
        <w:t>16</w:t>
      </w:r>
      <w:r w:rsidRPr="00070546">
        <w:rPr>
          <w:rFonts w:hint="eastAsia"/>
          <w:sz w:val="24"/>
          <w:szCs w:val="24"/>
          <w:lang w:val="zh-CN"/>
        </w:rPr>
        <w:t>份与本议题相关的材料。</w:t>
      </w:r>
      <w:r w:rsidRPr="00070546">
        <w:rPr>
          <w:rStyle w:val="FootnoteReference"/>
          <w:sz w:val="24"/>
          <w:szCs w:val="24"/>
          <w:lang w:val="zh-CN"/>
        </w:rPr>
        <w:footnoteReference w:id="30"/>
      </w:r>
      <w:r w:rsidRPr="00070546">
        <w:rPr>
          <w:rFonts w:hint="eastAsia"/>
          <w:sz w:val="24"/>
          <w:szCs w:val="24"/>
          <w:lang w:val="zh-CN"/>
        </w:rPr>
        <w:t>提交者提供了相关方法和经验的信息</w:t>
      </w:r>
      <w:r w:rsidRPr="00070546">
        <w:rPr>
          <w:rFonts w:hint="eastAsia"/>
          <w:sz w:val="24"/>
          <w:szCs w:val="24"/>
        </w:rPr>
        <w:t>，</w:t>
      </w:r>
      <w:r w:rsidRPr="00070546">
        <w:rPr>
          <w:rFonts w:hint="eastAsia"/>
          <w:sz w:val="24"/>
          <w:szCs w:val="24"/>
          <w:lang w:val="zh-CN"/>
        </w:rPr>
        <w:t>包括与渔业、农业、林业以及对土著人民和地方社区具有文化重要意义的野生物种相关的方法和经验的信息。关于进一步技术和科学需求的意见与</w:t>
      </w:r>
      <w:r>
        <w:fldChar w:fldCharType="begin"/>
      </w:r>
      <w:r>
        <w:instrText>HYPERLINK "https://www.cbd.int/documents/CBD/SBSTTA/26/3"</w:instrText>
      </w:r>
      <w:r>
        <w:fldChar w:fldCharType="separate"/>
      </w:r>
      <w:r w:rsidRPr="00070546">
        <w:rPr>
          <w:rStyle w:val="Hyperlink"/>
          <w:sz w:val="24"/>
          <w:szCs w:val="24"/>
          <w:lang w:val="zh-CN"/>
        </w:rPr>
        <w:t>CBD/SBSTTA/26/3</w:t>
      </w:r>
      <w:r>
        <w:fldChar w:fldCharType="end"/>
      </w:r>
      <w:r w:rsidRPr="00070546">
        <w:rPr>
          <w:rFonts w:hint="eastAsia"/>
          <w:sz w:val="24"/>
          <w:szCs w:val="24"/>
          <w:lang w:val="zh-CN"/>
        </w:rPr>
        <w:t>号文件和</w:t>
      </w:r>
      <w:hyperlink r:id="rId23" w:history="1">
        <w:r w:rsidRPr="00070546">
          <w:rPr>
            <w:rStyle w:val="Hyperlink"/>
            <w:sz w:val="24"/>
            <w:szCs w:val="24"/>
            <w:lang w:val="zh-CN"/>
          </w:rPr>
          <w:t>CBD/SBSTTA/26/INF/15</w:t>
        </w:r>
      </w:hyperlink>
      <w:r w:rsidRPr="00070546">
        <w:rPr>
          <w:rFonts w:hint="eastAsia"/>
          <w:sz w:val="24"/>
          <w:szCs w:val="24"/>
          <w:lang w:val="zh-CN"/>
        </w:rPr>
        <w:t>号文件列明的意见相符，但还包括以下需求：</w:t>
      </w:r>
      <w:r w:rsidRPr="00070546">
        <w:rPr>
          <w:sz w:val="24"/>
          <w:szCs w:val="24"/>
        </w:rPr>
        <w:t xml:space="preserve"> </w:t>
      </w:r>
    </w:p>
    <w:p w14:paraId="708D6DE4" w14:textId="77777777" w:rsidR="00EC38F6" w:rsidRPr="00070546" w:rsidRDefault="00EC38F6" w:rsidP="0045681A">
      <w:pPr>
        <w:pStyle w:val="CBDNormalNumber"/>
        <w:numPr>
          <w:ilvl w:val="1"/>
          <w:numId w:val="20"/>
        </w:numPr>
        <w:rPr>
          <w:sz w:val="24"/>
          <w:szCs w:val="24"/>
        </w:rPr>
      </w:pPr>
      <w:r w:rsidRPr="00070546">
        <w:rPr>
          <w:rFonts w:hint="eastAsia"/>
          <w:sz w:val="24"/>
          <w:szCs w:val="24"/>
          <w:lang w:val="zh-CN"/>
        </w:rPr>
        <w:t>生物技术开发和推广的指导；</w:t>
      </w:r>
    </w:p>
    <w:p w14:paraId="708D6DE5" w14:textId="77777777" w:rsidR="00EC38F6" w:rsidRPr="00070546" w:rsidRDefault="00EC38F6" w:rsidP="0045681A">
      <w:pPr>
        <w:pStyle w:val="CBDNormalNumber"/>
        <w:numPr>
          <w:ilvl w:val="1"/>
          <w:numId w:val="20"/>
        </w:numPr>
        <w:rPr>
          <w:sz w:val="24"/>
          <w:szCs w:val="24"/>
        </w:rPr>
      </w:pPr>
      <w:r w:rsidRPr="00070546">
        <w:rPr>
          <w:rFonts w:hint="eastAsia"/>
          <w:sz w:val="24"/>
          <w:szCs w:val="24"/>
          <w:lang w:val="zh-CN"/>
        </w:rPr>
        <w:t>加强生物多样性保护、可持续利用和生产的社区能力的方法和手段</w:t>
      </w:r>
      <w:r w:rsidRPr="00070546">
        <w:rPr>
          <w:rFonts w:hint="eastAsia"/>
          <w:sz w:val="24"/>
          <w:szCs w:val="24"/>
        </w:rPr>
        <w:t>；</w:t>
      </w:r>
    </w:p>
    <w:p w14:paraId="708D6DE6" w14:textId="77777777" w:rsidR="00EC38F6" w:rsidRPr="00070546" w:rsidRDefault="00EC38F6" w:rsidP="0045681A">
      <w:pPr>
        <w:pStyle w:val="CBDNormalNumber"/>
        <w:numPr>
          <w:ilvl w:val="1"/>
          <w:numId w:val="20"/>
        </w:numPr>
        <w:rPr>
          <w:sz w:val="24"/>
          <w:szCs w:val="24"/>
        </w:rPr>
      </w:pPr>
      <w:r w:rsidRPr="00070546">
        <w:rPr>
          <w:rFonts w:hint="eastAsia"/>
          <w:sz w:val="24"/>
          <w:szCs w:val="24"/>
          <w:lang w:val="zh-CN"/>
        </w:rPr>
        <w:t>整合数据平台和影响指标；</w:t>
      </w:r>
    </w:p>
    <w:p w14:paraId="708D6DE7" w14:textId="77777777" w:rsidR="00EC38F6" w:rsidRPr="00070546" w:rsidRDefault="00EC38F6" w:rsidP="0045681A">
      <w:pPr>
        <w:pStyle w:val="CBDNormalNumber"/>
        <w:numPr>
          <w:ilvl w:val="1"/>
          <w:numId w:val="20"/>
        </w:numPr>
        <w:rPr>
          <w:sz w:val="24"/>
          <w:szCs w:val="24"/>
        </w:rPr>
      </w:pPr>
      <w:r w:rsidRPr="00070546">
        <w:rPr>
          <w:rFonts w:hint="eastAsia"/>
          <w:sz w:val="24"/>
          <w:szCs w:val="24"/>
          <w:lang w:val="zh-CN"/>
        </w:rPr>
        <w:lastRenderedPageBreak/>
        <w:t>增加对可持续企业的融资。</w:t>
      </w:r>
    </w:p>
    <w:p w14:paraId="708D6DE8"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一些提交者还请注意《</w:t>
      </w:r>
      <w:r w:rsidRPr="00070546">
        <w:rPr>
          <w:rFonts w:eastAsia="KaiTi" w:hint="eastAsia"/>
          <w:sz w:val="24"/>
          <w:szCs w:val="24"/>
          <w:lang w:val="zh-CN"/>
        </w:rPr>
        <w:t>野生物种可持续利用专题评估报告</w:t>
      </w:r>
      <w:r w:rsidRPr="00070546">
        <w:rPr>
          <w:rFonts w:eastAsia="KaiTi" w:hint="eastAsia"/>
          <w:sz w:val="24"/>
          <w:szCs w:val="24"/>
        </w:rPr>
        <w:t>：</w:t>
      </w:r>
      <w:r w:rsidRPr="00070546">
        <w:rPr>
          <w:rFonts w:eastAsia="KaiTi" w:hint="eastAsia"/>
          <w:sz w:val="24"/>
          <w:szCs w:val="24"/>
          <w:lang w:val="zh-CN"/>
        </w:rPr>
        <w:t>决策者摘要</w:t>
      </w:r>
      <w:r w:rsidRPr="00070546">
        <w:rPr>
          <w:rFonts w:hint="eastAsia"/>
          <w:sz w:val="24"/>
          <w:szCs w:val="24"/>
          <w:lang w:val="zh-CN"/>
        </w:rPr>
        <w:t>》附录</w:t>
      </w:r>
      <w:r w:rsidRPr="00070546">
        <w:rPr>
          <w:sz w:val="24"/>
          <w:szCs w:val="24"/>
        </w:rPr>
        <w:t>2</w:t>
      </w:r>
      <w:r w:rsidRPr="00070546">
        <w:rPr>
          <w:rFonts w:hint="eastAsia"/>
          <w:sz w:val="24"/>
          <w:szCs w:val="24"/>
          <w:lang w:val="zh-CN"/>
        </w:rPr>
        <w:t>中生物多样性和生态系统服务政府间科学与政策平台提出的知识差距分析。《</w:t>
      </w:r>
      <w:r w:rsidRPr="00070546">
        <w:rPr>
          <w:rFonts w:eastAsia="KaiTi_GB2312" w:hint="eastAsia"/>
          <w:sz w:val="24"/>
          <w:szCs w:val="24"/>
          <w:lang w:val="zh-CN"/>
        </w:rPr>
        <w:t>生物多样性丧失的根本原因、变革的决定因素和实现</w:t>
      </w:r>
      <w:r w:rsidRPr="00070546">
        <w:rPr>
          <w:sz w:val="24"/>
          <w:szCs w:val="24"/>
          <w:lang w:val="zh-CN"/>
        </w:rPr>
        <w:t>2050</w:t>
      </w:r>
      <w:r w:rsidRPr="00070546">
        <w:rPr>
          <w:rFonts w:eastAsia="KaiTi_GB2312" w:hint="eastAsia"/>
          <w:sz w:val="24"/>
          <w:szCs w:val="24"/>
          <w:lang w:val="zh-CN"/>
        </w:rPr>
        <w:t>年生物多样性愿景的备选方案的专题评估报告</w:t>
      </w:r>
      <w:r w:rsidRPr="00070546">
        <w:rPr>
          <w:rFonts w:hint="eastAsia"/>
          <w:sz w:val="24"/>
          <w:szCs w:val="24"/>
          <w:lang w:val="zh-CN"/>
        </w:rPr>
        <w:t>》也被认为具有高度相关性。</w:t>
      </w:r>
    </w:p>
    <w:p w14:paraId="708D6DE9"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一个缔约方在其提交的文件中指出</w:t>
      </w:r>
      <w:r w:rsidRPr="00070546">
        <w:rPr>
          <w:rFonts w:hint="eastAsia"/>
          <w:sz w:val="24"/>
          <w:szCs w:val="24"/>
        </w:rPr>
        <w:t>，</w:t>
      </w:r>
      <w:r w:rsidRPr="00070546">
        <w:rPr>
          <w:rFonts w:hint="eastAsia"/>
          <w:sz w:val="24"/>
          <w:szCs w:val="24"/>
          <w:lang w:val="zh-CN"/>
        </w:rPr>
        <w:t>这个议题可广泛地被理解为涵盖两个相互依存的主要要素</w:t>
      </w:r>
      <w:r w:rsidRPr="00070546">
        <w:rPr>
          <w:rFonts w:hint="eastAsia"/>
          <w:sz w:val="24"/>
          <w:szCs w:val="24"/>
        </w:rPr>
        <w:t>：（</w:t>
      </w:r>
      <w:r w:rsidRPr="00070546">
        <w:rPr>
          <w:sz w:val="24"/>
          <w:szCs w:val="24"/>
        </w:rPr>
        <w:t>a</w:t>
      </w:r>
      <w:r w:rsidRPr="00070546">
        <w:rPr>
          <w:rFonts w:hint="eastAsia"/>
          <w:sz w:val="24"/>
          <w:szCs w:val="24"/>
        </w:rPr>
        <w:t>）</w:t>
      </w:r>
      <w:r w:rsidRPr="00070546">
        <w:rPr>
          <w:rFonts w:hint="eastAsia"/>
          <w:sz w:val="24"/>
          <w:szCs w:val="24"/>
          <w:lang w:val="zh-CN"/>
        </w:rPr>
        <w:t>野生物种的可持续利用</w:t>
      </w:r>
      <w:r w:rsidRPr="00070546">
        <w:rPr>
          <w:rFonts w:hint="eastAsia"/>
          <w:sz w:val="24"/>
          <w:szCs w:val="24"/>
        </w:rPr>
        <w:t>；（</w:t>
      </w:r>
      <w:r w:rsidRPr="00070546">
        <w:rPr>
          <w:sz w:val="24"/>
          <w:szCs w:val="24"/>
        </w:rPr>
        <w:t>b</w:t>
      </w:r>
      <w:r w:rsidRPr="00070546">
        <w:rPr>
          <w:rFonts w:hint="eastAsia"/>
          <w:sz w:val="24"/>
          <w:szCs w:val="24"/>
        </w:rPr>
        <w:t>）</w:t>
      </w:r>
      <w:r w:rsidRPr="00070546">
        <w:rPr>
          <w:rFonts w:hint="eastAsia"/>
          <w:sz w:val="24"/>
          <w:szCs w:val="24"/>
          <w:lang w:val="zh-CN"/>
        </w:rPr>
        <w:t>对生物多样性产生净积极影响的活动、产品和服务。有人指出，在所有情况下，这都应为人们带来社会、经济和环境效益，同时保护和促进土著人民和地方社区的可持续习惯性利用，以符合《公约》和《昆蒙框架》的更广泛目标。该提交者指出，推广基于生物多样性的可持续活动、产品和服务有时被称为</w:t>
      </w:r>
      <w:r w:rsidRPr="00070546">
        <w:rPr>
          <w:sz w:val="24"/>
          <w:szCs w:val="24"/>
          <w:lang w:val="zh-CN"/>
        </w:rPr>
        <w:t>“</w:t>
      </w:r>
      <w:r w:rsidRPr="00070546">
        <w:rPr>
          <w:rFonts w:hint="eastAsia"/>
          <w:sz w:val="24"/>
          <w:szCs w:val="24"/>
          <w:lang w:val="zh-CN"/>
        </w:rPr>
        <w:t>生物经济</w:t>
      </w:r>
      <w:r w:rsidRPr="00070546">
        <w:rPr>
          <w:sz w:val="24"/>
          <w:szCs w:val="24"/>
          <w:lang w:val="zh-CN"/>
        </w:rPr>
        <w:t>”</w:t>
      </w:r>
      <w:r w:rsidRPr="00070546">
        <w:rPr>
          <w:rFonts w:hint="eastAsia"/>
          <w:sz w:val="24"/>
          <w:szCs w:val="24"/>
          <w:lang w:val="zh-CN"/>
        </w:rPr>
        <w:t>，并引用了该术语的定义。</w:t>
      </w:r>
      <w:r w:rsidRPr="00070546">
        <w:rPr>
          <w:sz w:val="24"/>
          <w:szCs w:val="24"/>
        </w:rPr>
        <w:t xml:space="preserve"> </w:t>
      </w:r>
    </w:p>
    <w:p w14:paraId="708D6DEA"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另一个缔约方提交的文件中指出</w:t>
      </w:r>
      <w:r w:rsidRPr="00070546">
        <w:rPr>
          <w:rFonts w:hint="eastAsia"/>
          <w:sz w:val="24"/>
          <w:szCs w:val="24"/>
        </w:rPr>
        <w:t>，</w:t>
      </w:r>
      <w:r w:rsidRPr="00070546">
        <w:rPr>
          <w:rFonts w:hint="eastAsia"/>
          <w:sz w:val="24"/>
          <w:szCs w:val="24"/>
          <w:lang w:val="zh-CN"/>
        </w:rPr>
        <w:t>生物经济及其相关方法正在成为支持《昆蒙框架》的投资战略的基石。例如，由开发署和生物多样性融资倡议支持的生物多样性部门投资门户网站发挥了推动作用，将国家投资机会与合适的投资者和中介机构联系起来，创造了就业机会并实现了包容性和可持续的经济转型以及经济增长。提交者展示了几个土地改革和生物多样性管理项目的个案研究。</w:t>
      </w:r>
    </w:p>
    <w:p w14:paraId="708D6DEB"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其他提交者提到各种相关概念</w:t>
      </w:r>
      <w:r w:rsidRPr="00070546">
        <w:rPr>
          <w:rFonts w:hint="eastAsia"/>
          <w:sz w:val="24"/>
          <w:szCs w:val="24"/>
        </w:rPr>
        <w:t>，</w:t>
      </w:r>
      <w:r w:rsidRPr="00070546">
        <w:rPr>
          <w:rFonts w:hint="eastAsia"/>
          <w:sz w:val="24"/>
          <w:szCs w:val="24"/>
          <w:lang w:val="zh-CN"/>
        </w:rPr>
        <w:t>例如绿色经济</w:t>
      </w:r>
      <w:r w:rsidRPr="00070546">
        <w:rPr>
          <w:rFonts w:hint="eastAsia"/>
          <w:sz w:val="24"/>
          <w:szCs w:val="24"/>
        </w:rPr>
        <w:t>，</w:t>
      </w:r>
      <w:r w:rsidRPr="00070546">
        <w:rPr>
          <w:rFonts w:hint="eastAsia"/>
          <w:sz w:val="24"/>
          <w:szCs w:val="24"/>
          <w:lang w:val="zh-CN"/>
        </w:rPr>
        <w:t>它也强调推广可持续产品和服务</w:t>
      </w:r>
      <w:r w:rsidRPr="00070546">
        <w:rPr>
          <w:rFonts w:hint="eastAsia"/>
          <w:sz w:val="24"/>
          <w:szCs w:val="24"/>
        </w:rPr>
        <w:t>，</w:t>
      </w:r>
      <w:r w:rsidRPr="00070546">
        <w:rPr>
          <w:rFonts w:hint="eastAsia"/>
          <w:sz w:val="24"/>
          <w:szCs w:val="24"/>
          <w:lang w:val="zh-CN"/>
        </w:rPr>
        <w:t>以支持向更具韧性的经济模式转型</w:t>
      </w:r>
      <w:r w:rsidRPr="00070546">
        <w:rPr>
          <w:rFonts w:hint="eastAsia"/>
          <w:sz w:val="24"/>
          <w:szCs w:val="24"/>
        </w:rPr>
        <w:t>，</w:t>
      </w:r>
      <w:r w:rsidRPr="00070546">
        <w:rPr>
          <w:rFonts w:hint="eastAsia"/>
          <w:sz w:val="24"/>
          <w:szCs w:val="24"/>
          <w:lang w:val="zh-CN"/>
        </w:rPr>
        <w:t>或推广能够产生社会、经济和环境效益而同时促进生物多样性保护的可持续活动。</w:t>
      </w:r>
    </w:p>
    <w:p w14:paraId="708D6DEC" w14:textId="77777777" w:rsidR="00EC38F6" w:rsidRPr="00070546" w:rsidRDefault="00EC38F6">
      <w:pPr>
        <w:pStyle w:val="CBDH3"/>
        <w:outlineLvl w:val="2"/>
        <w:rPr>
          <w:sz w:val="24"/>
          <w:szCs w:val="24"/>
        </w:rPr>
      </w:pPr>
      <w:r w:rsidRPr="00070546">
        <w:rPr>
          <w:sz w:val="24"/>
          <w:szCs w:val="24"/>
        </w:rPr>
        <w:t>3.</w:t>
      </w:r>
      <w:r w:rsidRPr="00070546">
        <w:rPr>
          <w:sz w:val="24"/>
          <w:szCs w:val="24"/>
        </w:rPr>
        <w:tab/>
      </w:r>
      <w:r w:rsidRPr="00070546">
        <w:rPr>
          <w:rFonts w:hint="eastAsia"/>
          <w:sz w:val="24"/>
          <w:szCs w:val="24"/>
          <w:lang w:val="zh-CN"/>
        </w:rPr>
        <w:t>分析和补充信息</w:t>
      </w:r>
    </w:p>
    <w:p w14:paraId="708D6DED"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提交的材料涵盖两个截然不同的主题。第一个主题是野生物种的可持续利用</w:t>
      </w:r>
      <w:r w:rsidRPr="00070546">
        <w:rPr>
          <w:rFonts w:hint="eastAsia"/>
          <w:sz w:val="24"/>
          <w:szCs w:val="24"/>
        </w:rPr>
        <w:t>，</w:t>
      </w:r>
      <w:r w:rsidRPr="00070546">
        <w:rPr>
          <w:rFonts w:hint="eastAsia"/>
          <w:sz w:val="24"/>
          <w:szCs w:val="24"/>
          <w:lang w:val="zh-CN"/>
        </w:rPr>
        <w:t>其中大多数例子提到丛林野味</w:t>
      </w:r>
      <w:r w:rsidRPr="00070546">
        <w:rPr>
          <w:rFonts w:hint="eastAsia"/>
          <w:sz w:val="24"/>
          <w:szCs w:val="24"/>
        </w:rPr>
        <w:t>，</w:t>
      </w:r>
      <w:r w:rsidRPr="00070546">
        <w:rPr>
          <w:rFonts w:hint="eastAsia"/>
          <w:sz w:val="24"/>
          <w:szCs w:val="24"/>
          <w:lang w:val="zh-CN"/>
        </w:rPr>
        <w:t>但也涉及一些其他肉类用途</w:t>
      </w:r>
      <w:r w:rsidRPr="00070546">
        <w:rPr>
          <w:rFonts w:hint="eastAsia"/>
          <w:sz w:val="24"/>
          <w:szCs w:val="24"/>
        </w:rPr>
        <w:t>，</w:t>
      </w:r>
      <w:r w:rsidRPr="00070546">
        <w:rPr>
          <w:rFonts w:hint="eastAsia"/>
          <w:sz w:val="24"/>
          <w:szCs w:val="24"/>
          <w:lang w:val="zh-CN"/>
        </w:rPr>
        <w:t>例如渔业。提交者没有提到这些活动如何</w:t>
      </w:r>
      <w:r w:rsidRPr="00070546">
        <w:rPr>
          <w:sz w:val="24"/>
          <w:szCs w:val="24"/>
          <w:lang w:val="zh-CN"/>
        </w:rPr>
        <w:t>“</w:t>
      </w:r>
      <w:r w:rsidRPr="00070546">
        <w:rPr>
          <w:rFonts w:hint="eastAsia"/>
          <w:sz w:val="24"/>
          <w:szCs w:val="24"/>
          <w:lang w:val="zh-CN"/>
        </w:rPr>
        <w:t>增强</w:t>
      </w:r>
      <w:r w:rsidRPr="00070546">
        <w:rPr>
          <w:sz w:val="24"/>
          <w:szCs w:val="24"/>
          <w:lang w:val="zh-CN"/>
        </w:rPr>
        <w:t>”</w:t>
      </w:r>
      <w:r w:rsidRPr="00070546">
        <w:rPr>
          <w:rFonts w:hint="eastAsia"/>
          <w:sz w:val="24"/>
          <w:szCs w:val="24"/>
          <w:lang w:val="zh-CN"/>
        </w:rPr>
        <w:t>生物多样性。第二个主题是基于生物多样性的可持续活动、产品和服务，这些活动、产品和服务在更广泛的经济方法或战略背景下，增强了生物多样性，通常被归类为</w:t>
      </w:r>
      <w:r w:rsidRPr="00070546">
        <w:rPr>
          <w:sz w:val="24"/>
          <w:szCs w:val="24"/>
          <w:lang w:val="zh-CN"/>
        </w:rPr>
        <w:t>“</w:t>
      </w:r>
      <w:r w:rsidRPr="00070546">
        <w:rPr>
          <w:rFonts w:hint="eastAsia"/>
          <w:sz w:val="24"/>
          <w:szCs w:val="24"/>
          <w:lang w:val="zh-CN"/>
        </w:rPr>
        <w:t>生物经济</w:t>
      </w:r>
      <w:r w:rsidRPr="00070546">
        <w:rPr>
          <w:sz w:val="24"/>
          <w:szCs w:val="24"/>
          <w:lang w:val="zh-CN"/>
        </w:rPr>
        <w:t>”</w:t>
      </w:r>
      <w:r w:rsidRPr="00070546">
        <w:rPr>
          <w:rFonts w:hint="eastAsia"/>
          <w:sz w:val="24"/>
          <w:szCs w:val="24"/>
          <w:lang w:val="zh-CN"/>
        </w:rPr>
        <w:t>或类似的宏观经济概念。科咨机构不妨将这两个主题区分开来。</w:t>
      </w:r>
      <w:r w:rsidRPr="00070546">
        <w:rPr>
          <w:sz w:val="24"/>
          <w:szCs w:val="24"/>
        </w:rPr>
        <w:t xml:space="preserve"> </w:t>
      </w:r>
    </w:p>
    <w:p w14:paraId="708D6DEE"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可持续野生生物管理涉及对野生物种进行健全的管理</w:t>
      </w:r>
      <w:r w:rsidRPr="00070546">
        <w:rPr>
          <w:rFonts w:hint="eastAsia"/>
          <w:sz w:val="24"/>
          <w:szCs w:val="24"/>
        </w:rPr>
        <w:t>，</w:t>
      </w:r>
      <w:r w:rsidRPr="00070546">
        <w:rPr>
          <w:rFonts w:hint="eastAsia"/>
          <w:sz w:val="24"/>
          <w:szCs w:val="24"/>
          <w:lang w:val="zh-CN"/>
        </w:rPr>
        <w:t>长期维持其种群和栖息地</w:t>
      </w:r>
      <w:r w:rsidRPr="00070546">
        <w:rPr>
          <w:rFonts w:hint="eastAsia"/>
          <w:sz w:val="24"/>
          <w:szCs w:val="24"/>
        </w:rPr>
        <w:t>，</w:t>
      </w:r>
      <w:r w:rsidRPr="00070546">
        <w:rPr>
          <w:rFonts w:hint="eastAsia"/>
          <w:sz w:val="24"/>
          <w:szCs w:val="24"/>
          <w:lang w:val="zh-CN"/>
        </w:rPr>
        <w:t>同时兼顾人类的社会经济需求</w:t>
      </w:r>
      <w:r w:rsidRPr="00070546">
        <w:rPr>
          <w:rFonts w:hint="eastAsia"/>
          <w:sz w:val="24"/>
          <w:szCs w:val="24"/>
        </w:rPr>
        <w:t>，</w:t>
      </w:r>
      <w:r w:rsidRPr="00070546">
        <w:rPr>
          <w:rStyle w:val="FootnoteReference"/>
          <w:sz w:val="24"/>
          <w:szCs w:val="24"/>
          <w:lang w:val="zh-CN"/>
        </w:rPr>
        <w:footnoteReference w:id="31"/>
      </w:r>
      <w:r w:rsidRPr="00070546">
        <w:rPr>
          <w:rFonts w:hint="eastAsia"/>
          <w:sz w:val="24"/>
          <w:szCs w:val="24"/>
          <w:lang w:val="zh-CN"/>
        </w:rPr>
        <w:t>是可持续生物多样性活动的一部分。缔约方大会第</w:t>
      </w:r>
      <w:r>
        <w:fldChar w:fldCharType="begin"/>
      </w:r>
      <w:r>
        <w:instrText>HYPERLINK "https://www.cbd.int/decisions/cop/?m=cop-16"</w:instrText>
      </w:r>
      <w:r>
        <w:fldChar w:fldCharType="separate"/>
      </w:r>
      <w:r w:rsidRPr="00070546">
        <w:rPr>
          <w:rStyle w:val="Hyperlink"/>
          <w:sz w:val="24"/>
          <w:szCs w:val="24"/>
          <w:lang w:val="zh-CN"/>
        </w:rPr>
        <w:t>16/15</w:t>
      </w:r>
      <w:r>
        <w:fldChar w:fldCharType="end"/>
      </w:r>
      <w:r w:rsidRPr="00070546">
        <w:rPr>
          <w:rFonts w:hint="eastAsia"/>
          <w:sz w:val="24"/>
          <w:szCs w:val="24"/>
          <w:lang w:val="zh-CN"/>
        </w:rPr>
        <w:t>号决定第</w:t>
      </w:r>
      <w:r w:rsidRPr="00070546">
        <w:rPr>
          <w:sz w:val="24"/>
          <w:szCs w:val="24"/>
          <w:lang w:val="zh-CN"/>
        </w:rPr>
        <w:t>6</w:t>
      </w:r>
      <w:r w:rsidRPr="00070546">
        <w:rPr>
          <w:rFonts w:hint="eastAsia"/>
          <w:sz w:val="24"/>
          <w:szCs w:val="24"/>
          <w:lang w:val="zh-CN"/>
        </w:rPr>
        <w:t>段请执行秘书编写适用于多种物种和多种做法的可持续野生生物管理全球指导草案。此类指导可以在一定程度上为更广泛地制定基于生物多样性的可持续活动、产品和服务的指导和工具提供信息和支持。</w:t>
      </w:r>
    </w:p>
    <w:p w14:paraId="708D6DEF" w14:textId="77777777" w:rsidR="00EC38F6" w:rsidRPr="00070546" w:rsidRDefault="00EC38F6">
      <w:pPr>
        <w:pStyle w:val="CBDH3"/>
        <w:outlineLvl w:val="2"/>
        <w:rPr>
          <w:sz w:val="24"/>
          <w:szCs w:val="24"/>
        </w:rPr>
      </w:pPr>
      <w:r w:rsidRPr="00070546">
        <w:rPr>
          <w:sz w:val="24"/>
          <w:szCs w:val="24"/>
        </w:rPr>
        <w:t>4.</w:t>
      </w:r>
      <w:r w:rsidRPr="00070546">
        <w:rPr>
          <w:sz w:val="24"/>
          <w:szCs w:val="24"/>
        </w:rPr>
        <w:tab/>
      </w:r>
      <w:r w:rsidRPr="00070546">
        <w:rPr>
          <w:rFonts w:hint="eastAsia"/>
          <w:sz w:val="24"/>
          <w:szCs w:val="24"/>
          <w:lang w:val="zh-CN"/>
        </w:rPr>
        <w:t>关于未来可能前进方向的结论</w:t>
      </w:r>
    </w:p>
    <w:p w14:paraId="708D6DF0"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尽管有几位提交者提到生物经济</w:t>
      </w:r>
      <w:r w:rsidRPr="00070546">
        <w:rPr>
          <w:rFonts w:hint="eastAsia"/>
          <w:sz w:val="24"/>
          <w:szCs w:val="24"/>
        </w:rPr>
        <w:t>，</w:t>
      </w:r>
      <w:r w:rsidRPr="00070546">
        <w:rPr>
          <w:rFonts w:hint="eastAsia"/>
          <w:sz w:val="24"/>
          <w:szCs w:val="24"/>
          <w:lang w:val="zh-CN"/>
        </w:rPr>
        <w:t>但该术语并未在《昆蒙框架》的行动目标</w:t>
      </w:r>
      <w:r w:rsidRPr="00070546">
        <w:rPr>
          <w:sz w:val="24"/>
          <w:szCs w:val="24"/>
        </w:rPr>
        <w:t>9</w:t>
      </w:r>
      <w:r w:rsidRPr="00070546">
        <w:rPr>
          <w:rFonts w:hint="eastAsia"/>
          <w:sz w:val="24"/>
          <w:szCs w:val="24"/>
          <w:lang w:val="zh-CN"/>
        </w:rPr>
        <w:t>中提及</w:t>
      </w:r>
      <w:r w:rsidRPr="00070546">
        <w:rPr>
          <w:rFonts w:hint="eastAsia"/>
          <w:sz w:val="24"/>
          <w:szCs w:val="24"/>
        </w:rPr>
        <w:t>，</w:t>
      </w:r>
      <w:r w:rsidRPr="00070546">
        <w:rPr>
          <w:rFonts w:hint="eastAsia"/>
          <w:sz w:val="24"/>
          <w:szCs w:val="24"/>
          <w:lang w:val="zh-CN"/>
        </w:rPr>
        <w:t>该行动目标引入了基于生物多样性的可持续活动、产品和服务的概念。因此，尽管可能需要在《公约》下进一步开展关于生物经济方面的工作，但拟议的方法并未涵盖生物经济这个主题。</w:t>
      </w:r>
    </w:p>
    <w:p w14:paraId="708D6DF1"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lastRenderedPageBreak/>
        <w:t>需要对行动目标</w:t>
      </w:r>
      <w:r w:rsidRPr="00070546">
        <w:rPr>
          <w:sz w:val="24"/>
          <w:szCs w:val="24"/>
        </w:rPr>
        <w:t>9</w:t>
      </w:r>
      <w:r w:rsidRPr="00070546">
        <w:rPr>
          <w:rFonts w:hint="eastAsia"/>
          <w:sz w:val="24"/>
          <w:szCs w:val="24"/>
          <w:lang w:val="zh-CN"/>
        </w:rPr>
        <w:t>和</w:t>
      </w:r>
      <w:r w:rsidRPr="00070546">
        <w:rPr>
          <w:sz w:val="24"/>
          <w:szCs w:val="24"/>
        </w:rPr>
        <w:t>“</w:t>
      </w:r>
      <w:r w:rsidRPr="00070546">
        <w:rPr>
          <w:rFonts w:hint="eastAsia"/>
          <w:sz w:val="24"/>
          <w:szCs w:val="24"/>
          <w:lang w:val="zh-CN"/>
        </w:rPr>
        <w:t>增强生物多样性的可持续生物多样性活动、产品和服务</w:t>
      </w:r>
      <w:r w:rsidRPr="00070546">
        <w:rPr>
          <w:sz w:val="24"/>
          <w:szCs w:val="24"/>
        </w:rPr>
        <w:t>”</w:t>
      </w:r>
      <w:r w:rsidRPr="00070546">
        <w:rPr>
          <w:rFonts w:hint="eastAsia"/>
          <w:sz w:val="24"/>
          <w:szCs w:val="24"/>
          <w:lang w:val="zh-CN"/>
        </w:rPr>
        <w:t>进行进一步审议和分析。提交者认识到它对行动目标</w:t>
      </w:r>
      <w:r w:rsidRPr="00070546">
        <w:rPr>
          <w:sz w:val="24"/>
          <w:szCs w:val="24"/>
          <w:lang w:val="zh-CN"/>
        </w:rPr>
        <w:t>9</w:t>
      </w:r>
      <w:r w:rsidRPr="00070546">
        <w:rPr>
          <w:rFonts w:hint="eastAsia"/>
          <w:sz w:val="24"/>
          <w:szCs w:val="24"/>
          <w:lang w:val="zh-CN"/>
        </w:rPr>
        <w:t>可能具有相关性和重要性，但指出该术语及其是否符合《公约》宗旨存在不确定性。在就当前主题的新工作领域或是否将其纳入现有领域提出建议之前，需要进一步考虑该问题。</w:t>
      </w:r>
      <w:r w:rsidRPr="00070546">
        <w:rPr>
          <w:sz w:val="24"/>
          <w:szCs w:val="24"/>
        </w:rPr>
        <w:t xml:space="preserve"> </w:t>
      </w:r>
    </w:p>
    <w:p w14:paraId="708D6DF2" w14:textId="77777777" w:rsidR="00EC38F6" w:rsidRPr="00070546" w:rsidRDefault="00EC38F6">
      <w:pPr>
        <w:pStyle w:val="CBDH2"/>
        <w:jc w:val="left"/>
        <w:outlineLvl w:val="1"/>
        <w:rPr>
          <w:szCs w:val="24"/>
        </w:rPr>
      </w:pPr>
      <w:r w:rsidRPr="00070546">
        <w:rPr>
          <w:noProof/>
          <w:szCs w:val="24"/>
        </w:rPr>
        <w:t>D.</w:t>
      </w:r>
      <w:r w:rsidRPr="00070546">
        <w:rPr>
          <w:szCs w:val="24"/>
        </w:rPr>
        <w:tab/>
      </w:r>
      <w:r w:rsidRPr="00070546">
        <w:rPr>
          <w:rFonts w:hint="eastAsia"/>
          <w:szCs w:val="24"/>
          <w:lang w:val="zh-CN"/>
        </w:rPr>
        <w:t>公平、性别平等与保护和可持续利用生物多样性有关的基于人权的方法以及公正、公平地分享利用遗传资源所产生的惠益</w:t>
      </w:r>
    </w:p>
    <w:p w14:paraId="708D6DF3" w14:textId="77777777" w:rsidR="00EC38F6" w:rsidRPr="00070546" w:rsidRDefault="00EC38F6">
      <w:pPr>
        <w:pStyle w:val="CBDH3"/>
        <w:outlineLvl w:val="2"/>
        <w:rPr>
          <w:sz w:val="24"/>
          <w:szCs w:val="24"/>
        </w:rPr>
      </w:pPr>
      <w:r w:rsidRPr="00070546">
        <w:rPr>
          <w:sz w:val="24"/>
          <w:szCs w:val="24"/>
        </w:rPr>
        <w:t>1.</w:t>
      </w:r>
      <w:r w:rsidRPr="00070546">
        <w:rPr>
          <w:sz w:val="24"/>
          <w:szCs w:val="24"/>
        </w:rPr>
        <w:tab/>
      </w:r>
      <w:r w:rsidRPr="00070546">
        <w:rPr>
          <w:rFonts w:hint="eastAsia"/>
          <w:sz w:val="24"/>
          <w:szCs w:val="24"/>
          <w:lang w:val="zh-CN"/>
        </w:rPr>
        <w:t>背景</w:t>
      </w:r>
    </w:p>
    <w:p w14:paraId="708D6DF4"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缔约方、</w:t>
      </w:r>
      <w:r w:rsidRPr="00070546">
        <w:rPr>
          <w:rFonts w:hint="eastAsia"/>
          <w:color w:val="000000"/>
          <w:sz w:val="24"/>
          <w:szCs w:val="24"/>
          <w:lang w:val="zh-CN"/>
        </w:rPr>
        <w:t>生物多样性公约关于土著人民和地方社区的第</w:t>
      </w:r>
      <w:r w:rsidRPr="00070546">
        <w:rPr>
          <w:color w:val="000000"/>
          <w:sz w:val="24"/>
          <w:szCs w:val="24"/>
        </w:rPr>
        <w:t xml:space="preserve"> 8</w:t>
      </w:r>
      <w:r w:rsidRPr="00070546">
        <w:rPr>
          <w:rFonts w:hint="eastAsia"/>
          <w:color w:val="000000"/>
          <w:sz w:val="24"/>
          <w:szCs w:val="24"/>
        </w:rPr>
        <w:t>（</w:t>
      </w:r>
      <w:r w:rsidRPr="00070546">
        <w:rPr>
          <w:color w:val="000000"/>
          <w:sz w:val="24"/>
          <w:szCs w:val="24"/>
        </w:rPr>
        <w:t>j</w:t>
      </w:r>
      <w:r w:rsidRPr="00070546">
        <w:rPr>
          <w:rFonts w:hint="eastAsia"/>
          <w:color w:val="000000"/>
          <w:sz w:val="24"/>
          <w:szCs w:val="24"/>
        </w:rPr>
        <w:t>）</w:t>
      </w:r>
      <w:r w:rsidRPr="00070546">
        <w:rPr>
          <w:rFonts w:hint="eastAsia"/>
          <w:color w:val="000000"/>
          <w:sz w:val="24"/>
          <w:szCs w:val="24"/>
          <w:lang w:val="zh-CN"/>
        </w:rPr>
        <w:t>条和其他条款附属机构和秘书处实施的到</w:t>
      </w:r>
      <w:r w:rsidRPr="00070546">
        <w:rPr>
          <w:sz w:val="24"/>
          <w:szCs w:val="24"/>
        </w:rPr>
        <w:t>2030</w:t>
      </w:r>
      <w:r w:rsidRPr="00070546">
        <w:rPr>
          <w:rFonts w:hint="eastAsia"/>
          <w:sz w:val="24"/>
          <w:szCs w:val="24"/>
          <w:lang w:val="zh-CN"/>
        </w:rPr>
        <w:t>年生物多样性公约关于土著人民和地方社区的第</w:t>
      </w:r>
      <w:r w:rsidRPr="00070546">
        <w:rPr>
          <w:sz w:val="24"/>
          <w:szCs w:val="24"/>
        </w:rPr>
        <w:t>8</w:t>
      </w:r>
      <w:r w:rsidRPr="00070546">
        <w:rPr>
          <w:rFonts w:hint="eastAsia"/>
          <w:sz w:val="24"/>
          <w:szCs w:val="24"/>
        </w:rPr>
        <w:t>（</w:t>
      </w:r>
      <w:r w:rsidRPr="00070546">
        <w:rPr>
          <w:sz w:val="24"/>
          <w:szCs w:val="24"/>
        </w:rPr>
        <w:t>j</w:t>
      </w:r>
      <w:r w:rsidRPr="00070546">
        <w:rPr>
          <w:rFonts w:hint="eastAsia"/>
          <w:sz w:val="24"/>
          <w:szCs w:val="24"/>
        </w:rPr>
        <w:t>）</w:t>
      </w:r>
      <w:r w:rsidRPr="00070546">
        <w:rPr>
          <w:rFonts w:hint="eastAsia"/>
          <w:sz w:val="24"/>
          <w:szCs w:val="24"/>
          <w:lang w:val="zh-CN"/>
        </w:rPr>
        <w:t>条和其他条款的工作方案包含多项涉及基于人权的方法的任务。任务</w:t>
      </w:r>
      <w:r w:rsidRPr="00070546">
        <w:rPr>
          <w:sz w:val="24"/>
          <w:szCs w:val="24"/>
          <w:lang w:val="zh-CN"/>
        </w:rPr>
        <w:t>7.3</w:t>
      </w:r>
      <w:r w:rsidRPr="00070546">
        <w:rPr>
          <w:rFonts w:hint="eastAsia"/>
          <w:sz w:val="24"/>
          <w:szCs w:val="24"/>
          <w:lang w:val="zh-CN"/>
        </w:rPr>
        <w:t>涉及制定关于实施《昆蒙框架》行动目标</w:t>
      </w:r>
      <w:r w:rsidRPr="00070546">
        <w:rPr>
          <w:sz w:val="24"/>
          <w:szCs w:val="24"/>
          <w:lang w:val="zh-CN"/>
        </w:rPr>
        <w:t>22</w:t>
      </w:r>
      <w:r w:rsidRPr="00070546">
        <w:rPr>
          <w:rFonts w:hint="eastAsia"/>
          <w:sz w:val="24"/>
          <w:szCs w:val="24"/>
          <w:lang w:val="zh-CN"/>
        </w:rPr>
        <w:t>的指导方针。根据任务</w:t>
      </w:r>
      <w:r w:rsidRPr="00070546">
        <w:rPr>
          <w:sz w:val="24"/>
          <w:szCs w:val="24"/>
          <w:lang w:val="zh-CN"/>
        </w:rPr>
        <w:t>7.1</w:t>
      </w:r>
      <w:r w:rsidRPr="00070546">
        <w:rPr>
          <w:rFonts w:hint="eastAsia"/>
          <w:sz w:val="24"/>
          <w:szCs w:val="24"/>
          <w:lang w:val="zh-CN"/>
        </w:rPr>
        <w:t>，第</w:t>
      </w:r>
      <w:r w:rsidRPr="00070546">
        <w:rPr>
          <w:sz w:val="24"/>
          <w:szCs w:val="24"/>
          <w:lang w:val="zh-CN"/>
        </w:rPr>
        <w:t>8</w:t>
      </w:r>
      <w:r w:rsidRPr="00070546">
        <w:rPr>
          <w:rFonts w:hint="eastAsia"/>
          <w:sz w:val="24"/>
          <w:szCs w:val="24"/>
          <w:lang w:val="zh-CN"/>
        </w:rPr>
        <w:t>（</w:t>
      </w:r>
      <w:r w:rsidRPr="00070546">
        <w:rPr>
          <w:sz w:val="24"/>
          <w:szCs w:val="24"/>
          <w:lang w:val="zh-CN"/>
        </w:rPr>
        <w:t>j</w:t>
      </w:r>
      <w:r w:rsidRPr="00070546">
        <w:rPr>
          <w:rFonts w:hint="eastAsia"/>
          <w:sz w:val="24"/>
          <w:szCs w:val="24"/>
          <w:lang w:val="zh-CN"/>
        </w:rPr>
        <w:t>）条附属机构将制定加强土著人民和地方社区对生物多样性的保护和可持续利用作出贡献的指导方针。</w:t>
      </w:r>
    </w:p>
    <w:p w14:paraId="708D6DF5"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《公约》长期以来一直致力于性别和性别平等工作</w:t>
      </w:r>
      <w:r w:rsidRPr="00070546">
        <w:rPr>
          <w:rFonts w:hint="eastAsia"/>
          <w:sz w:val="24"/>
          <w:szCs w:val="24"/>
        </w:rPr>
        <w:t>，</w:t>
      </w:r>
      <w:r w:rsidRPr="00070546">
        <w:rPr>
          <w:rFonts w:eastAsia="MS Mincho"/>
          <w:sz w:val="24"/>
          <w:szCs w:val="24"/>
        </w:rPr>
        <w:t>​​</w:t>
      </w:r>
      <w:r w:rsidRPr="00070546">
        <w:rPr>
          <w:rFonts w:hint="eastAsia"/>
          <w:sz w:val="24"/>
          <w:szCs w:val="24"/>
          <w:lang w:val="zh-CN"/>
        </w:rPr>
        <w:t>包括根据《性别平等行动计划</w:t>
      </w:r>
      <w:r w:rsidRPr="00070546">
        <w:rPr>
          <w:rFonts w:hint="eastAsia"/>
          <w:sz w:val="24"/>
          <w:szCs w:val="24"/>
        </w:rPr>
        <w:t>（</w:t>
      </w:r>
      <w:r w:rsidRPr="00070546">
        <w:rPr>
          <w:sz w:val="24"/>
          <w:szCs w:val="24"/>
        </w:rPr>
        <w:t>2023-2030</w:t>
      </w:r>
      <w:r w:rsidRPr="00070546">
        <w:rPr>
          <w:rFonts w:hint="eastAsia"/>
          <w:sz w:val="24"/>
          <w:szCs w:val="24"/>
          <w:lang w:val="zh-CN"/>
        </w:rPr>
        <w:t>年</w:t>
      </w:r>
      <w:r w:rsidRPr="00070546">
        <w:rPr>
          <w:rFonts w:hint="eastAsia"/>
          <w:sz w:val="24"/>
          <w:szCs w:val="24"/>
        </w:rPr>
        <w:t>）</w:t>
      </w:r>
      <w:r w:rsidRPr="00070546">
        <w:rPr>
          <w:rFonts w:hint="eastAsia"/>
          <w:sz w:val="24"/>
          <w:szCs w:val="24"/>
          <w:lang w:val="zh-CN"/>
        </w:rPr>
        <w:t>》开展的工作。该计划的实施，除其他外，以采用基于人权的方针为基础。《性别平等行动计划》旨在支持和促进以促进性别平等的方式实施《昆蒙框架》。</w:t>
      </w:r>
    </w:p>
    <w:p w14:paraId="708D6DF6"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缔约方大会在其第</w:t>
      </w:r>
      <w:hyperlink r:id="rId24" w:history="1">
        <w:r w:rsidRPr="00070546">
          <w:rPr>
            <w:rStyle w:val="Hyperlink"/>
            <w:sz w:val="24"/>
            <w:szCs w:val="24"/>
          </w:rPr>
          <w:t>16/35</w:t>
        </w:r>
      </w:hyperlink>
      <w:r w:rsidRPr="00070546">
        <w:rPr>
          <w:rFonts w:hint="eastAsia"/>
          <w:sz w:val="24"/>
          <w:szCs w:val="24"/>
          <w:lang w:val="zh-CN"/>
        </w:rPr>
        <w:t>号决定第</w:t>
      </w:r>
      <w:r w:rsidRPr="00070546">
        <w:rPr>
          <w:sz w:val="24"/>
          <w:szCs w:val="24"/>
        </w:rPr>
        <w:t>20</w:t>
      </w:r>
      <w:r w:rsidRPr="00070546">
        <w:rPr>
          <w:rFonts w:hint="eastAsia"/>
          <w:sz w:val="24"/>
          <w:szCs w:val="24"/>
          <w:lang w:val="zh-CN"/>
        </w:rPr>
        <w:t>段邀请人权高专办制定关于以基于人权的方针实施《昆蒙框架》的工具和指导</w:t>
      </w:r>
      <w:r w:rsidRPr="00070546">
        <w:rPr>
          <w:rFonts w:hint="eastAsia"/>
          <w:sz w:val="24"/>
          <w:szCs w:val="24"/>
        </w:rPr>
        <w:t>，</w:t>
      </w:r>
      <w:r w:rsidRPr="00070546">
        <w:rPr>
          <w:rFonts w:hint="eastAsia"/>
          <w:sz w:val="24"/>
          <w:szCs w:val="24"/>
          <w:lang w:val="zh-CN"/>
        </w:rPr>
        <w:t>并将结果提交秘书处。人权理事会在其关于生物多样性与人权的第</w:t>
      </w:r>
      <w:r w:rsidRPr="00070546">
        <w:rPr>
          <w:sz w:val="24"/>
          <w:szCs w:val="24"/>
          <w:lang w:val="zh-CN"/>
        </w:rPr>
        <w:t>57/28</w:t>
      </w:r>
      <w:r w:rsidRPr="00070546">
        <w:rPr>
          <w:rFonts w:hint="eastAsia"/>
          <w:sz w:val="24"/>
          <w:szCs w:val="24"/>
          <w:lang w:val="zh-CN"/>
        </w:rPr>
        <w:t>号决议中，鼓励人权高专办与秘书处合作，推进基于人权的生物多样性行动，并请联合国人权事务高级专员将基于人权的方式执行《昆蒙框架》的长期目标和行动目标的情况进行全球分析研究，并将研究结果提交给可能于</w:t>
      </w:r>
      <w:r w:rsidRPr="00070546">
        <w:rPr>
          <w:sz w:val="24"/>
          <w:szCs w:val="24"/>
          <w:lang w:val="zh-CN"/>
        </w:rPr>
        <w:t>2026</w:t>
      </w:r>
      <w:r w:rsidRPr="00070546">
        <w:rPr>
          <w:rFonts w:hint="eastAsia"/>
          <w:sz w:val="24"/>
          <w:szCs w:val="24"/>
          <w:lang w:val="zh-CN"/>
        </w:rPr>
        <w:t>年第一季度举行的人权理事会第六十一届会议。</w:t>
      </w:r>
    </w:p>
    <w:p w14:paraId="708D6DF7" w14:textId="77777777" w:rsidR="00EC38F6" w:rsidRPr="00070546" w:rsidRDefault="00EC38F6">
      <w:pPr>
        <w:pStyle w:val="CBDH3"/>
        <w:outlineLvl w:val="2"/>
        <w:rPr>
          <w:sz w:val="24"/>
          <w:szCs w:val="24"/>
        </w:rPr>
      </w:pPr>
      <w:r w:rsidRPr="00070546">
        <w:rPr>
          <w:sz w:val="24"/>
          <w:szCs w:val="24"/>
        </w:rPr>
        <w:t>2.</w:t>
      </w:r>
      <w:r w:rsidRPr="00070546">
        <w:rPr>
          <w:sz w:val="24"/>
          <w:szCs w:val="24"/>
        </w:rPr>
        <w:tab/>
      </w:r>
      <w:r w:rsidRPr="00070546">
        <w:rPr>
          <w:rFonts w:hint="eastAsia"/>
          <w:sz w:val="24"/>
          <w:szCs w:val="24"/>
          <w:lang w:val="zh-CN"/>
        </w:rPr>
        <w:t>提交的材料摘要</w:t>
      </w:r>
    </w:p>
    <w:p w14:paraId="708D6DF8"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秘书处收到</w:t>
      </w:r>
      <w:r w:rsidRPr="00070546">
        <w:rPr>
          <w:sz w:val="24"/>
          <w:szCs w:val="24"/>
        </w:rPr>
        <w:t>18</w:t>
      </w:r>
      <w:r w:rsidRPr="00070546">
        <w:rPr>
          <w:rFonts w:hint="eastAsia"/>
          <w:sz w:val="24"/>
          <w:szCs w:val="24"/>
          <w:lang w:val="zh-CN"/>
        </w:rPr>
        <w:t>份与本议题相关的材料。</w:t>
      </w:r>
      <w:r w:rsidRPr="00070546">
        <w:rPr>
          <w:rStyle w:val="FootnoteReference"/>
          <w:sz w:val="24"/>
          <w:szCs w:val="24"/>
          <w:lang w:val="zh-CN"/>
        </w:rPr>
        <w:footnoteReference w:id="32"/>
      </w:r>
      <w:r w:rsidRPr="00070546">
        <w:rPr>
          <w:rFonts w:hint="eastAsia"/>
          <w:sz w:val="24"/>
          <w:szCs w:val="24"/>
          <w:lang w:val="zh-CN"/>
        </w:rPr>
        <w:t>提交者表示</w:t>
      </w:r>
      <w:r w:rsidRPr="00070546">
        <w:rPr>
          <w:rFonts w:hint="eastAsia"/>
          <w:sz w:val="24"/>
          <w:szCs w:val="24"/>
        </w:rPr>
        <w:t>，</w:t>
      </w:r>
      <w:r w:rsidRPr="00070546">
        <w:rPr>
          <w:rFonts w:hint="eastAsia"/>
          <w:sz w:val="24"/>
          <w:szCs w:val="24"/>
          <w:lang w:val="zh-CN"/>
        </w:rPr>
        <w:t>绝大多数人支持在该领域开展进一步工作</w:t>
      </w:r>
      <w:r w:rsidRPr="00070546">
        <w:rPr>
          <w:rFonts w:hint="eastAsia"/>
          <w:sz w:val="24"/>
          <w:szCs w:val="24"/>
        </w:rPr>
        <w:t>，</w:t>
      </w:r>
      <w:r w:rsidRPr="00070546">
        <w:rPr>
          <w:rFonts w:hint="eastAsia"/>
          <w:sz w:val="24"/>
          <w:szCs w:val="24"/>
          <w:lang w:val="zh-CN"/>
        </w:rPr>
        <w:t>指出此类工作应以现有工作为基础</w:t>
      </w:r>
      <w:r w:rsidRPr="00070546">
        <w:rPr>
          <w:rFonts w:hint="eastAsia"/>
          <w:sz w:val="24"/>
          <w:szCs w:val="24"/>
        </w:rPr>
        <w:t>，</w:t>
      </w:r>
      <w:r w:rsidRPr="00070546">
        <w:rPr>
          <w:rFonts w:hint="eastAsia"/>
          <w:sz w:val="24"/>
          <w:szCs w:val="24"/>
          <w:lang w:val="zh-CN"/>
        </w:rPr>
        <w:t>避免重复劳动</w:t>
      </w:r>
      <w:r w:rsidRPr="00070546">
        <w:rPr>
          <w:rFonts w:hint="eastAsia"/>
          <w:sz w:val="24"/>
          <w:szCs w:val="24"/>
        </w:rPr>
        <w:t>，</w:t>
      </w:r>
      <w:r w:rsidRPr="00070546">
        <w:rPr>
          <w:rFonts w:hint="eastAsia"/>
          <w:sz w:val="24"/>
          <w:szCs w:val="24"/>
          <w:lang w:val="zh-CN"/>
        </w:rPr>
        <w:t>并将能力建设和传播任何现有指导包括在内。一些提交者指出，基于人权的方法具有跨领域性质，并且与《昆蒙框架》的几个关键组成部分密切相关，包括</w:t>
      </w:r>
      <w:r w:rsidRPr="00070546">
        <w:rPr>
          <w:sz w:val="24"/>
          <w:szCs w:val="24"/>
          <w:lang w:val="zh-CN"/>
        </w:rPr>
        <w:t>C</w:t>
      </w:r>
      <w:r w:rsidRPr="00070546">
        <w:rPr>
          <w:rFonts w:hint="eastAsia"/>
          <w:sz w:val="24"/>
          <w:szCs w:val="24"/>
          <w:lang w:val="zh-CN"/>
        </w:rPr>
        <w:t>部分的其他要素，例如全社会方法、具体目标（例如行动目标</w:t>
      </w:r>
      <w:r w:rsidRPr="00070546">
        <w:rPr>
          <w:sz w:val="24"/>
          <w:szCs w:val="24"/>
          <w:lang w:val="zh-CN"/>
        </w:rPr>
        <w:t>3</w:t>
      </w:r>
      <w:r w:rsidRPr="00070546">
        <w:rPr>
          <w:rFonts w:hint="eastAsia"/>
          <w:sz w:val="24"/>
          <w:szCs w:val="24"/>
          <w:lang w:val="zh-CN"/>
        </w:rPr>
        <w:t>）以及总体实施支持（例如资源调动）。</w:t>
      </w:r>
      <w:r w:rsidRPr="00070546">
        <w:rPr>
          <w:sz w:val="24"/>
          <w:szCs w:val="24"/>
        </w:rPr>
        <w:t xml:space="preserve"> </w:t>
      </w:r>
    </w:p>
    <w:p w14:paraId="708D6DF9"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许多提交者提到性别和《性别平等行动计划》</w:t>
      </w:r>
      <w:r w:rsidRPr="00070546">
        <w:rPr>
          <w:rFonts w:hint="eastAsia"/>
          <w:sz w:val="24"/>
          <w:szCs w:val="24"/>
        </w:rPr>
        <w:t>，</w:t>
      </w:r>
      <w:r w:rsidRPr="00070546">
        <w:rPr>
          <w:rFonts w:hint="eastAsia"/>
          <w:sz w:val="24"/>
          <w:szCs w:val="24"/>
          <w:lang w:val="zh-CN"/>
        </w:rPr>
        <w:t>指出尽管妇女通常处于不利地位</w:t>
      </w:r>
      <w:r w:rsidRPr="00070546">
        <w:rPr>
          <w:rFonts w:hint="eastAsia"/>
          <w:sz w:val="24"/>
          <w:szCs w:val="24"/>
        </w:rPr>
        <w:t>，</w:t>
      </w:r>
      <w:r w:rsidRPr="00070546">
        <w:rPr>
          <w:rFonts w:hint="eastAsia"/>
          <w:sz w:val="24"/>
          <w:szCs w:val="24"/>
          <w:lang w:val="zh-CN"/>
        </w:rPr>
        <w:t>但一些国家确实存在婚姻土地保有权制度。一位提交者指出《性别平等行动计划》中的差距，包括缺乏生物多样性决策过程中关于性别多样性和包容性的指标，以及缺乏按性别分列的生物多样性数据收集方法。</w:t>
      </w:r>
      <w:r w:rsidRPr="00070546">
        <w:rPr>
          <w:sz w:val="24"/>
          <w:szCs w:val="24"/>
        </w:rPr>
        <w:t xml:space="preserve">  </w:t>
      </w:r>
    </w:p>
    <w:p w14:paraId="708D6DFA"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lastRenderedPageBreak/>
        <w:t>提交者还经常强调土著人民和地方社区的作用和贡献</w:t>
      </w:r>
      <w:r w:rsidRPr="00070546">
        <w:rPr>
          <w:rFonts w:hint="eastAsia"/>
          <w:sz w:val="24"/>
          <w:szCs w:val="24"/>
          <w:lang w:val="en-US"/>
        </w:rPr>
        <w:t>，</w:t>
      </w:r>
      <w:r w:rsidRPr="00070546">
        <w:rPr>
          <w:rFonts w:hint="eastAsia"/>
          <w:sz w:val="24"/>
          <w:szCs w:val="24"/>
          <w:lang w:val="zh-CN"/>
        </w:rPr>
        <w:t>以及到</w:t>
      </w:r>
      <w:r w:rsidRPr="00070546">
        <w:rPr>
          <w:sz w:val="24"/>
          <w:szCs w:val="24"/>
          <w:lang w:val="en-US"/>
        </w:rPr>
        <w:t>2030</w:t>
      </w:r>
      <w:r w:rsidRPr="00070546">
        <w:rPr>
          <w:rFonts w:hint="eastAsia"/>
          <w:sz w:val="24"/>
          <w:szCs w:val="24"/>
          <w:lang w:val="zh-CN"/>
        </w:rPr>
        <w:t>年的生物多样性公约关于土著人民和地方社区的第</w:t>
      </w:r>
      <w:r w:rsidRPr="00070546">
        <w:rPr>
          <w:sz w:val="24"/>
          <w:szCs w:val="24"/>
          <w:lang w:val="en-US"/>
        </w:rPr>
        <w:t>8</w:t>
      </w:r>
      <w:r w:rsidRPr="00070546">
        <w:rPr>
          <w:rFonts w:hint="eastAsia"/>
          <w:sz w:val="24"/>
          <w:szCs w:val="24"/>
          <w:lang w:val="en-US"/>
        </w:rPr>
        <w:t>（</w:t>
      </w:r>
      <w:r w:rsidRPr="00070546">
        <w:rPr>
          <w:sz w:val="24"/>
          <w:szCs w:val="24"/>
          <w:lang w:val="en-US"/>
        </w:rPr>
        <w:t>j</w:t>
      </w:r>
      <w:r w:rsidRPr="00070546">
        <w:rPr>
          <w:rFonts w:hint="eastAsia"/>
          <w:sz w:val="24"/>
          <w:szCs w:val="24"/>
          <w:lang w:val="en-US"/>
        </w:rPr>
        <w:t>）</w:t>
      </w:r>
      <w:r w:rsidRPr="00070546">
        <w:rPr>
          <w:rFonts w:hint="eastAsia"/>
          <w:sz w:val="24"/>
          <w:szCs w:val="24"/>
          <w:lang w:val="zh-CN"/>
        </w:rPr>
        <w:t>条和其他相关条款的工作方案。一些提交者还指出土地保有权、权利、性别和平等之间的密切联系。</w:t>
      </w:r>
    </w:p>
    <w:p w14:paraId="708D6DFB"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提交者提到国家、区域和全球层面的许多相关工具、指导、方法和进程。人权高专办援引人权理事会第</w:t>
      </w:r>
      <w:r w:rsidRPr="00070546">
        <w:rPr>
          <w:sz w:val="24"/>
          <w:szCs w:val="24"/>
          <w:lang w:val="zh-CN"/>
        </w:rPr>
        <w:t>57/28</w:t>
      </w:r>
      <w:r w:rsidRPr="00070546">
        <w:rPr>
          <w:rFonts w:hint="eastAsia"/>
          <w:sz w:val="24"/>
          <w:szCs w:val="24"/>
          <w:lang w:val="zh-CN"/>
        </w:rPr>
        <w:t>号决议和各国根据国际人权法承担的义务，提供了强有力的理由，表明基于人权的方法对实现《昆蒙框架》各项行动目标的重要性。提交者指出，有机会以不重复人权高专办任务授权的方式推进该领域的工作，并促进更大的协调、合作和协同增效，包括与人权理事会等其他人权机构和机关的合作。</w:t>
      </w:r>
      <w:r w:rsidRPr="00070546">
        <w:rPr>
          <w:sz w:val="24"/>
          <w:szCs w:val="24"/>
        </w:rPr>
        <w:t xml:space="preserve"> </w:t>
      </w:r>
    </w:p>
    <w:p w14:paraId="708D6DFC"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一位提交者强调了青年参与相关进程和决策的重要性。</w:t>
      </w:r>
      <w:r w:rsidRPr="00070546">
        <w:rPr>
          <w:sz w:val="24"/>
          <w:szCs w:val="24"/>
        </w:rPr>
        <w:t xml:space="preserve"> </w:t>
      </w:r>
    </w:p>
    <w:p w14:paraId="708D6DFD" w14:textId="77777777" w:rsidR="00EC38F6" w:rsidRPr="00070546" w:rsidRDefault="00EC38F6">
      <w:pPr>
        <w:pStyle w:val="CBDH3"/>
        <w:outlineLvl w:val="2"/>
        <w:rPr>
          <w:sz w:val="24"/>
          <w:szCs w:val="24"/>
        </w:rPr>
      </w:pPr>
      <w:r w:rsidRPr="00070546">
        <w:rPr>
          <w:sz w:val="24"/>
          <w:szCs w:val="24"/>
        </w:rPr>
        <w:t>3.</w:t>
      </w:r>
      <w:r w:rsidRPr="00070546">
        <w:rPr>
          <w:sz w:val="24"/>
          <w:szCs w:val="24"/>
        </w:rPr>
        <w:tab/>
      </w:r>
      <w:r w:rsidRPr="00070546">
        <w:rPr>
          <w:rFonts w:hint="eastAsia"/>
          <w:sz w:val="24"/>
          <w:szCs w:val="24"/>
          <w:lang w:val="zh-CN"/>
        </w:rPr>
        <w:t>分析和补充信息</w:t>
      </w:r>
    </w:p>
    <w:p w14:paraId="708D6DFE"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sz w:val="24"/>
          <w:szCs w:val="24"/>
        </w:rPr>
        <w:t>CBD/SBSTTA/26/INF/15</w:t>
      </w:r>
      <w:r w:rsidRPr="00070546">
        <w:rPr>
          <w:rFonts w:hint="eastAsia"/>
          <w:sz w:val="24"/>
          <w:szCs w:val="24"/>
          <w:lang w:val="zh-CN"/>
        </w:rPr>
        <w:t>号文件指出</w:t>
      </w:r>
      <w:r w:rsidRPr="00070546">
        <w:rPr>
          <w:rFonts w:hint="eastAsia"/>
          <w:sz w:val="24"/>
          <w:szCs w:val="24"/>
        </w:rPr>
        <w:t>，</w:t>
      </w:r>
      <w:r w:rsidRPr="00070546">
        <w:rPr>
          <w:rFonts w:hint="eastAsia"/>
          <w:sz w:val="24"/>
          <w:szCs w:val="24"/>
          <w:lang w:val="zh-CN"/>
        </w:rPr>
        <w:t>《公约》已充分涵盖与土著人民和地方社区相关的考虑因素</w:t>
      </w:r>
      <w:r w:rsidRPr="00070546">
        <w:rPr>
          <w:rFonts w:hint="eastAsia"/>
          <w:sz w:val="24"/>
          <w:szCs w:val="24"/>
        </w:rPr>
        <w:t>，</w:t>
      </w:r>
      <w:r w:rsidRPr="00070546">
        <w:rPr>
          <w:rFonts w:hint="eastAsia"/>
          <w:sz w:val="24"/>
          <w:szCs w:val="24"/>
          <w:lang w:val="zh-CN"/>
        </w:rPr>
        <w:t>而在当前工作领域中</w:t>
      </w:r>
      <w:r w:rsidRPr="00070546">
        <w:rPr>
          <w:rFonts w:hint="eastAsia"/>
          <w:sz w:val="24"/>
          <w:szCs w:val="24"/>
        </w:rPr>
        <w:t>，</w:t>
      </w:r>
      <w:r w:rsidRPr="00070546">
        <w:rPr>
          <w:rFonts w:hint="eastAsia"/>
          <w:sz w:val="24"/>
          <w:szCs w:val="24"/>
          <w:lang w:val="zh-CN"/>
        </w:rPr>
        <w:t>工具和指导方面的差距主要涉及与妇女、青年和残疾人相关的问题。一位提交者指出，在《昆蒙框架》中提到的与其他利益攸关方相关的差距，例如儿童、青年、残疾人和环境人权维护者等。联合国人权事务高级专员进行的前述全球分析研究预计将讨论提交者指出的这些差距。研究结果预计将于</w:t>
      </w:r>
      <w:r w:rsidRPr="00070546">
        <w:rPr>
          <w:sz w:val="24"/>
          <w:szCs w:val="24"/>
          <w:lang w:val="en-US"/>
        </w:rPr>
        <w:t>2026</w:t>
      </w:r>
      <w:r w:rsidRPr="00070546">
        <w:rPr>
          <w:rFonts w:hint="eastAsia"/>
          <w:sz w:val="24"/>
          <w:szCs w:val="24"/>
          <w:lang w:val="zh-CN"/>
        </w:rPr>
        <w:t>年第一季度发布。这项研究有助于确定在《公约》框架下，除现有与性别平等相关的工作以及到</w:t>
      </w:r>
      <w:r w:rsidRPr="00070546">
        <w:rPr>
          <w:sz w:val="24"/>
          <w:szCs w:val="24"/>
          <w:lang w:val="zh-CN"/>
        </w:rPr>
        <w:t>2030</w:t>
      </w:r>
      <w:r w:rsidRPr="00070546">
        <w:rPr>
          <w:rFonts w:hint="eastAsia"/>
          <w:sz w:val="24"/>
          <w:szCs w:val="24"/>
          <w:lang w:val="zh-CN"/>
        </w:rPr>
        <w:t>年执行生物多样性公约关于土著人民和地方社区的第</w:t>
      </w:r>
      <w:r w:rsidRPr="00070546">
        <w:rPr>
          <w:sz w:val="24"/>
          <w:szCs w:val="24"/>
          <w:lang w:val="zh-CN"/>
        </w:rPr>
        <w:t>8</w:t>
      </w:r>
      <w:r w:rsidRPr="00070546">
        <w:rPr>
          <w:rFonts w:hint="eastAsia"/>
          <w:sz w:val="24"/>
          <w:szCs w:val="24"/>
          <w:lang w:val="zh-CN"/>
        </w:rPr>
        <w:t>（</w:t>
      </w:r>
      <w:r w:rsidRPr="00070546">
        <w:rPr>
          <w:sz w:val="24"/>
          <w:szCs w:val="24"/>
          <w:lang w:val="zh-CN"/>
        </w:rPr>
        <w:t>j</w:t>
      </w:r>
      <w:r w:rsidRPr="00070546">
        <w:rPr>
          <w:rFonts w:hint="eastAsia"/>
          <w:sz w:val="24"/>
          <w:szCs w:val="24"/>
          <w:lang w:val="zh-CN"/>
        </w:rPr>
        <w:t>）条和其他条款的工作方案之外，可能开展的进一步工作。</w:t>
      </w:r>
    </w:p>
    <w:p w14:paraId="708D6DFF" w14:textId="77777777" w:rsidR="00EC38F6" w:rsidRPr="00070546" w:rsidRDefault="00EC38F6">
      <w:pPr>
        <w:pStyle w:val="CBDH3"/>
        <w:outlineLvl w:val="2"/>
        <w:rPr>
          <w:sz w:val="24"/>
          <w:szCs w:val="24"/>
        </w:rPr>
      </w:pPr>
      <w:r w:rsidRPr="00070546">
        <w:rPr>
          <w:sz w:val="24"/>
          <w:szCs w:val="24"/>
        </w:rPr>
        <w:t>4.</w:t>
      </w:r>
      <w:r w:rsidRPr="00070546">
        <w:rPr>
          <w:sz w:val="24"/>
          <w:szCs w:val="24"/>
        </w:rPr>
        <w:tab/>
      </w:r>
      <w:r w:rsidRPr="00070546">
        <w:rPr>
          <w:rFonts w:hint="eastAsia"/>
          <w:sz w:val="24"/>
          <w:szCs w:val="24"/>
          <w:lang w:val="zh-CN"/>
        </w:rPr>
        <w:t>关于未来可能前进方向的结论</w:t>
      </w:r>
    </w:p>
    <w:p w14:paraId="708D6E00"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建议由</w:t>
      </w:r>
      <w:r w:rsidRPr="00070546">
        <w:rPr>
          <w:rFonts w:hint="eastAsia"/>
          <w:color w:val="000000"/>
          <w:sz w:val="24"/>
          <w:szCs w:val="24"/>
          <w:lang w:val="zh-CN"/>
        </w:rPr>
        <w:t>生物多样性公约关于土著人民和地方社区的第</w:t>
      </w:r>
      <w:r w:rsidRPr="00070546">
        <w:rPr>
          <w:color w:val="000000"/>
          <w:sz w:val="24"/>
          <w:szCs w:val="24"/>
        </w:rPr>
        <w:t xml:space="preserve"> 8</w:t>
      </w:r>
      <w:r w:rsidRPr="00070546">
        <w:rPr>
          <w:rFonts w:hint="eastAsia"/>
          <w:color w:val="000000"/>
          <w:sz w:val="24"/>
          <w:szCs w:val="24"/>
        </w:rPr>
        <w:t>（</w:t>
      </w:r>
      <w:r w:rsidRPr="00070546">
        <w:rPr>
          <w:color w:val="000000"/>
          <w:sz w:val="24"/>
          <w:szCs w:val="24"/>
        </w:rPr>
        <w:t>j</w:t>
      </w:r>
      <w:r w:rsidRPr="00070546">
        <w:rPr>
          <w:rFonts w:hint="eastAsia"/>
          <w:color w:val="000000"/>
          <w:sz w:val="24"/>
          <w:szCs w:val="24"/>
        </w:rPr>
        <w:t>）</w:t>
      </w:r>
      <w:r w:rsidRPr="00070546">
        <w:rPr>
          <w:rFonts w:hint="eastAsia"/>
          <w:color w:val="000000"/>
          <w:sz w:val="24"/>
          <w:szCs w:val="24"/>
          <w:lang w:val="zh-CN"/>
        </w:rPr>
        <w:t>条和其他条款附属机构</w:t>
      </w:r>
      <w:r w:rsidRPr="00070546">
        <w:rPr>
          <w:rFonts w:hint="eastAsia"/>
          <w:sz w:val="24"/>
          <w:szCs w:val="24"/>
          <w:lang w:val="zh-CN"/>
        </w:rPr>
        <w:t>根据其工作方案</w:t>
      </w:r>
      <w:r w:rsidRPr="00070546">
        <w:rPr>
          <w:rFonts w:hint="eastAsia"/>
          <w:sz w:val="24"/>
          <w:szCs w:val="24"/>
        </w:rPr>
        <w:t>（</w:t>
      </w:r>
      <w:r w:rsidRPr="00070546">
        <w:rPr>
          <w:rFonts w:hint="eastAsia"/>
          <w:sz w:val="24"/>
          <w:szCs w:val="24"/>
          <w:lang w:val="zh-CN"/>
        </w:rPr>
        <w:t>如上文第</w:t>
      </w:r>
      <w:r w:rsidRPr="00070546">
        <w:rPr>
          <w:sz w:val="24"/>
          <w:szCs w:val="24"/>
        </w:rPr>
        <w:t>41</w:t>
      </w:r>
      <w:r w:rsidRPr="00070546">
        <w:rPr>
          <w:rFonts w:hint="eastAsia"/>
          <w:sz w:val="24"/>
          <w:szCs w:val="24"/>
          <w:lang w:val="zh-CN"/>
        </w:rPr>
        <w:t>段所述</w:t>
      </w:r>
      <w:r w:rsidRPr="00070546">
        <w:rPr>
          <w:rFonts w:hint="eastAsia"/>
          <w:sz w:val="24"/>
          <w:szCs w:val="24"/>
        </w:rPr>
        <w:t>）</w:t>
      </w:r>
      <w:r w:rsidRPr="00070546">
        <w:rPr>
          <w:rFonts w:hint="eastAsia"/>
          <w:sz w:val="24"/>
          <w:szCs w:val="24"/>
          <w:lang w:val="zh-CN"/>
        </w:rPr>
        <w:t>和执行问题附属机构处理此事。</w:t>
      </w:r>
    </w:p>
    <w:p w14:paraId="708D6E01" w14:textId="77777777" w:rsidR="00EC38F6" w:rsidRPr="00070546" w:rsidRDefault="00EC38F6">
      <w:pPr>
        <w:pStyle w:val="CBDH2"/>
        <w:jc w:val="left"/>
        <w:outlineLvl w:val="1"/>
        <w:rPr>
          <w:szCs w:val="24"/>
        </w:rPr>
      </w:pPr>
      <w:r w:rsidRPr="00070546">
        <w:rPr>
          <w:noProof/>
          <w:szCs w:val="24"/>
        </w:rPr>
        <w:t>E.</w:t>
      </w:r>
      <w:r w:rsidRPr="00070546">
        <w:rPr>
          <w:szCs w:val="24"/>
        </w:rPr>
        <w:tab/>
      </w:r>
      <w:r w:rsidRPr="00070546">
        <w:rPr>
          <w:rFonts w:hint="eastAsia"/>
          <w:szCs w:val="24"/>
          <w:lang w:val="zh-CN"/>
        </w:rPr>
        <w:t>《昆蒙框架》</w:t>
      </w:r>
      <w:r w:rsidRPr="00070546">
        <w:rPr>
          <w:szCs w:val="24"/>
          <w:lang w:val="en-US"/>
        </w:rPr>
        <w:t>C</w:t>
      </w:r>
      <w:r w:rsidRPr="00070546">
        <w:rPr>
          <w:rFonts w:hint="eastAsia"/>
          <w:szCs w:val="24"/>
          <w:lang w:val="zh-CN"/>
        </w:rPr>
        <w:t>部分第</w:t>
      </w:r>
      <w:r w:rsidRPr="00070546">
        <w:rPr>
          <w:szCs w:val="24"/>
          <w:lang w:val="en-US"/>
        </w:rPr>
        <w:t>7</w:t>
      </w:r>
      <w:r w:rsidRPr="00070546">
        <w:rPr>
          <w:rFonts w:hint="eastAsia"/>
          <w:szCs w:val="24"/>
          <w:lang w:val="en-US"/>
        </w:rPr>
        <w:t>（</w:t>
      </w:r>
      <w:r w:rsidRPr="00070546">
        <w:rPr>
          <w:szCs w:val="24"/>
          <w:lang w:val="en-US"/>
        </w:rPr>
        <w:t>b</w:t>
      </w:r>
      <w:r w:rsidRPr="00070546">
        <w:rPr>
          <w:rFonts w:hint="eastAsia"/>
          <w:szCs w:val="24"/>
          <w:lang w:val="en-US"/>
        </w:rPr>
        <w:t>）</w:t>
      </w:r>
      <w:r w:rsidRPr="00070546">
        <w:rPr>
          <w:rFonts w:hint="eastAsia"/>
          <w:szCs w:val="24"/>
          <w:lang w:val="zh-CN"/>
        </w:rPr>
        <w:t>段所述不同价值体系</w:t>
      </w:r>
    </w:p>
    <w:p w14:paraId="708D6E02" w14:textId="77777777" w:rsidR="00EC38F6" w:rsidRPr="00070546" w:rsidRDefault="00EC38F6">
      <w:pPr>
        <w:pStyle w:val="CBDH3"/>
        <w:outlineLvl w:val="2"/>
        <w:rPr>
          <w:sz w:val="24"/>
          <w:szCs w:val="24"/>
        </w:rPr>
      </w:pPr>
      <w:r w:rsidRPr="00070546">
        <w:rPr>
          <w:sz w:val="24"/>
          <w:szCs w:val="24"/>
        </w:rPr>
        <w:t>1.</w:t>
      </w:r>
      <w:r w:rsidRPr="00070546">
        <w:rPr>
          <w:sz w:val="24"/>
          <w:szCs w:val="24"/>
        </w:rPr>
        <w:tab/>
      </w:r>
      <w:r w:rsidRPr="00070546">
        <w:rPr>
          <w:rFonts w:hint="eastAsia"/>
          <w:sz w:val="24"/>
          <w:szCs w:val="24"/>
          <w:lang w:val="zh-CN"/>
        </w:rPr>
        <w:t>背景</w:t>
      </w:r>
    </w:p>
    <w:p w14:paraId="708D6E03"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到</w:t>
      </w:r>
      <w:r w:rsidRPr="00070546">
        <w:rPr>
          <w:sz w:val="24"/>
          <w:szCs w:val="24"/>
        </w:rPr>
        <w:t>2030</w:t>
      </w:r>
      <w:r w:rsidRPr="00070546">
        <w:rPr>
          <w:rFonts w:hint="eastAsia"/>
          <w:sz w:val="24"/>
          <w:szCs w:val="24"/>
          <w:lang w:val="zh-CN"/>
        </w:rPr>
        <w:t>年生物多样性公约关于土著人民和地方社区的第</w:t>
      </w:r>
      <w:r w:rsidRPr="00070546">
        <w:rPr>
          <w:sz w:val="24"/>
          <w:szCs w:val="24"/>
        </w:rPr>
        <w:t>8</w:t>
      </w:r>
      <w:r w:rsidRPr="00070546">
        <w:rPr>
          <w:rFonts w:hint="eastAsia"/>
          <w:sz w:val="24"/>
          <w:szCs w:val="24"/>
        </w:rPr>
        <w:t>（</w:t>
      </w:r>
      <w:r w:rsidRPr="00070546">
        <w:rPr>
          <w:sz w:val="24"/>
          <w:szCs w:val="24"/>
        </w:rPr>
        <w:t>j</w:t>
      </w:r>
      <w:r w:rsidRPr="00070546">
        <w:rPr>
          <w:rFonts w:hint="eastAsia"/>
          <w:sz w:val="24"/>
          <w:szCs w:val="24"/>
        </w:rPr>
        <w:t>）</w:t>
      </w:r>
      <w:r w:rsidRPr="00070546">
        <w:rPr>
          <w:rFonts w:hint="eastAsia"/>
          <w:sz w:val="24"/>
          <w:szCs w:val="24"/>
          <w:lang w:val="zh-CN"/>
        </w:rPr>
        <w:t>条和其他条款的工作方案载有旨在确保不同知识体系得到评估的具体任务。其一般原则包括重视土著人民和地方社区的传统知识、创新、做法和技术，并采取符合土著人民和地方社区精神和文化价值观及习惯做法的整体方法。</w:t>
      </w:r>
    </w:p>
    <w:p w14:paraId="708D6E04"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关于生物多样性与文化多样性之间联系的联合工作方案</w:t>
      </w:r>
      <w:r w:rsidRPr="00070546">
        <w:rPr>
          <w:rFonts w:hint="eastAsia"/>
          <w:sz w:val="24"/>
          <w:szCs w:val="24"/>
        </w:rPr>
        <w:t>，</w:t>
      </w:r>
      <w:r w:rsidRPr="00070546">
        <w:rPr>
          <w:rStyle w:val="FootnoteReference"/>
          <w:rFonts w:eastAsia="MS Mincho"/>
          <w:sz w:val="24"/>
          <w:szCs w:val="24"/>
          <w:lang w:val="zh-CN"/>
        </w:rPr>
        <w:footnoteReference w:id="33"/>
      </w:r>
      <w:r w:rsidRPr="00070546">
        <w:rPr>
          <w:rFonts w:hint="eastAsia"/>
          <w:sz w:val="24"/>
          <w:szCs w:val="24"/>
          <w:lang w:val="zh-CN"/>
        </w:rPr>
        <w:t>其重点是文化多样性与生物多样性之间的相互联系</w:t>
      </w:r>
      <w:r w:rsidRPr="00070546">
        <w:rPr>
          <w:rFonts w:hint="eastAsia"/>
          <w:sz w:val="24"/>
          <w:szCs w:val="24"/>
        </w:rPr>
        <w:t>，</w:t>
      </w:r>
      <w:r w:rsidRPr="00070546">
        <w:rPr>
          <w:rFonts w:hint="eastAsia"/>
          <w:sz w:val="24"/>
          <w:szCs w:val="24"/>
          <w:lang w:val="zh-CN"/>
        </w:rPr>
        <w:t>它与审议生物多样性的不同价值体系和多重价值直接相关。联合工作方案的目标是确认和促进自然与文化遗产和多样性</w:t>
      </w:r>
      <w:r w:rsidRPr="00070546">
        <w:rPr>
          <w:rFonts w:hint="eastAsia"/>
          <w:sz w:val="24"/>
          <w:szCs w:val="24"/>
          <w:lang w:val="en-US"/>
        </w:rPr>
        <w:t>，</w:t>
      </w:r>
      <w:r w:rsidRPr="00070546">
        <w:rPr>
          <w:rFonts w:hint="eastAsia"/>
          <w:sz w:val="24"/>
          <w:szCs w:val="24"/>
          <w:lang w:val="zh-CN"/>
        </w:rPr>
        <w:t>将此作为经济、社会和环境层面可持续发展的扶持因素和驱动因素</w:t>
      </w:r>
      <w:r w:rsidRPr="00070546">
        <w:rPr>
          <w:rFonts w:hint="eastAsia"/>
          <w:sz w:val="24"/>
          <w:szCs w:val="24"/>
          <w:lang w:val="en-US"/>
        </w:rPr>
        <w:t>，</w:t>
      </w:r>
      <w:r w:rsidRPr="00070546">
        <w:rPr>
          <w:rFonts w:hint="eastAsia"/>
          <w:sz w:val="24"/>
          <w:szCs w:val="24"/>
          <w:lang w:val="zh-CN"/>
        </w:rPr>
        <w:t>作为通往到</w:t>
      </w:r>
      <w:r w:rsidRPr="00070546">
        <w:rPr>
          <w:sz w:val="24"/>
          <w:szCs w:val="24"/>
          <w:lang w:val="en-US"/>
        </w:rPr>
        <w:t xml:space="preserve"> 2050 </w:t>
      </w:r>
      <w:r w:rsidRPr="00070546">
        <w:rPr>
          <w:rFonts w:hint="eastAsia"/>
          <w:sz w:val="24"/>
          <w:szCs w:val="24"/>
          <w:lang w:val="zh-CN"/>
        </w:rPr>
        <w:t>年与自然和谐相处的《昆蒙框架》愿景的一条途径。该方案承诺加强生物多样性与文化多样性之间的联系，并在土著人民和地方社区充分和有效参与的情况下，汲取《公约》及其他相关进程开展工作的经验教训。该方案还提供了一个战略框架，将不同的价值观、世界观和知识体系结合到《昆蒙框架》的实施。</w:t>
      </w:r>
      <w:r w:rsidRPr="00070546">
        <w:rPr>
          <w:sz w:val="24"/>
          <w:szCs w:val="24"/>
        </w:rPr>
        <w:t xml:space="preserve"> </w:t>
      </w:r>
    </w:p>
    <w:p w14:paraId="708D6E05" w14:textId="77777777" w:rsidR="00EC38F6" w:rsidRPr="00070546" w:rsidRDefault="00EC38F6">
      <w:pPr>
        <w:pStyle w:val="CBDH3"/>
        <w:outlineLvl w:val="2"/>
        <w:rPr>
          <w:sz w:val="24"/>
          <w:szCs w:val="24"/>
        </w:rPr>
      </w:pPr>
      <w:r w:rsidRPr="00070546">
        <w:rPr>
          <w:sz w:val="24"/>
          <w:szCs w:val="24"/>
        </w:rPr>
        <w:lastRenderedPageBreak/>
        <w:t>2.</w:t>
      </w:r>
      <w:r w:rsidRPr="00070546">
        <w:rPr>
          <w:sz w:val="24"/>
          <w:szCs w:val="24"/>
        </w:rPr>
        <w:tab/>
      </w:r>
      <w:r w:rsidRPr="00070546">
        <w:rPr>
          <w:rFonts w:hint="eastAsia"/>
          <w:sz w:val="24"/>
          <w:szCs w:val="24"/>
          <w:lang w:val="zh-CN"/>
        </w:rPr>
        <w:t>提交的材料摘要</w:t>
      </w:r>
    </w:p>
    <w:p w14:paraId="708D6E06"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秘书处收到</w:t>
      </w:r>
      <w:r w:rsidRPr="00070546">
        <w:rPr>
          <w:sz w:val="24"/>
          <w:szCs w:val="24"/>
        </w:rPr>
        <w:t>16</w:t>
      </w:r>
      <w:r w:rsidRPr="00070546">
        <w:rPr>
          <w:rFonts w:hint="eastAsia"/>
          <w:sz w:val="24"/>
          <w:szCs w:val="24"/>
          <w:lang w:val="zh-CN"/>
        </w:rPr>
        <w:t>份与本议题相关的材料。</w:t>
      </w:r>
      <w:r w:rsidRPr="00070546">
        <w:rPr>
          <w:rStyle w:val="FootnoteReference"/>
          <w:sz w:val="24"/>
          <w:szCs w:val="24"/>
          <w:lang w:val="zh-CN"/>
        </w:rPr>
        <w:footnoteReference w:id="34"/>
      </w:r>
      <w:r w:rsidRPr="00070546">
        <w:rPr>
          <w:rFonts w:hint="eastAsia"/>
          <w:sz w:val="24"/>
          <w:szCs w:val="24"/>
          <w:lang w:val="zh-CN"/>
        </w:rPr>
        <w:t>其中两位提交人建议不再开展进一步工作</w:t>
      </w:r>
      <w:r w:rsidRPr="00070546">
        <w:rPr>
          <w:rFonts w:hint="eastAsia"/>
          <w:sz w:val="24"/>
          <w:szCs w:val="24"/>
        </w:rPr>
        <w:t>，</w:t>
      </w:r>
      <w:r w:rsidRPr="00070546">
        <w:rPr>
          <w:rFonts w:hint="eastAsia"/>
          <w:sz w:val="24"/>
          <w:szCs w:val="24"/>
          <w:lang w:val="zh-CN"/>
        </w:rPr>
        <w:t>而四位提交人提供了国家活动的信息并指出一些细微差距</w:t>
      </w:r>
      <w:r w:rsidRPr="00070546">
        <w:rPr>
          <w:rFonts w:hint="eastAsia"/>
          <w:sz w:val="24"/>
          <w:szCs w:val="24"/>
        </w:rPr>
        <w:t>，</w:t>
      </w:r>
      <w:r w:rsidRPr="00070546">
        <w:rPr>
          <w:rFonts w:hint="eastAsia"/>
          <w:sz w:val="24"/>
          <w:szCs w:val="24"/>
          <w:lang w:val="zh-CN"/>
        </w:rPr>
        <w:t>但未提出开展进一步工作的建议。所有提交者均认可并支持生物多样性和生态系统服务政府间科学政策平台的《</w:t>
      </w:r>
      <w:r w:rsidRPr="00070546">
        <w:rPr>
          <w:rFonts w:eastAsia="KaiTi_GB2312" w:hint="eastAsia"/>
          <w:sz w:val="24"/>
          <w:szCs w:val="24"/>
          <w:lang w:val="zh-CN"/>
        </w:rPr>
        <w:t>自然多重价值和估值方法评估报告</w:t>
      </w:r>
      <w:r w:rsidRPr="00070546">
        <w:rPr>
          <w:rFonts w:hint="eastAsia"/>
          <w:sz w:val="24"/>
          <w:szCs w:val="24"/>
          <w:lang w:val="zh-CN"/>
        </w:rPr>
        <w:t>》，并强调将多重价值纳入决策包括通过加强和整合多种证据来源和知识体系以制定和实施国家生物多样性战略和行动计划的重要性。</w:t>
      </w:r>
    </w:p>
    <w:p w14:paraId="708D6E07"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一位提交者指出</w:t>
      </w:r>
      <w:r w:rsidRPr="00070546">
        <w:rPr>
          <w:rFonts w:hint="eastAsia"/>
          <w:sz w:val="24"/>
          <w:szCs w:val="24"/>
        </w:rPr>
        <w:t>，</w:t>
      </w:r>
      <w:r w:rsidRPr="00070546">
        <w:rPr>
          <w:rFonts w:hint="eastAsia"/>
          <w:sz w:val="24"/>
          <w:szCs w:val="24"/>
          <w:lang w:val="zh-CN"/>
        </w:rPr>
        <w:t>尽管在规范方面取得了进展</w:t>
      </w:r>
      <w:r w:rsidRPr="00070546">
        <w:rPr>
          <w:rFonts w:hint="eastAsia"/>
          <w:sz w:val="24"/>
          <w:szCs w:val="24"/>
        </w:rPr>
        <w:t>，</w:t>
      </w:r>
      <w:r w:rsidRPr="00070546">
        <w:rPr>
          <w:rFonts w:hint="eastAsia"/>
          <w:sz w:val="24"/>
          <w:szCs w:val="24"/>
          <w:lang w:val="zh-CN"/>
        </w:rPr>
        <w:t>但很少有证据表明这些不同的价值体系正在得到有效承认并被纳入现实世界的决策</w:t>
      </w:r>
      <w:r w:rsidRPr="00070546">
        <w:rPr>
          <w:rFonts w:hint="eastAsia"/>
          <w:sz w:val="24"/>
          <w:szCs w:val="24"/>
        </w:rPr>
        <w:t>，</w:t>
      </w:r>
      <w:r w:rsidRPr="00070546">
        <w:rPr>
          <w:rFonts w:hint="eastAsia"/>
          <w:sz w:val="24"/>
          <w:szCs w:val="24"/>
          <w:lang w:val="zh-CN"/>
        </w:rPr>
        <w:t>该提交者建议</w:t>
      </w:r>
      <w:r w:rsidRPr="00070546">
        <w:rPr>
          <w:rFonts w:hint="eastAsia"/>
          <w:sz w:val="24"/>
          <w:szCs w:val="24"/>
        </w:rPr>
        <w:t>：（</w:t>
      </w:r>
      <w:r w:rsidRPr="00070546">
        <w:rPr>
          <w:sz w:val="24"/>
          <w:szCs w:val="24"/>
        </w:rPr>
        <w:t>a</w:t>
      </w:r>
      <w:r w:rsidRPr="00070546">
        <w:rPr>
          <w:rFonts w:hint="eastAsia"/>
          <w:sz w:val="24"/>
          <w:szCs w:val="24"/>
        </w:rPr>
        <w:t>）</w:t>
      </w:r>
      <w:r w:rsidRPr="00070546">
        <w:rPr>
          <w:rFonts w:hint="eastAsia"/>
          <w:sz w:val="24"/>
          <w:szCs w:val="24"/>
          <w:lang w:val="zh-CN"/>
        </w:rPr>
        <w:t>进一步将不同的价值体系纳入《公约》下开展的工作</w:t>
      </w:r>
      <w:r w:rsidRPr="00070546">
        <w:rPr>
          <w:rFonts w:hint="eastAsia"/>
          <w:sz w:val="24"/>
          <w:szCs w:val="24"/>
        </w:rPr>
        <w:t>，</w:t>
      </w:r>
      <w:r w:rsidRPr="00070546">
        <w:rPr>
          <w:rFonts w:hint="eastAsia"/>
          <w:sz w:val="24"/>
          <w:szCs w:val="24"/>
          <w:lang w:val="zh-CN"/>
        </w:rPr>
        <w:t>包括与《公约》第</w:t>
      </w:r>
      <w:r w:rsidRPr="00070546">
        <w:rPr>
          <w:sz w:val="24"/>
          <w:szCs w:val="24"/>
        </w:rPr>
        <w:t>8</w:t>
      </w:r>
      <w:r w:rsidRPr="00070546">
        <w:rPr>
          <w:rFonts w:hint="eastAsia"/>
          <w:sz w:val="24"/>
          <w:szCs w:val="24"/>
        </w:rPr>
        <w:t>（</w:t>
      </w:r>
      <w:r w:rsidRPr="00070546">
        <w:rPr>
          <w:sz w:val="24"/>
          <w:szCs w:val="24"/>
        </w:rPr>
        <w:t>j</w:t>
      </w:r>
      <w:r w:rsidRPr="00070546">
        <w:rPr>
          <w:rFonts w:hint="eastAsia"/>
          <w:sz w:val="24"/>
          <w:szCs w:val="24"/>
        </w:rPr>
        <w:t>）</w:t>
      </w:r>
      <w:r w:rsidRPr="00070546">
        <w:rPr>
          <w:rFonts w:hint="eastAsia"/>
          <w:sz w:val="24"/>
          <w:szCs w:val="24"/>
          <w:lang w:val="zh-CN"/>
        </w:rPr>
        <w:t>条和相关条款相关的工作</w:t>
      </w:r>
      <w:r w:rsidRPr="00070546">
        <w:rPr>
          <w:rFonts w:hint="eastAsia"/>
          <w:sz w:val="24"/>
          <w:szCs w:val="24"/>
        </w:rPr>
        <w:t>；（</w:t>
      </w:r>
      <w:r w:rsidRPr="00070546">
        <w:rPr>
          <w:sz w:val="24"/>
          <w:szCs w:val="24"/>
        </w:rPr>
        <w:t>b</w:t>
      </w:r>
      <w:r w:rsidRPr="00070546">
        <w:rPr>
          <w:rFonts w:hint="eastAsia"/>
          <w:sz w:val="24"/>
          <w:szCs w:val="24"/>
        </w:rPr>
        <w:t>）</w:t>
      </w:r>
      <w:r w:rsidRPr="00070546">
        <w:rPr>
          <w:rFonts w:hint="eastAsia"/>
          <w:sz w:val="24"/>
          <w:szCs w:val="24"/>
          <w:lang w:val="zh-CN"/>
        </w:rPr>
        <w:t>加强伙伴关系</w:t>
      </w:r>
      <w:r w:rsidRPr="00070546">
        <w:rPr>
          <w:rFonts w:hint="eastAsia"/>
          <w:sz w:val="24"/>
          <w:szCs w:val="24"/>
        </w:rPr>
        <w:t>，</w:t>
      </w:r>
      <w:r w:rsidRPr="00070546">
        <w:rPr>
          <w:rFonts w:hint="eastAsia"/>
          <w:sz w:val="24"/>
          <w:szCs w:val="24"/>
          <w:lang w:val="zh-CN"/>
        </w:rPr>
        <w:t>以建设和发展能力</w:t>
      </w:r>
      <w:r w:rsidRPr="00070546">
        <w:rPr>
          <w:rFonts w:hint="eastAsia"/>
          <w:sz w:val="24"/>
          <w:szCs w:val="24"/>
        </w:rPr>
        <w:t>；（</w:t>
      </w:r>
      <w:r w:rsidRPr="00070546">
        <w:rPr>
          <w:sz w:val="24"/>
          <w:szCs w:val="24"/>
        </w:rPr>
        <w:t>c</w:t>
      </w:r>
      <w:r w:rsidRPr="00070546">
        <w:rPr>
          <w:rFonts w:hint="eastAsia"/>
          <w:sz w:val="24"/>
          <w:szCs w:val="24"/>
        </w:rPr>
        <w:t>）</w:t>
      </w:r>
      <w:r w:rsidRPr="00070546">
        <w:rPr>
          <w:rFonts w:hint="eastAsia"/>
          <w:sz w:val="24"/>
          <w:szCs w:val="24"/>
          <w:lang w:val="zh-CN"/>
        </w:rPr>
        <w:t>评估经修订或更新的国家生物多样性战略和行动计划</w:t>
      </w:r>
      <w:r w:rsidRPr="00070546">
        <w:rPr>
          <w:rFonts w:hint="eastAsia"/>
          <w:sz w:val="24"/>
          <w:szCs w:val="24"/>
        </w:rPr>
        <w:t>，</w:t>
      </w:r>
      <w:r w:rsidRPr="00070546">
        <w:rPr>
          <w:rFonts w:hint="eastAsia"/>
          <w:sz w:val="24"/>
          <w:szCs w:val="24"/>
          <w:lang w:val="zh-CN"/>
        </w:rPr>
        <w:t>以确定已成功整合不同价值体系的工具、方法和良好做法</w:t>
      </w:r>
      <w:r w:rsidRPr="00070546">
        <w:rPr>
          <w:rFonts w:hint="eastAsia"/>
          <w:sz w:val="24"/>
          <w:szCs w:val="24"/>
        </w:rPr>
        <w:t>；（</w:t>
      </w:r>
      <w:r w:rsidRPr="00070546">
        <w:rPr>
          <w:sz w:val="24"/>
          <w:szCs w:val="24"/>
        </w:rPr>
        <w:t>d</w:t>
      </w:r>
      <w:r w:rsidRPr="00070546">
        <w:rPr>
          <w:rFonts w:hint="eastAsia"/>
          <w:sz w:val="24"/>
          <w:szCs w:val="24"/>
        </w:rPr>
        <w:t>）</w:t>
      </w:r>
      <w:r w:rsidRPr="00070546">
        <w:rPr>
          <w:rFonts w:hint="eastAsia"/>
          <w:sz w:val="24"/>
          <w:szCs w:val="24"/>
          <w:lang w:val="zh-CN"/>
        </w:rPr>
        <w:t>在监测、报告和审查方面考虑不同的价值观。</w:t>
      </w:r>
      <w:r w:rsidRPr="00070546">
        <w:rPr>
          <w:sz w:val="24"/>
          <w:szCs w:val="24"/>
        </w:rPr>
        <w:t xml:space="preserve"> </w:t>
      </w:r>
    </w:p>
    <w:p w14:paraId="708D6E08" w14:textId="77777777" w:rsidR="00EC38F6" w:rsidRPr="00070546" w:rsidRDefault="00EC38F6">
      <w:pPr>
        <w:pStyle w:val="CBDH3"/>
        <w:outlineLvl w:val="2"/>
        <w:rPr>
          <w:sz w:val="24"/>
          <w:szCs w:val="24"/>
        </w:rPr>
      </w:pPr>
      <w:r w:rsidRPr="00070546">
        <w:rPr>
          <w:sz w:val="24"/>
          <w:szCs w:val="24"/>
        </w:rPr>
        <w:t>3.</w:t>
      </w:r>
      <w:r w:rsidRPr="00070546">
        <w:rPr>
          <w:sz w:val="24"/>
          <w:szCs w:val="24"/>
        </w:rPr>
        <w:tab/>
      </w:r>
      <w:r w:rsidRPr="00070546">
        <w:rPr>
          <w:rFonts w:hint="eastAsia"/>
          <w:sz w:val="24"/>
          <w:szCs w:val="24"/>
          <w:lang w:val="zh-CN"/>
        </w:rPr>
        <w:t>分析和补充信息</w:t>
      </w:r>
    </w:p>
    <w:p w14:paraId="708D6E09"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总体而言</w:t>
      </w:r>
      <w:r w:rsidRPr="00070546">
        <w:rPr>
          <w:rFonts w:hint="eastAsia"/>
          <w:sz w:val="24"/>
          <w:szCs w:val="24"/>
        </w:rPr>
        <w:t>，</w:t>
      </w:r>
      <w:r w:rsidRPr="00070546">
        <w:rPr>
          <w:rFonts w:hint="eastAsia"/>
          <w:sz w:val="24"/>
          <w:szCs w:val="24"/>
          <w:lang w:val="zh-CN"/>
        </w:rPr>
        <w:t>提交者关注的是与土著人民和地方社区相关的不同价值观、世界观和知识体系。然而，所有利益攸关方，包括民间社会、私营部门、妇女、青年和其他利益攸关方，都有各自的价值观、世界观和知识体系，这些价值观、世界观和知识体系塑造了他们与生物多样性的关系及其对生物多样性的理解。承认和尊重观点的多样性对于确保《昆蒙框架》的包容性和公平性实施至关重要。</w:t>
      </w:r>
      <w:r w:rsidRPr="00070546">
        <w:rPr>
          <w:sz w:val="24"/>
          <w:szCs w:val="24"/>
        </w:rPr>
        <w:t xml:space="preserve"> </w:t>
      </w:r>
    </w:p>
    <w:p w14:paraId="708D6E0A"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缔约方大会在其第</w:t>
      </w:r>
      <w:hyperlink r:id="rId25" w:history="1">
        <w:r w:rsidRPr="00070546">
          <w:rPr>
            <w:rStyle w:val="Hyperlink"/>
            <w:sz w:val="24"/>
            <w:szCs w:val="24"/>
          </w:rPr>
          <w:t>16/14</w:t>
        </w:r>
      </w:hyperlink>
      <w:r w:rsidRPr="00070546">
        <w:rPr>
          <w:rFonts w:hint="eastAsia"/>
          <w:sz w:val="24"/>
          <w:szCs w:val="24"/>
          <w:lang w:val="zh-CN"/>
        </w:rPr>
        <w:t>号决定对《</w:t>
      </w:r>
      <w:r w:rsidRPr="00070546">
        <w:rPr>
          <w:rFonts w:eastAsia="KaiTi_GB2312" w:hint="eastAsia"/>
          <w:sz w:val="24"/>
          <w:szCs w:val="24"/>
          <w:lang w:val="zh-CN"/>
        </w:rPr>
        <w:t>自然多重价值和估值方法评估报告</w:t>
      </w:r>
      <w:r w:rsidRPr="00070546">
        <w:rPr>
          <w:rFonts w:hint="eastAsia"/>
          <w:sz w:val="24"/>
          <w:szCs w:val="24"/>
          <w:lang w:val="zh-CN"/>
        </w:rPr>
        <w:t>》表示欢迎</w:t>
      </w:r>
      <w:r w:rsidRPr="00070546">
        <w:rPr>
          <w:rFonts w:hint="eastAsia"/>
          <w:sz w:val="24"/>
          <w:szCs w:val="24"/>
        </w:rPr>
        <w:t>，</w:t>
      </w:r>
      <w:r w:rsidRPr="00070546">
        <w:rPr>
          <w:rFonts w:hint="eastAsia"/>
          <w:sz w:val="24"/>
          <w:szCs w:val="24"/>
          <w:lang w:val="zh-CN"/>
        </w:rPr>
        <w:t>指出其与《昆蒙框架》实施的相关性</w:t>
      </w:r>
      <w:r w:rsidRPr="00070546">
        <w:rPr>
          <w:rFonts w:hint="eastAsia"/>
          <w:sz w:val="24"/>
          <w:szCs w:val="24"/>
        </w:rPr>
        <w:t>，</w:t>
      </w:r>
      <w:r w:rsidRPr="00070546">
        <w:rPr>
          <w:rFonts w:hint="eastAsia"/>
          <w:sz w:val="24"/>
          <w:szCs w:val="24"/>
          <w:lang w:val="zh-CN"/>
        </w:rPr>
        <w:t>并就其使用提供了广泛的指导。《公约》下已开展的工作，包括到</w:t>
      </w:r>
      <w:r w:rsidRPr="00070546">
        <w:rPr>
          <w:sz w:val="24"/>
          <w:szCs w:val="24"/>
          <w:lang w:val="zh-CN"/>
        </w:rPr>
        <w:t>2030</w:t>
      </w:r>
      <w:r w:rsidRPr="00070546">
        <w:rPr>
          <w:rFonts w:hint="eastAsia"/>
          <w:sz w:val="24"/>
          <w:szCs w:val="24"/>
          <w:lang w:val="zh-CN"/>
        </w:rPr>
        <w:t>年生物多样性公约关于土著人民和地方社区的第</w:t>
      </w:r>
      <w:r w:rsidRPr="00070546">
        <w:rPr>
          <w:sz w:val="24"/>
          <w:szCs w:val="24"/>
          <w:lang w:val="zh-CN"/>
        </w:rPr>
        <w:t>8</w:t>
      </w:r>
      <w:r w:rsidRPr="00070546">
        <w:rPr>
          <w:rFonts w:hint="eastAsia"/>
          <w:sz w:val="24"/>
          <w:szCs w:val="24"/>
          <w:lang w:val="zh-CN"/>
        </w:rPr>
        <w:t>（</w:t>
      </w:r>
      <w:r w:rsidRPr="00070546">
        <w:rPr>
          <w:sz w:val="24"/>
          <w:szCs w:val="24"/>
          <w:lang w:val="zh-CN"/>
        </w:rPr>
        <w:t>j</w:t>
      </w:r>
      <w:r w:rsidRPr="00070546">
        <w:rPr>
          <w:rFonts w:hint="eastAsia"/>
          <w:sz w:val="24"/>
          <w:szCs w:val="24"/>
          <w:lang w:val="zh-CN"/>
        </w:rPr>
        <w:t>）条和相关条款的工作方案以及关于生物多样性与文化多样性之间联系的联合工作方案，这些工作旨在解决工具和指导方面的迫切需求。提交的材料并未要求除这些努力之外开展其他工作。</w:t>
      </w:r>
    </w:p>
    <w:p w14:paraId="708D6E0B" w14:textId="77777777" w:rsidR="00EC38F6" w:rsidRPr="00070546" w:rsidRDefault="00EC38F6">
      <w:pPr>
        <w:pStyle w:val="CBDH3"/>
        <w:outlineLvl w:val="2"/>
        <w:rPr>
          <w:sz w:val="24"/>
          <w:szCs w:val="24"/>
        </w:rPr>
      </w:pPr>
      <w:r w:rsidRPr="00070546">
        <w:rPr>
          <w:sz w:val="24"/>
          <w:szCs w:val="24"/>
        </w:rPr>
        <w:t>4.</w:t>
      </w:r>
      <w:r w:rsidRPr="00070546">
        <w:rPr>
          <w:sz w:val="24"/>
          <w:szCs w:val="24"/>
        </w:rPr>
        <w:tab/>
      </w:r>
      <w:r w:rsidRPr="00070546">
        <w:rPr>
          <w:rFonts w:hint="eastAsia"/>
          <w:sz w:val="24"/>
          <w:szCs w:val="24"/>
          <w:lang w:val="zh-CN"/>
        </w:rPr>
        <w:t>关于未来可能前进方向的结论</w:t>
      </w:r>
    </w:p>
    <w:p w14:paraId="708D6E0C"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生物多样性的不同价值体系这一主题仍然是《公约》和《昆蒙框架》实施工作的优先事项。与该问题相关的许多要素正通过现有工具和指导以及《公约》下正在进行的工作进行处理。到</w:t>
      </w:r>
      <w:r w:rsidRPr="00070546">
        <w:rPr>
          <w:sz w:val="24"/>
          <w:szCs w:val="24"/>
          <w:lang w:val="zh-CN"/>
        </w:rPr>
        <w:t>2030</w:t>
      </w:r>
      <w:r w:rsidRPr="00070546">
        <w:rPr>
          <w:rFonts w:hint="eastAsia"/>
          <w:sz w:val="24"/>
          <w:szCs w:val="24"/>
          <w:lang w:val="zh-CN"/>
        </w:rPr>
        <w:t>年生物多样性公约关于土著人民和地方社区的第</w:t>
      </w:r>
      <w:r w:rsidRPr="00070546">
        <w:rPr>
          <w:sz w:val="24"/>
          <w:szCs w:val="24"/>
          <w:lang w:val="zh-CN"/>
        </w:rPr>
        <w:t>8</w:t>
      </w:r>
      <w:r w:rsidRPr="00070546">
        <w:rPr>
          <w:rFonts w:hint="eastAsia"/>
          <w:sz w:val="24"/>
          <w:szCs w:val="24"/>
          <w:lang w:val="zh-CN"/>
        </w:rPr>
        <w:t>（</w:t>
      </w:r>
      <w:r w:rsidRPr="00070546">
        <w:rPr>
          <w:sz w:val="24"/>
          <w:szCs w:val="24"/>
          <w:lang w:val="zh-CN"/>
        </w:rPr>
        <w:t>j</w:t>
      </w:r>
      <w:r w:rsidRPr="00070546">
        <w:rPr>
          <w:rFonts w:hint="eastAsia"/>
          <w:sz w:val="24"/>
          <w:szCs w:val="24"/>
          <w:lang w:val="zh-CN"/>
        </w:rPr>
        <w:t>）条和相关条款的工作方案是开展持续额外工作的主要载具，这些工作包括能力建设、信息交流以及土著人民和地方社区、科学家和其他利益攸关方共同创造新知识等支持性活动。主要需要是加强现有工具和指导以及《公约》的实施。</w:t>
      </w:r>
    </w:p>
    <w:p w14:paraId="708D6E0D" w14:textId="77777777" w:rsidR="00EC38F6" w:rsidRPr="00070546" w:rsidRDefault="00EC38F6">
      <w:pPr>
        <w:pStyle w:val="CBDNormalNumber"/>
        <w:numPr>
          <w:ilvl w:val="0"/>
          <w:numId w:val="0"/>
        </w:numPr>
        <w:ind w:left="567"/>
        <w:rPr>
          <w:sz w:val="24"/>
          <w:szCs w:val="24"/>
        </w:rPr>
      </w:pPr>
    </w:p>
    <w:p w14:paraId="708D6E0E" w14:textId="77777777" w:rsidR="00EC38F6" w:rsidRPr="00070546" w:rsidRDefault="00EC38F6">
      <w:pPr>
        <w:pStyle w:val="CBDNormalNumber"/>
        <w:numPr>
          <w:ilvl w:val="0"/>
          <w:numId w:val="0"/>
        </w:numPr>
        <w:ind w:left="567"/>
        <w:rPr>
          <w:sz w:val="24"/>
          <w:szCs w:val="24"/>
        </w:rPr>
        <w:sectPr w:rsidR="00EC38F6" w:rsidRPr="00070546">
          <w:headerReference w:type="even" r:id="rId26"/>
          <w:headerReference w:type="default" r:id="rId27"/>
          <w:footerReference w:type="even" r:id="rId28"/>
          <w:footerReference w:type="default" r:id="rId29"/>
          <w:pgSz w:w="12240" w:h="15840"/>
          <w:pgMar w:top="1134" w:right="1440" w:bottom="1134" w:left="1440" w:header="709" w:footer="709" w:gutter="0"/>
          <w:cols w:space="708"/>
          <w:titlePg/>
          <w:docGrid w:linePitch="360"/>
        </w:sectPr>
      </w:pPr>
    </w:p>
    <w:p w14:paraId="708D6E0F" w14:textId="77777777" w:rsidR="00EC38F6" w:rsidRPr="00070546" w:rsidRDefault="00EC38F6">
      <w:pPr>
        <w:pStyle w:val="CBDH1"/>
        <w:rPr>
          <w:sz w:val="24"/>
          <w:szCs w:val="24"/>
        </w:rPr>
      </w:pPr>
      <w:r w:rsidRPr="00070546">
        <w:rPr>
          <w:rFonts w:hint="eastAsia"/>
          <w:sz w:val="24"/>
          <w:szCs w:val="24"/>
          <w:lang w:val="zh-CN"/>
        </w:rPr>
        <w:lastRenderedPageBreak/>
        <w:t>三</w:t>
      </w:r>
      <w:r w:rsidRPr="00070546">
        <w:rPr>
          <w:sz w:val="24"/>
          <w:szCs w:val="24"/>
          <w:lang w:val="zh-CN"/>
        </w:rPr>
        <w:t>.</w:t>
      </w:r>
      <w:r w:rsidRPr="00070546">
        <w:rPr>
          <w:sz w:val="24"/>
          <w:szCs w:val="24"/>
        </w:rPr>
        <w:tab/>
      </w:r>
      <w:r w:rsidRPr="00070546">
        <w:rPr>
          <w:rFonts w:hint="eastAsia"/>
          <w:sz w:val="24"/>
          <w:szCs w:val="24"/>
          <w:lang w:val="zh-CN"/>
        </w:rPr>
        <w:t>建议</w:t>
      </w:r>
    </w:p>
    <w:p w14:paraId="708D6E10"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科咨机构不妨通过一项内容大致如下的建议</w:t>
      </w:r>
      <w:r w:rsidRPr="00070546">
        <w:rPr>
          <w:rFonts w:hint="eastAsia"/>
          <w:sz w:val="24"/>
          <w:szCs w:val="24"/>
        </w:rPr>
        <w:t>：</w:t>
      </w:r>
    </w:p>
    <w:p w14:paraId="708D6E11" w14:textId="77777777" w:rsidR="00EC38F6" w:rsidRPr="00070546" w:rsidRDefault="00EC38F6">
      <w:pPr>
        <w:pStyle w:val="CBDNormalNoNumber"/>
        <w:ind w:left="1134"/>
        <w:jc w:val="left"/>
        <w:rPr>
          <w:b/>
          <w:sz w:val="24"/>
          <w:szCs w:val="24"/>
        </w:rPr>
      </w:pPr>
      <w:r w:rsidRPr="00070546">
        <w:rPr>
          <w:b/>
          <w:sz w:val="24"/>
          <w:szCs w:val="24"/>
        </w:rPr>
        <w:t xml:space="preserve">27/--. </w:t>
      </w:r>
      <w:r w:rsidRPr="00070546">
        <w:rPr>
          <w:rFonts w:hint="eastAsia"/>
          <w:b/>
          <w:sz w:val="24"/>
          <w:szCs w:val="24"/>
          <w:lang w:val="zh-CN"/>
        </w:rPr>
        <w:t>公平、性别平等与保护和可持续利用生物多样性有关的基于人权的方法以及公正、公平地分享利用遗传资源所产生的惠益</w:t>
      </w:r>
    </w:p>
    <w:p w14:paraId="708D6E12" w14:textId="77777777" w:rsidR="00EC38F6" w:rsidRPr="00070546" w:rsidRDefault="00EC38F6">
      <w:pPr>
        <w:pStyle w:val="CBDNormalNoNumber"/>
        <w:ind w:firstLine="567"/>
        <w:rPr>
          <w:b/>
          <w:sz w:val="24"/>
          <w:szCs w:val="24"/>
        </w:rPr>
      </w:pPr>
      <w:r w:rsidRPr="00070546">
        <w:rPr>
          <w:i/>
          <w:sz w:val="24"/>
          <w:szCs w:val="24"/>
        </w:rPr>
        <w:tab/>
      </w:r>
      <w:r w:rsidRPr="00070546">
        <w:rPr>
          <w:rFonts w:eastAsia="KaiTi_GB2312" w:hint="eastAsia"/>
          <w:kern w:val="22"/>
          <w:sz w:val="24"/>
          <w:szCs w:val="24"/>
          <w:lang w:val="zh-CN"/>
        </w:rPr>
        <w:t>科学、技术和工艺咨询附属机构</w:t>
      </w:r>
      <w:r w:rsidRPr="00070546">
        <w:rPr>
          <w:kern w:val="2"/>
          <w:sz w:val="24"/>
          <w:szCs w:val="24"/>
        </w:rPr>
        <w:t>,</w:t>
      </w:r>
    </w:p>
    <w:p w14:paraId="708D6E13" w14:textId="77777777" w:rsidR="00EC38F6" w:rsidRPr="00070546" w:rsidRDefault="00EC38F6">
      <w:pPr>
        <w:pStyle w:val="CBDNormalNoNumber"/>
        <w:tabs>
          <w:tab w:val="clear" w:pos="567"/>
        </w:tabs>
        <w:ind w:left="1134" w:firstLine="567"/>
        <w:rPr>
          <w:sz w:val="24"/>
          <w:szCs w:val="24"/>
        </w:rPr>
      </w:pPr>
      <w:r w:rsidRPr="00070546">
        <w:rPr>
          <w:rFonts w:eastAsia="KaiTi_GB2312" w:hint="eastAsia"/>
          <w:sz w:val="24"/>
          <w:szCs w:val="24"/>
          <w:lang w:val="zh-CN"/>
        </w:rPr>
        <w:t>回顾</w:t>
      </w:r>
      <w:r w:rsidRPr="00070546">
        <w:rPr>
          <w:sz w:val="24"/>
          <w:szCs w:val="24"/>
        </w:rPr>
        <w:t>2022</w:t>
      </w:r>
      <w:r w:rsidRPr="00070546">
        <w:rPr>
          <w:rFonts w:hint="eastAsia"/>
          <w:sz w:val="24"/>
          <w:szCs w:val="24"/>
          <w:lang w:val="zh-CN"/>
        </w:rPr>
        <w:t>年</w:t>
      </w:r>
      <w:r w:rsidRPr="00070546">
        <w:rPr>
          <w:sz w:val="24"/>
          <w:szCs w:val="24"/>
        </w:rPr>
        <w:t>12</w:t>
      </w:r>
      <w:r w:rsidRPr="00070546">
        <w:rPr>
          <w:rFonts w:hint="eastAsia"/>
          <w:sz w:val="24"/>
          <w:szCs w:val="24"/>
          <w:lang w:val="zh-CN"/>
        </w:rPr>
        <w:t>月</w:t>
      </w:r>
      <w:r w:rsidRPr="00070546">
        <w:rPr>
          <w:sz w:val="24"/>
          <w:szCs w:val="24"/>
        </w:rPr>
        <w:t>19</w:t>
      </w:r>
      <w:r w:rsidRPr="00070546">
        <w:rPr>
          <w:rFonts w:hint="eastAsia"/>
          <w:sz w:val="24"/>
          <w:szCs w:val="24"/>
          <w:lang w:val="zh-CN"/>
        </w:rPr>
        <w:t>日第</w:t>
      </w:r>
      <w:hyperlink r:id="rId30" w:history="1">
        <w:r w:rsidRPr="00070546">
          <w:rPr>
            <w:rStyle w:val="Hyperlink"/>
            <w:sz w:val="24"/>
            <w:szCs w:val="24"/>
          </w:rPr>
          <w:t>15/11</w:t>
        </w:r>
      </w:hyperlink>
      <w:r w:rsidRPr="00070546">
        <w:rPr>
          <w:rFonts w:hint="eastAsia"/>
          <w:sz w:val="24"/>
          <w:szCs w:val="24"/>
          <w:lang w:val="zh-CN"/>
        </w:rPr>
        <w:t>号决定通过的《性别平等行动计划</w:t>
      </w:r>
      <w:r w:rsidRPr="00070546">
        <w:rPr>
          <w:rFonts w:hint="eastAsia"/>
          <w:sz w:val="24"/>
          <w:szCs w:val="24"/>
        </w:rPr>
        <w:t>（</w:t>
      </w:r>
      <w:r w:rsidRPr="00070546">
        <w:rPr>
          <w:sz w:val="24"/>
          <w:szCs w:val="24"/>
        </w:rPr>
        <w:t>2023-2030</w:t>
      </w:r>
      <w:r w:rsidRPr="00070546">
        <w:rPr>
          <w:rFonts w:hint="eastAsia"/>
          <w:sz w:val="24"/>
          <w:szCs w:val="24"/>
          <w:lang w:val="zh-CN"/>
        </w:rPr>
        <w:t>年</w:t>
      </w:r>
      <w:r w:rsidRPr="00070546">
        <w:rPr>
          <w:rFonts w:hint="eastAsia"/>
          <w:sz w:val="24"/>
          <w:szCs w:val="24"/>
        </w:rPr>
        <w:t>）</w:t>
      </w:r>
      <w:r w:rsidRPr="00070546">
        <w:rPr>
          <w:rFonts w:hint="eastAsia"/>
          <w:sz w:val="24"/>
          <w:szCs w:val="24"/>
          <w:lang w:val="zh-CN"/>
        </w:rPr>
        <w:t>》以及</w:t>
      </w:r>
      <w:r w:rsidRPr="00070546">
        <w:rPr>
          <w:sz w:val="24"/>
          <w:szCs w:val="24"/>
        </w:rPr>
        <w:t>2024</w:t>
      </w:r>
      <w:r w:rsidRPr="00070546">
        <w:rPr>
          <w:rFonts w:hint="eastAsia"/>
          <w:sz w:val="24"/>
          <w:szCs w:val="24"/>
          <w:lang w:val="zh-CN"/>
        </w:rPr>
        <w:t>年</w:t>
      </w:r>
      <w:r w:rsidRPr="00070546">
        <w:rPr>
          <w:sz w:val="24"/>
          <w:szCs w:val="24"/>
        </w:rPr>
        <w:t>10</w:t>
      </w:r>
      <w:r w:rsidRPr="00070546">
        <w:rPr>
          <w:rFonts w:hint="eastAsia"/>
          <w:sz w:val="24"/>
          <w:szCs w:val="24"/>
          <w:lang w:val="zh-CN"/>
        </w:rPr>
        <w:t>月</w:t>
      </w:r>
      <w:r w:rsidRPr="00070546">
        <w:rPr>
          <w:sz w:val="24"/>
          <w:szCs w:val="24"/>
        </w:rPr>
        <w:t>30</w:t>
      </w:r>
      <w:r w:rsidRPr="00070546">
        <w:rPr>
          <w:rFonts w:hint="eastAsia"/>
          <w:sz w:val="24"/>
          <w:szCs w:val="24"/>
          <w:lang w:val="zh-CN"/>
        </w:rPr>
        <w:t>日第</w:t>
      </w:r>
      <w:hyperlink r:id="rId31" w:history="1">
        <w:r w:rsidRPr="00070546">
          <w:rPr>
            <w:rStyle w:val="Hyperlink"/>
            <w:sz w:val="24"/>
            <w:szCs w:val="24"/>
          </w:rPr>
          <w:t>16/4</w:t>
        </w:r>
      </w:hyperlink>
      <w:r w:rsidRPr="00070546">
        <w:rPr>
          <w:rFonts w:hint="eastAsia"/>
          <w:sz w:val="24"/>
          <w:szCs w:val="24"/>
          <w:lang w:val="zh-CN"/>
        </w:rPr>
        <w:t>号决定通过的至</w:t>
      </w:r>
      <w:r w:rsidRPr="00070546">
        <w:rPr>
          <w:sz w:val="24"/>
          <w:szCs w:val="24"/>
        </w:rPr>
        <w:t>2030</w:t>
      </w:r>
      <w:r w:rsidRPr="00070546">
        <w:rPr>
          <w:rFonts w:hint="eastAsia"/>
          <w:sz w:val="24"/>
          <w:szCs w:val="24"/>
          <w:lang w:val="zh-CN"/>
        </w:rPr>
        <w:t>年《生物多样性公约》</w:t>
      </w:r>
      <w:r w:rsidRPr="00070546">
        <w:rPr>
          <w:rStyle w:val="FootnoteReference"/>
          <w:sz w:val="24"/>
          <w:szCs w:val="24"/>
          <w:lang w:val="zh-CN"/>
        </w:rPr>
        <w:footnoteReference w:id="35"/>
      </w:r>
      <w:r w:rsidRPr="00070546">
        <w:rPr>
          <w:rFonts w:hint="eastAsia"/>
          <w:sz w:val="24"/>
          <w:szCs w:val="24"/>
          <w:lang w:val="zh-CN"/>
        </w:rPr>
        <w:t>关于土著人民和地方社区的第</w:t>
      </w:r>
      <w:r w:rsidRPr="00070546">
        <w:rPr>
          <w:sz w:val="24"/>
          <w:szCs w:val="24"/>
        </w:rPr>
        <w:t>8</w:t>
      </w:r>
      <w:r w:rsidRPr="00070546">
        <w:rPr>
          <w:rFonts w:hint="eastAsia"/>
          <w:sz w:val="24"/>
          <w:szCs w:val="24"/>
        </w:rPr>
        <w:t>（</w:t>
      </w:r>
      <w:r w:rsidRPr="00070546">
        <w:rPr>
          <w:sz w:val="24"/>
          <w:szCs w:val="24"/>
        </w:rPr>
        <w:t>j</w:t>
      </w:r>
      <w:r w:rsidRPr="00070546">
        <w:rPr>
          <w:rFonts w:hint="eastAsia"/>
          <w:sz w:val="24"/>
          <w:szCs w:val="24"/>
        </w:rPr>
        <w:t>）</w:t>
      </w:r>
      <w:r w:rsidRPr="00070546">
        <w:rPr>
          <w:rFonts w:hint="eastAsia"/>
          <w:sz w:val="24"/>
          <w:szCs w:val="24"/>
          <w:lang w:val="zh-CN"/>
        </w:rPr>
        <w:t>条和其他条款的工作方案</w:t>
      </w:r>
      <w:r w:rsidRPr="00070546">
        <w:rPr>
          <w:rFonts w:hint="eastAsia"/>
          <w:sz w:val="24"/>
          <w:szCs w:val="24"/>
        </w:rPr>
        <w:t>，</w:t>
      </w:r>
      <w:r w:rsidRPr="00070546">
        <w:rPr>
          <w:rFonts w:hint="eastAsia"/>
          <w:sz w:val="24"/>
          <w:szCs w:val="24"/>
          <w:lang w:val="zh-CN"/>
        </w:rPr>
        <w:t>它们均促进在执行《昆明</w:t>
      </w:r>
      <w:r w:rsidRPr="00070546">
        <w:rPr>
          <w:sz w:val="24"/>
          <w:szCs w:val="24"/>
        </w:rPr>
        <w:t>-</w:t>
      </w:r>
      <w:r w:rsidRPr="00070546">
        <w:rPr>
          <w:rFonts w:hint="eastAsia"/>
          <w:sz w:val="24"/>
          <w:szCs w:val="24"/>
          <w:lang w:val="zh-CN"/>
        </w:rPr>
        <w:t>蒙特利尔全球生物多样性框架》</w:t>
      </w:r>
      <w:r w:rsidRPr="00070546">
        <w:rPr>
          <w:rStyle w:val="FootnoteReference"/>
          <w:sz w:val="24"/>
          <w:szCs w:val="24"/>
          <w:lang w:val="zh-CN"/>
        </w:rPr>
        <w:footnoteReference w:id="36"/>
      </w:r>
      <w:r w:rsidRPr="00070546">
        <w:rPr>
          <w:rFonts w:hint="eastAsia"/>
          <w:sz w:val="24"/>
          <w:szCs w:val="24"/>
          <w:lang w:val="zh-CN"/>
        </w:rPr>
        <w:t>时采用基于人权的方法</w:t>
      </w:r>
      <w:r w:rsidRPr="00070546">
        <w:rPr>
          <w:rFonts w:hint="eastAsia"/>
          <w:sz w:val="24"/>
          <w:szCs w:val="24"/>
        </w:rPr>
        <w:t>，</w:t>
      </w:r>
    </w:p>
    <w:p w14:paraId="708D6E14" w14:textId="77777777" w:rsidR="00EC38F6" w:rsidRPr="00070546" w:rsidRDefault="00EC38F6">
      <w:pPr>
        <w:pStyle w:val="CBDNormalNoNumber"/>
        <w:tabs>
          <w:tab w:val="clear" w:pos="567"/>
        </w:tabs>
        <w:ind w:left="1134" w:firstLine="567"/>
        <w:rPr>
          <w:sz w:val="24"/>
          <w:szCs w:val="24"/>
        </w:rPr>
      </w:pPr>
      <w:r w:rsidRPr="00070546">
        <w:rPr>
          <w:rFonts w:eastAsia="KaiTi_GB2312" w:hint="eastAsia"/>
          <w:sz w:val="24"/>
          <w:szCs w:val="24"/>
          <w:lang w:val="zh-CN"/>
        </w:rPr>
        <w:t>注意到</w:t>
      </w:r>
      <w:r w:rsidRPr="00070546">
        <w:rPr>
          <w:rFonts w:hint="eastAsia"/>
          <w:sz w:val="24"/>
          <w:szCs w:val="24"/>
          <w:lang w:val="zh-CN"/>
        </w:rPr>
        <w:t>联合国人权事务高级专员根据人权理事会</w:t>
      </w:r>
      <w:r w:rsidRPr="00070546">
        <w:rPr>
          <w:sz w:val="24"/>
          <w:szCs w:val="24"/>
        </w:rPr>
        <w:t>2024</w:t>
      </w:r>
      <w:r w:rsidRPr="00070546">
        <w:rPr>
          <w:rFonts w:hint="eastAsia"/>
          <w:sz w:val="24"/>
          <w:szCs w:val="24"/>
          <w:lang w:val="zh-CN"/>
        </w:rPr>
        <w:t>年</w:t>
      </w:r>
      <w:r w:rsidRPr="00070546">
        <w:rPr>
          <w:sz w:val="24"/>
          <w:szCs w:val="24"/>
        </w:rPr>
        <w:t>10</w:t>
      </w:r>
      <w:r w:rsidRPr="00070546">
        <w:rPr>
          <w:rFonts w:hint="eastAsia"/>
          <w:sz w:val="24"/>
          <w:szCs w:val="24"/>
          <w:lang w:val="zh-CN"/>
        </w:rPr>
        <w:t>月</w:t>
      </w:r>
      <w:r w:rsidRPr="00070546">
        <w:rPr>
          <w:sz w:val="24"/>
          <w:szCs w:val="24"/>
        </w:rPr>
        <w:t>11</w:t>
      </w:r>
      <w:r w:rsidRPr="00070546">
        <w:rPr>
          <w:rFonts w:hint="eastAsia"/>
          <w:sz w:val="24"/>
          <w:szCs w:val="24"/>
          <w:lang w:val="zh-CN"/>
        </w:rPr>
        <w:t>日关于生物多样性与人权的第</w:t>
      </w:r>
      <w:r w:rsidRPr="00070546">
        <w:rPr>
          <w:sz w:val="24"/>
          <w:szCs w:val="24"/>
        </w:rPr>
        <w:t>57/28</w:t>
      </w:r>
      <w:r w:rsidRPr="00070546">
        <w:rPr>
          <w:rFonts w:hint="eastAsia"/>
          <w:sz w:val="24"/>
          <w:szCs w:val="24"/>
          <w:lang w:val="zh-CN"/>
        </w:rPr>
        <w:t>号决议的要求</w:t>
      </w:r>
      <w:r w:rsidRPr="00070546">
        <w:rPr>
          <w:rFonts w:hint="eastAsia"/>
          <w:sz w:val="24"/>
          <w:szCs w:val="24"/>
        </w:rPr>
        <w:t>，</w:t>
      </w:r>
      <w:r w:rsidRPr="00070546">
        <w:rPr>
          <w:rFonts w:hint="eastAsia"/>
          <w:sz w:val="24"/>
          <w:szCs w:val="24"/>
          <w:lang w:val="zh-CN"/>
        </w:rPr>
        <w:t>以基于人权的方法落实《昆蒙框架》的长期目标和行动目标进行的全球分析研究</w:t>
      </w:r>
      <w:r w:rsidRPr="00070546">
        <w:rPr>
          <w:rFonts w:hint="eastAsia"/>
          <w:sz w:val="24"/>
          <w:szCs w:val="24"/>
        </w:rPr>
        <w:t>，</w:t>
      </w:r>
    </w:p>
    <w:p w14:paraId="708D6E15" w14:textId="77777777" w:rsidR="00EC38F6" w:rsidRPr="00070546" w:rsidRDefault="00EC38F6">
      <w:pPr>
        <w:pStyle w:val="CBDNormalNoNumber"/>
        <w:tabs>
          <w:tab w:val="clear" w:pos="567"/>
        </w:tabs>
        <w:ind w:left="1134" w:firstLine="567"/>
        <w:rPr>
          <w:b/>
          <w:sz w:val="24"/>
          <w:szCs w:val="24"/>
        </w:rPr>
      </w:pPr>
      <w:r w:rsidRPr="00070546">
        <w:rPr>
          <w:rFonts w:eastAsia="KaiTi_GB2312" w:hint="eastAsia"/>
          <w:sz w:val="24"/>
          <w:szCs w:val="24"/>
          <w:lang w:val="zh-CN"/>
        </w:rPr>
        <w:t>请</w:t>
      </w:r>
      <w:r w:rsidRPr="00070546">
        <w:rPr>
          <w:rFonts w:hint="eastAsia"/>
          <w:sz w:val="24"/>
          <w:szCs w:val="24"/>
          <w:lang w:val="zh-CN"/>
        </w:rPr>
        <w:t>生物多样性公约执行秘书在资源允许的情况下</w:t>
      </w:r>
      <w:r w:rsidRPr="00070546">
        <w:rPr>
          <w:rFonts w:hint="eastAsia"/>
          <w:sz w:val="24"/>
          <w:szCs w:val="24"/>
        </w:rPr>
        <w:t>，</w:t>
      </w:r>
      <w:r w:rsidRPr="00070546">
        <w:rPr>
          <w:rFonts w:hint="eastAsia"/>
          <w:sz w:val="24"/>
          <w:szCs w:val="24"/>
          <w:lang w:val="zh-CN"/>
        </w:rPr>
        <w:t>在联合国人权事务高级专员进行的关于基于人权的方法落实《昆明</w:t>
      </w:r>
      <w:r w:rsidRPr="00070546">
        <w:rPr>
          <w:sz w:val="24"/>
          <w:szCs w:val="24"/>
        </w:rPr>
        <w:t>-</w:t>
      </w:r>
      <w:r w:rsidRPr="00070546">
        <w:rPr>
          <w:rFonts w:hint="eastAsia"/>
          <w:sz w:val="24"/>
          <w:szCs w:val="24"/>
          <w:lang w:val="zh-CN"/>
        </w:rPr>
        <w:t>蒙特利尔全球生物多样性框架》的长期目标和行动目标的全球分析研究报告一旦完成之后进行审查</w:t>
      </w:r>
      <w:r w:rsidRPr="00070546">
        <w:rPr>
          <w:rFonts w:hint="eastAsia"/>
          <w:sz w:val="24"/>
          <w:szCs w:val="24"/>
        </w:rPr>
        <w:t>，</w:t>
      </w:r>
      <w:r w:rsidRPr="00070546">
        <w:rPr>
          <w:rFonts w:hint="eastAsia"/>
          <w:sz w:val="24"/>
          <w:szCs w:val="24"/>
          <w:lang w:val="zh-CN"/>
        </w:rPr>
        <w:t>并提交一份包括代际平等和性别平等在内的基于人权的方法可能开展的额外工作的提案</w:t>
      </w:r>
      <w:r w:rsidRPr="00070546">
        <w:rPr>
          <w:rFonts w:hint="eastAsia"/>
          <w:sz w:val="24"/>
          <w:szCs w:val="24"/>
        </w:rPr>
        <w:t>，</w:t>
      </w:r>
      <w:r w:rsidRPr="00070546">
        <w:rPr>
          <w:rFonts w:hint="eastAsia"/>
          <w:sz w:val="24"/>
          <w:szCs w:val="24"/>
          <w:lang w:val="zh-CN"/>
        </w:rPr>
        <w:t>供缔约方大会第十七届会议审议。</w:t>
      </w:r>
    </w:p>
    <w:p w14:paraId="708D6E16" w14:textId="77777777" w:rsidR="00EC38F6" w:rsidRPr="00070546" w:rsidRDefault="00EC38F6" w:rsidP="00AC156C">
      <w:pPr>
        <w:pStyle w:val="CBDNormalNumber"/>
        <w:numPr>
          <w:ilvl w:val="0"/>
          <w:numId w:val="13"/>
        </w:numPr>
        <w:tabs>
          <w:tab w:val="clear" w:pos="1620"/>
        </w:tabs>
        <w:ind w:left="567" w:firstLine="0"/>
        <w:rPr>
          <w:sz w:val="24"/>
          <w:szCs w:val="24"/>
        </w:rPr>
      </w:pPr>
      <w:r w:rsidRPr="00070546">
        <w:rPr>
          <w:rFonts w:hint="eastAsia"/>
          <w:sz w:val="24"/>
          <w:szCs w:val="24"/>
          <w:lang w:val="zh-CN"/>
        </w:rPr>
        <w:t>附属机构还不妨建议缔约方大会第十七届会议通过一项内容大致如下的决定</w:t>
      </w:r>
      <w:r w:rsidRPr="00070546">
        <w:rPr>
          <w:rFonts w:hint="eastAsia"/>
          <w:sz w:val="24"/>
          <w:szCs w:val="24"/>
        </w:rPr>
        <w:t>：</w:t>
      </w:r>
    </w:p>
    <w:p w14:paraId="708D6E17" w14:textId="77777777" w:rsidR="00EC38F6" w:rsidRPr="00070546" w:rsidRDefault="00EC38F6">
      <w:pPr>
        <w:pStyle w:val="CBDNormalNoNumber"/>
        <w:ind w:left="1134"/>
        <w:jc w:val="left"/>
        <w:rPr>
          <w:b/>
          <w:sz w:val="24"/>
          <w:szCs w:val="24"/>
        </w:rPr>
      </w:pPr>
      <w:r w:rsidRPr="00070546">
        <w:rPr>
          <w:rFonts w:hint="eastAsia"/>
          <w:b/>
          <w:sz w:val="24"/>
          <w:szCs w:val="24"/>
          <w:lang w:val="zh-CN"/>
        </w:rPr>
        <w:t>在《昆明</w:t>
      </w:r>
      <w:r w:rsidRPr="00070546">
        <w:rPr>
          <w:b/>
          <w:sz w:val="24"/>
          <w:szCs w:val="24"/>
        </w:rPr>
        <w:t>-</w:t>
      </w:r>
      <w:r w:rsidRPr="00070546">
        <w:rPr>
          <w:rFonts w:hint="eastAsia"/>
          <w:b/>
          <w:sz w:val="24"/>
          <w:szCs w:val="24"/>
          <w:lang w:val="zh-CN"/>
        </w:rPr>
        <w:t>蒙特利尔全球生物多样性框架》的范畴下可能需要进一步开展工作的领域</w:t>
      </w:r>
    </w:p>
    <w:p w14:paraId="708D6E18" w14:textId="77777777" w:rsidR="00EC38F6" w:rsidRPr="00070546" w:rsidRDefault="00EC38F6">
      <w:pPr>
        <w:pStyle w:val="CBDNormalNoNumber"/>
        <w:ind w:left="1134"/>
        <w:rPr>
          <w:b/>
          <w:sz w:val="24"/>
          <w:szCs w:val="24"/>
          <w:lang w:val="en-US"/>
        </w:rPr>
      </w:pPr>
      <w:r w:rsidRPr="00070546">
        <w:rPr>
          <w:b/>
          <w:sz w:val="24"/>
          <w:szCs w:val="24"/>
        </w:rPr>
        <w:t>A</w:t>
      </w:r>
      <w:r w:rsidRPr="00070546">
        <w:rPr>
          <w:b/>
          <w:sz w:val="24"/>
          <w:szCs w:val="24"/>
        </w:rPr>
        <w:br/>
      </w:r>
      <w:r w:rsidRPr="00070546">
        <w:rPr>
          <w:rFonts w:hint="eastAsia"/>
          <w:b/>
          <w:sz w:val="24"/>
          <w:szCs w:val="24"/>
          <w:lang w:val="zh-CN"/>
        </w:rPr>
        <w:t>涵盖生物多样性的空间规划</w:t>
      </w:r>
    </w:p>
    <w:p w14:paraId="708D6E19" w14:textId="77777777" w:rsidR="00EC38F6" w:rsidRPr="00070546" w:rsidRDefault="00EC38F6">
      <w:pPr>
        <w:pStyle w:val="CBDNormalNoNumber"/>
        <w:tabs>
          <w:tab w:val="clear" w:pos="567"/>
        </w:tabs>
        <w:ind w:left="1134" w:firstLine="567"/>
        <w:rPr>
          <w:i/>
          <w:sz w:val="24"/>
          <w:szCs w:val="24"/>
        </w:rPr>
      </w:pPr>
      <w:r w:rsidRPr="00070546">
        <w:rPr>
          <w:rFonts w:eastAsia="KaiTi_GB2312" w:hint="eastAsia"/>
          <w:sz w:val="24"/>
          <w:szCs w:val="24"/>
          <w:lang w:val="zh-CN"/>
        </w:rPr>
        <w:t>缔约方大会</w:t>
      </w:r>
      <w:r w:rsidRPr="00070546">
        <w:rPr>
          <w:rFonts w:hint="eastAsia"/>
          <w:sz w:val="24"/>
          <w:szCs w:val="24"/>
        </w:rPr>
        <w:t>，</w:t>
      </w:r>
    </w:p>
    <w:p w14:paraId="708D6E1A" w14:textId="77777777" w:rsidR="00EC38F6" w:rsidRPr="00070546" w:rsidRDefault="00EC38F6">
      <w:pPr>
        <w:pStyle w:val="CBDNormalNoNumber"/>
        <w:tabs>
          <w:tab w:val="clear" w:pos="567"/>
        </w:tabs>
        <w:ind w:left="1134" w:firstLine="567"/>
        <w:rPr>
          <w:sz w:val="24"/>
          <w:szCs w:val="24"/>
        </w:rPr>
      </w:pPr>
      <w:r w:rsidRPr="00070546">
        <w:rPr>
          <w:rFonts w:eastAsia="KaiTi_GB2312" w:hint="eastAsia"/>
          <w:sz w:val="24"/>
          <w:szCs w:val="24"/>
          <w:lang w:val="zh-CN"/>
        </w:rPr>
        <w:t>注意到</w:t>
      </w:r>
      <w:r w:rsidRPr="00070546">
        <w:rPr>
          <w:rFonts w:hint="eastAsia"/>
          <w:sz w:val="24"/>
          <w:szCs w:val="24"/>
          <w:lang w:val="zh-CN"/>
        </w:rPr>
        <w:t>生物多样性和生态系统服务政府间科学政策平台正在对涵盖生物多样性的综合空间规划和生态连通性进行的方法评估</w:t>
      </w:r>
      <w:r w:rsidRPr="00070546">
        <w:rPr>
          <w:rFonts w:hint="eastAsia"/>
          <w:sz w:val="24"/>
          <w:szCs w:val="24"/>
        </w:rPr>
        <w:t>，</w:t>
      </w:r>
    </w:p>
    <w:p w14:paraId="708D6E1B" w14:textId="77777777" w:rsidR="00EC38F6" w:rsidRPr="00070546" w:rsidRDefault="00EC38F6">
      <w:pPr>
        <w:pStyle w:val="CBDNormalNoNumber"/>
        <w:tabs>
          <w:tab w:val="clear" w:pos="567"/>
        </w:tabs>
        <w:ind w:left="1134" w:firstLine="567"/>
        <w:rPr>
          <w:sz w:val="24"/>
          <w:szCs w:val="24"/>
        </w:rPr>
      </w:pPr>
      <w:r w:rsidRPr="00070546">
        <w:rPr>
          <w:rFonts w:eastAsia="KaiTi_GB2312" w:hint="eastAsia"/>
          <w:sz w:val="24"/>
          <w:szCs w:val="24"/>
          <w:lang w:val="zh-CN"/>
        </w:rPr>
        <w:t>认识到</w:t>
      </w:r>
      <w:r w:rsidRPr="00070546">
        <w:rPr>
          <w:rFonts w:hint="eastAsia"/>
          <w:sz w:val="24"/>
          <w:szCs w:val="24"/>
          <w:lang w:val="zh-CN"/>
        </w:rPr>
        <w:t>先前的决定特别是</w:t>
      </w:r>
      <w:r w:rsidRPr="00070546">
        <w:rPr>
          <w:sz w:val="24"/>
          <w:szCs w:val="24"/>
        </w:rPr>
        <w:t>2016</w:t>
      </w:r>
      <w:r w:rsidRPr="00070546">
        <w:rPr>
          <w:rFonts w:hint="eastAsia"/>
          <w:sz w:val="24"/>
          <w:szCs w:val="24"/>
          <w:lang w:val="zh-CN"/>
        </w:rPr>
        <w:t>年</w:t>
      </w:r>
      <w:r w:rsidRPr="00070546">
        <w:rPr>
          <w:sz w:val="24"/>
          <w:szCs w:val="24"/>
        </w:rPr>
        <w:t>12</w:t>
      </w:r>
      <w:r w:rsidRPr="00070546">
        <w:rPr>
          <w:rFonts w:hint="eastAsia"/>
          <w:sz w:val="24"/>
          <w:szCs w:val="24"/>
          <w:lang w:val="zh-CN"/>
        </w:rPr>
        <w:t>月</w:t>
      </w:r>
      <w:r w:rsidRPr="00070546">
        <w:rPr>
          <w:sz w:val="24"/>
          <w:szCs w:val="24"/>
        </w:rPr>
        <w:t>17</w:t>
      </w:r>
      <w:r w:rsidRPr="00070546">
        <w:rPr>
          <w:rFonts w:hint="eastAsia"/>
          <w:sz w:val="24"/>
          <w:szCs w:val="24"/>
          <w:lang w:val="zh-CN"/>
        </w:rPr>
        <w:t>日第</w:t>
      </w:r>
      <w:hyperlink r:id="rId32" w:history="1">
        <w:r w:rsidRPr="00070546">
          <w:rPr>
            <w:rStyle w:val="Hyperlink"/>
            <w:sz w:val="24"/>
            <w:szCs w:val="24"/>
          </w:rPr>
          <w:t>XIII/9</w:t>
        </w:r>
      </w:hyperlink>
      <w:r w:rsidRPr="00070546">
        <w:rPr>
          <w:rFonts w:hint="eastAsia"/>
          <w:sz w:val="24"/>
          <w:szCs w:val="24"/>
          <w:lang w:val="zh-CN"/>
        </w:rPr>
        <w:t>号决定已充分处理了海洋空间规划问题</w:t>
      </w:r>
      <w:r w:rsidRPr="00070546">
        <w:rPr>
          <w:rFonts w:hint="eastAsia"/>
          <w:sz w:val="24"/>
          <w:szCs w:val="24"/>
        </w:rPr>
        <w:t>，</w:t>
      </w:r>
      <w:r w:rsidRPr="00070546">
        <w:rPr>
          <w:rFonts w:hint="eastAsia"/>
          <w:sz w:val="24"/>
          <w:szCs w:val="24"/>
          <w:lang w:val="zh-CN"/>
        </w:rPr>
        <w:t>并已成为海洋和沿海生物多样性能力建设活动的重点</w:t>
      </w:r>
      <w:r w:rsidRPr="00070546">
        <w:rPr>
          <w:rFonts w:hint="eastAsia"/>
          <w:sz w:val="24"/>
          <w:szCs w:val="24"/>
        </w:rPr>
        <w:t>，</w:t>
      </w:r>
      <w:r w:rsidRPr="00070546">
        <w:rPr>
          <w:rFonts w:hint="eastAsia"/>
          <w:sz w:val="24"/>
          <w:szCs w:val="24"/>
          <w:lang w:val="zh-CN"/>
        </w:rPr>
        <w:t>包括通过</w:t>
      </w:r>
      <w:r w:rsidRPr="00070546">
        <w:rPr>
          <w:sz w:val="24"/>
          <w:szCs w:val="24"/>
        </w:rPr>
        <w:t>“</w:t>
      </w:r>
      <w:r w:rsidRPr="00070546">
        <w:rPr>
          <w:rFonts w:hint="eastAsia"/>
          <w:sz w:val="24"/>
          <w:szCs w:val="24"/>
          <w:lang w:val="zh-CN"/>
        </w:rPr>
        <w:t>可持续海洋倡议</w:t>
      </w:r>
      <w:r w:rsidRPr="00070546">
        <w:rPr>
          <w:sz w:val="24"/>
          <w:szCs w:val="24"/>
        </w:rPr>
        <w:t>”</w:t>
      </w:r>
      <w:r w:rsidRPr="00070546">
        <w:rPr>
          <w:rFonts w:hint="eastAsia"/>
          <w:sz w:val="24"/>
          <w:szCs w:val="24"/>
          <w:lang w:val="zh-CN"/>
        </w:rPr>
        <w:t>开展此类活动</w:t>
      </w:r>
      <w:r w:rsidRPr="00070546">
        <w:rPr>
          <w:rFonts w:hint="eastAsia"/>
          <w:sz w:val="24"/>
          <w:szCs w:val="24"/>
        </w:rPr>
        <w:t>，</w:t>
      </w:r>
    </w:p>
    <w:p w14:paraId="708D6E1C" w14:textId="77777777" w:rsidR="00EC38F6" w:rsidRPr="00070546" w:rsidRDefault="00EC38F6">
      <w:pPr>
        <w:pStyle w:val="CBDNormalNoNumber"/>
        <w:tabs>
          <w:tab w:val="clear" w:pos="567"/>
        </w:tabs>
        <w:ind w:left="1134" w:firstLine="567"/>
        <w:rPr>
          <w:sz w:val="24"/>
          <w:szCs w:val="24"/>
        </w:rPr>
      </w:pPr>
      <w:r w:rsidRPr="00564B16">
        <w:rPr>
          <w:rFonts w:ascii="KaiTi_GB2312" w:eastAsia="KaiTi_GB2312" w:hint="eastAsia"/>
          <w:sz w:val="24"/>
          <w:szCs w:val="24"/>
          <w:lang w:val="zh-CN"/>
        </w:rPr>
        <w:t>注意到</w:t>
      </w:r>
      <w:r w:rsidRPr="00070546">
        <w:rPr>
          <w:rFonts w:hint="eastAsia"/>
          <w:sz w:val="24"/>
          <w:szCs w:val="24"/>
          <w:lang w:val="zh-CN"/>
        </w:rPr>
        <w:t>不同规模海洋空间规划的现有经验和指导</w:t>
      </w:r>
      <w:r w:rsidRPr="00070546">
        <w:rPr>
          <w:rFonts w:hint="eastAsia"/>
          <w:sz w:val="24"/>
          <w:szCs w:val="24"/>
        </w:rPr>
        <w:t>，</w:t>
      </w:r>
      <w:r w:rsidRPr="00070546">
        <w:rPr>
          <w:rFonts w:hint="eastAsia"/>
          <w:sz w:val="24"/>
          <w:szCs w:val="24"/>
          <w:lang w:val="zh-CN"/>
        </w:rPr>
        <w:t>包括联合国教育、科学及文化组织政府间海洋学委员会的经验和指导</w:t>
      </w:r>
      <w:r w:rsidRPr="00070546">
        <w:rPr>
          <w:rFonts w:hint="eastAsia"/>
          <w:sz w:val="24"/>
          <w:szCs w:val="24"/>
        </w:rPr>
        <w:t>，</w:t>
      </w:r>
    </w:p>
    <w:p w14:paraId="708D6E1D" w14:textId="77777777" w:rsidR="00EC38F6" w:rsidRPr="00070546" w:rsidRDefault="00EC38F6">
      <w:pPr>
        <w:pStyle w:val="CBDNormalNoNumber"/>
        <w:keepNext/>
        <w:tabs>
          <w:tab w:val="clear" w:pos="567"/>
        </w:tabs>
        <w:ind w:left="1134" w:firstLine="567"/>
        <w:rPr>
          <w:sz w:val="24"/>
          <w:szCs w:val="24"/>
        </w:rPr>
      </w:pPr>
      <w:r w:rsidRPr="00070546">
        <w:rPr>
          <w:sz w:val="24"/>
          <w:szCs w:val="24"/>
        </w:rPr>
        <w:lastRenderedPageBreak/>
        <w:t>1.</w:t>
      </w:r>
      <w:r w:rsidRPr="00070546">
        <w:rPr>
          <w:i/>
          <w:sz w:val="24"/>
          <w:szCs w:val="24"/>
        </w:rPr>
        <w:tab/>
      </w:r>
      <w:r w:rsidRPr="00070546">
        <w:rPr>
          <w:rFonts w:eastAsia="KaiTi_GB2312" w:hint="eastAsia"/>
          <w:sz w:val="24"/>
          <w:szCs w:val="24"/>
          <w:lang w:val="zh-CN"/>
        </w:rPr>
        <w:t>请</w:t>
      </w:r>
      <w:r w:rsidRPr="00070546">
        <w:rPr>
          <w:rFonts w:hint="eastAsia"/>
          <w:sz w:val="24"/>
          <w:szCs w:val="24"/>
          <w:lang w:val="zh-CN"/>
        </w:rPr>
        <w:t>生物多样性公约</w:t>
      </w:r>
      <w:r w:rsidRPr="00070546">
        <w:rPr>
          <w:rStyle w:val="FootnoteReference"/>
          <w:sz w:val="24"/>
          <w:szCs w:val="24"/>
          <w:lang w:val="zh-CN"/>
        </w:rPr>
        <w:footnoteReference w:id="37"/>
      </w:r>
      <w:r w:rsidRPr="00070546">
        <w:rPr>
          <w:rFonts w:hint="eastAsia"/>
          <w:sz w:val="24"/>
          <w:szCs w:val="24"/>
          <w:lang w:val="zh-CN"/>
        </w:rPr>
        <w:t>执行秘书在资源许可的情况下进行以下工作</w:t>
      </w:r>
      <w:r w:rsidRPr="00070546">
        <w:rPr>
          <w:rFonts w:hint="eastAsia"/>
          <w:sz w:val="24"/>
          <w:szCs w:val="24"/>
        </w:rPr>
        <w:t>：</w:t>
      </w:r>
    </w:p>
    <w:p w14:paraId="708D6E1E" w14:textId="77777777" w:rsidR="00EC38F6" w:rsidRPr="00070546" w:rsidRDefault="00EC38F6">
      <w:pPr>
        <w:pStyle w:val="CBDNormalNoNumber"/>
        <w:tabs>
          <w:tab w:val="clear" w:pos="567"/>
        </w:tabs>
        <w:ind w:left="1134" w:firstLine="567"/>
        <w:rPr>
          <w:sz w:val="24"/>
          <w:szCs w:val="24"/>
        </w:rPr>
      </w:pPr>
      <w:r w:rsidRPr="00070546">
        <w:rPr>
          <w:noProof/>
          <w:sz w:val="24"/>
          <w:szCs w:val="24"/>
        </w:rPr>
        <w:t>(a)</w:t>
      </w:r>
      <w:r w:rsidRPr="00070546">
        <w:rPr>
          <w:sz w:val="24"/>
          <w:szCs w:val="24"/>
        </w:rPr>
        <w:tab/>
      </w:r>
      <w:r w:rsidRPr="00070546">
        <w:rPr>
          <w:rFonts w:hint="eastAsia"/>
          <w:sz w:val="24"/>
          <w:szCs w:val="24"/>
          <w:lang w:val="zh-CN"/>
        </w:rPr>
        <w:t>借鉴《昆明</w:t>
      </w:r>
      <w:r w:rsidRPr="00070546">
        <w:rPr>
          <w:sz w:val="24"/>
          <w:szCs w:val="24"/>
        </w:rPr>
        <w:t>-</w:t>
      </w:r>
      <w:r w:rsidRPr="00070546">
        <w:rPr>
          <w:rFonts w:hint="eastAsia"/>
          <w:sz w:val="24"/>
          <w:szCs w:val="24"/>
          <w:lang w:val="zh-CN"/>
        </w:rPr>
        <w:t>蒙特利尔全球生物多样性框架》</w:t>
      </w:r>
      <w:r w:rsidRPr="00070546">
        <w:rPr>
          <w:rStyle w:val="FootnoteReference"/>
          <w:sz w:val="24"/>
          <w:szCs w:val="24"/>
          <w:lang w:val="zh-CN"/>
        </w:rPr>
        <w:footnoteReference w:id="38"/>
      </w:r>
      <w:r w:rsidRPr="00070546">
        <w:rPr>
          <w:rFonts w:hint="eastAsia"/>
          <w:sz w:val="24"/>
          <w:szCs w:val="24"/>
          <w:lang w:val="zh-CN"/>
        </w:rPr>
        <w:t>实施过程中对全球集体进程审查的投入</w:t>
      </w:r>
      <w:r w:rsidRPr="00070546">
        <w:rPr>
          <w:rFonts w:hint="eastAsia"/>
          <w:sz w:val="24"/>
          <w:szCs w:val="24"/>
        </w:rPr>
        <w:t>，</w:t>
      </w:r>
      <w:r w:rsidRPr="00070546">
        <w:rPr>
          <w:rFonts w:hint="eastAsia"/>
          <w:sz w:val="24"/>
          <w:szCs w:val="24"/>
          <w:lang w:val="zh-CN"/>
        </w:rPr>
        <w:t>编写一份关于涵盖生物多样性的空间规划的经验报告</w:t>
      </w:r>
      <w:r w:rsidRPr="00070546">
        <w:rPr>
          <w:rFonts w:hint="eastAsia"/>
          <w:sz w:val="24"/>
          <w:szCs w:val="24"/>
        </w:rPr>
        <w:t>，</w:t>
      </w:r>
      <w:r w:rsidRPr="00070546">
        <w:rPr>
          <w:rFonts w:hint="eastAsia"/>
          <w:sz w:val="24"/>
          <w:szCs w:val="24"/>
          <w:lang w:val="zh-CN"/>
        </w:rPr>
        <w:t>并根据审查的结果</w:t>
      </w:r>
      <w:r w:rsidRPr="00070546">
        <w:rPr>
          <w:rFonts w:hint="eastAsia"/>
          <w:sz w:val="24"/>
          <w:szCs w:val="24"/>
        </w:rPr>
        <w:t>，</w:t>
      </w:r>
      <w:r w:rsidRPr="00070546">
        <w:rPr>
          <w:rFonts w:hint="eastAsia"/>
          <w:sz w:val="24"/>
          <w:szCs w:val="24"/>
          <w:lang w:val="zh-CN"/>
        </w:rPr>
        <w:t>举办一次专家研讨会</w:t>
      </w:r>
      <w:r w:rsidRPr="00070546">
        <w:rPr>
          <w:rFonts w:hint="eastAsia"/>
          <w:sz w:val="24"/>
          <w:szCs w:val="24"/>
        </w:rPr>
        <w:t>，</w:t>
      </w:r>
      <w:r w:rsidRPr="00070546">
        <w:rPr>
          <w:rFonts w:hint="eastAsia"/>
          <w:sz w:val="24"/>
          <w:szCs w:val="24"/>
          <w:lang w:val="zh-CN"/>
        </w:rPr>
        <w:t>在实施《昆蒙框架》的背景下</w:t>
      </w:r>
      <w:r w:rsidRPr="00070546">
        <w:rPr>
          <w:rFonts w:hint="eastAsia"/>
          <w:sz w:val="24"/>
          <w:szCs w:val="24"/>
        </w:rPr>
        <w:t>，</w:t>
      </w:r>
      <w:proofErr w:type="gramStart"/>
      <w:r w:rsidRPr="00070546">
        <w:rPr>
          <w:rFonts w:hint="eastAsia"/>
          <w:sz w:val="24"/>
          <w:szCs w:val="24"/>
          <w:lang w:val="zh-CN"/>
        </w:rPr>
        <w:t>推动对涵盖生物多样性的空间规划及其方法达成共识</w:t>
      </w:r>
      <w:r w:rsidRPr="00070546">
        <w:rPr>
          <w:rFonts w:hint="eastAsia"/>
          <w:sz w:val="24"/>
          <w:szCs w:val="24"/>
        </w:rPr>
        <w:t>；</w:t>
      </w:r>
      <w:proofErr w:type="gramEnd"/>
    </w:p>
    <w:p w14:paraId="708D6E1F" w14:textId="77777777" w:rsidR="00EC38F6" w:rsidRPr="00070546" w:rsidRDefault="00EC38F6">
      <w:pPr>
        <w:pStyle w:val="CBDNormalNoNumber"/>
        <w:tabs>
          <w:tab w:val="clear" w:pos="567"/>
        </w:tabs>
        <w:ind w:left="1134" w:firstLine="567"/>
        <w:rPr>
          <w:sz w:val="24"/>
          <w:szCs w:val="24"/>
        </w:rPr>
      </w:pPr>
      <w:r w:rsidRPr="00070546">
        <w:rPr>
          <w:noProof/>
          <w:sz w:val="24"/>
          <w:szCs w:val="24"/>
        </w:rPr>
        <w:t>(b)</w:t>
      </w:r>
      <w:r w:rsidRPr="00070546">
        <w:rPr>
          <w:sz w:val="24"/>
          <w:szCs w:val="24"/>
        </w:rPr>
        <w:tab/>
      </w:r>
      <w:r w:rsidRPr="00070546">
        <w:rPr>
          <w:rFonts w:hint="eastAsia"/>
          <w:sz w:val="24"/>
          <w:szCs w:val="24"/>
          <w:lang w:val="zh-CN"/>
        </w:rPr>
        <w:t>根据生物多样性和生态系统服务政府间科学政策平台对涵盖生物多样性的综合空间规划和生态连通性的方法评估结果以及上文</w:t>
      </w:r>
      <w:r w:rsidRPr="00070546">
        <w:rPr>
          <w:rFonts w:hint="eastAsia"/>
          <w:sz w:val="24"/>
          <w:szCs w:val="24"/>
        </w:rPr>
        <w:t>（</w:t>
      </w:r>
      <w:r w:rsidRPr="00070546">
        <w:rPr>
          <w:sz w:val="24"/>
          <w:szCs w:val="24"/>
        </w:rPr>
        <w:t>a</w:t>
      </w:r>
      <w:r w:rsidRPr="00070546">
        <w:rPr>
          <w:rFonts w:hint="eastAsia"/>
          <w:sz w:val="24"/>
          <w:szCs w:val="24"/>
        </w:rPr>
        <w:t>）</w:t>
      </w:r>
      <w:r w:rsidRPr="00070546">
        <w:rPr>
          <w:rFonts w:hint="eastAsia"/>
          <w:sz w:val="24"/>
          <w:szCs w:val="24"/>
          <w:lang w:val="zh-CN"/>
        </w:rPr>
        <w:t>分段提及的活动</w:t>
      </w:r>
      <w:r w:rsidRPr="00070546">
        <w:rPr>
          <w:rFonts w:hint="eastAsia"/>
          <w:sz w:val="24"/>
          <w:szCs w:val="24"/>
        </w:rPr>
        <w:t>，</w:t>
      </w:r>
      <w:r w:rsidRPr="00070546">
        <w:rPr>
          <w:rFonts w:hint="eastAsia"/>
          <w:sz w:val="24"/>
          <w:szCs w:val="24"/>
          <w:lang w:val="zh-CN"/>
        </w:rPr>
        <w:t>编写一份关于涵盖生物多样性的空间规划可能开展的进一步工作的最新提案</w:t>
      </w:r>
      <w:r w:rsidRPr="00070546">
        <w:rPr>
          <w:rFonts w:hint="eastAsia"/>
          <w:sz w:val="24"/>
          <w:szCs w:val="24"/>
        </w:rPr>
        <w:t>，</w:t>
      </w:r>
      <w:r w:rsidRPr="00070546">
        <w:rPr>
          <w:rFonts w:hint="eastAsia"/>
          <w:sz w:val="24"/>
          <w:szCs w:val="24"/>
          <w:lang w:val="zh-CN"/>
        </w:rPr>
        <w:t>供缔约方大会第十八届会议之前举行的科学、技术和工艺咨询附属机构会议审议。</w:t>
      </w:r>
    </w:p>
    <w:p w14:paraId="708D6E20" w14:textId="77777777" w:rsidR="00EC38F6" w:rsidRPr="00070546" w:rsidRDefault="00EC38F6">
      <w:pPr>
        <w:pStyle w:val="CBDNormalNoNumber"/>
        <w:ind w:left="1134"/>
        <w:rPr>
          <w:b/>
          <w:sz w:val="24"/>
          <w:szCs w:val="24"/>
        </w:rPr>
      </w:pPr>
      <w:r w:rsidRPr="00070546">
        <w:rPr>
          <w:b/>
          <w:sz w:val="24"/>
          <w:szCs w:val="24"/>
          <w:lang w:val="zh-CN"/>
        </w:rPr>
        <w:t>B</w:t>
      </w:r>
      <w:r w:rsidRPr="00070546">
        <w:rPr>
          <w:b/>
          <w:sz w:val="24"/>
          <w:szCs w:val="24"/>
          <w:lang w:val="zh-CN"/>
        </w:rPr>
        <w:br/>
      </w:r>
      <w:r w:rsidRPr="00070546">
        <w:rPr>
          <w:rFonts w:hint="eastAsia"/>
          <w:b/>
          <w:sz w:val="24"/>
          <w:szCs w:val="24"/>
          <w:lang w:val="zh-CN"/>
        </w:rPr>
        <w:t>污染与生物多样性</w:t>
      </w:r>
    </w:p>
    <w:p w14:paraId="708D6E21" w14:textId="77777777" w:rsidR="00EC38F6" w:rsidRPr="00070546" w:rsidRDefault="00EC38F6">
      <w:pPr>
        <w:pStyle w:val="CBDNormalNoNumber"/>
        <w:tabs>
          <w:tab w:val="clear" w:pos="567"/>
        </w:tabs>
        <w:ind w:left="1134" w:firstLine="567"/>
        <w:rPr>
          <w:i/>
          <w:sz w:val="24"/>
          <w:szCs w:val="24"/>
        </w:rPr>
      </w:pPr>
      <w:r w:rsidRPr="00070546">
        <w:rPr>
          <w:rFonts w:eastAsia="KaiTi_GB2312" w:hint="eastAsia"/>
          <w:sz w:val="24"/>
          <w:szCs w:val="24"/>
          <w:lang w:val="zh-CN"/>
        </w:rPr>
        <w:t>缔约方大会</w:t>
      </w:r>
      <w:r w:rsidRPr="00070546">
        <w:rPr>
          <w:rFonts w:hint="eastAsia"/>
          <w:sz w:val="24"/>
          <w:szCs w:val="24"/>
          <w:lang w:val="zh-CN"/>
        </w:rPr>
        <w:t>，</w:t>
      </w:r>
    </w:p>
    <w:p w14:paraId="708D6E22" w14:textId="77777777" w:rsidR="00EC38F6" w:rsidRPr="00070546" w:rsidRDefault="00EC38F6">
      <w:pPr>
        <w:pStyle w:val="CBDNormalNoNumber"/>
        <w:tabs>
          <w:tab w:val="clear" w:pos="567"/>
        </w:tabs>
        <w:ind w:left="1134" w:firstLine="567"/>
        <w:rPr>
          <w:sz w:val="24"/>
          <w:szCs w:val="24"/>
        </w:rPr>
      </w:pPr>
      <w:r w:rsidRPr="00564B16">
        <w:rPr>
          <w:rFonts w:ascii="KaiTi_GB2312" w:eastAsia="KaiTi_GB2312" w:hint="eastAsia"/>
          <w:sz w:val="24"/>
          <w:szCs w:val="24"/>
          <w:lang w:val="zh-CN"/>
        </w:rPr>
        <w:t>回顾</w:t>
      </w:r>
      <w:r w:rsidRPr="00070546">
        <w:rPr>
          <w:sz w:val="24"/>
          <w:szCs w:val="24"/>
        </w:rPr>
        <w:t>2024</w:t>
      </w:r>
      <w:r w:rsidRPr="00070546">
        <w:rPr>
          <w:rFonts w:hint="eastAsia"/>
          <w:sz w:val="24"/>
          <w:szCs w:val="24"/>
          <w:lang w:val="zh-CN"/>
        </w:rPr>
        <w:t>年</w:t>
      </w:r>
      <w:r w:rsidRPr="00070546">
        <w:rPr>
          <w:sz w:val="24"/>
          <w:szCs w:val="24"/>
        </w:rPr>
        <w:t>11</w:t>
      </w:r>
      <w:r w:rsidRPr="00070546">
        <w:rPr>
          <w:rFonts w:hint="eastAsia"/>
          <w:sz w:val="24"/>
          <w:szCs w:val="24"/>
          <w:lang w:val="zh-CN"/>
        </w:rPr>
        <w:t>月</w:t>
      </w:r>
      <w:r w:rsidRPr="00070546">
        <w:rPr>
          <w:sz w:val="24"/>
          <w:szCs w:val="24"/>
        </w:rPr>
        <w:t>1</w:t>
      </w:r>
      <w:r w:rsidRPr="00070546">
        <w:rPr>
          <w:rFonts w:hint="eastAsia"/>
          <w:sz w:val="24"/>
          <w:szCs w:val="24"/>
          <w:lang w:val="zh-CN"/>
        </w:rPr>
        <w:t>日第</w:t>
      </w:r>
      <w:hyperlink r:id="rId33" w:history="1">
        <w:r w:rsidRPr="00070546">
          <w:rPr>
            <w:rStyle w:val="Hyperlink"/>
            <w:sz w:val="24"/>
            <w:szCs w:val="24"/>
          </w:rPr>
          <w:t>16/12</w:t>
        </w:r>
      </w:hyperlink>
      <w:r w:rsidRPr="00070546">
        <w:rPr>
          <w:rFonts w:hint="eastAsia"/>
          <w:sz w:val="24"/>
          <w:szCs w:val="24"/>
          <w:lang w:val="zh-CN"/>
        </w:rPr>
        <w:t>号决定以及</w:t>
      </w:r>
      <w:r w:rsidRPr="00070546">
        <w:rPr>
          <w:sz w:val="24"/>
          <w:szCs w:val="24"/>
        </w:rPr>
        <w:t>2025</w:t>
      </w:r>
      <w:r w:rsidRPr="00070546">
        <w:rPr>
          <w:rFonts w:hint="eastAsia"/>
          <w:sz w:val="24"/>
          <w:szCs w:val="24"/>
          <w:lang w:val="zh-CN"/>
        </w:rPr>
        <w:t>年</w:t>
      </w:r>
      <w:r w:rsidRPr="00070546">
        <w:rPr>
          <w:sz w:val="24"/>
          <w:szCs w:val="24"/>
        </w:rPr>
        <w:t>2</w:t>
      </w:r>
      <w:r w:rsidRPr="00070546">
        <w:rPr>
          <w:rFonts w:hint="eastAsia"/>
          <w:sz w:val="24"/>
          <w:szCs w:val="24"/>
          <w:lang w:val="zh-CN"/>
        </w:rPr>
        <w:t>月</w:t>
      </w:r>
      <w:r w:rsidRPr="00070546">
        <w:rPr>
          <w:sz w:val="24"/>
          <w:szCs w:val="24"/>
        </w:rPr>
        <w:t>27</w:t>
      </w:r>
      <w:r w:rsidRPr="00070546">
        <w:rPr>
          <w:rFonts w:hint="eastAsia"/>
          <w:sz w:val="24"/>
          <w:szCs w:val="24"/>
          <w:lang w:val="zh-CN"/>
        </w:rPr>
        <w:t>日第</w:t>
      </w:r>
      <w:hyperlink r:id="rId34" w:history="1">
        <w:r w:rsidRPr="00070546">
          <w:rPr>
            <w:rStyle w:val="Hyperlink"/>
            <w:sz w:val="24"/>
            <w:szCs w:val="24"/>
          </w:rPr>
          <w:t>16/31</w:t>
        </w:r>
      </w:hyperlink>
      <w:r w:rsidRPr="00070546">
        <w:rPr>
          <w:rFonts w:hint="eastAsia"/>
          <w:sz w:val="24"/>
          <w:szCs w:val="24"/>
          <w:lang w:val="zh-CN"/>
        </w:rPr>
        <w:t>号决定和第</w:t>
      </w:r>
      <w:hyperlink r:id="rId35" w:history="1">
        <w:r w:rsidRPr="00070546">
          <w:rPr>
            <w:rStyle w:val="Hyperlink"/>
            <w:sz w:val="24"/>
            <w:szCs w:val="24"/>
          </w:rPr>
          <w:t>16/35</w:t>
        </w:r>
      </w:hyperlink>
      <w:r w:rsidRPr="00070546">
        <w:rPr>
          <w:rFonts w:hint="eastAsia"/>
          <w:sz w:val="24"/>
          <w:szCs w:val="24"/>
          <w:lang w:val="zh-CN"/>
        </w:rPr>
        <w:t>号决定</w:t>
      </w:r>
      <w:r w:rsidRPr="00070546">
        <w:rPr>
          <w:rFonts w:hint="eastAsia"/>
          <w:sz w:val="24"/>
          <w:szCs w:val="24"/>
        </w:rPr>
        <w:t>，</w:t>
      </w:r>
    </w:p>
    <w:p w14:paraId="708D6E23" w14:textId="77777777" w:rsidR="00EC38F6" w:rsidRPr="00070546" w:rsidRDefault="00EC38F6">
      <w:pPr>
        <w:pStyle w:val="CBDNormalNoNumber"/>
        <w:tabs>
          <w:tab w:val="clear" w:pos="567"/>
        </w:tabs>
        <w:ind w:left="1134" w:firstLine="567"/>
        <w:rPr>
          <w:sz w:val="24"/>
          <w:szCs w:val="24"/>
        </w:rPr>
      </w:pPr>
      <w:r w:rsidRPr="00070546">
        <w:rPr>
          <w:rFonts w:eastAsia="KaiTi_GB2312" w:hint="eastAsia"/>
          <w:sz w:val="24"/>
          <w:szCs w:val="24"/>
          <w:lang w:val="zh-CN"/>
        </w:rPr>
        <w:t>认识到</w:t>
      </w:r>
      <w:r w:rsidRPr="00070546">
        <w:rPr>
          <w:rFonts w:hint="eastAsia"/>
          <w:sz w:val="24"/>
          <w:szCs w:val="24"/>
          <w:lang w:val="zh-CN"/>
        </w:rPr>
        <w:t>污染是生物多样性丧失的主要驱动因素之一</w:t>
      </w:r>
      <w:r w:rsidRPr="00070546">
        <w:rPr>
          <w:rFonts w:hint="eastAsia"/>
          <w:sz w:val="24"/>
          <w:szCs w:val="24"/>
        </w:rPr>
        <w:t>，</w:t>
      </w:r>
    </w:p>
    <w:p w14:paraId="708D6E24" w14:textId="77777777" w:rsidR="00EC38F6" w:rsidRPr="00070546" w:rsidRDefault="00EC38F6">
      <w:pPr>
        <w:pStyle w:val="CBDNormalNoNumber"/>
        <w:tabs>
          <w:tab w:val="clear" w:pos="567"/>
        </w:tabs>
        <w:ind w:left="1134" w:firstLine="567"/>
        <w:rPr>
          <w:sz w:val="24"/>
          <w:szCs w:val="24"/>
        </w:rPr>
      </w:pPr>
      <w:r w:rsidRPr="00070546">
        <w:rPr>
          <w:sz w:val="24"/>
          <w:szCs w:val="24"/>
        </w:rPr>
        <w:t>2.</w:t>
      </w:r>
      <w:r w:rsidRPr="00070546">
        <w:rPr>
          <w:sz w:val="24"/>
          <w:szCs w:val="24"/>
        </w:rPr>
        <w:tab/>
      </w:r>
      <w:r w:rsidRPr="00564B16">
        <w:rPr>
          <w:rFonts w:ascii="KaiTi_GB2312" w:eastAsia="KaiTi_GB2312" w:hint="eastAsia"/>
          <w:sz w:val="24"/>
          <w:szCs w:val="24"/>
          <w:lang w:val="zh-CN"/>
        </w:rPr>
        <w:t>决定</w:t>
      </w:r>
      <w:r w:rsidRPr="00070546">
        <w:rPr>
          <w:rFonts w:hint="eastAsia"/>
          <w:sz w:val="24"/>
          <w:szCs w:val="24"/>
          <w:lang w:val="zh-CN"/>
        </w:rPr>
        <w:t>在资源允许的情况下</w:t>
      </w:r>
      <w:r w:rsidRPr="00070546">
        <w:rPr>
          <w:rFonts w:hint="eastAsia"/>
          <w:sz w:val="24"/>
          <w:szCs w:val="24"/>
        </w:rPr>
        <w:t>，</w:t>
      </w:r>
      <w:r w:rsidRPr="00070546">
        <w:rPr>
          <w:rFonts w:hint="eastAsia"/>
          <w:sz w:val="24"/>
          <w:szCs w:val="24"/>
          <w:lang w:val="zh-CN"/>
        </w:rPr>
        <w:t>设立一个污染与生物多样性问题特设技术专家组</w:t>
      </w:r>
      <w:r w:rsidRPr="00070546">
        <w:rPr>
          <w:rFonts w:hint="eastAsia"/>
          <w:sz w:val="24"/>
          <w:szCs w:val="24"/>
        </w:rPr>
        <w:t>，</w:t>
      </w:r>
      <w:r w:rsidRPr="00070546">
        <w:rPr>
          <w:rFonts w:hint="eastAsia"/>
          <w:sz w:val="24"/>
          <w:szCs w:val="24"/>
          <w:lang w:val="zh-CN"/>
        </w:rPr>
        <w:t>其任务授权时限至缔约方大会第十八届会议结束</w:t>
      </w:r>
      <w:r w:rsidRPr="00070546">
        <w:rPr>
          <w:rFonts w:hint="eastAsia"/>
          <w:sz w:val="24"/>
          <w:szCs w:val="24"/>
        </w:rPr>
        <w:t>，</w:t>
      </w:r>
      <w:r w:rsidRPr="00070546">
        <w:rPr>
          <w:rFonts w:hint="eastAsia"/>
          <w:sz w:val="24"/>
          <w:szCs w:val="24"/>
          <w:lang w:val="zh-CN"/>
        </w:rPr>
        <w:t>负责根据本决定附件所载的职权范围</w:t>
      </w:r>
      <w:r w:rsidRPr="00070546">
        <w:rPr>
          <w:rFonts w:hint="eastAsia"/>
          <w:sz w:val="24"/>
          <w:szCs w:val="24"/>
        </w:rPr>
        <w:t>，</w:t>
      </w:r>
      <w:proofErr w:type="gramStart"/>
      <w:r w:rsidRPr="00070546">
        <w:rPr>
          <w:rFonts w:hint="eastAsia"/>
          <w:sz w:val="24"/>
          <w:szCs w:val="24"/>
          <w:lang w:val="zh-CN"/>
        </w:rPr>
        <w:t>制定关于如何应对污染对生物多样性的影响的指导意见</w:t>
      </w:r>
      <w:r w:rsidRPr="00070546">
        <w:rPr>
          <w:rFonts w:hint="eastAsia"/>
          <w:sz w:val="24"/>
          <w:szCs w:val="24"/>
        </w:rPr>
        <w:t>；</w:t>
      </w:r>
      <w:proofErr w:type="gramEnd"/>
    </w:p>
    <w:p w14:paraId="708D6E25" w14:textId="77777777" w:rsidR="00EC38F6" w:rsidRPr="00070546" w:rsidRDefault="00EC38F6">
      <w:pPr>
        <w:pStyle w:val="CBDNormalNoNumber"/>
        <w:tabs>
          <w:tab w:val="clear" w:pos="567"/>
        </w:tabs>
        <w:ind w:left="1134" w:firstLine="567"/>
        <w:rPr>
          <w:sz w:val="24"/>
          <w:szCs w:val="24"/>
        </w:rPr>
      </w:pPr>
      <w:r w:rsidRPr="00070546">
        <w:rPr>
          <w:sz w:val="24"/>
          <w:szCs w:val="24"/>
        </w:rPr>
        <w:t>3.</w:t>
      </w:r>
      <w:r w:rsidRPr="00070546">
        <w:rPr>
          <w:sz w:val="24"/>
          <w:szCs w:val="24"/>
        </w:rPr>
        <w:tab/>
      </w:r>
      <w:r w:rsidRPr="00564B16">
        <w:rPr>
          <w:rFonts w:ascii="KaiTi_GB2312" w:eastAsia="KaiTi_GB2312" w:hint="eastAsia"/>
          <w:sz w:val="24"/>
          <w:szCs w:val="24"/>
          <w:lang w:val="zh-CN"/>
        </w:rPr>
        <w:t>邀请</w:t>
      </w:r>
      <w:r w:rsidRPr="00070546">
        <w:rPr>
          <w:rFonts w:hint="eastAsia"/>
          <w:sz w:val="24"/>
          <w:szCs w:val="24"/>
          <w:lang w:val="zh-CN"/>
        </w:rPr>
        <w:t>缔约方、土著人民和地方社区以及相关组织向生物多样性公约</w:t>
      </w:r>
      <w:r w:rsidRPr="00070546">
        <w:rPr>
          <w:rStyle w:val="FootnoteReference"/>
          <w:sz w:val="24"/>
          <w:szCs w:val="24"/>
          <w:lang w:val="zh-CN"/>
        </w:rPr>
        <w:footnoteReference w:id="39"/>
      </w:r>
      <w:r w:rsidRPr="00070546">
        <w:rPr>
          <w:rFonts w:hint="eastAsia"/>
          <w:sz w:val="24"/>
          <w:szCs w:val="24"/>
          <w:lang w:val="zh-CN"/>
        </w:rPr>
        <w:t>秘书处提交有关以下各方面的科学和技术信息</w:t>
      </w:r>
      <w:r w:rsidRPr="00070546">
        <w:rPr>
          <w:rFonts w:hint="eastAsia"/>
          <w:sz w:val="24"/>
          <w:szCs w:val="24"/>
        </w:rPr>
        <w:t>：</w:t>
      </w:r>
      <w:r w:rsidRPr="00070546">
        <w:rPr>
          <w:sz w:val="24"/>
          <w:szCs w:val="24"/>
        </w:rPr>
        <w:t xml:space="preserve"> </w:t>
      </w:r>
    </w:p>
    <w:p w14:paraId="708D6E26" w14:textId="77777777" w:rsidR="00EC38F6" w:rsidRPr="00070546" w:rsidRDefault="00EC38F6">
      <w:pPr>
        <w:pStyle w:val="CBDNormalNoNumber"/>
        <w:tabs>
          <w:tab w:val="clear" w:pos="567"/>
        </w:tabs>
        <w:ind w:left="1134" w:firstLine="567"/>
        <w:rPr>
          <w:sz w:val="24"/>
          <w:szCs w:val="24"/>
        </w:rPr>
      </w:pPr>
      <w:r w:rsidRPr="00070546">
        <w:rPr>
          <w:noProof/>
          <w:sz w:val="24"/>
          <w:szCs w:val="24"/>
        </w:rPr>
        <w:t>(a)</w:t>
      </w:r>
      <w:r w:rsidRPr="00070546">
        <w:rPr>
          <w:sz w:val="24"/>
          <w:szCs w:val="24"/>
        </w:rPr>
        <w:tab/>
      </w:r>
      <w:r w:rsidRPr="00070546">
        <w:rPr>
          <w:rFonts w:hint="eastAsia"/>
          <w:sz w:val="24"/>
          <w:szCs w:val="24"/>
          <w:lang w:val="zh-CN"/>
        </w:rPr>
        <w:t>污染对不同生物群落的生物多样性产生的影响</w:t>
      </w:r>
      <w:r w:rsidRPr="00070546">
        <w:rPr>
          <w:rFonts w:hint="eastAsia"/>
          <w:sz w:val="24"/>
          <w:szCs w:val="24"/>
        </w:rPr>
        <w:t>，</w:t>
      </w:r>
      <w:proofErr w:type="gramStart"/>
      <w:r w:rsidRPr="00070546">
        <w:rPr>
          <w:rFonts w:hint="eastAsia"/>
          <w:sz w:val="24"/>
          <w:szCs w:val="24"/>
          <w:lang w:val="zh-CN"/>
        </w:rPr>
        <w:t>包括不同生物群落和物种需要优先关注的污染类型和来源</w:t>
      </w:r>
      <w:r w:rsidRPr="00070546">
        <w:rPr>
          <w:rFonts w:hint="eastAsia"/>
          <w:sz w:val="24"/>
          <w:szCs w:val="24"/>
        </w:rPr>
        <w:t>；</w:t>
      </w:r>
      <w:proofErr w:type="gramEnd"/>
    </w:p>
    <w:p w14:paraId="708D6E27" w14:textId="77777777" w:rsidR="00EC38F6" w:rsidRPr="00070546" w:rsidRDefault="00EC38F6">
      <w:pPr>
        <w:pStyle w:val="CBDNormalNoNumber"/>
        <w:tabs>
          <w:tab w:val="clear" w:pos="567"/>
        </w:tabs>
        <w:ind w:left="1134" w:firstLine="567"/>
        <w:rPr>
          <w:sz w:val="24"/>
          <w:szCs w:val="24"/>
        </w:rPr>
      </w:pPr>
      <w:r w:rsidRPr="00070546">
        <w:rPr>
          <w:noProof/>
          <w:sz w:val="24"/>
          <w:szCs w:val="24"/>
        </w:rPr>
        <w:t>(b)</w:t>
      </w:r>
      <w:r w:rsidRPr="00070546">
        <w:rPr>
          <w:sz w:val="24"/>
          <w:szCs w:val="24"/>
        </w:rPr>
        <w:tab/>
      </w:r>
      <w:r w:rsidRPr="00070546">
        <w:rPr>
          <w:rFonts w:hint="eastAsia"/>
          <w:sz w:val="24"/>
          <w:szCs w:val="24"/>
          <w:lang w:val="zh-CN"/>
        </w:rPr>
        <w:t>将生物多样性作为优先考虑因素纳入针对主要污染源、部门和利益攸关方的污染预防、</w:t>
      </w:r>
      <w:proofErr w:type="gramStart"/>
      <w:r w:rsidRPr="00070546">
        <w:rPr>
          <w:rFonts w:hint="eastAsia"/>
          <w:sz w:val="24"/>
          <w:szCs w:val="24"/>
          <w:lang w:val="zh-CN"/>
        </w:rPr>
        <w:t>控制和缓解措施</w:t>
      </w:r>
      <w:r w:rsidRPr="00070546">
        <w:rPr>
          <w:rFonts w:hint="eastAsia"/>
          <w:sz w:val="24"/>
          <w:szCs w:val="24"/>
        </w:rPr>
        <w:t>；</w:t>
      </w:r>
      <w:proofErr w:type="gramEnd"/>
    </w:p>
    <w:p w14:paraId="708D6E28" w14:textId="77777777" w:rsidR="00EC38F6" w:rsidRPr="00070546" w:rsidRDefault="00EC38F6">
      <w:pPr>
        <w:pStyle w:val="CBDNormalNoNumber"/>
        <w:tabs>
          <w:tab w:val="clear" w:pos="567"/>
        </w:tabs>
        <w:ind w:left="1134" w:firstLine="567"/>
        <w:rPr>
          <w:sz w:val="24"/>
          <w:szCs w:val="24"/>
        </w:rPr>
      </w:pPr>
      <w:r w:rsidRPr="00070546">
        <w:rPr>
          <w:noProof/>
          <w:sz w:val="24"/>
          <w:szCs w:val="24"/>
        </w:rPr>
        <w:t>(c)</w:t>
      </w:r>
      <w:r w:rsidRPr="00070546">
        <w:rPr>
          <w:sz w:val="24"/>
          <w:szCs w:val="24"/>
        </w:rPr>
        <w:tab/>
      </w:r>
      <w:r w:rsidRPr="00070546">
        <w:rPr>
          <w:rFonts w:hint="eastAsia"/>
          <w:sz w:val="24"/>
          <w:szCs w:val="24"/>
          <w:lang w:val="zh-CN"/>
        </w:rPr>
        <w:t>关于生物多样性和生态系统服务</w:t>
      </w:r>
      <w:r w:rsidRPr="00070546">
        <w:rPr>
          <w:rFonts w:hint="eastAsia"/>
          <w:sz w:val="24"/>
          <w:szCs w:val="24"/>
        </w:rPr>
        <w:t>（</w:t>
      </w:r>
      <w:r w:rsidRPr="00070546">
        <w:rPr>
          <w:rFonts w:hint="eastAsia"/>
          <w:sz w:val="24"/>
          <w:szCs w:val="24"/>
          <w:lang w:val="zh-CN"/>
        </w:rPr>
        <w:t>基于自然的解决方案和</w:t>
      </w:r>
      <w:r w:rsidRPr="00070546">
        <w:rPr>
          <w:sz w:val="24"/>
          <w:szCs w:val="24"/>
        </w:rPr>
        <w:t>/</w:t>
      </w:r>
      <w:r w:rsidRPr="00070546">
        <w:rPr>
          <w:rFonts w:hint="eastAsia"/>
          <w:sz w:val="24"/>
          <w:szCs w:val="24"/>
          <w:lang w:val="zh-CN"/>
        </w:rPr>
        <w:t>或基于生态系统的方法</w:t>
      </w:r>
      <w:r w:rsidRPr="00070546">
        <w:rPr>
          <w:rFonts w:hint="eastAsia"/>
          <w:sz w:val="24"/>
          <w:szCs w:val="24"/>
        </w:rPr>
        <w:t>）</w:t>
      </w:r>
      <w:r w:rsidRPr="00070546">
        <w:rPr>
          <w:rFonts w:hint="eastAsia"/>
          <w:sz w:val="24"/>
          <w:szCs w:val="24"/>
          <w:lang w:val="zh-CN"/>
        </w:rPr>
        <w:t>在减轻污染中的作用</w:t>
      </w:r>
      <w:r w:rsidRPr="00070546">
        <w:rPr>
          <w:rFonts w:hint="eastAsia"/>
          <w:sz w:val="24"/>
          <w:szCs w:val="24"/>
        </w:rPr>
        <w:t>，</w:t>
      </w:r>
      <w:proofErr w:type="gramStart"/>
      <w:r w:rsidRPr="00070546">
        <w:rPr>
          <w:rFonts w:hint="eastAsia"/>
          <w:sz w:val="24"/>
          <w:szCs w:val="24"/>
          <w:lang w:val="zh-CN"/>
        </w:rPr>
        <w:t>包括针对具体部门和污染源的指导</w:t>
      </w:r>
      <w:r w:rsidRPr="00070546">
        <w:rPr>
          <w:rFonts w:hint="eastAsia"/>
          <w:sz w:val="24"/>
          <w:szCs w:val="24"/>
        </w:rPr>
        <w:t>；</w:t>
      </w:r>
      <w:proofErr w:type="gramEnd"/>
    </w:p>
    <w:p w14:paraId="708D6E29" w14:textId="77777777" w:rsidR="00EC38F6" w:rsidRPr="00070546" w:rsidRDefault="00EC38F6">
      <w:pPr>
        <w:pStyle w:val="CBDNormalNoNumber"/>
        <w:tabs>
          <w:tab w:val="clear" w:pos="567"/>
        </w:tabs>
        <w:ind w:left="1134" w:firstLine="567"/>
        <w:rPr>
          <w:sz w:val="24"/>
          <w:szCs w:val="24"/>
        </w:rPr>
      </w:pPr>
      <w:r w:rsidRPr="00070546">
        <w:rPr>
          <w:sz w:val="24"/>
          <w:szCs w:val="24"/>
        </w:rPr>
        <w:t>4.</w:t>
      </w:r>
      <w:r w:rsidRPr="00070546">
        <w:rPr>
          <w:sz w:val="24"/>
          <w:szCs w:val="24"/>
        </w:rPr>
        <w:tab/>
      </w:r>
      <w:proofErr w:type="gramStart"/>
      <w:r w:rsidRPr="00070546">
        <w:rPr>
          <w:rFonts w:eastAsia="KaiTi_GB2312" w:hint="eastAsia"/>
          <w:sz w:val="24"/>
          <w:szCs w:val="24"/>
          <w:lang w:val="zh-CN"/>
        </w:rPr>
        <w:t>请</w:t>
      </w:r>
      <w:r w:rsidRPr="00070546">
        <w:rPr>
          <w:rFonts w:hint="eastAsia"/>
          <w:sz w:val="24"/>
          <w:szCs w:val="24"/>
          <w:lang w:val="zh-CN"/>
        </w:rPr>
        <w:t>公约执行秘书向污染与生物多样性问题特设技术专家组提供根据上文第</w:t>
      </w:r>
      <w:r w:rsidRPr="00070546">
        <w:rPr>
          <w:sz w:val="24"/>
          <w:szCs w:val="24"/>
        </w:rPr>
        <w:t>3</w:t>
      </w:r>
      <w:r w:rsidRPr="00070546">
        <w:rPr>
          <w:rFonts w:hint="eastAsia"/>
          <w:sz w:val="24"/>
          <w:szCs w:val="24"/>
          <w:lang w:val="zh-CN"/>
        </w:rPr>
        <w:t>段提交的科学和技术信息</w:t>
      </w:r>
      <w:r w:rsidRPr="00070546">
        <w:rPr>
          <w:rFonts w:hint="eastAsia"/>
          <w:sz w:val="24"/>
          <w:szCs w:val="24"/>
        </w:rPr>
        <w:t>；</w:t>
      </w:r>
      <w:proofErr w:type="gramEnd"/>
    </w:p>
    <w:p w14:paraId="708D6E2A" w14:textId="77777777" w:rsidR="00EC38F6" w:rsidRPr="00070546" w:rsidRDefault="00EC38F6">
      <w:pPr>
        <w:pStyle w:val="CBDNormalNoNumber"/>
        <w:tabs>
          <w:tab w:val="clear" w:pos="567"/>
        </w:tabs>
        <w:ind w:left="1134" w:firstLine="567"/>
        <w:rPr>
          <w:sz w:val="24"/>
          <w:szCs w:val="24"/>
        </w:rPr>
      </w:pPr>
      <w:r w:rsidRPr="00070546">
        <w:rPr>
          <w:sz w:val="24"/>
          <w:szCs w:val="24"/>
        </w:rPr>
        <w:t>5.</w:t>
      </w:r>
      <w:r w:rsidRPr="00070546">
        <w:rPr>
          <w:sz w:val="24"/>
          <w:szCs w:val="24"/>
        </w:rPr>
        <w:tab/>
      </w:r>
      <w:r w:rsidRPr="00070546">
        <w:rPr>
          <w:rFonts w:eastAsia="KaiTi_GB2312" w:hint="eastAsia"/>
          <w:sz w:val="24"/>
          <w:szCs w:val="24"/>
          <w:lang w:val="zh-CN"/>
        </w:rPr>
        <w:t>请</w:t>
      </w:r>
      <w:r w:rsidRPr="00070546">
        <w:rPr>
          <w:rFonts w:hint="eastAsia"/>
          <w:sz w:val="24"/>
          <w:szCs w:val="24"/>
          <w:lang w:val="zh-CN"/>
        </w:rPr>
        <w:t>科学、技术和工艺咨询附属机构审议污染与生物多样性问题特设技术专家组的工作成果</w:t>
      </w:r>
      <w:r w:rsidRPr="00070546">
        <w:rPr>
          <w:rFonts w:hint="eastAsia"/>
          <w:sz w:val="24"/>
          <w:szCs w:val="24"/>
        </w:rPr>
        <w:t>，</w:t>
      </w:r>
      <w:proofErr w:type="gramStart"/>
      <w:r w:rsidRPr="00070546">
        <w:rPr>
          <w:rFonts w:hint="eastAsia"/>
          <w:sz w:val="24"/>
          <w:szCs w:val="24"/>
          <w:lang w:val="zh-CN"/>
        </w:rPr>
        <w:t>并将其建议供缔约方大会第十八届会议审议</w:t>
      </w:r>
      <w:r w:rsidRPr="00070546">
        <w:rPr>
          <w:rFonts w:hint="eastAsia"/>
          <w:sz w:val="24"/>
          <w:szCs w:val="24"/>
        </w:rPr>
        <w:t>；</w:t>
      </w:r>
      <w:proofErr w:type="gramEnd"/>
    </w:p>
    <w:p w14:paraId="708D6E2B" w14:textId="77777777" w:rsidR="00EC38F6" w:rsidRPr="00070546" w:rsidRDefault="00EC38F6">
      <w:pPr>
        <w:pStyle w:val="CBDNormalNoNumber"/>
        <w:tabs>
          <w:tab w:val="clear" w:pos="567"/>
        </w:tabs>
        <w:ind w:left="1134" w:firstLine="567"/>
        <w:rPr>
          <w:sz w:val="24"/>
          <w:szCs w:val="24"/>
        </w:rPr>
      </w:pPr>
      <w:r w:rsidRPr="00070546">
        <w:rPr>
          <w:sz w:val="24"/>
          <w:szCs w:val="24"/>
        </w:rPr>
        <w:lastRenderedPageBreak/>
        <w:t>6.</w:t>
      </w:r>
      <w:r w:rsidRPr="00070546">
        <w:rPr>
          <w:sz w:val="24"/>
          <w:szCs w:val="24"/>
        </w:rPr>
        <w:tab/>
      </w:r>
      <w:r w:rsidRPr="00070546">
        <w:rPr>
          <w:rFonts w:eastAsia="KaiTi_GB2312" w:hint="eastAsia"/>
          <w:sz w:val="24"/>
          <w:szCs w:val="24"/>
          <w:lang w:val="zh-CN"/>
        </w:rPr>
        <w:t>邀请</w:t>
      </w:r>
      <w:r w:rsidRPr="00070546">
        <w:rPr>
          <w:rFonts w:hint="eastAsia"/>
          <w:sz w:val="24"/>
          <w:szCs w:val="24"/>
          <w:lang w:val="zh-CN"/>
        </w:rPr>
        <w:t>《控制危险废物越境转移及其处置巴塞尔公约》、</w:t>
      </w:r>
      <w:r w:rsidRPr="00070546">
        <w:rPr>
          <w:rStyle w:val="FootnoteReference"/>
          <w:sz w:val="24"/>
          <w:szCs w:val="24"/>
          <w:lang w:val="zh-CN"/>
        </w:rPr>
        <w:footnoteReference w:id="40"/>
      </w:r>
      <w:r w:rsidRPr="00070546">
        <w:rPr>
          <w:rFonts w:hint="eastAsia"/>
          <w:sz w:val="24"/>
          <w:szCs w:val="24"/>
          <w:lang w:val="zh-CN"/>
        </w:rPr>
        <w:t>《关于在国际贸易中对某些危险化学品和农药采用事先知情同意程序的鹿特丹公约》</w:t>
      </w:r>
      <w:r w:rsidRPr="00070546">
        <w:rPr>
          <w:rStyle w:val="FootnoteReference"/>
          <w:sz w:val="24"/>
          <w:szCs w:val="24"/>
          <w:lang w:val="zh-CN"/>
        </w:rPr>
        <w:footnoteReference w:id="41"/>
      </w:r>
      <w:r w:rsidRPr="00070546">
        <w:rPr>
          <w:rFonts w:hint="eastAsia"/>
          <w:sz w:val="24"/>
          <w:szCs w:val="24"/>
          <w:lang w:val="zh-CN"/>
        </w:rPr>
        <w:t>和《关于持久性有机污染物的斯德哥尔摩公约》</w:t>
      </w:r>
      <w:r w:rsidRPr="00070546">
        <w:rPr>
          <w:rStyle w:val="FootnoteReference"/>
          <w:sz w:val="24"/>
          <w:szCs w:val="24"/>
          <w:lang w:val="zh-CN"/>
        </w:rPr>
        <w:footnoteReference w:id="42"/>
      </w:r>
      <w:r w:rsidRPr="00070546">
        <w:rPr>
          <w:rFonts w:hint="eastAsia"/>
          <w:sz w:val="24"/>
          <w:szCs w:val="24"/>
          <w:lang w:val="zh-CN"/>
        </w:rPr>
        <w:t>秘书处、《关于汞的水俣公约》</w:t>
      </w:r>
      <w:r w:rsidRPr="00070546">
        <w:rPr>
          <w:rStyle w:val="FootnoteReference"/>
          <w:sz w:val="24"/>
          <w:szCs w:val="24"/>
          <w:lang w:val="zh-CN"/>
        </w:rPr>
        <w:footnoteReference w:id="43"/>
      </w:r>
      <w:r w:rsidRPr="00070546">
        <w:rPr>
          <w:rFonts w:hint="eastAsia"/>
          <w:sz w:val="24"/>
          <w:szCs w:val="24"/>
          <w:lang w:val="zh-CN"/>
        </w:rPr>
        <w:t>秘书处、国际海事组织、国际海底管理局以及各区域海洋公约和行动计划秘书处加强其对化学品和废物包括塑料废物与生物多样性和生态系统服务的相互作用的关注。</w:t>
      </w:r>
    </w:p>
    <w:p w14:paraId="708D6E2C" w14:textId="77777777" w:rsidR="00EC38F6" w:rsidRPr="007E06F4" w:rsidRDefault="00EC38F6">
      <w:pPr>
        <w:pStyle w:val="CBDDesicionAnnex"/>
        <w:ind w:left="1134"/>
        <w:rPr>
          <w:rFonts w:cs="Times New Roman"/>
          <w:bCs w:val="0"/>
          <w:szCs w:val="24"/>
        </w:rPr>
      </w:pPr>
      <w:r w:rsidRPr="007E06F4">
        <w:rPr>
          <w:rFonts w:cs="Times New Roman" w:hint="eastAsia"/>
          <w:bCs w:val="0"/>
          <w:szCs w:val="24"/>
          <w:lang w:val="zh-CN"/>
        </w:rPr>
        <w:t>附件</w:t>
      </w:r>
    </w:p>
    <w:p w14:paraId="708D6E2D" w14:textId="77777777" w:rsidR="00EC38F6" w:rsidRPr="00070546" w:rsidRDefault="00EC38F6">
      <w:pPr>
        <w:pStyle w:val="CBDDesicionAnnex"/>
        <w:spacing w:before="120"/>
        <w:ind w:left="1134"/>
        <w:rPr>
          <w:rFonts w:cs="Times New Roman"/>
          <w:b w:val="0"/>
          <w:bCs w:val="0"/>
          <w:szCs w:val="24"/>
        </w:rPr>
      </w:pPr>
      <w:r w:rsidRPr="007E06F4">
        <w:rPr>
          <w:rFonts w:cs="Times New Roman" w:hint="eastAsia"/>
          <w:bCs w:val="0"/>
          <w:szCs w:val="24"/>
          <w:lang w:val="zh-CN"/>
        </w:rPr>
        <w:t>污染与生物多样性问题特设技术专家组的职权范围</w:t>
      </w:r>
    </w:p>
    <w:p w14:paraId="708D6E2E" w14:textId="77777777" w:rsidR="00EC38F6" w:rsidRPr="00070546" w:rsidRDefault="00EC38F6">
      <w:pPr>
        <w:pStyle w:val="CBDNormalNoNumber"/>
        <w:keepNext/>
        <w:keepLines/>
        <w:spacing w:before="240"/>
        <w:ind w:left="1134"/>
        <w:rPr>
          <w:sz w:val="24"/>
          <w:szCs w:val="24"/>
        </w:rPr>
      </w:pPr>
      <w:r w:rsidRPr="00070546">
        <w:rPr>
          <w:sz w:val="24"/>
          <w:szCs w:val="24"/>
        </w:rPr>
        <w:t>1.</w:t>
      </w:r>
      <w:r w:rsidRPr="00070546">
        <w:rPr>
          <w:sz w:val="24"/>
          <w:szCs w:val="24"/>
        </w:rPr>
        <w:tab/>
      </w:r>
      <w:r w:rsidRPr="00070546">
        <w:rPr>
          <w:rFonts w:hint="eastAsia"/>
          <w:sz w:val="24"/>
          <w:szCs w:val="24"/>
          <w:lang w:val="zh-CN"/>
        </w:rPr>
        <w:t>污染与生物多样性问题特设技术专家组应就以下方面向科学、技术和工艺咨询附属机构提供技术咨询意见</w:t>
      </w:r>
      <w:r w:rsidRPr="00070546">
        <w:rPr>
          <w:rFonts w:hint="eastAsia"/>
          <w:sz w:val="24"/>
          <w:szCs w:val="24"/>
        </w:rPr>
        <w:t>：</w:t>
      </w:r>
    </w:p>
    <w:p w14:paraId="708D6E2F" w14:textId="77777777" w:rsidR="00EC38F6" w:rsidRPr="00070546" w:rsidRDefault="00EC38F6">
      <w:pPr>
        <w:pStyle w:val="CBDNormalNoNumber"/>
        <w:spacing w:before="240"/>
        <w:ind w:left="1134"/>
        <w:rPr>
          <w:sz w:val="24"/>
          <w:szCs w:val="24"/>
        </w:rPr>
      </w:pPr>
      <w:r w:rsidRPr="00070546">
        <w:rPr>
          <w:noProof/>
          <w:sz w:val="24"/>
          <w:szCs w:val="24"/>
        </w:rPr>
        <w:t>(a)</w:t>
      </w:r>
      <w:r w:rsidRPr="00070546">
        <w:rPr>
          <w:sz w:val="24"/>
          <w:szCs w:val="24"/>
        </w:rPr>
        <w:tab/>
      </w:r>
      <w:r w:rsidRPr="00070546">
        <w:rPr>
          <w:rFonts w:hint="eastAsia"/>
          <w:sz w:val="24"/>
          <w:szCs w:val="24"/>
          <w:lang w:val="zh-CN"/>
        </w:rPr>
        <w:t>污染对不同生物群落的生物多样性产生的影响</w:t>
      </w:r>
      <w:r w:rsidRPr="00070546">
        <w:rPr>
          <w:rFonts w:hint="eastAsia"/>
          <w:sz w:val="24"/>
          <w:szCs w:val="24"/>
        </w:rPr>
        <w:t>，</w:t>
      </w:r>
      <w:proofErr w:type="gramStart"/>
      <w:r w:rsidRPr="00070546">
        <w:rPr>
          <w:rFonts w:hint="eastAsia"/>
          <w:sz w:val="24"/>
          <w:szCs w:val="24"/>
          <w:lang w:val="zh-CN"/>
        </w:rPr>
        <w:t>包括不同生物群落和物种需要优先关注的污染类型和来源</w:t>
      </w:r>
      <w:r w:rsidRPr="00070546">
        <w:rPr>
          <w:rFonts w:hint="eastAsia"/>
          <w:sz w:val="24"/>
          <w:szCs w:val="24"/>
        </w:rPr>
        <w:t>；</w:t>
      </w:r>
      <w:proofErr w:type="gramEnd"/>
    </w:p>
    <w:p w14:paraId="708D6E30" w14:textId="77777777" w:rsidR="00EC38F6" w:rsidRPr="00070546" w:rsidRDefault="00EC38F6">
      <w:pPr>
        <w:pStyle w:val="CBDNormalNoNumber"/>
        <w:spacing w:before="240"/>
        <w:ind w:left="1134"/>
        <w:rPr>
          <w:sz w:val="24"/>
          <w:szCs w:val="24"/>
        </w:rPr>
      </w:pPr>
      <w:r w:rsidRPr="00070546">
        <w:rPr>
          <w:noProof/>
          <w:sz w:val="24"/>
          <w:szCs w:val="24"/>
        </w:rPr>
        <w:t>(b)</w:t>
      </w:r>
      <w:r w:rsidRPr="00070546">
        <w:rPr>
          <w:sz w:val="24"/>
          <w:szCs w:val="24"/>
        </w:rPr>
        <w:tab/>
      </w:r>
      <w:r w:rsidRPr="00070546">
        <w:rPr>
          <w:rFonts w:hint="eastAsia"/>
          <w:sz w:val="24"/>
          <w:szCs w:val="24"/>
          <w:lang w:val="zh-CN"/>
        </w:rPr>
        <w:t>将生物多样性作为优先考虑因素纳入针对主要污染源、部门和利益攸关方的污染预防、控制和缓解措施</w:t>
      </w:r>
      <w:r w:rsidRPr="00070546">
        <w:rPr>
          <w:rFonts w:hint="eastAsia"/>
          <w:sz w:val="24"/>
          <w:szCs w:val="24"/>
        </w:rPr>
        <w:t>；</w:t>
      </w:r>
      <w:r w:rsidRPr="00070546">
        <w:rPr>
          <w:rFonts w:hint="eastAsia"/>
          <w:sz w:val="24"/>
          <w:szCs w:val="24"/>
          <w:lang w:val="zh-CN"/>
        </w:rPr>
        <w:t>和关于生物多样性和生态系统服务</w:t>
      </w:r>
      <w:r w:rsidRPr="00070546">
        <w:rPr>
          <w:rFonts w:hint="eastAsia"/>
          <w:sz w:val="24"/>
          <w:szCs w:val="24"/>
        </w:rPr>
        <w:t>（</w:t>
      </w:r>
      <w:r w:rsidRPr="00070546">
        <w:rPr>
          <w:rFonts w:hint="eastAsia"/>
          <w:sz w:val="24"/>
          <w:szCs w:val="24"/>
          <w:lang w:val="zh-CN"/>
        </w:rPr>
        <w:t>基于自然的解决方案和</w:t>
      </w:r>
      <w:r w:rsidRPr="00070546">
        <w:rPr>
          <w:sz w:val="24"/>
          <w:szCs w:val="24"/>
        </w:rPr>
        <w:t>/</w:t>
      </w:r>
      <w:r w:rsidRPr="00070546">
        <w:rPr>
          <w:rFonts w:hint="eastAsia"/>
          <w:sz w:val="24"/>
          <w:szCs w:val="24"/>
          <w:lang w:val="zh-CN"/>
        </w:rPr>
        <w:t>或基于生态系统的方法</w:t>
      </w:r>
      <w:r w:rsidRPr="00070546">
        <w:rPr>
          <w:rFonts w:hint="eastAsia"/>
          <w:sz w:val="24"/>
          <w:szCs w:val="24"/>
        </w:rPr>
        <w:t>）</w:t>
      </w:r>
      <w:r w:rsidRPr="00070546">
        <w:rPr>
          <w:rFonts w:hint="eastAsia"/>
          <w:sz w:val="24"/>
          <w:szCs w:val="24"/>
          <w:lang w:val="zh-CN"/>
        </w:rPr>
        <w:t>在减轻污染中的作用</w:t>
      </w:r>
      <w:r w:rsidRPr="00070546">
        <w:rPr>
          <w:rFonts w:hint="eastAsia"/>
          <w:sz w:val="24"/>
          <w:szCs w:val="24"/>
        </w:rPr>
        <w:t>，</w:t>
      </w:r>
      <w:proofErr w:type="gramStart"/>
      <w:r w:rsidRPr="00070546">
        <w:rPr>
          <w:rFonts w:hint="eastAsia"/>
          <w:sz w:val="24"/>
          <w:szCs w:val="24"/>
          <w:lang w:val="zh-CN"/>
        </w:rPr>
        <w:t>包括针对具体部门和污染源的指导</w:t>
      </w:r>
      <w:r w:rsidRPr="00070546">
        <w:rPr>
          <w:rFonts w:hint="eastAsia"/>
          <w:sz w:val="24"/>
          <w:szCs w:val="24"/>
        </w:rPr>
        <w:t>；</w:t>
      </w:r>
      <w:proofErr w:type="gramEnd"/>
    </w:p>
    <w:p w14:paraId="708D6E31" w14:textId="77777777" w:rsidR="00EC38F6" w:rsidRPr="00070546" w:rsidRDefault="00EC38F6">
      <w:pPr>
        <w:pStyle w:val="CBDNormalNoNumber"/>
        <w:spacing w:before="240"/>
        <w:ind w:left="1134"/>
        <w:rPr>
          <w:sz w:val="24"/>
          <w:szCs w:val="24"/>
        </w:rPr>
      </w:pPr>
      <w:r w:rsidRPr="00070546">
        <w:rPr>
          <w:noProof/>
          <w:sz w:val="24"/>
          <w:szCs w:val="24"/>
        </w:rPr>
        <w:t>(c)</w:t>
      </w:r>
      <w:r w:rsidRPr="00070546">
        <w:rPr>
          <w:sz w:val="24"/>
          <w:szCs w:val="24"/>
        </w:rPr>
        <w:tab/>
      </w:r>
      <w:r w:rsidRPr="00070546">
        <w:rPr>
          <w:rFonts w:hint="eastAsia"/>
          <w:sz w:val="24"/>
          <w:szCs w:val="24"/>
          <w:lang w:val="zh-CN"/>
        </w:rPr>
        <w:t>数据和信息管理</w:t>
      </w:r>
      <w:r w:rsidRPr="00070546">
        <w:rPr>
          <w:rFonts w:hint="eastAsia"/>
          <w:sz w:val="24"/>
          <w:szCs w:val="24"/>
        </w:rPr>
        <w:t>，</w:t>
      </w:r>
      <w:proofErr w:type="gramStart"/>
      <w:r w:rsidRPr="00070546">
        <w:rPr>
          <w:rFonts w:hint="eastAsia"/>
          <w:sz w:val="24"/>
          <w:szCs w:val="24"/>
          <w:lang w:val="zh-CN"/>
        </w:rPr>
        <w:t>特别是关于降低生物多样性优先关注的已确定的污染物风险的信息</w:t>
      </w:r>
      <w:r w:rsidRPr="00070546">
        <w:rPr>
          <w:rFonts w:hint="eastAsia"/>
          <w:sz w:val="24"/>
          <w:szCs w:val="24"/>
        </w:rPr>
        <w:t>；</w:t>
      </w:r>
      <w:proofErr w:type="gramEnd"/>
    </w:p>
    <w:p w14:paraId="708D6E32" w14:textId="77777777" w:rsidR="00EC38F6" w:rsidRPr="00070546" w:rsidRDefault="00EC38F6">
      <w:pPr>
        <w:pStyle w:val="CBDNormalNoNumber"/>
        <w:spacing w:before="240"/>
        <w:ind w:left="1134"/>
        <w:rPr>
          <w:sz w:val="24"/>
          <w:szCs w:val="24"/>
        </w:rPr>
      </w:pPr>
      <w:r w:rsidRPr="00070546">
        <w:rPr>
          <w:noProof/>
          <w:sz w:val="24"/>
          <w:szCs w:val="24"/>
        </w:rPr>
        <w:t>(d)</w:t>
      </w:r>
      <w:r w:rsidRPr="00070546">
        <w:rPr>
          <w:sz w:val="24"/>
          <w:szCs w:val="24"/>
        </w:rPr>
        <w:tab/>
      </w:r>
      <w:r w:rsidRPr="00070546">
        <w:rPr>
          <w:rFonts w:hint="eastAsia"/>
          <w:sz w:val="24"/>
          <w:szCs w:val="24"/>
          <w:lang w:val="zh-CN"/>
        </w:rPr>
        <w:t>列入国家综合环境监测系统以及将污染控制措施数据与《昆明</w:t>
      </w:r>
      <w:r w:rsidRPr="00070546">
        <w:rPr>
          <w:sz w:val="24"/>
          <w:szCs w:val="24"/>
        </w:rPr>
        <w:t>-</w:t>
      </w:r>
      <w:r w:rsidRPr="00070546">
        <w:rPr>
          <w:rFonts w:hint="eastAsia"/>
          <w:sz w:val="24"/>
          <w:szCs w:val="24"/>
          <w:lang w:val="zh-CN"/>
        </w:rPr>
        <w:t>蒙特利尔全球生物多样性框架》各项行动目标取得一致的生物多样性因素。</w:t>
      </w:r>
      <w:r w:rsidRPr="00070546">
        <w:rPr>
          <w:rStyle w:val="FootnoteReference"/>
          <w:sz w:val="24"/>
          <w:szCs w:val="24"/>
          <w:lang w:val="zh-CN"/>
        </w:rPr>
        <w:footnoteReference w:id="44"/>
      </w:r>
    </w:p>
    <w:p w14:paraId="708D6E33" w14:textId="77777777" w:rsidR="00EC38F6" w:rsidRPr="00070546" w:rsidRDefault="00EC38F6">
      <w:pPr>
        <w:pStyle w:val="CBDNormalNoNumber"/>
        <w:spacing w:before="240"/>
        <w:ind w:left="1134"/>
        <w:rPr>
          <w:sz w:val="24"/>
          <w:szCs w:val="24"/>
        </w:rPr>
      </w:pPr>
      <w:r w:rsidRPr="00070546">
        <w:rPr>
          <w:sz w:val="24"/>
          <w:szCs w:val="24"/>
        </w:rPr>
        <w:t>2.</w:t>
      </w:r>
      <w:r w:rsidRPr="00070546">
        <w:rPr>
          <w:sz w:val="24"/>
          <w:szCs w:val="24"/>
        </w:rPr>
        <w:tab/>
      </w:r>
      <w:r w:rsidRPr="00070546">
        <w:rPr>
          <w:rFonts w:hint="eastAsia"/>
          <w:sz w:val="24"/>
          <w:szCs w:val="24"/>
          <w:lang w:val="zh-CN"/>
        </w:rPr>
        <w:t>技术专家组应由缔约方提名的</w:t>
      </w:r>
      <w:r w:rsidRPr="00070546">
        <w:rPr>
          <w:sz w:val="24"/>
          <w:szCs w:val="24"/>
          <w:lang w:val="zh-CN"/>
        </w:rPr>
        <w:t>30</w:t>
      </w:r>
      <w:r w:rsidRPr="00070546">
        <w:rPr>
          <w:rFonts w:hint="eastAsia"/>
          <w:sz w:val="24"/>
          <w:szCs w:val="24"/>
          <w:lang w:val="zh-CN"/>
        </w:rPr>
        <w:t>名技术专家组成，其中包括生物多样性与污染问题专家，以及观察员组织和其他相关组织提名的最多</w:t>
      </w:r>
      <w:r w:rsidRPr="00070546">
        <w:rPr>
          <w:sz w:val="24"/>
          <w:szCs w:val="24"/>
          <w:lang w:val="zh-CN"/>
        </w:rPr>
        <w:t>5</w:t>
      </w:r>
      <w:r w:rsidRPr="00070546">
        <w:rPr>
          <w:rFonts w:hint="eastAsia"/>
          <w:sz w:val="24"/>
          <w:szCs w:val="24"/>
          <w:lang w:val="zh-CN"/>
        </w:rPr>
        <w:t>名代表。</w:t>
      </w:r>
      <w:r w:rsidRPr="00070546">
        <w:rPr>
          <w:sz w:val="24"/>
          <w:szCs w:val="24"/>
        </w:rPr>
        <w:t xml:space="preserve"> </w:t>
      </w:r>
    </w:p>
    <w:p w14:paraId="708D6E34" w14:textId="77777777" w:rsidR="00EC38F6" w:rsidRPr="00070546" w:rsidRDefault="00EC38F6">
      <w:pPr>
        <w:pStyle w:val="CBDNormalNoNumber"/>
        <w:spacing w:before="240"/>
        <w:ind w:left="1134"/>
        <w:rPr>
          <w:sz w:val="24"/>
          <w:szCs w:val="24"/>
        </w:rPr>
      </w:pPr>
      <w:r w:rsidRPr="00070546">
        <w:rPr>
          <w:sz w:val="24"/>
          <w:szCs w:val="24"/>
        </w:rPr>
        <w:t>3.</w:t>
      </w:r>
      <w:r w:rsidRPr="00070546">
        <w:rPr>
          <w:sz w:val="24"/>
          <w:szCs w:val="24"/>
        </w:rPr>
        <w:tab/>
      </w:r>
      <w:r w:rsidRPr="00070546">
        <w:rPr>
          <w:rFonts w:hint="eastAsia"/>
          <w:sz w:val="24"/>
          <w:szCs w:val="24"/>
          <w:lang w:val="zh-CN"/>
        </w:rPr>
        <w:t>技术专家组应从选定的专家中提名两名共同主席。</w:t>
      </w:r>
    </w:p>
    <w:p w14:paraId="708D6E35" w14:textId="77777777" w:rsidR="00EC38F6" w:rsidRPr="00070546" w:rsidRDefault="00EC38F6">
      <w:pPr>
        <w:pStyle w:val="CBDNormalNoNumber"/>
        <w:spacing w:before="240"/>
        <w:ind w:left="1134"/>
        <w:rPr>
          <w:sz w:val="24"/>
          <w:szCs w:val="24"/>
        </w:rPr>
      </w:pPr>
      <w:r w:rsidRPr="00070546">
        <w:rPr>
          <w:sz w:val="24"/>
          <w:szCs w:val="24"/>
        </w:rPr>
        <w:t>4.</w:t>
      </w:r>
      <w:r w:rsidRPr="00070546">
        <w:rPr>
          <w:sz w:val="24"/>
          <w:szCs w:val="24"/>
        </w:rPr>
        <w:tab/>
      </w:r>
      <w:r w:rsidRPr="00070546">
        <w:rPr>
          <w:rFonts w:hint="eastAsia"/>
          <w:sz w:val="24"/>
          <w:szCs w:val="24"/>
          <w:lang w:val="zh-CN"/>
        </w:rPr>
        <w:t>科学、技术和工艺咨询附属机构主席应被邀请当然参加技术专家组会议。</w:t>
      </w:r>
    </w:p>
    <w:p w14:paraId="708D6E36" w14:textId="77777777" w:rsidR="00EC38F6" w:rsidRPr="00070546" w:rsidRDefault="00EC38F6">
      <w:pPr>
        <w:pStyle w:val="CBDNormalNoNumber"/>
        <w:spacing w:before="240"/>
        <w:ind w:left="1134"/>
        <w:rPr>
          <w:sz w:val="24"/>
          <w:szCs w:val="24"/>
        </w:rPr>
      </w:pPr>
      <w:r w:rsidRPr="00070546">
        <w:rPr>
          <w:sz w:val="24"/>
          <w:szCs w:val="24"/>
        </w:rPr>
        <w:t>5.</w:t>
      </w:r>
      <w:r w:rsidRPr="00070546">
        <w:rPr>
          <w:sz w:val="24"/>
          <w:szCs w:val="24"/>
        </w:rPr>
        <w:tab/>
      </w:r>
      <w:r w:rsidRPr="00070546">
        <w:rPr>
          <w:rFonts w:hint="eastAsia"/>
          <w:sz w:val="24"/>
          <w:szCs w:val="24"/>
          <w:lang w:val="zh-CN"/>
        </w:rPr>
        <w:t>技术专家组应主要以电子方式开展工作；在资源允许的情况下，还应在闭会期间至少举行两次面对面会议。</w:t>
      </w:r>
    </w:p>
    <w:p w14:paraId="708D6E37" w14:textId="77777777" w:rsidR="00EC38F6" w:rsidRPr="00070546" w:rsidRDefault="00EC38F6">
      <w:pPr>
        <w:pStyle w:val="CBDNormalNoNumber"/>
        <w:spacing w:before="240"/>
        <w:ind w:left="1134"/>
        <w:rPr>
          <w:sz w:val="24"/>
          <w:szCs w:val="24"/>
        </w:rPr>
      </w:pPr>
      <w:r w:rsidRPr="00070546">
        <w:rPr>
          <w:sz w:val="24"/>
          <w:szCs w:val="24"/>
        </w:rPr>
        <w:lastRenderedPageBreak/>
        <w:t>6.</w:t>
      </w:r>
      <w:r w:rsidRPr="00070546">
        <w:rPr>
          <w:sz w:val="24"/>
          <w:szCs w:val="24"/>
        </w:rPr>
        <w:tab/>
      </w:r>
      <w:r w:rsidRPr="00070546">
        <w:rPr>
          <w:rFonts w:hint="eastAsia"/>
          <w:sz w:val="24"/>
          <w:szCs w:val="24"/>
          <w:lang w:val="zh-CN"/>
        </w:rPr>
        <w:t>技术专家组应在缔约方大会第十七届会议后立即成立并开始工作，并在缔约方大会第十八届会议之前举行的科学、技术和工艺咨询附属机构会议报告其工作。</w:t>
      </w:r>
    </w:p>
    <w:p w14:paraId="708D6E38" w14:textId="77777777" w:rsidR="00EC38F6" w:rsidRPr="00070546" w:rsidRDefault="00EC38F6">
      <w:pPr>
        <w:pStyle w:val="CBDNormalNoNumber"/>
        <w:spacing w:before="240"/>
        <w:ind w:left="1134"/>
        <w:rPr>
          <w:b/>
          <w:sz w:val="24"/>
          <w:szCs w:val="24"/>
        </w:rPr>
      </w:pPr>
      <w:r w:rsidRPr="00070546">
        <w:rPr>
          <w:b/>
          <w:sz w:val="24"/>
          <w:szCs w:val="24"/>
          <w:lang w:val="zh-CN"/>
        </w:rPr>
        <w:t>C</w:t>
      </w:r>
      <w:r w:rsidRPr="00070546">
        <w:rPr>
          <w:b/>
          <w:sz w:val="24"/>
          <w:szCs w:val="24"/>
          <w:lang w:val="zh-CN"/>
        </w:rPr>
        <w:br/>
      </w:r>
      <w:r w:rsidRPr="00070546">
        <w:rPr>
          <w:rFonts w:hint="eastAsia"/>
          <w:b/>
          <w:sz w:val="24"/>
          <w:szCs w:val="24"/>
          <w:lang w:val="zh-CN"/>
        </w:rPr>
        <w:t>可持续的基于生物多样性的活动、产品和服务</w:t>
      </w:r>
    </w:p>
    <w:p w14:paraId="708D6E39" w14:textId="77777777" w:rsidR="00EC38F6" w:rsidRPr="00070546" w:rsidRDefault="00EC38F6">
      <w:pPr>
        <w:pStyle w:val="CBDNormalNoNumber"/>
        <w:tabs>
          <w:tab w:val="clear" w:pos="567"/>
        </w:tabs>
        <w:ind w:left="1134" w:firstLine="567"/>
        <w:rPr>
          <w:i/>
          <w:sz w:val="24"/>
          <w:szCs w:val="24"/>
        </w:rPr>
      </w:pPr>
      <w:r w:rsidRPr="00070546">
        <w:rPr>
          <w:rFonts w:eastAsia="KaiTi_GB2312" w:hint="eastAsia"/>
          <w:sz w:val="24"/>
          <w:szCs w:val="24"/>
          <w:lang w:val="zh-CN"/>
        </w:rPr>
        <w:t>缔约方大会</w:t>
      </w:r>
      <w:r w:rsidRPr="00070546">
        <w:rPr>
          <w:rFonts w:hint="eastAsia"/>
          <w:sz w:val="24"/>
          <w:szCs w:val="24"/>
        </w:rPr>
        <w:t>，</w:t>
      </w:r>
    </w:p>
    <w:p w14:paraId="708D6E3A" w14:textId="77777777" w:rsidR="00EC38F6" w:rsidRPr="00070546" w:rsidRDefault="00EC38F6">
      <w:pPr>
        <w:pStyle w:val="CBDNormalNoNumber"/>
        <w:tabs>
          <w:tab w:val="clear" w:pos="567"/>
        </w:tabs>
        <w:ind w:left="1134" w:firstLine="567"/>
        <w:rPr>
          <w:sz w:val="24"/>
          <w:szCs w:val="24"/>
        </w:rPr>
      </w:pPr>
      <w:r w:rsidRPr="00070546">
        <w:rPr>
          <w:rFonts w:eastAsia="KaiTi_GB2312" w:hint="eastAsia"/>
          <w:sz w:val="24"/>
          <w:szCs w:val="24"/>
          <w:lang w:val="zh-CN"/>
        </w:rPr>
        <w:t>回顾</w:t>
      </w:r>
      <w:r w:rsidRPr="00070546">
        <w:rPr>
          <w:sz w:val="24"/>
          <w:szCs w:val="24"/>
        </w:rPr>
        <w:t>2024</w:t>
      </w:r>
      <w:r w:rsidRPr="00070546">
        <w:rPr>
          <w:rFonts w:hint="eastAsia"/>
          <w:sz w:val="24"/>
          <w:szCs w:val="24"/>
          <w:lang w:val="zh-CN"/>
        </w:rPr>
        <w:t>年</w:t>
      </w:r>
      <w:r w:rsidRPr="00070546">
        <w:rPr>
          <w:sz w:val="24"/>
          <w:szCs w:val="24"/>
        </w:rPr>
        <w:t>11</w:t>
      </w:r>
      <w:r w:rsidRPr="00070546">
        <w:rPr>
          <w:rFonts w:hint="eastAsia"/>
          <w:sz w:val="24"/>
          <w:szCs w:val="24"/>
          <w:lang w:val="zh-CN"/>
        </w:rPr>
        <w:t>月</w:t>
      </w:r>
      <w:r w:rsidRPr="00070546">
        <w:rPr>
          <w:sz w:val="24"/>
          <w:szCs w:val="24"/>
        </w:rPr>
        <w:t>1</w:t>
      </w:r>
      <w:r w:rsidRPr="00070546">
        <w:rPr>
          <w:rFonts w:hint="eastAsia"/>
          <w:sz w:val="24"/>
          <w:szCs w:val="24"/>
          <w:lang w:val="zh-CN"/>
        </w:rPr>
        <w:t>日第</w:t>
      </w:r>
      <w:hyperlink r:id="rId36" w:history="1">
        <w:r w:rsidRPr="00070546">
          <w:rPr>
            <w:rStyle w:val="Hyperlink"/>
            <w:sz w:val="24"/>
            <w:szCs w:val="24"/>
          </w:rPr>
          <w:t>16/12</w:t>
        </w:r>
      </w:hyperlink>
      <w:r w:rsidRPr="00070546">
        <w:rPr>
          <w:rFonts w:hint="eastAsia"/>
          <w:sz w:val="24"/>
          <w:szCs w:val="24"/>
          <w:lang w:val="zh-CN"/>
        </w:rPr>
        <w:t>号决定和</w:t>
      </w:r>
      <w:r w:rsidRPr="00070546">
        <w:rPr>
          <w:sz w:val="24"/>
          <w:szCs w:val="24"/>
        </w:rPr>
        <w:t>2024</w:t>
      </w:r>
      <w:r w:rsidRPr="00070546">
        <w:rPr>
          <w:rFonts w:hint="eastAsia"/>
          <w:sz w:val="24"/>
          <w:szCs w:val="24"/>
          <w:lang w:val="zh-CN"/>
        </w:rPr>
        <w:t>年</w:t>
      </w:r>
      <w:r w:rsidRPr="00070546">
        <w:rPr>
          <w:sz w:val="24"/>
          <w:szCs w:val="24"/>
        </w:rPr>
        <w:t>10</w:t>
      </w:r>
      <w:r w:rsidRPr="00070546">
        <w:rPr>
          <w:rFonts w:hint="eastAsia"/>
          <w:sz w:val="24"/>
          <w:szCs w:val="24"/>
          <w:lang w:val="zh-CN"/>
        </w:rPr>
        <w:t>月</w:t>
      </w:r>
      <w:r w:rsidRPr="00070546">
        <w:rPr>
          <w:sz w:val="24"/>
          <w:szCs w:val="24"/>
        </w:rPr>
        <w:t>25</w:t>
      </w:r>
      <w:r w:rsidRPr="00070546">
        <w:rPr>
          <w:rFonts w:hint="eastAsia"/>
          <w:sz w:val="24"/>
          <w:szCs w:val="24"/>
          <w:lang w:val="zh-CN"/>
        </w:rPr>
        <w:t>日第</w:t>
      </w:r>
      <w:hyperlink r:id="rId37" w:history="1">
        <w:r w:rsidRPr="00070546">
          <w:rPr>
            <w:rStyle w:val="Hyperlink"/>
            <w:sz w:val="24"/>
            <w:szCs w:val="24"/>
          </w:rPr>
          <w:t>16/15</w:t>
        </w:r>
      </w:hyperlink>
      <w:r w:rsidRPr="00070546">
        <w:rPr>
          <w:rFonts w:hint="eastAsia"/>
          <w:sz w:val="24"/>
          <w:szCs w:val="24"/>
          <w:lang w:val="zh-CN"/>
        </w:rPr>
        <w:t>号决定</w:t>
      </w:r>
      <w:r w:rsidRPr="00070546">
        <w:rPr>
          <w:rFonts w:hint="eastAsia"/>
          <w:sz w:val="24"/>
          <w:szCs w:val="24"/>
        </w:rPr>
        <w:t>，</w:t>
      </w:r>
    </w:p>
    <w:p w14:paraId="708D6E3B" w14:textId="77777777" w:rsidR="00EC38F6" w:rsidRPr="00070546" w:rsidRDefault="00EC38F6">
      <w:pPr>
        <w:pStyle w:val="CBDNormalNoNumber"/>
        <w:tabs>
          <w:tab w:val="clear" w:pos="567"/>
        </w:tabs>
        <w:ind w:left="1134" w:firstLine="567"/>
        <w:rPr>
          <w:sz w:val="24"/>
          <w:szCs w:val="24"/>
        </w:rPr>
      </w:pPr>
      <w:r w:rsidRPr="00070546">
        <w:rPr>
          <w:sz w:val="24"/>
          <w:szCs w:val="24"/>
        </w:rPr>
        <w:t>7.</w:t>
      </w:r>
      <w:r w:rsidRPr="00070546">
        <w:rPr>
          <w:sz w:val="24"/>
          <w:szCs w:val="24"/>
        </w:rPr>
        <w:tab/>
      </w:r>
      <w:r w:rsidRPr="00070546">
        <w:rPr>
          <w:rFonts w:eastAsia="KaiTi_GB2312" w:hint="eastAsia"/>
          <w:sz w:val="24"/>
          <w:szCs w:val="24"/>
          <w:lang w:val="zh-CN"/>
        </w:rPr>
        <w:t>请</w:t>
      </w:r>
      <w:r w:rsidRPr="00070546">
        <w:rPr>
          <w:rFonts w:hint="eastAsia"/>
          <w:sz w:val="24"/>
          <w:szCs w:val="24"/>
          <w:lang w:val="zh-CN"/>
        </w:rPr>
        <w:t>生物多样性公约</w:t>
      </w:r>
      <w:r w:rsidRPr="00070546">
        <w:rPr>
          <w:rStyle w:val="FootnoteReference"/>
          <w:sz w:val="24"/>
          <w:szCs w:val="24"/>
          <w:lang w:val="zh-CN"/>
        </w:rPr>
        <w:footnoteReference w:id="45"/>
      </w:r>
      <w:r w:rsidRPr="00070546">
        <w:rPr>
          <w:rFonts w:hint="eastAsia"/>
          <w:sz w:val="24"/>
          <w:szCs w:val="24"/>
          <w:lang w:val="zh-CN"/>
        </w:rPr>
        <w:t>执行秘书在资源允许的情况下</w:t>
      </w:r>
      <w:r w:rsidRPr="00070546">
        <w:rPr>
          <w:rFonts w:hint="eastAsia"/>
          <w:sz w:val="24"/>
          <w:szCs w:val="24"/>
        </w:rPr>
        <w:t>，</w:t>
      </w:r>
      <w:r w:rsidRPr="00070546">
        <w:rPr>
          <w:rFonts w:hint="eastAsia"/>
          <w:sz w:val="24"/>
          <w:szCs w:val="24"/>
          <w:lang w:val="zh-CN"/>
        </w:rPr>
        <w:t>借鉴对实施《昆明</w:t>
      </w:r>
      <w:r w:rsidRPr="00070546">
        <w:rPr>
          <w:sz w:val="24"/>
          <w:szCs w:val="24"/>
        </w:rPr>
        <w:t>-</w:t>
      </w:r>
      <w:r w:rsidRPr="00070546">
        <w:rPr>
          <w:rFonts w:hint="eastAsia"/>
          <w:sz w:val="24"/>
          <w:szCs w:val="24"/>
          <w:lang w:val="zh-CN"/>
        </w:rPr>
        <w:t>蒙特利尔全球生物多样性框架》</w:t>
      </w:r>
      <w:r w:rsidRPr="00070546">
        <w:rPr>
          <w:rStyle w:val="FootnoteReference"/>
          <w:sz w:val="24"/>
          <w:szCs w:val="24"/>
          <w:lang w:val="zh-CN"/>
        </w:rPr>
        <w:footnoteReference w:id="46"/>
      </w:r>
      <w:r w:rsidRPr="00070546">
        <w:rPr>
          <w:rFonts w:hint="eastAsia"/>
          <w:sz w:val="24"/>
          <w:szCs w:val="24"/>
          <w:lang w:val="zh-CN"/>
        </w:rPr>
        <w:t>的集体进程进行全球审查</w:t>
      </w:r>
      <w:r w:rsidRPr="00070546">
        <w:rPr>
          <w:rFonts w:eastAsia="MS Mincho"/>
          <w:sz w:val="24"/>
          <w:szCs w:val="24"/>
        </w:rPr>
        <w:t>​​</w:t>
      </w:r>
      <w:r w:rsidRPr="00070546">
        <w:rPr>
          <w:rFonts w:hint="eastAsia"/>
          <w:sz w:val="24"/>
          <w:szCs w:val="24"/>
          <w:lang w:val="zh-CN"/>
        </w:rPr>
        <w:t>的投入</w:t>
      </w:r>
      <w:r w:rsidRPr="00070546">
        <w:rPr>
          <w:rFonts w:hint="eastAsia"/>
          <w:sz w:val="24"/>
          <w:szCs w:val="24"/>
        </w:rPr>
        <w:t>，</w:t>
      </w:r>
      <w:r w:rsidRPr="00070546">
        <w:rPr>
          <w:rFonts w:hint="eastAsia"/>
          <w:sz w:val="24"/>
          <w:szCs w:val="24"/>
          <w:lang w:val="zh-CN"/>
        </w:rPr>
        <w:t>编写一份关于加强生物多样性的可持续生物多样性活动、产品和服务的经验的报告</w:t>
      </w:r>
      <w:r w:rsidRPr="00070546">
        <w:rPr>
          <w:rFonts w:hint="eastAsia"/>
          <w:sz w:val="24"/>
          <w:szCs w:val="24"/>
        </w:rPr>
        <w:t>，</w:t>
      </w:r>
      <w:r w:rsidRPr="00070546">
        <w:rPr>
          <w:rFonts w:hint="eastAsia"/>
          <w:sz w:val="24"/>
          <w:szCs w:val="24"/>
          <w:lang w:val="zh-CN"/>
        </w:rPr>
        <w:t>并根据审查结果</w:t>
      </w:r>
      <w:r w:rsidRPr="00070546">
        <w:rPr>
          <w:rFonts w:hint="eastAsia"/>
          <w:sz w:val="24"/>
          <w:szCs w:val="24"/>
        </w:rPr>
        <w:t>，</w:t>
      </w:r>
      <w:r w:rsidRPr="00070546">
        <w:rPr>
          <w:rFonts w:hint="eastAsia"/>
          <w:sz w:val="24"/>
          <w:szCs w:val="24"/>
          <w:lang w:val="zh-CN"/>
        </w:rPr>
        <w:t>举办一次专家研讨会</w:t>
      </w:r>
      <w:r w:rsidRPr="00070546">
        <w:rPr>
          <w:rFonts w:hint="eastAsia"/>
          <w:sz w:val="24"/>
          <w:szCs w:val="24"/>
        </w:rPr>
        <w:t>，</w:t>
      </w:r>
      <w:r w:rsidRPr="00070546">
        <w:rPr>
          <w:rFonts w:hint="eastAsia"/>
          <w:sz w:val="24"/>
          <w:szCs w:val="24"/>
          <w:lang w:val="zh-CN"/>
        </w:rPr>
        <w:t>就可持续生物多样性活动、产品和服务概念的定义、范围和要素提供技术咨询意见</w:t>
      </w:r>
      <w:r w:rsidRPr="00070546">
        <w:rPr>
          <w:rFonts w:hint="eastAsia"/>
          <w:sz w:val="24"/>
          <w:szCs w:val="24"/>
        </w:rPr>
        <w:t>，</w:t>
      </w:r>
      <w:r w:rsidRPr="00070546">
        <w:rPr>
          <w:rFonts w:hint="eastAsia"/>
          <w:sz w:val="24"/>
          <w:szCs w:val="24"/>
          <w:lang w:val="zh-CN"/>
        </w:rPr>
        <w:t>并编写一份报告</w:t>
      </w:r>
      <w:r w:rsidRPr="00070546">
        <w:rPr>
          <w:rFonts w:hint="eastAsia"/>
          <w:sz w:val="24"/>
          <w:szCs w:val="24"/>
        </w:rPr>
        <w:t>，</w:t>
      </w:r>
      <w:r w:rsidRPr="00070546">
        <w:rPr>
          <w:rFonts w:hint="eastAsia"/>
          <w:sz w:val="24"/>
          <w:szCs w:val="24"/>
          <w:lang w:val="zh-CN"/>
        </w:rPr>
        <w:t>供缔约方大会第十八届会议之前举行的科学、</w:t>
      </w:r>
      <w:proofErr w:type="gramStart"/>
      <w:r w:rsidRPr="00070546">
        <w:rPr>
          <w:rFonts w:hint="eastAsia"/>
          <w:sz w:val="24"/>
          <w:szCs w:val="24"/>
          <w:lang w:val="zh-CN"/>
        </w:rPr>
        <w:t>技术和工艺咨询附属机构会议审议</w:t>
      </w:r>
      <w:r w:rsidRPr="00070546">
        <w:rPr>
          <w:rFonts w:hint="eastAsia"/>
          <w:sz w:val="24"/>
          <w:szCs w:val="24"/>
        </w:rPr>
        <w:t>；</w:t>
      </w:r>
      <w:proofErr w:type="gramEnd"/>
    </w:p>
    <w:p w14:paraId="708D6E3C" w14:textId="77777777" w:rsidR="00EC38F6" w:rsidRPr="00070546" w:rsidRDefault="00EC38F6">
      <w:pPr>
        <w:pStyle w:val="CBDNormalNoNumber"/>
        <w:keepNext/>
        <w:tabs>
          <w:tab w:val="clear" w:pos="567"/>
        </w:tabs>
        <w:ind w:left="1134"/>
        <w:jc w:val="left"/>
        <w:rPr>
          <w:b/>
          <w:sz w:val="24"/>
          <w:szCs w:val="24"/>
        </w:rPr>
      </w:pPr>
      <w:r w:rsidRPr="00070546">
        <w:rPr>
          <w:b/>
          <w:sz w:val="24"/>
          <w:szCs w:val="24"/>
        </w:rPr>
        <w:t>D</w:t>
      </w:r>
      <w:r w:rsidRPr="00070546">
        <w:rPr>
          <w:b/>
          <w:sz w:val="24"/>
          <w:szCs w:val="24"/>
        </w:rPr>
        <w:br/>
      </w:r>
      <w:r w:rsidRPr="00070546">
        <w:rPr>
          <w:rFonts w:hint="eastAsia"/>
          <w:b/>
          <w:sz w:val="24"/>
          <w:szCs w:val="24"/>
          <w:lang w:val="zh-CN"/>
        </w:rPr>
        <w:t>公平、性别平等与保护和可持续利用生物多样性有关的基于人权的方法以及公正、公平地分享利用遗传资源所产生的惠益</w:t>
      </w:r>
    </w:p>
    <w:p w14:paraId="708D6E3D" w14:textId="77777777" w:rsidR="00EC38F6" w:rsidRPr="00070546" w:rsidRDefault="00EC38F6">
      <w:pPr>
        <w:pStyle w:val="CBDNormalNoNumber"/>
        <w:tabs>
          <w:tab w:val="clear" w:pos="567"/>
        </w:tabs>
        <w:ind w:left="1134" w:firstLine="567"/>
        <w:rPr>
          <w:i/>
          <w:sz w:val="24"/>
          <w:szCs w:val="24"/>
        </w:rPr>
      </w:pPr>
      <w:r w:rsidRPr="00070546">
        <w:rPr>
          <w:rFonts w:eastAsia="KaiTi_GB2312" w:hint="eastAsia"/>
          <w:sz w:val="24"/>
          <w:szCs w:val="24"/>
          <w:lang w:val="zh-CN"/>
        </w:rPr>
        <w:t>缔约方大会</w:t>
      </w:r>
      <w:r w:rsidRPr="00070546">
        <w:rPr>
          <w:rFonts w:hint="eastAsia"/>
          <w:sz w:val="24"/>
          <w:szCs w:val="24"/>
        </w:rPr>
        <w:t>，</w:t>
      </w:r>
    </w:p>
    <w:p w14:paraId="708D6E3E" w14:textId="77777777" w:rsidR="00EC38F6" w:rsidRPr="00070546" w:rsidRDefault="00EC38F6">
      <w:pPr>
        <w:pStyle w:val="CBDNormalNoNumber"/>
        <w:tabs>
          <w:tab w:val="clear" w:pos="567"/>
        </w:tabs>
        <w:ind w:left="1134" w:firstLine="567"/>
        <w:rPr>
          <w:sz w:val="24"/>
          <w:szCs w:val="24"/>
        </w:rPr>
      </w:pPr>
      <w:r w:rsidRPr="007E06F4">
        <w:rPr>
          <w:rFonts w:ascii="KaiTi_GB2312" w:eastAsia="KaiTi_GB2312" w:hint="eastAsia"/>
          <w:sz w:val="24"/>
          <w:szCs w:val="24"/>
          <w:lang w:val="zh-CN"/>
        </w:rPr>
        <w:t>注意到</w:t>
      </w:r>
      <w:r w:rsidRPr="00070546">
        <w:rPr>
          <w:rFonts w:hint="eastAsia"/>
          <w:sz w:val="24"/>
          <w:szCs w:val="24"/>
          <w:lang w:val="zh-CN"/>
        </w:rPr>
        <w:t>联合国人权事务高级专员开展的关于以基于人权的方法落实《昆明</w:t>
      </w:r>
      <w:r w:rsidRPr="00070546">
        <w:rPr>
          <w:sz w:val="24"/>
          <w:szCs w:val="24"/>
        </w:rPr>
        <w:t>-</w:t>
      </w:r>
      <w:r w:rsidRPr="00070546">
        <w:rPr>
          <w:rFonts w:hint="eastAsia"/>
          <w:sz w:val="24"/>
          <w:szCs w:val="24"/>
          <w:lang w:val="zh-CN"/>
        </w:rPr>
        <w:t>蒙特利尔全球生物多样性框架》</w:t>
      </w:r>
      <w:r w:rsidRPr="00070546">
        <w:rPr>
          <w:rStyle w:val="FootnoteReference"/>
          <w:sz w:val="24"/>
          <w:szCs w:val="24"/>
          <w:lang w:val="zh-CN"/>
        </w:rPr>
        <w:footnoteReference w:id="47"/>
      </w:r>
      <w:r w:rsidRPr="00070546">
        <w:rPr>
          <w:rFonts w:hint="eastAsia"/>
          <w:sz w:val="24"/>
          <w:szCs w:val="24"/>
          <w:lang w:val="zh-CN"/>
        </w:rPr>
        <w:t>的长期目标和行动目标的全球分析研究</w:t>
      </w:r>
      <w:r w:rsidRPr="00070546">
        <w:rPr>
          <w:rFonts w:hint="eastAsia"/>
          <w:sz w:val="24"/>
          <w:szCs w:val="24"/>
        </w:rPr>
        <w:t>，</w:t>
      </w:r>
    </w:p>
    <w:p w14:paraId="708D6E3F" w14:textId="77777777" w:rsidR="00EC38F6" w:rsidRPr="00070546" w:rsidRDefault="00EC38F6">
      <w:pPr>
        <w:pStyle w:val="CBDNormalNoNumber"/>
        <w:tabs>
          <w:tab w:val="clear" w:pos="567"/>
        </w:tabs>
        <w:ind w:left="1134" w:firstLine="567"/>
        <w:rPr>
          <w:sz w:val="24"/>
          <w:szCs w:val="24"/>
        </w:rPr>
      </w:pPr>
      <w:r w:rsidRPr="00070546">
        <w:rPr>
          <w:rFonts w:eastAsia="KaiTi_GB2312" w:hint="eastAsia"/>
          <w:sz w:val="24"/>
          <w:szCs w:val="24"/>
          <w:lang w:val="zh-CN"/>
        </w:rPr>
        <w:t>还注意到</w:t>
      </w:r>
      <w:r w:rsidRPr="00070546">
        <w:rPr>
          <w:rFonts w:hint="eastAsia"/>
          <w:sz w:val="24"/>
          <w:szCs w:val="24"/>
          <w:lang w:val="zh-CN"/>
        </w:rPr>
        <w:t>生物多样性公约</w:t>
      </w:r>
      <w:r w:rsidRPr="00070546">
        <w:rPr>
          <w:rStyle w:val="FootnoteReference"/>
          <w:sz w:val="24"/>
          <w:szCs w:val="24"/>
          <w:lang w:val="zh-CN"/>
        </w:rPr>
        <w:footnoteReference w:id="48"/>
      </w:r>
      <w:r w:rsidRPr="00070546">
        <w:rPr>
          <w:rFonts w:hint="eastAsia"/>
          <w:sz w:val="24"/>
          <w:szCs w:val="24"/>
          <w:lang w:val="zh-CN"/>
        </w:rPr>
        <w:t>执行秘书根据科学、技术和工艺咨询附属机构第</w:t>
      </w:r>
      <w:r w:rsidRPr="00070546">
        <w:rPr>
          <w:sz w:val="24"/>
          <w:szCs w:val="24"/>
        </w:rPr>
        <w:t>27/--</w:t>
      </w:r>
      <w:r w:rsidRPr="00070546">
        <w:rPr>
          <w:rFonts w:hint="eastAsia"/>
          <w:sz w:val="24"/>
          <w:szCs w:val="24"/>
          <w:lang w:val="zh-CN"/>
        </w:rPr>
        <w:t>号建议编写的一份包括代际平等和性别平等在内的基于人权的方法可能开展的额外工作的提案</w:t>
      </w:r>
      <w:r w:rsidRPr="00070546">
        <w:rPr>
          <w:rFonts w:hint="eastAsia"/>
          <w:sz w:val="24"/>
          <w:szCs w:val="24"/>
        </w:rPr>
        <w:t>，</w:t>
      </w:r>
    </w:p>
    <w:p w14:paraId="708D6E40" w14:textId="77777777" w:rsidR="00EC38F6" w:rsidRPr="00070546" w:rsidRDefault="00EC38F6">
      <w:pPr>
        <w:pStyle w:val="CBDNormalNoNumber"/>
        <w:tabs>
          <w:tab w:val="clear" w:pos="567"/>
        </w:tabs>
        <w:ind w:left="1134" w:firstLine="567"/>
        <w:rPr>
          <w:sz w:val="24"/>
          <w:szCs w:val="24"/>
        </w:rPr>
      </w:pPr>
      <w:r w:rsidRPr="00070546">
        <w:rPr>
          <w:sz w:val="24"/>
          <w:szCs w:val="24"/>
        </w:rPr>
        <w:t>8.</w:t>
      </w:r>
      <w:r w:rsidRPr="00070546">
        <w:rPr>
          <w:sz w:val="24"/>
          <w:szCs w:val="24"/>
        </w:rPr>
        <w:tab/>
      </w:r>
      <w:r w:rsidRPr="0045681A">
        <w:rPr>
          <w:rFonts w:ascii="KaiTi_GB2312" w:eastAsia="KaiTi_GB2312" w:hint="eastAsia"/>
          <w:sz w:val="24"/>
          <w:szCs w:val="24"/>
          <w:lang w:val="zh-CN"/>
        </w:rPr>
        <w:t>请</w:t>
      </w:r>
      <w:r w:rsidRPr="00070546">
        <w:rPr>
          <w:rFonts w:hint="eastAsia"/>
          <w:sz w:val="24"/>
          <w:szCs w:val="24"/>
          <w:lang w:val="zh-CN"/>
        </w:rPr>
        <w:t>生物多样性公约执行秘书最终拟定包括代际平等和性别平等在内的基于人权的方法可能开展的额外工作的提案</w:t>
      </w:r>
      <w:r w:rsidRPr="00070546">
        <w:rPr>
          <w:rFonts w:hint="eastAsia"/>
          <w:sz w:val="24"/>
          <w:szCs w:val="24"/>
        </w:rPr>
        <w:t>，</w:t>
      </w:r>
      <w:r w:rsidRPr="00070546">
        <w:rPr>
          <w:rFonts w:hint="eastAsia"/>
          <w:sz w:val="24"/>
          <w:szCs w:val="24"/>
          <w:lang w:val="zh-CN"/>
        </w:rPr>
        <w:t>同时考虑到联合国人权事务高级专员进行的关于基于人权的方法落实《昆明</w:t>
      </w:r>
      <w:r w:rsidRPr="00070546">
        <w:rPr>
          <w:sz w:val="24"/>
          <w:szCs w:val="24"/>
        </w:rPr>
        <w:t>-</w:t>
      </w:r>
      <w:r w:rsidRPr="00070546">
        <w:rPr>
          <w:rFonts w:hint="eastAsia"/>
          <w:sz w:val="24"/>
          <w:szCs w:val="24"/>
          <w:lang w:val="zh-CN"/>
        </w:rPr>
        <w:t>蒙特利尔全球生物多样性框架》的长期目标和行动目标的全球分析研究报告</w:t>
      </w:r>
      <w:r w:rsidRPr="00070546">
        <w:rPr>
          <w:rFonts w:hint="eastAsia"/>
          <w:sz w:val="24"/>
          <w:szCs w:val="24"/>
        </w:rPr>
        <w:t>，</w:t>
      </w:r>
      <w:r w:rsidRPr="00070546">
        <w:rPr>
          <w:rFonts w:hint="eastAsia"/>
          <w:sz w:val="24"/>
          <w:szCs w:val="24"/>
          <w:lang w:val="zh-CN"/>
        </w:rPr>
        <w:t>并将该提案提交缔约方大会第十八届会议之前举行的执行问题附属机构和生物多样性公约关于土著人民和地方社区的第</w:t>
      </w:r>
      <w:r w:rsidRPr="00070546">
        <w:rPr>
          <w:sz w:val="24"/>
          <w:szCs w:val="24"/>
        </w:rPr>
        <w:t>8</w:t>
      </w:r>
      <w:r w:rsidRPr="00070546">
        <w:rPr>
          <w:rFonts w:hint="eastAsia"/>
          <w:sz w:val="24"/>
          <w:szCs w:val="24"/>
        </w:rPr>
        <w:t>（</w:t>
      </w:r>
      <w:r w:rsidRPr="00070546">
        <w:rPr>
          <w:sz w:val="24"/>
          <w:szCs w:val="24"/>
        </w:rPr>
        <w:t>j</w:t>
      </w:r>
      <w:r w:rsidRPr="00070546">
        <w:rPr>
          <w:rFonts w:hint="eastAsia"/>
          <w:sz w:val="24"/>
          <w:szCs w:val="24"/>
        </w:rPr>
        <w:t>）</w:t>
      </w:r>
      <w:proofErr w:type="gramStart"/>
      <w:r w:rsidRPr="00070546">
        <w:rPr>
          <w:rFonts w:hint="eastAsia"/>
          <w:sz w:val="24"/>
          <w:szCs w:val="24"/>
          <w:lang w:val="zh-CN"/>
        </w:rPr>
        <w:t>条和其他条款的附属机构审议</w:t>
      </w:r>
      <w:r w:rsidRPr="00070546">
        <w:rPr>
          <w:rFonts w:hint="eastAsia"/>
          <w:sz w:val="24"/>
          <w:szCs w:val="24"/>
        </w:rPr>
        <w:t>；</w:t>
      </w:r>
      <w:proofErr w:type="gramEnd"/>
    </w:p>
    <w:p w14:paraId="708D6E41" w14:textId="77777777" w:rsidR="00EC38F6" w:rsidRPr="00070546" w:rsidRDefault="00EC38F6">
      <w:pPr>
        <w:pStyle w:val="CBDNormalNoNumber"/>
        <w:keepNext/>
        <w:tabs>
          <w:tab w:val="clear" w:pos="567"/>
        </w:tabs>
        <w:ind w:left="1134"/>
        <w:jc w:val="left"/>
        <w:rPr>
          <w:b/>
          <w:sz w:val="24"/>
          <w:szCs w:val="24"/>
        </w:rPr>
      </w:pPr>
      <w:r w:rsidRPr="00070546">
        <w:rPr>
          <w:b/>
          <w:sz w:val="24"/>
          <w:szCs w:val="24"/>
        </w:rPr>
        <w:t>E</w:t>
      </w:r>
      <w:r w:rsidRPr="00070546">
        <w:rPr>
          <w:b/>
          <w:sz w:val="24"/>
          <w:szCs w:val="24"/>
        </w:rPr>
        <w:br/>
      </w:r>
      <w:r w:rsidRPr="00070546">
        <w:rPr>
          <w:rFonts w:hint="eastAsia"/>
          <w:b/>
          <w:sz w:val="24"/>
          <w:szCs w:val="24"/>
          <w:lang w:val="zh-CN"/>
        </w:rPr>
        <w:t>《昆明</w:t>
      </w:r>
      <w:r w:rsidRPr="00070546">
        <w:rPr>
          <w:b/>
          <w:sz w:val="24"/>
          <w:szCs w:val="24"/>
        </w:rPr>
        <w:t>-</w:t>
      </w:r>
      <w:r w:rsidRPr="00070546">
        <w:rPr>
          <w:rFonts w:hint="eastAsia"/>
          <w:b/>
          <w:sz w:val="24"/>
          <w:szCs w:val="24"/>
          <w:lang w:val="zh-CN"/>
        </w:rPr>
        <w:t>蒙特利尔全球生物多样性框架》</w:t>
      </w:r>
      <w:r w:rsidRPr="00070546">
        <w:rPr>
          <w:b/>
          <w:sz w:val="24"/>
          <w:szCs w:val="24"/>
        </w:rPr>
        <w:t>C</w:t>
      </w:r>
      <w:r w:rsidRPr="00070546">
        <w:rPr>
          <w:rFonts w:hint="eastAsia"/>
          <w:b/>
          <w:sz w:val="24"/>
          <w:szCs w:val="24"/>
          <w:lang w:val="zh-CN"/>
        </w:rPr>
        <w:t>部分第</w:t>
      </w:r>
      <w:r w:rsidRPr="00070546">
        <w:rPr>
          <w:b/>
          <w:sz w:val="24"/>
          <w:szCs w:val="24"/>
        </w:rPr>
        <w:t>7</w:t>
      </w:r>
      <w:r w:rsidRPr="00070546">
        <w:rPr>
          <w:rFonts w:hint="eastAsia"/>
          <w:b/>
          <w:sz w:val="24"/>
          <w:szCs w:val="24"/>
        </w:rPr>
        <w:t>（</w:t>
      </w:r>
      <w:r w:rsidRPr="00070546">
        <w:rPr>
          <w:b/>
          <w:sz w:val="24"/>
          <w:szCs w:val="24"/>
        </w:rPr>
        <w:t>b</w:t>
      </w:r>
      <w:r w:rsidRPr="00070546">
        <w:rPr>
          <w:rFonts w:hint="eastAsia"/>
          <w:b/>
          <w:sz w:val="24"/>
          <w:szCs w:val="24"/>
        </w:rPr>
        <w:t>）</w:t>
      </w:r>
      <w:r w:rsidRPr="00070546">
        <w:rPr>
          <w:rFonts w:hint="eastAsia"/>
          <w:b/>
          <w:sz w:val="24"/>
          <w:szCs w:val="24"/>
          <w:lang w:val="zh-CN"/>
        </w:rPr>
        <w:t>段所述不同价值体系</w:t>
      </w:r>
    </w:p>
    <w:p w14:paraId="708D6E42" w14:textId="77777777" w:rsidR="00EC38F6" w:rsidRPr="00070546" w:rsidRDefault="00EC38F6">
      <w:pPr>
        <w:pStyle w:val="CBDNormalNoNumber"/>
        <w:tabs>
          <w:tab w:val="clear" w:pos="567"/>
        </w:tabs>
        <w:ind w:left="1134" w:firstLine="567"/>
        <w:rPr>
          <w:i/>
          <w:sz w:val="24"/>
          <w:szCs w:val="24"/>
        </w:rPr>
      </w:pPr>
      <w:r w:rsidRPr="00070546">
        <w:rPr>
          <w:rFonts w:eastAsia="KaiTi_GB2312" w:hint="eastAsia"/>
          <w:sz w:val="24"/>
          <w:szCs w:val="24"/>
          <w:lang w:val="zh-CN"/>
        </w:rPr>
        <w:t>缔约方大会</w:t>
      </w:r>
      <w:r w:rsidRPr="00070546">
        <w:rPr>
          <w:rFonts w:hint="eastAsia"/>
          <w:sz w:val="24"/>
          <w:szCs w:val="24"/>
        </w:rPr>
        <w:t>，</w:t>
      </w:r>
    </w:p>
    <w:p w14:paraId="708D6E43" w14:textId="77777777" w:rsidR="00EC38F6" w:rsidRPr="00070546" w:rsidRDefault="00EC38F6">
      <w:pPr>
        <w:pStyle w:val="CBDNormalNoNumber"/>
        <w:tabs>
          <w:tab w:val="clear" w:pos="567"/>
        </w:tabs>
        <w:ind w:left="1134" w:firstLine="567"/>
        <w:rPr>
          <w:sz w:val="24"/>
          <w:szCs w:val="24"/>
        </w:rPr>
      </w:pPr>
      <w:r w:rsidRPr="00070546">
        <w:rPr>
          <w:rFonts w:eastAsia="KaiTi_GB2312" w:hint="eastAsia"/>
          <w:sz w:val="24"/>
          <w:szCs w:val="24"/>
          <w:lang w:val="zh-CN"/>
        </w:rPr>
        <w:lastRenderedPageBreak/>
        <w:t>回顾</w:t>
      </w:r>
      <w:r w:rsidRPr="00070546">
        <w:rPr>
          <w:rFonts w:hint="eastAsia"/>
          <w:sz w:val="24"/>
          <w:szCs w:val="24"/>
          <w:lang w:val="zh-CN"/>
        </w:rPr>
        <w:t>缔约方大会在《昆明</w:t>
      </w:r>
      <w:r w:rsidRPr="00070546">
        <w:rPr>
          <w:sz w:val="24"/>
          <w:szCs w:val="24"/>
        </w:rPr>
        <w:t>-</w:t>
      </w:r>
      <w:r w:rsidRPr="00070546">
        <w:rPr>
          <w:rFonts w:hint="eastAsia"/>
          <w:sz w:val="24"/>
          <w:szCs w:val="24"/>
          <w:lang w:val="zh-CN"/>
        </w:rPr>
        <w:t>蒙特利尔全球生物多样性框架》</w:t>
      </w:r>
      <w:r w:rsidRPr="00070546">
        <w:rPr>
          <w:rStyle w:val="FootnoteReference"/>
          <w:sz w:val="24"/>
          <w:szCs w:val="24"/>
          <w:lang w:val="zh-CN"/>
        </w:rPr>
        <w:footnoteReference w:id="49"/>
      </w:r>
      <w:r w:rsidRPr="00070546">
        <w:rPr>
          <w:sz w:val="24"/>
          <w:szCs w:val="24"/>
        </w:rPr>
        <w:t>C</w:t>
      </w:r>
      <w:r w:rsidRPr="00070546">
        <w:rPr>
          <w:rFonts w:hint="eastAsia"/>
          <w:sz w:val="24"/>
          <w:szCs w:val="24"/>
          <w:lang w:val="zh-CN"/>
        </w:rPr>
        <w:t>部分第</w:t>
      </w:r>
      <w:r w:rsidRPr="00070546">
        <w:rPr>
          <w:sz w:val="24"/>
          <w:szCs w:val="24"/>
        </w:rPr>
        <w:t>7</w:t>
      </w:r>
      <w:r w:rsidRPr="00070546">
        <w:rPr>
          <w:rFonts w:hint="eastAsia"/>
          <w:sz w:val="24"/>
          <w:szCs w:val="24"/>
        </w:rPr>
        <w:t>（</w:t>
      </w:r>
      <w:r w:rsidRPr="00070546">
        <w:rPr>
          <w:sz w:val="24"/>
          <w:szCs w:val="24"/>
        </w:rPr>
        <w:t>b</w:t>
      </w:r>
      <w:r w:rsidRPr="00070546">
        <w:rPr>
          <w:rFonts w:hint="eastAsia"/>
          <w:sz w:val="24"/>
          <w:szCs w:val="24"/>
        </w:rPr>
        <w:t>）</w:t>
      </w:r>
      <w:r w:rsidRPr="00070546">
        <w:rPr>
          <w:rFonts w:hint="eastAsia"/>
          <w:sz w:val="24"/>
          <w:szCs w:val="24"/>
          <w:lang w:val="zh-CN"/>
        </w:rPr>
        <w:t>段确认在其实施过程中应考虑到不同的价值体系</w:t>
      </w:r>
      <w:r w:rsidRPr="00070546">
        <w:rPr>
          <w:rFonts w:hint="eastAsia"/>
          <w:sz w:val="24"/>
          <w:szCs w:val="24"/>
        </w:rPr>
        <w:t>，</w:t>
      </w:r>
      <w:r w:rsidRPr="00070546">
        <w:rPr>
          <w:rFonts w:hint="eastAsia"/>
          <w:sz w:val="24"/>
          <w:szCs w:val="24"/>
          <w:lang w:val="zh-CN"/>
        </w:rPr>
        <w:t>并在《昆蒙框架》的行动目标</w:t>
      </w:r>
      <w:r w:rsidRPr="00070546">
        <w:rPr>
          <w:sz w:val="24"/>
          <w:szCs w:val="24"/>
        </w:rPr>
        <w:t>14</w:t>
      </w:r>
      <w:r w:rsidRPr="00070546">
        <w:rPr>
          <w:rFonts w:hint="eastAsia"/>
          <w:sz w:val="24"/>
          <w:szCs w:val="24"/>
          <w:lang w:val="zh-CN"/>
        </w:rPr>
        <w:t>呼吁将生物多样性的多种价值观纳入决策过程</w:t>
      </w:r>
      <w:r w:rsidRPr="00070546">
        <w:rPr>
          <w:rFonts w:hint="eastAsia"/>
          <w:sz w:val="24"/>
          <w:szCs w:val="24"/>
        </w:rPr>
        <w:t>，</w:t>
      </w:r>
    </w:p>
    <w:p w14:paraId="708D6E44" w14:textId="77777777" w:rsidR="00EC38F6" w:rsidRPr="00070546" w:rsidRDefault="00EC38F6">
      <w:pPr>
        <w:pStyle w:val="CBDNormalNoNumber"/>
        <w:tabs>
          <w:tab w:val="clear" w:pos="567"/>
        </w:tabs>
        <w:ind w:left="1134" w:firstLine="567"/>
        <w:rPr>
          <w:sz w:val="24"/>
          <w:szCs w:val="24"/>
        </w:rPr>
      </w:pPr>
      <w:r w:rsidRPr="00070546">
        <w:rPr>
          <w:rFonts w:eastAsia="KaiTi_GB2312" w:hint="eastAsia"/>
          <w:sz w:val="24"/>
          <w:szCs w:val="24"/>
          <w:lang w:val="zh-CN"/>
        </w:rPr>
        <w:t>还回顾</w:t>
      </w:r>
      <w:r w:rsidRPr="00070546">
        <w:rPr>
          <w:sz w:val="24"/>
          <w:szCs w:val="24"/>
        </w:rPr>
        <w:t>2024</w:t>
      </w:r>
      <w:r w:rsidRPr="00070546">
        <w:rPr>
          <w:rFonts w:hint="eastAsia"/>
          <w:sz w:val="24"/>
          <w:szCs w:val="24"/>
          <w:lang w:val="zh-CN"/>
        </w:rPr>
        <w:t>年</w:t>
      </w:r>
      <w:r w:rsidRPr="00070546">
        <w:rPr>
          <w:sz w:val="24"/>
          <w:szCs w:val="24"/>
        </w:rPr>
        <w:t>10</w:t>
      </w:r>
      <w:r w:rsidRPr="00070546">
        <w:rPr>
          <w:rFonts w:hint="eastAsia"/>
          <w:sz w:val="24"/>
          <w:szCs w:val="24"/>
          <w:lang w:val="zh-CN"/>
        </w:rPr>
        <w:t>月</w:t>
      </w:r>
      <w:r w:rsidRPr="00070546">
        <w:rPr>
          <w:sz w:val="24"/>
          <w:szCs w:val="24"/>
        </w:rPr>
        <w:t>30</w:t>
      </w:r>
      <w:r w:rsidRPr="00070546">
        <w:rPr>
          <w:rFonts w:hint="eastAsia"/>
          <w:sz w:val="24"/>
          <w:szCs w:val="24"/>
          <w:lang w:val="zh-CN"/>
        </w:rPr>
        <w:t>日第</w:t>
      </w:r>
      <w:hyperlink r:id="rId38" w:history="1">
        <w:r w:rsidRPr="00070546">
          <w:rPr>
            <w:rStyle w:val="Hyperlink"/>
            <w:sz w:val="24"/>
            <w:szCs w:val="24"/>
          </w:rPr>
          <w:t>16/4</w:t>
        </w:r>
      </w:hyperlink>
      <w:r w:rsidRPr="00070546">
        <w:rPr>
          <w:rFonts w:hint="eastAsia"/>
          <w:sz w:val="24"/>
          <w:szCs w:val="24"/>
          <w:lang w:val="zh-CN"/>
        </w:rPr>
        <w:t>号决定通过的至</w:t>
      </w:r>
      <w:r w:rsidRPr="00070546">
        <w:rPr>
          <w:sz w:val="24"/>
          <w:szCs w:val="24"/>
        </w:rPr>
        <w:t>2030</w:t>
      </w:r>
      <w:r w:rsidRPr="00070546">
        <w:rPr>
          <w:rFonts w:hint="eastAsia"/>
          <w:sz w:val="24"/>
          <w:szCs w:val="24"/>
          <w:lang w:val="zh-CN"/>
        </w:rPr>
        <w:t>年《生物多样性公约》关于土著人民和地方社区的第</w:t>
      </w:r>
      <w:r w:rsidRPr="00070546">
        <w:rPr>
          <w:sz w:val="24"/>
          <w:szCs w:val="24"/>
        </w:rPr>
        <w:t>8</w:t>
      </w:r>
      <w:r w:rsidRPr="00070546">
        <w:rPr>
          <w:rFonts w:hint="eastAsia"/>
          <w:sz w:val="24"/>
          <w:szCs w:val="24"/>
        </w:rPr>
        <w:t>（</w:t>
      </w:r>
      <w:r w:rsidRPr="00070546">
        <w:rPr>
          <w:sz w:val="24"/>
          <w:szCs w:val="24"/>
        </w:rPr>
        <w:t>j</w:t>
      </w:r>
      <w:r w:rsidRPr="00070546">
        <w:rPr>
          <w:rFonts w:hint="eastAsia"/>
          <w:sz w:val="24"/>
          <w:szCs w:val="24"/>
        </w:rPr>
        <w:t>）</w:t>
      </w:r>
      <w:r w:rsidRPr="00070546">
        <w:rPr>
          <w:rFonts w:hint="eastAsia"/>
          <w:sz w:val="24"/>
          <w:szCs w:val="24"/>
          <w:lang w:val="zh-CN"/>
        </w:rPr>
        <w:t>条和其他条款的工作方案和</w:t>
      </w:r>
      <w:r w:rsidRPr="00070546">
        <w:rPr>
          <w:sz w:val="24"/>
          <w:szCs w:val="24"/>
        </w:rPr>
        <w:t>2022</w:t>
      </w:r>
      <w:r w:rsidRPr="00070546">
        <w:rPr>
          <w:rFonts w:hint="eastAsia"/>
          <w:sz w:val="24"/>
          <w:szCs w:val="24"/>
          <w:lang w:val="zh-CN"/>
        </w:rPr>
        <w:t>年</w:t>
      </w:r>
      <w:r w:rsidRPr="00070546">
        <w:rPr>
          <w:sz w:val="24"/>
          <w:szCs w:val="24"/>
        </w:rPr>
        <w:t>12</w:t>
      </w:r>
      <w:r w:rsidRPr="00070546">
        <w:rPr>
          <w:rFonts w:hint="eastAsia"/>
          <w:sz w:val="24"/>
          <w:szCs w:val="24"/>
          <w:lang w:val="zh-CN"/>
        </w:rPr>
        <w:t>月</w:t>
      </w:r>
      <w:r w:rsidRPr="00070546">
        <w:rPr>
          <w:sz w:val="24"/>
          <w:szCs w:val="24"/>
        </w:rPr>
        <w:t>10</w:t>
      </w:r>
      <w:r w:rsidRPr="00070546">
        <w:rPr>
          <w:rFonts w:hint="eastAsia"/>
          <w:sz w:val="24"/>
          <w:szCs w:val="24"/>
          <w:lang w:val="zh-CN"/>
        </w:rPr>
        <w:t>日第</w:t>
      </w:r>
      <w:hyperlink r:id="rId39" w:history="1">
        <w:r w:rsidRPr="00070546">
          <w:rPr>
            <w:rStyle w:val="Hyperlink"/>
            <w:sz w:val="24"/>
            <w:szCs w:val="24"/>
          </w:rPr>
          <w:t>15/22</w:t>
        </w:r>
      </w:hyperlink>
      <w:r w:rsidRPr="00070546">
        <w:rPr>
          <w:rFonts w:hint="eastAsia"/>
          <w:sz w:val="24"/>
          <w:szCs w:val="24"/>
          <w:lang w:val="zh-CN"/>
        </w:rPr>
        <w:t>号决定附件所载关于生物多样性与文化多样性之间联系的共同工作方案的相关要素和任务</w:t>
      </w:r>
      <w:r w:rsidRPr="00070546">
        <w:rPr>
          <w:rFonts w:hint="eastAsia"/>
          <w:sz w:val="24"/>
          <w:szCs w:val="24"/>
        </w:rPr>
        <w:t>，</w:t>
      </w:r>
      <w:r w:rsidRPr="00070546">
        <w:rPr>
          <w:rFonts w:hint="eastAsia"/>
          <w:sz w:val="24"/>
          <w:szCs w:val="24"/>
          <w:lang w:val="zh-CN"/>
        </w:rPr>
        <w:t>它们均支持在实施《昆明框架》过程中适用不同的价值体系</w:t>
      </w:r>
      <w:r w:rsidRPr="00070546">
        <w:rPr>
          <w:rFonts w:hint="eastAsia"/>
          <w:sz w:val="24"/>
          <w:szCs w:val="24"/>
        </w:rPr>
        <w:t>，</w:t>
      </w:r>
    </w:p>
    <w:p w14:paraId="708D6E45" w14:textId="77777777" w:rsidR="00EC38F6" w:rsidRPr="00070546" w:rsidRDefault="00EC38F6">
      <w:pPr>
        <w:pStyle w:val="CBDNormalNoNumber"/>
        <w:tabs>
          <w:tab w:val="clear" w:pos="567"/>
        </w:tabs>
        <w:ind w:left="1134" w:firstLine="567"/>
        <w:rPr>
          <w:sz w:val="24"/>
          <w:szCs w:val="24"/>
        </w:rPr>
      </w:pPr>
      <w:r w:rsidRPr="00070546">
        <w:rPr>
          <w:rFonts w:eastAsia="KaiTi_GB2312" w:hint="eastAsia"/>
          <w:sz w:val="24"/>
          <w:szCs w:val="24"/>
          <w:lang w:val="zh-CN"/>
        </w:rPr>
        <w:t>进一步回顾</w:t>
      </w:r>
      <w:r w:rsidRPr="00070546">
        <w:rPr>
          <w:rFonts w:hint="eastAsia"/>
          <w:sz w:val="24"/>
          <w:szCs w:val="24"/>
          <w:lang w:val="zh-CN"/>
        </w:rPr>
        <w:t>生物多样性和生态系统服务政府间科学政策平台的《</w:t>
      </w:r>
      <w:r w:rsidRPr="00070546">
        <w:rPr>
          <w:rFonts w:eastAsia="KaiTi_GB2312" w:hint="eastAsia"/>
          <w:sz w:val="24"/>
          <w:szCs w:val="24"/>
          <w:lang w:val="zh-CN"/>
        </w:rPr>
        <w:t>关于多元价值观和自然估值方法评估报告</w:t>
      </w:r>
      <w:r w:rsidRPr="00070546">
        <w:rPr>
          <w:rFonts w:hint="eastAsia"/>
          <w:sz w:val="24"/>
          <w:szCs w:val="24"/>
          <w:lang w:val="zh-CN"/>
        </w:rPr>
        <w:t>》</w:t>
      </w:r>
      <w:r w:rsidRPr="00070546">
        <w:rPr>
          <w:rFonts w:hint="eastAsia"/>
          <w:sz w:val="24"/>
          <w:szCs w:val="24"/>
        </w:rPr>
        <w:t>，</w:t>
      </w:r>
    </w:p>
    <w:p w14:paraId="708D6E46" w14:textId="77777777" w:rsidR="00EC38F6" w:rsidRPr="00070546" w:rsidRDefault="00EC38F6">
      <w:pPr>
        <w:pStyle w:val="CBDNormalNoNumber"/>
        <w:tabs>
          <w:tab w:val="clear" w:pos="567"/>
        </w:tabs>
        <w:ind w:left="1134" w:firstLine="567"/>
        <w:rPr>
          <w:sz w:val="24"/>
          <w:szCs w:val="24"/>
        </w:rPr>
      </w:pPr>
      <w:r w:rsidRPr="00070546">
        <w:rPr>
          <w:sz w:val="24"/>
          <w:szCs w:val="24"/>
        </w:rPr>
        <w:t>9.</w:t>
      </w:r>
      <w:r w:rsidRPr="00070546">
        <w:rPr>
          <w:sz w:val="24"/>
          <w:szCs w:val="24"/>
        </w:rPr>
        <w:tab/>
      </w:r>
      <w:r w:rsidRPr="00070546">
        <w:rPr>
          <w:rFonts w:eastAsia="KaiTi_GB2312" w:hint="eastAsia"/>
          <w:sz w:val="24"/>
          <w:szCs w:val="24"/>
          <w:lang w:val="zh-CN"/>
        </w:rPr>
        <w:t>请</w:t>
      </w:r>
      <w:r w:rsidRPr="00070546">
        <w:rPr>
          <w:rFonts w:hint="eastAsia"/>
          <w:sz w:val="24"/>
          <w:szCs w:val="24"/>
          <w:lang w:val="zh-CN"/>
        </w:rPr>
        <w:t>生物多样性公约执行秘书在资源允许的情况下</w:t>
      </w:r>
      <w:r w:rsidRPr="00070546">
        <w:rPr>
          <w:rFonts w:hint="eastAsia"/>
          <w:sz w:val="24"/>
          <w:szCs w:val="24"/>
        </w:rPr>
        <w:t>，</w:t>
      </w:r>
      <w:r w:rsidRPr="00070546">
        <w:rPr>
          <w:rFonts w:hint="eastAsia"/>
          <w:sz w:val="24"/>
          <w:szCs w:val="24"/>
          <w:lang w:val="zh-CN"/>
        </w:rPr>
        <w:t>促进缔约方、土著人民和地方社区以及相关利益攸关方之间交流知识、经验和良好做法</w:t>
      </w:r>
      <w:r w:rsidRPr="00070546">
        <w:rPr>
          <w:rFonts w:hint="eastAsia"/>
          <w:sz w:val="24"/>
          <w:szCs w:val="24"/>
        </w:rPr>
        <w:t>，</w:t>
      </w:r>
      <w:r w:rsidRPr="00070546">
        <w:rPr>
          <w:rFonts w:hint="eastAsia"/>
          <w:sz w:val="24"/>
          <w:szCs w:val="24"/>
          <w:lang w:val="zh-CN"/>
        </w:rPr>
        <w:t>包括进行对话和设立学习平台</w:t>
      </w:r>
      <w:r w:rsidRPr="00070546">
        <w:rPr>
          <w:rFonts w:hint="eastAsia"/>
          <w:sz w:val="24"/>
          <w:szCs w:val="24"/>
        </w:rPr>
        <w:t>，</w:t>
      </w:r>
      <w:r w:rsidRPr="00070546">
        <w:rPr>
          <w:rFonts w:hint="eastAsia"/>
          <w:sz w:val="24"/>
          <w:szCs w:val="24"/>
          <w:lang w:val="zh-CN"/>
        </w:rPr>
        <w:t>支持将多元价值观和知识体系有效纳入《昆明</w:t>
      </w:r>
      <w:r w:rsidRPr="00070546">
        <w:rPr>
          <w:sz w:val="24"/>
          <w:szCs w:val="24"/>
        </w:rPr>
        <w:t>-</w:t>
      </w:r>
      <w:r w:rsidRPr="00070546">
        <w:rPr>
          <w:rFonts w:hint="eastAsia"/>
          <w:sz w:val="24"/>
          <w:szCs w:val="24"/>
          <w:lang w:val="zh-CN"/>
        </w:rPr>
        <w:t>蒙特利尔全球生物多样性框架》的实施。</w:t>
      </w:r>
      <w:r w:rsidRPr="00070546">
        <w:rPr>
          <w:sz w:val="24"/>
          <w:szCs w:val="24"/>
        </w:rPr>
        <w:t xml:space="preserve"> </w:t>
      </w:r>
    </w:p>
    <w:p w14:paraId="708D6E47" w14:textId="77777777" w:rsidR="00EC38F6" w:rsidRPr="00070546" w:rsidRDefault="00EC38F6">
      <w:pPr>
        <w:jc w:val="center"/>
        <w:rPr>
          <w:sz w:val="24"/>
          <w:szCs w:val="24"/>
        </w:rPr>
      </w:pPr>
      <w:r w:rsidRPr="00070546">
        <w:rPr>
          <w:sz w:val="24"/>
          <w:szCs w:val="24"/>
        </w:rPr>
        <w:t>__________</w:t>
      </w:r>
    </w:p>
    <w:sectPr w:rsidR="00EC38F6" w:rsidRPr="00070546" w:rsidSect="00EC38F6">
      <w:footnotePr>
        <w:numRestart w:val="eachSect"/>
      </w:foot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D6E4D" w14:textId="77777777" w:rsidR="00EC38F6" w:rsidRDefault="00EC38F6">
      <w:pPr>
        <w:rPr>
          <w:szCs w:val="24"/>
        </w:rPr>
      </w:pPr>
      <w:r>
        <w:rPr>
          <w:szCs w:val="24"/>
        </w:rPr>
        <w:separator/>
      </w:r>
    </w:p>
  </w:endnote>
  <w:endnote w:type="continuationSeparator" w:id="0">
    <w:p w14:paraId="708D6E4E" w14:textId="77777777" w:rsidR="00EC38F6" w:rsidRDefault="00EC38F6">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Arial"/>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w:altName w:val="Arial"/>
    <w:charset w:val="00"/>
    <w:family w:val="swiss"/>
    <w:pitch w:val="variable"/>
    <w:sig w:usb0="80000287" w:usb1="00000000" w:usb2="00000000" w:usb3="00000000" w:csb0="0000000F" w:csb1="00000000"/>
  </w:font>
  <w:font w:name="KaiTi">
    <w:altName w:val="楷体"/>
    <w:charset w:val="86"/>
    <w:family w:val="modern"/>
    <w:pitch w:val="fixed"/>
    <w:sig w:usb0="800002BF" w:usb1="38CF7CFA" w:usb2="00000016" w:usb3="00000000" w:csb0="00040001" w:csb1="00000000"/>
  </w:font>
  <w:font w:name="KaiTi_GB2312">
    <w:altName w:val="Microsoft YaHei"/>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D6E51" w14:textId="77777777" w:rsidR="00EC38F6" w:rsidRDefault="00EC38F6">
    <w:pPr>
      <w:pStyle w:val="Foo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r>
      <w:rPr>
        <w:szCs w:val="24"/>
      </w:rPr>
      <w:t>/</w:t>
    </w:r>
    <w:fldSimple w:instr=" NUMPAGES \* MERGEFORMAT ">
      <w:r>
        <w:rPr>
          <w:noProof/>
          <w:szCs w:val="24"/>
        </w:rPr>
        <w:t>16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D6E52" w14:textId="77777777" w:rsidR="00EC38F6" w:rsidRDefault="00EC38F6">
    <w:pPr>
      <w:pStyle w:val="CBDFooter"/>
      <w:jc w:val="right"/>
      <w:rPr>
        <w:szCs w:val="24"/>
      </w:rPr>
    </w:pPr>
    <w:r>
      <w:rPr>
        <w:szCs w:val="24"/>
      </w:rPr>
      <w:fldChar w:fldCharType="begin"/>
    </w:r>
    <w:r>
      <w:rPr>
        <w:szCs w:val="24"/>
      </w:rPr>
      <w:instrText xml:space="preserve"> PAGE \* MERGEFORMAT </w:instrText>
    </w:r>
    <w:r>
      <w:rPr>
        <w:szCs w:val="24"/>
      </w:rPr>
      <w:fldChar w:fldCharType="separate"/>
    </w:r>
    <w:r>
      <w:rPr>
        <w:noProof/>
        <w:szCs w:val="24"/>
      </w:rPr>
      <w:t>3</w:t>
    </w:r>
    <w:r>
      <w:rPr>
        <w:szCs w:val="24"/>
      </w:rPr>
      <w:fldChar w:fldCharType="end"/>
    </w:r>
    <w:r>
      <w:rPr>
        <w:szCs w:val="24"/>
      </w:rPr>
      <w:t>/</w:t>
    </w:r>
    <w:fldSimple w:instr=" NUMPAGES \* MERGEFORMAT ">
      <w:r>
        <w:rPr>
          <w:noProof/>
          <w:szCs w:val="24"/>
        </w:rPr>
        <w:t>16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D6E4B" w14:textId="77777777" w:rsidR="00EC38F6" w:rsidRDefault="00EC38F6">
      <w:pPr>
        <w:rPr>
          <w:szCs w:val="24"/>
        </w:rPr>
      </w:pPr>
      <w:r>
        <w:rPr>
          <w:szCs w:val="24"/>
        </w:rPr>
        <w:separator/>
      </w:r>
    </w:p>
  </w:footnote>
  <w:footnote w:type="continuationSeparator" w:id="0">
    <w:p w14:paraId="708D6E4C" w14:textId="77777777" w:rsidR="00EC38F6" w:rsidRDefault="00EC38F6">
      <w:pPr>
        <w:rPr>
          <w:szCs w:val="24"/>
        </w:rPr>
      </w:pPr>
      <w:r>
        <w:rPr>
          <w:szCs w:val="24"/>
        </w:rPr>
        <w:continuationSeparator/>
      </w:r>
    </w:p>
  </w:footnote>
  <w:footnote w:id="1">
    <w:p w14:paraId="708D6E53" w14:textId="77777777" w:rsidR="00EC38F6" w:rsidRDefault="00EC38F6">
      <w:pPr>
        <w:pStyle w:val="FootnoteText"/>
      </w:pPr>
      <w:r w:rsidRPr="006F13F4">
        <w:rPr>
          <w:rStyle w:val="FootnoteReference"/>
          <w:sz w:val="20"/>
        </w:rPr>
        <w:t>*</w:t>
      </w:r>
      <w:r w:rsidRPr="006F13F4">
        <w:rPr>
          <w:sz w:val="20"/>
        </w:rPr>
        <w:t xml:space="preserve"> </w:t>
      </w:r>
      <w:hyperlink r:id="rId1" w:history="1">
        <w:r w:rsidRPr="006F13F4">
          <w:rPr>
            <w:rStyle w:val="Hyperlink"/>
            <w:sz w:val="20"/>
            <w:lang w:val="zh-CN"/>
          </w:rPr>
          <w:t>CBD/SBSTTA/27/1</w:t>
        </w:r>
      </w:hyperlink>
      <w:r w:rsidRPr="006F13F4">
        <w:rPr>
          <w:rFonts w:hAnsi="SimSun" w:hint="eastAsia"/>
          <w:sz w:val="20"/>
          <w:lang w:val="zh-CN"/>
        </w:rPr>
        <w:t>。</w:t>
      </w:r>
    </w:p>
  </w:footnote>
  <w:footnote w:id="2">
    <w:p w14:paraId="708D6E54" w14:textId="77777777" w:rsidR="00EC38F6" w:rsidRDefault="00EC38F6">
      <w:pPr>
        <w:pStyle w:val="FootnoteText"/>
      </w:pPr>
      <w:r w:rsidRPr="006F13F4">
        <w:rPr>
          <w:rStyle w:val="FootnoteReference"/>
          <w:sz w:val="20"/>
        </w:rPr>
        <w:footnoteRef/>
      </w:r>
      <w:r w:rsidRPr="006F13F4">
        <w:rPr>
          <w:sz w:val="20"/>
        </w:rPr>
        <w:t xml:space="preserve"> </w:t>
      </w:r>
      <w:hyperlink r:id="rId2" w:history="1">
        <w:r w:rsidRPr="006F13F4">
          <w:rPr>
            <w:rStyle w:val="Hyperlink"/>
            <w:sz w:val="20"/>
            <w:lang w:val="zh-CN"/>
          </w:rPr>
          <w:t>CBD/SBSTTA/25/INF/1</w:t>
        </w:r>
      </w:hyperlink>
      <w:r w:rsidRPr="006F13F4">
        <w:rPr>
          <w:rFonts w:hAnsi="SimSun" w:hint="eastAsia"/>
          <w:sz w:val="20"/>
          <w:lang w:val="zh-CN"/>
        </w:rPr>
        <w:t>。亦见</w:t>
      </w:r>
      <w:hyperlink r:id="rId3">
        <w:r w:rsidRPr="006F13F4">
          <w:rPr>
            <w:rStyle w:val="Hyperlink"/>
            <w:sz w:val="20"/>
            <w:lang w:val="zh-CN"/>
          </w:rPr>
          <w:t>CBD/SBSTTA/25/4</w:t>
        </w:r>
      </w:hyperlink>
      <w:r w:rsidRPr="006F13F4">
        <w:rPr>
          <w:rFonts w:hAnsi="SimSun" w:hint="eastAsia"/>
          <w:sz w:val="20"/>
          <w:lang w:val="zh-CN"/>
        </w:rPr>
        <w:t>。</w:t>
      </w:r>
    </w:p>
  </w:footnote>
  <w:footnote w:id="3">
    <w:p w14:paraId="708D6E55" w14:textId="77777777" w:rsidR="00EC38F6" w:rsidRDefault="00EC38F6">
      <w:pPr>
        <w:pStyle w:val="FootnoteText"/>
      </w:pPr>
      <w:r w:rsidRPr="006F13F4">
        <w:rPr>
          <w:rStyle w:val="FootnoteReference"/>
          <w:sz w:val="20"/>
        </w:rPr>
        <w:footnoteRef/>
      </w:r>
      <w:r w:rsidRPr="006F13F4">
        <w:rPr>
          <w:sz w:val="20"/>
        </w:rPr>
        <w:t xml:space="preserve"> </w:t>
      </w:r>
      <w:hyperlink r:id="rId4" w:history="1">
        <w:r w:rsidRPr="006F13F4">
          <w:rPr>
            <w:rStyle w:val="Hyperlink"/>
            <w:sz w:val="20"/>
            <w:lang w:val="zh-CN"/>
          </w:rPr>
          <w:t>CBD/SBSTTA/26/3</w:t>
        </w:r>
      </w:hyperlink>
      <w:r w:rsidRPr="006F13F4">
        <w:rPr>
          <w:rFonts w:hAnsi="SimSun" w:hint="eastAsia"/>
          <w:sz w:val="20"/>
          <w:lang w:val="zh-CN"/>
        </w:rPr>
        <w:t>号文件、</w:t>
      </w:r>
      <w:hyperlink r:id="rId5" w:history="1">
        <w:r w:rsidRPr="006F13F4">
          <w:rPr>
            <w:rStyle w:val="Hyperlink"/>
            <w:sz w:val="20"/>
            <w:lang w:val="zh-CN"/>
          </w:rPr>
          <w:t>CBD/SBSTTA/26/INF/15</w:t>
        </w:r>
      </w:hyperlink>
      <w:r w:rsidRPr="006F13F4">
        <w:rPr>
          <w:rFonts w:hAnsi="SimSun" w:hint="eastAsia"/>
          <w:sz w:val="20"/>
          <w:lang w:val="zh-CN"/>
        </w:rPr>
        <w:t>号文件和</w:t>
      </w:r>
      <w:hyperlink r:id="rId6" w:history="1">
        <w:r w:rsidRPr="006F13F4">
          <w:rPr>
            <w:rStyle w:val="Hyperlink"/>
            <w:sz w:val="20"/>
            <w:lang w:val="zh-CN"/>
          </w:rPr>
          <w:t>CBD/SBSTTA/26/INF/16/Rev.1</w:t>
        </w:r>
      </w:hyperlink>
      <w:r w:rsidRPr="006F13F4">
        <w:rPr>
          <w:rFonts w:hAnsi="SimSun" w:hint="eastAsia"/>
          <w:sz w:val="20"/>
          <w:lang w:val="zh-CN"/>
        </w:rPr>
        <w:t>号文件。</w:t>
      </w:r>
    </w:p>
  </w:footnote>
  <w:footnote w:id="4">
    <w:p w14:paraId="708D6E56"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收到</w:t>
      </w:r>
      <w:r w:rsidRPr="006F13F4">
        <w:rPr>
          <w:sz w:val="20"/>
          <w:lang w:val="zh-CN"/>
        </w:rPr>
        <w:t>11</w:t>
      </w:r>
      <w:r w:rsidRPr="006F13F4">
        <w:rPr>
          <w:rFonts w:hAnsi="SimSun" w:hint="eastAsia"/>
          <w:sz w:val="20"/>
          <w:lang w:val="zh-CN"/>
        </w:rPr>
        <w:t>个缔约方（巴西、加拿大、哥伦比亚、厄瓜多尔、欧洲联盟、日本、马绍尔群岛、墨西哥、尼日尔、秘鲁和南非）和</w:t>
      </w:r>
      <w:r w:rsidRPr="006F13F4">
        <w:rPr>
          <w:sz w:val="20"/>
          <w:lang w:val="zh-CN"/>
        </w:rPr>
        <w:t>19</w:t>
      </w:r>
      <w:r w:rsidRPr="006F13F4">
        <w:rPr>
          <w:rFonts w:hAnsi="SimSun" w:hint="eastAsia"/>
          <w:sz w:val="20"/>
          <w:lang w:val="zh-CN"/>
        </w:rPr>
        <w:t>个观察员（生物愿景基金会、</w:t>
      </w:r>
      <w:r w:rsidRPr="006F13F4">
        <w:rPr>
          <w:rFonts w:hAnsi="SimSun" w:hint="eastAsia"/>
          <w:color w:val="000000"/>
          <w:sz w:val="20"/>
          <w:lang w:val="zh-CN"/>
        </w:rPr>
        <w:t>保护野生动物迁徙物种公约</w:t>
      </w:r>
      <w:r w:rsidRPr="006F13F4">
        <w:rPr>
          <w:rFonts w:hAnsi="SimSun" w:hint="eastAsia"/>
          <w:sz w:val="20"/>
          <w:lang w:val="zh-CN"/>
        </w:rPr>
        <w:t>、国际植保组织、环境保护基金、联合国粮食及农业组织（粮农组织）、全球青年生物多样性网络、戈瓦尔丹生态村、国际环境与发展研究所、国际自然保护联盟、联合国人权事务高级专员办事处（人权高专办）、农药行动网络、危地马拉国家食品安全网络、亚马逊科学小组、瑞典生物技术组织、联合国开发计划署（开发署）、联合国大学可持续性问题高级研究所、妇女促进生物多样性网络、世界保护动物联合会和世界自然基金会）提交的材料。</w:t>
      </w:r>
    </w:p>
  </w:footnote>
  <w:footnote w:id="5">
    <w:p w14:paraId="708D6E57"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见</w:t>
      </w:r>
      <w:hyperlink r:id="rId7" w:history="1">
        <w:r w:rsidRPr="006F13F4">
          <w:rPr>
            <w:rStyle w:val="Hyperlink"/>
            <w:sz w:val="20"/>
            <w:lang w:val="en-US"/>
          </w:rPr>
          <w:t>www.cbd.int/notifications/2025-058</w:t>
        </w:r>
      </w:hyperlink>
      <w:r w:rsidRPr="006F13F4">
        <w:rPr>
          <w:rFonts w:hAnsi="SimSun" w:hint="eastAsia"/>
          <w:sz w:val="20"/>
          <w:lang w:val="zh-CN"/>
        </w:rPr>
        <w:t>。</w:t>
      </w:r>
      <w:r w:rsidRPr="006F13F4">
        <w:rPr>
          <w:sz w:val="20"/>
        </w:rPr>
        <w:t xml:space="preserve"> </w:t>
      </w:r>
    </w:p>
  </w:footnote>
  <w:footnote w:id="6">
    <w:p w14:paraId="708D6E58"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见生物多样性和生态系统服务政府间科学政策平台第</w:t>
      </w:r>
      <w:r w:rsidRPr="006F13F4">
        <w:rPr>
          <w:sz w:val="20"/>
          <w:lang w:val="zh-CN"/>
        </w:rPr>
        <w:t>IPBES-10/1</w:t>
      </w:r>
      <w:r w:rsidRPr="006F13F4">
        <w:rPr>
          <w:rFonts w:hAnsi="SimSun" w:hint="eastAsia"/>
          <w:sz w:val="20"/>
          <w:lang w:val="zh-CN"/>
        </w:rPr>
        <w:t>号决定，第</w:t>
      </w:r>
      <w:r w:rsidRPr="006F13F4">
        <w:rPr>
          <w:sz w:val="20"/>
          <w:lang w:val="zh-CN"/>
        </w:rPr>
        <w:t>6</w:t>
      </w:r>
      <w:r w:rsidRPr="006F13F4">
        <w:rPr>
          <w:rFonts w:hAnsi="SimSun" w:hint="eastAsia"/>
          <w:sz w:val="20"/>
          <w:lang w:val="zh-CN"/>
        </w:rPr>
        <w:t>段。</w:t>
      </w:r>
    </w:p>
  </w:footnote>
  <w:footnote w:id="7">
    <w:p w14:paraId="708D6E59"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同上，附件二。</w:t>
      </w:r>
    </w:p>
  </w:footnote>
  <w:footnote w:id="8">
    <w:p w14:paraId="708D6E5A" w14:textId="6EBC435B"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见第</w:t>
      </w:r>
      <w:bookmarkStart w:id="1" w:name="_Hlk208219916"/>
      <w:r>
        <w:fldChar w:fldCharType="begin"/>
      </w:r>
      <w:r w:rsidR="00184766">
        <w:instrText>HYPERLINK "https://www.cbd.int/doc/decisions/cop-10/cop-10-dec-29-zh.pdf"</w:instrText>
      </w:r>
      <w:r>
        <w:fldChar w:fldCharType="separate"/>
      </w:r>
      <w:r w:rsidRPr="006F13F4">
        <w:rPr>
          <w:rStyle w:val="Hyperlink"/>
          <w:sz w:val="20"/>
          <w:lang w:val="zh-CN"/>
        </w:rPr>
        <w:t>X/29</w:t>
      </w:r>
      <w:r>
        <w:fldChar w:fldCharType="end"/>
      </w:r>
      <w:r w:rsidRPr="006F13F4">
        <w:rPr>
          <w:rFonts w:hAnsi="SimSun" w:hint="eastAsia"/>
          <w:sz w:val="20"/>
          <w:lang w:val="zh-CN"/>
        </w:rPr>
        <w:t>号、第</w:t>
      </w:r>
      <w:r>
        <w:fldChar w:fldCharType="begin"/>
      </w:r>
      <w:r w:rsidR="00F30A44">
        <w:instrText>HYPERLINK "https://www.cbd.int/doc/decisions/cop-11/cop-11-dec-18-zh.pdf"</w:instrText>
      </w:r>
      <w:r>
        <w:fldChar w:fldCharType="separate"/>
      </w:r>
      <w:r w:rsidRPr="006F13F4">
        <w:rPr>
          <w:rStyle w:val="Hyperlink"/>
          <w:sz w:val="20"/>
          <w:lang w:val="zh-CN"/>
        </w:rPr>
        <w:t>XI/</w:t>
      </w:r>
      <w:r w:rsidRPr="006F13F4">
        <w:rPr>
          <w:rStyle w:val="Hyperlink"/>
          <w:sz w:val="20"/>
          <w:lang w:val="zh-CN"/>
        </w:rPr>
        <w:t>1</w:t>
      </w:r>
      <w:r w:rsidRPr="006F13F4">
        <w:rPr>
          <w:rStyle w:val="Hyperlink"/>
          <w:sz w:val="20"/>
          <w:lang w:val="zh-CN"/>
        </w:rPr>
        <w:t>8</w:t>
      </w:r>
      <w:r>
        <w:fldChar w:fldCharType="end"/>
      </w:r>
      <w:r w:rsidRPr="006F13F4">
        <w:rPr>
          <w:rFonts w:hAnsi="SimSun" w:hint="eastAsia"/>
          <w:sz w:val="20"/>
          <w:lang w:val="zh-CN"/>
        </w:rPr>
        <w:t>号、第</w:t>
      </w:r>
      <w:hyperlink r:id="rId8" w:history="1">
        <w:r w:rsidRPr="006F13F4">
          <w:rPr>
            <w:rStyle w:val="Hyperlink"/>
            <w:sz w:val="20"/>
            <w:lang w:val="zh-CN"/>
          </w:rPr>
          <w:t>XII/2</w:t>
        </w:r>
        <w:r w:rsidRPr="006F13F4">
          <w:rPr>
            <w:rStyle w:val="Hyperlink"/>
            <w:sz w:val="20"/>
            <w:lang w:val="zh-CN"/>
          </w:rPr>
          <w:t>3</w:t>
        </w:r>
      </w:hyperlink>
      <w:bookmarkEnd w:id="1"/>
      <w:r w:rsidRPr="006F13F4">
        <w:rPr>
          <w:rFonts w:hAnsi="SimSun" w:hint="eastAsia"/>
          <w:sz w:val="20"/>
          <w:lang w:val="zh-CN"/>
        </w:rPr>
        <w:t>号、第</w:t>
      </w:r>
      <w:hyperlink r:id="rId9" w:history="1">
        <w:r w:rsidRPr="006F13F4">
          <w:rPr>
            <w:rStyle w:val="Hyperlink"/>
            <w:sz w:val="20"/>
            <w:lang w:val="zh-CN"/>
          </w:rPr>
          <w:t>XIII/9</w:t>
        </w:r>
      </w:hyperlink>
      <w:r w:rsidRPr="006F13F4">
        <w:rPr>
          <w:rFonts w:hAnsi="SimSun" w:hint="eastAsia"/>
          <w:sz w:val="20"/>
          <w:lang w:val="zh-CN"/>
        </w:rPr>
        <w:t>号、第</w:t>
      </w:r>
      <w:hyperlink r:id="rId10" w:history="1">
        <w:r w:rsidRPr="006F13F4">
          <w:rPr>
            <w:rStyle w:val="Hyperlink"/>
            <w:sz w:val="20"/>
            <w:lang w:val="zh-CN"/>
          </w:rPr>
          <w:t>14/</w:t>
        </w:r>
        <w:r w:rsidRPr="006F13F4">
          <w:rPr>
            <w:rStyle w:val="Hyperlink"/>
            <w:sz w:val="20"/>
            <w:lang w:val="zh-CN"/>
          </w:rPr>
          <w:t>1</w:t>
        </w:r>
        <w:r w:rsidRPr="006F13F4">
          <w:rPr>
            <w:rStyle w:val="Hyperlink"/>
            <w:sz w:val="20"/>
            <w:lang w:val="zh-CN"/>
          </w:rPr>
          <w:t>0</w:t>
        </w:r>
      </w:hyperlink>
      <w:r w:rsidRPr="006F13F4">
        <w:rPr>
          <w:rFonts w:hAnsi="SimSun" w:hint="eastAsia"/>
          <w:sz w:val="20"/>
          <w:lang w:val="zh-CN"/>
        </w:rPr>
        <w:t>号、第</w:t>
      </w:r>
      <w:r>
        <w:fldChar w:fldCharType="begin"/>
      </w:r>
      <w:r w:rsidR="00F30A44">
        <w:instrText>HYPERLINK "https://www.cbd.int/decisions/cop/?m=cop-15"</w:instrText>
      </w:r>
      <w:r>
        <w:fldChar w:fldCharType="separate"/>
      </w:r>
      <w:r w:rsidRPr="006F13F4">
        <w:rPr>
          <w:rStyle w:val="Hyperlink"/>
          <w:sz w:val="20"/>
          <w:lang w:val="zh-CN"/>
        </w:rPr>
        <w:t>15</w:t>
      </w:r>
      <w:r w:rsidRPr="006F13F4">
        <w:rPr>
          <w:rStyle w:val="Hyperlink"/>
          <w:sz w:val="20"/>
          <w:lang w:val="zh-CN"/>
        </w:rPr>
        <w:t>/</w:t>
      </w:r>
      <w:r w:rsidRPr="006F13F4">
        <w:rPr>
          <w:rStyle w:val="Hyperlink"/>
          <w:sz w:val="20"/>
          <w:lang w:val="zh-CN"/>
        </w:rPr>
        <w:t>24</w:t>
      </w:r>
      <w:r>
        <w:fldChar w:fldCharType="end"/>
      </w:r>
      <w:r w:rsidRPr="006F13F4">
        <w:rPr>
          <w:rFonts w:hAnsi="SimSun" w:hint="eastAsia"/>
          <w:sz w:val="20"/>
          <w:lang w:val="zh-CN"/>
        </w:rPr>
        <w:t>号和第</w:t>
      </w:r>
      <w:hyperlink r:id="rId11" w:history="1">
        <w:r w:rsidRPr="006F13F4">
          <w:rPr>
            <w:rStyle w:val="Hyperlink"/>
            <w:sz w:val="20"/>
            <w:lang w:val="zh-CN"/>
          </w:rPr>
          <w:t>16/</w:t>
        </w:r>
        <w:r w:rsidRPr="006F13F4">
          <w:rPr>
            <w:rStyle w:val="Hyperlink"/>
            <w:sz w:val="20"/>
            <w:lang w:val="zh-CN"/>
          </w:rPr>
          <w:t>1</w:t>
        </w:r>
        <w:r w:rsidRPr="006F13F4">
          <w:rPr>
            <w:rStyle w:val="Hyperlink"/>
            <w:sz w:val="20"/>
            <w:lang w:val="zh-CN"/>
          </w:rPr>
          <w:t>7</w:t>
        </w:r>
      </w:hyperlink>
      <w:r w:rsidRPr="006F13F4">
        <w:rPr>
          <w:rFonts w:hAnsi="SimSun" w:hint="eastAsia"/>
          <w:sz w:val="20"/>
          <w:lang w:val="zh-CN"/>
        </w:rPr>
        <w:t>号决定。</w:t>
      </w:r>
    </w:p>
  </w:footnote>
  <w:footnote w:id="9">
    <w:p w14:paraId="708D6E5B"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加拿大、哥伦比亚、厄瓜多尔、欧盟、日本、马绍尔群岛、墨西哥、尼日尔、秘鲁和南非；以及生物愿景基金会、迁徙物种公约、环境保护基金、粮农组织、戈瓦尔丹生态村、国际自然保护联盟、亚马逊科学小组、开发署、联合国大学可持续性问题高级研究所、世界自然基金会和妇女促进生物多样性网络。</w:t>
      </w:r>
    </w:p>
  </w:footnote>
  <w:footnote w:id="10">
    <w:p w14:paraId="708D6E5C"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见</w:t>
      </w:r>
      <w:hyperlink r:id="rId12" w:history="1">
        <w:r w:rsidRPr="006F13F4">
          <w:rPr>
            <w:rStyle w:val="Hyperlink"/>
            <w:sz w:val="20"/>
            <w:lang w:val="en-US"/>
          </w:rPr>
          <w:t>www.mspglobal2030.org/biodiversity-inclusive-marine-spatial-planning/</w:t>
        </w:r>
      </w:hyperlink>
      <w:r w:rsidRPr="006F13F4">
        <w:rPr>
          <w:rFonts w:hAnsi="SimSun" w:hint="eastAsia"/>
          <w:sz w:val="20"/>
          <w:lang w:val="zh-CN"/>
        </w:rPr>
        <w:t>。</w:t>
      </w:r>
      <w:r w:rsidRPr="006F13F4">
        <w:rPr>
          <w:sz w:val="20"/>
        </w:rPr>
        <w:t xml:space="preserve"> </w:t>
      </w:r>
    </w:p>
  </w:footnote>
  <w:footnote w:id="11">
    <w:p w14:paraId="708D6E5D"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见</w:t>
      </w:r>
      <w:hyperlink r:id="rId13" w:history="1">
        <w:r w:rsidRPr="006F13F4">
          <w:rPr>
            <w:rStyle w:val="Hyperlink"/>
            <w:sz w:val="20"/>
          </w:rPr>
          <w:t>iucn.org/our-union/commissions/group/iucn-wcpa-spatial-planning-task-force</w:t>
        </w:r>
      </w:hyperlink>
      <w:r w:rsidRPr="006F13F4">
        <w:rPr>
          <w:rFonts w:hAnsi="SimSun" w:hint="eastAsia"/>
          <w:sz w:val="20"/>
          <w:lang w:val="zh-CN"/>
        </w:rPr>
        <w:t>。</w:t>
      </w:r>
      <w:r w:rsidRPr="006F13F4">
        <w:rPr>
          <w:sz w:val="20"/>
        </w:rPr>
        <w:t xml:space="preserve"> </w:t>
      </w:r>
    </w:p>
  </w:footnote>
  <w:footnote w:id="12">
    <w:p w14:paraId="708D6E5E"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见</w:t>
      </w:r>
      <w:hyperlink r:id="rId14" w:history="1">
        <w:r w:rsidRPr="006F13F4">
          <w:rPr>
            <w:rStyle w:val="Hyperlink"/>
            <w:sz w:val="20"/>
          </w:rPr>
          <w:t>digitalx.undp.org/</w:t>
        </w:r>
        <w:proofErr w:type="spellStart"/>
        <w:r w:rsidRPr="006F13F4">
          <w:rPr>
            <w:rStyle w:val="Hyperlink"/>
            <w:sz w:val="20"/>
          </w:rPr>
          <w:t>catalogs</w:t>
        </w:r>
        <w:proofErr w:type="spellEnd"/>
        <w:r w:rsidRPr="006F13F4">
          <w:rPr>
            <w:rStyle w:val="Hyperlink"/>
            <w:sz w:val="20"/>
          </w:rPr>
          <w:t>/elsa.html</w:t>
        </w:r>
      </w:hyperlink>
      <w:r w:rsidRPr="006F13F4">
        <w:rPr>
          <w:rFonts w:hAnsi="SimSun" w:hint="eastAsia"/>
          <w:sz w:val="20"/>
          <w:lang w:val="zh-CN"/>
        </w:rPr>
        <w:t>。</w:t>
      </w:r>
      <w:r w:rsidRPr="006F13F4">
        <w:rPr>
          <w:sz w:val="20"/>
        </w:rPr>
        <w:t xml:space="preserve"> </w:t>
      </w:r>
    </w:p>
  </w:footnote>
  <w:footnote w:id="13">
    <w:p w14:paraId="708D6E5F"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见</w:t>
      </w:r>
      <w:r w:rsidRPr="006F13F4">
        <w:rPr>
          <w:sz w:val="20"/>
        </w:rPr>
        <w:t xml:space="preserve"> </w:t>
      </w:r>
      <w:hyperlink r:id="rId15" w:history="1">
        <w:r w:rsidRPr="006F13F4">
          <w:rPr>
            <w:rStyle w:val="Hyperlink"/>
            <w:sz w:val="20"/>
          </w:rPr>
          <w:t>unu.edu/sites/default/files/2024-07/Indicators%20of%20Resilience%20in%20SEPLS%202024%20Edition_V2_0.pdf</w:t>
        </w:r>
      </w:hyperlink>
      <w:r w:rsidRPr="006F13F4">
        <w:rPr>
          <w:rFonts w:hAnsi="SimSun" w:hint="eastAsia"/>
          <w:sz w:val="20"/>
          <w:lang w:val="zh-CN"/>
        </w:rPr>
        <w:t>。</w:t>
      </w:r>
      <w:r w:rsidRPr="006F13F4">
        <w:rPr>
          <w:sz w:val="20"/>
        </w:rPr>
        <w:t xml:space="preserve"> </w:t>
      </w:r>
    </w:p>
  </w:footnote>
  <w:footnote w:id="14">
    <w:p w14:paraId="708D6E60"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int="eastAsia"/>
          <w:sz w:val="20"/>
          <w:lang w:val="zh-CN"/>
        </w:rPr>
        <w:t>见</w:t>
      </w:r>
      <w:hyperlink r:id="rId16" w:history="1">
        <w:r w:rsidRPr="006F13F4">
          <w:rPr>
            <w:rStyle w:val="Hyperlink"/>
            <w:sz w:val="20"/>
            <w:lang w:val="en-US"/>
          </w:rPr>
          <w:t>www.unccd.int/resources/brief/science-policy-brief-integrated-land-use-planning-and-integrated-landscape</w:t>
        </w:r>
      </w:hyperlink>
      <w:r w:rsidRPr="006F13F4">
        <w:rPr>
          <w:rFonts w:hint="eastAsia"/>
          <w:sz w:val="20"/>
          <w:lang w:val="zh-CN"/>
        </w:rPr>
        <w:t>。</w:t>
      </w:r>
      <w:r w:rsidRPr="006F13F4">
        <w:rPr>
          <w:sz w:val="20"/>
        </w:rPr>
        <w:t xml:space="preserve"> </w:t>
      </w:r>
    </w:p>
  </w:footnote>
  <w:footnote w:id="15">
    <w:p w14:paraId="708D6E61"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int="eastAsia"/>
          <w:sz w:val="20"/>
          <w:lang w:val="zh-CN"/>
        </w:rPr>
        <w:t>见</w:t>
      </w:r>
      <w:hyperlink r:id="rId17" w:history="1">
        <w:r w:rsidRPr="006F13F4">
          <w:rPr>
            <w:rStyle w:val="Hyperlink"/>
            <w:sz w:val="20"/>
            <w:lang w:val="en-US"/>
          </w:rPr>
          <w:t>https://geo-ldn.org/ldn/about-toolbox/</w:t>
        </w:r>
      </w:hyperlink>
      <w:r w:rsidRPr="006F13F4">
        <w:rPr>
          <w:rFonts w:hint="eastAsia"/>
          <w:sz w:val="20"/>
          <w:lang w:val="zh-CN"/>
        </w:rPr>
        <w:t>。</w:t>
      </w:r>
      <w:r w:rsidRPr="006F13F4">
        <w:rPr>
          <w:sz w:val="20"/>
        </w:rPr>
        <w:t xml:space="preserve"> </w:t>
      </w:r>
    </w:p>
  </w:footnote>
  <w:footnote w:id="16">
    <w:p w14:paraId="708D6E62"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int="eastAsia"/>
          <w:sz w:val="20"/>
          <w:lang w:val="zh-CN"/>
        </w:rPr>
        <w:t>见</w:t>
      </w:r>
      <w:hyperlink r:id="rId18" w:history="1">
        <w:r w:rsidRPr="006F13F4">
          <w:rPr>
            <w:rStyle w:val="Hyperlink"/>
            <w:sz w:val="20"/>
            <w:lang w:val="en-US"/>
          </w:rPr>
          <w:t>www.unccd.int/news-stories/notifications/call-requests-support-assist-countries-strengthening-ldn-targets</w:t>
        </w:r>
      </w:hyperlink>
      <w:r w:rsidRPr="006F13F4">
        <w:rPr>
          <w:rFonts w:hint="eastAsia"/>
          <w:sz w:val="20"/>
          <w:lang w:val="zh-CN"/>
        </w:rPr>
        <w:t>。</w:t>
      </w:r>
    </w:p>
  </w:footnote>
  <w:footnote w:id="17">
    <w:p w14:paraId="708D6E63"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见第</w:t>
      </w:r>
      <w:hyperlink r:id="rId19" w:history="1">
        <w:r w:rsidRPr="006F13F4">
          <w:rPr>
            <w:rStyle w:val="Hyperlink"/>
            <w:sz w:val="20"/>
            <w:lang w:val="zh-CN"/>
          </w:rPr>
          <w:t>14/6</w:t>
        </w:r>
      </w:hyperlink>
      <w:r w:rsidRPr="006F13F4">
        <w:rPr>
          <w:rFonts w:hAnsi="SimSun" w:hint="eastAsia"/>
          <w:sz w:val="20"/>
          <w:lang w:val="zh-CN"/>
        </w:rPr>
        <w:t>号决定和第</w:t>
      </w:r>
      <w:hyperlink r:id="rId20" w:history="1">
        <w:r w:rsidRPr="006F13F4">
          <w:rPr>
            <w:rStyle w:val="Hyperlink"/>
            <w:sz w:val="20"/>
            <w:lang w:val="zh-CN"/>
          </w:rPr>
          <w:t>15/28</w:t>
        </w:r>
      </w:hyperlink>
      <w:r w:rsidRPr="006F13F4">
        <w:rPr>
          <w:rFonts w:hAnsi="SimSun" w:hint="eastAsia"/>
          <w:sz w:val="20"/>
          <w:lang w:val="zh-CN"/>
        </w:rPr>
        <w:t>号决定。</w:t>
      </w:r>
    </w:p>
  </w:footnote>
  <w:footnote w:id="18">
    <w:p w14:paraId="708D6E64" w14:textId="77777777" w:rsidR="00EC38F6" w:rsidRDefault="00EC38F6">
      <w:r w:rsidRPr="006F13F4">
        <w:rPr>
          <w:rStyle w:val="FootnoteReference"/>
          <w:sz w:val="20"/>
          <w:szCs w:val="20"/>
        </w:rPr>
        <w:footnoteRef/>
      </w:r>
      <w:r w:rsidRPr="006F13F4">
        <w:rPr>
          <w:sz w:val="20"/>
          <w:szCs w:val="20"/>
        </w:rPr>
        <w:t xml:space="preserve"> </w:t>
      </w:r>
      <w:r w:rsidRPr="006F13F4">
        <w:rPr>
          <w:rFonts w:hAnsi="SimSun" w:hint="eastAsia"/>
          <w:sz w:val="20"/>
          <w:szCs w:val="20"/>
          <w:lang w:val="zh-CN"/>
        </w:rPr>
        <w:t>见</w:t>
      </w:r>
      <w:hyperlink r:id="rId21" w:history="1">
        <w:r w:rsidRPr="006F13F4">
          <w:rPr>
            <w:rStyle w:val="Hyperlink"/>
            <w:sz w:val="20"/>
            <w:szCs w:val="20"/>
          </w:rPr>
          <w:t>www.cbd.int/marine</w:t>
        </w:r>
      </w:hyperlink>
      <w:r w:rsidRPr="006F13F4">
        <w:rPr>
          <w:rFonts w:hAnsi="SimSun" w:hint="eastAsia"/>
          <w:sz w:val="20"/>
          <w:szCs w:val="20"/>
          <w:lang w:val="zh-CN"/>
        </w:rPr>
        <w:t>。</w:t>
      </w:r>
    </w:p>
  </w:footnote>
  <w:footnote w:id="19">
    <w:p w14:paraId="708D6E65"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第</w:t>
      </w:r>
      <w:hyperlink r:id="rId22" w:history="1">
        <w:r w:rsidRPr="006F13F4">
          <w:rPr>
            <w:rStyle w:val="Hyperlink"/>
            <w:sz w:val="20"/>
            <w:lang w:val="zh-CN"/>
          </w:rPr>
          <w:t>16/19</w:t>
        </w:r>
      </w:hyperlink>
      <w:r w:rsidRPr="006F13F4">
        <w:rPr>
          <w:rFonts w:hAnsi="SimSun" w:hint="eastAsia"/>
          <w:sz w:val="20"/>
          <w:lang w:val="zh-CN"/>
        </w:rPr>
        <w:t>号决定，附件。</w:t>
      </w:r>
    </w:p>
  </w:footnote>
  <w:footnote w:id="20">
    <w:p w14:paraId="708D6E66"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加拿大、哥伦比亚、欧盟、日本、马绍尔群岛、墨西哥、尼日尔和南非；生物愿景基金会、迁徙物种公约、国际植保组织、粮农组织、戈瓦尔丹生态村、国际自然保护联盟、农药行动网络、亚马逊科学小组、瑞典生物技术组织、世界保护动物联合会和妇女促进生物多样性组织。</w:t>
      </w:r>
    </w:p>
  </w:footnote>
  <w:footnote w:id="21">
    <w:p w14:paraId="708D6E67"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到</w:t>
      </w:r>
      <w:r w:rsidRPr="006F13F4">
        <w:rPr>
          <w:sz w:val="20"/>
          <w:lang w:val="zh-CN"/>
        </w:rPr>
        <w:t>2030</w:t>
      </w:r>
      <w:r w:rsidRPr="006F13F4">
        <w:rPr>
          <w:rFonts w:hAnsi="SimSun" w:hint="eastAsia"/>
          <w:sz w:val="20"/>
          <w:lang w:val="zh-CN"/>
        </w:rPr>
        <w:t>年，大幅减少危险化学品以及空气、水和土壤污染导致的死亡和患病人数。</w:t>
      </w:r>
    </w:p>
  </w:footnote>
  <w:footnote w:id="22">
    <w:p w14:paraId="708D6E68"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到</w:t>
      </w:r>
      <w:r w:rsidRPr="006F13F4">
        <w:rPr>
          <w:sz w:val="20"/>
          <w:lang w:val="zh-CN"/>
        </w:rPr>
        <w:t>2030</w:t>
      </w:r>
      <w:r w:rsidRPr="006F13F4">
        <w:rPr>
          <w:rFonts w:hAnsi="SimSun" w:hint="eastAsia"/>
          <w:sz w:val="20"/>
          <w:lang w:val="zh-CN"/>
        </w:rPr>
        <w:t>年，通过以下方式改善水质：减少污染，消除倾倒废物现象，把危险化学品和材料的排放减少到最低限度，将未经处理废水比例减半，大幅增加全球废物回收和安全再利用。</w:t>
      </w:r>
    </w:p>
  </w:footnote>
  <w:footnote w:id="23">
    <w:p w14:paraId="708D6E69" w14:textId="77777777" w:rsidR="00EC38F6" w:rsidRDefault="00EC38F6">
      <w:pPr>
        <w:pStyle w:val="CBDFootnoteText"/>
      </w:pPr>
      <w:r w:rsidRPr="006F13F4">
        <w:rPr>
          <w:rStyle w:val="FootnoteReference"/>
          <w:sz w:val="20"/>
          <w:szCs w:val="20"/>
        </w:rPr>
        <w:footnoteRef/>
      </w:r>
      <w:r w:rsidRPr="006F13F4">
        <w:rPr>
          <w:sz w:val="20"/>
          <w:szCs w:val="20"/>
        </w:rPr>
        <w:t xml:space="preserve"> </w:t>
      </w:r>
      <w:r w:rsidRPr="006F13F4">
        <w:rPr>
          <w:rFonts w:hAnsi="SimSun" w:hint="eastAsia"/>
          <w:sz w:val="20"/>
          <w:szCs w:val="20"/>
          <w:lang w:val="zh-CN"/>
        </w:rPr>
        <w:t>包括《控制危险废物越境转移及其处置巴塞尔公约》、《关于在国际贸易中对某些危险化学品和农药采用事先知情同意程序的鹿特丹公约》、《关于持久性有机污染物的斯德哥尔摩公约》和《关于汞的水俣公约》。</w:t>
      </w:r>
    </w:p>
  </w:footnote>
  <w:footnote w:id="24">
    <w:p w14:paraId="708D6E6A"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包括《联合国气候变化框架公约》、《保护迁徙物种公约》和《关于特别是作为水禽栖息地的国际重要湿地公约》。</w:t>
      </w:r>
    </w:p>
  </w:footnote>
  <w:footnote w:id="25">
    <w:p w14:paraId="708D6E6B"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包括《黑海、地中海和邻近大西洋地区鲸类保护协定》、区域海洋公约和大多数跨界水域协定。</w:t>
      </w:r>
      <w:r w:rsidRPr="006F13F4">
        <w:rPr>
          <w:sz w:val="20"/>
        </w:rPr>
        <w:t xml:space="preserve"> </w:t>
      </w:r>
    </w:p>
  </w:footnote>
  <w:footnote w:id="26">
    <w:p w14:paraId="708D6E6C"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包括粮农组织、国际海事组织和世界卫生组织。</w:t>
      </w:r>
    </w:p>
  </w:footnote>
  <w:footnote w:id="27">
    <w:p w14:paraId="708D6E6D"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包括进一步促进化学品和废物的健全管理并防止污染的科学政策小组特设不限成员名额工作组、全球化学品框架和联合国水机制。</w:t>
      </w:r>
    </w:p>
  </w:footnote>
  <w:footnote w:id="28">
    <w:p w14:paraId="708D6E6E" w14:textId="77777777" w:rsidR="00EC38F6" w:rsidRDefault="00EC38F6">
      <w:pPr>
        <w:pStyle w:val="FootnoteText"/>
      </w:pPr>
      <w:r w:rsidRPr="006F13F4">
        <w:rPr>
          <w:rStyle w:val="FootnoteReference"/>
          <w:sz w:val="20"/>
        </w:rPr>
        <w:footnoteRef/>
      </w:r>
      <w:r w:rsidRPr="006F13F4">
        <w:rPr>
          <w:sz w:val="20"/>
        </w:rPr>
        <w:t xml:space="preserve"> </w:t>
      </w:r>
      <w:r w:rsidRPr="006F13F4">
        <w:rPr>
          <w:sz w:val="20"/>
          <w:lang w:val="zh-CN"/>
        </w:rPr>
        <w:t>2022</w:t>
      </w:r>
      <w:r w:rsidRPr="006F13F4">
        <w:rPr>
          <w:rFonts w:hAnsi="SimSun" w:hint="eastAsia"/>
          <w:sz w:val="20"/>
          <w:lang w:val="zh-CN"/>
        </w:rPr>
        <w:t>年</w:t>
      </w:r>
      <w:r w:rsidRPr="006F13F4">
        <w:rPr>
          <w:sz w:val="20"/>
          <w:lang w:val="zh-CN"/>
        </w:rPr>
        <w:t>3</w:t>
      </w:r>
      <w:r w:rsidRPr="006F13F4">
        <w:rPr>
          <w:rFonts w:hAnsi="SimSun" w:hint="eastAsia"/>
          <w:sz w:val="20"/>
          <w:lang w:val="zh-CN"/>
        </w:rPr>
        <w:t>月，联合国环境大会根据第</w:t>
      </w:r>
      <w:r w:rsidRPr="006F13F4">
        <w:rPr>
          <w:sz w:val="20"/>
          <w:lang w:val="zh-CN"/>
        </w:rPr>
        <w:t>5/14</w:t>
      </w:r>
      <w:r w:rsidRPr="006F13F4">
        <w:rPr>
          <w:rFonts w:hAnsi="SimSun" w:hint="eastAsia"/>
          <w:sz w:val="20"/>
          <w:lang w:val="zh-CN"/>
        </w:rPr>
        <w:t>号决议成立了政府间谈判委员会，负责制定关于塑料污染（</w:t>
      </w:r>
      <w:r w:rsidRPr="006F13F4">
        <w:rPr>
          <w:rFonts w:hAnsi="SimSun" w:hint="eastAsia"/>
          <w:sz w:val="20"/>
          <w:lang w:val="zh-CN"/>
        </w:rPr>
        <w:t>包括海洋环境污染）的具有国际法律约束力的文书。</w:t>
      </w:r>
    </w:p>
  </w:footnote>
  <w:footnote w:id="29">
    <w:p w14:paraId="708D6E6F"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野生陆地、淡水和海洋物种以多种方式促进人类福祉，包括提供营养、粮食安全、药物和生计。</w:t>
      </w:r>
    </w:p>
  </w:footnote>
  <w:footnote w:id="30">
    <w:p w14:paraId="708D6E70"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巴西、加拿大、哥伦比亚、欧盟、日本、马绍尔群岛、墨西哥和尼日尔；迁徙物种公约、戈瓦尔丹生态村、国际自然保护联盟、亚马逊科学小组、开发署、世界保护动物联合会、世界自然基金会和妇女促进生物多样性组织。</w:t>
      </w:r>
    </w:p>
  </w:footnote>
  <w:footnote w:id="31">
    <w:p w14:paraId="708D6E71"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见</w:t>
      </w:r>
      <w:hyperlink r:id="rId23" w:history="1">
        <w:r w:rsidRPr="006F13F4">
          <w:rPr>
            <w:rStyle w:val="Hyperlink"/>
            <w:sz w:val="20"/>
            <w:lang w:val="en-US"/>
          </w:rPr>
          <w:t>www.fao.org/forestry-fao/wildlife-partnership/en/</w:t>
        </w:r>
      </w:hyperlink>
      <w:r w:rsidRPr="006F13F4">
        <w:rPr>
          <w:rFonts w:hAnsi="SimSun" w:hint="eastAsia"/>
          <w:sz w:val="20"/>
          <w:lang w:val="zh-CN"/>
        </w:rPr>
        <w:t>。</w:t>
      </w:r>
      <w:r w:rsidRPr="006F13F4">
        <w:rPr>
          <w:sz w:val="20"/>
        </w:rPr>
        <w:t xml:space="preserve"> </w:t>
      </w:r>
    </w:p>
  </w:footnote>
  <w:footnote w:id="32">
    <w:p w14:paraId="708D6E72"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巴西、加拿大、哥伦比亚、欧盟、日本、马绍尔群岛、墨西哥和尼日尔；环境保护基金、全球青年生物多样性网络、戈瓦尔丹生态村、国际环境与发展研究所、人权高专办、危地马拉国家保卫食品安全网络、亚马逊科学小组、瑞典生物技术协会、世界自然基金会和妇女促进生物多样性组织。</w:t>
      </w:r>
    </w:p>
  </w:footnote>
  <w:footnote w:id="33">
    <w:p w14:paraId="708D6E73"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第</w:t>
      </w:r>
      <w:hyperlink r:id="rId24" w:history="1">
        <w:r w:rsidRPr="006F13F4">
          <w:rPr>
            <w:rStyle w:val="Hyperlink"/>
            <w:sz w:val="20"/>
            <w:lang w:val="zh-CN"/>
          </w:rPr>
          <w:t>15/22</w:t>
        </w:r>
      </w:hyperlink>
      <w:r w:rsidRPr="006F13F4">
        <w:rPr>
          <w:rFonts w:hAnsi="SimSun" w:hint="eastAsia"/>
          <w:sz w:val="20"/>
          <w:lang w:val="zh-CN"/>
        </w:rPr>
        <w:t>号决定。</w:t>
      </w:r>
    </w:p>
  </w:footnote>
  <w:footnote w:id="34">
    <w:p w14:paraId="708D6E74"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加拿大、哥伦比亚、欧盟、日本、马绍尔群岛和秘鲁；环境保护基金、全球青年生物多样性网络、戈瓦尔丹生态村、国际自然保护联盟、危地马拉国家保卫食品安全网络、亚马逊科学小组、瑞典生物技术协会、世界保护动物联合会、世界自然基金会和妇女促进生物多样性组织。</w:t>
      </w:r>
    </w:p>
  </w:footnote>
  <w:footnote w:id="35">
    <w:p w14:paraId="708D6E75" w14:textId="77777777" w:rsidR="00EC38F6" w:rsidRDefault="00EC38F6">
      <w:pPr>
        <w:pStyle w:val="FootnoteText"/>
      </w:pPr>
      <w:r w:rsidRPr="006F13F4">
        <w:rPr>
          <w:rStyle w:val="FootnoteReference"/>
          <w:sz w:val="20"/>
        </w:rPr>
        <w:footnoteRef/>
      </w:r>
      <w:r w:rsidRPr="006F13F4">
        <w:rPr>
          <w:sz w:val="20"/>
        </w:rPr>
        <w:t xml:space="preserve"> </w:t>
      </w:r>
      <w:bookmarkStart w:id="2" w:name="_Hlk206657923"/>
      <w:r w:rsidRPr="006F13F4">
        <w:rPr>
          <w:rFonts w:hAnsi="SimSun" w:hint="eastAsia"/>
          <w:sz w:val="20"/>
          <w:lang w:val="zh-CN"/>
        </w:rPr>
        <w:t>联合国，《</w:t>
      </w:r>
      <w:r w:rsidRPr="006F13F4">
        <w:rPr>
          <w:rFonts w:ascii="KaiTi_GB2312" w:eastAsia="KaiTi_GB2312" w:hAnsi="SimSun" w:hint="eastAsia"/>
          <w:sz w:val="20"/>
          <w:lang w:val="zh-CN"/>
        </w:rPr>
        <w:t>条约汇编</w:t>
      </w:r>
      <w:r w:rsidRPr="006F13F4">
        <w:rPr>
          <w:rFonts w:hAnsi="SimSun" w:hint="eastAsia"/>
          <w:sz w:val="20"/>
          <w:lang w:val="zh-CN"/>
        </w:rPr>
        <w:t>》，第</w:t>
      </w:r>
      <w:r w:rsidRPr="006F13F4">
        <w:rPr>
          <w:sz w:val="20"/>
          <w:lang w:val="zh-CN"/>
        </w:rPr>
        <w:t>1760</w:t>
      </w:r>
      <w:r w:rsidRPr="006F13F4">
        <w:rPr>
          <w:rFonts w:hAnsi="SimSun" w:hint="eastAsia"/>
          <w:sz w:val="20"/>
          <w:lang w:val="zh-CN"/>
        </w:rPr>
        <w:t>卷，第</w:t>
      </w:r>
      <w:r w:rsidRPr="006F13F4">
        <w:rPr>
          <w:sz w:val="20"/>
          <w:lang w:val="zh-CN"/>
        </w:rPr>
        <w:t>30619</w:t>
      </w:r>
      <w:r w:rsidRPr="006F13F4">
        <w:rPr>
          <w:rFonts w:hAnsi="SimSun" w:hint="eastAsia"/>
          <w:sz w:val="20"/>
          <w:lang w:val="zh-CN"/>
        </w:rPr>
        <w:t>号。</w:t>
      </w:r>
      <w:bookmarkEnd w:id="2"/>
    </w:p>
  </w:footnote>
  <w:footnote w:id="36">
    <w:p w14:paraId="708D6E76"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第</w:t>
      </w:r>
      <w:hyperlink r:id="rId25" w:history="1">
        <w:r w:rsidRPr="006F13F4">
          <w:rPr>
            <w:rStyle w:val="Hyperlink"/>
            <w:sz w:val="20"/>
            <w:lang w:val="zh-CN"/>
          </w:rPr>
          <w:t>15</w:t>
        </w:r>
        <w:r w:rsidRPr="006F13F4">
          <w:rPr>
            <w:rStyle w:val="Hyperlink"/>
            <w:sz w:val="20"/>
            <w:lang w:val="zh-CN"/>
          </w:rPr>
          <w:t>/</w:t>
        </w:r>
        <w:r w:rsidRPr="006F13F4">
          <w:rPr>
            <w:rStyle w:val="Hyperlink"/>
            <w:sz w:val="20"/>
            <w:lang w:val="zh-CN"/>
          </w:rPr>
          <w:t>4</w:t>
        </w:r>
      </w:hyperlink>
      <w:r w:rsidRPr="006F13F4">
        <w:rPr>
          <w:rFonts w:hAnsi="SimSun" w:hint="eastAsia"/>
          <w:kern w:val="22"/>
          <w:sz w:val="20"/>
          <w:lang w:val="zh-CN"/>
        </w:rPr>
        <w:t>号决定，附件。</w:t>
      </w:r>
    </w:p>
  </w:footnote>
  <w:footnote w:id="37">
    <w:p w14:paraId="708D6E77"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Ansi="SimSun" w:hint="eastAsia"/>
          <w:sz w:val="20"/>
          <w:lang w:val="zh-CN"/>
        </w:rPr>
        <w:t>联合国，《</w:t>
      </w:r>
      <w:r w:rsidRPr="006F13F4">
        <w:rPr>
          <w:rFonts w:ascii="KaiTi_GB2312" w:eastAsia="KaiTi_GB2312" w:hAnsi="SimSun" w:hint="eastAsia"/>
          <w:sz w:val="20"/>
          <w:lang w:val="zh-CN"/>
        </w:rPr>
        <w:t>条约汇编</w:t>
      </w:r>
      <w:r w:rsidRPr="006F13F4">
        <w:rPr>
          <w:rFonts w:hAnsi="SimSun" w:hint="eastAsia"/>
          <w:sz w:val="20"/>
          <w:lang w:val="zh-CN"/>
        </w:rPr>
        <w:t>》，第</w:t>
      </w:r>
      <w:r w:rsidRPr="006F13F4">
        <w:rPr>
          <w:sz w:val="20"/>
          <w:lang w:val="zh-CN"/>
        </w:rPr>
        <w:t>1760</w:t>
      </w:r>
      <w:r w:rsidRPr="006F13F4">
        <w:rPr>
          <w:rFonts w:hAnsi="SimSun" w:hint="eastAsia"/>
          <w:sz w:val="20"/>
          <w:lang w:val="zh-CN"/>
        </w:rPr>
        <w:t>卷，第</w:t>
      </w:r>
      <w:r w:rsidRPr="006F13F4">
        <w:rPr>
          <w:sz w:val="20"/>
          <w:lang w:val="zh-CN"/>
        </w:rPr>
        <w:t>30619</w:t>
      </w:r>
      <w:r w:rsidRPr="006F13F4">
        <w:rPr>
          <w:rFonts w:hAnsi="SimSun" w:hint="eastAsia"/>
          <w:sz w:val="20"/>
          <w:lang w:val="zh-CN"/>
        </w:rPr>
        <w:t>号。</w:t>
      </w:r>
    </w:p>
  </w:footnote>
  <w:footnote w:id="38">
    <w:p w14:paraId="708D6E78"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int="eastAsia"/>
          <w:sz w:val="20"/>
          <w:lang w:val="zh-CN"/>
        </w:rPr>
        <w:t>第</w:t>
      </w:r>
      <w:hyperlink r:id="rId26" w:history="1">
        <w:r w:rsidRPr="006F13F4">
          <w:rPr>
            <w:rStyle w:val="Hyperlink"/>
            <w:sz w:val="20"/>
            <w:lang w:val="zh-CN"/>
          </w:rPr>
          <w:t>15/4</w:t>
        </w:r>
      </w:hyperlink>
      <w:r w:rsidRPr="006F13F4">
        <w:rPr>
          <w:rFonts w:hint="eastAsia"/>
          <w:kern w:val="22"/>
          <w:sz w:val="20"/>
          <w:lang w:val="zh-CN"/>
        </w:rPr>
        <w:t>号决定，附件。</w:t>
      </w:r>
    </w:p>
  </w:footnote>
  <w:footnote w:id="39">
    <w:p w14:paraId="708D6E79"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int="eastAsia"/>
          <w:sz w:val="20"/>
          <w:lang w:val="zh-CN"/>
        </w:rPr>
        <w:t>联合国，《</w:t>
      </w:r>
      <w:r w:rsidRPr="006F13F4">
        <w:rPr>
          <w:rFonts w:eastAsia="KaiTi_GB2312" w:hint="eastAsia"/>
          <w:sz w:val="20"/>
          <w:lang w:val="zh-CN"/>
        </w:rPr>
        <w:t>条约汇编</w:t>
      </w:r>
      <w:r w:rsidRPr="006F13F4">
        <w:rPr>
          <w:rFonts w:hint="eastAsia"/>
          <w:sz w:val="20"/>
          <w:lang w:val="zh-CN"/>
        </w:rPr>
        <w:t>》，第</w:t>
      </w:r>
      <w:r w:rsidRPr="006F13F4">
        <w:rPr>
          <w:sz w:val="20"/>
          <w:lang w:val="zh-CN"/>
        </w:rPr>
        <w:t>1760</w:t>
      </w:r>
      <w:r w:rsidRPr="006F13F4">
        <w:rPr>
          <w:rFonts w:hint="eastAsia"/>
          <w:sz w:val="20"/>
          <w:lang w:val="zh-CN"/>
        </w:rPr>
        <w:t>卷，第</w:t>
      </w:r>
      <w:r w:rsidRPr="006F13F4">
        <w:rPr>
          <w:sz w:val="20"/>
          <w:lang w:val="zh-CN"/>
        </w:rPr>
        <w:t>30619</w:t>
      </w:r>
      <w:r w:rsidRPr="006F13F4">
        <w:rPr>
          <w:rFonts w:hint="eastAsia"/>
          <w:sz w:val="20"/>
          <w:lang w:val="zh-CN"/>
        </w:rPr>
        <w:t>号。</w:t>
      </w:r>
    </w:p>
  </w:footnote>
  <w:footnote w:id="40">
    <w:p w14:paraId="708D6E7A" w14:textId="4770E415" w:rsidR="00EC38F6" w:rsidRDefault="00EC38F6">
      <w:pPr>
        <w:pStyle w:val="FootnoteText"/>
      </w:pPr>
      <w:r w:rsidRPr="006F13F4">
        <w:rPr>
          <w:rStyle w:val="FootnoteReference"/>
          <w:sz w:val="20"/>
        </w:rPr>
        <w:footnoteRef/>
      </w:r>
      <w:r w:rsidR="00F30A44">
        <w:rPr>
          <w:rFonts w:eastAsiaTheme="minorEastAsia" w:hint="eastAsia"/>
          <w:sz w:val="20"/>
          <w:lang w:val="zh-CN" w:eastAsia="ja-JP"/>
        </w:rPr>
        <w:t xml:space="preserve"> </w:t>
      </w:r>
      <w:r w:rsidRPr="006F13F4">
        <w:rPr>
          <w:rFonts w:hint="eastAsia"/>
          <w:sz w:val="20"/>
          <w:lang w:val="zh-CN"/>
        </w:rPr>
        <w:t>同上，第</w:t>
      </w:r>
      <w:r w:rsidRPr="006F13F4">
        <w:rPr>
          <w:kern w:val="18"/>
          <w:sz w:val="20"/>
          <w:lang w:val="zh-CN"/>
        </w:rPr>
        <w:t>1673</w:t>
      </w:r>
      <w:r w:rsidRPr="006F13F4">
        <w:rPr>
          <w:rFonts w:hint="eastAsia"/>
          <w:kern w:val="18"/>
          <w:sz w:val="20"/>
          <w:lang w:val="zh-CN"/>
        </w:rPr>
        <w:t>卷，第</w:t>
      </w:r>
      <w:r w:rsidRPr="006F13F4">
        <w:rPr>
          <w:kern w:val="18"/>
          <w:sz w:val="20"/>
          <w:lang w:val="zh-CN"/>
        </w:rPr>
        <w:t>28911</w:t>
      </w:r>
      <w:r w:rsidRPr="006F13F4">
        <w:rPr>
          <w:rFonts w:hint="eastAsia"/>
          <w:kern w:val="18"/>
          <w:sz w:val="20"/>
          <w:lang w:val="zh-CN"/>
        </w:rPr>
        <w:t>号。</w:t>
      </w:r>
    </w:p>
  </w:footnote>
  <w:footnote w:id="41">
    <w:p w14:paraId="708D6E7B"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int="eastAsia"/>
          <w:sz w:val="20"/>
          <w:lang w:val="zh-CN"/>
        </w:rPr>
        <w:t>同上，第</w:t>
      </w:r>
      <w:r w:rsidRPr="006F13F4">
        <w:rPr>
          <w:kern w:val="18"/>
          <w:sz w:val="20"/>
          <w:lang w:val="zh-CN"/>
        </w:rPr>
        <w:t>2244</w:t>
      </w:r>
      <w:r w:rsidRPr="006F13F4">
        <w:rPr>
          <w:rFonts w:hint="eastAsia"/>
          <w:kern w:val="18"/>
          <w:sz w:val="20"/>
          <w:lang w:val="zh-CN"/>
        </w:rPr>
        <w:t>卷，第</w:t>
      </w:r>
      <w:r w:rsidRPr="006F13F4">
        <w:rPr>
          <w:kern w:val="18"/>
          <w:sz w:val="20"/>
          <w:lang w:val="zh-CN"/>
        </w:rPr>
        <w:t>39973</w:t>
      </w:r>
      <w:r w:rsidRPr="006F13F4">
        <w:rPr>
          <w:rFonts w:hint="eastAsia"/>
          <w:kern w:val="18"/>
          <w:sz w:val="20"/>
          <w:lang w:val="zh-CN"/>
        </w:rPr>
        <w:t>号。</w:t>
      </w:r>
    </w:p>
  </w:footnote>
  <w:footnote w:id="42">
    <w:p w14:paraId="708D6E7C" w14:textId="77777777" w:rsidR="00EC38F6" w:rsidRDefault="00EC38F6">
      <w:pPr>
        <w:pStyle w:val="FootnoteText"/>
      </w:pPr>
      <w:r w:rsidRPr="006F13F4">
        <w:rPr>
          <w:rStyle w:val="FootnoteReference"/>
          <w:sz w:val="20"/>
        </w:rPr>
        <w:footnoteRef/>
      </w:r>
      <w:r w:rsidRPr="006F13F4">
        <w:rPr>
          <w:sz w:val="20"/>
          <w:lang w:val="es-ES"/>
        </w:rPr>
        <w:t xml:space="preserve"> </w:t>
      </w:r>
      <w:r w:rsidRPr="006F13F4">
        <w:rPr>
          <w:rFonts w:hint="eastAsia"/>
          <w:sz w:val="20"/>
          <w:lang w:val="zh-CN"/>
        </w:rPr>
        <w:t>同上，第</w:t>
      </w:r>
      <w:r w:rsidRPr="006F13F4">
        <w:rPr>
          <w:kern w:val="18"/>
          <w:sz w:val="20"/>
          <w:lang w:val="zh-CN"/>
        </w:rPr>
        <w:t>2256</w:t>
      </w:r>
      <w:r w:rsidRPr="006F13F4">
        <w:rPr>
          <w:rFonts w:hint="eastAsia"/>
          <w:kern w:val="18"/>
          <w:sz w:val="20"/>
          <w:lang w:val="zh-CN"/>
        </w:rPr>
        <w:t>卷，第</w:t>
      </w:r>
      <w:r w:rsidRPr="006F13F4">
        <w:rPr>
          <w:kern w:val="18"/>
          <w:sz w:val="20"/>
          <w:lang w:val="zh-CN"/>
        </w:rPr>
        <w:t>40214</w:t>
      </w:r>
      <w:r w:rsidRPr="006F13F4">
        <w:rPr>
          <w:rFonts w:hint="eastAsia"/>
          <w:kern w:val="18"/>
          <w:sz w:val="20"/>
          <w:lang w:val="zh-CN"/>
        </w:rPr>
        <w:t>号。</w:t>
      </w:r>
    </w:p>
  </w:footnote>
  <w:footnote w:id="43">
    <w:p w14:paraId="708D6E7D" w14:textId="77777777" w:rsidR="00EC38F6" w:rsidRDefault="00EC38F6">
      <w:pPr>
        <w:pStyle w:val="FootnoteText"/>
      </w:pPr>
      <w:r w:rsidRPr="006F13F4">
        <w:rPr>
          <w:rStyle w:val="FootnoteReference"/>
          <w:sz w:val="20"/>
        </w:rPr>
        <w:footnoteRef/>
      </w:r>
      <w:r w:rsidRPr="006F13F4">
        <w:rPr>
          <w:sz w:val="20"/>
          <w:lang w:val="es-ES"/>
        </w:rPr>
        <w:t xml:space="preserve"> </w:t>
      </w:r>
      <w:r w:rsidRPr="006F13F4">
        <w:rPr>
          <w:rFonts w:hint="eastAsia"/>
          <w:sz w:val="20"/>
          <w:lang w:val="zh-CN"/>
        </w:rPr>
        <w:t>同上，第</w:t>
      </w:r>
      <w:r w:rsidRPr="006F13F4">
        <w:rPr>
          <w:kern w:val="18"/>
          <w:sz w:val="20"/>
          <w:lang w:val="zh-CN"/>
        </w:rPr>
        <w:t>3201</w:t>
      </w:r>
      <w:r w:rsidRPr="006F13F4">
        <w:rPr>
          <w:rFonts w:hint="eastAsia"/>
          <w:kern w:val="18"/>
          <w:sz w:val="20"/>
          <w:lang w:val="zh-CN"/>
        </w:rPr>
        <w:t>卷，第</w:t>
      </w:r>
      <w:r w:rsidRPr="006F13F4">
        <w:rPr>
          <w:kern w:val="18"/>
          <w:sz w:val="20"/>
          <w:lang w:val="zh-CN"/>
        </w:rPr>
        <w:t>54669</w:t>
      </w:r>
      <w:r w:rsidRPr="006F13F4">
        <w:rPr>
          <w:rFonts w:hint="eastAsia"/>
          <w:kern w:val="18"/>
          <w:sz w:val="20"/>
          <w:lang w:val="zh-CN"/>
        </w:rPr>
        <w:t>号。</w:t>
      </w:r>
    </w:p>
  </w:footnote>
  <w:footnote w:id="44">
    <w:p w14:paraId="708D6E7E"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int="eastAsia"/>
          <w:sz w:val="20"/>
          <w:lang w:val="zh-CN"/>
        </w:rPr>
        <w:t>第</w:t>
      </w:r>
      <w:hyperlink r:id="rId27" w:history="1">
        <w:r w:rsidRPr="006F13F4">
          <w:rPr>
            <w:rStyle w:val="Hyperlink"/>
            <w:sz w:val="20"/>
            <w:lang w:val="zh-CN"/>
          </w:rPr>
          <w:t>15/4</w:t>
        </w:r>
      </w:hyperlink>
      <w:r w:rsidRPr="006F13F4">
        <w:rPr>
          <w:rFonts w:hint="eastAsia"/>
          <w:kern w:val="22"/>
          <w:sz w:val="20"/>
          <w:lang w:val="zh-CN"/>
        </w:rPr>
        <w:t>号决定，附件。</w:t>
      </w:r>
    </w:p>
  </w:footnote>
  <w:footnote w:id="45">
    <w:p w14:paraId="708D6E7F"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int="eastAsia"/>
          <w:sz w:val="20"/>
          <w:lang w:val="zh-CN"/>
        </w:rPr>
        <w:t>联合国，《</w:t>
      </w:r>
      <w:r w:rsidRPr="006F13F4">
        <w:rPr>
          <w:rFonts w:eastAsia="KaiTi_GB2312" w:hint="eastAsia"/>
          <w:sz w:val="20"/>
          <w:lang w:val="zh-CN"/>
        </w:rPr>
        <w:t>条约汇编</w:t>
      </w:r>
      <w:r w:rsidRPr="006F13F4">
        <w:rPr>
          <w:rFonts w:hint="eastAsia"/>
          <w:sz w:val="20"/>
          <w:lang w:val="zh-CN"/>
        </w:rPr>
        <w:t>》，第</w:t>
      </w:r>
      <w:r w:rsidRPr="006F13F4">
        <w:rPr>
          <w:sz w:val="20"/>
          <w:lang w:val="zh-CN"/>
        </w:rPr>
        <w:t>1760</w:t>
      </w:r>
      <w:r w:rsidRPr="006F13F4">
        <w:rPr>
          <w:rFonts w:hint="eastAsia"/>
          <w:sz w:val="20"/>
          <w:lang w:val="zh-CN"/>
        </w:rPr>
        <w:t>卷，第</w:t>
      </w:r>
      <w:r w:rsidRPr="006F13F4">
        <w:rPr>
          <w:sz w:val="20"/>
          <w:lang w:val="zh-CN"/>
        </w:rPr>
        <w:t>30619</w:t>
      </w:r>
      <w:r w:rsidRPr="006F13F4">
        <w:rPr>
          <w:rFonts w:hint="eastAsia"/>
          <w:sz w:val="20"/>
          <w:lang w:val="zh-CN"/>
        </w:rPr>
        <w:t>号。</w:t>
      </w:r>
    </w:p>
  </w:footnote>
  <w:footnote w:id="46">
    <w:p w14:paraId="708D6E80"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int="eastAsia"/>
          <w:sz w:val="20"/>
          <w:lang w:val="zh-CN"/>
        </w:rPr>
        <w:t>第</w:t>
      </w:r>
      <w:hyperlink r:id="rId28" w:history="1">
        <w:r w:rsidRPr="006F13F4">
          <w:rPr>
            <w:rStyle w:val="Hyperlink"/>
            <w:sz w:val="20"/>
            <w:lang w:val="zh-CN"/>
          </w:rPr>
          <w:t>15/4</w:t>
        </w:r>
      </w:hyperlink>
      <w:r w:rsidRPr="006F13F4">
        <w:rPr>
          <w:rFonts w:hint="eastAsia"/>
          <w:kern w:val="22"/>
          <w:sz w:val="20"/>
          <w:lang w:val="zh-CN"/>
        </w:rPr>
        <w:t>号决定，附件。</w:t>
      </w:r>
    </w:p>
  </w:footnote>
  <w:footnote w:id="47">
    <w:p w14:paraId="708D6E81"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int="eastAsia"/>
          <w:sz w:val="20"/>
          <w:lang w:val="zh-CN"/>
        </w:rPr>
        <w:t>同上。</w:t>
      </w:r>
    </w:p>
  </w:footnote>
  <w:footnote w:id="48">
    <w:p w14:paraId="708D6E82"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int="eastAsia"/>
          <w:sz w:val="20"/>
          <w:lang w:val="zh-CN"/>
        </w:rPr>
        <w:t>联合国，《</w:t>
      </w:r>
      <w:r w:rsidRPr="006F13F4">
        <w:rPr>
          <w:rFonts w:eastAsia="KaiTi_GB2312" w:hint="eastAsia"/>
          <w:sz w:val="20"/>
          <w:lang w:val="zh-CN"/>
        </w:rPr>
        <w:t>条约汇编</w:t>
      </w:r>
      <w:r w:rsidRPr="006F13F4">
        <w:rPr>
          <w:rFonts w:hint="eastAsia"/>
          <w:sz w:val="20"/>
          <w:lang w:val="zh-CN"/>
        </w:rPr>
        <w:t>》，第</w:t>
      </w:r>
      <w:r w:rsidRPr="006F13F4">
        <w:rPr>
          <w:sz w:val="20"/>
          <w:lang w:val="zh-CN"/>
        </w:rPr>
        <w:t>1760</w:t>
      </w:r>
      <w:r w:rsidRPr="006F13F4">
        <w:rPr>
          <w:rFonts w:hint="eastAsia"/>
          <w:sz w:val="20"/>
          <w:lang w:val="zh-CN"/>
        </w:rPr>
        <w:t>卷，第</w:t>
      </w:r>
      <w:r w:rsidRPr="006F13F4">
        <w:rPr>
          <w:sz w:val="20"/>
          <w:lang w:val="zh-CN"/>
        </w:rPr>
        <w:t>30619</w:t>
      </w:r>
      <w:r w:rsidRPr="006F13F4">
        <w:rPr>
          <w:rFonts w:hint="eastAsia"/>
          <w:sz w:val="20"/>
          <w:lang w:val="zh-CN"/>
        </w:rPr>
        <w:t>号。</w:t>
      </w:r>
    </w:p>
  </w:footnote>
  <w:footnote w:id="49">
    <w:p w14:paraId="708D6E83" w14:textId="77777777" w:rsidR="00EC38F6" w:rsidRDefault="00EC38F6">
      <w:pPr>
        <w:pStyle w:val="FootnoteText"/>
      </w:pPr>
      <w:r w:rsidRPr="006F13F4">
        <w:rPr>
          <w:rStyle w:val="FootnoteReference"/>
          <w:sz w:val="20"/>
        </w:rPr>
        <w:footnoteRef/>
      </w:r>
      <w:r w:rsidRPr="006F13F4">
        <w:rPr>
          <w:sz w:val="20"/>
        </w:rPr>
        <w:t xml:space="preserve"> </w:t>
      </w:r>
      <w:r w:rsidRPr="006F13F4">
        <w:rPr>
          <w:rFonts w:hint="eastAsia"/>
          <w:sz w:val="20"/>
          <w:lang w:val="zh-CN"/>
        </w:rPr>
        <w:t>第</w:t>
      </w:r>
      <w:hyperlink r:id="rId29" w:history="1">
        <w:r w:rsidRPr="006F13F4">
          <w:rPr>
            <w:rStyle w:val="Hyperlink"/>
            <w:sz w:val="20"/>
            <w:lang w:val="zh-CN"/>
          </w:rPr>
          <w:t>15/4</w:t>
        </w:r>
      </w:hyperlink>
      <w:r w:rsidRPr="006F13F4">
        <w:rPr>
          <w:rFonts w:hint="eastAsia"/>
          <w:kern w:val="22"/>
          <w:sz w:val="20"/>
          <w:lang w:val="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D6E4F" w14:textId="77777777" w:rsidR="00EC38F6" w:rsidRDefault="00EC38F6">
    <w:pPr>
      <w:pStyle w:val="CBDHeader"/>
      <w:rPr>
        <w:szCs w:val="24"/>
      </w:rPr>
    </w:pPr>
    <w:r>
      <w:rPr>
        <w:szCs w:val="24"/>
      </w:rPr>
      <w:t>CBD/SBSTTA/27/5/Add.3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D6E50" w14:textId="77777777" w:rsidR="00EC38F6" w:rsidRDefault="00EC38F6">
    <w:pPr>
      <w:pStyle w:val="CBDHeader"/>
      <w:jc w:val="right"/>
      <w:rPr>
        <w:szCs w:val="24"/>
      </w:rPr>
    </w:pPr>
    <w:r>
      <w:rPr>
        <w:szCs w:val="24"/>
      </w:rPr>
      <w:t>CBD/SBSTTA/27/5/Add.3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22704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77EE534"/>
    <w:lvl w:ilvl="0">
      <w:start w:val="1"/>
      <w:numFmt w:val="decimal"/>
      <w:lvlText w:val="%1."/>
      <w:lvlJc w:val="left"/>
      <w:pPr>
        <w:tabs>
          <w:tab w:val="num" w:pos="1620"/>
        </w:tabs>
        <w:ind w:left="1620" w:hanging="360"/>
      </w:pPr>
      <w:rPr>
        <w:rFonts w:cs="Times New Roman"/>
      </w:rPr>
    </w:lvl>
  </w:abstractNum>
  <w:abstractNum w:abstractNumId="2" w15:restartNumberingAfterBreak="0">
    <w:nsid w:val="FFFFFF7E"/>
    <w:multiLevelType w:val="singleLevel"/>
    <w:tmpl w:val="DCB83C9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A82545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19CFED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B6EE280"/>
    <w:lvl w:ilvl="0">
      <w:start w:val="1"/>
      <w:numFmt w:val="bullet"/>
      <w:pStyle w:val="CBDNormalNumber"/>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DF206DA2"/>
    <w:lvl w:ilvl="0">
      <w:start w:val="1"/>
      <w:numFmt w:val="bullet"/>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38F22A9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B1893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B24CAA8"/>
    <w:lvl w:ilvl="0">
      <w:start w:val="1"/>
      <w:numFmt w:val="bullet"/>
      <w:pStyle w:val="Heading5"/>
      <w:lvlText w:val=""/>
      <w:lvlJc w:val="left"/>
      <w:pPr>
        <w:tabs>
          <w:tab w:val="num" w:pos="360"/>
        </w:tabs>
        <w:ind w:left="360" w:hanging="360"/>
      </w:pPr>
      <w:rPr>
        <w:rFonts w:ascii="Symbol" w:hAnsi="Symbol" w:hint="default"/>
      </w:rPr>
    </w:lvl>
  </w:abstractNum>
  <w:abstractNum w:abstractNumId="10" w15:restartNumberingAfterBreak="0">
    <w:nsid w:val="2ACE4C5C"/>
    <w:multiLevelType w:val="multilevel"/>
    <w:tmpl w:val="222A08B4"/>
    <w:numStyleLink w:val="ListCBD"/>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CDA1E90"/>
    <w:multiLevelType w:val="multilevel"/>
    <w:tmpl w:val="222A08B4"/>
    <w:numStyleLink w:val="ListCBD"/>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6" w15:restartNumberingAfterBreak="0">
    <w:nsid w:val="7F9D7A1E"/>
    <w:multiLevelType w:val="multilevel"/>
    <w:tmpl w:val="222A08B4"/>
    <w:numStyleLink w:val="ListCBD"/>
  </w:abstractNum>
  <w:num w:numId="1" w16cid:durableId="1056901618">
    <w:abstractNumId w:val="9"/>
  </w:num>
  <w:num w:numId="2" w16cid:durableId="1078286694">
    <w:abstractNumId w:val="7"/>
  </w:num>
  <w:num w:numId="3" w16cid:durableId="913202079">
    <w:abstractNumId w:val="6"/>
  </w:num>
  <w:num w:numId="4" w16cid:durableId="986742776">
    <w:abstractNumId w:val="5"/>
  </w:num>
  <w:num w:numId="5" w16cid:durableId="500856531">
    <w:abstractNumId w:val="4"/>
  </w:num>
  <w:num w:numId="6" w16cid:durableId="867135827">
    <w:abstractNumId w:val="8"/>
  </w:num>
  <w:num w:numId="7" w16cid:durableId="1069156446">
    <w:abstractNumId w:val="3"/>
  </w:num>
  <w:num w:numId="8" w16cid:durableId="91559855">
    <w:abstractNumId w:val="2"/>
  </w:num>
  <w:num w:numId="9" w16cid:durableId="293099378">
    <w:abstractNumId w:val="1"/>
  </w:num>
  <w:num w:numId="10" w16cid:durableId="365377374">
    <w:abstractNumId w:val="0"/>
  </w:num>
  <w:num w:numId="11" w16cid:durableId="1219589569">
    <w:abstractNumId w:val="6"/>
  </w:num>
  <w:num w:numId="12" w16cid:durableId="130095929">
    <w:abstractNumId w:val="5"/>
  </w:num>
  <w:num w:numId="13" w16cid:durableId="2066372278">
    <w:abstractNumId w:val="1"/>
  </w:num>
  <w:num w:numId="14" w16cid:durableId="1811049174">
    <w:abstractNumId w:val="15"/>
  </w:num>
  <w:num w:numId="15" w16cid:durableId="191958488">
    <w:abstractNumId w:val="11"/>
  </w:num>
  <w:num w:numId="16" w16cid:durableId="290982151">
    <w:abstractNumId w:val="14"/>
  </w:num>
  <w:num w:numId="17" w16cid:durableId="1748723894">
    <w:abstractNumId w:val="13"/>
  </w:num>
  <w:num w:numId="18" w16cid:durableId="733238946">
    <w:abstractNumId w:val="16"/>
  </w:num>
  <w:num w:numId="19" w16cid:durableId="473566232">
    <w:abstractNumId w:val="12"/>
  </w:num>
  <w:num w:numId="20" w16cid:durableId="1629235469">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19"/>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25933"/>
    <w:rsid w:val="000042AB"/>
    <w:rsid w:val="000042F3"/>
    <w:rsid w:val="000059E6"/>
    <w:rsid w:val="00010747"/>
    <w:rsid w:val="0001279E"/>
    <w:rsid w:val="00012E2E"/>
    <w:rsid w:val="000146A1"/>
    <w:rsid w:val="00015D67"/>
    <w:rsid w:val="00017F13"/>
    <w:rsid w:val="00017F1C"/>
    <w:rsid w:val="00020EA1"/>
    <w:rsid w:val="0002454B"/>
    <w:rsid w:val="000245F7"/>
    <w:rsid w:val="00024FAF"/>
    <w:rsid w:val="000266A6"/>
    <w:rsid w:val="00027762"/>
    <w:rsid w:val="00030D12"/>
    <w:rsid w:val="00030DA1"/>
    <w:rsid w:val="00033EB5"/>
    <w:rsid w:val="000342DE"/>
    <w:rsid w:val="0003604E"/>
    <w:rsid w:val="00037EA6"/>
    <w:rsid w:val="00037EEB"/>
    <w:rsid w:val="00041B18"/>
    <w:rsid w:val="000420E0"/>
    <w:rsid w:val="00042531"/>
    <w:rsid w:val="00042578"/>
    <w:rsid w:val="00042F71"/>
    <w:rsid w:val="00042F95"/>
    <w:rsid w:val="00043BD8"/>
    <w:rsid w:val="00043DC1"/>
    <w:rsid w:val="00043E7C"/>
    <w:rsid w:val="00044FB5"/>
    <w:rsid w:val="00045C1D"/>
    <w:rsid w:val="00045C71"/>
    <w:rsid w:val="00047D66"/>
    <w:rsid w:val="00051653"/>
    <w:rsid w:val="000522B2"/>
    <w:rsid w:val="00052A5F"/>
    <w:rsid w:val="0005644B"/>
    <w:rsid w:val="00061395"/>
    <w:rsid w:val="0006178F"/>
    <w:rsid w:val="00061AB2"/>
    <w:rsid w:val="00063593"/>
    <w:rsid w:val="000646C0"/>
    <w:rsid w:val="00065C49"/>
    <w:rsid w:val="0006639A"/>
    <w:rsid w:val="00066ADE"/>
    <w:rsid w:val="00070546"/>
    <w:rsid w:val="0007289E"/>
    <w:rsid w:val="00072982"/>
    <w:rsid w:val="00072D6D"/>
    <w:rsid w:val="00075B87"/>
    <w:rsid w:val="000762D4"/>
    <w:rsid w:val="0007728F"/>
    <w:rsid w:val="000772BC"/>
    <w:rsid w:val="00077EC9"/>
    <w:rsid w:val="00083A04"/>
    <w:rsid w:val="00085055"/>
    <w:rsid w:val="0008505A"/>
    <w:rsid w:val="00085A9B"/>
    <w:rsid w:val="00086362"/>
    <w:rsid w:val="00086949"/>
    <w:rsid w:val="00086C0C"/>
    <w:rsid w:val="00087860"/>
    <w:rsid w:val="0009292E"/>
    <w:rsid w:val="00095036"/>
    <w:rsid w:val="000955AA"/>
    <w:rsid w:val="000969B1"/>
    <w:rsid w:val="0009714C"/>
    <w:rsid w:val="000A051F"/>
    <w:rsid w:val="000A06F2"/>
    <w:rsid w:val="000A1253"/>
    <w:rsid w:val="000A2E50"/>
    <w:rsid w:val="000A3B7F"/>
    <w:rsid w:val="000A3B83"/>
    <w:rsid w:val="000A46BD"/>
    <w:rsid w:val="000A4B04"/>
    <w:rsid w:val="000A6142"/>
    <w:rsid w:val="000A757D"/>
    <w:rsid w:val="000B0F67"/>
    <w:rsid w:val="000B1DE9"/>
    <w:rsid w:val="000B438F"/>
    <w:rsid w:val="000B449E"/>
    <w:rsid w:val="000B6B75"/>
    <w:rsid w:val="000C2E3C"/>
    <w:rsid w:val="000C37A6"/>
    <w:rsid w:val="000C507E"/>
    <w:rsid w:val="000C51EC"/>
    <w:rsid w:val="000C61BB"/>
    <w:rsid w:val="000C65CD"/>
    <w:rsid w:val="000D0BC5"/>
    <w:rsid w:val="000D0E75"/>
    <w:rsid w:val="000D12B4"/>
    <w:rsid w:val="000D400A"/>
    <w:rsid w:val="000D5C27"/>
    <w:rsid w:val="000D6042"/>
    <w:rsid w:val="000D6E57"/>
    <w:rsid w:val="000E1E48"/>
    <w:rsid w:val="000E2228"/>
    <w:rsid w:val="000E225E"/>
    <w:rsid w:val="000E4135"/>
    <w:rsid w:val="000E5703"/>
    <w:rsid w:val="000E6891"/>
    <w:rsid w:val="000E6B65"/>
    <w:rsid w:val="000F0A60"/>
    <w:rsid w:val="000F205A"/>
    <w:rsid w:val="000F2E81"/>
    <w:rsid w:val="000F3F06"/>
    <w:rsid w:val="000F60E9"/>
    <w:rsid w:val="000F62B0"/>
    <w:rsid w:val="00103CBC"/>
    <w:rsid w:val="00103E27"/>
    <w:rsid w:val="00104A17"/>
    <w:rsid w:val="00105F54"/>
    <w:rsid w:val="001065E9"/>
    <w:rsid w:val="00107AE9"/>
    <w:rsid w:val="00107F3B"/>
    <w:rsid w:val="00112870"/>
    <w:rsid w:val="00112B65"/>
    <w:rsid w:val="001157F5"/>
    <w:rsid w:val="00120D06"/>
    <w:rsid w:val="001233E1"/>
    <w:rsid w:val="00124363"/>
    <w:rsid w:val="00125D92"/>
    <w:rsid w:val="001270C9"/>
    <w:rsid w:val="00127795"/>
    <w:rsid w:val="00131DF4"/>
    <w:rsid w:val="001321AF"/>
    <w:rsid w:val="00134444"/>
    <w:rsid w:val="00134A2B"/>
    <w:rsid w:val="00136E32"/>
    <w:rsid w:val="00144129"/>
    <w:rsid w:val="00144EAF"/>
    <w:rsid w:val="0014553F"/>
    <w:rsid w:val="00147081"/>
    <w:rsid w:val="00150087"/>
    <w:rsid w:val="0015022C"/>
    <w:rsid w:val="001528E1"/>
    <w:rsid w:val="001528E4"/>
    <w:rsid w:val="00154CCF"/>
    <w:rsid w:val="00155E3C"/>
    <w:rsid w:val="00160521"/>
    <w:rsid w:val="00160C1A"/>
    <w:rsid w:val="00162E5C"/>
    <w:rsid w:val="00165819"/>
    <w:rsid w:val="00165F9E"/>
    <w:rsid w:val="00170B99"/>
    <w:rsid w:val="00171B5B"/>
    <w:rsid w:val="0017314F"/>
    <w:rsid w:val="0017513A"/>
    <w:rsid w:val="00175FCC"/>
    <w:rsid w:val="00182753"/>
    <w:rsid w:val="001833EC"/>
    <w:rsid w:val="00184766"/>
    <w:rsid w:val="00184891"/>
    <w:rsid w:val="00184F94"/>
    <w:rsid w:val="001878D5"/>
    <w:rsid w:val="00190711"/>
    <w:rsid w:val="00191509"/>
    <w:rsid w:val="00191E49"/>
    <w:rsid w:val="00191FA2"/>
    <w:rsid w:val="0019274F"/>
    <w:rsid w:val="00193073"/>
    <w:rsid w:val="00197639"/>
    <w:rsid w:val="00197664"/>
    <w:rsid w:val="001A01DF"/>
    <w:rsid w:val="001A02D3"/>
    <w:rsid w:val="001A0F5C"/>
    <w:rsid w:val="001A1F58"/>
    <w:rsid w:val="001A2505"/>
    <w:rsid w:val="001A3F57"/>
    <w:rsid w:val="001A4270"/>
    <w:rsid w:val="001A48C1"/>
    <w:rsid w:val="001A4D9D"/>
    <w:rsid w:val="001A4F31"/>
    <w:rsid w:val="001A5A0D"/>
    <w:rsid w:val="001A5A37"/>
    <w:rsid w:val="001A7228"/>
    <w:rsid w:val="001A75E7"/>
    <w:rsid w:val="001A789C"/>
    <w:rsid w:val="001B314E"/>
    <w:rsid w:val="001B48C1"/>
    <w:rsid w:val="001B6D91"/>
    <w:rsid w:val="001C1266"/>
    <w:rsid w:val="001C12F0"/>
    <w:rsid w:val="001C1E54"/>
    <w:rsid w:val="001C6DE5"/>
    <w:rsid w:val="001C7822"/>
    <w:rsid w:val="001D02E7"/>
    <w:rsid w:val="001D23EE"/>
    <w:rsid w:val="001D3B15"/>
    <w:rsid w:val="001D4F36"/>
    <w:rsid w:val="001E372A"/>
    <w:rsid w:val="001E3D3D"/>
    <w:rsid w:val="001E5B3E"/>
    <w:rsid w:val="001E7CE2"/>
    <w:rsid w:val="001F0FDA"/>
    <w:rsid w:val="001F13C2"/>
    <w:rsid w:val="001F36BB"/>
    <w:rsid w:val="001F3B65"/>
    <w:rsid w:val="001F4546"/>
    <w:rsid w:val="001F52DA"/>
    <w:rsid w:val="001F5FD3"/>
    <w:rsid w:val="001F60D7"/>
    <w:rsid w:val="001F7C7F"/>
    <w:rsid w:val="00201F87"/>
    <w:rsid w:val="0020463A"/>
    <w:rsid w:val="002062D8"/>
    <w:rsid w:val="002062E2"/>
    <w:rsid w:val="002064B2"/>
    <w:rsid w:val="0021007B"/>
    <w:rsid w:val="00214A5E"/>
    <w:rsid w:val="00215F81"/>
    <w:rsid w:val="00217AE8"/>
    <w:rsid w:val="002203E6"/>
    <w:rsid w:val="00222A48"/>
    <w:rsid w:val="00222CB9"/>
    <w:rsid w:val="00224088"/>
    <w:rsid w:val="002240C6"/>
    <w:rsid w:val="002249EF"/>
    <w:rsid w:val="00225AAC"/>
    <w:rsid w:val="0022630A"/>
    <w:rsid w:val="0022667A"/>
    <w:rsid w:val="002277AC"/>
    <w:rsid w:val="0023217B"/>
    <w:rsid w:val="00232F58"/>
    <w:rsid w:val="0023341C"/>
    <w:rsid w:val="00233873"/>
    <w:rsid w:val="0023596E"/>
    <w:rsid w:val="00237FA2"/>
    <w:rsid w:val="002400D8"/>
    <w:rsid w:val="00241B58"/>
    <w:rsid w:val="00241E18"/>
    <w:rsid w:val="00242EFD"/>
    <w:rsid w:val="00243E31"/>
    <w:rsid w:val="002475C0"/>
    <w:rsid w:val="002507DC"/>
    <w:rsid w:val="0025097F"/>
    <w:rsid w:val="002515D0"/>
    <w:rsid w:val="00253F74"/>
    <w:rsid w:val="00254F07"/>
    <w:rsid w:val="00254FB4"/>
    <w:rsid w:val="002560E6"/>
    <w:rsid w:val="00261175"/>
    <w:rsid w:val="00266B08"/>
    <w:rsid w:val="00266D38"/>
    <w:rsid w:val="00270521"/>
    <w:rsid w:val="00270739"/>
    <w:rsid w:val="00272E59"/>
    <w:rsid w:val="0028002E"/>
    <w:rsid w:val="00280588"/>
    <w:rsid w:val="00281FC1"/>
    <w:rsid w:val="002833B4"/>
    <w:rsid w:val="0028685D"/>
    <w:rsid w:val="0028758F"/>
    <w:rsid w:val="0029454B"/>
    <w:rsid w:val="00296998"/>
    <w:rsid w:val="002A0BD9"/>
    <w:rsid w:val="002A242B"/>
    <w:rsid w:val="002A332D"/>
    <w:rsid w:val="002A3E94"/>
    <w:rsid w:val="002B22A5"/>
    <w:rsid w:val="002B4398"/>
    <w:rsid w:val="002B6D7D"/>
    <w:rsid w:val="002B7107"/>
    <w:rsid w:val="002B7B5E"/>
    <w:rsid w:val="002C009D"/>
    <w:rsid w:val="002C01CE"/>
    <w:rsid w:val="002C0504"/>
    <w:rsid w:val="002C191B"/>
    <w:rsid w:val="002C2E0B"/>
    <w:rsid w:val="002C2E11"/>
    <w:rsid w:val="002C36FA"/>
    <w:rsid w:val="002C5303"/>
    <w:rsid w:val="002C6775"/>
    <w:rsid w:val="002C6D7D"/>
    <w:rsid w:val="002C70B0"/>
    <w:rsid w:val="002C769E"/>
    <w:rsid w:val="002D0682"/>
    <w:rsid w:val="002D22B2"/>
    <w:rsid w:val="002D2D42"/>
    <w:rsid w:val="002D3B5E"/>
    <w:rsid w:val="002D4C7A"/>
    <w:rsid w:val="002D6555"/>
    <w:rsid w:val="002E003B"/>
    <w:rsid w:val="002E0205"/>
    <w:rsid w:val="002E0E55"/>
    <w:rsid w:val="002E1787"/>
    <w:rsid w:val="002E1DCD"/>
    <w:rsid w:val="002E2937"/>
    <w:rsid w:val="002E56C7"/>
    <w:rsid w:val="002E56FF"/>
    <w:rsid w:val="002E5921"/>
    <w:rsid w:val="002E62F8"/>
    <w:rsid w:val="002F3DFF"/>
    <w:rsid w:val="002F5C65"/>
    <w:rsid w:val="00300D9E"/>
    <w:rsid w:val="003012C6"/>
    <w:rsid w:val="003015A5"/>
    <w:rsid w:val="003052B2"/>
    <w:rsid w:val="00307BB5"/>
    <w:rsid w:val="003123DE"/>
    <w:rsid w:val="003132DF"/>
    <w:rsid w:val="00313E0D"/>
    <w:rsid w:val="00314288"/>
    <w:rsid w:val="0031478F"/>
    <w:rsid w:val="0031747E"/>
    <w:rsid w:val="00321B6F"/>
    <w:rsid w:val="00322194"/>
    <w:rsid w:val="003227EB"/>
    <w:rsid w:val="00324EDC"/>
    <w:rsid w:val="00325D52"/>
    <w:rsid w:val="00326466"/>
    <w:rsid w:val="00327D16"/>
    <w:rsid w:val="00331A64"/>
    <w:rsid w:val="003337AA"/>
    <w:rsid w:val="00335DF4"/>
    <w:rsid w:val="0033648B"/>
    <w:rsid w:val="003401C9"/>
    <w:rsid w:val="00341EC8"/>
    <w:rsid w:val="00344FFB"/>
    <w:rsid w:val="003476C6"/>
    <w:rsid w:val="00353049"/>
    <w:rsid w:val="00353B4B"/>
    <w:rsid w:val="0035540B"/>
    <w:rsid w:val="00357324"/>
    <w:rsid w:val="003600E9"/>
    <w:rsid w:val="0036177A"/>
    <w:rsid w:val="00362929"/>
    <w:rsid w:val="00362DCA"/>
    <w:rsid w:val="003644B1"/>
    <w:rsid w:val="00365561"/>
    <w:rsid w:val="00365EA8"/>
    <w:rsid w:val="00366C00"/>
    <w:rsid w:val="00367817"/>
    <w:rsid w:val="003679A4"/>
    <w:rsid w:val="00370607"/>
    <w:rsid w:val="003717FF"/>
    <w:rsid w:val="00373BF8"/>
    <w:rsid w:val="00376156"/>
    <w:rsid w:val="00377BBB"/>
    <w:rsid w:val="00380A63"/>
    <w:rsid w:val="0038482C"/>
    <w:rsid w:val="00384E4E"/>
    <w:rsid w:val="0038595A"/>
    <w:rsid w:val="00386992"/>
    <w:rsid w:val="00386EDA"/>
    <w:rsid w:val="00390FAB"/>
    <w:rsid w:val="0039229B"/>
    <w:rsid w:val="0039314B"/>
    <w:rsid w:val="003947D7"/>
    <w:rsid w:val="00396B5E"/>
    <w:rsid w:val="003A0016"/>
    <w:rsid w:val="003A01EC"/>
    <w:rsid w:val="003A03B8"/>
    <w:rsid w:val="003A4629"/>
    <w:rsid w:val="003A5E52"/>
    <w:rsid w:val="003A647C"/>
    <w:rsid w:val="003A656C"/>
    <w:rsid w:val="003A731C"/>
    <w:rsid w:val="003B042C"/>
    <w:rsid w:val="003B142B"/>
    <w:rsid w:val="003B142D"/>
    <w:rsid w:val="003B2377"/>
    <w:rsid w:val="003B2713"/>
    <w:rsid w:val="003B2A9F"/>
    <w:rsid w:val="003B3B36"/>
    <w:rsid w:val="003B3B5F"/>
    <w:rsid w:val="003B476E"/>
    <w:rsid w:val="003B57A8"/>
    <w:rsid w:val="003B5D62"/>
    <w:rsid w:val="003B5DC9"/>
    <w:rsid w:val="003B7688"/>
    <w:rsid w:val="003C1774"/>
    <w:rsid w:val="003C26B8"/>
    <w:rsid w:val="003C2D7A"/>
    <w:rsid w:val="003C2F94"/>
    <w:rsid w:val="003C5938"/>
    <w:rsid w:val="003C59EC"/>
    <w:rsid w:val="003C640F"/>
    <w:rsid w:val="003C778D"/>
    <w:rsid w:val="003D18A0"/>
    <w:rsid w:val="003D5DB1"/>
    <w:rsid w:val="003D6ED0"/>
    <w:rsid w:val="003D700C"/>
    <w:rsid w:val="003E0DFC"/>
    <w:rsid w:val="003E4410"/>
    <w:rsid w:val="003E53AB"/>
    <w:rsid w:val="003F0895"/>
    <w:rsid w:val="003F2916"/>
    <w:rsid w:val="003F5B4A"/>
    <w:rsid w:val="003F6919"/>
    <w:rsid w:val="004008CF"/>
    <w:rsid w:val="00402E21"/>
    <w:rsid w:val="0040325C"/>
    <w:rsid w:val="0040348A"/>
    <w:rsid w:val="004059F2"/>
    <w:rsid w:val="00406686"/>
    <w:rsid w:val="00411499"/>
    <w:rsid w:val="00411551"/>
    <w:rsid w:val="00412B88"/>
    <w:rsid w:val="004134F6"/>
    <w:rsid w:val="00414270"/>
    <w:rsid w:val="00414BCB"/>
    <w:rsid w:val="00414C89"/>
    <w:rsid w:val="00414F98"/>
    <w:rsid w:val="0041625A"/>
    <w:rsid w:val="00423ACE"/>
    <w:rsid w:val="004254A2"/>
    <w:rsid w:val="00426C6B"/>
    <w:rsid w:val="00427BB8"/>
    <w:rsid w:val="00430F59"/>
    <w:rsid w:val="004311DD"/>
    <w:rsid w:val="0043259C"/>
    <w:rsid w:val="00432D24"/>
    <w:rsid w:val="004339EF"/>
    <w:rsid w:val="00433B55"/>
    <w:rsid w:val="00435EEC"/>
    <w:rsid w:val="00436523"/>
    <w:rsid w:val="00437169"/>
    <w:rsid w:val="00443D7D"/>
    <w:rsid w:val="0044508A"/>
    <w:rsid w:val="004519FE"/>
    <w:rsid w:val="00451AB3"/>
    <w:rsid w:val="0045290D"/>
    <w:rsid w:val="004532FE"/>
    <w:rsid w:val="004538E8"/>
    <w:rsid w:val="004555C4"/>
    <w:rsid w:val="004561C0"/>
    <w:rsid w:val="0045681A"/>
    <w:rsid w:val="00456995"/>
    <w:rsid w:val="00456DAE"/>
    <w:rsid w:val="00461CF8"/>
    <w:rsid w:val="00462940"/>
    <w:rsid w:val="004649D0"/>
    <w:rsid w:val="00467ADC"/>
    <w:rsid w:val="004724B5"/>
    <w:rsid w:val="00475384"/>
    <w:rsid w:val="00476233"/>
    <w:rsid w:val="004763C2"/>
    <w:rsid w:val="00480C7D"/>
    <w:rsid w:val="004837C9"/>
    <w:rsid w:val="00484983"/>
    <w:rsid w:val="00486C1E"/>
    <w:rsid w:val="00487080"/>
    <w:rsid w:val="004916A1"/>
    <w:rsid w:val="00491A0D"/>
    <w:rsid w:val="00491C37"/>
    <w:rsid w:val="004959BE"/>
    <w:rsid w:val="00497F97"/>
    <w:rsid w:val="004A0708"/>
    <w:rsid w:val="004A07DC"/>
    <w:rsid w:val="004A17E6"/>
    <w:rsid w:val="004A5882"/>
    <w:rsid w:val="004B0554"/>
    <w:rsid w:val="004B1B7D"/>
    <w:rsid w:val="004B24A7"/>
    <w:rsid w:val="004B559D"/>
    <w:rsid w:val="004B639C"/>
    <w:rsid w:val="004B7332"/>
    <w:rsid w:val="004C2117"/>
    <w:rsid w:val="004C2209"/>
    <w:rsid w:val="004C2983"/>
    <w:rsid w:val="004C2A96"/>
    <w:rsid w:val="004C2E8B"/>
    <w:rsid w:val="004C5AD9"/>
    <w:rsid w:val="004C741D"/>
    <w:rsid w:val="004D09F3"/>
    <w:rsid w:val="004D0A31"/>
    <w:rsid w:val="004D1554"/>
    <w:rsid w:val="004D37DC"/>
    <w:rsid w:val="004D4637"/>
    <w:rsid w:val="004D5483"/>
    <w:rsid w:val="004D7486"/>
    <w:rsid w:val="004E0067"/>
    <w:rsid w:val="004E11BF"/>
    <w:rsid w:val="004E6374"/>
    <w:rsid w:val="004F2641"/>
    <w:rsid w:val="004F3D98"/>
    <w:rsid w:val="004F3DFE"/>
    <w:rsid w:val="004F4489"/>
    <w:rsid w:val="004F6477"/>
    <w:rsid w:val="004F672B"/>
    <w:rsid w:val="0050032A"/>
    <w:rsid w:val="005012FC"/>
    <w:rsid w:val="005016DE"/>
    <w:rsid w:val="005042BA"/>
    <w:rsid w:val="00511654"/>
    <w:rsid w:val="00512D7C"/>
    <w:rsid w:val="00513DBE"/>
    <w:rsid w:val="00515AD5"/>
    <w:rsid w:val="00516548"/>
    <w:rsid w:val="00516AA9"/>
    <w:rsid w:val="00517974"/>
    <w:rsid w:val="00517BAA"/>
    <w:rsid w:val="005206FA"/>
    <w:rsid w:val="00520BC5"/>
    <w:rsid w:val="005213EA"/>
    <w:rsid w:val="0052168F"/>
    <w:rsid w:val="005219EE"/>
    <w:rsid w:val="00522746"/>
    <w:rsid w:val="005230BD"/>
    <w:rsid w:val="00523366"/>
    <w:rsid w:val="00524951"/>
    <w:rsid w:val="00525274"/>
    <w:rsid w:val="005274F2"/>
    <w:rsid w:val="005325BD"/>
    <w:rsid w:val="005349A5"/>
    <w:rsid w:val="0053639C"/>
    <w:rsid w:val="00536647"/>
    <w:rsid w:val="005372AC"/>
    <w:rsid w:val="00540343"/>
    <w:rsid w:val="00540489"/>
    <w:rsid w:val="0054105D"/>
    <w:rsid w:val="0054444A"/>
    <w:rsid w:val="00544969"/>
    <w:rsid w:val="005449E8"/>
    <w:rsid w:val="0054714D"/>
    <w:rsid w:val="00547258"/>
    <w:rsid w:val="005504B7"/>
    <w:rsid w:val="00550E32"/>
    <w:rsid w:val="00553FA1"/>
    <w:rsid w:val="00557887"/>
    <w:rsid w:val="00557D1B"/>
    <w:rsid w:val="0056019F"/>
    <w:rsid w:val="00563309"/>
    <w:rsid w:val="00564B16"/>
    <w:rsid w:val="00565D00"/>
    <w:rsid w:val="00566CBC"/>
    <w:rsid w:val="0057027E"/>
    <w:rsid w:val="005709A6"/>
    <w:rsid w:val="005721FB"/>
    <w:rsid w:val="00572435"/>
    <w:rsid w:val="00572940"/>
    <w:rsid w:val="00572F50"/>
    <w:rsid w:val="00572F79"/>
    <w:rsid w:val="0057528F"/>
    <w:rsid w:val="00576123"/>
    <w:rsid w:val="00583A6C"/>
    <w:rsid w:val="005866DF"/>
    <w:rsid w:val="005877E7"/>
    <w:rsid w:val="00587814"/>
    <w:rsid w:val="00595A54"/>
    <w:rsid w:val="00595E95"/>
    <w:rsid w:val="00597B7B"/>
    <w:rsid w:val="005A05A1"/>
    <w:rsid w:val="005A29C4"/>
    <w:rsid w:val="005A39BD"/>
    <w:rsid w:val="005A5FEA"/>
    <w:rsid w:val="005A6E43"/>
    <w:rsid w:val="005A731D"/>
    <w:rsid w:val="005B16B1"/>
    <w:rsid w:val="005B2524"/>
    <w:rsid w:val="005B6C49"/>
    <w:rsid w:val="005B7DAE"/>
    <w:rsid w:val="005C01F7"/>
    <w:rsid w:val="005C33D4"/>
    <w:rsid w:val="005C35AA"/>
    <w:rsid w:val="005C5D61"/>
    <w:rsid w:val="005C63A8"/>
    <w:rsid w:val="005C7EC7"/>
    <w:rsid w:val="005D0841"/>
    <w:rsid w:val="005D0BA0"/>
    <w:rsid w:val="005D3301"/>
    <w:rsid w:val="005D4888"/>
    <w:rsid w:val="005E07E5"/>
    <w:rsid w:val="005E2A69"/>
    <w:rsid w:val="005E4972"/>
    <w:rsid w:val="005E57E4"/>
    <w:rsid w:val="005E5BA7"/>
    <w:rsid w:val="005E785F"/>
    <w:rsid w:val="005F0D7D"/>
    <w:rsid w:val="005F0EC2"/>
    <w:rsid w:val="005F0F5D"/>
    <w:rsid w:val="005F2698"/>
    <w:rsid w:val="005F30C7"/>
    <w:rsid w:val="005F341B"/>
    <w:rsid w:val="005F48BB"/>
    <w:rsid w:val="005F5A73"/>
    <w:rsid w:val="005F65C2"/>
    <w:rsid w:val="005F7887"/>
    <w:rsid w:val="0060154D"/>
    <w:rsid w:val="006018C8"/>
    <w:rsid w:val="006021DB"/>
    <w:rsid w:val="00602379"/>
    <w:rsid w:val="00602CFA"/>
    <w:rsid w:val="00604C90"/>
    <w:rsid w:val="0060500C"/>
    <w:rsid w:val="0061068F"/>
    <w:rsid w:val="006106B6"/>
    <w:rsid w:val="00614767"/>
    <w:rsid w:val="00616AE6"/>
    <w:rsid w:val="006203A7"/>
    <w:rsid w:val="00621909"/>
    <w:rsid w:val="00623F5B"/>
    <w:rsid w:val="00624477"/>
    <w:rsid w:val="0062731B"/>
    <w:rsid w:val="00627546"/>
    <w:rsid w:val="00627B1E"/>
    <w:rsid w:val="00630510"/>
    <w:rsid w:val="00630943"/>
    <w:rsid w:val="006309FF"/>
    <w:rsid w:val="00630DC1"/>
    <w:rsid w:val="00632180"/>
    <w:rsid w:val="00632D8B"/>
    <w:rsid w:val="00636B5C"/>
    <w:rsid w:val="00642910"/>
    <w:rsid w:val="00647E41"/>
    <w:rsid w:val="006503CD"/>
    <w:rsid w:val="00651531"/>
    <w:rsid w:val="006538D5"/>
    <w:rsid w:val="0065425B"/>
    <w:rsid w:val="00654745"/>
    <w:rsid w:val="00654CC5"/>
    <w:rsid w:val="00654CC7"/>
    <w:rsid w:val="00661CC6"/>
    <w:rsid w:val="00663FEE"/>
    <w:rsid w:val="00664F74"/>
    <w:rsid w:val="0066595F"/>
    <w:rsid w:val="0067156D"/>
    <w:rsid w:val="006739DF"/>
    <w:rsid w:val="00675299"/>
    <w:rsid w:val="006801A0"/>
    <w:rsid w:val="00680A14"/>
    <w:rsid w:val="006832C7"/>
    <w:rsid w:val="00683B66"/>
    <w:rsid w:val="0068783E"/>
    <w:rsid w:val="00690D78"/>
    <w:rsid w:val="00691AA9"/>
    <w:rsid w:val="00695DB3"/>
    <w:rsid w:val="00695F00"/>
    <w:rsid w:val="0069602D"/>
    <w:rsid w:val="00696C55"/>
    <w:rsid w:val="006A1247"/>
    <w:rsid w:val="006A348E"/>
    <w:rsid w:val="006A5E9C"/>
    <w:rsid w:val="006A6158"/>
    <w:rsid w:val="006B30A9"/>
    <w:rsid w:val="006B33F8"/>
    <w:rsid w:val="006B3F14"/>
    <w:rsid w:val="006B49C5"/>
    <w:rsid w:val="006B6D3E"/>
    <w:rsid w:val="006B707B"/>
    <w:rsid w:val="006C124D"/>
    <w:rsid w:val="006C31D0"/>
    <w:rsid w:val="006C32F9"/>
    <w:rsid w:val="006C37BC"/>
    <w:rsid w:val="006C3CEE"/>
    <w:rsid w:val="006C4C33"/>
    <w:rsid w:val="006C77CD"/>
    <w:rsid w:val="006C7F1D"/>
    <w:rsid w:val="006D1261"/>
    <w:rsid w:val="006D2907"/>
    <w:rsid w:val="006D4309"/>
    <w:rsid w:val="006D44BF"/>
    <w:rsid w:val="006D53F6"/>
    <w:rsid w:val="006D5723"/>
    <w:rsid w:val="006E052C"/>
    <w:rsid w:val="006E18CB"/>
    <w:rsid w:val="006E4A50"/>
    <w:rsid w:val="006E5ECC"/>
    <w:rsid w:val="006E7F43"/>
    <w:rsid w:val="006F13F4"/>
    <w:rsid w:val="006F1EB6"/>
    <w:rsid w:val="006F2CBA"/>
    <w:rsid w:val="006F3EFD"/>
    <w:rsid w:val="006F54B2"/>
    <w:rsid w:val="006F7C45"/>
    <w:rsid w:val="006F7E0B"/>
    <w:rsid w:val="00700199"/>
    <w:rsid w:val="00700E25"/>
    <w:rsid w:val="007014EC"/>
    <w:rsid w:val="00701FD3"/>
    <w:rsid w:val="00704706"/>
    <w:rsid w:val="00711509"/>
    <w:rsid w:val="007124F0"/>
    <w:rsid w:val="007145C1"/>
    <w:rsid w:val="00715986"/>
    <w:rsid w:val="007161A1"/>
    <w:rsid w:val="007163D0"/>
    <w:rsid w:val="00717395"/>
    <w:rsid w:val="00722354"/>
    <w:rsid w:val="007225AA"/>
    <w:rsid w:val="007254D3"/>
    <w:rsid w:val="007255B8"/>
    <w:rsid w:val="00730D05"/>
    <w:rsid w:val="00734A82"/>
    <w:rsid w:val="00734AE0"/>
    <w:rsid w:val="00735BB3"/>
    <w:rsid w:val="00735CBF"/>
    <w:rsid w:val="00741D44"/>
    <w:rsid w:val="00742D43"/>
    <w:rsid w:val="0074371E"/>
    <w:rsid w:val="00743ADC"/>
    <w:rsid w:val="00743F65"/>
    <w:rsid w:val="00744EC1"/>
    <w:rsid w:val="00745823"/>
    <w:rsid w:val="00746D17"/>
    <w:rsid w:val="00747F0E"/>
    <w:rsid w:val="00750FCE"/>
    <w:rsid w:val="00755517"/>
    <w:rsid w:val="00756182"/>
    <w:rsid w:val="00756F31"/>
    <w:rsid w:val="00757587"/>
    <w:rsid w:val="007578DE"/>
    <w:rsid w:val="007631B6"/>
    <w:rsid w:val="007632A3"/>
    <w:rsid w:val="0076612F"/>
    <w:rsid w:val="00767136"/>
    <w:rsid w:val="007671EE"/>
    <w:rsid w:val="0077025A"/>
    <w:rsid w:val="007709BF"/>
    <w:rsid w:val="00770D5D"/>
    <w:rsid w:val="007733B2"/>
    <w:rsid w:val="00773553"/>
    <w:rsid w:val="00775088"/>
    <w:rsid w:val="00775F53"/>
    <w:rsid w:val="007767B0"/>
    <w:rsid w:val="00780B25"/>
    <w:rsid w:val="0078199B"/>
    <w:rsid w:val="00781B41"/>
    <w:rsid w:val="00783FA0"/>
    <w:rsid w:val="00783FA8"/>
    <w:rsid w:val="00791A80"/>
    <w:rsid w:val="007922BB"/>
    <w:rsid w:val="00794DB9"/>
    <w:rsid w:val="00795894"/>
    <w:rsid w:val="007969BF"/>
    <w:rsid w:val="00796C22"/>
    <w:rsid w:val="00796CF6"/>
    <w:rsid w:val="007A1032"/>
    <w:rsid w:val="007A1F82"/>
    <w:rsid w:val="007A2A54"/>
    <w:rsid w:val="007A45DA"/>
    <w:rsid w:val="007A4752"/>
    <w:rsid w:val="007A5071"/>
    <w:rsid w:val="007A593B"/>
    <w:rsid w:val="007A5F92"/>
    <w:rsid w:val="007A62DE"/>
    <w:rsid w:val="007B1CF6"/>
    <w:rsid w:val="007B46B0"/>
    <w:rsid w:val="007B5FF5"/>
    <w:rsid w:val="007B6DC8"/>
    <w:rsid w:val="007B7702"/>
    <w:rsid w:val="007C3561"/>
    <w:rsid w:val="007C36D5"/>
    <w:rsid w:val="007C3AFC"/>
    <w:rsid w:val="007C5101"/>
    <w:rsid w:val="007C5965"/>
    <w:rsid w:val="007C6813"/>
    <w:rsid w:val="007D0801"/>
    <w:rsid w:val="007D3F84"/>
    <w:rsid w:val="007D45C6"/>
    <w:rsid w:val="007D684A"/>
    <w:rsid w:val="007D685E"/>
    <w:rsid w:val="007D6D07"/>
    <w:rsid w:val="007D7DF4"/>
    <w:rsid w:val="007E06F4"/>
    <w:rsid w:val="007E14A4"/>
    <w:rsid w:val="007E1B80"/>
    <w:rsid w:val="007E2B28"/>
    <w:rsid w:val="007E38DC"/>
    <w:rsid w:val="007E3E46"/>
    <w:rsid w:val="007E5B79"/>
    <w:rsid w:val="007E5DFD"/>
    <w:rsid w:val="007E60E9"/>
    <w:rsid w:val="007E745D"/>
    <w:rsid w:val="007F1437"/>
    <w:rsid w:val="007F1FFE"/>
    <w:rsid w:val="007F2F86"/>
    <w:rsid w:val="007F3200"/>
    <w:rsid w:val="007F3D46"/>
    <w:rsid w:val="007F3DAD"/>
    <w:rsid w:val="007F4BD3"/>
    <w:rsid w:val="007F4ECB"/>
    <w:rsid w:val="007F7A7D"/>
    <w:rsid w:val="007F7E27"/>
    <w:rsid w:val="007F7F0D"/>
    <w:rsid w:val="00801C63"/>
    <w:rsid w:val="00806431"/>
    <w:rsid w:val="0081043F"/>
    <w:rsid w:val="00814268"/>
    <w:rsid w:val="00815759"/>
    <w:rsid w:val="00816354"/>
    <w:rsid w:val="00821853"/>
    <w:rsid w:val="00822EF2"/>
    <w:rsid w:val="0082305A"/>
    <w:rsid w:val="00823E3B"/>
    <w:rsid w:val="00826766"/>
    <w:rsid w:val="00827B60"/>
    <w:rsid w:val="00830DCA"/>
    <w:rsid w:val="0083533E"/>
    <w:rsid w:val="00835859"/>
    <w:rsid w:val="00841A73"/>
    <w:rsid w:val="008425C0"/>
    <w:rsid w:val="00843EF7"/>
    <w:rsid w:val="008477AA"/>
    <w:rsid w:val="00852644"/>
    <w:rsid w:val="00853637"/>
    <w:rsid w:val="008545DB"/>
    <w:rsid w:val="008624A9"/>
    <w:rsid w:val="00862DC2"/>
    <w:rsid w:val="00863975"/>
    <w:rsid w:val="00864944"/>
    <w:rsid w:val="00864A5F"/>
    <w:rsid w:val="00865D06"/>
    <w:rsid w:val="00867586"/>
    <w:rsid w:val="00870D81"/>
    <w:rsid w:val="008733BE"/>
    <w:rsid w:val="00873774"/>
    <w:rsid w:val="00874934"/>
    <w:rsid w:val="00875082"/>
    <w:rsid w:val="0087637D"/>
    <w:rsid w:val="008768C9"/>
    <w:rsid w:val="00880ABB"/>
    <w:rsid w:val="00882C85"/>
    <w:rsid w:val="00882DA2"/>
    <w:rsid w:val="00886BB8"/>
    <w:rsid w:val="00890B4F"/>
    <w:rsid w:val="00890D8A"/>
    <w:rsid w:val="0089133C"/>
    <w:rsid w:val="00891DD4"/>
    <w:rsid w:val="00895D85"/>
    <w:rsid w:val="00896509"/>
    <w:rsid w:val="00897138"/>
    <w:rsid w:val="008977F2"/>
    <w:rsid w:val="008A03E6"/>
    <w:rsid w:val="008A35D2"/>
    <w:rsid w:val="008A685E"/>
    <w:rsid w:val="008A6F23"/>
    <w:rsid w:val="008A73C9"/>
    <w:rsid w:val="008B0056"/>
    <w:rsid w:val="008B0FDA"/>
    <w:rsid w:val="008B3191"/>
    <w:rsid w:val="008B4B20"/>
    <w:rsid w:val="008B6AEF"/>
    <w:rsid w:val="008B756D"/>
    <w:rsid w:val="008C1036"/>
    <w:rsid w:val="008C50AA"/>
    <w:rsid w:val="008C58C2"/>
    <w:rsid w:val="008C5B50"/>
    <w:rsid w:val="008D0508"/>
    <w:rsid w:val="008D4499"/>
    <w:rsid w:val="008D57B7"/>
    <w:rsid w:val="008D5B63"/>
    <w:rsid w:val="008D67A3"/>
    <w:rsid w:val="008D6BB1"/>
    <w:rsid w:val="008D74E5"/>
    <w:rsid w:val="008D7635"/>
    <w:rsid w:val="008D76DF"/>
    <w:rsid w:val="008E0131"/>
    <w:rsid w:val="008E1F1F"/>
    <w:rsid w:val="008E3915"/>
    <w:rsid w:val="008E3ECF"/>
    <w:rsid w:val="008E79DE"/>
    <w:rsid w:val="008E7A40"/>
    <w:rsid w:val="008F07AD"/>
    <w:rsid w:val="008F2781"/>
    <w:rsid w:val="008F3499"/>
    <w:rsid w:val="008F3526"/>
    <w:rsid w:val="008F3580"/>
    <w:rsid w:val="008F50AC"/>
    <w:rsid w:val="008F6F3D"/>
    <w:rsid w:val="008F73F7"/>
    <w:rsid w:val="00904C8D"/>
    <w:rsid w:val="00913F88"/>
    <w:rsid w:val="00913FFE"/>
    <w:rsid w:val="00914EE1"/>
    <w:rsid w:val="0092041A"/>
    <w:rsid w:val="00920E4E"/>
    <w:rsid w:val="00921DEA"/>
    <w:rsid w:val="00924052"/>
    <w:rsid w:val="009240EB"/>
    <w:rsid w:val="0093176F"/>
    <w:rsid w:val="00931BA2"/>
    <w:rsid w:val="00935080"/>
    <w:rsid w:val="00936079"/>
    <w:rsid w:val="009378DB"/>
    <w:rsid w:val="00942A9C"/>
    <w:rsid w:val="00946C7D"/>
    <w:rsid w:val="00946FCD"/>
    <w:rsid w:val="00947F17"/>
    <w:rsid w:val="00953B1E"/>
    <w:rsid w:val="00954B12"/>
    <w:rsid w:val="00955446"/>
    <w:rsid w:val="00955D54"/>
    <w:rsid w:val="00955DA8"/>
    <w:rsid w:val="00957F3D"/>
    <w:rsid w:val="00957FF5"/>
    <w:rsid w:val="009607BA"/>
    <w:rsid w:val="00960A38"/>
    <w:rsid w:val="00961DFE"/>
    <w:rsid w:val="00962822"/>
    <w:rsid w:val="0096610E"/>
    <w:rsid w:val="0096699F"/>
    <w:rsid w:val="00971FCE"/>
    <w:rsid w:val="00972240"/>
    <w:rsid w:val="009724A6"/>
    <w:rsid w:val="009741AA"/>
    <w:rsid w:val="00974D71"/>
    <w:rsid w:val="009752E8"/>
    <w:rsid w:val="009806D1"/>
    <w:rsid w:val="00982457"/>
    <w:rsid w:val="009847D0"/>
    <w:rsid w:val="0098658C"/>
    <w:rsid w:val="00990487"/>
    <w:rsid w:val="009905F1"/>
    <w:rsid w:val="00991335"/>
    <w:rsid w:val="00992EFF"/>
    <w:rsid w:val="0099384E"/>
    <w:rsid w:val="00994DA2"/>
    <w:rsid w:val="00995140"/>
    <w:rsid w:val="009957BA"/>
    <w:rsid w:val="00996680"/>
    <w:rsid w:val="009A00B1"/>
    <w:rsid w:val="009A3240"/>
    <w:rsid w:val="009A4088"/>
    <w:rsid w:val="009A5444"/>
    <w:rsid w:val="009A7671"/>
    <w:rsid w:val="009B0423"/>
    <w:rsid w:val="009B1582"/>
    <w:rsid w:val="009B27C9"/>
    <w:rsid w:val="009B4C05"/>
    <w:rsid w:val="009B7403"/>
    <w:rsid w:val="009C0BBB"/>
    <w:rsid w:val="009C15DD"/>
    <w:rsid w:val="009C5650"/>
    <w:rsid w:val="009D08C1"/>
    <w:rsid w:val="009D3362"/>
    <w:rsid w:val="009D4B89"/>
    <w:rsid w:val="009D4F1D"/>
    <w:rsid w:val="009D6D13"/>
    <w:rsid w:val="009E077D"/>
    <w:rsid w:val="009E254E"/>
    <w:rsid w:val="009E3636"/>
    <w:rsid w:val="009E7E61"/>
    <w:rsid w:val="009F0E03"/>
    <w:rsid w:val="009F133B"/>
    <w:rsid w:val="009F3DD2"/>
    <w:rsid w:val="009F54D9"/>
    <w:rsid w:val="009F67EB"/>
    <w:rsid w:val="00A00C20"/>
    <w:rsid w:val="00A0570A"/>
    <w:rsid w:val="00A05B97"/>
    <w:rsid w:val="00A065A7"/>
    <w:rsid w:val="00A078AA"/>
    <w:rsid w:val="00A07D65"/>
    <w:rsid w:val="00A1112A"/>
    <w:rsid w:val="00A136D6"/>
    <w:rsid w:val="00A14C33"/>
    <w:rsid w:val="00A15D69"/>
    <w:rsid w:val="00A161BD"/>
    <w:rsid w:val="00A177C2"/>
    <w:rsid w:val="00A20B6C"/>
    <w:rsid w:val="00A226A8"/>
    <w:rsid w:val="00A2435B"/>
    <w:rsid w:val="00A267E7"/>
    <w:rsid w:val="00A26C14"/>
    <w:rsid w:val="00A31A3D"/>
    <w:rsid w:val="00A344C2"/>
    <w:rsid w:val="00A35D41"/>
    <w:rsid w:val="00A40B56"/>
    <w:rsid w:val="00A41E19"/>
    <w:rsid w:val="00A42FA8"/>
    <w:rsid w:val="00A455B3"/>
    <w:rsid w:val="00A45629"/>
    <w:rsid w:val="00A47193"/>
    <w:rsid w:val="00A47AB8"/>
    <w:rsid w:val="00A47C81"/>
    <w:rsid w:val="00A51200"/>
    <w:rsid w:val="00A52326"/>
    <w:rsid w:val="00A525AF"/>
    <w:rsid w:val="00A54B54"/>
    <w:rsid w:val="00A54DC9"/>
    <w:rsid w:val="00A57C7F"/>
    <w:rsid w:val="00A609D7"/>
    <w:rsid w:val="00A60A09"/>
    <w:rsid w:val="00A60DBF"/>
    <w:rsid w:val="00A644C5"/>
    <w:rsid w:val="00A66143"/>
    <w:rsid w:val="00A716D9"/>
    <w:rsid w:val="00A71CD5"/>
    <w:rsid w:val="00A74BD1"/>
    <w:rsid w:val="00A7536F"/>
    <w:rsid w:val="00A77DBC"/>
    <w:rsid w:val="00A77FF7"/>
    <w:rsid w:val="00A802A5"/>
    <w:rsid w:val="00A811FD"/>
    <w:rsid w:val="00A8304C"/>
    <w:rsid w:val="00A865EA"/>
    <w:rsid w:val="00A87412"/>
    <w:rsid w:val="00A92513"/>
    <w:rsid w:val="00A93146"/>
    <w:rsid w:val="00A93465"/>
    <w:rsid w:val="00A94AA7"/>
    <w:rsid w:val="00A95ADD"/>
    <w:rsid w:val="00A97021"/>
    <w:rsid w:val="00A97B3E"/>
    <w:rsid w:val="00AA0178"/>
    <w:rsid w:val="00AA101C"/>
    <w:rsid w:val="00AA1A76"/>
    <w:rsid w:val="00AA1B81"/>
    <w:rsid w:val="00AA25D2"/>
    <w:rsid w:val="00AA2D22"/>
    <w:rsid w:val="00AA343A"/>
    <w:rsid w:val="00AA37C8"/>
    <w:rsid w:val="00AA42E2"/>
    <w:rsid w:val="00AA5B98"/>
    <w:rsid w:val="00AA5EAD"/>
    <w:rsid w:val="00AB4406"/>
    <w:rsid w:val="00AB5618"/>
    <w:rsid w:val="00AB7AA1"/>
    <w:rsid w:val="00AC0232"/>
    <w:rsid w:val="00AC0A59"/>
    <w:rsid w:val="00AC0ABF"/>
    <w:rsid w:val="00AC156C"/>
    <w:rsid w:val="00AC29E5"/>
    <w:rsid w:val="00AC4F77"/>
    <w:rsid w:val="00AC531C"/>
    <w:rsid w:val="00AC66D5"/>
    <w:rsid w:val="00AD16D1"/>
    <w:rsid w:val="00AD1C6F"/>
    <w:rsid w:val="00AD1D06"/>
    <w:rsid w:val="00AD2577"/>
    <w:rsid w:val="00AD335A"/>
    <w:rsid w:val="00AD479B"/>
    <w:rsid w:val="00AE374B"/>
    <w:rsid w:val="00AE3F72"/>
    <w:rsid w:val="00AE5F09"/>
    <w:rsid w:val="00AE7549"/>
    <w:rsid w:val="00AE7CAF"/>
    <w:rsid w:val="00AE7DF3"/>
    <w:rsid w:val="00AF0172"/>
    <w:rsid w:val="00AF0D51"/>
    <w:rsid w:val="00AF3457"/>
    <w:rsid w:val="00AF4462"/>
    <w:rsid w:val="00AF4FF6"/>
    <w:rsid w:val="00AF5547"/>
    <w:rsid w:val="00AF5568"/>
    <w:rsid w:val="00AF60F6"/>
    <w:rsid w:val="00B046F2"/>
    <w:rsid w:val="00B066BF"/>
    <w:rsid w:val="00B07687"/>
    <w:rsid w:val="00B10B5B"/>
    <w:rsid w:val="00B11B0C"/>
    <w:rsid w:val="00B12417"/>
    <w:rsid w:val="00B1249C"/>
    <w:rsid w:val="00B1325C"/>
    <w:rsid w:val="00B15E0A"/>
    <w:rsid w:val="00B20A80"/>
    <w:rsid w:val="00B2114C"/>
    <w:rsid w:val="00B26A6E"/>
    <w:rsid w:val="00B27890"/>
    <w:rsid w:val="00B30F35"/>
    <w:rsid w:val="00B31F1C"/>
    <w:rsid w:val="00B33037"/>
    <w:rsid w:val="00B36206"/>
    <w:rsid w:val="00B36470"/>
    <w:rsid w:val="00B3686D"/>
    <w:rsid w:val="00B37DF4"/>
    <w:rsid w:val="00B41BC0"/>
    <w:rsid w:val="00B44E1C"/>
    <w:rsid w:val="00B450DF"/>
    <w:rsid w:val="00B4525A"/>
    <w:rsid w:val="00B45559"/>
    <w:rsid w:val="00B45890"/>
    <w:rsid w:val="00B45C77"/>
    <w:rsid w:val="00B45CCA"/>
    <w:rsid w:val="00B45F3C"/>
    <w:rsid w:val="00B50573"/>
    <w:rsid w:val="00B52947"/>
    <w:rsid w:val="00B53F6C"/>
    <w:rsid w:val="00B55319"/>
    <w:rsid w:val="00B57E9C"/>
    <w:rsid w:val="00B6018C"/>
    <w:rsid w:val="00B654EC"/>
    <w:rsid w:val="00B67A72"/>
    <w:rsid w:val="00B70C50"/>
    <w:rsid w:val="00B71925"/>
    <w:rsid w:val="00B72012"/>
    <w:rsid w:val="00B83915"/>
    <w:rsid w:val="00B83EFB"/>
    <w:rsid w:val="00B84DF2"/>
    <w:rsid w:val="00B875B7"/>
    <w:rsid w:val="00B87ADD"/>
    <w:rsid w:val="00B9070E"/>
    <w:rsid w:val="00B91650"/>
    <w:rsid w:val="00B9398F"/>
    <w:rsid w:val="00B93B19"/>
    <w:rsid w:val="00B95C7F"/>
    <w:rsid w:val="00B9633C"/>
    <w:rsid w:val="00BA12B3"/>
    <w:rsid w:val="00BA14DA"/>
    <w:rsid w:val="00BA5A6E"/>
    <w:rsid w:val="00BA7FE8"/>
    <w:rsid w:val="00BB01BF"/>
    <w:rsid w:val="00BB288F"/>
    <w:rsid w:val="00BB2A45"/>
    <w:rsid w:val="00BB2AA8"/>
    <w:rsid w:val="00BB4786"/>
    <w:rsid w:val="00BB53DC"/>
    <w:rsid w:val="00BB5F6C"/>
    <w:rsid w:val="00BB6BA2"/>
    <w:rsid w:val="00BB7FDB"/>
    <w:rsid w:val="00BC01FA"/>
    <w:rsid w:val="00BC0C34"/>
    <w:rsid w:val="00BC2658"/>
    <w:rsid w:val="00BC40D3"/>
    <w:rsid w:val="00BC4D2A"/>
    <w:rsid w:val="00BC6409"/>
    <w:rsid w:val="00BD012E"/>
    <w:rsid w:val="00BD0877"/>
    <w:rsid w:val="00BD67CD"/>
    <w:rsid w:val="00BD69C1"/>
    <w:rsid w:val="00BD70DB"/>
    <w:rsid w:val="00BD782F"/>
    <w:rsid w:val="00BD7DD7"/>
    <w:rsid w:val="00BE3EB9"/>
    <w:rsid w:val="00BE4CA1"/>
    <w:rsid w:val="00BE50EB"/>
    <w:rsid w:val="00BE551C"/>
    <w:rsid w:val="00BE63AD"/>
    <w:rsid w:val="00BF0F89"/>
    <w:rsid w:val="00BF112F"/>
    <w:rsid w:val="00BF1B83"/>
    <w:rsid w:val="00BF2D23"/>
    <w:rsid w:val="00BF369B"/>
    <w:rsid w:val="00BF463B"/>
    <w:rsid w:val="00BF48F7"/>
    <w:rsid w:val="00BF4982"/>
    <w:rsid w:val="00BF5A38"/>
    <w:rsid w:val="00BF68E7"/>
    <w:rsid w:val="00C008D9"/>
    <w:rsid w:val="00C0274F"/>
    <w:rsid w:val="00C04E04"/>
    <w:rsid w:val="00C058AF"/>
    <w:rsid w:val="00C06A9F"/>
    <w:rsid w:val="00C07420"/>
    <w:rsid w:val="00C105A8"/>
    <w:rsid w:val="00C1189C"/>
    <w:rsid w:val="00C129FE"/>
    <w:rsid w:val="00C12AB6"/>
    <w:rsid w:val="00C147B2"/>
    <w:rsid w:val="00C16099"/>
    <w:rsid w:val="00C16EBB"/>
    <w:rsid w:val="00C16FAF"/>
    <w:rsid w:val="00C203A4"/>
    <w:rsid w:val="00C20A51"/>
    <w:rsid w:val="00C22A16"/>
    <w:rsid w:val="00C24142"/>
    <w:rsid w:val="00C25933"/>
    <w:rsid w:val="00C26EC3"/>
    <w:rsid w:val="00C31AB5"/>
    <w:rsid w:val="00C327AD"/>
    <w:rsid w:val="00C3507F"/>
    <w:rsid w:val="00C3513D"/>
    <w:rsid w:val="00C36609"/>
    <w:rsid w:val="00C36B28"/>
    <w:rsid w:val="00C413E2"/>
    <w:rsid w:val="00C41FD6"/>
    <w:rsid w:val="00C42695"/>
    <w:rsid w:val="00C42E5D"/>
    <w:rsid w:val="00C4322B"/>
    <w:rsid w:val="00C447F5"/>
    <w:rsid w:val="00C44F12"/>
    <w:rsid w:val="00C462B1"/>
    <w:rsid w:val="00C476C6"/>
    <w:rsid w:val="00C50697"/>
    <w:rsid w:val="00C524B4"/>
    <w:rsid w:val="00C54CEB"/>
    <w:rsid w:val="00C553DC"/>
    <w:rsid w:val="00C578F6"/>
    <w:rsid w:val="00C61807"/>
    <w:rsid w:val="00C63FDF"/>
    <w:rsid w:val="00C6431D"/>
    <w:rsid w:val="00C65CF0"/>
    <w:rsid w:val="00C67268"/>
    <w:rsid w:val="00C709C7"/>
    <w:rsid w:val="00C73CC6"/>
    <w:rsid w:val="00C8049F"/>
    <w:rsid w:val="00C8203C"/>
    <w:rsid w:val="00C8294E"/>
    <w:rsid w:val="00C829B0"/>
    <w:rsid w:val="00C8366C"/>
    <w:rsid w:val="00C83A75"/>
    <w:rsid w:val="00C841A5"/>
    <w:rsid w:val="00C876A4"/>
    <w:rsid w:val="00C92D78"/>
    <w:rsid w:val="00C93847"/>
    <w:rsid w:val="00C9405B"/>
    <w:rsid w:val="00C942C4"/>
    <w:rsid w:val="00CA0EE9"/>
    <w:rsid w:val="00CA125D"/>
    <w:rsid w:val="00CA1A6D"/>
    <w:rsid w:val="00CA5749"/>
    <w:rsid w:val="00CA5879"/>
    <w:rsid w:val="00CA7088"/>
    <w:rsid w:val="00CB1101"/>
    <w:rsid w:val="00CB14CC"/>
    <w:rsid w:val="00CB1E5A"/>
    <w:rsid w:val="00CB29F1"/>
    <w:rsid w:val="00CB3C35"/>
    <w:rsid w:val="00CB50A7"/>
    <w:rsid w:val="00CB5FE9"/>
    <w:rsid w:val="00CC09C1"/>
    <w:rsid w:val="00CC1D89"/>
    <w:rsid w:val="00CC4C23"/>
    <w:rsid w:val="00CD0742"/>
    <w:rsid w:val="00CD1683"/>
    <w:rsid w:val="00CD2279"/>
    <w:rsid w:val="00CD39FD"/>
    <w:rsid w:val="00CD3F03"/>
    <w:rsid w:val="00CD49B0"/>
    <w:rsid w:val="00CD4EA2"/>
    <w:rsid w:val="00CD6CDD"/>
    <w:rsid w:val="00CD6DDE"/>
    <w:rsid w:val="00CD7AAE"/>
    <w:rsid w:val="00CD7BD4"/>
    <w:rsid w:val="00CE0842"/>
    <w:rsid w:val="00CE1D74"/>
    <w:rsid w:val="00CE20D2"/>
    <w:rsid w:val="00CE3BF3"/>
    <w:rsid w:val="00CE4ACC"/>
    <w:rsid w:val="00CE57DC"/>
    <w:rsid w:val="00CF0305"/>
    <w:rsid w:val="00CF037B"/>
    <w:rsid w:val="00CF0915"/>
    <w:rsid w:val="00CF1151"/>
    <w:rsid w:val="00CF3B81"/>
    <w:rsid w:val="00CF65DD"/>
    <w:rsid w:val="00D02413"/>
    <w:rsid w:val="00D025B9"/>
    <w:rsid w:val="00D03934"/>
    <w:rsid w:val="00D10CEE"/>
    <w:rsid w:val="00D130AD"/>
    <w:rsid w:val="00D131C4"/>
    <w:rsid w:val="00D16985"/>
    <w:rsid w:val="00D200BF"/>
    <w:rsid w:val="00D22DAD"/>
    <w:rsid w:val="00D32CDC"/>
    <w:rsid w:val="00D33A0F"/>
    <w:rsid w:val="00D3400A"/>
    <w:rsid w:val="00D345A8"/>
    <w:rsid w:val="00D353F6"/>
    <w:rsid w:val="00D36F94"/>
    <w:rsid w:val="00D378AB"/>
    <w:rsid w:val="00D37E48"/>
    <w:rsid w:val="00D40DBE"/>
    <w:rsid w:val="00D421E8"/>
    <w:rsid w:val="00D428D7"/>
    <w:rsid w:val="00D42D9C"/>
    <w:rsid w:val="00D44FF3"/>
    <w:rsid w:val="00D45E5B"/>
    <w:rsid w:val="00D51A33"/>
    <w:rsid w:val="00D5502D"/>
    <w:rsid w:val="00D565A1"/>
    <w:rsid w:val="00D57227"/>
    <w:rsid w:val="00D64C89"/>
    <w:rsid w:val="00D6505A"/>
    <w:rsid w:val="00D65136"/>
    <w:rsid w:val="00D66271"/>
    <w:rsid w:val="00D666CE"/>
    <w:rsid w:val="00D66E21"/>
    <w:rsid w:val="00D675E4"/>
    <w:rsid w:val="00D67F58"/>
    <w:rsid w:val="00D7043B"/>
    <w:rsid w:val="00D7067E"/>
    <w:rsid w:val="00D70722"/>
    <w:rsid w:val="00D718AB"/>
    <w:rsid w:val="00D727EB"/>
    <w:rsid w:val="00D72D37"/>
    <w:rsid w:val="00D73200"/>
    <w:rsid w:val="00D73488"/>
    <w:rsid w:val="00D760AB"/>
    <w:rsid w:val="00D760E0"/>
    <w:rsid w:val="00D76C22"/>
    <w:rsid w:val="00D7745F"/>
    <w:rsid w:val="00D77669"/>
    <w:rsid w:val="00D77CB7"/>
    <w:rsid w:val="00D80A3B"/>
    <w:rsid w:val="00D81041"/>
    <w:rsid w:val="00D81B7E"/>
    <w:rsid w:val="00D827F4"/>
    <w:rsid w:val="00D86EC7"/>
    <w:rsid w:val="00D87508"/>
    <w:rsid w:val="00D87A7D"/>
    <w:rsid w:val="00D91F0E"/>
    <w:rsid w:val="00D92B76"/>
    <w:rsid w:val="00D92BD2"/>
    <w:rsid w:val="00D933CE"/>
    <w:rsid w:val="00D94654"/>
    <w:rsid w:val="00D94F08"/>
    <w:rsid w:val="00D95FFF"/>
    <w:rsid w:val="00D9758A"/>
    <w:rsid w:val="00DA0FF4"/>
    <w:rsid w:val="00DA1874"/>
    <w:rsid w:val="00DA23FB"/>
    <w:rsid w:val="00DA3948"/>
    <w:rsid w:val="00DA4043"/>
    <w:rsid w:val="00DA5075"/>
    <w:rsid w:val="00DA529B"/>
    <w:rsid w:val="00DA5415"/>
    <w:rsid w:val="00DA717D"/>
    <w:rsid w:val="00DA7551"/>
    <w:rsid w:val="00DB3ED0"/>
    <w:rsid w:val="00DB4695"/>
    <w:rsid w:val="00DB5368"/>
    <w:rsid w:val="00DB6C19"/>
    <w:rsid w:val="00DB7533"/>
    <w:rsid w:val="00DC3FDF"/>
    <w:rsid w:val="00DC5C0A"/>
    <w:rsid w:val="00DC767B"/>
    <w:rsid w:val="00DD0344"/>
    <w:rsid w:val="00DD105C"/>
    <w:rsid w:val="00DD1C5A"/>
    <w:rsid w:val="00DD24C8"/>
    <w:rsid w:val="00DD27E9"/>
    <w:rsid w:val="00DD6B8A"/>
    <w:rsid w:val="00DD76E4"/>
    <w:rsid w:val="00DD7906"/>
    <w:rsid w:val="00DE02A9"/>
    <w:rsid w:val="00DE0F70"/>
    <w:rsid w:val="00DE1C78"/>
    <w:rsid w:val="00DE5D49"/>
    <w:rsid w:val="00DE72B4"/>
    <w:rsid w:val="00DE72D2"/>
    <w:rsid w:val="00DF07E2"/>
    <w:rsid w:val="00DF0BC4"/>
    <w:rsid w:val="00DF1B52"/>
    <w:rsid w:val="00DF39A0"/>
    <w:rsid w:val="00DF3E3B"/>
    <w:rsid w:val="00DF40EF"/>
    <w:rsid w:val="00DF5A79"/>
    <w:rsid w:val="00DF5DD2"/>
    <w:rsid w:val="00DF78C4"/>
    <w:rsid w:val="00E02552"/>
    <w:rsid w:val="00E03B3F"/>
    <w:rsid w:val="00E06687"/>
    <w:rsid w:val="00E07763"/>
    <w:rsid w:val="00E10059"/>
    <w:rsid w:val="00E14F4D"/>
    <w:rsid w:val="00E1510A"/>
    <w:rsid w:val="00E15A23"/>
    <w:rsid w:val="00E16FBF"/>
    <w:rsid w:val="00E17F8A"/>
    <w:rsid w:val="00E21EC4"/>
    <w:rsid w:val="00E22379"/>
    <w:rsid w:val="00E22B4C"/>
    <w:rsid w:val="00E23853"/>
    <w:rsid w:val="00E24A40"/>
    <w:rsid w:val="00E26634"/>
    <w:rsid w:val="00E303A4"/>
    <w:rsid w:val="00E30BBD"/>
    <w:rsid w:val="00E325FA"/>
    <w:rsid w:val="00E346AA"/>
    <w:rsid w:val="00E3624F"/>
    <w:rsid w:val="00E363F7"/>
    <w:rsid w:val="00E3670D"/>
    <w:rsid w:val="00E42D5D"/>
    <w:rsid w:val="00E430C0"/>
    <w:rsid w:val="00E44EC7"/>
    <w:rsid w:val="00E47B07"/>
    <w:rsid w:val="00E5379C"/>
    <w:rsid w:val="00E54248"/>
    <w:rsid w:val="00E549B7"/>
    <w:rsid w:val="00E55FD1"/>
    <w:rsid w:val="00E61A5D"/>
    <w:rsid w:val="00E62451"/>
    <w:rsid w:val="00E65660"/>
    <w:rsid w:val="00E66EF2"/>
    <w:rsid w:val="00E67D6B"/>
    <w:rsid w:val="00E70B20"/>
    <w:rsid w:val="00E73A60"/>
    <w:rsid w:val="00E76124"/>
    <w:rsid w:val="00E768C3"/>
    <w:rsid w:val="00E771E4"/>
    <w:rsid w:val="00E77941"/>
    <w:rsid w:val="00E81A96"/>
    <w:rsid w:val="00E82E01"/>
    <w:rsid w:val="00E8415D"/>
    <w:rsid w:val="00E8636D"/>
    <w:rsid w:val="00E874DC"/>
    <w:rsid w:val="00E905F1"/>
    <w:rsid w:val="00E90C5C"/>
    <w:rsid w:val="00E94083"/>
    <w:rsid w:val="00E94CAF"/>
    <w:rsid w:val="00E95245"/>
    <w:rsid w:val="00E95F53"/>
    <w:rsid w:val="00E97302"/>
    <w:rsid w:val="00E97DCA"/>
    <w:rsid w:val="00EA0D1B"/>
    <w:rsid w:val="00EA1347"/>
    <w:rsid w:val="00EA146A"/>
    <w:rsid w:val="00EA35D0"/>
    <w:rsid w:val="00EA6C01"/>
    <w:rsid w:val="00EB3B09"/>
    <w:rsid w:val="00EB48F4"/>
    <w:rsid w:val="00EC38F6"/>
    <w:rsid w:val="00EC63CE"/>
    <w:rsid w:val="00EC6DF1"/>
    <w:rsid w:val="00EC7980"/>
    <w:rsid w:val="00ED0748"/>
    <w:rsid w:val="00ED0D3F"/>
    <w:rsid w:val="00ED1EF0"/>
    <w:rsid w:val="00ED28A9"/>
    <w:rsid w:val="00ED2C0B"/>
    <w:rsid w:val="00ED3D61"/>
    <w:rsid w:val="00ED4652"/>
    <w:rsid w:val="00ED6F0D"/>
    <w:rsid w:val="00EE059A"/>
    <w:rsid w:val="00EE1481"/>
    <w:rsid w:val="00EE3902"/>
    <w:rsid w:val="00EE3F28"/>
    <w:rsid w:val="00EE4EC2"/>
    <w:rsid w:val="00EE5002"/>
    <w:rsid w:val="00EE5662"/>
    <w:rsid w:val="00EE5933"/>
    <w:rsid w:val="00EF1780"/>
    <w:rsid w:val="00EF2A76"/>
    <w:rsid w:val="00EF2BC0"/>
    <w:rsid w:val="00EF319A"/>
    <w:rsid w:val="00EF4821"/>
    <w:rsid w:val="00F030DF"/>
    <w:rsid w:val="00F0321C"/>
    <w:rsid w:val="00F037E9"/>
    <w:rsid w:val="00F07207"/>
    <w:rsid w:val="00F1052E"/>
    <w:rsid w:val="00F10C8F"/>
    <w:rsid w:val="00F117A7"/>
    <w:rsid w:val="00F121C8"/>
    <w:rsid w:val="00F126CA"/>
    <w:rsid w:val="00F14250"/>
    <w:rsid w:val="00F14C4D"/>
    <w:rsid w:val="00F167A9"/>
    <w:rsid w:val="00F2004F"/>
    <w:rsid w:val="00F205BC"/>
    <w:rsid w:val="00F215B9"/>
    <w:rsid w:val="00F250FC"/>
    <w:rsid w:val="00F25169"/>
    <w:rsid w:val="00F25B40"/>
    <w:rsid w:val="00F26D6B"/>
    <w:rsid w:val="00F30A44"/>
    <w:rsid w:val="00F31D3C"/>
    <w:rsid w:val="00F3220E"/>
    <w:rsid w:val="00F32C7D"/>
    <w:rsid w:val="00F34851"/>
    <w:rsid w:val="00F34F61"/>
    <w:rsid w:val="00F3691F"/>
    <w:rsid w:val="00F40032"/>
    <w:rsid w:val="00F41F23"/>
    <w:rsid w:val="00F42152"/>
    <w:rsid w:val="00F43FD1"/>
    <w:rsid w:val="00F51847"/>
    <w:rsid w:val="00F54A4E"/>
    <w:rsid w:val="00F56168"/>
    <w:rsid w:val="00F56614"/>
    <w:rsid w:val="00F61414"/>
    <w:rsid w:val="00F6277D"/>
    <w:rsid w:val="00F635D3"/>
    <w:rsid w:val="00F63716"/>
    <w:rsid w:val="00F63FCE"/>
    <w:rsid w:val="00F6460C"/>
    <w:rsid w:val="00F6526D"/>
    <w:rsid w:val="00F65669"/>
    <w:rsid w:val="00F6729B"/>
    <w:rsid w:val="00F72BDC"/>
    <w:rsid w:val="00F7742C"/>
    <w:rsid w:val="00F804A0"/>
    <w:rsid w:val="00F81D80"/>
    <w:rsid w:val="00F8295C"/>
    <w:rsid w:val="00F8444F"/>
    <w:rsid w:val="00F85713"/>
    <w:rsid w:val="00F86383"/>
    <w:rsid w:val="00F863D0"/>
    <w:rsid w:val="00F866F0"/>
    <w:rsid w:val="00F9311F"/>
    <w:rsid w:val="00F93C54"/>
    <w:rsid w:val="00F94CC4"/>
    <w:rsid w:val="00F95FA0"/>
    <w:rsid w:val="00F96B66"/>
    <w:rsid w:val="00FA10C9"/>
    <w:rsid w:val="00FA1E91"/>
    <w:rsid w:val="00FA2281"/>
    <w:rsid w:val="00FA469E"/>
    <w:rsid w:val="00FA4D2B"/>
    <w:rsid w:val="00FA50D3"/>
    <w:rsid w:val="00FA544D"/>
    <w:rsid w:val="00FA6A81"/>
    <w:rsid w:val="00FA70BE"/>
    <w:rsid w:val="00FA7704"/>
    <w:rsid w:val="00FB1E11"/>
    <w:rsid w:val="00FB2009"/>
    <w:rsid w:val="00FB279A"/>
    <w:rsid w:val="00FB3844"/>
    <w:rsid w:val="00FB4480"/>
    <w:rsid w:val="00FB54D8"/>
    <w:rsid w:val="00FB6212"/>
    <w:rsid w:val="00FC2A17"/>
    <w:rsid w:val="00FC3374"/>
    <w:rsid w:val="00FC5CFA"/>
    <w:rsid w:val="00FC63AF"/>
    <w:rsid w:val="00FC6EB7"/>
    <w:rsid w:val="00FC7571"/>
    <w:rsid w:val="00FC7DF7"/>
    <w:rsid w:val="00FD17A8"/>
    <w:rsid w:val="00FD3C1D"/>
    <w:rsid w:val="00FD4A1B"/>
    <w:rsid w:val="00FE0B62"/>
    <w:rsid w:val="00FF0149"/>
    <w:rsid w:val="00FF206A"/>
    <w:rsid w:val="00FF2D8C"/>
    <w:rsid w:val="00FF4384"/>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9"/>
    <o:shapelayout v:ext="edit">
      <o:idmap v:ext="edit" data="1"/>
    </o:shapelayout>
  </w:shapeDefaults>
  <w:decimalSymbol w:val="."/>
  <w:listSeparator w:val=","/>
  <w14:docId w14:val="708D6D85"/>
  <w15:docId w15:val="{602A3EF9-1E29-478A-AA74-7E0441C89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lang w:val="en-GB"/>
    </w:rPr>
  </w:style>
  <w:style w:type="paragraph" w:styleId="Heading1">
    <w:name w:val="heading 1"/>
    <w:basedOn w:val="Normal"/>
    <w:next w:val="Heading2"/>
    <w:link w:val="Heading1Char"/>
    <w:uiPriority w:val="99"/>
    <w:qFormat/>
    <w:pPr>
      <w:keepNext/>
      <w:keepLines/>
      <w:numPr>
        <w:numId w:val="1"/>
      </w:numPr>
      <w:tabs>
        <w:tab w:val="clear" w:pos="360"/>
        <w:tab w:val="num" w:pos="567"/>
      </w:tabs>
      <w:spacing w:before="240" w:after="120"/>
      <w:ind w:left="567" w:hanging="567"/>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1"/>
      </w:numPr>
      <w:tabs>
        <w:tab w:val="clear" w:pos="360"/>
        <w:tab w:val="num" w:pos="567"/>
      </w:tabs>
      <w:spacing w:before="120" w:after="120"/>
      <w:ind w:left="567" w:hanging="567"/>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1"/>
      </w:numPr>
      <w:tabs>
        <w:tab w:val="clear" w:pos="360"/>
        <w:tab w:val="num" w:pos="567"/>
      </w:tabs>
      <w:spacing w:before="120" w:after="120"/>
      <w:ind w:left="567" w:hanging="567"/>
      <w:jc w:val="left"/>
      <w:outlineLvl w:val="2"/>
    </w:pPr>
    <w:rPr>
      <w:b/>
      <w:bCs/>
    </w:rPr>
  </w:style>
  <w:style w:type="paragraph" w:styleId="Heading4">
    <w:name w:val="heading 4"/>
    <w:basedOn w:val="Normal"/>
    <w:next w:val="CBDNormalNumber"/>
    <w:link w:val="Heading4Char"/>
    <w:uiPriority w:val="99"/>
    <w:qFormat/>
    <w:pPr>
      <w:keepNext/>
      <w:numPr>
        <w:ilvl w:val="3"/>
        <w:numId w:val="1"/>
      </w:numPr>
      <w:tabs>
        <w:tab w:val="clear" w:pos="360"/>
        <w:tab w:val="num" w:pos="567"/>
      </w:tabs>
      <w:spacing w:before="120" w:after="120"/>
      <w:ind w:left="567" w:hanging="567"/>
      <w:jc w:val="left"/>
      <w:outlineLvl w:val="3"/>
    </w:pPr>
    <w:rPr>
      <w:b/>
      <w:bCs/>
    </w:rPr>
  </w:style>
  <w:style w:type="paragraph" w:styleId="Heading5">
    <w:name w:val="heading 5"/>
    <w:basedOn w:val="Normal"/>
    <w:next w:val="Normal"/>
    <w:link w:val="Heading5Char"/>
    <w:uiPriority w:val="99"/>
    <w:qFormat/>
    <w:pPr>
      <w:keepNext/>
      <w:numPr>
        <w:ilvl w:val="4"/>
        <w:numId w:val="1"/>
      </w:numPr>
      <w:tabs>
        <w:tab w:val="clear" w:pos="360"/>
        <w:tab w:val="num" w:pos="567"/>
      </w:tabs>
      <w:spacing w:before="120" w:after="120"/>
      <w:ind w:left="567" w:hanging="567"/>
      <w:jc w:val="left"/>
      <w:outlineLvl w:val="4"/>
    </w:pPr>
    <w:rPr>
      <w:i/>
      <w:iCs/>
    </w:rPr>
  </w:style>
  <w:style w:type="paragraph" w:styleId="Heading6">
    <w:name w:val="heading 6"/>
    <w:basedOn w:val="Normal"/>
    <w:next w:val="Normal"/>
    <w:link w:val="Heading6Char"/>
    <w:uiPriority w:val="99"/>
    <w:qFormat/>
    <w:pPr>
      <w:keepNext/>
      <w:keepLines/>
      <w:numPr>
        <w:ilvl w:val="5"/>
        <w:numId w:val="1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1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1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1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0E2"/>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6A50E2"/>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6A50E2"/>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6A50E2"/>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
    <w:semiHidden/>
    <w:rsid w:val="006A50E2"/>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9"/>
    <w:rsid w:val="006A50E2"/>
    <w:rPr>
      <w:bCs/>
      <w:sz w:val="24"/>
      <w:lang w:val="en-GB"/>
    </w:rPr>
  </w:style>
  <w:style w:type="character" w:customStyle="1" w:styleId="Heading7Char">
    <w:name w:val="Heading 7 Char"/>
    <w:basedOn w:val="DefaultParagraphFont"/>
    <w:link w:val="Heading7"/>
    <w:uiPriority w:val="99"/>
    <w:rsid w:val="006A50E2"/>
    <w:rPr>
      <w:b/>
      <w:u w:val="single"/>
      <w:lang w:val="en-GB"/>
    </w:rPr>
  </w:style>
  <w:style w:type="character" w:customStyle="1" w:styleId="Heading8Char">
    <w:name w:val="Heading 8 Char"/>
    <w:basedOn w:val="DefaultParagraphFont"/>
    <w:link w:val="Heading8"/>
    <w:uiPriority w:val="99"/>
    <w:rsid w:val="006A50E2"/>
    <w:rPr>
      <w:b/>
      <w:u w:val="single"/>
      <w:lang w:val="en-GB"/>
    </w:rPr>
  </w:style>
  <w:style w:type="character" w:customStyle="1" w:styleId="Heading9Char">
    <w:name w:val="Heading 9 Char"/>
    <w:basedOn w:val="DefaultParagraphFont"/>
    <w:link w:val="Heading9"/>
    <w:uiPriority w:val="99"/>
    <w:rsid w:val="006A50E2"/>
    <w:rPr>
      <w:u w:val="single"/>
      <w:lang w:val="en-GB"/>
    </w:rPr>
  </w:style>
  <w:style w:type="character" w:customStyle="1" w:styleId="CharChar36">
    <w:name w:val="Char Char36"/>
    <w:uiPriority w:val="99"/>
    <w:locked/>
    <w:rPr>
      <w:rFonts w:ascii="Times New Roman" w:eastAsia="Times New Roman" w:hAnsi="Times New Roman"/>
      <w:b/>
      <w:sz w:val="32"/>
      <w:lang w:val="en-GB"/>
    </w:rPr>
  </w:style>
  <w:style w:type="character" w:customStyle="1" w:styleId="CharChar35">
    <w:name w:val="Char Char35"/>
    <w:uiPriority w:val="99"/>
    <w:locked/>
    <w:rPr>
      <w:rFonts w:ascii="Times New Roman Bold" w:eastAsia="Times New Roman" w:hAnsi="Times New Roman Bold"/>
      <w:b/>
      <w:kern w:val="0"/>
      <w:sz w:val="26"/>
      <w:lang w:val="en-GB"/>
    </w:rPr>
  </w:style>
  <w:style w:type="character" w:customStyle="1" w:styleId="CharChar34">
    <w:name w:val="Char Char34"/>
    <w:uiPriority w:val="99"/>
    <w:locked/>
    <w:rPr>
      <w:rFonts w:ascii="Times New Roman" w:eastAsia="Times New Roman" w:hAnsi="Times New Roman"/>
      <w:b/>
      <w:kern w:val="0"/>
      <w:sz w:val="22"/>
      <w:lang w:val="en-GB"/>
    </w:rPr>
  </w:style>
  <w:style w:type="character" w:customStyle="1" w:styleId="CharChar33">
    <w:name w:val="Char Char33"/>
    <w:uiPriority w:val="99"/>
    <w:locked/>
    <w:rPr>
      <w:rFonts w:ascii="Times New Roman" w:eastAsia="Times New Roman" w:hAnsi="Times New Roman"/>
      <w:b/>
      <w:kern w:val="0"/>
      <w:sz w:val="22"/>
      <w:lang w:val="en-GB"/>
    </w:rPr>
  </w:style>
  <w:style w:type="character" w:customStyle="1" w:styleId="CharChar32">
    <w:name w:val="Char Char32"/>
    <w:uiPriority w:val="99"/>
    <w:locked/>
    <w:rPr>
      <w:rFonts w:ascii="Times New Roman" w:eastAsia="Times New Roman" w:hAnsi="Times New Roman"/>
      <w:i/>
      <w:kern w:val="0"/>
      <w:sz w:val="22"/>
      <w:lang w:val="en-GB"/>
    </w:rPr>
  </w:style>
  <w:style w:type="character" w:customStyle="1" w:styleId="CharChar31">
    <w:name w:val="Char Char31"/>
    <w:uiPriority w:val="99"/>
    <w:semiHidden/>
    <w:locked/>
    <w:rPr>
      <w:rFonts w:ascii="Times New Roman" w:eastAsia="SimSun" w:hAnsi="Times New Roman"/>
      <w:kern w:val="0"/>
      <w:sz w:val="22"/>
      <w:lang w:val="en-GB"/>
    </w:rPr>
  </w:style>
  <w:style w:type="character" w:customStyle="1" w:styleId="CharChar30">
    <w:name w:val="Char Char30"/>
    <w:uiPriority w:val="99"/>
    <w:semiHidden/>
    <w:locked/>
    <w:rPr>
      <w:rFonts w:ascii="Times New Roman" w:eastAsia="SimSun" w:hAnsi="Times New Roman"/>
      <w:b/>
      <w:snapToGrid w:val="0"/>
      <w:kern w:val="0"/>
      <w:sz w:val="22"/>
      <w:u w:val="single"/>
      <w:lang w:val="en-GB"/>
    </w:rPr>
  </w:style>
  <w:style w:type="character" w:customStyle="1" w:styleId="CharChar29">
    <w:name w:val="Char Char29"/>
    <w:uiPriority w:val="99"/>
    <w:semiHidden/>
    <w:locked/>
    <w:rPr>
      <w:rFonts w:ascii="Times New Roman" w:eastAsia="SimSun" w:hAnsi="Times New Roman"/>
      <w:b/>
      <w:snapToGrid w:val="0"/>
      <w:kern w:val="0"/>
      <w:sz w:val="22"/>
      <w:u w:val="single"/>
      <w:lang w:val="en-GB"/>
    </w:rPr>
  </w:style>
  <w:style w:type="character" w:customStyle="1" w:styleId="CharChar28">
    <w:name w:val="Char Char28"/>
    <w:uiPriority w:val="99"/>
    <w:semiHidden/>
    <w:locked/>
    <w:rPr>
      <w:rFonts w:ascii="Times New Roman" w:eastAsia="SimSun" w:hAnsi="Times New Roman"/>
      <w:snapToGrid w:val="0"/>
      <w:kern w:val="0"/>
      <w:sz w:val="22"/>
      <w:u w:val="single"/>
      <w:lang w:val="en-GB"/>
    </w:rPr>
  </w:style>
  <w:style w:type="paragraph" w:styleId="Title">
    <w:name w:val="Title"/>
    <w:basedOn w:val="Normal"/>
    <w:next w:val="Normal"/>
    <w:link w:val="TitleChar"/>
    <w:uiPriority w:val="99"/>
    <w:qFormat/>
    <w:pPr>
      <w:spacing w:after="80"/>
      <w:contextualSpacing/>
    </w:pPr>
    <w:rPr>
      <w:spacing w:val="-10"/>
      <w:kern w:val="28"/>
      <w:sz w:val="56"/>
      <w:szCs w:val="56"/>
    </w:rPr>
  </w:style>
  <w:style w:type="character" w:customStyle="1" w:styleId="TitleChar">
    <w:name w:val="Title Char"/>
    <w:basedOn w:val="DefaultParagraphFont"/>
    <w:link w:val="Title"/>
    <w:uiPriority w:val="10"/>
    <w:rsid w:val="006A50E2"/>
    <w:rPr>
      <w:rFonts w:asciiTheme="majorHAnsi" w:eastAsiaTheme="majorEastAsia" w:hAnsiTheme="majorHAnsi" w:cstheme="majorBidi"/>
      <w:b/>
      <w:bCs/>
      <w:kern w:val="28"/>
      <w:sz w:val="32"/>
      <w:szCs w:val="32"/>
      <w:lang w:val="en-GB"/>
    </w:rPr>
  </w:style>
  <w:style w:type="character" w:customStyle="1" w:styleId="CharChar27">
    <w:name w:val="Char Char27"/>
    <w:uiPriority w:val="99"/>
    <w:locked/>
    <w:rPr>
      <w:rFonts w:ascii="Times New Roman" w:eastAsia="Times New Roman" w:hAnsi="Times New Roman"/>
      <w:spacing w:val="-10"/>
      <w:kern w:val="28"/>
      <w:sz w:val="56"/>
      <w:lang w:val="en-GB"/>
    </w:rPr>
  </w:style>
  <w:style w:type="paragraph" w:styleId="Subtitle">
    <w:name w:val="Subtitle"/>
    <w:basedOn w:val="Normal"/>
    <w:next w:val="Normal"/>
    <w:link w:val="SubtitleChar"/>
    <w:uiPriority w:val="99"/>
    <w:qFormat/>
    <w:pPr>
      <w:numPr>
        <w:ilvl w:val="1"/>
      </w:numPr>
    </w:pPr>
    <w:rPr>
      <w:color w:val="595959"/>
      <w:spacing w:val="15"/>
      <w:sz w:val="28"/>
      <w:szCs w:val="28"/>
    </w:rPr>
  </w:style>
  <w:style w:type="character" w:customStyle="1" w:styleId="SubtitleChar">
    <w:name w:val="Subtitle Char"/>
    <w:basedOn w:val="DefaultParagraphFont"/>
    <w:link w:val="Subtitle"/>
    <w:uiPriority w:val="11"/>
    <w:rsid w:val="006A50E2"/>
    <w:rPr>
      <w:rFonts w:asciiTheme="majorHAnsi" w:eastAsiaTheme="majorEastAsia" w:hAnsiTheme="majorHAnsi" w:cstheme="majorBidi"/>
      <w:sz w:val="24"/>
      <w:szCs w:val="24"/>
      <w:lang w:val="en-GB"/>
    </w:rPr>
  </w:style>
  <w:style w:type="character" w:customStyle="1" w:styleId="CharChar26">
    <w:name w:val="Char Char26"/>
    <w:uiPriority w:val="99"/>
    <w:locked/>
    <w:rPr>
      <w:rFonts w:ascii="Times New Roman" w:eastAsia="Times New Roman" w:hAnsi="Times New Roman"/>
      <w:color w:val="595959"/>
      <w:spacing w:val="15"/>
      <w:kern w:val="0"/>
      <w:sz w:val="28"/>
      <w:lang w:val="en-GB"/>
    </w:rPr>
  </w:style>
  <w:style w:type="paragraph" w:styleId="Quote">
    <w:name w:val="Quote"/>
    <w:basedOn w:val="Normal"/>
    <w:next w:val="Normal"/>
    <w:link w:val="QuoteChar"/>
    <w:uiPriority w:val="99"/>
    <w:qFormat/>
    <w:pPr>
      <w:spacing w:before="160"/>
      <w:jc w:val="center"/>
    </w:pPr>
    <w:rPr>
      <w:i/>
      <w:iCs/>
      <w:color w:val="404040"/>
    </w:rPr>
  </w:style>
  <w:style w:type="character" w:customStyle="1" w:styleId="QuoteChar">
    <w:name w:val="Quote Char"/>
    <w:basedOn w:val="DefaultParagraphFont"/>
    <w:link w:val="Quote"/>
    <w:uiPriority w:val="99"/>
    <w:locked/>
    <w:rPr>
      <w:rFonts w:ascii="Times New Roman" w:eastAsia="SimSun" w:hAnsi="Times New Roman"/>
      <w:i/>
      <w:color w:val="404040"/>
      <w:kern w:val="0"/>
      <w:sz w:val="22"/>
      <w:lang w:val="en-GB"/>
    </w:rPr>
  </w:style>
  <w:style w:type="paragraph" w:styleId="ListParagraph">
    <w:name w:val="List Paragraph"/>
    <w:basedOn w:val="Normal"/>
    <w:uiPriority w:val="99"/>
    <w:qFormat/>
    <w:pPr>
      <w:ind w:left="720"/>
      <w:contextualSpacing/>
    </w:pPr>
  </w:style>
  <w:style w:type="character" w:styleId="IntenseEmphasis">
    <w:name w:val="Intense Emphasis"/>
    <w:basedOn w:val="DefaultParagraphFont"/>
    <w:uiPriority w:val="99"/>
    <w:qFormat/>
    <w:rPr>
      <w:i/>
      <w:color w:val="0F4761"/>
      <w:lang w:val="en-GB"/>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99"/>
    <w:locked/>
    <w:rPr>
      <w:rFonts w:ascii="Times New Roman" w:eastAsia="SimSun" w:hAnsi="Times New Roman"/>
      <w:i/>
      <w:color w:val="0F4761"/>
      <w:kern w:val="0"/>
      <w:sz w:val="22"/>
      <w:lang w:val="en-GB"/>
    </w:rPr>
  </w:style>
  <w:style w:type="character" w:styleId="IntenseReference">
    <w:name w:val="Intense Reference"/>
    <w:basedOn w:val="DefaultParagraphFont"/>
    <w:uiPriority w:val="99"/>
    <w:qFormat/>
    <w:rPr>
      <w:b/>
      <w:smallCaps/>
      <w:color w:val="0F4761"/>
      <w:spacing w:val="5"/>
      <w:lang w:val="en-GB"/>
    </w:rPr>
  </w:style>
  <w:style w:type="paragraph" w:styleId="Revision">
    <w:name w:val="Revision"/>
    <w:hidden/>
    <w:uiPriority w:val="99"/>
    <w:semiHidden/>
    <w:rPr>
      <w:noProof/>
      <w:sz w:val="24"/>
      <w:szCs w:val="24"/>
    </w:rPr>
  </w:style>
  <w:style w:type="paragraph" w:customStyle="1" w:styleId="DarkList-Accent31">
    <w:name w:val="Dark List - Accent 31"/>
    <w:hidden/>
    <w:uiPriority w:val="99"/>
    <w:semiHidden/>
    <w:rPr>
      <w:lang w:val="en-GB"/>
    </w:rPr>
  </w:style>
  <w:style w:type="paragraph" w:customStyle="1" w:styleId="CBDNormalNoNumber">
    <w:name w:val="CBD_Normal_NoNumber"/>
    <w:basedOn w:val="CBDNormal"/>
    <w:uiPriority w:val="99"/>
    <w:pPr>
      <w:spacing w:after="120"/>
      <w:ind w:left="567"/>
    </w:pPr>
  </w:style>
  <w:style w:type="character" w:styleId="FootnoteReference">
    <w:name w:val="footnote reference"/>
    <w:aliases w:val="number Char,Footnote Reference Superscript Char,-E Fu?notenzeichen Char,(Diplomarbeit FZ) Char,(Diplomarbeit FZ)1 Char,(Diplomarbeit FZ)2 Char,(Diplomarbeit FZ)3 Char,(Diplomarbeit FZ)4 Char,(Diplomarbeit FZ)5 Char,ftref Cha"/>
    <w:basedOn w:val="DefaultParagraphFont"/>
    <w:uiPriority w:val="99"/>
    <w:locked/>
    <w:rPr>
      <w:rFonts w:cs="Times New Roman"/>
      <w:vertAlign w:val="superscript"/>
      <w:lang w:val="en-GB"/>
    </w:rPr>
  </w:style>
  <w:style w:type="paragraph" w:customStyle="1" w:styleId="Footnote">
    <w:name w:val="Footnote"/>
    <w:basedOn w:val="FootnoteText"/>
    <w:uiPriority w:val="99"/>
    <w:semiHidden/>
    <w:rPr>
      <w:szCs w:val="18"/>
    </w:rPr>
  </w:style>
  <w:style w:type="paragraph" w:styleId="Header">
    <w:name w:val="header"/>
    <w:basedOn w:val="Normal"/>
    <w:link w:val="HeaderChar"/>
    <w:uiPriority w:val="99"/>
    <w:semiHidden/>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semiHidden/>
    <w:rsid w:val="006A50E2"/>
    <w:rPr>
      <w:lang w:val="en-GB"/>
    </w:rPr>
  </w:style>
  <w:style w:type="character" w:customStyle="1" w:styleId="CharChar25">
    <w:name w:val="Char Char25"/>
    <w:uiPriority w:val="99"/>
    <w:semiHidden/>
    <w:locked/>
    <w:rPr>
      <w:rFonts w:ascii="Times New Roman" w:eastAsia="SimSun" w:hAnsi="Times New Roman"/>
      <w:kern w:val="0"/>
      <w:sz w:val="22"/>
      <w:lang w:val="en-GB"/>
    </w:rPr>
  </w:style>
  <w:style w:type="paragraph" w:styleId="Footer">
    <w:name w:val="footer"/>
    <w:basedOn w:val="Normal"/>
    <w:link w:val="FooterChar"/>
    <w:uiPriority w:val="99"/>
    <w:semiHidden/>
    <w:pPr>
      <w:tabs>
        <w:tab w:val="center" w:pos="4680"/>
        <w:tab w:val="right" w:pos="9360"/>
      </w:tabs>
    </w:pPr>
    <w:rPr>
      <w:sz w:val="20"/>
    </w:rPr>
  </w:style>
  <w:style w:type="character" w:customStyle="1" w:styleId="FooterChar">
    <w:name w:val="Footer Char"/>
    <w:basedOn w:val="DefaultParagraphFont"/>
    <w:link w:val="Footer"/>
    <w:uiPriority w:val="99"/>
    <w:semiHidden/>
    <w:rsid w:val="006A50E2"/>
    <w:rPr>
      <w:lang w:val="en-GB"/>
    </w:rPr>
  </w:style>
  <w:style w:type="character" w:customStyle="1" w:styleId="CharChar24">
    <w:name w:val="Char Char24"/>
    <w:uiPriority w:val="99"/>
    <w:semiHidden/>
    <w:locked/>
    <w:rPr>
      <w:rFonts w:ascii="Times New Roman" w:eastAsia="SimSun" w:hAnsi="Times New Roman"/>
      <w:kern w:val="0"/>
      <w:sz w:val="22"/>
      <w:lang w:val="en-GB"/>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12"/>
      </w:numPr>
      <w:tabs>
        <w:tab w:val="left" w:pos="3969"/>
      </w:tabs>
      <w:spacing w:before="120" w:after="120"/>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fn3"/>
    <w:basedOn w:val="Normal"/>
    <w:link w:val="FootnoteTextChar"/>
    <w:uiPriority w:val="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6A50E2"/>
    <w:rPr>
      <w:sz w:val="20"/>
      <w:szCs w:val="20"/>
      <w:lang w:val="en-GB"/>
    </w:rPr>
  </w:style>
  <w:style w:type="character" w:customStyle="1" w:styleId="Geneva9Char1">
    <w:name w:val="Geneva 9 Char1"/>
    <w:aliases w:val="Font: Geneva 9 Char1,Boston 10 Char1,f Char1,ft Char11,Fotnotstext Char Char1,ft Char Char1,single space Char1,footnote text Char,FOOTNOTES Char1,ADB Char1,single space1 Char1,footnote text1 Char1,FOOTNOTES1 Char1,fn1 Char1,ADB1 Char1"/>
    <w:uiPriority w:val="99"/>
    <w:locked/>
    <w:rPr>
      <w:rFonts w:ascii="Times New Roman" w:eastAsia="SimSun" w:hAnsi="Times New Roman"/>
      <w:kern w:val="0"/>
      <w:sz w:val="20"/>
      <w:lang w:val="en-GB"/>
    </w:rPr>
  </w:style>
  <w:style w:type="paragraph" w:styleId="BodyText">
    <w:name w:val="Body Text"/>
    <w:basedOn w:val="Normal"/>
    <w:link w:val="BodyTextChar"/>
    <w:uiPriority w:val="99"/>
    <w:semiHidden/>
    <w:pPr>
      <w:spacing w:after="120" w:line="259" w:lineRule="auto"/>
      <w:jc w:val="left"/>
    </w:pPr>
    <w:rPr>
      <w:kern w:val="2"/>
    </w:rPr>
  </w:style>
  <w:style w:type="character" w:customStyle="1" w:styleId="BodyTextChar">
    <w:name w:val="Body Text Char"/>
    <w:basedOn w:val="DefaultParagraphFont"/>
    <w:link w:val="BodyText"/>
    <w:uiPriority w:val="99"/>
    <w:semiHidden/>
    <w:rsid w:val="006A50E2"/>
    <w:rPr>
      <w:lang w:val="en-GB"/>
    </w:rPr>
  </w:style>
  <w:style w:type="character" w:customStyle="1" w:styleId="CharChar23">
    <w:name w:val="Char Char23"/>
    <w:uiPriority w:val="99"/>
    <w:semiHidden/>
    <w:locked/>
    <w:rPr>
      <w:sz w:val="22"/>
      <w:lang w:val="en-GB"/>
    </w:rPr>
  </w:style>
  <w:style w:type="character" w:styleId="CommentReference">
    <w:name w:val="annotation reference"/>
    <w:basedOn w:val="DefaultParagraphFont"/>
    <w:uiPriority w:val="99"/>
    <w:semiHidden/>
    <w:locked/>
    <w:rPr>
      <w:rFonts w:cs="Times New Roman"/>
      <w:b/>
      <w:bCs/>
      <w:snapToGrid w:val="0"/>
      <w:kern w:val="2"/>
      <w:sz w:val="32"/>
      <w:szCs w:val="32"/>
      <w:lang w:val="en-GB" w:bidi="ar-SA"/>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rsid w:val="006A50E2"/>
    <w:rPr>
      <w:sz w:val="20"/>
      <w:szCs w:val="20"/>
      <w:lang w:val="en-GB"/>
    </w:rPr>
  </w:style>
  <w:style w:type="character" w:customStyle="1" w:styleId="CharChar22">
    <w:name w:val="Char Char22"/>
    <w:uiPriority w:val="99"/>
    <w:semiHidden/>
    <w:locked/>
    <w:rPr>
      <w:rFonts w:ascii="Times New Roman" w:eastAsia="SimSun" w:hAnsi="Times New Roman"/>
      <w:kern w:val="0"/>
      <w:sz w:val="20"/>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sid w:val="006A50E2"/>
    <w:rPr>
      <w:b/>
      <w:bCs/>
      <w:sz w:val="20"/>
      <w:szCs w:val="20"/>
      <w:lang w:val="en-GB"/>
    </w:rPr>
  </w:style>
  <w:style w:type="character" w:customStyle="1" w:styleId="CharChar21">
    <w:name w:val="Char Char21"/>
    <w:uiPriority w:val="99"/>
    <w:semiHidden/>
    <w:locked/>
    <w:rPr>
      <w:rFonts w:ascii="Times New Roman" w:eastAsia="SimSun" w:hAnsi="Times New Roman"/>
      <w:b/>
      <w:kern w:val="0"/>
      <w:sz w:val="20"/>
      <w:lang w:val="en-GB"/>
    </w:rPr>
  </w:style>
  <w:style w:type="paragraph" w:customStyle="1" w:styleId="Item">
    <w:name w:val="Item"/>
    <w:basedOn w:val="Normal"/>
    <w:uiPriority w:val="99"/>
    <w:semiHidden/>
    <w:pPr>
      <w:suppressLineNumbers/>
      <w:suppressAutoHyphens/>
      <w:spacing w:before="240" w:after="120"/>
      <w:jc w:val="left"/>
    </w:pPr>
    <w:rPr>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sz w:val="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keepLines/>
      <w:spacing w:before="240" w:after="120"/>
      <w:jc w:val="left"/>
    </w:pPr>
    <w:rPr>
      <w:b/>
      <w:sz w:val="24"/>
    </w:rPr>
  </w:style>
  <w:style w:type="paragraph" w:customStyle="1" w:styleId="CBDDesicionText">
    <w:name w:val="CBD_DesicionText"/>
    <w:basedOn w:val="CBDNormal"/>
    <w:uiPriority w:val="99"/>
    <w:pPr>
      <w:spacing w:after="120"/>
      <w:ind w:left="567"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rPr>
      <w:rFonts w:ascii="Times New Roman" w:hAnsi="Times New Roman" w:cs="Times New Roman"/>
      <w:color w:val="467886"/>
      <w:u w:val="single"/>
      <w:lang w:val="en-GB"/>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paragraph" w:styleId="BalloonText">
    <w:name w:val="Balloon Text"/>
    <w:basedOn w:val="Normal"/>
    <w:link w:val="BalloonTextChar"/>
    <w:uiPriority w:val="99"/>
    <w:semiHidden/>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50E2"/>
    <w:rPr>
      <w:sz w:val="0"/>
      <w:szCs w:val="0"/>
      <w:lang w:val="en-GB"/>
    </w:rPr>
  </w:style>
  <w:style w:type="character" w:customStyle="1" w:styleId="CharChar20">
    <w:name w:val="Char Char20"/>
    <w:uiPriority w:val="99"/>
    <w:semiHidden/>
    <w:locked/>
    <w:rPr>
      <w:rFonts w:ascii="Segoe UI" w:eastAsia="SimSun" w:hAnsi="Segoe UI"/>
      <w:kern w:val="0"/>
      <w:sz w:val="18"/>
      <w:lang w:val="en-G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156082"/>
        <w:left w:val="single" w:sz="2" w:space="10" w:color="156082"/>
        <w:bottom w:val="single" w:sz="2" w:space="10" w:color="156082"/>
        <w:right w:val="single" w:sz="2" w:space="10" w:color="156082"/>
      </w:pBdr>
      <w:ind w:left="1152" w:right="1152"/>
    </w:pPr>
    <w:rPr>
      <w:i/>
      <w:iCs/>
      <w:color w:val="156082"/>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basedOn w:val="DefaultParagraphFont"/>
    <w:link w:val="BodyText2"/>
    <w:uiPriority w:val="99"/>
    <w:semiHidden/>
    <w:rsid w:val="006A50E2"/>
    <w:rPr>
      <w:lang w:val="en-GB"/>
    </w:rPr>
  </w:style>
  <w:style w:type="character" w:customStyle="1" w:styleId="CharChar19">
    <w:name w:val="Char Char19"/>
    <w:uiPriority w:val="99"/>
    <w:semiHidden/>
    <w:locked/>
    <w:rPr>
      <w:rFonts w:ascii="Times New Roman" w:eastAsia="SimSun" w:hAnsi="Times New Roman"/>
      <w:kern w:val="0"/>
      <w:sz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6A50E2"/>
    <w:rPr>
      <w:sz w:val="16"/>
      <w:szCs w:val="16"/>
      <w:lang w:val="en-GB"/>
    </w:rPr>
  </w:style>
  <w:style w:type="character" w:customStyle="1" w:styleId="CharChar18">
    <w:name w:val="Char Char18"/>
    <w:uiPriority w:val="99"/>
    <w:semiHidden/>
    <w:locked/>
    <w:rPr>
      <w:rFonts w:ascii="Times New Roman" w:eastAsia="SimSun" w:hAnsi="Times New Roman"/>
      <w:kern w:val="0"/>
      <w:sz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basedOn w:val="BodyTextChar"/>
    <w:link w:val="BodyTextFirstIndent"/>
    <w:uiPriority w:val="99"/>
    <w:semiHidden/>
    <w:rsid w:val="006A50E2"/>
    <w:rPr>
      <w:lang w:val="en-GB"/>
    </w:rPr>
  </w:style>
  <w:style w:type="character" w:customStyle="1" w:styleId="CharChar17">
    <w:name w:val="Char Char17"/>
    <w:uiPriority w:val="99"/>
    <w:semiHidden/>
    <w:locked/>
    <w:rPr>
      <w:rFonts w:ascii="Times New Roman" w:eastAsia="SimSun" w:hAnsi="Times New Roman"/>
      <w:kern w:val="0"/>
      <w:sz w:val="22"/>
      <w:lang w:val="en-GB"/>
    </w:rPr>
  </w:style>
  <w:style w:type="paragraph" w:styleId="BodyTextIndent">
    <w:name w:val="Body Text Indent"/>
    <w:basedOn w:val="Normal"/>
    <w:link w:val="BodyTextIndentChar"/>
    <w:uiPriority w:val="99"/>
    <w:semiHidden/>
    <w:pPr>
      <w:spacing w:after="120"/>
      <w:ind w:left="283"/>
    </w:pPr>
  </w:style>
  <w:style w:type="character" w:customStyle="1" w:styleId="BodyTextIndentChar">
    <w:name w:val="Body Text Indent Char"/>
    <w:basedOn w:val="DefaultParagraphFont"/>
    <w:link w:val="BodyTextIndent"/>
    <w:uiPriority w:val="99"/>
    <w:semiHidden/>
    <w:rsid w:val="006A50E2"/>
    <w:rPr>
      <w:lang w:val="en-GB"/>
    </w:rPr>
  </w:style>
  <w:style w:type="character" w:customStyle="1" w:styleId="CharChar16">
    <w:name w:val="Char Char16"/>
    <w:uiPriority w:val="99"/>
    <w:semiHidden/>
    <w:locked/>
    <w:rPr>
      <w:rFonts w:ascii="Times New Roman" w:eastAsia="SimSun" w:hAnsi="Times New Roman"/>
      <w:kern w:val="0"/>
      <w:sz w:val="22"/>
      <w:lang w:val="en-GB"/>
    </w:rPr>
  </w:style>
  <w:style w:type="paragraph" w:styleId="BodyTextFirstIndent2">
    <w:name w:val="Body Text First Indent 2"/>
    <w:basedOn w:val="BodyTextIndent"/>
    <w:link w:val="BodyTextFirstIndent2Char"/>
    <w:uiPriority w:val="99"/>
    <w:semiHidden/>
    <w:pPr>
      <w:spacing w:after="0"/>
      <w:ind w:left="360" w:firstLine="360"/>
    </w:pPr>
  </w:style>
  <w:style w:type="character" w:customStyle="1" w:styleId="BodyTextFirstIndent2Char">
    <w:name w:val="Body Text First Indent 2 Char"/>
    <w:basedOn w:val="BodyTextIndentChar"/>
    <w:link w:val="BodyTextFirstIndent2"/>
    <w:uiPriority w:val="99"/>
    <w:semiHidden/>
    <w:rsid w:val="006A50E2"/>
    <w:rPr>
      <w:lang w:val="en-GB"/>
    </w:rPr>
  </w:style>
  <w:style w:type="character" w:customStyle="1" w:styleId="CharChar15">
    <w:name w:val="Char Char15"/>
    <w:uiPriority w:val="99"/>
    <w:semiHidden/>
    <w:locked/>
    <w:rPr>
      <w:rFonts w:ascii="Times New Roman" w:eastAsia="SimSun" w:hAnsi="Times New Roman"/>
      <w:kern w:val="0"/>
      <w:sz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basedOn w:val="DefaultParagraphFont"/>
    <w:link w:val="BodyTextIndent2"/>
    <w:uiPriority w:val="99"/>
    <w:semiHidden/>
    <w:rsid w:val="006A50E2"/>
    <w:rPr>
      <w:lang w:val="en-GB"/>
    </w:rPr>
  </w:style>
  <w:style w:type="character" w:customStyle="1" w:styleId="CharChar14">
    <w:name w:val="Char Char14"/>
    <w:uiPriority w:val="99"/>
    <w:semiHidden/>
    <w:locked/>
    <w:rPr>
      <w:rFonts w:ascii="Times New Roman" w:eastAsia="SimSun" w:hAnsi="Times New Roman"/>
      <w:kern w:val="0"/>
      <w:sz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A50E2"/>
    <w:rPr>
      <w:sz w:val="16"/>
      <w:szCs w:val="16"/>
      <w:lang w:val="en-GB"/>
    </w:rPr>
  </w:style>
  <w:style w:type="character" w:customStyle="1" w:styleId="CharChar13">
    <w:name w:val="Char Char13"/>
    <w:uiPriority w:val="99"/>
    <w:semiHidden/>
    <w:locked/>
    <w:rPr>
      <w:rFonts w:ascii="Times New Roman" w:eastAsia="SimSun" w:hAnsi="Times New Roman"/>
      <w:kern w:val="0"/>
      <w:sz w:val="16"/>
      <w:lang w:val="en-GB"/>
    </w:rPr>
  </w:style>
  <w:style w:type="character" w:styleId="BookTitle">
    <w:name w:val="Book Title"/>
    <w:basedOn w:val="DefaultParagraphFont"/>
    <w:uiPriority w:val="99"/>
    <w:qFormat/>
    <w:rPr>
      <w:b/>
      <w:i/>
      <w:spacing w:val="5"/>
      <w:lang w:val="en-GB"/>
    </w:rPr>
  </w:style>
  <w:style w:type="paragraph" w:styleId="Caption">
    <w:name w:val="caption"/>
    <w:basedOn w:val="Normal"/>
    <w:next w:val="Normal"/>
    <w:uiPriority w:val="99"/>
    <w:qFormat/>
    <w:pPr>
      <w:spacing w:after="200"/>
    </w:pPr>
    <w:rPr>
      <w:i/>
      <w:iCs/>
      <w:color w:val="0E2841"/>
      <w:sz w:val="18"/>
      <w:szCs w:val="18"/>
    </w:rPr>
  </w:style>
  <w:style w:type="paragraph" w:styleId="Closing">
    <w:name w:val="Closing"/>
    <w:basedOn w:val="Normal"/>
    <w:link w:val="ClosingChar"/>
    <w:uiPriority w:val="99"/>
    <w:semiHidden/>
    <w:pPr>
      <w:ind w:left="4252"/>
    </w:pPr>
  </w:style>
  <w:style w:type="character" w:customStyle="1" w:styleId="ClosingChar">
    <w:name w:val="Closing Char"/>
    <w:basedOn w:val="DefaultParagraphFont"/>
    <w:link w:val="Closing"/>
    <w:uiPriority w:val="99"/>
    <w:semiHidden/>
    <w:rsid w:val="006A50E2"/>
    <w:rPr>
      <w:lang w:val="en-GB"/>
    </w:rPr>
  </w:style>
  <w:style w:type="character" w:customStyle="1" w:styleId="CharChar12">
    <w:name w:val="Char Char12"/>
    <w:uiPriority w:val="99"/>
    <w:semiHidden/>
    <w:locked/>
    <w:rPr>
      <w:rFonts w:ascii="Times New Roman" w:eastAsia="SimSun" w:hAnsi="Times New Roman"/>
      <w:kern w:val="0"/>
      <w:sz w:val="22"/>
      <w:lang w:val="en-GB"/>
    </w:rPr>
  </w:style>
  <w:style w:type="table" w:styleId="ColorfulGrid">
    <w:name w:val="Colorful Grid"/>
    <w:basedOn w:val="TableNormal"/>
    <w:uiPriority w:val="99"/>
    <w:semiHidden/>
    <w:rPr>
      <w:color w:val="000000"/>
      <w:sz w:val="20"/>
      <w:szCs w:val="2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color w:val="000000"/>
      <w:sz w:val="20"/>
      <w:szCs w:val="20"/>
    </w:rPr>
    <w:tblPr>
      <w:tblBorders>
        <w:insideH w:val="single" w:sz="4" w:space="0" w:color="FFFFFF"/>
      </w:tblBorders>
    </w:tblPr>
    <w:tcPr>
      <w:shd w:val="clear" w:color="auto" w:fill="C1E4F5"/>
    </w:tcPr>
  </w:style>
  <w:style w:type="table" w:styleId="ColorfulGrid-Accent2">
    <w:name w:val="Colorful Grid Accent 2"/>
    <w:basedOn w:val="TableNormal"/>
    <w:uiPriority w:val="99"/>
    <w:semiHidden/>
    <w:rPr>
      <w:color w:val="000000"/>
      <w:sz w:val="20"/>
      <w:szCs w:val="20"/>
    </w:rPr>
    <w:tblPr>
      <w:tblBorders>
        <w:insideH w:val="single" w:sz="4" w:space="0" w:color="FFFFFF"/>
      </w:tblBorders>
    </w:tblPr>
    <w:tcPr>
      <w:shd w:val="clear" w:color="auto" w:fill="FAE2D5"/>
    </w:tcPr>
  </w:style>
  <w:style w:type="table" w:styleId="ColorfulGrid-Accent3">
    <w:name w:val="Colorful Grid Accent 3"/>
    <w:basedOn w:val="TableNormal"/>
    <w:uiPriority w:val="99"/>
    <w:semiHidden/>
    <w:rPr>
      <w:color w:val="000000"/>
      <w:sz w:val="20"/>
      <w:szCs w:val="20"/>
    </w:rPr>
    <w:tblPr>
      <w:tblBorders>
        <w:insideH w:val="single" w:sz="4" w:space="0" w:color="FFFFFF"/>
      </w:tblBorders>
    </w:tblPr>
    <w:tcPr>
      <w:shd w:val="clear" w:color="auto" w:fill="C1F0C7"/>
    </w:tcPr>
  </w:style>
  <w:style w:type="table" w:styleId="ColorfulGrid-Accent4">
    <w:name w:val="Colorful Grid Accent 4"/>
    <w:basedOn w:val="TableNormal"/>
    <w:uiPriority w:val="99"/>
    <w:semiHidden/>
    <w:rPr>
      <w:color w:val="000000"/>
      <w:sz w:val="20"/>
      <w:szCs w:val="20"/>
    </w:rPr>
    <w:tblPr>
      <w:tblBorders>
        <w:insideH w:val="single" w:sz="4" w:space="0" w:color="FFFFFF"/>
      </w:tblBorders>
    </w:tblPr>
    <w:tcPr>
      <w:shd w:val="clear" w:color="auto" w:fill="CAEDFB"/>
    </w:tcPr>
  </w:style>
  <w:style w:type="table" w:styleId="ColorfulGrid-Accent5">
    <w:name w:val="Colorful Grid Accent 5"/>
    <w:basedOn w:val="TableNormal"/>
    <w:uiPriority w:val="99"/>
    <w:semiHidden/>
    <w:rPr>
      <w:color w:val="000000"/>
      <w:sz w:val="20"/>
      <w:szCs w:val="20"/>
    </w:rPr>
    <w:tblPr>
      <w:tblBorders>
        <w:insideH w:val="single" w:sz="4" w:space="0" w:color="FFFFFF"/>
      </w:tblBorders>
    </w:tblPr>
    <w:tcPr>
      <w:shd w:val="clear" w:color="auto" w:fill="F2CEED"/>
    </w:tcPr>
  </w:style>
  <w:style w:type="table" w:styleId="ColorfulGrid-Accent6">
    <w:name w:val="Colorful Grid Accent 6"/>
    <w:basedOn w:val="TableNormal"/>
    <w:uiPriority w:val="99"/>
    <w:semiHidden/>
    <w:rPr>
      <w:color w:val="000000"/>
      <w:sz w:val="20"/>
      <w:szCs w:val="20"/>
    </w:rPr>
    <w:tblPr>
      <w:tblBorders>
        <w:insideH w:val="single" w:sz="4" w:space="0" w:color="FFFFFF"/>
      </w:tblBorders>
    </w:tblPr>
    <w:tcPr>
      <w:shd w:val="clear" w:color="auto" w:fill="D9F2D0"/>
    </w:tcPr>
  </w:style>
  <w:style w:type="table" w:styleId="ColorfulList">
    <w:name w:val="Colorful List"/>
    <w:basedOn w:val="TableNormal"/>
    <w:uiPriority w:val="99"/>
    <w:semiHidden/>
    <w:rPr>
      <w:color w:val="000000"/>
      <w:sz w:val="20"/>
      <w:szCs w:val="20"/>
    </w:rPr>
    <w:tblPr/>
    <w:tcPr>
      <w:shd w:val="clear" w:color="auto" w:fill="E6E6E6"/>
    </w:tcPr>
  </w:style>
  <w:style w:type="table" w:styleId="ColorfulList-Accent1">
    <w:name w:val="Colorful List Accent 1"/>
    <w:basedOn w:val="TableNormal"/>
    <w:uiPriority w:val="99"/>
    <w:semiHidden/>
    <w:rPr>
      <w:color w:val="000000"/>
      <w:sz w:val="20"/>
      <w:szCs w:val="20"/>
    </w:rPr>
    <w:tblPr/>
    <w:tcPr>
      <w:shd w:val="clear" w:color="auto" w:fill="E0F2FA"/>
    </w:tcPr>
  </w:style>
  <w:style w:type="table" w:styleId="ColorfulList-Accent2">
    <w:name w:val="Colorful List Accent 2"/>
    <w:basedOn w:val="TableNormal"/>
    <w:uiPriority w:val="99"/>
    <w:semiHidden/>
    <w:rPr>
      <w:color w:val="000000"/>
      <w:sz w:val="20"/>
      <w:szCs w:val="20"/>
    </w:rPr>
    <w:tblPr/>
    <w:tcPr>
      <w:shd w:val="clear" w:color="auto" w:fill="FCF0EA"/>
    </w:tcPr>
  </w:style>
  <w:style w:type="table" w:styleId="ColorfulList-Accent3">
    <w:name w:val="Colorful List Accent 3"/>
    <w:basedOn w:val="TableNormal"/>
    <w:uiPriority w:val="99"/>
    <w:semiHidden/>
    <w:rPr>
      <w:color w:val="000000"/>
      <w:sz w:val="20"/>
      <w:szCs w:val="20"/>
    </w:rPr>
    <w:tblPr/>
    <w:tcPr>
      <w:shd w:val="clear" w:color="auto" w:fill="E0F8E3"/>
    </w:tcPr>
  </w:style>
  <w:style w:type="table" w:styleId="ColorfulList-Accent4">
    <w:name w:val="Colorful List Accent 4"/>
    <w:basedOn w:val="TableNormal"/>
    <w:uiPriority w:val="99"/>
    <w:semiHidden/>
    <w:rPr>
      <w:color w:val="000000"/>
      <w:sz w:val="20"/>
      <w:szCs w:val="20"/>
    </w:rPr>
    <w:tblPr/>
    <w:tcPr>
      <w:shd w:val="clear" w:color="auto" w:fill="E5F6FD"/>
    </w:tcPr>
  </w:style>
  <w:style w:type="table" w:styleId="ColorfulList-Accent5">
    <w:name w:val="Colorful List Accent 5"/>
    <w:basedOn w:val="TableNormal"/>
    <w:uiPriority w:val="99"/>
    <w:semiHidden/>
    <w:rPr>
      <w:color w:val="000000"/>
      <w:sz w:val="20"/>
      <w:szCs w:val="20"/>
    </w:rPr>
    <w:tblPr/>
    <w:tcPr>
      <w:shd w:val="clear" w:color="auto" w:fill="F8E7F6"/>
    </w:tcPr>
  </w:style>
  <w:style w:type="table" w:styleId="ColorfulList-Accent6">
    <w:name w:val="Colorful List Accent 6"/>
    <w:basedOn w:val="TableNormal"/>
    <w:uiPriority w:val="99"/>
    <w:semiHidden/>
    <w:rPr>
      <w:color w:val="000000"/>
      <w:sz w:val="20"/>
      <w:szCs w:val="20"/>
    </w:rPr>
    <w:tblPr/>
    <w:tcPr>
      <w:shd w:val="clear" w:color="auto" w:fill="ECF8E8"/>
    </w:tcPr>
  </w:style>
  <w:style w:type="table" w:styleId="ColorfulShading">
    <w:name w:val="Colorful Shading"/>
    <w:basedOn w:val="TableNormal"/>
    <w:uiPriority w:val="99"/>
    <w:semiHidden/>
    <w:rPr>
      <w:color w:val="000000"/>
      <w:sz w:val="20"/>
      <w:szCs w:val="20"/>
    </w:rPr>
    <w:tblPr>
      <w:tblBorders>
        <w:top w:val="single" w:sz="24" w:space="0" w:color="E97132"/>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color w:val="000000"/>
      <w:sz w:val="20"/>
      <w:szCs w:val="20"/>
    </w:rPr>
    <w:tblPr>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tblPr>
    <w:tcPr>
      <w:shd w:val="clear" w:color="auto" w:fill="E0F2FA"/>
    </w:tcPr>
  </w:style>
  <w:style w:type="table" w:styleId="ColorfulShading-Accent2">
    <w:name w:val="Colorful Shading Accent 2"/>
    <w:basedOn w:val="TableNormal"/>
    <w:uiPriority w:val="99"/>
    <w:semiHidden/>
    <w:rPr>
      <w:color w:val="000000"/>
      <w:sz w:val="20"/>
      <w:szCs w:val="20"/>
    </w:rPr>
    <w:tblPr>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tblPr>
    <w:tcPr>
      <w:shd w:val="clear" w:color="auto" w:fill="FCF0EA"/>
    </w:tcPr>
  </w:style>
  <w:style w:type="table" w:styleId="ColorfulShading-Accent3">
    <w:name w:val="Colorful Shading Accent 3"/>
    <w:basedOn w:val="TableNormal"/>
    <w:uiPriority w:val="99"/>
    <w:semiHidden/>
    <w:rPr>
      <w:color w:val="000000"/>
      <w:sz w:val="20"/>
      <w:szCs w:val="20"/>
    </w:rPr>
    <w:tblPr>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tblPr>
    <w:tcPr>
      <w:shd w:val="clear" w:color="auto" w:fill="E0F8E3"/>
    </w:tcPr>
  </w:style>
  <w:style w:type="table" w:styleId="ColorfulShading-Accent4">
    <w:name w:val="Colorful Shading Accent 4"/>
    <w:basedOn w:val="TableNormal"/>
    <w:uiPriority w:val="99"/>
    <w:semiHidden/>
    <w:rPr>
      <w:color w:val="000000"/>
      <w:sz w:val="20"/>
      <w:szCs w:val="20"/>
    </w:rPr>
    <w:tblPr>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tblPr>
    <w:tcPr>
      <w:shd w:val="clear" w:color="auto" w:fill="E5F6FD"/>
    </w:tcPr>
  </w:style>
  <w:style w:type="table" w:styleId="ColorfulShading-Accent5">
    <w:name w:val="Colorful Shading Accent 5"/>
    <w:basedOn w:val="TableNormal"/>
    <w:uiPriority w:val="99"/>
    <w:semiHidden/>
    <w:rPr>
      <w:color w:val="000000"/>
      <w:sz w:val="20"/>
      <w:szCs w:val="20"/>
    </w:rPr>
    <w:tblPr>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tblPr>
    <w:tcPr>
      <w:shd w:val="clear" w:color="auto" w:fill="F8E7F6"/>
    </w:tcPr>
  </w:style>
  <w:style w:type="table" w:styleId="ColorfulShading-Accent6">
    <w:name w:val="Colorful Shading Accent 6"/>
    <w:basedOn w:val="TableNormal"/>
    <w:uiPriority w:val="99"/>
    <w:semiHidden/>
    <w:rPr>
      <w:color w:val="000000"/>
      <w:sz w:val="20"/>
      <w:szCs w:val="20"/>
    </w:rPr>
    <w:tblPr>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tblPr>
    <w:tcPr>
      <w:shd w:val="clear" w:color="auto" w:fill="ECF8E8"/>
    </w:tcPr>
  </w:style>
  <w:style w:type="table" w:styleId="DarkList">
    <w:name w:val="Dark List"/>
    <w:basedOn w:val="TableNormal"/>
    <w:uiPriority w:val="99"/>
    <w:semiHidden/>
    <w:rPr>
      <w:color w:val="FFFFFF"/>
      <w:sz w:val="20"/>
      <w:szCs w:val="20"/>
    </w:rPr>
    <w:tblPr/>
    <w:tcPr>
      <w:shd w:val="clear" w:color="auto" w:fill="000000"/>
    </w:tcPr>
  </w:style>
  <w:style w:type="table" w:styleId="DarkList-Accent1">
    <w:name w:val="Dark List Accent 1"/>
    <w:basedOn w:val="TableNormal"/>
    <w:uiPriority w:val="99"/>
    <w:semiHidden/>
    <w:rPr>
      <w:color w:val="FFFFFF"/>
      <w:sz w:val="20"/>
      <w:szCs w:val="20"/>
    </w:rPr>
    <w:tblPr/>
    <w:tcPr>
      <w:shd w:val="clear" w:color="auto" w:fill="156082"/>
    </w:tcPr>
  </w:style>
  <w:style w:type="table" w:styleId="DarkList-Accent2">
    <w:name w:val="Dark List Accent 2"/>
    <w:basedOn w:val="TableNormal"/>
    <w:uiPriority w:val="99"/>
    <w:semiHidden/>
    <w:rPr>
      <w:color w:val="FFFFFF"/>
      <w:sz w:val="20"/>
      <w:szCs w:val="20"/>
    </w:rPr>
    <w:tblPr/>
    <w:tcPr>
      <w:shd w:val="clear" w:color="auto" w:fill="E97132"/>
    </w:tcPr>
  </w:style>
  <w:style w:type="table" w:styleId="DarkList-Accent3">
    <w:name w:val="Dark List Accent 3"/>
    <w:basedOn w:val="TableNormal"/>
    <w:uiPriority w:val="99"/>
    <w:semiHidden/>
    <w:rPr>
      <w:color w:val="FFFFFF"/>
      <w:sz w:val="20"/>
      <w:szCs w:val="20"/>
    </w:rPr>
    <w:tblPr/>
    <w:tcPr>
      <w:shd w:val="clear" w:color="auto" w:fill="196B24"/>
    </w:tcPr>
  </w:style>
  <w:style w:type="table" w:styleId="DarkList-Accent4">
    <w:name w:val="Dark List Accent 4"/>
    <w:basedOn w:val="TableNormal"/>
    <w:uiPriority w:val="99"/>
    <w:semiHidden/>
    <w:rPr>
      <w:color w:val="FFFFFF"/>
      <w:sz w:val="20"/>
      <w:szCs w:val="20"/>
    </w:rPr>
    <w:tblPr/>
    <w:tcPr>
      <w:shd w:val="clear" w:color="auto" w:fill="0F9ED5"/>
    </w:tcPr>
  </w:style>
  <w:style w:type="table" w:styleId="DarkList-Accent5">
    <w:name w:val="Dark List Accent 5"/>
    <w:basedOn w:val="TableNormal"/>
    <w:uiPriority w:val="99"/>
    <w:semiHidden/>
    <w:rPr>
      <w:color w:val="FFFFFF"/>
      <w:sz w:val="20"/>
      <w:szCs w:val="20"/>
    </w:rPr>
    <w:tblPr/>
    <w:tcPr>
      <w:shd w:val="clear" w:color="auto" w:fill="A02B93"/>
    </w:tcPr>
  </w:style>
  <w:style w:type="table" w:styleId="DarkList-Accent6">
    <w:name w:val="Dark List Accent 6"/>
    <w:basedOn w:val="TableNormal"/>
    <w:uiPriority w:val="99"/>
    <w:semiHidden/>
    <w:rPr>
      <w:color w:val="FFFFFF"/>
      <w:sz w:val="20"/>
      <w:szCs w:val="20"/>
    </w:rPr>
    <w:tblPr/>
    <w:tcPr>
      <w:shd w:val="clear" w:color="auto" w:fill="4EA72E"/>
    </w:tcPr>
  </w:style>
  <w:style w:type="paragraph" w:styleId="Date">
    <w:name w:val="Date"/>
    <w:basedOn w:val="Normal"/>
    <w:next w:val="Normal"/>
    <w:link w:val="DateChar"/>
    <w:uiPriority w:val="99"/>
    <w:semiHidden/>
  </w:style>
  <w:style w:type="character" w:customStyle="1" w:styleId="DateChar">
    <w:name w:val="Date Char"/>
    <w:basedOn w:val="DefaultParagraphFont"/>
    <w:link w:val="Date"/>
    <w:uiPriority w:val="99"/>
    <w:semiHidden/>
    <w:rsid w:val="006A50E2"/>
    <w:rPr>
      <w:lang w:val="en-GB"/>
    </w:rPr>
  </w:style>
  <w:style w:type="character" w:customStyle="1" w:styleId="CharChar11">
    <w:name w:val="Char Char11"/>
    <w:uiPriority w:val="99"/>
    <w:semiHidden/>
    <w:locked/>
    <w:rPr>
      <w:rFonts w:ascii="Times New Roman" w:eastAsia="SimSun" w:hAnsi="Times New Roman"/>
      <w:kern w:val="0"/>
      <w:sz w:val="22"/>
      <w:lang w:val="en-GB"/>
    </w:rPr>
  </w:style>
  <w:style w:type="paragraph" w:styleId="DocumentMap">
    <w:name w:val="Document Map"/>
    <w:basedOn w:val="Normal"/>
    <w:link w:val="DocumentMapChar"/>
    <w:uiPriority w:val="99"/>
    <w:semiHidden/>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A50E2"/>
    <w:rPr>
      <w:sz w:val="0"/>
      <w:szCs w:val="0"/>
      <w:lang w:val="en-GB"/>
    </w:rPr>
  </w:style>
  <w:style w:type="character" w:customStyle="1" w:styleId="CharChar10">
    <w:name w:val="Char Char10"/>
    <w:uiPriority w:val="99"/>
    <w:semiHidden/>
    <w:locked/>
    <w:rPr>
      <w:rFonts w:ascii="Segoe UI" w:eastAsia="SimSun" w:hAnsi="Segoe UI"/>
      <w:kern w:val="0"/>
      <w:sz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basedOn w:val="DefaultParagraphFont"/>
    <w:link w:val="E-mailSignature"/>
    <w:uiPriority w:val="99"/>
    <w:semiHidden/>
    <w:rsid w:val="006A50E2"/>
    <w:rPr>
      <w:lang w:val="en-GB"/>
    </w:rPr>
  </w:style>
  <w:style w:type="character" w:customStyle="1" w:styleId="CharChar9">
    <w:name w:val="Char Char9"/>
    <w:uiPriority w:val="99"/>
    <w:semiHidden/>
    <w:locked/>
    <w:rPr>
      <w:rFonts w:ascii="Times New Roman" w:eastAsia="SimSun" w:hAnsi="Times New Roman"/>
      <w:kern w:val="0"/>
      <w:sz w:val="22"/>
      <w:lang w:val="en-GB"/>
    </w:rPr>
  </w:style>
  <w:style w:type="character" w:styleId="Emphasis">
    <w:name w:val="Emphasis"/>
    <w:basedOn w:val="DefaultParagraphFont"/>
    <w:uiPriority w:val="99"/>
    <w:qFormat/>
    <w:rPr>
      <w:rFonts w:cs="Times New Roman"/>
      <w:i/>
      <w:lang w:val="en-GB"/>
    </w:rPr>
  </w:style>
  <w:style w:type="character" w:styleId="EndnoteReference">
    <w:name w:val="endnote reference"/>
    <w:basedOn w:val="DefaultParagraphFont"/>
    <w:uiPriority w:val="99"/>
    <w:semiHidden/>
    <w:locked/>
    <w:rPr>
      <w:rFonts w:ascii="Times New Roman Bold" w:hAnsi="Times New Roman Bold" w:cs="Times New Roman"/>
      <w:b/>
      <w:snapToGrid w:val="0"/>
      <w:sz w:val="26"/>
      <w:szCs w:val="26"/>
      <w:lang w:val="en-GB" w:bidi="ar-SA"/>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basedOn w:val="DefaultParagraphFont"/>
    <w:link w:val="EndnoteText"/>
    <w:uiPriority w:val="99"/>
    <w:semiHidden/>
    <w:rsid w:val="006A50E2"/>
    <w:rPr>
      <w:sz w:val="20"/>
      <w:szCs w:val="20"/>
      <w:lang w:val="en-GB"/>
    </w:rPr>
  </w:style>
  <w:style w:type="character" w:customStyle="1" w:styleId="CharChar8">
    <w:name w:val="Char Char8"/>
    <w:uiPriority w:val="99"/>
    <w:semiHidden/>
    <w:locked/>
    <w:rPr>
      <w:rFonts w:ascii="Times New Roman" w:eastAsia="SimSun" w:hAnsi="Times New Roman"/>
      <w:kern w:val="0"/>
      <w:sz w:val="20"/>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character" w:styleId="FollowedHyperlink">
    <w:name w:val="FollowedHyperlink"/>
    <w:basedOn w:val="DefaultParagraphFont"/>
    <w:uiPriority w:val="99"/>
    <w:semiHidden/>
    <w:locked/>
    <w:rPr>
      <w:rFonts w:cs="Times New Roman"/>
      <w:b/>
      <w:bCs/>
      <w:snapToGrid w:val="0"/>
      <w:sz w:val="22"/>
      <w:szCs w:val="22"/>
      <w:lang w:val="en-GB" w:bidi="ar-SA"/>
    </w:rPr>
  </w:style>
  <w:style w:type="table" w:customStyle="1" w:styleId="GridTable1Light1">
    <w:name w:val="Grid Table 1 Light1"/>
    <w:uiPriority w:val="99"/>
    <w:rPr>
      <w:sz w:val="20"/>
      <w:szCs w:val="20"/>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Pr>
      <w:sz w:val="20"/>
      <w:szCs w:val="20"/>
    </w:rPr>
    <w:tblPr>
      <w:tblInd w:w="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CellMar>
        <w:top w:w="0" w:type="dxa"/>
        <w:left w:w="108" w:type="dxa"/>
        <w:bottom w:w="0" w:type="dxa"/>
        <w:right w:w="108" w:type="dxa"/>
      </w:tblCellMar>
    </w:tblPr>
  </w:style>
  <w:style w:type="table" w:customStyle="1" w:styleId="GridTable1Light-Accent21">
    <w:name w:val="Grid Table 1 Light - Accent 21"/>
    <w:uiPriority w:val="99"/>
    <w:rPr>
      <w:sz w:val="20"/>
      <w:szCs w:val="20"/>
    </w:rPr>
    <w:tblPr>
      <w:tblInd w:w="0" w:type="dxa"/>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CellMar>
        <w:top w:w="0" w:type="dxa"/>
        <w:left w:w="108" w:type="dxa"/>
        <w:bottom w:w="0" w:type="dxa"/>
        <w:right w:w="108" w:type="dxa"/>
      </w:tblCellMar>
    </w:tblPr>
  </w:style>
  <w:style w:type="table" w:customStyle="1" w:styleId="GridTable1Light-Accent31">
    <w:name w:val="Grid Table 1 Light - Accent 31"/>
    <w:uiPriority w:val="99"/>
    <w:rPr>
      <w:sz w:val="20"/>
      <w:szCs w:val="20"/>
    </w:rPr>
    <w:tblPr>
      <w:tblInd w:w="0" w:type="dxa"/>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CellMar>
        <w:top w:w="0" w:type="dxa"/>
        <w:left w:w="108" w:type="dxa"/>
        <w:bottom w:w="0" w:type="dxa"/>
        <w:right w:w="108" w:type="dxa"/>
      </w:tblCellMar>
    </w:tblPr>
  </w:style>
  <w:style w:type="table" w:customStyle="1" w:styleId="GridTable1Light-Accent41">
    <w:name w:val="Grid Table 1 Light - Accent 41"/>
    <w:uiPriority w:val="99"/>
    <w:rPr>
      <w:sz w:val="20"/>
      <w:szCs w:val="20"/>
    </w:rPr>
    <w:tblPr>
      <w:tblInd w:w="0" w:type="dxa"/>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CellMar>
        <w:top w:w="0" w:type="dxa"/>
        <w:left w:w="108" w:type="dxa"/>
        <w:bottom w:w="0" w:type="dxa"/>
        <w:right w:w="108" w:type="dxa"/>
      </w:tblCellMar>
    </w:tblPr>
  </w:style>
  <w:style w:type="table" w:customStyle="1" w:styleId="GridTable1Light-Accent51">
    <w:name w:val="Grid Table 1 Light - Accent 51"/>
    <w:uiPriority w:val="99"/>
    <w:rPr>
      <w:sz w:val="20"/>
      <w:szCs w:val="20"/>
    </w:rPr>
    <w:tblPr>
      <w:tblInd w:w="0" w:type="dxa"/>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CellMar>
        <w:top w:w="0" w:type="dxa"/>
        <w:left w:w="108" w:type="dxa"/>
        <w:bottom w:w="0" w:type="dxa"/>
        <w:right w:w="108" w:type="dxa"/>
      </w:tblCellMar>
    </w:tblPr>
  </w:style>
  <w:style w:type="table" w:customStyle="1" w:styleId="GridTable1Light-Accent61">
    <w:name w:val="Grid Table 1 Light - Accent 61"/>
    <w:uiPriority w:val="99"/>
    <w:rPr>
      <w:sz w:val="20"/>
      <w:szCs w:val="20"/>
    </w:rPr>
    <w:tblPr>
      <w:tblInd w:w="0" w:type="dxa"/>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CellMar>
        <w:top w:w="0" w:type="dxa"/>
        <w:left w:w="108" w:type="dxa"/>
        <w:bottom w:w="0" w:type="dxa"/>
        <w:right w:w="108" w:type="dxa"/>
      </w:tblCellMar>
    </w:tblPr>
  </w:style>
  <w:style w:type="table" w:customStyle="1" w:styleId="GridTable21">
    <w:name w:val="Grid Table 21"/>
    <w:uiPriority w:val="99"/>
    <w:rPr>
      <w:sz w:val="20"/>
      <w:szCs w:val="20"/>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Pr>
      <w:sz w:val="20"/>
      <w:szCs w:val="20"/>
    </w:rPr>
    <w:tblPr>
      <w:tblInd w:w="0" w:type="dxa"/>
      <w:tblBorders>
        <w:top w:val="single" w:sz="2" w:space="0" w:color="45B0E1"/>
        <w:bottom w:val="single" w:sz="2" w:space="0" w:color="45B0E1"/>
        <w:insideH w:val="single" w:sz="2" w:space="0" w:color="45B0E1"/>
        <w:insideV w:val="single" w:sz="2" w:space="0" w:color="45B0E1"/>
      </w:tblBorders>
      <w:tblCellMar>
        <w:top w:w="0" w:type="dxa"/>
        <w:left w:w="108" w:type="dxa"/>
        <w:bottom w:w="0" w:type="dxa"/>
        <w:right w:w="108" w:type="dxa"/>
      </w:tblCellMar>
    </w:tblPr>
  </w:style>
  <w:style w:type="table" w:customStyle="1" w:styleId="GridTable2-Accent21">
    <w:name w:val="Grid Table 2 - Accent 21"/>
    <w:uiPriority w:val="99"/>
    <w:rPr>
      <w:sz w:val="20"/>
      <w:szCs w:val="20"/>
    </w:rPr>
    <w:tblPr>
      <w:tblInd w:w="0" w:type="dxa"/>
      <w:tblBorders>
        <w:top w:val="single" w:sz="2" w:space="0" w:color="F1A983"/>
        <w:bottom w:val="single" w:sz="2" w:space="0" w:color="F1A983"/>
        <w:insideH w:val="single" w:sz="2" w:space="0" w:color="F1A983"/>
        <w:insideV w:val="single" w:sz="2" w:space="0" w:color="F1A983"/>
      </w:tblBorders>
      <w:tblCellMar>
        <w:top w:w="0" w:type="dxa"/>
        <w:left w:w="108" w:type="dxa"/>
        <w:bottom w:w="0" w:type="dxa"/>
        <w:right w:w="108" w:type="dxa"/>
      </w:tblCellMar>
    </w:tblPr>
  </w:style>
  <w:style w:type="table" w:customStyle="1" w:styleId="GridTable2-Accent31">
    <w:name w:val="Grid Table 2 - Accent 31"/>
    <w:uiPriority w:val="99"/>
    <w:rPr>
      <w:sz w:val="20"/>
      <w:szCs w:val="20"/>
    </w:rPr>
    <w:tblPr>
      <w:tblInd w:w="0" w:type="dxa"/>
      <w:tblBorders>
        <w:top w:val="single" w:sz="2" w:space="0" w:color="47D459"/>
        <w:bottom w:val="single" w:sz="2" w:space="0" w:color="47D459"/>
        <w:insideH w:val="single" w:sz="2" w:space="0" w:color="47D459"/>
        <w:insideV w:val="single" w:sz="2" w:space="0" w:color="47D459"/>
      </w:tblBorders>
      <w:tblCellMar>
        <w:top w:w="0" w:type="dxa"/>
        <w:left w:w="108" w:type="dxa"/>
        <w:bottom w:w="0" w:type="dxa"/>
        <w:right w:w="108" w:type="dxa"/>
      </w:tblCellMar>
    </w:tblPr>
  </w:style>
  <w:style w:type="table" w:customStyle="1" w:styleId="GridTable2-Accent41">
    <w:name w:val="Grid Table 2 - Accent 41"/>
    <w:uiPriority w:val="99"/>
    <w:rPr>
      <w:sz w:val="20"/>
      <w:szCs w:val="20"/>
    </w:rPr>
    <w:tblPr>
      <w:tblInd w:w="0" w:type="dxa"/>
      <w:tblBorders>
        <w:top w:val="single" w:sz="2" w:space="0" w:color="60CAF3"/>
        <w:bottom w:val="single" w:sz="2" w:space="0" w:color="60CAF3"/>
        <w:insideH w:val="single" w:sz="2" w:space="0" w:color="60CAF3"/>
        <w:insideV w:val="single" w:sz="2" w:space="0" w:color="60CAF3"/>
      </w:tblBorders>
      <w:tblCellMar>
        <w:top w:w="0" w:type="dxa"/>
        <w:left w:w="108" w:type="dxa"/>
        <w:bottom w:w="0" w:type="dxa"/>
        <w:right w:w="108" w:type="dxa"/>
      </w:tblCellMar>
    </w:tblPr>
  </w:style>
  <w:style w:type="table" w:customStyle="1" w:styleId="GridTable2-Accent51">
    <w:name w:val="Grid Table 2 - Accent 51"/>
    <w:uiPriority w:val="99"/>
    <w:rPr>
      <w:sz w:val="20"/>
      <w:szCs w:val="20"/>
    </w:rPr>
    <w:tblPr>
      <w:tblInd w:w="0" w:type="dxa"/>
      <w:tblBorders>
        <w:top w:val="single" w:sz="2" w:space="0" w:color="D86DCB"/>
        <w:bottom w:val="single" w:sz="2" w:space="0" w:color="D86DCB"/>
        <w:insideH w:val="single" w:sz="2" w:space="0" w:color="D86DCB"/>
        <w:insideV w:val="single" w:sz="2" w:space="0" w:color="D86DCB"/>
      </w:tblBorders>
      <w:tblCellMar>
        <w:top w:w="0" w:type="dxa"/>
        <w:left w:w="108" w:type="dxa"/>
        <w:bottom w:w="0" w:type="dxa"/>
        <w:right w:w="108" w:type="dxa"/>
      </w:tblCellMar>
    </w:tblPr>
  </w:style>
  <w:style w:type="table" w:customStyle="1" w:styleId="GridTable2-Accent61">
    <w:name w:val="Grid Table 2 - Accent 61"/>
    <w:uiPriority w:val="99"/>
    <w:rPr>
      <w:sz w:val="20"/>
      <w:szCs w:val="20"/>
    </w:rPr>
    <w:tblPr>
      <w:tblInd w:w="0" w:type="dxa"/>
      <w:tblBorders>
        <w:top w:val="single" w:sz="2" w:space="0" w:color="8DD873"/>
        <w:bottom w:val="single" w:sz="2" w:space="0" w:color="8DD873"/>
        <w:insideH w:val="single" w:sz="2" w:space="0" w:color="8DD873"/>
        <w:insideV w:val="single" w:sz="2" w:space="0" w:color="8DD873"/>
      </w:tblBorders>
      <w:tblCellMar>
        <w:top w:w="0" w:type="dxa"/>
        <w:left w:w="108" w:type="dxa"/>
        <w:bottom w:w="0" w:type="dxa"/>
        <w:right w:w="108" w:type="dxa"/>
      </w:tblCellMar>
    </w:tblPr>
  </w:style>
  <w:style w:type="table" w:customStyle="1" w:styleId="GridTable31">
    <w:name w:val="Grid Table 31"/>
    <w:uiPriority w:val="99"/>
    <w:rPr>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Pr>
      <w:sz w:val="20"/>
      <w:szCs w:val="20"/>
    </w:rPr>
    <w:tblPr>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3-Accent21">
    <w:name w:val="Grid Table 3 - Accent 21"/>
    <w:uiPriority w:val="99"/>
    <w:rPr>
      <w:sz w:val="20"/>
      <w:szCs w:val="20"/>
    </w:rPr>
    <w:tblPr>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3-Accent31">
    <w:name w:val="Grid Table 3 - Accent 31"/>
    <w:uiPriority w:val="99"/>
    <w:rPr>
      <w:sz w:val="20"/>
      <w:szCs w:val="20"/>
    </w:rPr>
    <w:tblPr>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3-Accent41">
    <w:name w:val="Grid Table 3 - Accent 41"/>
    <w:uiPriority w:val="99"/>
    <w:rPr>
      <w:sz w:val="20"/>
      <w:szCs w:val="20"/>
    </w:rPr>
    <w:tblPr>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3-Accent51">
    <w:name w:val="Grid Table 3 - Accent 51"/>
    <w:uiPriority w:val="99"/>
    <w:rPr>
      <w:sz w:val="20"/>
      <w:szCs w:val="20"/>
    </w:rPr>
    <w:tblPr>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3-Accent61">
    <w:name w:val="Grid Table 3 - Accent 61"/>
    <w:uiPriority w:val="99"/>
    <w:rPr>
      <w:sz w:val="20"/>
      <w:szCs w:val="20"/>
    </w:rPr>
    <w:tblPr>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41">
    <w:name w:val="Grid Table 41"/>
    <w:uiPriority w:val="99"/>
    <w:rPr>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Pr>
      <w:sz w:val="20"/>
      <w:szCs w:val="20"/>
    </w:rPr>
    <w:tblPr>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4-Accent21">
    <w:name w:val="Grid Table 4 - Accent 21"/>
    <w:uiPriority w:val="99"/>
    <w:rPr>
      <w:sz w:val="20"/>
      <w:szCs w:val="20"/>
    </w:rPr>
    <w:tblPr>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4-Accent31">
    <w:name w:val="Grid Table 4 - Accent 31"/>
    <w:uiPriority w:val="99"/>
    <w:rPr>
      <w:sz w:val="20"/>
      <w:szCs w:val="20"/>
    </w:rPr>
    <w:tblPr>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4-Accent41">
    <w:name w:val="Grid Table 4 - Accent 41"/>
    <w:uiPriority w:val="99"/>
    <w:rPr>
      <w:sz w:val="20"/>
      <w:szCs w:val="20"/>
    </w:rPr>
    <w:tblPr>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4-Accent51">
    <w:name w:val="Grid Table 4 - Accent 51"/>
    <w:uiPriority w:val="99"/>
    <w:rPr>
      <w:sz w:val="20"/>
      <w:szCs w:val="20"/>
    </w:rPr>
    <w:tblPr>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4-Accent61">
    <w:name w:val="Grid Table 4 - Accent 61"/>
    <w:uiPriority w:val="99"/>
    <w:rPr>
      <w:sz w:val="20"/>
      <w:szCs w:val="20"/>
    </w:rPr>
    <w:tblPr>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5Dark1">
    <w:name w:val="Grid Table 5 Dark1"/>
    <w:uiPriority w:val="99"/>
    <w:rPr>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Pr>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1E4F5"/>
    </w:tcPr>
  </w:style>
  <w:style w:type="table" w:customStyle="1" w:styleId="GridTable5Dark-Accent21">
    <w:name w:val="Grid Table 5 Dark - Accent 21"/>
    <w:uiPriority w:val="99"/>
    <w:rPr>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AE2D5"/>
    </w:tcPr>
  </w:style>
  <w:style w:type="table" w:customStyle="1" w:styleId="GridTable5Dark-Accent31">
    <w:name w:val="Grid Table 5 Dark - Accent 31"/>
    <w:uiPriority w:val="99"/>
    <w:rPr>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1F0C7"/>
    </w:tcPr>
  </w:style>
  <w:style w:type="table" w:customStyle="1" w:styleId="GridTable5Dark-Accent41">
    <w:name w:val="Grid Table 5 Dark - Accent 41"/>
    <w:uiPriority w:val="99"/>
    <w:rPr>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style>
  <w:style w:type="table" w:customStyle="1" w:styleId="GridTable5Dark-Accent51">
    <w:name w:val="Grid Table 5 Dark - Accent 51"/>
    <w:uiPriority w:val="99"/>
    <w:rPr>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CEED"/>
    </w:tcPr>
  </w:style>
  <w:style w:type="table" w:customStyle="1" w:styleId="GridTable5Dark-Accent61">
    <w:name w:val="Grid Table 5 Dark - Accent 61"/>
    <w:uiPriority w:val="99"/>
    <w:rPr>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F2D0"/>
    </w:tcPr>
  </w:style>
  <w:style w:type="table" w:customStyle="1" w:styleId="GridTable6Colorful1">
    <w:name w:val="Grid Table 6 Colorful1"/>
    <w:uiPriority w:val="99"/>
    <w:rPr>
      <w:color w:val="000000"/>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color w:val="0F4761"/>
      <w:sz w:val="20"/>
      <w:szCs w:val="20"/>
    </w:rPr>
    <w:tblPr>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6Colorful-Accent21">
    <w:name w:val="Grid Table 6 Colorful - Accent 21"/>
    <w:uiPriority w:val="99"/>
    <w:rPr>
      <w:color w:val="BF4E14"/>
      <w:sz w:val="20"/>
      <w:szCs w:val="20"/>
    </w:rPr>
    <w:tblPr>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6Colorful-Accent31">
    <w:name w:val="Grid Table 6 Colorful - Accent 31"/>
    <w:uiPriority w:val="99"/>
    <w:rPr>
      <w:color w:val="124F1A"/>
      <w:sz w:val="20"/>
      <w:szCs w:val="20"/>
    </w:rPr>
    <w:tblPr>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6Colorful-Accent41">
    <w:name w:val="Grid Table 6 Colorful - Accent 41"/>
    <w:uiPriority w:val="99"/>
    <w:rPr>
      <w:color w:val="0B769F"/>
      <w:sz w:val="20"/>
      <w:szCs w:val="20"/>
    </w:rPr>
    <w:tblPr>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6Colorful-Accent51">
    <w:name w:val="Grid Table 6 Colorful - Accent 51"/>
    <w:uiPriority w:val="99"/>
    <w:rPr>
      <w:color w:val="77206D"/>
      <w:sz w:val="20"/>
      <w:szCs w:val="20"/>
    </w:rPr>
    <w:tblPr>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6Colorful-Accent61">
    <w:name w:val="Grid Table 6 Colorful - Accent 61"/>
    <w:uiPriority w:val="99"/>
    <w:rPr>
      <w:color w:val="3A7C22"/>
      <w:sz w:val="20"/>
      <w:szCs w:val="20"/>
    </w:rPr>
    <w:tblPr>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7Colorful1">
    <w:name w:val="Grid Table 7 Colorful1"/>
    <w:uiPriority w:val="99"/>
    <w:rPr>
      <w:color w:val="000000"/>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color w:val="0F4761"/>
      <w:sz w:val="20"/>
      <w:szCs w:val="20"/>
    </w:rPr>
    <w:tblPr>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7Colorful-Accent21">
    <w:name w:val="Grid Table 7 Colorful - Accent 21"/>
    <w:uiPriority w:val="99"/>
    <w:rPr>
      <w:color w:val="BF4E14"/>
      <w:sz w:val="20"/>
      <w:szCs w:val="20"/>
    </w:rPr>
    <w:tblPr>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7Colorful-Accent31">
    <w:name w:val="Grid Table 7 Colorful - Accent 31"/>
    <w:uiPriority w:val="99"/>
    <w:rPr>
      <w:color w:val="124F1A"/>
      <w:sz w:val="20"/>
      <w:szCs w:val="20"/>
    </w:rPr>
    <w:tblPr>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7Colorful-Accent41">
    <w:name w:val="Grid Table 7 Colorful - Accent 41"/>
    <w:uiPriority w:val="99"/>
    <w:rPr>
      <w:color w:val="0B769F"/>
      <w:sz w:val="20"/>
      <w:szCs w:val="20"/>
    </w:rPr>
    <w:tblPr>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7Colorful-Accent51">
    <w:name w:val="Grid Table 7 Colorful - Accent 51"/>
    <w:uiPriority w:val="99"/>
    <w:rPr>
      <w:color w:val="77206D"/>
      <w:sz w:val="20"/>
      <w:szCs w:val="20"/>
    </w:rPr>
    <w:tblPr>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7Colorful-Accent61">
    <w:name w:val="Grid Table 7 Colorful - Accent 61"/>
    <w:uiPriority w:val="99"/>
    <w:rPr>
      <w:color w:val="3A7C22"/>
      <w:sz w:val="20"/>
      <w:szCs w:val="20"/>
    </w:rPr>
    <w:tblPr>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character" w:customStyle="1" w:styleId="Hashtag1">
    <w:name w:val="Hashtag1"/>
    <w:uiPriority w:val="99"/>
    <w:semiHidden/>
    <w:rPr>
      <w:color w:val="2B579A"/>
      <w:shd w:val="clear" w:color="auto" w:fill="E1DFDD"/>
      <w:lang w:val="en-GB"/>
    </w:rPr>
  </w:style>
  <w:style w:type="character" w:styleId="HTMLAcronym">
    <w:name w:val="HTML Acronym"/>
    <w:basedOn w:val="DefaultParagraphFont"/>
    <w:uiPriority w:val="99"/>
    <w:semiHidden/>
    <w:locked/>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basedOn w:val="DefaultParagraphFont"/>
    <w:link w:val="HTMLAddress"/>
    <w:uiPriority w:val="99"/>
    <w:semiHidden/>
    <w:rsid w:val="006A50E2"/>
    <w:rPr>
      <w:i/>
      <w:iCs/>
      <w:lang w:val="en-GB"/>
    </w:rPr>
  </w:style>
  <w:style w:type="character" w:customStyle="1" w:styleId="CharChar7">
    <w:name w:val="Char Char7"/>
    <w:uiPriority w:val="99"/>
    <w:semiHidden/>
    <w:locked/>
    <w:rPr>
      <w:rFonts w:ascii="Times New Roman" w:eastAsia="SimSun" w:hAnsi="Times New Roman"/>
      <w:i/>
      <w:kern w:val="0"/>
      <w:sz w:val="22"/>
      <w:lang w:val="en-GB"/>
    </w:rPr>
  </w:style>
  <w:style w:type="character" w:styleId="HTMLCite">
    <w:name w:val="HTML Cite"/>
    <w:basedOn w:val="DefaultParagraphFont"/>
    <w:uiPriority w:val="99"/>
    <w:semiHidden/>
    <w:rPr>
      <w:rFonts w:cs="Times New Roman"/>
      <w:i/>
      <w:lang w:val="en-GB"/>
    </w:rPr>
  </w:style>
  <w:style w:type="character" w:styleId="HTMLCode">
    <w:name w:val="HTML Code"/>
    <w:basedOn w:val="DefaultParagraphFont"/>
    <w:uiPriority w:val="99"/>
    <w:semiHidden/>
    <w:rPr>
      <w:rFonts w:ascii="Times New Roman" w:hAnsi="Times New Roman" w:cs="Times New Roman"/>
      <w:sz w:val="20"/>
      <w:lang w:val="en-GB"/>
    </w:rPr>
  </w:style>
  <w:style w:type="character" w:styleId="HTMLDefinition">
    <w:name w:val="HTML Definition"/>
    <w:basedOn w:val="DefaultParagraphFont"/>
    <w:uiPriority w:val="99"/>
    <w:semiHidden/>
    <w:rPr>
      <w:rFonts w:cs="Times New Roman"/>
      <w:i/>
      <w:lang w:val="en-GB"/>
    </w:rPr>
  </w:style>
  <w:style w:type="character" w:styleId="HTMLKeyboard">
    <w:name w:val="HTML Keyboard"/>
    <w:basedOn w:val="DefaultParagraphFont"/>
    <w:uiPriority w:val="99"/>
    <w:semiHidden/>
    <w:rPr>
      <w:rFonts w:ascii="Times New Roman" w:hAnsi="Times New Roman" w:cs="Times New Roman"/>
      <w:sz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basedOn w:val="DefaultParagraphFont"/>
    <w:link w:val="HTMLPreformatted"/>
    <w:uiPriority w:val="99"/>
    <w:semiHidden/>
    <w:rsid w:val="006A50E2"/>
    <w:rPr>
      <w:rFonts w:ascii="Courier New" w:hAnsi="Courier New" w:cs="Courier New"/>
      <w:sz w:val="20"/>
      <w:szCs w:val="20"/>
      <w:lang w:val="en-GB"/>
    </w:rPr>
  </w:style>
  <w:style w:type="character" w:customStyle="1" w:styleId="CharChar6">
    <w:name w:val="Char Char6"/>
    <w:uiPriority w:val="99"/>
    <w:semiHidden/>
    <w:locked/>
    <w:rPr>
      <w:rFonts w:ascii="Times New Roman" w:eastAsia="SimSun" w:hAnsi="Times New Roman"/>
      <w:kern w:val="0"/>
      <w:sz w:val="20"/>
      <w:lang w:val="en-GB"/>
    </w:rPr>
  </w:style>
  <w:style w:type="character" w:styleId="HTMLSample">
    <w:name w:val="HTML Sample"/>
    <w:basedOn w:val="DefaultParagraphFont"/>
    <w:uiPriority w:val="99"/>
    <w:semiHidden/>
    <w:rPr>
      <w:rFonts w:ascii="Times New Roman" w:hAnsi="Times New Roman" w:cs="Times New Roman"/>
      <w:sz w:val="24"/>
      <w:lang w:val="en-GB"/>
    </w:rPr>
  </w:style>
  <w:style w:type="character" w:styleId="HTMLTypewriter">
    <w:name w:val="HTML Typewriter"/>
    <w:basedOn w:val="DefaultParagraphFont"/>
    <w:uiPriority w:val="99"/>
    <w:semiHidden/>
    <w:rPr>
      <w:rFonts w:ascii="Times New Roman" w:hAnsi="Times New Roman" w:cs="Times New Roman"/>
      <w:sz w:val="20"/>
      <w:lang w:val="en-GB"/>
    </w:rPr>
  </w:style>
  <w:style w:type="character" w:styleId="HTMLVariable">
    <w:name w:val="HTML Variable"/>
    <w:basedOn w:val="DefaultParagraphFont"/>
    <w:uiPriority w:val="99"/>
    <w:semiHidden/>
    <w:rPr>
      <w:rFonts w:cs="Times New Roman"/>
      <w:i/>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table" w:styleId="LightGrid">
    <w:name w:val="Light Grid"/>
    <w:basedOn w:val="TableNormal"/>
    <w:uiPriority w:val="99"/>
    <w:semiHidden/>
    <w:rPr>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rPr>
      <w:sz w:val="20"/>
      <w:szCs w:val="20"/>
    </w:rPr>
    <w:tblPr>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style>
  <w:style w:type="table" w:styleId="LightGrid-Accent2">
    <w:name w:val="Light Grid Accent 2"/>
    <w:basedOn w:val="TableNormal"/>
    <w:uiPriority w:val="99"/>
    <w:semiHidden/>
    <w:rPr>
      <w:sz w:val="20"/>
      <w:szCs w:val="20"/>
    </w:rPr>
    <w:tblPr>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style>
  <w:style w:type="table" w:styleId="LightGrid-Accent3">
    <w:name w:val="Light Grid Accent 3"/>
    <w:basedOn w:val="TableNormal"/>
    <w:uiPriority w:val="99"/>
    <w:semiHidden/>
    <w:rPr>
      <w:sz w:val="20"/>
      <w:szCs w:val="20"/>
    </w:rPr>
    <w:tblPr>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style>
  <w:style w:type="table" w:styleId="LightGrid-Accent4">
    <w:name w:val="Light Grid Accent 4"/>
    <w:basedOn w:val="TableNormal"/>
    <w:uiPriority w:val="99"/>
    <w:semiHidden/>
    <w:rPr>
      <w:sz w:val="20"/>
      <w:szCs w:val="20"/>
    </w:rPr>
    <w:tblPr>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style>
  <w:style w:type="table" w:styleId="LightGrid-Accent5">
    <w:name w:val="Light Grid Accent 5"/>
    <w:basedOn w:val="TableNormal"/>
    <w:uiPriority w:val="99"/>
    <w:semiHidden/>
    <w:rPr>
      <w:sz w:val="20"/>
      <w:szCs w:val="20"/>
    </w:rPr>
    <w:tblPr>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style>
  <w:style w:type="table" w:styleId="LightGrid-Accent6">
    <w:name w:val="Light Grid Accent 6"/>
    <w:basedOn w:val="TableNormal"/>
    <w:uiPriority w:val="99"/>
    <w:semiHidden/>
    <w:rPr>
      <w:sz w:val="20"/>
      <w:szCs w:val="20"/>
    </w:rPr>
    <w:tblPr>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style>
  <w:style w:type="table" w:styleId="LightList">
    <w:name w:val="Light List"/>
    <w:basedOn w:val="TableNormal"/>
    <w:uiPriority w:val="99"/>
    <w:semiHidden/>
    <w:rPr>
      <w:sz w:val="20"/>
      <w:szCs w:val="20"/>
    </w:rPr>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rPr>
      <w:sz w:val="20"/>
      <w:szCs w:val="20"/>
    </w:rPr>
    <w:tblPr>
      <w:tblBorders>
        <w:top w:val="single" w:sz="8" w:space="0" w:color="156082"/>
        <w:left w:val="single" w:sz="8" w:space="0" w:color="156082"/>
        <w:bottom w:val="single" w:sz="8" w:space="0" w:color="156082"/>
        <w:right w:val="single" w:sz="8" w:space="0" w:color="156082"/>
      </w:tblBorders>
    </w:tblPr>
  </w:style>
  <w:style w:type="table" w:styleId="LightList-Accent2">
    <w:name w:val="Light List Accent 2"/>
    <w:basedOn w:val="TableNormal"/>
    <w:uiPriority w:val="99"/>
    <w:semiHidden/>
    <w:rPr>
      <w:sz w:val="20"/>
      <w:szCs w:val="20"/>
    </w:rPr>
    <w:tblPr>
      <w:tblBorders>
        <w:top w:val="single" w:sz="8" w:space="0" w:color="E97132"/>
        <w:left w:val="single" w:sz="8" w:space="0" w:color="E97132"/>
        <w:bottom w:val="single" w:sz="8" w:space="0" w:color="E97132"/>
        <w:right w:val="single" w:sz="8" w:space="0" w:color="E97132"/>
      </w:tblBorders>
    </w:tblPr>
  </w:style>
  <w:style w:type="table" w:styleId="LightList-Accent3">
    <w:name w:val="Light List Accent 3"/>
    <w:basedOn w:val="TableNormal"/>
    <w:uiPriority w:val="99"/>
    <w:semiHidden/>
    <w:rPr>
      <w:sz w:val="20"/>
      <w:szCs w:val="20"/>
    </w:rPr>
    <w:tblPr>
      <w:tblBorders>
        <w:top w:val="single" w:sz="8" w:space="0" w:color="196B24"/>
        <w:left w:val="single" w:sz="8" w:space="0" w:color="196B24"/>
        <w:bottom w:val="single" w:sz="8" w:space="0" w:color="196B24"/>
        <w:right w:val="single" w:sz="8" w:space="0" w:color="196B24"/>
      </w:tblBorders>
    </w:tblPr>
  </w:style>
  <w:style w:type="table" w:styleId="LightList-Accent4">
    <w:name w:val="Light List Accent 4"/>
    <w:basedOn w:val="TableNormal"/>
    <w:uiPriority w:val="99"/>
    <w:semiHidden/>
    <w:rPr>
      <w:sz w:val="20"/>
      <w:szCs w:val="20"/>
    </w:rPr>
    <w:tblPr>
      <w:tblBorders>
        <w:top w:val="single" w:sz="8" w:space="0" w:color="0F9ED5"/>
        <w:left w:val="single" w:sz="8" w:space="0" w:color="0F9ED5"/>
        <w:bottom w:val="single" w:sz="8" w:space="0" w:color="0F9ED5"/>
        <w:right w:val="single" w:sz="8" w:space="0" w:color="0F9ED5"/>
      </w:tblBorders>
    </w:tblPr>
  </w:style>
  <w:style w:type="table" w:styleId="LightList-Accent5">
    <w:name w:val="Light List Accent 5"/>
    <w:basedOn w:val="TableNormal"/>
    <w:uiPriority w:val="99"/>
    <w:semiHidden/>
    <w:rPr>
      <w:sz w:val="20"/>
      <w:szCs w:val="20"/>
    </w:rPr>
    <w:tblPr>
      <w:tblBorders>
        <w:top w:val="single" w:sz="8" w:space="0" w:color="A02B93"/>
        <w:left w:val="single" w:sz="8" w:space="0" w:color="A02B93"/>
        <w:bottom w:val="single" w:sz="8" w:space="0" w:color="A02B93"/>
        <w:right w:val="single" w:sz="8" w:space="0" w:color="A02B93"/>
      </w:tblBorders>
    </w:tblPr>
  </w:style>
  <w:style w:type="table" w:styleId="LightList-Accent6">
    <w:name w:val="Light List Accent 6"/>
    <w:basedOn w:val="TableNormal"/>
    <w:uiPriority w:val="99"/>
    <w:semiHidden/>
    <w:rPr>
      <w:sz w:val="20"/>
      <w:szCs w:val="20"/>
    </w:rPr>
    <w:tblPr>
      <w:tblBorders>
        <w:top w:val="single" w:sz="8" w:space="0" w:color="4EA72E"/>
        <w:left w:val="single" w:sz="8" w:space="0" w:color="4EA72E"/>
        <w:bottom w:val="single" w:sz="8" w:space="0" w:color="4EA72E"/>
        <w:right w:val="single" w:sz="8" w:space="0" w:color="4EA72E"/>
      </w:tblBorders>
    </w:tblPr>
  </w:style>
  <w:style w:type="table" w:styleId="LightShading">
    <w:name w:val="Light Shading"/>
    <w:basedOn w:val="TableNormal"/>
    <w:uiPriority w:val="99"/>
    <w:semiHidden/>
    <w:rPr>
      <w:color w:val="000000"/>
      <w:sz w:val="20"/>
      <w:szCs w:val="2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color w:val="0F4761"/>
      <w:sz w:val="20"/>
      <w:szCs w:val="20"/>
    </w:rPr>
    <w:tblPr>
      <w:tblBorders>
        <w:top w:val="single" w:sz="8" w:space="0" w:color="156082"/>
        <w:bottom w:val="single" w:sz="8" w:space="0" w:color="156082"/>
      </w:tblBorders>
    </w:tblPr>
  </w:style>
  <w:style w:type="table" w:styleId="LightShading-Accent2">
    <w:name w:val="Light Shading Accent 2"/>
    <w:basedOn w:val="TableNormal"/>
    <w:uiPriority w:val="99"/>
    <w:semiHidden/>
    <w:rPr>
      <w:color w:val="BF4E14"/>
      <w:sz w:val="20"/>
      <w:szCs w:val="20"/>
    </w:rPr>
    <w:tblPr>
      <w:tblBorders>
        <w:top w:val="single" w:sz="8" w:space="0" w:color="E97132"/>
        <w:bottom w:val="single" w:sz="8" w:space="0" w:color="E97132"/>
      </w:tblBorders>
    </w:tblPr>
  </w:style>
  <w:style w:type="table" w:styleId="LightShading-Accent3">
    <w:name w:val="Light Shading Accent 3"/>
    <w:basedOn w:val="TableNormal"/>
    <w:uiPriority w:val="99"/>
    <w:semiHidden/>
    <w:rPr>
      <w:color w:val="124F1A"/>
      <w:sz w:val="20"/>
      <w:szCs w:val="20"/>
    </w:rPr>
    <w:tblPr>
      <w:tblBorders>
        <w:top w:val="single" w:sz="8" w:space="0" w:color="196B24"/>
        <w:bottom w:val="single" w:sz="8" w:space="0" w:color="196B24"/>
      </w:tblBorders>
    </w:tblPr>
  </w:style>
  <w:style w:type="table" w:styleId="LightShading-Accent4">
    <w:name w:val="Light Shading Accent 4"/>
    <w:basedOn w:val="TableNormal"/>
    <w:uiPriority w:val="99"/>
    <w:semiHidden/>
    <w:rPr>
      <w:color w:val="0B769F"/>
      <w:sz w:val="20"/>
      <w:szCs w:val="20"/>
    </w:rPr>
    <w:tblPr>
      <w:tblBorders>
        <w:top w:val="single" w:sz="8" w:space="0" w:color="0F9ED5"/>
        <w:bottom w:val="single" w:sz="8" w:space="0" w:color="0F9ED5"/>
      </w:tblBorders>
    </w:tblPr>
  </w:style>
  <w:style w:type="table" w:styleId="LightShading-Accent5">
    <w:name w:val="Light Shading Accent 5"/>
    <w:basedOn w:val="TableNormal"/>
    <w:uiPriority w:val="99"/>
    <w:semiHidden/>
    <w:rPr>
      <w:color w:val="77206D"/>
      <w:sz w:val="20"/>
      <w:szCs w:val="20"/>
    </w:rPr>
    <w:tblPr>
      <w:tblBorders>
        <w:top w:val="single" w:sz="8" w:space="0" w:color="A02B93"/>
        <w:bottom w:val="single" w:sz="8" w:space="0" w:color="A02B93"/>
      </w:tblBorders>
    </w:tblPr>
  </w:style>
  <w:style w:type="table" w:styleId="LightShading-Accent6">
    <w:name w:val="Light Shading Accent 6"/>
    <w:basedOn w:val="TableNormal"/>
    <w:uiPriority w:val="99"/>
    <w:semiHidden/>
    <w:rPr>
      <w:color w:val="3A7C22"/>
      <w:sz w:val="20"/>
      <w:szCs w:val="20"/>
    </w:rPr>
    <w:tblPr>
      <w:tblBorders>
        <w:top w:val="single" w:sz="8" w:space="0" w:color="4EA72E"/>
        <w:bottom w:val="single" w:sz="8" w:space="0" w:color="4EA72E"/>
      </w:tblBorders>
    </w:tblPr>
  </w:style>
  <w:style w:type="character" w:styleId="LineNumber">
    <w:name w:val="line number"/>
    <w:basedOn w:val="DefaultParagraphFont"/>
    <w:uiPriority w:val="99"/>
    <w:semiHidden/>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rPr>
      <w:sz w:val="20"/>
      <w:szCs w:val="20"/>
    </w:rPr>
    <w:tblPr>
      <w:tblInd w:w="0" w:type="dxa"/>
      <w:tblCellMar>
        <w:top w:w="0" w:type="dxa"/>
        <w:left w:w="108" w:type="dxa"/>
        <w:bottom w:w="0" w:type="dxa"/>
        <w:right w:w="108" w:type="dxa"/>
      </w:tblCellMar>
    </w:tblPr>
  </w:style>
  <w:style w:type="table" w:customStyle="1" w:styleId="ListTable1Light-Accent11">
    <w:name w:val="List Table 1 Light - Accent 11"/>
    <w:uiPriority w:val="99"/>
    <w:rPr>
      <w:sz w:val="20"/>
      <w:szCs w:val="20"/>
    </w:rPr>
    <w:tblPr>
      <w:tblInd w:w="0" w:type="dxa"/>
      <w:tblCellMar>
        <w:top w:w="0" w:type="dxa"/>
        <w:left w:w="108" w:type="dxa"/>
        <w:bottom w:w="0" w:type="dxa"/>
        <w:right w:w="108" w:type="dxa"/>
      </w:tblCellMar>
    </w:tblPr>
  </w:style>
  <w:style w:type="table" w:customStyle="1" w:styleId="ListTable1Light-Accent21">
    <w:name w:val="List Table 1 Light - Accent 21"/>
    <w:uiPriority w:val="99"/>
    <w:rPr>
      <w:sz w:val="20"/>
      <w:szCs w:val="20"/>
    </w:rPr>
    <w:tblPr>
      <w:tblInd w:w="0" w:type="dxa"/>
      <w:tblCellMar>
        <w:top w:w="0" w:type="dxa"/>
        <w:left w:w="108" w:type="dxa"/>
        <w:bottom w:w="0" w:type="dxa"/>
        <w:right w:w="108" w:type="dxa"/>
      </w:tblCellMar>
    </w:tblPr>
  </w:style>
  <w:style w:type="table" w:customStyle="1" w:styleId="ListTable1Light-Accent31">
    <w:name w:val="List Table 1 Light - Accent 31"/>
    <w:uiPriority w:val="99"/>
    <w:rPr>
      <w:sz w:val="20"/>
      <w:szCs w:val="20"/>
    </w:rPr>
    <w:tblPr>
      <w:tblInd w:w="0" w:type="dxa"/>
      <w:tblCellMar>
        <w:top w:w="0" w:type="dxa"/>
        <w:left w:w="108" w:type="dxa"/>
        <w:bottom w:w="0" w:type="dxa"/>
        <w:right w:w="108" w:type="dxa"/>
      </w:tblCellMar>
    </w:tblPr>
  </w:style>
  <w:style w:type="table" w:customStyle="1" w:styleId="ListTable1Light-Accent41">
    <w:name w:val="List Table 1 Light - Accent 41"/>
    <w:uiPriority w:val="99"/>
    <w:rPr>
      <w:sz w:val="20"/>
      <w:szCs w:val="20"/>
    </w:rPr>
    <w:tblPr>
      <w:tblInd w:w="0" w:type="dxa"/>
      <w:tblCellMar>
        <w:top w:w="0" w:type="dxa"/>
        <w:left w:w="108" w:type="dxa"/>
        <w:bottom w:w="0" w:type="dxa"/>
        <w:right w:w="108" w:type="dxa"/>
      </w:tblCellMar>
    </w:tblPr>
  </w:style>
  <w:style w:type="table" w:customStyle="1" w:styleId="ListTable1Light-Accent51">
    <w:name w:val="List Table 1 Light - Accent 51"/>
    <w:uiPriority w:val="99"/>
    <w:rPr>
      <w:sz w:val="20"/>
      <w:szCs w:val="20"/>
    </w:rPr>
    <w:tblPr>
      <w:tblInd w:w="0" w:type="dxa"/>
      <w:tblCellMar>
        <w:top w:w="0" w:type="dxa"/>
        <w:left w:w="108" w:type="dxa"/>
        <w:bottom w:w="0" w:type="dxa"/>
        <w:right w:w="108" w:type="dxa"/>
      </w:tblCellMar>
    </w:tblPr>
  </w:style>
  <w:style w:type="table" w:customStyle="1" w:styleId="ListTable1Light-Accent61">
    <w:name w:val="List Table 1 Light - Accent 61"/>
    <w:uiPriority w:val="99"/>
    <w:rPr>
      <w:sz w:val="20"/>
      <w:szCs w:val="20"/>
    </w:rPr>
    <w:tblPr>
      <w:tblInd w:w="0" w:type="dxa"/>
      <w:tblCellMar>
        <w:top w:w="0" w:type="dxa"/>
        <w:left w:w="108" w:type="dxa"/>
        <w:bottom w:w="0" w:type="dxa"/>
        <w:right w:w="108" w:type="dxa"/>
      </w:tblCellMar>
    </w:tblPr>
  </w:style>
  <w:style w:type="table" w:customStyle="1" w:styleId="ListTable21">
    <w:name w:val="List Table 21"/>
    <w:uiPriority w:val="99"/>
    <w:rPr>
      <w:sz w:val="20"/>
      <w:szCs w:val="20"/>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Pr>
      <w:sz w:val="20"/>
      <w:szCs w:val="20"/>
    </w:rPr>
    <w:tblPr>
      <w:tblInd w:w="0" w:type="dxa"/>
      <w:tblBorders>
        <w:top w:val="single" w:sz="4" w:space="0" w:color="45B0E1"/>
        <w:bottom w:val="single" w:sz="4" w:space="0" w:color="45B0E1"/>
        <w:insideH w:val="single" w:sz="4" w:space="0" w:color="45B0E1"/>
      </w:tblBorders>
      <w:tblCellMar>
        <w:top w:w="0" w:type="dxa"/>
        <w:left w:w="108" w:type="dxa"/>
        <w:bottom w:w="0" w:type="dxa"/>
        <w:right w:w="108" w:type="dxa"/>
      </w:tblCellMar>
    </w:tblPr>
  </w:style>
  <w:style w:type="table" w:customStyle="1" w:styleId="ListTable2-Accent21">
    <w:name w:val="List Table 2 - Accent 21"/>
    <w:uiPriority w:val="99"/>
    <w:rPr>
      <w:sz w:val="20"/>
      <w:szCs w:val="20"/>
    </w:rPr>
    <w:tblPr>
      <w:tblInd w:w="0" w:type="dxa"/>
      <w:tblBorders>
        <w:top w:val="single" w:sz="4" w:space="0" w:color="F1A983"/>
        <w:bottom w:val="single" w:sz="4" w:space="0" w:color="F1A983"/>
        <w:insideH w:val="single" w:sz="4" w:space="0" w:color="F1A983"/>
      </w:tblBorders>
      <w:tblCellMar>
        <w:top w:w="0" w:type="dxa"/>
        <w:left w:w="108" w:type="dxa"/>
        <w:bottom w:w="0" w:type="dxa"/>
        <w:right w:w="108" w:type="dxa"/>
      </w:tblCellMar>
    </w:tblPr>
  </w:style>
  <w:style w:type="table" w:customStyle="1" w:styleId="ListTable2-Accent31">
    <w:name w:val="List Table 2 - Accent 31"/>
    <w:uiPriority w:val="99"/>
    <w:rPr>
      <w:sz w:val="20"/>
      <w:szCs w:val="20"/>
    </w:rPr>
    <w:tblPr>
      <w:tblInd w:w="0" w:type="dxa"/>
      <w:tblBorders>
        <w:top w:val="single" w:sz="4" w:space="0" w:color="47D459"/>
        <w:bottom w:val="single" w:sz="4" w:space="0" w:color="47D459"/>
        <w:insideH w:val="single" w:sz="4" w:space="0" w:color="47D459"/>
      </w:tblBorders>
      <w:tblCellMar>
        <w:top w:w="0" w:type="dxa"/>
        <w:left w:w="108" w:type="dxa"/>
        <w:bottom w:w="0" w:type="dxa"/>
        <w:right w:w="108" w:type="dxa"/>
      </w:tblCellMar>
    </w:tblPr>
  </w:style>
  <w:style w:type="table" w:customStyle="1" w:styleId="ListTable2-Accent41">
    <w:name w:val="List Table 2 - Accent 41"/>
    <w:uiPriority w:val="99"/>
    <w:rPr>
      <w:sz w:val="20"/>
      <w:szCs w:val="20"/>
    </w:rPr>
    <w:tblPr>
      <w:tblInd w:w="0" w:type="dxa"/>
      <w:tblBorders>
        <w:top w:val="single" w:sz="4" w:space="0" w:color="60CAF3"/>
        <w:bottom w:val="single" w:sz="4" w:space="0" w:color="60CAF3"/>
        <w:insideH w:val="single" w:sz="4" w:space="0" w:color="60CAF3"/>
      </w:tblBorders>
      <w:tblCellMar>
        <w:top w:w="0" w:type="dxa"/>
        <w:left w:w="108" w:type="dxa"/>
        <w:bottom w:w="0" w:type="dxa"/>
        <w:right w:w="108" w:type="dxa"/>
      </w:tblCellMar>
    </w:tblPr>
  </w:style>
  <w:style w:type="table" w:customStyle="1" w:styleId="ListTable2-Accent51">
    <w:name w:val="List Table 2 - Accent 51"/>
    <w:uiPriority w:val="99"/>
    <w:rPr>
      <w:sz w:val="20"/>
      <w:szCs w:val="20"/>
    </w:rPr>
    <w:tblPr>
      <w:tblInd w:w="0" w:type="dxa"/>
      <w:tblBorders>
        <w:top w:val="single" w:sz="4" w:space="0" w:color="D86DCB"/>
        <w:bottom w:val="single" w:sz="4" w:space="0" w:color="D86DCB"/>
        <w:insideH w:val="single" w:sz="4" w:space="0" w:color="D86DCB"/>
      </w:tblBorders>
      <w:tblCellMar>
        <w:top w:w="0" w:type="dxa"/>
        <w:left w:w="108" w:type="dxa"/>
        <w:bottom w:w="0" w:type="dxa"/>
        <w:right w:w="108" w:type="dxa"/>
      </w:tblCellMar>
    </w:tblPr>
  </w:style>
  <w:style w:type="table" w:customStyle="1" w:styleId="ListTable2-Accent61">
    <w:name w:val="List Table 2 - Accent 61"/>
    <w:uiPriority w:val="99"/>
    <w:rPr>
      <w:sz w:val="20"/>
      <w:szCs w:val="20"/>
    </w:rPr>
    <w:tblPr>
      <w:tblInd w:w="0" w:type="dxa"/>
      <w:tblBorders>
        <w:top w:val="single" w:sz="4" w:space="0" w:color="8DD873"/>
        <w:bottom w:val="single" w:sz="4" w:space="0" w:color="8DD873"/>
        <w:insideH w:val="single" w:sz="4" w:space="0" w:color="8DD873"/>
      </w:tblBorders>
      <w:tblCellMar>
        <w:top w:w="0" w:type="dxa"/>
        <w:left w:w="108" w:type="dxa"/>
        <w:bottom w:w="0" w:type="dxa"/>
        <w:right w:w="108" w:type="dxa"/>
      </w:tblCellMar>
    </w:tblPr>
  </w:style>
  <w:style w:type="table" w:customStyle="1" w:styleId="ListTable31">
    <w:name w:val="List Table 31"/>
    <w:uiPriority w:val="99"/>
    <w:rPr>
      <w:sz w:val="20"/>
      <w:szCs w:val="20"/>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Pr>
      <w:sz w:val="20"/>
      <w:szCs w:val="20"/>
    </w:rPr>
    <w:tblPr>
      <w:tblInd w:w="0" w:type="dxa"/>
      <w:tblBorders>
        <w:top w:val="single" w:sz="4" w:space="0" w:color="156082"/>
        <w:left w:val="single" w:sz="4" w:space="0" w:color="156082"/>
        <w:bottom w:val="single" w:sz="4" w:space="0" w:color="156082"/>
        <w:right w:val="single" w:sz="4" w:space="0" w:color="156082"/>
      </w:tblBorders>
      <w:tblCellMar>
        <w:top w:w="0" w:type="dxa"/>
        <w:left w:w="108" w:type="dxa"/>
        <w:bottom w:w="0" w:type="dxa"/>
        <w:right w:w="108" w:type="dxa"/>
      </w:tblCellMar>
    </w:tblPr>
  </w:style>
  <w:style w:type="table" w:customStyle="1" w:styleId="ListTable3-Accent21">
    <w:name w:val="List Table 3 - Accent 21"/>
    <w:uiPriority w:val="99"/>
    <w:rPr>
      <w:sz w:val="20"/>
      <w:szCs w:val="20"/>
    </w:rPr>
    <w:tblPr>
      <w:tblInd w:w="0" w:type="dxa"/>
      <w:tblBorders>
        <w:top w:val="single" w:sz="4" w:space="0" w:color="E97132"/>
        <w:left w:val="single" w:sz="4" w:space="0" w:color="E97132"/>
        <w:bottom w:val="single" w:sz="4" w:space="0" w:color="E97132"/>
        <w:right w:val="single" w:sz="4" w:space="0" w:color="E97132"/>
      </w:tblBorders>
      <w:tblCellMar>
        <w:top w:w="0" w:type="dxa"/>
        <w:left w:w="108" w:type="dxa"/>
        <w:bottom w:w="0" w:type="dxa"/>
        <w:right w:w="108" w:type="dxa"/>
      </w:tblCellMar>
    </w:tblPr>
  </w:style>
  <w:style w:type="table" w:customStyle="1" w:styleId="ListTable3-Accent31">
    <w:name w:val="List Table 3 - Accent 31"/>
    <w:uiPriority w:val="99"/>
    <w:rPr>
      <w:sz w:val="20"/>
      <w:szCs w:val="20"/>
    </w:rPr>
    <w:tblPr>
      <w:tblInd w:w="0" w:type="dxa"/>
      <w:tblBorders>
        <w:top w:val="single" w:sz="4" w:space="0" w:color="196B24"/>
        <w:left w:val="single" w:sz="4" w:space="0" w:color="196B24"/>
        <w:bottom w:val="single" w:sz="4" w:space="0" w:color="196B24"/>
        <w:right w:val="single" w:sz="4" w:space="0" w:color="196B24"/>
      </w:tblBorders>
      <w:tblCellMar>
        <w:top w:w="0" w:type="dxa"/>
        <w:left w:w="108" w:type="dxa"/>
        <w:bottom w:w="0" w:type="dxa"/>
        <w:right w:w="108" w:type="dxa"/>
      </w:tblCellMar>
    </w:tblPr>
  </w:style>
  <w:style w:type="table" w:customStyle="1" w:styleId="ListTable3-Accent41">
    <w:name w:val="List Table 3 - Accent 41"/>
    <w:uiPriority w:val="99"/>
    <w:rPr>
      <w:sz w:val="20"/>
      <w:szCs w:val="20"/>
    </w:rPr>
    <w:tblPr>
      <w:tblInd w:w="0" w:type="dxa"/>
      <w:tblBorders>
        <w:top w:val="single" w:sz="4" w:space="0" w:color="0F9ED5"/>
        <w:left w:val="single" w:sz="4" w:space="0" w:color="0F9ED5"/>
        <w:bottom w:val="single" w:sz="4" w:space="0" w:color="0F9ED5"/>
        <w:right w:val="single" w:sz="4" w:space="0" w:color="0F9ED5"/>
      </w:tblBorders>
      <w:tblCellMar>
        <w:top w:w="0" w:type="dxa"/>
        <w:left w:w="108" w:type="dxa"/>
        <w:bottom w:w="0" w:type="dxa"/>
        <w:right w:w="108" w:type="dxa"/>
      </w:tblCellMar>
    </w:tblPr>
  </w:style>
  <w:style w:type="table" w:customStyle="1" w:styleId="ListTable3-Accent51">
    <w:name w:val="List Table 3 - Accent 51"/>
    <w:uiPriority w:val="99"/>
    <w:rPr>
      <w:sz w:val="20"/>
      <w:szCs w:val="20"/>
    </w:rPr>
    <w:tblPr>
      <w:tblInd w:w="0" w:type="dxa"/>
      <w:tblBorders>
        <w:top w:val="single" w:sz="4" w:space="0" w:color="A02B93"/>
        <w:left w:val="single" w:sz="4" w:space="0" w:color="A02B93"/>
        <w:bottom w:val="single" w:sz="4" w:space="0" w:color="A02B93"/>
        <w:right w:val="single" w:sz="4" w:space="0" w:color="A02B93"/>
      </w:tblBorders>
      <w:tblCellMar>
        <w:top w:w="0" w:type="dxa"/>
        <w:left w:w="108" w:type="dxa"/>
        <w:bottom w:w="0" w:type="dxa"/>
        <w:right w:w="108" w:type="dxa"/>
      </w:tblCellMar>
    </w:tblPr>
  </w:style>
  <w:style w:type="table" w:customStyle="1" w:styleId="ListTable3-Accent61">
    <w:name w:val="List Table 3 - Accent 61"/>
    <w:uiPriority w:val="99"/>
    <w:rPr>
      <w:sz w:val="20"/>
      <w:szCs w:val="20"/>
    </w:rPr>
    <w:tblPr>
      <w:tblInd w:w="0" w:type="dxa"/>
      <w:tblBorders>
        <w:top w:val="single" w:sz="4" w:space="0" w:color="4EA72E"/>
        <w:left w:val="single" w:sz="4" w:space="0" w:color="4EA72E"/>
        <w:bottom w:val="single" w:sz="4" w:space="0" w:color="4EA72E"/>
        <w:right w:val="single" w:sz="4" w:space="0" w:color="4EA72E"/>
      </w:tblBorders>
      <w:tblCellMar>
        <w:top w:w="0" w:type="dxa"/>
        <w:left w:w="108" w:type="dxa"/>
        <w:bottom w:w="0" w:type="dxa"/>
        <w:right w:w="108" w:type="dxa"/>
      </w:tblCellMar>
    </w:tblPr>
  </w:style>
  <w:style w:type="table" w:customStyle="1" w:styleId="ListTable41">
    <w:name w:val="List Table 41"/>
    <w:uiPriority w:val="99"/>
    <w:rPr>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Pr>
      <w:sz w:val="20"/>
      <w:szCs w:val="20"/>
    </w:rPr>
    <w:tblPr>
      <w:tblInd w:w="0" w:type="dxa"/>
      <w:tblBorders>
        <w:top w:val="single" w:sz="4" w:space="0" w:color="45B0E1"/>
        <w:left w:val="single" w:sz="4" w:space="0" w:color="45B0E1"/>
        <w:bottom w:val="single" w:sz="4" w:space="0" w:color="45B0E1"/>
        <w:right w:val="single" w:sz="4" w:space="0" w:color="45B0E1"/>
        <w:insideH w:val="single" w:sz="4" w:space="0" w:color="45B0E1"/>
      </w:tblBorders>
      <w:tblCellMar>
        <w:top w:w="0" w:type="dxa"/>
        <w:left w:w="108" w:type="dxa"/>
        <w:bottom w:w="0" w:type="dxa"/>
        <w:right w:w="108" w:type="dxa"/>
      </w:tblCellMar>
    </w:tblPr>
  </w:style>
  <w:style w:type="table" w:customStyle="1" w:styleId="ListTable4-Accent21">
    <w:name w:val="List Table 4 - Accent 21"/>
    <w:uiPriority w:val="99"/>
    <w:rPr>
      <w:sz w:val="20"/>
      <w:szCs w:val="20"/>
    </w:rPr>
    <w:tblPr>
      <w:tblInd w:w="0" w:type="dxa"/>
      <w:tblBorders>
        <w:top w:val="single" w:sz="4" w:space="0" w:color="F1A983"/>
        <w:left w:val="single" w:sz="4" w:space="0" w:color="F1A983"/>
        <w:bottom w:val="single" w:sz="4" w:space="0" w:color="F1A983"/>
        <w:right w:val="single" w:sz="4" w:space="0" w:color="F1A983"/>
        <w:insideH w:val="single" w:sz="4" w:space="0" w:color="F1A983"/>
      </w:tblBorders>
      <w:tblCellMar>
        <w:top w:w="0" w:type="dxa"/>
        <w:left w:w="108" w:type="dxa"/>
        <w:bottom w:w="0" w:type="dxa"/>
        <w:right w:w="108" w:type="dxa"/>
      </w:tblCellMar>
    </w:tblPr>
  </w:style>
  <w:style w:type="table" w:customStyle="1" w:styleId="ListTable4-Accent31">
    <w:name w:val="List Table 4 - Accent 31"/>
    <w:uiPriority w:val="99"/>
    <w:rPr>
      <w:sz w:val="20"/>
      <w:szCs w:val="20"/>
    </w:rPr>
    <w:tblPr>
      <w:tblInd w:w="0" w:type="dxa"/>
      <w:tblBorders>
        <w:top w:val="single" w:sz="4" w:space="0" w:color="47D459"/>
        <w:left w:val="single" w:sz="4" w:space="0" w:color="47D459"/>
        <w:bottom w:val="single" w:sz="4" w:space="0" w:color="47D459"/>
        <w:right w:val="single" w:sz="4" w:space="0" w:color="47D459"/>
        <w:insideH w:val="single" w:sz="4" w:space="0" w:color="47D459"/>
      </w:tblBorders>
      <w:tblCellMar>
        <w:top w:w="0" w:type="dxa"/>
        <w:left w:w="108" w:type="dxa"/>
        <w:bottom w:w="0" w:type="dxa"/>
        <w:right w:w="108" w:type="dxa"/>
      </w:tblCellMar>
    </w:tblPr>
  </w:style>
  <w:style w:type="table" w:customStyle="1" w:styleId="ListTable4-Accent41">
    <w:name w:val="List Table 4 - Accent 41"/>
    <w:uiPriority w:val="99"/>
    <w:rPr>
      <w:sz w:val="20"/>
      <w:szCs w:val="20"/>
    </w:rPr>
    <w:tblPr>
      <w:tblInd w:w="0" w:type="dxa"/>
      <w:tblBorders>
        <w:top w:val="single" w:sz="4" w:space="0" w:color="60CAF3"/>
        <w:left w:val="single" w:sz="4" w:space="0" w:color="60CAF3"/>
        <w:bottom w:val="single" w:sz="4" w:space="0" w:color="60CAF3"/>
        <w:right w:val="single" w:sz="4" w:space="0" w:color="60CAF3"/>
        <w:insideH w:val="single" w:sz="4" w:space="0" w:color="60CAF3"/>
      </w:tblBorders>
      <w:tblCellMar>
        <w:top w:w="0" w:type="dxa"/>
        <w:left w:w="108" w:type="dxa"/>
        <w:bottom w:w="0" w:type="dxa"/>
        <w:right w:w="108" w:type="dxa"/>
      </w:tblCellMar>
    </w:tblPr>
  </w:style>
  <w:style w:type="table" w:customStyle="1" w:styleId="ListTable4-Accent51">
    <w:name w:val="List Table 4 - Accent 51"/>
    <w:uiPriority w:val="99"/>
    <w:rPr>
      <w:sz w:val="20"/>
      <w:szCs w:val="20"/>
    </w:rPr>
    <w:tblPr>
      <w:tblInd w:w="0" w:type="dxa"/>
      <w:tblBorders>
        <w:top w:val="single" w:sz="4" w:space="0" w:color="D86DCB"/>
        <w:left w:val="single" w:sz="4" w:space="0" w:color="D86DCB"/>
        <w:bottom w:val="single" w:sz="4" w:space="0" w:color="D86DCB"/>
        <w:right w:val="single" w:sz="4" w:space="0" w:color="D86DCB"/>
        <w:insideH w:val="single" w:sz="4" w:space="0" w:color="D86DCB"/>
      </w:tblBorders>
      <w:tblCellMar>
        <w:top w:w="0" w:type="dxa"/>
        <w:left w:w="108" w:type="dxa"/>
        <w:bottom w:w="0" w:type="dxa"/>
        <w:right w:w="108" w:type="dxa"/>
      </w:tblCellMar>
    </w:tblPr>
  </w:style>
  <w:style w:type="table" w:customStyle="1" w:styleId="ListTable4-Accent61">
    <w:name w:val="List Table 4 - Accent 61"/>
    <w:uiPriority w:val="99"/>
    <w:rPr>
      <w:sz w:val="20"/>
      <w:szCs w:val="20"/>
    </w:rPr>
    <w:tblPr>
      <w:tblInd w:w="0" w:type="dxa"/>
      <w:tblBorders>
        <w:top w:val="single" w:sz="4" w:space="0" w:color="8DD873"/>
        <w:left w:val="single" w:sz="4" w:space="0" w:color="8DD873"/>
        <w:bottom w:val="single" w:sz="4" w:space="0" w:color="8DD873"/>
        <w:right w:val="single" w:sz="4" w:space="0" w:color="8DD873"/>
        <w:insideH w:val="single" w:sz="4" w:space="0" w:color="8DD873"/>
      </w:tblBorders>
      <w:tblCellMar>
        <w:top w:w="0" w:type="dxa"/>
        <w:left w:w="108" w:type="dxa"/>
        <w:bottom w:w="0" w:type="dxa"/>
        <w:right w:w="108" w:type="dxa"/>
      </w:tblCellMar>
    </w:tblPr>
  </w:style>
  <w:style w:type="table" w:customStyle="1" w:styleId="ListTable5Dark1">
    <w:name w:val="List Table 5 Dark1"/>
    <w:uiPriority w:val="99"/>
    <w:rPr>
      <w:color w:val="FFFFFF"/>
      <w:sz w:val="20"/>
      <w:szCs w:val="20"/>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color w:val="FFFFFF"/>
      <w:sz w:val="20"/>
      <w:szCs w:val="20"/>
    </w:rPr>
    <w:tblPr>
      <w:tblInd w:w="0" w:type="dxa"/>
      <w:tblBorders>
        <w:top w:val="single" w:sz="24" w:space="0" w:color="156082"/>
        <w:left w:val="single" w:sz="24" w:space="0" w:color="156082"/>
        <w:bottom w:val="single" w:sz="24" w:space="0" w:color="156082"/>
        <w:right w:val="single" w:sz="24" w:space="0" w:color="156082"/>
      </w:tblBorders>
      <w:tblCellMar>
        <w:top w:w="0" w:type="dxa"/>
        <w:left w:w="108" w:type="dxa"/>
        <w:bottom w:w="0" w:type="dxa"/>
        <w:right w:w="108" w:type="dxa"/>
      </w:tblCellMar>
    </w:tblPr>
    <w:tcPr>
      <w:shd w:val="clear" w:color="auto" w:fill="156082"/>
    </w:tcPr>
  </w:style>
  <w:style w:type="table" w:customStyle="1" w:styleId="ListTable5Dark-Accent21">
    <w:name w:val="List Table 5 Dark - Accent 21"/>
    <w:uiPriority w:val="99"/>
    <w:rPr>
      <w:color w:val="FFFFFF"/>
      <w:sz w:val="20"/>
      <w:szCs w:val="20"/>
    </w:rPr>
    <w:tblPr>
      <w:tblInd w:w="0" w:type="dxa"/>
      <w:tblBorders>
        <w:top w:val="single" w:sz="24" w:space="0" w:color="E97132"/>
        <w:left w:val="single" w:sz="24" w:space="0" w:color="E97132"/>
        <w:bottom w:val="single" w:sz="24" w:space="0" w:color="E97132"/>
        <w:right w:val="single" w:sz="24" w:space="0" w:color="E97132"/>
      </w:tblBorders>
      <w:tblCellMar>
        <w:top w:w="0" w:type="dxa"/>
        <w:left w:w="108" w:type="dxa"/>
        <w:bottom w:w="0" w:type="dxa"/>
        <w:right w:w="108" w:type="dxa"/>
      </w:tblCellMar>
    </w:tblPr>
    <w:tcPr>
      <w:shd w:val="clear" w:color="auto" w:fill="E97132"/>
    </w:tcPr>
  </w:style>
  <w:style w:type="table" w:customStyle="1" w:styleId="ListTable5Dark-Accent31">
    <w:name w:val="List Table 5 Dark - Accent 31"/>
    <w:uiPriority w:val="99"/>
    <w:rPr>
      <w:color w:val="FFFFFF"/>
      <w:sz w:val="20"/>
      <w:szCs w:val="20"/>
    </w:rPr>
    <w:tblPr>
      <w:tblInd w:w="0" w:type="dxa"/>
      <w:tblBorders>
        <w:top w:val="single" w:sz="24" w:space="0" w:color="196B24"/>
        <w:left w:val="single" w:sz="24" w:space="0" w:color="196B24"/>
        <w:bottom w:val="single" w:sz="24" w:space="0" w:color="196B24"/>
        <w:right w:val="single" w:sz="24" w:space="0" w:color="196B24"/>
      </w:tblBorders>
      <w:tblCellMar>
        <w:top w:w="0" w:type="dxa"/>
        <w:left w:w="108" w:type="dxa"/>
        <w:bottom w:w="0" w:type="dxa"/>
        <w:right w:w="108" w:type="dxa"/>
      </w:tblCellMar>
    </w:tblPr>
    <w:tcPr>
      <w:shd w:val="clear" w:color="auto" w:fill="196B24"/>
    </w:tcPr>
  </w:style>
  <w:style w:type="table" w:customStyle="1" w:styleId="ListTable5Dark-Accent41">
    <w:name w:val="List Table 5 Dark - Accent 41"/>
    <w:uiPriority w:val="99"/>
    <w:rPr>
      <w:color w:val="FFFFFF"/>
      <w:sz w:val="20"/>
      <w:szCs w:val="20"/>
    </w:rPr>
    <w:tblPr>
      <w:tblInd w:w="0" w:type="dxa"/>
      <w:tblBorders>
        <w:top w:val="single" w:sz="24" w:space="0" w:color="0F9ED5"/>
        <w:left w:val="single" w:sz="24" w:space="0" w:color="0F9ED5"/>
        <w:bottom w:val="single" w:sz="24" w:space="0" w:color="0F9ED5"/>
        <w:right w:val="single" w:sz="24" w:space="0" w:color="0F9ED5"/>
      </w:tblBorders>
      <w:tblCellMar>
        <w:top w:w="0" w:type="dxa"/>
        <w:left w:w="108" w:type="dxa"/>
        <w:bottom w:w="0" w:type="dxa"/>
        <w:right w:w="108" w:type="dxa"/>
      </w:tblCellMar>
    </w:tblPr>
    <w:tcPr>
      <w:shd w:val="clear" w:color="auto" w:fill="0F9ED5"/>
    </w:tcPr>
  </w:style>
  <w:style w:type="table" w:customStyle="1" w:styleId="ListTable5Dark-Accent51">
    <w:name w:val="List Table 5 Dark - Accent 51"/>
    <w:uiPriority w:val="99"/>
    <w:rPr>
      <w:color w:val="FFFFFF"/>
      <w:sz w:val="20"/>
      <w:szCs w:val="20"/>
    </w:rPr>
    <w:tblPr>
      <w:tblInd w:w="0" w:type="dxa"/>
      <w:tblBorders>
        <w:top w:val="single" w:sz="24" w:space="0" w:color="A02B93"/>
        <w:left w:val="single" w:sz="24" w:space="0" w:color="A02B93"/>
        <w:bottom w:val="single" w:sz="24" w:space="0" w:color="A02B93"/>
        <w:right w:val="single" w:sz="24" w:space="0" w:color="A02B93"/>
      </w:tblBorders>
      <w:tblCellMar>
        <w:top w:w="0" w:type="dxa"/>
        <w:left w:w="108" w:type="dxa"/>
        <w:bottom w:w="0" w:type="dxa"/>
        <w:right w:w="108" w:type="dxa"/>
      </w:tblCellMar>
    </w:tblPr>
    <w:tcPr>
      <w:shd w:val="clear" w:color="auto" w:fill="A02B93"/>
    </w:tcPr>
  </w:style>
  <w:style w:type="table" w:customStyle="1" w:styleId="ListTable5Dark-Accent61">
    <w:name w:val="List Table 5 Dark - Accent 61"/>
    <w:uiPriority w:val="99"/>
    <w:rPr>
      <w:color w:val="FFFFFF"/>
      <w:sz w:val="20"/>
      <w:szCs w:val="20"/>
    </w:rPr>
    <w:tblPr>
      <w:tblInd w:w="0" w:type="dxa"/>
      <w:tblBorders>
        <w:top w:val="single" w:sz="24" w:space="0" w:color="4EA72E"/>
        <w:left w:val="single" w:sz="24" w:space="0" w:color="4EA72E"/>
        <w:bottom w:val="single" w:sz="24" w:space="0" w:color="4EA72E"/>
        <w:right w:val="single" w:sz="24" w:space="0" w:color="4EA72E"/>
      </w:tblBorders>
      <w:tblCellMar>
        <w:top w:w="0" w:type="dxa"/>
        <w:left w:w="108" w:type="dxa"/>
        <w:bottom w:w="0" w:type="dxa"/>
        <w:right w:w="108" w:type="dxa"/>
      </w:tblCellMar>
    </w:tblPr>
    <w:tcPr>
      <w:shd w:val="clear" w:color="auto" w:fill="4EA72E"/>
    </w:tcPr>
  </w:style>
  <w:style w:type="table" w:customStyle="1" w:styleId="ListTable6Colorful1">
    <w:name w:val="List Table 6 Colorful1"/>
    <w:uiPriority w:val="99"/>
    <w:rPr>
      <w:color w:val="000000"/>
      <w:sz w:val="20"/>
      <w:szCs w:val="2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color w:val="0F4761"/>
      <w:sz w:val="20"/>
      <w:szCs w:val="20"/>
    </w:rPr>
    <w:tblPr>
      <w:tblInd w:w="0" w:type="dxa"/>
      <w:tblBorders>
        <w:top w:val="single" w:sz="4" w:space="0" w:color="156082"/>
        <w:bottom w:val="single" w:sz="4" w:space="0" w:color="156082"/>
      </w:tblBorders>
      <w:tblCellMar>
        <w:top w:w="0" w:type="dxa"/>
        <w:left w:w="108" w:type="dxa"/>
        <w:bottom w:w="0" w:type="dxa"/>
        <w:right w:w="108" w:type="dxa"/>
      </w:tblCellMar>
    </w:tblPr>
  </w:style>
  <w:style w:type="table" w:customStyle="1" w:styleId="ListTable6Colorful-Accent21">
    <w:name w:val="List Table 6 Colorful - Accent 21"/>
    <w:uiPriority w:val="99"/>
    <w:rPr>
      <w:color w:val="BF4E14"/>
      <w:sz w:val="20"/>
      <w:szCs w:val="20"/>
    </w:rPr>
    <w:tblPr>
      <w:tblInd w:w="0" w:type="dxa"/>
      <w:tblBorders>
        <w:top w:val="single" w:sz="4" w:space="0" w:color="E97132"/>
        <w:bottom w:val="single" w:sz="4" w:space="0" w:color="E97132"/>
      </w:tblBorders>
      <w:tblCellMar>
        <w:top w:w="0" w:type="dxa"/>
        <w:left w:w="108" w:type="dxa"/>
        <w:bottom w:w="0" w:type="dxa"/>
        <w:right w:w="108" w:type="dxa"/>
      </w:tblCellMar>
    </w:tblPr>
  </w:style>
  <w:style w:type="table" w:customStyle="1" w:styleId="ListTable6Colorful-Accent31">
    <w:name w:val="List Table 6 Colorful - Accent 31"/>
    <w:uiPriority w:val="99"/>
    <w:rPr>
      <w:color w:val="124F1A"/>
      <w:sz w:val="20"/>
      <w:szCs w:val="20"/>
    </w:rPr>
    <w:tblPr>
      <w:tblInd w:w="0" w:type="dxa"/>
      <w:tblBorders>
        <w:top w:val="single" w:sz="4" w:space="0" w:color="196B24"/>
        <w:bottom w:val="single" w:sz="4" w:space="0" w:color="196B24"/>
      </w:tblBorders>
      <w:tblCellMar>
        <w:top w:w="0" w:type="dxa"/>
        <w:left w:w="108" w:type="dxa"/>
        <w:bottom w:w="0" w:type="dxa"/>
        <w:right w:w="108" w:type="dxa"/>
      </w:tblCellMar>
    </w:tblPr>
  </w:style>
  <w:style w:type="table" w:customStyle="1" w:styleId="ListTable6Colorful-Accent41">
    <w:name w:val="List Table 6 Colorful - Accent 41"/>
    <w:uiPriority w:val="99"/>
    <w:rPr>
      <w:color w:val="0B769F"/>
      <w:sz w:val="20"/>
      <w:szCs w:val="20"/>
    </w:rPr>
    <w:tblPr>
      <w:tblInd w:w="0" w:type="dxa"/>
      <w:tblBorders>
        <w:top w:val="single" w:sz="4" w:space="0" w:color="0F9ED5"/>
        <w:bottom w:val="single" w:sz="4" w:space="0" w:color="0F9ED5"/>
      </w:tblBorders>
      <w:tblCellMar>
        <w:top w:w="0" w:type="dxa"/>
        <w:left w:w="108" w:type="dxa"/>
        <w:bottom w:w="0" w:type="dxa"/>
        <w:right w:w="108" w:type="dxa"/>
      </w:tblCellMar>
    </w:tblPr>
  </w:style>
  <w:style w:type="table" w:customStyle="1" w:styleId="ListTable6Colorful-Accent51">
    <w:name w:val="List Table 6 Colorful - Accent 51"/>
    <w:uiPriority w:val="99"/>
    <w:rPr>
      <w:color w:val="77206D"/>
      <w:sz w:val="20"/>
      <w:szCs w:val="20"/>
    </w:rPr>
    <w:tblPr>
      <w:tblInd w:w="0" w:type="dxa"/>
      <w:tblBorders>
        <w:top w:val="single" w:sz="4" w:space="0" w:color="A02B93"/>
        <w:bottom w:val="single" w:sz="4" w:space="0" w:color="A02B93"/>
      </w:tblBorders>
      <w:tblCellMar>
        <w:top w:w="0" w:type="dxa"/>
        <w:left w:w="108" w:type="dxa"/>
        <w:bottom w:w="0" w:type="dxa"/>
        <w:right w:w="108" w:type="dxa"/>
      </w:tblCellMar>
    </w:tblPr>
  </w:style>
  <w:style w:type="table" w:customStyle="1" w:styleId="ListTable6Colorful-Accent61">
    <w:name w:val="List Table 6 Colorful - Accent 61"/>
    <w:uiPriority w:val="99"/>
    <w:rPr>
      <w:color w:val="3A7C22"/>
      <w:sz w:val="20"/>
      <w:szCs w:val="20"/>
    </w:rPr>
    <w:tblPr>
      <w:tblInd w:w="0" w:type="dxa"/>
      <w:tblBorders>
        <w:top w:val="single" w:sz="4" w:space="0" w:color="4EA72E"/>
        <w:bottom w:val="single" w:sz="4" w:space="0" w:color="4EA72E"/>
      </w:tblBorders>
      <w:tblCellMar>
        <w:top w:w="0" w:type="dxa"/>
        <w:left w:w="108" w:type="dxa"/>
        <w:bottom w:w="0" w:type="dxa"/>
        <w:right w:w="108" w:type="dxa"/>
      </w:tblCellMar>
    </w:tblPr>
  </w:style>
  <w:style w:type="table" w:customStyle="1" w:styleId="ListTable7Colorful1">
    <w:name w:val="List Table 7 Colorful1"/>
    <w:uiPriority w:val="99"/>
    <w:rPr>
      <w:color w:val="000000"/>
      <w:sz w:val="20"/>
      <w:szCs w:val="2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color w:val="0F4761"/>
      <w:sz w:val="20"/>
      <w:szCs w:val="20"/>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color w:val="BF4E14"/>
      <w:sz w:val="20"/>
      <w:szCs w:val="20"/>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color w:val="124F1A"/>
      <w:sz w:val="20"/>
      <w:szCs w:val="20"/>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color w:val="0B769F"/>
      <w:sz w:val="20"/>
      <w:szCs w:val="20"/>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color w:val="77206D"/>
      <w:sz w:val="20"/>
      <w:szCs w:val="20"/>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color w:val="3A7C22"/>
      <w:sz w:val="20"/>
      <w:szCs w:val="20"/>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sz w:val="20"/>
      <w:szCs w:val="20"/>
      <w:lang w:val="en-GB"/>
    </w:rPr>
  </w:style>
  <w:style w:type="character" w:customStyle="1" w:styleId="MacroTextChar">
    <w:name w:val="Macro Text Char"/>
    <w:basedOn w:val="DefaultParagraphFont"/>
    <w:link w:val="MacroText"/>
    <w:uiPriority w:val="99"/>
    <w:semiHidden/>
    <w:rsid w:val="006A50E2"/>
    <w:rPr>
      <w:rFonts w:ascii="Courier New" w:hAnsi="Courier New" w:cs="Courier New"/>
      <w:sz w:val="20"/>
      <w:szCs w:val="20"/>
      <w:lang w:val="en-GB"/>
    </w:rPr>
  </w:style>
  <w:style w:type="character" w:customStyle="1" w:styleId="CharChar5">
    <w:name w:val="Char Char5"/>
    <w:uiPriority w:val="99"/>
    <w:semiHidden/>
    <w:locked/>
    <w:rPr>
      <w:rFonts w:ascii="Times New Roman" w:eastAsia="SimSun" w:hAnsi="Times New Roman"/>
      <w:kern w:val="0"/>
      <w:sz w:val="20"/>
      <w:lang w:val="en-GB"/>
    </w:rPr>
  </w:style>
  <w:style w:type="table" w:styleId="MediumGrid1">
    <w:name w:val="Medium Grid 1"/>
    <w:basedOn w:val="TableNormal"/>
    <w:uiPriority w:val="99"/>
    <w:semiHidden/>
    <w:rPr>
      <w:sz w:val="20"/>
      <w:szCs w:val="20"/>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rPr>
      <w:sz w:val="20"/>
      <w:szCs w:val="20"/>
    </w:rPr>
    <w:tblPr>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tblPr>
    <w:tcPr>
      <w:shd w:val="clear" w:color="auto" w:fill="B2DEF2"/>
    </w:tcPr>
  </w:style>
  <w:style w:type="table" w:styleId="MediumGrid1-Accent2">
    <w:name w:val="Medium Grid 1 Accent 2"/>
    <w:basedOn w:val="TableNormal"/>
    <w:uiPriority w:val="99"/>
    <w:semiHidden/>
    <w:rPr>
      <w:sz w:val="20"/>
      <w:szCs w:val="20"/>
    </w:rPr>
    <w:tblPr>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tblPr>
    <w:tcPr>
      <w:shd w:val="clear" w:color="auto" w:fill="F9DBCC"/>
    </w:tcPr>
  </w:style>
  <w:style w:type="table" w:styleId="MediumGrid1-Accent3">
    <w:name w:val="Medium Grid 1 Accent 3"/>
    <w:basedOn w:val="TableNormal"/>
    <w:uiPriority w:val="99"/>
    <w:semiHidden/>
    <w:rPr>
      <w:sz w:val="20"/>
      <w:szCs w:val="20"/>
    </w:rPr>
    <w:tblPr>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tblPr>
    <w:tcPr>
      <w:shd w:val="clear" w:color="auto" w:fill="B3EDBA"/>
    </w:tcPr>
  </w:style>
  <w:style w:type="table" w:styleId="MediumGrid1-Accent4">
    <w:name w:val="Medium Grid 1 Accent 4"/>
    <w:basedOn w:val="TableNormal"/>
    <w:uiPriority w:val="99"/>
    <w:semiHidden/>
    <w:rPr>
      <w:sz w:val="20"/>
      <w:szCs w:val="20"/>
    </w:rPr>
    <w:tblPr>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tblPr>
    <w:tcPr>
      <w:shd w:val="clear" w:color="auto" w:fill="BDE9FA"/>
    </w:tcPr>
  </w:style>
  <w:style w:type="table" w:styleId="MediumGrid1-Accent5">
    <w:name w:val="Medium Grid 1 Accent 5"/>
    <w:basedOn w:val="TableNormal"/>
    <w:uiPriority w:val="99"/>
    <w:semiHidden/>
    <w:rPr>
      <w:sz w:val="20"/>
      <w:szCs w:val="20"/>
    </w:rPr>
    <w:tblPr>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tblPr>
    <w:tcPr>
      <w:shd w:val="clear" w:color="auto" w:fill="EFC3E9"/>
    </w:tcPr>
  </w:style>
  <w:style w:type="table" w:styleId="MediumGrid1-Accent6">
    <w:name w:val="Medium Grid 1 Accent 6"/>
    <w:basedOn w:val="TableNormal"/>
    <w:uiPriority w:val="99"/>
    <w:semiHidden/>
    <w:rPr>
      <w:sz w:val="20"/>
      <w:szCs w:val="20"/>
    </w:rPr>
    <w:tblPr>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tblPr>
    <w:tcPr>
      <w:shd w:val="clear" w:color="auto" w:fill="D0EFC5"/>
    </w:tcPr>
  </w:style>
  <w:style w:type="table" w:styleId="MediumGrid2">
    <w:name w:val="Medium Grid 2"/>
    <w:basedOn w:val="TableNormal"/>
    <w:uiPriority w:val="99"/>
    <w:semiHidden/>
    <w:rPr>
      <w:color w:val="000000"/>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color w:val="000000"/>
      <w:sz w:val="20"/>
      <w:szCs w:val="20"/>
    </w:rPr>
    <w:tblPr>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cPr>
      <w:shd w:val="clear" w:color="auto" w:fill="B2DEF2"/>
    </w:tcPr>
  </w:style>
  <w:style w:type="table" w:styleId="MediumGrid2-Accent2">
    <w:name w:val="Medium Grid 2 Accent 2"/>
    <w:basedOn w:val="TableNormal"/>
    <w:uiPriority w:val="99"/>
    <w:semiHidden/>
    <w:rPr>
      <w:color w:val="000000"/>
      <w:sz w:val="20"/>
      <w:szCs w:val="20"/>
    </w:rPr>
    <w:tblPr>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cPr>
      <w:shd w:val="clear" w:color="auto" w:fill="F9DBCC"/>
    </w:tcPr>
  </w:style>
  <w:style w:type="table" w:styleId="MediumGrid2-Accent3">
    <w:name w:val="Medium Grid 2 Accent 3"/>
    <w:basedOn w:val="TableNormal"/>
    <w:uiPriority w:val="99"/>
    <w:semiHidden/>
    <w:rPr>
      <w:color w:val="000000"/>
      <w:sz w:val="20"/>
      <w:szCs w:val="20"/>
    </w:rPr>
    <w:tblPr>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cPr>
      <w:shd w:val="clear" w:color="auto" w:fill="B3EDBA"/>
    </w:tcPr>
  </w:style>
  <w:style w:type="table" w:styleId="MediumGrid2-Accent4">
    <w:name w:val="Medium Grid 2 Accent 4"/>
    <w:basedOn w:val="TableNormal"/>
    <w:uiPriority w:val="99"/>
    <w:semiHidden/>
    <w:rPr>
      <w:color w:val="000000"/>
      <w:sz w:val="20"/>
      <w:szCs w:val="20"/>
    </w:rPr>
    <w:tblPr>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cPr>
      <w:shd w:val="clear" w:color="auto" w:fill="BDE9FA"/>
    </w:tcPr>
  </w:style>
  <w:style w:type="table" w:styleId="MediumGrid2-Accent5">
    <w:name w:val="Medium Grid 2 Accent 5"/>
    <w:basedOn w:val="TableNormal"/>
    <w:uiPriority w:val="99"/>
    <w:semiHidden/>
    <w:rPr>
      <w:color w:val="000000"/>
      <w:sz w:val="20"/>
      <w:szCs w:val="20"/>
    </w:rPr>
    <w:tblPr>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cPr>
      <w:shd w:val="clear" w:color="auto" w:fill="EFC3E9"/>
    </w:tcPr>
  </w:style>
  <w:style w:type="table" w:styleId="MediumGrid2-Accent6">
    <w:name w:val="Medium Grid 2 Accent 6"/>
    <w:basedOn w:val="TableNormal"/>
    <w:uiPriority w:val="99"/>
    <w:semiHidden/>
    <w:rPr>
      <w:color w:val="000000"/>
      <w:sz w:val="20"/>
      <w:szCs w:val="20"/>
    </w:rPr>
    <w:tblPr>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cPr>
      <w:shd w:val="clear" w:color="auto" w:fill="D0EFC5"/>
    </w:tcPr>
  </w:style>
  <w:style w:type="table" w:styleId="MediumGrid3">
    <w:name w:val="Medium Grid 3"/>
    <w:basedOn w:val="TableNormal"/>
    <w:uiPriority w:val="99"/>
    <w:semiHidden/>
    <w:rPr>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rPr>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style>
  <w:style w:type="table" w:styleId="MediumGrid3-Accent2">
    <w:name w:val="Medium Grid 3 Accent 2"/>
    <w:basedOn w:val="TableNormal"/>
    <w:uiPriority w:val="99"/>
    <w:semiHidden/>
    <w:rPr>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BCC"/>
    </w:tcPr>
  </w:style>
  <w:style w:type="table" w:styleId="MediumGrid3-Accent3">
    <w:name w:val="Medium Grid 3 Accent 3"/>
    <w:basedOn w:val="TableNormal"/>
    <w:uiPriority w:val="99"/>
    <w:semiHidden/>
    <w:rPr>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3EDBA"/>
    </w:tcPr>
  </w:style>
  <w:style w:type="table" w:styleId="MediumGrid3-Accent4">
    <w:name w:val="Medium Grid 3 Accent 4"/>
    <w:basedOn w:val="TableNormal"/>
    <w:uiPriority w:val="99"/>
    <w:semiHidden/>
    <w:rPr>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DE9FA"/>
    </w:tcPr>
  </w:style>
  <w:style w:type="table" w:styleId="MediumGrid3-Accent5">
    <w:name w:val="Medium Grid 3 Accent 5"/>
    <w:basedOn w:val="TableNormal"/>
    <w:uiPriority w:val="99"/>
    <w:semiHidden/>
    <w:rPr>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C3E9"/>
    </w:tcPr>
  </w:style>
  <w:style w:type="table" w:styleId="MediumGrid3-Accent6">
    <w:name w:val="Medium Grid 3 Accent 6"/>
    <w:basedOn w:val="TableNormal"/>
    <w:uiPriority w:val="99"/>
    <w:semiHidden/>
    <w:rPr>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FC5"/>
    </w:tcPr>
  </w:style>
  <w:style w:type="table" w:styleId="MediumList1">
    <w:name w:val="Medium List 1"/>
    <w:basedOn w:val="TableNormal"/>
    <w:uiPriority w:val="99"/>
    <w:semiHidden/>
    <w:rPr>
      <w:color w:val="000000"/>
      <w:sz w:val="20"/>
      <w:szCs w:val="20"/>
    </w:rPr>
    <w:tblPr>
      <w:tblBorders>
        <w:top w:val="single" w:sz="8" w:space="0" w:color="000000"/>
        <w:bottom w:val="single" w:sz="8" w:space="0" w:color="000000"/>
      </w:tblBorders>
    </w:tblPr>
  </w:style>
  <w:style w:type="table" w:styleId="MediumList1-Accent1">
    <w:name w:val="Medium List 1 Accent 1"/>
    <w:basedOn w:val="TableNormal"/>
    <w:uiPriority w:val="99"/>
    <w:semiHidden/>
    <w:rPr>
      <w:color w:val="000000"/>
      <w:sz w:val="20"/>
      <w:szCs w:val="20"/>
    </w:rPr>
    <w:tblPr>
      <w:tblBorders>
        <w:top w:val="single" w:sz="8" w:space="0" w:color="156082"/>
        <w:bottom w:val="single" w:sz="8" w:space="0" w:color="156082"/>
      </w:tblBorders>
    </w:tblPr>
  </w:style>
  <w:style w:type="table" w:styleId="MediumList1-Accent2">
    <w:name w:val="Medium List 1 Accent 2"/>
    <w:basedOn w:val="TableNormal"/>
    <w:uiPriority w:val="99"/>
    <w:semiHidden/>
    <w:rPr>
      <w:color w:val="000000"/>
      <w:sz w:val="20"/>
      <w:szCs w:val="20"/>
    </w:rPr>
    <w:tblPr>
      <w:tblBorders>
        <w:top w:val="single" w:sz="8" w:space="0" w:color="E97132"/>
        <w:bottom w:val="single" w:sz="8" w:space="0" w:color="E97132"/>
      </w:tblBorders>
    </w:tblPr>
  </w:style>
  <w:style w:type="table" w:styleId="MediumList1-Accent3">
    <w:name w:val="Medium List 1 Accent 3"/>
    <w:basedOn w:val="TableNormal"/>
    <w:uiPriority w:val="99"/>
    <w:semiHidden/>
    <w:rPr>
      <w:color w:val="000000"/>
      <w:sz w:val="20"/>
      <w:szCs w:val="20"/>
    </w:rPr>
    <w:tblPr>
      <w:tblBorders>
        <w:top w:val="single" w:sz="8" w:space="0" w:color="196B24"/>
        <w:bottom w:val="single" w:sz="8" w:space="0" w:color="196B24"/>
      </w:tblBorders>
    </w:tblPr>
  </w:style>
  <w:style w:type="table" w:styleId="MediumList1-Accent4">
    <w:name w:val="Medium List 1 Accent 4"/>
    <w:basedOn w:val="TableNormal"/>
    <w:uiPriority w:val="99"/>
    <w:semiHidden/>
    <w:rPr>
      <w:color w:val="000000"/>
      <w:sz w:val="20"/>
      <w:szCs w:val="20"/>
    </w:rPr>
    <w:tblPr>
      <w:tblBorders>
        <w:top w:val="single" w:sz="8" w:space="0" w:color="0F9ED5"/>
        <w:bottom w:val="single" w:sz="8" w:space="0" w:color="0F9ED5"/>
      </w:tblBorders>
    </w:tblPr>
  </w:style>
  <w:style w:type="table" w:styleId="MediumList1-Accent5">
    <w:name w:val="Medium List 1 Accent 5"/>
    <w:basedOn w:val="TableNormal"/>
    <w:uiPriority w:val="99"/>
    <w:semiHidden/>
    <w:rPr>
      <w:color w:val="000000"/>
      <w:sz w:val="20"/>
      <w:szCs w:val="20"/>
    </w:rPr>
    <w:tblPr>
      <w:tblBorders>
        <w:top w:val="single" w:sz="8" w:space="0" w:color="A02B93"/>
        <w:bottom w:val="single" w:sz="8" w:space="0" w:color="A02B93"/>
      </w:tblBorders>
    </w:tblPr>
  </w:style>
  <w:style w:type="table" w:styleId="MediumList1-Accent6">
    <w:name w:val="Medium List 1 Accent 6"/>
    <w:basedOn w:val="TableNormal"/>
    <w:uiPriority w:val="99"/>
    <w:semiHidden/>
    <w:rPr>
      <w:color w:val="000000"/>
      <w:sz w:val="20"/>
      <w:szCs w:val="20"/>
    </w:rPr>
    <w:tblPr>
      <w:tblBorders>
        <w:top w:val="single" w:sz="8" w:space="0" w:color="4EA72E"/>
        <w:bottom w:val="single" w:sz="8" w:space="0" w:color="4EA72E"/>
      </w:tblBorders>
    </w:tblPr>
  </w:style>
  <w:style w:type="table" w:styleId="MediumList2">
    <w:name w:val="Medium List 2"/>
    <w:basedOn w:val="TableNormal"/>
    <w:uiPriority w:val="99"/>
    <w:semiHidden/>
    <w:rPr>
      <w:color w:val="000000"/>
      <w:sz w:val="20"/>
      <w:szCs w:val="2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color w:val="000000"/>
      <w:sz w:val="20"/>
      <w:szCs w:val="20"/>
    </w:rPr>
    <w:tblPr>
      <w:tblBorders>
        <w:top w:val="single" w:sz="8" w:space="0" w:color="156082"/>
        <w:left w:val="single" w:sz="8" w:space="0" w:color="156082"/>
        <w:bottom w:val="single" w:sz="8" w:space="0" w:color="156082"/>
        <w:right w:val="single" w:sz="8" w:space="0" w:color="156082"/>
      </w:tblBorders>
    </w:tblPr>
  </w:style>
  <w:style w:type="table" w:styleId="MediumList2-Accent2">
    <w:name w:val="Medium List 2 Accent 2"/>
    <w:basedOn w:val="TableNormal"/>
    <w:uiPriority w:val="99"/>
    <w:semiHidden/>
    <w:rPr>
      <w:color w:val="000000"/>
      <w:sz w:val="20"/>
      <w:szCs w:val="20"/>
    </w:rPr>
    <w:tblPr>
      <w:tblBorders>
        <w:top w:val="single" w:sz="8" w:space="0" w:color="E97132"/>
        <w:left w:val="single" w:sz="8" w:space="0" w:color="E97132"/>
        <w:bottom w:val="single" w:sz="8" w:space="0" w:color="E97132"/>
        <w:right w:val="single" w:sz="8" w:space="0" w:color="E97132"/>
      </w:tblBorders>
    </w:tblPr>
  </w:style>
  <w:style w:type="table" w:styleId="MediumList2-Accent3">
    <w:name w:val="Medium List 2 Accent 3"/>
    <w:basedOn w:val="TableNormal"/>
    <w:uiPriority w:val="99"/>
    <w:semiHidden/>
    <w:rPr>
      <w:color w:val="000000"/>
      <w:sz w:val="20"/>
      <w:szCs w:val="20"/>
    </w:rPr>
    <w:tblPr>
      <w:tblBorders>
        <w:top w:val="single" w:sz="8" w:space="0" w:color="196B24"/>
        <w:left w:val="single" w:sz="8" w:space="0" w:color="196B24"/>
        <w:bottom w:val="single" w:sz="8" w:space="0" w:color="196B24"/>
        <w:right w:val="single" w:sz="8" w:space="0" w:color="196B24"/>
      </w:tblBorders>
    </w:tblPr>
  </w:style>
  <w:style w:type="table" w:styleId="MediumList2-Accent4">
    <w:name w:val="Medium List 2 Accent 4"/>
    <w:basedOn w:val="TableNormal"/>
    <w:uiPriority w:val="99"/>
    <w:semiHidden/>
    <w:rPr>
      <w:color w:val="000000"/>
      <w:sz w:val="20"/>
      <w:szCs w:val="20"/>
    </w:rPr>
    <w:tblPr>
      <w:tblBorders>
        <w:top w:val="single" w:sz="8" w:space="0" w:color="0F9ED5"/>
        <w:left w:val="single" w:sz="8" w:space="0" w:color="0F9ED5"/>
        <w:bottom w:val="single" w:sz="8" w:space="0" w:color="0F9ED5"/>
        <w:right w:val="single" w:sz="8" w:space="0" w:color="0F9ED5"/>
      </w:tblBorders>
    </w:tblPr>
  </w:style>
  <w:style w:type="table" w:styleId="MediumList2-Accent5">
    <w:name w:val="Medium List 2 Accent 5"/>
    <w:basedOn w:val="TableNormal"/>
    <w:uiPriority w:val="99"/>
    <w:semiHidden/>
    <w:rPr>
      <w:color w:val="000000"/>
      <w:sz w:val="20"/>
      <w:szCs w:val="20"/>
    </w:rPr>
    <w:tblPr>
      <w:tblBorders>
        <w:top w:val="single" w:sz="8" w:space="0" w:color="A02B93"/>
        <w:left w:val="single" w:sz="8" w:space="0" w:color="A02B93"/>
        <w:bottom w:val="single" w:sz="8" w:space="0" w:color="A02B93"/>
        <w:right w:val="single" w:sz="8" w:space="0" w:color="A02B93"/>
      </w:tblBorders>
    </w:tblPr>
  </w:style>
  <w:style w:type="table" w:styleId="MediumList2-Accent6">
    <w:name w:val="Medium List 2 Accent 6"/>
    <w:basedOn w:val="TableNormal"/>
    <w:uiPriority w:val="99"/>
    <w:semiHidden/>
    <w:rPr>
      <w:color w:val="000000"/>
      <w:sz w:val="20"/>
      <w:szCs w:val="20"/>
    </w:rPr>
    <w:tblPr>
      <w:tblBorders>
        <w:top w:val="single" w:sz="8" w:space="0" w:color="4EA72E"/>
        <w:left w:val="single" w:sz="8" w:space="0" w:color="4EA72E"/>
        <w:bottom w:val="single" w:sz="8" w:space="0" w:color="4EA72E"/>
        <w:right w:val="single" w:sz="8" w:space="0" w:color="4EA72E"/>
      </w:tblBorders>
    </w:tblPr>
  </w:style>
  <w:style w:type="table" w:styleId="MediumShading1">
    <w:name w:val="Medium Shading 1"/>
    <w:basedOn w:val="TableNormal"/>
    <w:uiPriority w:val="99"/>
    <w:semiHidden/>
    <w:rPr>
      <w:sz w:val="20"/>
      <w:szCs w:val="20"/>
    </w:rPr>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rPr>
      <w:sz w:val="20"/>
      <w:szCs w:val="20"/>
    </w:rPr>
    <w:tblPr>
      <w:tblBorders>
        <w:top w:val="single" w:sz="8" w:space="0" w:color="2198CF"/>
        <w:left w:val="single" w:sz="8" w:space="0" w:color="2198CF"/>
        <w:bottom w:val="single" w:sz="8" w:space="0" w:color="2198CF"/>
        <w:right w:val="single" w:sz="8" w:space="0" w:color="2198CF"/>
        <w:insideH w:val="single" w:sz="8" w:space="0" w:color="2198CF"/>
      </w:tblBorders>
    </w:tblPr>
  </w:style>
  <w:style w:type="table" w:styleId="MediumShading1-Accent2">
    <w:name w:val="Medium Shading 1 Accent 2"/>
    <w:basedOn w:val="TableNormal"/>
    <w:uiPriority w:val="99"/>
    <w:semiHidden/>
    <w:rPr>
      <w:sz w:val="20"/>
      <w:szCs w:val="20"/>
    </w:rPr>
    <w:tblPr>
      <w:tblBorders>
        <w:top w:val="single" w:sz="8" w:space="0" w:color="EE9465"/>
        <w:left w:val="single" w:sz="8" w:space="0" w:color="EE9465"/>
        <w:bottom w:val="single" w:sz="8" w:space="0" w:color="EE9465"/>
        <w:right w:val="single" w:sz="8" w:space="0" w:color="EE9465"/>
        <w:insideH w:val="single" w:sz="8" w:space="0" w:color="EE9465"/>
      </w:tblBorders>
    </w:tblPr>
  </w:style>
  <w:style w:type="table" w:styleId="MediumShading1-Accent3">
    <w:name w:val="Medium Shading 1 Accent 3"/>
    <w:basedOn w:val="TableNormal"/>
    <w:uiPriority w:val="99"/>
    <w:semiHidden/>
    <w:rPr>
      <w:sz w:val="20"/>
      <w:szCs w:val="20"/>
    </w:rPr>
    <w:tblPr>
      <w:tblBorders>
        <w:top w:val="single" w:sz="8" w:space="0" w:color="2BB73D"/>
        <w:left w:val="single" w:sz="8" w:space="0" w:color="2BB73D"/>
        <w:bottom w:val="single" w:sz="8" w:space="0" w:color="2BB73D"/>
        <w:right w:val="single" w:sz="8" w:space="0" w:color="2BB73D"/>
        <w:insideH w:val="single" w:sz="8" w:space="0" w:color="2BB73D"/>
      </w:tblBorders>
    </w:tblPr>
  </w:style>
  <w:style w:type="table" w:styleId="MediumShading1-Accent4">
    <w:name w:val="Medium Shading 1 Accent 4"/>
    <w:basedOn w:val="TableNormal"/>
    <w:uiPriority w:val="99"/>
    <w:semiHidden/>
    <w:rPr>
      <w:sz w:val="20"/>
      <w:szCs w:val="20"/>
    </w:rPr>
    <w:tblPr>
      <w:tblBorders>
        <w:top w:val="single" w:sz="8" w:space="0" w:color="39BEF1"/>
        <w:left w:val="single" w:sz="8" w:space="0" w:color="39BEF1"/>
        <w:bottom w:val="single" w:sz="8" w:space="0" w:color="39BEF1"/>
        <w:right w:val="single" w:sz="8" w:space="0" w:color="39BEF1"/>
        <w:insideH w:val="single" w:sz="8" w:space="0" w:color="39BEF1"/>
      </w:tblBorders>
    </w:tblPr>
  </w:style>
  <w:style w:type="table" w:styleId="MediumShading1-Accent5">
    <w:name w:val="Medium Shading 1 Accent 5"/>
    <w:basedOn w:val="TableNormal"/>
    <w:uiPriority w:val="99"/>
    <w:semiHidden/>
    <w:rPr>
      <w:sz w:val="20"/>
      <w:szCs w:val="20"/>
    </w:rPr>
    <w:tblPr>
      <w:tblBorders>
        <w:top w:val="single" w:sz="8" w:space="0" w:color="CE49BF"/>
        <w:left w:val="single" w:sz="8" w:space="0" w:color="CE49BF"/>
        <w:bottom w:val="single" w:sz="8" w:space="0" w:color="CE49BF"/>
        <w:right w:val="single" w:sz="8" w:space="0" w:color="CE49BF"/>
        <w:insideH w:val="single" w:sz="8" w:space="0" w:color="CE49BF"/>
      </w:tblBorders>
    </w:tblPr>
  </w:style>
  <w:style w:type="table" w:styleId="MediumShading1-Accent6">
    <w:name w:val="Medium Shading 1 Accent 6"/>
    <w:basedOn w:val="TableNormal"/>
    <w:uiPriority w:val="99"/>
    <w:semiHidden/>
    <w:rPr>
      <w:sz w:val="20"/>
      <w:szCs w:val="20"/>
    </w:rPr>
    <w:tblPr>
      <w:tblBorders>
        <w:top w:val="single" w:sz="8" w:space="0" w:color="71CF50"/>
        <w:left w:val="single" w:sz="8" w:space="0" w:color="71CF50"/>
        <w:bottom w:val="single" w:sz="8" w:space="0" w:color="71CF50"/>
        <w:right w:val="single" w:sz="8" w:space="0" w:color="71CF50"/>
        <w:insideH w:val="single" w:sz="8" w:space="0" w:color="71CF50"/>
      </w:tblBorders>
    </w:tblPr>
  </w:style>
  <w:style w:type="table" w:styleId="MediumShading2">
    <w:name w:val="Medium Shading 2"/>
    <w:basedOn w:val="TableNormal"/>
    <w:uiPriority w:val="99"/>
    <w:semiHidden/>
    <w:rPr>
      <w:sz w:val="20"/>
      <w:szCs w:val="20"/>
    </w:rPr>
    <w:tblPr>
      <w:tblBorders>
        <w:top w:val="single" w:sz="18" w:space="0" w:color="auto"/>
        <w:bottom w:val="single" w:sz="18" w:space="0" w:color="auto"/>
      </w:tblBorders>
    </w:tblPr>
  </w:style>
  <w:style w:type="table" w:styleId="MediumShading2-Accent1">
    <w:name w:val="Medium Shading 2 Accent 1"/>
    <w:basedOn w:val="TableNormal"/>
    <w:uiPriority w:val="99"/>
    <w:semiHidden/>
    <w:rPr>
      <w:sz w:val="20"/>
      <w:szCs w:val="20"/>
    </w:rPr>
    <w:tblPr>
      <w:tblBorders>
        <w:top w:val="single" w:sz="18" w:space="0" w:color="auto"/>
        <w:bottom w:val="single" w:sz="18" w:space="0" w:color="auto"/>
      </w:tblBorders>
    </w:tblPr>
  </w:style>
  <w:style w:type="table" w:styleId="MediumShading2-Accent2">
    <w:name w:val="Medium Shading 2 Accent 2"/>
    <w:basedOn w:val="TableNormal"/>
    <w:uiPriority w:val="99"/>
    <w:semiHidden/>
    <w:rPr>
      <w:sz w:val="20"/>
      <w:szCs w:val="20"/>
    </w:rPr>
    <w:tblPr>
      <w:tblBorders>
        <w:top w:val="single" w:sz="18" w:space="0" w:color="auto"/>
        <w:bottom w:val="single" w:sz="18" w:space="0" w:color="auto"/>
      </w:tblBorders>
    </w:tblPr>
  </w:style>
  <w:style w:type="table" w:styleId="MediumShading2-Accent3">
    <w:name w:val="Medium Shading 2 Accent 3"/>
    <w:basedOn w:val="TableNormal"/>
    <w:uiPriority w:val="99"/>
    <w:semiHidden/>
    <w:rPr>
      <w:sz w:val="20"/>
      <w:szCs w:val="20"/>
    </w:rPr>
    <w:tblPr>
      <w:tblBorders>
        <w:top w:val="single" w:sz="18" w:space="0" w:color="auto"/>
        <w:bottom w:val="single" w:sz="18" w:space="0" w:color="auto"/>
      </w:tblBorders>
    </w:tblPr>
  </w:style>
  <w:style w:type="table" w:styleId="MediumShading2-Accent4">
    <w:name w:val="Medium Shading 2 Accent 4"/>
    <w:basedOn w:val="TableNormal"/>
    <w:uiPriority w:val="99"/>
    <w:semiHidden/>
    <w:rPr>
      <w:sz w:val="20"/>
      <w:szCs w:val="20"/>
    </w:rPr>
    <w:tblPr>
      <w:tblBorders>
        <w:top w:val="single" w:sz="18" w:space="0" w:color="auto"/>
        <w:bottom w:val="single" w:sz="18" w:space="0" w:color="auto"/>
      </w:tblBorders>
    </w:tblPr>
  </w:style>
  <w:style w:type="table" w:styleId="MediumShading2-Accent5">
    <w:name w:val="Medium Shading 2 Accent 5"/>
    <w:basedOn w:val="TableNormal"/>
    <w:uiPriority w:val="99"/>
    <w:semiHidden/>
    <w:rPr>
      <w:sz w:val="20"/>
      <w:szCs w:val="20"/>
    </w:rPr>
    <w:tblPr>
      <w:tblBorders>
        <w:top w:val="single" w:sz="18" w:space="0" w:color="auto"/>
        <w:bottom w:val="single" w:sz="18" w:space="0" w:color="auto"/>
      </w:tblBorders>
    </w:tblPr>
  </w:style>
  <w:style w:type="table" w:styleId="MediumShading2-Accent6">
    <w:name w:val="Medium Shading 2 Accent 6"/>
    <w:basedOn w:val="TableNormal"/>
    <w:uiPriority w:val="99"/>
    <w:semiHidden/>
    <w:rPr>
      <w:sz w:val="20"/>
      <w:szCs w:val="20"/>
    </w:rPr>
    <w:tblPr>
      <w:tblBorders>
        <w:top w:val="single" w:sz="18" w:space="0" w:color="auto"/>
        <w:bottom w:val="single" w:sz="18" w:space="0" w:color="auto"/>
      </w:tblBorders>
    </w:tblPr>
  </w:style>
  <w:style w:type="character" w:customStyle="1" w:styleId="Mention1">
    <w:name w:val="Mention1"/>
    <w:uiPriority w:val="99"/>
    <w:semiHidden/>
    <w:rPr>
      <w:color w:val="2B579A"/>
      <w:shd w:val="clear" w:color="auto" w:fill="E1DFDD"/>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basedOn w:val="DefaultParagraphFont"/>
    <w:link w:val="MessageHeader"/>
    <w:uiPriority w:val="99"/>
    <w:semiHidden/>
    <w:rsid w:val="006A50E2"/>
    <w:rPr>
      <w:rFonts w:asciiTheme="majorHAnsi" w:eastAsiaTheme="majorEastAsia" w:hAnsiTheme="majorHAnsi" w:cstheme="majorBidi"/>
      <w:sz w:val="24"/>
      <w:szCs w:val="24"/>
      <w:shd w:val="pct20" w:color="auto" w:fill="auto"/>
      <w:lang w:val="en-GB"/>
    </w:rPr>
  </w:style>
  <w:style w:type="character" w:customStyle="1" w:styleId="CharChar4">
    <w:name w:val="Char Char4"/>
    <w:uiPriority w:val="99"/>
    <w:semiHidden/>
    <w:locked/>
    <w:rPr>
      <w:rFonts w:ascii="Times New Roman" w:eastAsia="Times New Roman" w:hAnsi="Times New Roman"/>
      <w:kern w:val="0"/>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lang w:val="en-GB"/>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basedOn w:val="DefaultParagraphFont"/>
    <w:link w:val="NoteHeading"/>
    <w:uiPriority w:val="99"/>
    <w:semiHidden/>
    <w:rsid w:val="006A50E2"/>
    <w:rPr>
      <w:lang w:val="en-GB"/>
    </w:rPr>
  </w:style>
  <w:style w:type="character" w:customStyle="1" w:styleId="CharChar3">
    <w:name w:val="Char Char3"/>
    <w:uiPriority w:val="99"/>
    <w:semiHidden/>
    <w:locked/>
    <w:rPr>
      <w:rFonts w:ascii="Times New Roman" w:eastAsia="SimSun" w:hAnsi="Times New Roman"/>
      <w:kern w:val="0"/>
      <w:sz w:val="22"/>
      <w:lang w:val="en-GB"/>
    </w:rPr>
  </w:style>
  <w:style w:type="character" w:styleId="PageNumber">
    <w:name w:val="page number"/>
    <w:basedOn w:val="DefaultParagraphFont"/>
    <w:uiPriority w:val="99"/>
    <w:semiHidden/>
    <w:rPr>
      <w:rFonts w:cs="Times New Roman"/>
      <w:lang w:val="en-GB"/>
    </w:rPr>
  </w:style>
  <w:style w:type="character" w:styleId="PlaceholderText">
    <w:name w:val="Placeholder Text"/>
    <w:basedOn w:val="DefaultParagraphFont"/>
    <w:uiPriority w:val="99"/>
    <w:semiHidden/>
    <w:rPr>
      <w:color w:val="666666"/>
      <w:lang w:val="en-GB"/>
    </w:rPr>
  </w:style>
  <w:style w:type="table" w:customStyle="1" w:styleId="PlainTable11">
    <w:name w:val="Plain Table 11"/>
    <w:uiPriority w:val="99"/>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Pr>
      <w:sz w:val="20"/>
      <w:szCs w:val="20"/>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Pr>
      <w:sz w:val="20"/>
      <w:szCs w:val="20"/>
    </w:rPr>
    <w:tblPr>
      <w:tblInd w:w="0" w:type="dxa"/>
      <w:tblCellMar>
        <w:top w:w="0" w:type="dxa"/>
        <w:left w:w="108" w:type="dxa"/>
        <w:bottom w:w="0" w:type="dxa"/>
        <w:right w:w="108" w:type="dxa"/>
      </w:tblCellMar>
    </w:tblPr>
  </w:style>
  <w:style w:type="table" w:customStyle="1" w:styleId="PlainTable41">
    <w:name w:val="Plain Table 41"/>
    <w:uiPriority w:val="99"/>
    <w:rPr>
      <w:sz w:val="20"/>
      <w:szCs w:val="20"/>
    </w:rPr>
    <w:tblPr>
      <w:tblInd w:w="0" w:type="dxa"/>
      <w:tblCellMar>
        <w:top w:w="0" w:type="dxa"/>
        <w:left w:w="108" w:type="dxa"/>
        <w:bottom w:w="0" w:type="dxa"/>
        <w:right w:w="108" w:type="dxa"/>
      </w:tblCellMar>
    </w:tblPr>
  </w:style>
  <w:style w:type="table" w:customStyle="1" w:styleId="PlainTable51">
    <w:name w:val="Plain Table 51"/>
    <w:uiPriority w:val="99"/>
    <w:rPr>
      <w:sz w:val="20"/>
      <w:szCs w:val="20"/>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basedOn w:val="DefaultParagraphFont"/>
    <w:link w:val="PlainText"/>
    <w:uiPriority w:val="99"/>
    <w:semiHidden/>
    <w:rsid w:val="006A50E2"/>
    <w:rPr>
      <w:rFonts w:ascii="Courier New" w:hAnsi="Courier New" w:cs="Courier New"/>
      <w:sz w:val="20"/>
      <w:szCs w:val="20"/>
      <w:lang w:val="en-GB"/>
    </w:rPr>
  </w:style>
  <w:style w:type="character" w:customStyle="1" w:styleId="CharChar2">
    <w:name w:val="Char Char2"/>
    <w:uiPriority w:val="99"/>
    <w:semiHidden/>
    <w:locked/>
    <w:rPr>
      <w:rFonts w:ascii="Times New Roman" w:eastAsia="SimSun" w:hAnsi="Times New Roman"/>
      <w:kern w:val="0"/>
      <w:sz w:val="21"/>
      <w:lang w:val="en-GB"/>
    </w:rPr>
  </w:style>
  <w:style w:type="paragraph" w:styleId="Salutation">
    <w:name w:val="Salutation"/>
    <w:basedOn w:val="Normal"/>
    <w:next w:val="Normal"/>
    <w:link w:val="SalutationChar"/>
    <w:uiPriority w:val="99"/>
    <w:semiHidden/>
  </w:style>
  <w:style w:type="character" w:customStyle="1" w:styleId="SalutationChar">
    <w:name w:val="Salutation Char"/>
    <w:basedOn w:val="DefaultParagraphFont"/>
    <w:link w:val="Salutation"/>
    <w:uiPriority w:val="99"/>
    <w:semiHidden/>
    <w:rsid w:val="006A50E2"/>
    <w:rPr>
      <w:lang w:val="en-GB"/>
    </w:rPr>
  </w:style>
  <w:style w:type="character" w:customStyle="1" w:styleId="CharChar1">
    <w:name w:val="Char Char1"/>
    <w:uiPriority w:val="99"/>
    <w:semiHidden/>
    <w:locked/>
    <w:rPr>
      <w:rFonts w:ascii="Times New Roman" w:eastAsia="SimSun" w:hAnsi="Times New Roman"/>
      <w:kern w:val="0"/>
      <w:sz w:val="22"/>
      <w:lang w:val="en-GB"/>
    </w:rPr>
  </w:style>
  <w:style w:type="paragraph" w:styleId="Signature">
    <w:name w:val="Signature"/>
    <w:basedOn w:val="Normal"/>
    <w:link w:val="SignatureChar"/>
    <w:uiPriority w:val="99"/>
    <w:semiHidden/>
    <w:pPr>
      <w:ind w:left="4252"/>
    </w:pPr>
  </w:style>
  <w:style w:type="character" w:customStyle="1" w:styleId="SignatureChar">
    <w:name w:val="Signature Char"/>
    <w:basedOn w:val="DefaultParagraphFont"/>
    <w:link w:val="Signature"/>
    <w:uiPriority w:val="99"/>
    <w:semiHidden/>
    <w:rsid w:val="006A50E2"/>
    <w:rPr>
      <w:lang w:val="en-GB"/>
    </w:rPr>
  </w:style>
  <w:style w:type="character" w:customStyle="1" w:styleId="CharChar">
    <w:name w:val="Char Char"/>
    <w:uiPriority w:val="99"/>
    <w:semiHidden/>
    <w:locked/>
    <w:rPr>
      <w:rFonts w:ascii="Times New Roman" w:eastAsia="SimSun" w:hAnsi="Times New Roman"/>
      <w:kern w:val="0"/>
      <w:sz w:val="22"/>
      <w:lang w:val="en-GB"/>
    </w:rPr>
  </w:style>
  <w:style w:type="character" w:customStyle="1" w:styleId="SmartHyperlink1">
    <w:name w:val="Smart Hyperlink1"/>
    <w:uiPriority w:val="99"/>
    <w:semiHidden/>
    <w:rPr>
      <w:u w:val="dotted"/>
      <w:lang w:val="en-GB"/>
    </w:rPr>
  </w:style>
  <w:style w:type="character" w:customStyle="1" w:styleId="SmartLink1">
    <w:name w:val="SmartLink1"/>
    <w:uiPriority w:val="99"/>
    <w:semiHidden/>
    <w:rPr>
      <w:color w:val="0000FF"/>
      <w:u w:val="single"/>
      <w:shd w:val="clear" w:color="auto" w:fill="F3F2F1"/>
      <w:lang w:val="en-GB"/>
    </w:rPr>
  </w:style>
  <w:style w:type="character" w:styleId="Strong">
    <w:name w:val="Strong"/>
    <w:basedOn w:val="DefaultParagraphFont"/>
    <w:uiPriority w:val="99"/>
    <w:qFormat/>
    <w:locked/>
    <w:rPr>
      <w:rFonts w:cs="Times New Roman"/>
      <w:b/>
      <w:bCs/>
      <w:snapToGrid w:val="0"/>
      <w:sz w:val="22"/>
      <w:szCs w:val="22"/>
      <w:lang w:val="en-GB" w:bidi="ar-SA"/>
    </w:rPr>
  </w:style>
  <w:style w:type="character" w:styleId="SubtleEmphasis">
    <w:name w:val="Subtle Emphasis"/>
    <w:basedOn w:val="DefaultParagraphFont"/>
    <w:uiPriority w:val="99"/>
    <w:qFormat/>
    <w:rPr>
      <w:i/>
      <w:color w:val="404040"/>
      <w:lang w:val="en-GB"/>
    </w:rPr>
  </w:style>
  <w:style w:type="character" w:styleId="SubtleReference">
    <w:name w:val="Subtle Reference"/>
    <w:basedOn w:val="DefaultParagraphFont"/>
    <w:uiPriority w:val="99"/>
    <w:qFormat/>
    <w:rPr>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rPr>
      <w:sz w:val="20"/>
      <w:szCs w:val="20"/>
    </w:r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rPr>
      <w:sz w:val="20"/>
      <w:szCs w:val="20"/>
    </w:r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rPr>
      <w:sz w:val="20"/>
      <w:szCs w:val="20"/>
    </w:rPr>
    <w:tblPr/>
  </w:style>
  <w:style w:type="table" w:styleId="TableClassic1">
    <w:name w:val="Table Classic 1"/>
    <w:basedOn w:val="TableNormal"/>
    <w:uiPriority w:val="99"/>
    <w:semiHidden/>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b/>
      <w:bCs/>
      <w:sz w:val="20"/>
      <w:szCs w:val="20"/>
    </w:rPr>
    <w:tblPr/>
  </w:style>
  <w:style w:type="table" w:styleId="TableColumns3">
    <w:name w:val="Table Columns 3"/>
    <w:basedOn w:val="TableNormal"/>
    <w:uiPriority w:val="99"/>
    <w:semiHidden/>
    <w:pPr>
      <w:tabs>
        <w:tab w:val="left" w:pos="567"/>
        <w:tab w:val="left" w:pos="1134"/>
        <w:tab w:val="left" w:pos="1701"/>
        <w:tab w:val="left" w:pos="2268"/>
      </w:tabs>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rPr>
      <w:sz w:val="20"/>
      <w:szCs w:val="20"/>
    </w:rPr>
    <w:tblPr/>
  </w:style>
  <w:style w:type="table" w:styleId="TableColumns5">
    <w:name w:val="Table Columns 5"/>
    <w:basedOn w:val="TableNormal"/>
    <w:uiPriority w:val="99"/>
    <w:semiHidden/>
    <w:pPr>
      <w:tabs>
        <w:tab w:val="left" w:pos="567"/>
        <w:tab w:val="left" w:pos="1134"/>
        <w:tab w:val="left" w:pos="1701"/>
        <w:tab w:val="left" w:pos="2268"/>
      </w:tabs>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rPr>
      <w:sz w:val="20"/>
      <w:szCs w:val="20"/>
    </w:r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rPr>
      <w:sz w:val="20"/>
      <w:szCs w:val="20"/>
    </w:rPr>
    <w:tblPr/>
  </w:style>
  <w:style w:type="table" w:styleId="TableSimple3">
    <w:name w:val="Table Simple 3"/>
    <w:basedOn w:val="TableNormal"/>
    <w:uiPriority w:val="99"/>
    <w:semiHidden/>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rPr>
      <w:sz w:val="20"/>
      <w:szCs w:val="20"/>
    </w:rPr>
    <w:tblPr/>
  </w:style>
  <w:style w:type="table" w:styleId="TableSubtle2">
    <w:name w:val="Table Subtle 2"/>
    <w:basedOn w:val="TableNormal"/>
    <w:uiPriority w:val="99"/>
    <w:semiHidden/>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AHeading">
    <w:name w:val="toa heading"/>
    <w:basedOn w:val="Normal"/>
    <w:next w:val="Normal"/>
    <w:uiPriority w:val="99"/>
    <w:semiHidden/>
    <w:pPr>
      <w:spacing w:before="120"/>
    </w:pPr>
    <w:rPr>
      <w:b/>
      <w:bCs/>
      <w:sz w:val="24"/>
      <w:szCs w:val="24"/>
    </w:r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0F4761"/>
      <w:kern w:val="0"/>
      <w:sz w:val="32"/>
    </w:rPr>
  </w:style>
  <w:style w:type="character" w:customStyle="1" w:styleId="UnresolvedMention1">
    <w:name w:val="Unresolved Mention1"/>
    <w:uiPriority w:val="99"/>
    <w:semiHidden/>
    <w:rPr>
      <w:color w:val="605E5C"/>
      <w:shd w:val="clear" w:color="auto" w:fill="E1DFDD"/>
      <w:lang w:val="en-GB"/>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paragraph" w:customStyle="1" w:styleId="number">
    <w:name w:val="number"/>
    <w:aliases w:val="Footnote Reference Superscript,-E Fu?notenzeichen,(Diplomarbeit FZ),(Diplomarbeit FZ)1,(Diplomarbeit FZ)2,(Diplomarbeit FZ)3,(Diplomarbeit FZ)4,(Diplomarbeit FZ)5,(Diplomarbeit FZ)6,(Diplomarbeit FZ)7,(Diplomarbeit FZ)8,ftref,R"/>
    <w:basedOn w:val="Normal"/>
    <w:uiPriority w:val="99"/>
    <w:pPr>
      <w:spacing w:after="160" w:line="240" w:lineRule="exact"/>
      <w:jc w:val="left"/>
    </w:pPr>
    <w:rPr>
      <w:kern w:val="2"/>
      <w:sz w:val="24"/>
      <w:szCs w:val="24"/>
      <w:vertAlign w:val="superscript"/>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ListCBD">
    <w:name w:val="ListCBD"/>
    <w:rsid w:val="006A50E2"/>
    <w:pPr>
      <w:numPr>
        <w:numId w:val="15"/>
      </w:numPr>
    </w:pPr>
  </w:style>
  <w:style w:type="numbering" w:customStyle="1" w:styleId="CBDHeadings">
    <w:name w:val="CBD_Headings"/>
    <w:rsid w:val="006A50E2"/>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ocuments/CBD/SBSTTA/26/INF/15" TargetMode="External"/><Relationship Id="rId26" Type="http://schemas.openxmlformats.org/officeDocument/2006/relationships/header" Target="header1.xml"/><Relationship Id="rId39" Type="http://schemas.openxmlformats.org/officeDocument/2006/relationships/hyperlink" Target="https://www.cbd.int/decisions/cop/?m=cop-15" TargetMode="External"/><Relationship Id="rId21" Type="http://schemas.openxmlformats.org/officeDocument/2006/relationships/hyperlink" Target="https://www.cbd.int/documents/CBD/SBSTTA/26/INF/15" TargetMode="External"/><Relationship Id="rId34" Type="http://schemas.openxmlformats.org/officeDocument/2006/relationships/hyperlink" Target="https://www.cbd.int/decisions/cop/?m=cop-16" TargetMode="Externa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hyperlink" Target="https://www.cbd.int/decisions/cop/?m=cop-16" TargetMode="External"/><Relationship Id="rId20" Type="http://schemas.openxmlformats.org/officeDocument/2006/relationships/hyperlink" Target="https://www.cbd.int/documents/CBD/SBSTTA/26/INF/15" TargetMode="External"/><Relationship Id="rId29" Type="http://schemas.openxmlformats.org/officeDocument/2006/relationships/footer" Target="footer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recommendations/sbstta/?m=sbstta-25" TargetMode="External"/><Relationship Id="rId24" Type="http://schemas.openxmlformats.org/officeDocument/2006/relationships/hyperlink" Target="https://www.cbd.int/decisions/cop/?m=cop-16" TargetMode="External"/><Relationship Id="rId32" Type="http://schemas.openxmlformats.org/officeDocument/2006/relationships/hyperlink" Target="https://www.cbd.int/decisions/?id=13491" TargetMode="External"/><Relationship Id="rId37" Type="http://schemas.openxmlformats.org/officeDocument/2006/relationships/hyperlink" Target="https://www.cbd.int/decisions/cop/?m=cop-16"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cbd.int/decisions/cop/?m=cop-15" TargetMode="External"/><Relationship Id="rId23" Type="http://schemas.openxmlformats.org/officeDocument/2006/relationships/hyperlink" Target="https://www.cbd.int/documents/CBD/SBSTTA/26/INF/15" TargetMode="External"/><Relationship Id="rId28" Type="http://schemas.openxmlformats.org/officeDocument/2006/relationships/footer" Target="footer1.xml"/><Relationship Id="rId36" Type="http://schemas.openxmlformats.org/officeDocument/2006/relationships/hyperlink" Target="https://www.cbd.int/decisions/cop/?m=cop-16" TargetMode="External"/><Relationship Id="rId10" Type="http://schemas.openxmlformats.org/officeDocument/2006/relationships/hyperlink" Target="https://www.cbd.int/decisions/cop/?m=cop-15" TargetMode="External"/><Relationship Id="rId19" Type="http://schemas.openxmlformats.org/officeDocument/2006/relationships/hyperlink" Target="https://www.cbd.int/documents/CBD/SBSTTA/26/3" TargetMode="External"/><Relationship Id="rId31" Type="http://schemas.openxmlformats.org/officeDocument/2006/relationships/hyperlink" Target="https://www.cbd.int/decisions/cop/?m=cop-16"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notifications/2025/ntf-2025-058-kmgbf-en.pdf" TargetMode="External"/><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hyperlink" Target="https://www.cbd.int/decisions/cop/?m=cop-15" TargetMode="External"/><Relationship Id="rId35" Type="http://schemas.openxmlformats.org/officeDocument/2006/relationships/hyperlink" Target="https://www.cbd.int/decisions/cop/?m=cop-16" TargetMode="Externa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www.cbd.int/documents/CBD/SBSTTA/26/3" TargetMode="External"/><Relationship Id="rId17" Type="http://schemas.openxmlformats.org/officeDocument/2006/relationships/hyperlink" Target="https://www.cbd.int/documents/CBD/SBSTTA/26/3"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2/cop-12-dec-23-zh.pdf" TargetMode="External"/><Relationship Id="rId13" Type="http://schemas.openxmlformats.org/officeDocument/2006/relationships/hyperlink" Target="https://iucn.org/our-union/commissions/group/iucn-wcpa-spatial-planning-task-force" TargetMode="External"/><Relationship Id="rId18" Type="http://schemas.openxmlformats.org/officeDocument/2006/relationships/hyperlink" Target="http://www.unccd.int/news-stories/notifications/call-requests-support-assist-countries-strengthening-ldn-targets" TargetMode="External"/><Relationship Id="rId26" Type="http://schemas.openxmlformats.org/officeDocument/2006/relationships/hyperlink" Target="https://www.cbd.int/decisions/cop/?m=cop-15" TargetMode="External"/><Relationship Id="rId3" Type="http://schemas.openxmlformats.org/officeDocument/2006/relationships/hyperlink" Target="https://www.cbd.int/documents/CBD/SBSTTA/25/4" TargetMode="External"/><Relationship Id="rId21" Type="http://schemas.openxmlformats.org/officeDocument/2006/relationships/hyperlink" Target="https://www.cbd.int/marine" TargetMode="External"/><Relationship Id="rId7" Type="http://schemas.openxmlformats.org/officeDocument/2006/relationships/hyperlink" Target="https://www.cbd.int/notifications/2025-058" TargetMode="External"/><Relationship Id="rId12" Type="http://schemas.openxmlformats.org/officeDocument/2006/relationships/hyperlink" Target="http://www.mspglobal2030.org/biodiversity-inclusive-marine-spatial-planning/" TargetMode="External"/><Relationship Id="rId17" Type="http://schemas.openxmlformats.org/officeDocument/2006/relationships/hyperlink" Target="https://geo-ldn.org/ldn/about-toolbox/" TargetMode="External"/><Relationship Id="rId25" Type="http://schemas.openxmlformats.org/officeDocument/2006/relationships/hyperlink" Target="https://www.cbd.int/decisions/cop/?m=cop-15" TargetMode="External"/><Relationship Id="rId2" Type="http://schemas.openxmlformats.org/officeDocument/2006/relationships/hyperlink" Target="https://www.cbd.int/documents/CBD/SBSTTA/25/INF/1" TargetMode="External"/><Relationship Id="rId16" Type="http://schemas.openxmlformats.org/officeDocument/2006/relationships/hyperlink" Target="https://www.unccd.int/resources/brief/science-policy-brief-integrated-land-use-planning-and-integrated-landscape" TargetMode="External"/><Relationship Id="rId20" Type="http://schemas.openxmlformats.org/officeDocument/2006/relationships/hyperlink" Target="https://www.cbd.int/decisions/cop/?m=cop-15" TargetMode="External"/><Relationship Id="rId29" Type="http://schemas.openxmlformats.org/officeDocument/2006/relationships/hyperlink" Target="https://www.cbd.int/decisions/cop/?m=cop-15"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documents/CBD/SBSTTA/26/INF/16/Rev.1" TargetMode="External"/><Relationship Id="rId11" Type="http://schemas.openxmlformats.org/officeDocument/2006/relationships/hyperlink" Target="https://www.cbd.int/decisions/cop/?m=cop-16" TargetMode="External"/><Relationship Id="rId24" Type="http://schemas.openxmlformats.org/officeDocument/2006/relationships/hyperlink" Target="https://www.cbd.int/decisions/cop/?m=cop-15" TargetMode="External"/><Relationship Id="rId5" Type="http://schemas.openxmlformats.org/officeDocument/2006/relationships/hyperlink" Target="https://www.cbd.int/documents/CBD/SBSTTA/26/INF/15" TargetMode="External"/><Relationship Id="rId15" Type="http://schemas.openxmlformats.org/officeDocument/2006/relationships/hyperlink" Target="https://unu.edu/sites/default/files/2024-07/Indicators%20of%20Resilience%20in%20SEPLS%202024%20Edition_V2_0.pdf" TargetMode="External"/><Relationship Id="rId23" Type="http://schemas.openxmlformats.org/officeDocument/2006/relationships/hyperlink" Target="https://www.fao.org/forestry-fao/wildlife-partnership/en/" TargetMode="External"/><Relationship Id="rId28" Type="http://schemas.openxmlformats.org/officeDocument/2006/relationships/hyperlink" Target="https://www.cbd.int/decisions/cop/?m=cop-15" TargetMode="External"/><Relationship Id="rId10" Type="http://schemas.openxmlformats.org/officeDocument/2006/relationships/hyperlink" Target="https://www.cbd.int/decisions/?id=13645" TargetMode="External"/><Relationship Id="rId19" Type="http://schemas.openxmlformats.org/officeDocument/2006/relationships/hyperlink" Target="https://www.cbd.int/decisions/?id=13642" TargetMode="External"/><Relationship Id="rId4" Type="http://schemas.openxmlformats.org/officeDocument/2006/relationships/hyperlink" Target="https://www.cbd.int/documents/CBD/SBSTTA/26/3" TargetMode="External"/><Relationship Id="rId9" Type="http://schemas.openxmlformats.org/officeDocument/2006/relationships/hyperlink" Target="https://www.cbd.int/doc/decisions/cop-13/cop-13-dec-09-zh.pdf" TargetMode="External"/><Relationship Id="rId14" Type="http://schemas.openxmlformats.org/officeDocument/2006/relationships/hyperlink" Target="https://digitalx.undp.org/catalogs/elsa.html"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sbstta-27-template-en</Template>
  <TotalTime>42</TotalTime>
  <Pages>16</Pages>
  <Words>2359</Words>
  <Characters>13448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Areas of potential further work in the context of the Kunming-Montreal Global Biodiversity Framework</vt:lpstr>
    </vt:vector>
  </TitlesOfParts>
  <Company/>
  <LinksUpToDate>false</LinksUpToDate>
  <CharactersWithSpaces>15776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Areas of potential further work in the context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Mariko Nishi</cp:lastModifiedBy>
  <cp:revision>3</cp:revision>
  <dcterms:created xsi:type="dcterms:W3CDTF">2025-09-07T18:52:00Z</dcterms:created>
  <dcterms:modified xsi:type="dcterms:W3CDTF">2025-09-08T14:34:00Z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